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0EDD1EC5" w:rsidR="00D32F52" w:rsidRPr="00104CDD" w:rsidRDefault="009C0B30" w:rsidP="009C0B30">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104CDD">
        <w:rPr>
          <w:rFonts w:ascii="Sakkal Majalla" w:eastAsia="Calibri" w:hAnsi="Sakkal Majalla" w:cs="Sakkal Majalla"/>
          <w:b/>
          <w:bCs/>
          <w:noProof/>
          <w:color w:val="000000" w:themeColor="text1"/>
          <w:sz w:val="32"/>
          <w:szCs w:val="32"/>
        </w:rPr>
        <w:drawing>
          <wp:anchor distT="0" distB="0" distL="114300" distR="114300" simplePos="0" relativeHeight="251654144" behindDoc="0" locked="0" layoutInCell="1" allowOverlap="1" wp14:anchorId="7ABC6485" wp14:editId="3797432F">
            <wp:simplePos x="0" y="0"/>
            <wp:positionH relativeFrom="margin">
              <wp:align>left</wp:align>
            </wp:positionH>
            <wp:positionV relativeFrom="margin">
              <wp:align>top</wp:align>
            </wp:positionV>
            <wp:extent cx="1797685"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97685" cy="1668780"/>
                    </a:xfrm>
                    <a:prstGeom prst="rect">
                      <a:avLst/>
                    </a:prstGeom>
                  </pic:spPr>
                </pic:pic>
              </a:graphicData>
            </a:graphic>
            <wp14:sizeRelH relativeFrom="margin">
              <wp14:pctWidth>0</wp14:pctWidth>
            </wp14:sizeRelH>
            <wp14:sizeRelV relativeFrom="margin">
              <wp14:pctHeight>0</wp14:pctHeight>
            </wp14:sizeRelV>
          </wp:anchor>
        </w:drawing>
      </w:r>
      <w:r w:rsidR="00D32F52" w:rsidRPr="00104CDD">
        <w:rPr>
          <w:rFonts w:ascii="Sakkal Majalla" w:eastAsia="Calibri" w:hAnsi="Sakkal Majalla" w:cs="Sakkal Majalla"/>
          <w:b/>
          <w:bCs/>
          <w:color w:val="000000" w:themeColor="text1"/>
          <w:sz w:val="32"/>
          <w:szCs w:val="32"/>
          <w:rtl/>
          <w:lang w:bidi="ar-EG"/>
        </w:rPr>
        <w:t xml:space="preserve">جامعة ميدأوشن </w:t>
      </w:r>
    </w:p>
    <w:p w14:paraId="1D708D32" w14:textId="32B96ED1" w:rsidR="00D32F52" w:rsidRPr="00104CDD" w:rsidRDefault="00D32F52" w:rsidP="009C0B30">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104CDD">
        <w:rPr>
          <w:rFonts w:ascii="Sakkal Majalla" w:eastAsia="Calibri" w:hAnsi="Sakkal Majalla" w:cs="Sakkal Majalla"/>
          <w:b/>
          <w:bCs/>
          <w:color w:val="000000" w:themeColor="text1"/>
          <w:sz w:val="32"/>
          <w:szCs w:val="32"/>
          <w:rtl/>
          <w:lang w:bidi="ar-EG"/>
        </w:rPr>
        <w:t xml:space="preserve">كلية الإدارة </w:t>
      </w:r>
    </w:p>
    <w:p w14:paraId="5B4F8F32" w14:textId="40F92609" w:rsidR="00D32F52" w:rsidRPr="00104CDD" w:rsidRDefault="00D32F52" w:rsidP="009C0B30">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104CDD">
        <w:rPr>
          <w:rFonts w:ascii="Sakkal Majalla" w:eastAsia="Calibri" w:hAnsi="Sakkal Majalla" w:cs="Sakkal Majalla"/>
          <w:b/>
          <w:bCs/>
          <w:color w:val="000000" w:themeColor="text1"/>
          <w:sz w:val="32"/>
          <w:szCs w:val="32"/>
          <w:rtl/>
          <w:lang w:bidi="ar-EG"/>
        </w:rPr>
        <w:t xml:space="preserve">قسم / </w:t>
      </w:r>
      <w:r w:rsidR="00862511" w:rsidRPr="00104CDD">
        <w:rPr>
          <w:rFonts w:ascii="Sakkal Majalla" w:eastAsia="Calibri" w:hAnsi="Sakkal Majalla" w:cs="Sakkal Majalla"/>
          <w:b/>
          <w:bCs/>
          <w:color w:val="000000" w:themeColor="text1"/>
          <w:sz w:val="32"/>
          <w:szCs w:val="32"/>
          <w:rtl/>
          <w:lang w:bidi="ar-EG"/>
        </w:rPr>
        <w:t xml:space="preserve">إدارة </w:t>
      </w:r>
      <w:r w:rsidR="00EF5E1A" w:rsidRPr="00104CDD">
        <w:rPr>
          <w:rFonts w:ascii="Sakkal Majalla" w:eastAsia="Calibri" w:hAnsi="Sakkal Majalla" w:cs="Sakkal Majalla"/>
          <w:b/>
          <w:bCs/>
          <w:color w:val="000000" w:themeColor="text1"/>
          <w:sz w:val="32"/>
          <w:szCs w:val="32"/>
          <w:rtl/>
          <w:lang w:bidi="ar-EG"/>
        </w:rPr>
        <w:t>موارد بشرية</w:t>
      </w:r>
    </w:p>
    <w:p w14:paraId="366CE6CE" w14:textId="3134F772" w:rsidR="00D71EC8" w:rsidRPr="00104CDD" w:rsidRDefault="00D71EC8" w:rsidP="009C0B30">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104CDD">
        <w:rPr>
          <w:rFonts w:ascii="Sakkal Majalla" w:eastAsia="Calibri" w:hAnsi="Sakkal Majalla" w:cs="Sakkal Majalla"/>
          <w:b/>
          <w:bCs/>
          <w:color w:val="000000" w:themeColor="text1"/>
          <w:sz w:val="40"/>
          <w:szCs w:val="40"/>
          <w:rtl/>
        </w:rPr>
        <w:t>أثر التحول الرقمي المالي على تحسين كفاءة العمليات في الهيئات التنظيمية: دراسة ميدانية على الهيئة السعودية للملكية الفكرية</w:t>
      </w:r>
    </w:p>
    <w:p w14:paraId="3AAB7D3D" w14:textId="4AA623FC" w:rsidR="00D32F52" w:rsidRPr="00104CDD" w:rsidRDefault="00D32F52" w:rsidP="009C0B3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04CDD">
        <w:rPr>
          <w:rFonts w:ascii="Sakkal Majalla" w:eastAsia="Calibri" w:hAnsi="Sakkal Majalla" w:cs="Sakkal Majalla"/>
          <w:b/>
          <w:bCs/>
          <w:color w:val="000000" w:themeColor="text1"/>
          <w:sz w:val="36"/>
          <w:szCs w:val="36"/>
          <w:rtl/>
          <w:lang w:bidi="ar-EG"/>
        </w:rPr>
        <w:t>إعداد الطالب/</w:t>
      </w:r>
    </w:p>
    <w:p w14:paraId="5AC6991B" w14:textId="58059187" w:rsidR="000D7F5C" w:rsidRPr="00104CDD" w:rsidRDefault="00D71EC8" w:rsidP="009C0B3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04CDD">
        <w:rPr>
          <w:rFonts w:ascii="Sakkal Majalla" w:eastAsia="Calibri" w:hAnsi="Sakkal Majalla" w:cs="Sakkal Majalla"/>
          <w:b/>
          <w:bCs/>
          <w:color w:val="000000" w:themeColor="text1"/>
          <w:sz w:val="36"/>
          <w:szCs w:val="36"/>
          <w:rtl/>
          <w:lang w:bidi="ar-EG"/>
        </w:rPr>
        <w:t>نوف</w:t>
      </w:r>
    </w:p>
    <w:p w14:paraId="7470BEA2" w14:textId="77777777" w:rsidR="00D32F52" w:rsidRPr="00104CDD" w:rsidRDefault="00D32F52" w:rsidP="009C0B3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04CDD">
        <w:rPr>
          <w:rFonts w:ascii="Sakkal Majalla" w:eastAsia="Calibri" w:hAnsi="Sakkal Majalla" w:cs="Sakkal Majalla"/>
          <w:b/>
          <w:bCs/>
          <w:color w:val="000000" w:themeColor="text1"/>
          <w:sz w:val="36"/>
          <w:szCs w:val="36"/>
          <w:rtl/>
          <w:lang w:bidi="ar-EG"/>
        </w:rPr>
        <w:t>إشراف/</w:t>
      </w:r>
    </w:p>
    <w:p w14:paraId="244E5200" w14:textId="77777777" w:rsidR="00D32F52" w:rsidRPr="00104CDD" w:rsidRDefault="00D32F52" w:rsidP="009C0B3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04CDD">
        <w:rPr>
          <w:rFonts w:ascii="Sakkal Majalla" w:eastAsia="Calibri" w:hAnsi="Sakkal Majalla" w:cs="Sakkal Majalla"/>
          <w:b/>
          <w:bCs/>
          <w:color w:val="000000" w:themeColor="text1"/>
          <w:sz w:val="36"/>
          <w:szCs w:val="36"/>
          <w:rtl/>
          <w:lang w:bidi="ar-EG"/>
        </w:rPr>
        <w:t>د. الفيصل عبد الحميد محمد حسن</w:t>
      </w:r>
    </w:p>
    <w:p w14:paraId="31BB7720" w14:textId="66BE55B0" w:rsidR="00D71EC8" w:rsidRPr="00104CDD" w:rsidRDefault="009C0B30" w:rsidP="009C0B3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04CDD">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104CDD" w:rsidRDefault="00D32F52" w:rsidP="009C0B3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04CDD">
        <w:rPr>
          <w:rFonts w:ascii="Sakkal Majalla" w:eastAsia="Calibri" w:hAnsi="Sakkal Majalla" w:cs="Sakkal Majalla"/>
          <w:b/>
          <w:bCs/>
          <w:color w:val="000000" w:themeColor="text1"/>
          <w:sz w:val="36"/>
          <w:szCs w:val="36"/>
          <w:rtl/>
          <w:lang w:bidi="ar-EG"/>
        </w:rPr>
        <w:t>العام الدراسي:</w:t>
      </w:r>
    </w:p>
    <w:p w14:paraId="2A64C426" w14:textId="62BF6997" w:rsidR="00377082" w:rsidRPr="00104CDD" w:rsidRDefault="009C0B30" w:rsidP="009C0B30">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104CDD">
        <w:rPr>
          <w:rFonts w:ascii="Sakkal Majalla" w:eastAsia="Calibri" w:hAnsi="Sakkal Majalla" w:cs="Sakkal Majalla" w:hint="cs"/>
          <w:b/>
          <w:bCs/>
          <w:color w:val="000000" w:themeColor="text1"/>
          <w:sz w:val="36"/>
          <w:szCs w:val="36"/>
          <w:rtl/>
          <w:lang w:bidi="ar-EG"/>
        </w:rPr>
        <w:t xml:space="preserve">1447 </w:t>
      </w:r>
      <w:r w:rsidRPr="00104CDD">
        <w:rPr>
          <w:rFonts w:ascii="Sakkal Majalla" w:eastAsia="Calibri" w:hAnsi="Sakkal Majalla" w:cs="Sakkal Majalla"/>
          <w:b/>
          <w:bCs/>
          <w:color w:val="000000" w:themeColor="text1"/>
          <w:sz w:val="36"/>
          <w:szCs w:val="36"/>
          <w:rtl/>
          <w:lang w:bidi="ar-EG"/>
        </w:rPr>
        <w:t>–</w:t>
      </w:r>
      <w:r w:rsidRPr="00104CDD">
        <w:rPr>
          <w:rFonts w:ascii="Sakkal Majalla" w:eastAsia="Calibri" w:hAnsi="Sakkal Majalla" w:cs="Sakkal Majalla" w:hint="cs"/>
          <w:b/>
          <w:bCs/>
          <w:color w:val="000000" w:themeColor="text1"/>
          <w:sz w:val="36"/>
          <w:szCs w:val="36"/>
          <w:rtl/>
          <w:lang w:bidi="ar-EG"/>
        </w:rPr>
        <w:t xml:space="preserve"> 2025</w:t>
      </w:r>
    </w:p>
    <w:p w14:paraId="2FB59C95" w14:textId="77777777" w:rsidR="009C0B30" w:rsidRPr="00104CDD" w:rsidRDefault="009C0B30" w:rsidP="009C0B30">
      <w:pPr>
        <w:bidi/>
        <w:spacing w:before="100" w:beforeAutospacing="1" w:after="100" w:afterAutospacing="1" w:line="360" w:lineRule="auto"/>
        <w:jc w:val="both"/>
        <w:rPr>
          <w:rFonts w:ascii="Sakkal Majalla" w:hAnsi="Sakkal Majalla" w:cs="Sakkal Majalla"/>
          <w:color w:val="000000" w:themeColor="text1"/>
          <w:sz w:val="28"/>
          <w:szCs w:val="28"/>
          <w:rtl/>
          <w:lang w:bidi="ar-EG"/>
        </w:rPr>
        <w:sectPr w:rsidR="009C0B30" w:rsidRPr="00104CDD" w:rsidSect="009C0B30">
          <w:type w:val="continuous"/>
          <w:pgSz w:w="11907" w:h="16840" w:code="9"/>
          <w:pgMar w:top="1440" w:right="1985" w:bottom="1440" w:left="1418" w:header="720" w:footer="720" w:gutter="567"/>
          <w:pgNumType w:fmt="arabicAbjad" w:start="1"/>
          <w:cols w:space="708"/>
          <w:bidi/>
          <w:rtlGutter/>
          <w:docGrid w:linePitch="360"/>
        </w:sectPr>
      </w:pPr>
    </w:p>
    <w:p w14:paraId="0DE5EA80" w14:textId="616740D1" w:rsidR="009C0B30" w:rsidRPr="00104CDD" w:rsidRDefault="009C0B30" w:rsidP="009C0B30">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4109291"/>
      <w:r w:rsidRPr="00104CDD">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512E7880" w14:textId="4CBD02FE" w:rsidR="009C0B30"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4109292"/>
      <w:r w:rsidRPr="00104CDD">
        <w:rPr>
          <w:rFonts w:ascii="Sakkal Majalla" w:eastAsia="Calibri" w:hAnsi="Sakkal Majalla" w:cs="Sakkal Majalla" w:hint="cs"/>
          <w:b/>
          <w:bCs/>
          <w:color w:val="000000" w:themeColor="text1"/>
          <w:sz w:val="36"/>
          <w:szCs w:val="36"/>
          <w:rtl/>
          <w:lang w:bidi="ar-EG"/>
        </w:rPr>
        <w:t>1.1 المقدمة</w:t>
      </w:r>
      <w:bookmarkEnd w:id="1"/>
      <w:r w:rsidRPr="00104CDD">
        <w:rPr>
          <w:rFonts w:ascii="Sakkal Majalla" w:eastAsia="Calibri" w:hAnsi="Sakkal Majalla" w:cs="Sakkal Majalla" w:hint="cs"/>
          <w:b/>
          <w:bCs/>
          <w:color w:val="000000" w:themeColor="text1"/>
          <w:sz w:val="36"/>
          <w:szCs w:val="36"/>
          <w:rtl/>
          <w:lang w:bidi="ar-EG"/>
        </w:rPr>
        <w:t xml:space="preserve"> </w:t>
      </w:r>
    </w:p>
    <w:p w14:paraId="68E406C3" w14:textId="7F62A0D2"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يشهد العالم في السنوات الأخيرة تحولًا جذريًا في طريقة إدارة العمليات المالية، مدفوعًا بثورة رقمية متسارعة تتغلغل في مختلف القطاعات والمؤسسات، وعلى رأسها الهيئات التنظيمية. لقد أصبح التحول الرقمي المالي أكثر من مجرد خيار لتحسين الأداء؛ بل تحول إلى ضرورة استراتيجية تفرضها المتغيرات العالمية، والتطورات التكنولوجية، وتوقعات أصحاب المصلحة، والمتطلبات المتزايدة للشفافية والحوكمة. فالهيئات التنظيمية، التي تشرف على القطاعات الحيوية مثل المالية، والاتصالات، والطاقة، والصحة، تجد نفسها مطالبة اليوم بإعادة هيكلة آليات عملها المالية بما يتناسب مع معايير السرعة والدقة، والامتثال، وتحقيق الكفاءة المؤسسية</w:t>
      </w:r>
      <w:r w:rsidRPr="00104CDD">
        <w:rPr>
          <w:rFonts w:ascii="Sakkal Majalla" w:eastAsia="Calibri" w:hAnsi="Sakkal Majalla" w:cs="Sakkal Majalla"/>
          <w:color w:val="000000" w:themeColor="text1"/>
          <w:sz w:val="28"/>
          <w:szCs w:val="28"/>
          <w:lang w:bidi="ar-EG"/>
        </w:rPr>
        <w:t>.</w:t>
      </w:r>
      <w:r w:rsidR="007D23BF" w:rsidRPr="00104CDD">
        <w:rPr>
          <w:rFonts w:ascii="Sakkal Majalla" w:hAnsi="Sakkal Majalla" w:cs="Sakkal Majalla"/>
          <w:color w:val="000000" w:themeColor="text1"/>
          <w:sz w:val="28"/>
          <w:szCs w:val="28"/>
          <w:rtl/>
        </w:rPr>
        <w:t xml:space="preserve"> </w:t>
      </w:r>
      <w:r w:rsidR="007D23BF" w:rsidRPr="00104CDD">
        <w:rPr>
          <w:rFonts w:ascii="Sakkal Majalla" w:eastAsia="Calibri" w:hAnsi="Sakkal Majalla" w:cs="Sakkal Majalla"/>
          <w:color w:val="000000" w:themeColor="text1"/>
          <w:sz w:val="28"/>
          <w:szCs w:val="28"/>
          <w:rtl/>
          <w:lang w:bidi="ar-EG"/>
        </w:rPr>
        <w:t>(خطيب، 2022)</w:t>
      </w:r>
    </w:p>
    <w:p w14:paraId="6A8B8B97" w14:textId="416BB1A8"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التحول الرقمي المالي يُقصد به دمج التقنيات الرقمية الحديثة في الأنشطة المالية التقليدية، مثل الذكاء الاصطناعي، وتحليلات البيانات، وتقنيات الحوسبة السحابية، والتكامل الآلي للأنظمة</w:t>
      </w:r>
      <w:r w:rsidRPr="00104CDD">
        <w:rPr>
          <w:rFonts w:ascii="Sakkal Majalla" w:eastAsia="Calibri" w:hAnsi="Sakkal Majalla" w:cs="Sakkal Majalla"/>
          <w:color w:val="000000" w:themeColor="text1"/>
          <w:sz w:val="28"/>
          <w:szCs w:val="28"/>
          <w:lang w:bidi="ar-EG"/>
        </w:rPr>
        <w:t xml:space="preserve"> (RPA)</w:t>
      </w:r>
      <w:r w:rsidRPr="00104CDD">
        <w:rPr>
          <w:rFonts w:ascii="Sakkal Majalla" w:eastAsia="Calibri" w:hAnsi="Sakkal Majalla" w:cs="Sakkal Majalla"/>
          <w:color w:val="000000" w:themeColor="text1"/>
          <w:sz w:val="28"/>
          <w:szCs w:val="28"/>
          <w:rtl/>
          <w:lang w:bidi="ar-EG"/>
        </w:rPr>
        <w:t>، بما يعزز من سرعة المعالجة، دقة التقارير، والقدرة على التنبؤ واتخاذ القرار. وبالنسبة للهيئات التنظيمية، فإن هذا التحول ينعكس مباشرة على كفاءة العمليات من خلال تقليل الاعتماد على الإجراءات اليدوية، وتحسين جودة البيانات، وتسهيل عمليات المراجعة والتدقيق، وتوفير الوقت والموارد البشرية في المهام الروتينية لصالح المهام التحليلية والرقابية الأعمق</w:t>
      </w:r>
      <w:r w:rsidRPr="00104CDD">
        <w:rPr>
          <w:rFonts w:ascii="Sakkal Majalla" w:eastAsia="Calibri" w:hAnsi="Sakkal Majalla" w:cs="Sakkal Majalla"/>
          <w:color w:val="000000" w:themeColor="text1"/>
          <w:sz w:val="28"/>
          <w:szCs w:val="28"/>
          <w:lang w:bidi="ar-EG"/>
        </w:rPr>
        <w:t>.</w:t>
      </w:r>
      <w:r w:rsidR="007D23BF" w:rsidRPr="00104CDD">
        <w:rPr>
          <w:rFonts w:ascii="Sakkal Majalla" w:hAnsi="Sakkal Majalla" w:cs="Sakkal Majalla"/>
          <w:color w:val="000000" w:themeColor="text1"/>
          <w:sz w:val="28"/>
          <w:szCs w:val="28"/>
          <w:rtl/>
        </w:rPr>
        <w:t xml:space="preserve"> </w:t>
      </w:r>
      <w:r w:rsidR="007D23BF" w:rsidRPr="00104CDD">
        <w:rPr>
          <w:rFonts w:ascii="Sakkal Majalla" w:eastAsia="Calibri" w:hAnsi="Sakkal Majalla" w:cs="Sakkal Majalla"/>
          <w:color w:val="000000" w:themeColor="text1"/>
          <w:sz w:val="28"/>
          <w:szCs w:val="28"/>
          <w:rtl/>
          <w:lang w:bidi="ar-EG"/>
        </w:rPr>
        <w:t>(حسين، 2023)</w:t>
      </w:r>
    </w:p>
    <w:p w14:paraId="1FA338D4" w14:textId="7EDAB586"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ومن أبرز أوجه الأثر الإيجابي للتحول الرقمي المالي، ما يظهر في تحسين كفاءة الإنفاق العام داخل هذه الهيئات، حيث تؤدي الأنظمة الرقمية المتكاملة إلى تقليل الهدر المالي، وتعزيز تتبع الصرف والتحليل المالي اللحظي. كما يُسهم التحول في رفع كفاءة الامتثال والتقارير التنظيمية، من خلال أتمتة عملية جمع البيانات من الجهات الخاضعة للرقابة، وتحليلها وفق معايير محاسبية وتنظيمية محددة مسبقًا. وهذا يسهل اتخاذ قرارات استباقية مبنية على مؤشرات مالية واقعية، ويقلل من الأخطاء المرتبطة بالتدخل البشري</w:t>
      </w:r>
      <w:r w:rsidRPr="00104CDD">
        <w:rPr>
          <w:rFonts w:ascii="Sakkal Majalla" w:eastAsia="Calibri" w:hAnsi="Sakkal Majalla" w:cs="Sakkal Majalla"/>
          <w:color w:val="000000" w:themeColor="text1"/>
          <w:sz w:val="28"/>
          <w:szCs w:val="28"/>
          <w:lang w:bidi="ar-EG"/>
        </w:rPr>
        <w:t>.</w:t>
      </w:r>
      <w:r w:rsidR="007D23BF" w:rsidRPr="00104CDD">
        <w:rPr>
          <w:rFonts w:ascii="Sakkal Majalla" w:hAnsi="Sakkal Majalla" w:cs="Sakkal Majalla"/>
          <w:color w:val="000000" w:themeColor="text1"/>
          <w:sz w:val="28"/>
          <w:szCs w:val="28"/>
          <w:rtl/>
        </w:rPr>
        <w:t xml:space="preserve"> </w:t>
      </w:r>
      <w:r w:rsidR="007D23BF" w:rsidRPr="00104CDD">
        <w:rPr>
          <w:rFonts w:ascii="Sakkal Majalla" w:eastAsia="Calibri" w:hAnsi="Sakkal Majalla" w:cs="Sakkal Majalla"/>
          <w:color w:val="000000" w:themeColor="text1"/>
          <w:sz w:val="28"/>
          <w:szCs w:val="28"/>
          <w:rtl/>
          <w:lang w:bidi="ar-EG"/>
        </w:rPr>
        <w:t>(القطاونة، 2023)</w:t>
      </w:r>
    </w:p>
    <w:p w14:paraId="336565A5" w14:textId="6B7C59F8"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lastRenderedPageBreak/>
        <w:t>علاوة على ذلك، يوفر التحول الرقمي المالي بيئة أكثر شفافية وتكاملاً بين مختلف الإدارات داخل الهيئة التنظيمية، مما يسمح بتدفق المعلومات المالية في الوقت الحقيقي، ويعزز من القدرة على التخطيط المالي الاستراتيجي وإدارة المخاطر بشكل فعال. كما يُحسن العلاقة مع الجهات الخارجية، مثل الوزارات، والشركات، والمواطنين، عبر تقديم خدمات مالية رقمية ذكية تساهم في تحسين تجربة المستخدم وتحقيق رضا أصحاب المصلحة</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(وهزيزي، 2024)</w:t>
      </w:r>
    </w:p>
    <w:p w14:paraId="1BBF6A9E" w14:textId="750D3CA1"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إن أهمية دراسة هذا الموضوع تنبع من الحاجة إلى فهم كيف يمكن للهيئات التنظيمية، باعتبارها مؤسسات ذات طابع رقابي وتشريعي، أن تستفيد من أدوات التحول الرقمي في المجال المالي لتحسين أدائها الداخلي، وضمان فاعلية دورها الرقابي. وفي ظل الاتجاه العالمي نحو الحوكمة الإلكترونية، والاستدامة، وتحقيق القيمة المضافة من كل عملية تشغيلية، فإن تبني التقنيات المالية الرقمية بات عنصرًا محوريًا في تعزيز مرونة الهيئات التنظيمية واستجابتها للمتغيرات</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(العمريين، 2023)</w:t>
      </w:r>
    </w:p>
    <w:p w14:paraId="6DC1E78F" w14:textId="1F27811B" w:rsidR="00E74049"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لذلك، تهدف هذه الدراسة إلى تحليل أثر التحول الرقمي المالي على كفاءة العمليات في الهيئات التنظيمية، من خلال تسليط الضوء على الأدوات الرقمية المستخدمة، وأثرها على مؤشرات الأداء الرئيسية، والفرص والتحديات المرتبطة بتطبيق هذا التحول في بيئة تنظيمية قد تكون تقليدية بطبيعتها. كما تسعى الدراسة إلى تقديم رؤى وتوصيات عملية تسهم في بناء نموذج رقمي فعال يحقق التوازن بين كفاءة العمليات ومتطلبات الرقابة والحَوْكمة.</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(العمارات، 2023)</w:t>
      </w:r>
    </w:p>
    <w:p w14:paraId="66EF89F2" w14:textId="3A205FC2"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وقد كان لهذه التطورات بالغ الأثر على المجالات المالية، إذ أدت إلى ظهور مفهوم التحول الرقمي المالي، الذي يمثل نقلة نوعية في الطريقة التي تُدار بها العمليات المالية داخل المؤسسات والمنظمات سواء كانت حكومية أو خاصة. لم يعد العمل المالي مقصوراً على الأساليب التقليدية التي تعتمد على العمليات الورقية، بل أصبحت الأنظمة الرقمية، والمنصات الذكية، والتحليلات المالية القائمة على البيانات الضخمة، أدوات أساسية تُحدث تحولًا جذريًا في المفهوم التقليدي للإدارة المالية</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(الجبور، 2022)</w:t>
      </w:r>
    </w:p>
    <w:p w14:paraId="2BCB26A5" w14:textId="24A438D5"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 xml:space="preserve">ويُشير التحول الرقمي المالي إلى استخدام التكنولوجيا الحديثة – مثل الذكاء الاصطناعي، الحوسبة السحابية، تقنية البلوك تشين، الأتمتة الذكية، وإنترنت الأشياء – في تحديث وإعادة هيكلة </w:t>
      </w:r>
      <w:r w:rsidRPr="00104CDD">
        <w:rPr>
          <w:rFonts w:ascii="Sakkal Majalla" w:eastAsia="Calibri" w:hAnsi="Sakkal Majalla" w:cs="Sakkal Majalla"/>
          <w:color w:val="000000" w:themeColor="text1"/>
          <w:sz w:val="28"/>
          <w:szCs w:val="28"/>
          <w:rtl/>
          <w:lang w:bidi="ar-EG"/>
        </w:rPr>
        <w:lastRenderedPageBreak/>
        <w:t>الأنظمة والإجراءات المالية لتكون أكثر كفاءة، وسرعة، ومرونة. ويتجاوز هذا التحول مجرد أتمتة المعاملات المالية، ليصل إلى إعادة تصور شاملة لكيفية تصميم العمليات، واتخاذ القرارات، وإدارة المخاطر، وتحقيق القيمة المالية المضافة. فالتحول الرقمي المالي لا يُعد فقط خياراً تكنولوجياً بل تحولاً استراتيجياً يؤثر على البنية المؤسسية، ويُعيد تشكيل ثقافة العمل، ويُمكّن من تحسين الأداء المؤسسي وتقديم خدمات مالية عالية الجودة</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(مياس، 2022)</w:t>
      </w:r>
    </w:p>
    <w:p w14:paraId="2B9641DD" w14:textId="15554C65"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أحد أبرز دوافع هذا التحول هو الحاجة إلى مواكبة متطلبات الاقتصاد الرقمي العالمي، الذي بات يعتمد على السرعة والدقة في المعالجة، والقدرة على تقديم تقارير مالية لحظية وشفافة تساعد صانعي القرار في بناء رؤى استراتيجية مدعومة بالبيانات. فالمؤسسات التي تتبنى أنظمة رقمية في إدارة مواردها المالية تصبح أكثر قدرة على التنبؤ بالتقلبات، وتحليل الاتجاهات، والاستجابة للمتغيرات في البيئة الاقتصادية. كما أن التحول الرقمي المالي يُعزز من الشفافية والمساءلة، ويُسهم في الحد من الفساد الإداري والمالي، من خلال تقليل التدخل البشري وزيادة الرقابة الآلية على المعاملات</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(جرادات، 2023)</w:t>
      </w:r>
    </w:p>
    <w:p w14:paraId="275BEE21" w14:textId="01943C1C"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إضافة إلى ذلك، يساهم التحول الرقمي المالي في تحسين كفاءة العمليات المالية، من خلال خفض التكاليف التشغيلية، وتسريع دورة المعاملات، وتقليل الأخطاء، وتحرير الموارد البشرية من المهام المتكررة للتركيز على الأنشطة ذات القيمة العالية مثل التحليل المالي والتخطيط الاستراتيجي. كما يدعم هذا التحول المؤسسات في تحقيق التكامل بين الإدارات المختلفة، من خلال ربط النظم المالية بأنظمة المشتريات، والموارد البشرية، وإدارة المشاريع، وهو ما يوفر بيئة أكثر تناغمًا واستجابة</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(المومني، 2024)</w:t>
      </w:r>
    </w:p>
    <w:p w14:paraId="6B2DC4C2" w14:textId="5318A87E"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ومن الناحية التنظيمية، أصبحت الحكومات والمؤسسات الرقابية تدرك أهمية التحول الرقمي المالي في تحسين قدراتها الرقابية والتخطيطية، خاصة في ظل الحاجة المتزايدة لإدارة المال العام بكفاءة وشفافية. كما أن البيئة التشريعية بدأت تواكب هذا التحول، من خلال تطوير سياسات وأنظمة تدعم المعاملات الرقمية، والتحول نحو الحوكمة الرقمية، مما يعزز من جاهزية المؤسسات للتكيف مع متطلبات العصر الرقمي</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(الشقاحين، 2024)</w:t>
      </w:r>
    </w:p>
    <w:p w14:paraId="2CDC5149" w14:textId="1ACDFE11"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lastRenderedPageBreak/>
        <w:t>وفي ضوء هذه المعطيات، تبرز أهمية فهم التحول الرقمي المالي كظاهرة مركبة تتداخل فيها التكنولوجيا مع الإدارة والاقتصاد والسياسات العامة. إن التحول الرقمي في المجال المالي لم يعد رفاهية أو توجهًا مستقبليًا، بل أصبح ضرورة حتمية لضمان استمرارية المؤسسات، ورفع كفاءتها، وتحقيق ميزة تنافسية في بيئة عمل تتسم بالتعقيد والتغير المستمر.</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(شحاتة، 2024)</w:t>
      </w:r>
    </w:p>
    <w:p w14:paraId="3EFC023A" w14:textId="4E094C6E"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تُعد كفاءة العمليات أحد المفاهيم الجوهرية التي تقوم عليها النظم الإدارية الحديثة، وتمثل حجر الزاوية في نجاح المؤسسات العامة والخاصة على حد سواء. ومع تنامي التحديات الاقتصادية والتقنية، وازدياد حدة التنافس في الأسواق، أصبحت المؤسسات مطالَبة بتحقيق أعلى مستويات الكفاءة في كل ما تقوم به من أنشطة تشغيلية، بدءاً من الإنتاج والخدمات، مروراً بالإجراءات المالية واللوجستية، ووصولاً إلى خدمة العملاء وصنع القرار. فالمؤسسة التي تتمتع بعمليات كفؤة لا تكتفي بتحقيق الأهداف بأقل التكاليف والموارد فحسب، بل تمتلك أيضاً قدرة أكبر على التكيف، والاستجابة السريعة، وتحقيق الاستدامة</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(محرم، 2023)</w:t>
      </w:r>
    </w:p>
    <w:p w14:paraId="25D3396D" w14:textId="6BA6EC21"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يشير مفهوم كفاءة العمليات إلى قدرة المؤسسة على استخدام مواردها (المالية، والبشرية، والتقنية، والزمنية) بشكل مثالي لتحقيق النتائج المرجوة، دون هدر أو تعطيل أو تأخير. وتعكس الكفاءة مدى فعالية سير العمليات الداخلية، ومدى قدرتها على تحقيق الأهداف المخططة بأقل جهد ممكن، مع الحفاظ على الجودة والاستمرارية. وفي السياق المؤسسي، فإن كفاءة العمليات لا تقتصر فقط على تقليص الوقت أو تقليل النفقات، بل تشمل أيضاً تحسين تدفق المعلومات، وتوزيع المهام، والحد من الازدواجية، وزيادة التنسيق بين الوحدات التنظيمية</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(العريمي، 2024)</w:t>
      </w:r>
    </w:p>
    <w:p w14:paraId="7479100A" w14:textId="6B846E11"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 xml:space="preserve">وتبرز أهمية كفاءة العمليات بشكل خاص في الهيئات التنظيمية والحكومية، حيث تُعد هذه المؤسسات مسؤولة عن تنظيم قطاعات واسعة، وخدمة عدد كبير من المستفيدين. وفي هذا السياق، فإن تحسين كفاءة العمليات يُسهم في رفع مستوى الخدمات العامة، وتسريع إنجاز المعاملات، وتعزيز الشفافية، وتقليل فرص الفساد أو التدخل البشري غير الضروري. كما يؤدي إلى تعزيز ثقة الجمهور </w:t>
      </w:r>
      <w:r w:rsidRPr="00104CDD">
        <w:rPr>
          <w:rFonts w:ascii="Sakkal Majalla" w:eastAsia="Calibri" w:hAnsi="Sakkal Majalla" w:cs="Sakkal Majalla"/>
          <w:color w:val="000000" w:themeColor="text1"/>
          <w:sz w:val="28"/>
          <w:szCs w:val="28"/>
          <w:rtl/>
          <w:lang w:bidi="ar-EG"/>
        </w:rPr>
        <w:lastRenderedPageBreak/>
        <w:t>بالمؤسسة، وزيادة رضا المستفيدين، وهو ما يُعد هدفاً رئيساً في إصلاح القطاع العام وتحقيق رؤية الحكومات الحديثة في التحول نحو الأداء الفعّال</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(الجلامدة، 2023)</w:t>
      </w:r>
    </w:p>
    <w:p w14:paraId="569F1F27" w14:textId="51C3C414"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إن تحقيق كفاءة العمليات لا يمكن أن يتم بمعزل عن التغيير التنظيمي والاعتماد على التكنولوجيا الحديثة. فقد أظهرت الدراسات والتجارب أن تبني أنظمة معلومات إدارية متكاملة، وأتمتة الإجراءات، وتبسيط نماذج العمل، كلها أدوات فعّالة في تحقيق مستويات أعلى من الكفاءة. كما أن التحول الرقمي – عند دمجه بشكل استراتيجي مع تحسين العمليات – يؤدي إلى إعادة تصميم سلسلة القيمة داخل المؤسسة بما يحقق تدفقات أسرع للموارد والقرارات والمعلومات</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(شلهوب، 2024)</w:t>
      </w:r>
    </w:p>
    <w:p w14:paraId="54164AE8" w14:textId="354036E4"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ولا تقتصر كفاءة العمليات على الجوانب الفنية والإجرائية، بل تشمل أيضاً البعد البشري، حيث أن تدريب الموظفين، وتحفيزهم، وتوزيعهم بذكاء على المهام، وتطوير ثقافة تنظيمية قائمة على التحسين المستمر، كلها عوامل حيوية في بناء منظومة عمليات عالية الكفاءة. كذلك تلعب القيادة الإدارية دوراً محورياً في تبني استراتيجيات تستهدف تحسين العمليات بشكل ممنهج، من خلال تحليل الأداء، وتحديد الاختناقات، وإعادة هندسة الإجراءات القائمة</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(الصبيحات، 2024)</w:t>
      </w:r>
    </w:p>
    <w:p w14:paraId="049AFACC" w14:textId="48A72779"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وفي ظل الديناميكيات المتغيرة لعالم الأعمال اليوم، لم يعد كافياً أن تكون المؤسسة فعالة فقط، بل بات من الضروري أن تكون كفؤة أيضاً، بما يضمن التوازن بين النتائج العالية والتكلفة المنخفضة والمرونة التشغيلية. ومن هنا تبرز الحاجة الماسة إلى دراسة العوامل المؤثرة في كفاءة العمليات، وتحليل المؤشرات المرتبطة بها، وتحديد الاستراتيجيات الأمثل لتحقيقها، لا سيما في القطاعات التي تمثل دعائم الاقتصاد أو التي تقدم خدمات جماهيرية مباشرة كالصحة والتعليم والتنظيم.</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(خطيب، 2022)</w:t>
      </w:r>
    </w:p>
    <w:p w14:paraId="5AE95B83" w14:textId="41C9C1A5" w:rsidR="006B10E4"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4109293"/>
      <w:r w:rsidRPr="00104CDD">
        <w:rPr>
          <w:rFonts w:ascii="Sakkal Majalla" w:eastAsia="Calibri" w:hAnsi="Sakkal Majalla" w:cs="Sakkal Majalla" w:hint="cs"/>
          <w:b/>
          <w:bCs/>
          <w:color w:val="000000" w:themeColor="text1"/>
          <w:sz w:val="36"/>
          <w:szCs w:val="36"/>
          <w:rtl/>
          <w:lang w:bidi="ar-EG"/>
        </w:rPr>
        <w:t xml:space="preserve">2.1 </w:t>
      </w:r>
      <w:r w:rsidR="006B10E4" w:rsidRPr="00104CDD">
        <w:rPr>
          <w:rFonts w:ascii="Sakkal Majalla" w:eastAsia="Calibri" w:hAnsi="Sakkal Majalla" w:cs="Sakkal Majalla"/>
          <w:b/>
          <w:bCs/>
          <w:color w:val="000000" w:themeColor="text1"/>
          <w:sz w:val="36"/>
          <w:szCs w:val="36"/>
          <w:rtl/>
          <w:lang w:bidi="ar-EG"/>
        </w:rPr>
        <w:t>مشكلة الدراسة</w:t>
      </w:r>
      <w:bookmarkEnd w:id="2"/>
    </w:p>
    <w:p w14:paraId="6CE202AA" w14:textId="6CCE85CF"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 xml:space="preserve">رغم التقدم التقني المتسارع الذي يشهده العالم، لا تزال العديد من الهيئات التنظيمية تواجه تحديات كبيرة في تحسين كفاءة عملياتها، خاصة في الجوانب المالية، التي تُعد القلب النابض لأي مؤسسة. وقد دفعت متغيرات العولمة، والضغوط الاقتصادية، والمتطلبات المتزايدة من أصحاب المصلحة، هذه </w:t>
      </w:r>
      <w:r w:rsidRPr="00104CDD">
        <w:rPr>
          <w:rFonts w:ascii="Sakkal Majalla" w:eastAsia="Calibri" w:hAnsi="Sakkal Majalla" w:cs="Sakkal Majalla"/>
          <w:color w:val="000000" w:themeColor="text1"/>
          <w:sz w:val="28"/>
          <w:szCs w:val="28"/>
          <w:rtl/>
          <w:lang w:bidi="ar-EG"/>
        </w:rPr>
        <w:lastRenderedPageBreak/>
        <w:t>المؤسسات إلى البحث عن حلول مبتكرة ترتقي بأدائها التشغيلي والرقابي. وفي هذا السياق، برز التحول الرقمي المالي كأحد التوجهات الاستراتيجية الحديثة التي يُعوّل عليها لإحداث نقلة نوعية في كفاءة العمليات الإدارية والمالية داخل تلك الهيئات، من خلال إعادة هيكلة أنظمتها وتبني أدوات تكنولوجية متقدمة تسهم في تقليل الهدر وتحقيق الاستخدام الأمثل للموارد</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(حسين، 2023)</w:t>
      </w:r>
    </w:p>
    <w:p w14:paraId="3808106D" w14:textId="373E3F5F"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غير أن التوسع في التحول الرقمي المالي لا يزال يثير العديد من التساؤلات حول مدى فاعليته الحقيقية في تحسين كفاءة العمليات المؤسسية داخل الهيئات التنظيمية، خصوصًا في السياقات الإدارية التي تتسم بالبيروقراطية، وكثرة الإجراءات، وتعقيد التشريعات. فبينما تشير بعض الدراسات والتقارير إلى نتائج إيجابية لهذا التحول، مثل تقليص الوقت اللازم لتنفيذ العمليات، وتحسين جودة البيانات المالية، وزيادة سرعة اتخاذ القرار، إلا أن هناك فجوة بين التطبيق النظري للتحول الرقمي وبين ما يتحقق فعليًا على أرض الواقع في العديد من الهيئات. وتكمن هذه الفجوة في غياب البنية التحتية التقنية الملائمة، أو ضعف الثقافة الرقمية لدى الموظفين، أو سوء تكامل الأنظمة، ما يحدّ من الاستفادة الفعلية من الإمكانات التي تتيحها التقنيات المالية الحديثة</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(القطاونة، 2023)</w:t>
      </w:r>
    </w:p>
    <w:p w14:paraId="2BE79397" w14:textId="54639022"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بالإضافة إلى ذلك، فإن أغلب الدراسات السابقة قد ركزت على التحول الرقمي في القطاع المالي والمصرفي أو في المؤسسات الإنتاجية، ولم تمنح الهيئات التنظيمية – رغم دورها الحاسم في ضبط الأداء المؤسسي والاقتصادي للدولة – ما تستحقه من اهتمام بحثي في هذا المجال. فهذه الهيئات، بحكم طبيعتها الرقابية والتنظيمية، تتعامل مع كميات ضخمة من البيانات والإجراءات، وتحتاج إلى أنظمة مالية دقيقة، مرنة، وقابلة للتكامل مع بقية عملياتها التشغيلية. ومن هنا، تبرز الحاجة إلى دراسة معمقة تُعنى بقياس الأثر الفعلي للتحول الرقمي المالي على كفاءة العمليات داخل الهيئات التنظيمية، وتحديد ما إذا كانت الاستثمارات التقنية تنعكس فعليًا على تحسين الأداء المؤسسي، أم أنها تظل مجرد تحديثات شكلية لا تحدث الأثر المنشود</w:t>
      </w:r>
      <w:r w:rsidRPr="00104CDD">
        <w:rPr>
          <w:rFonts w:ascii="Sakkal Majalla" w:eastAsia="Calibri" w:hAnsi="Sakkal Majalla" w:cs="Sakkal Majalla"/>
          <w:color w:val="000000" w:themeColor="text1"/>
          <w:sz w:val="28"/>
          <w:szCs w:val="28"/>
          <w:lang w:bidi="ar-EG"/>
        </w:rPr>
        <w:t>.</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(وهزيزي، 2024)</w:t>
      </w:r>
    </w:p>
    <w:p w14:paraId="1DDDB2CF" w14:textId="6EDF4143" w:rsidR="00510EFA"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 xml:space="preserve">من هذا المنطلق، تتمثل مشكلة الدراسة في محاولة الكشف عن العلاقة بين تبني التحول الرقمي المالي، وبين مستوى كفاءة العمليات الداخلية في الهيئات التنظيمية، عبر تحليل مكونات التحول الرقمي من </w:t>
      </w:r>
      <w:r w:rsidRPr="00104CDD">
        <w:rPr>
          <w:rFonts w:ascii="Sakkal Majalla" w:eastAsia="Calibri" w:hAnsi="Sakkal Majalla" w:cs="Sakkal Majalla"/>
          <w:color w:val="000000" w:themeColor="text1"/>
          <w:sz w:val="28"/>
          <w:szCs w:val="28"/>
          <w:rtl/>
          <w:lang w:bidi="ar-EG"/>
        </w:rPr>
        <w:lastRenderedPageBreak/>
        <w:t>أنظمة وبرمجيات وسياسات رقمية، ومدى تأثيرها على الجوانب التشغيلية مثل الوقت، الجودة، التكلفة، والمرونة. كما تسعى الدراسة إلى فهم العوامل المؤثرة على فعالية هذا التحول، سواء كانت تنظيمية أو بشرية أو تقنية، في سبيل تقديم تصور علمي دقيق يمكّن متخذي القرار من تعظيم العائد من التحول الرقمي المالي وتفادي الإخفاقات المرتبطة به.</w:t>
      </w:r>
      <w:r w:rsidR="009E6EA5" w:rsidRPr="00104CDD">
        <w:rPr>
          <w:rFonts w:ascii="Sakkal Majalla" w:hAnsi="Sakkal Majalla" w:cs="Sakkal Majalla"/>
          <w:color w:val="000000" w:themeColor="text1"/>
          <w:sz w:val="28"/>
          <w:szCs w:val="28"/>
          <w:rtl/>
        </w:rPr>
        <w:t xml:space="preserve"> </w:t>
      </w:r>
      <w:r w:rsidR="009E6EA5" w:rsidRPr="00104CDD">
        <w:rPr>
          <w:rFonts w:ascii="Sakkal Majalla" w:eastAsia="Calibri" w:hAnsi="Sakkal Majalla" w:cs="Sakkal Majalla"/>
          <w:color w:val="000000" w:themeColor="text1"/>
          <w:sz w:val="28"/>
          <w:szCs w:val="28"/>
          <w:rtl/>
          <w:lang w:bidi="ar-EG"/>
        </w:rPr>
        <w:t>(العمريين، 2023)</w:t>
      </w:r>
    </w:p>
    <w:p w14:paraId="110E5D14" w14:textId="7B357EC8" w:rsidR="009C0B30"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4109294"/>
      <w:r w:rsidRPr="00104CDD">
        <w:rPr>
          <w:rFonts w:ascii="Sakkal Majalla" w:eastAsia="Calibri" w:hAnsi="Sakkal Majalla" w:cs="Sakkal Majalla"/>
          <w:b/>
          <w:bCs/>
          <w:color w:val="000000" w:themeColor="text1"/>
          <w:sz w:val="36"/>
          <w:szCs w:val="36"/>
          <w:rtl/>
          <w:lang w:bidi="ar-EG"/>
        </w:rPr>
        <w:t>3.1 أهمية الدراسة</w:t>
      </w:r>
      <w:bookmarkEnd w:id="3"/>
    </w:p>
    <w:p w14:paraId="2C5063E5" w14:textId="1DA6A52A"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تكتسب هذه الدراسة أهميتها من اتساع نطاق الاعتماد على التحول الرقمي في المؤسسات العامة، لا سيما في ظل تزايد الحاجة إلى تطوير البنية الإدارية والمالية للهيئات التنظيمية. ففي الوقت الذي أصبحت فيه الكفاءة التشغيلية مطلبًا أساسيًا في بيئة الأعمال والمؤسسات الحكومية، يبرز التحول الرقمي المالي كأداة مركزية لإعادة هيكلة العمليات المالية، وتحقيق تكامل أفضل في النظم، ورفع مستوى الأداء المؤسسي. ولذلك، فإن دراسة الأثر الفعلي لهذا التحول على كفاءة العمليات لا يُعد موضوعًا نظريًا فحسب، بل هو استجابة مباشرة لتحولات استراتيجية تتبناها الحكومات لتحقيق الشفافية والفعالية وترشيد الموارد</w:t>
      </w:r>
      <w:r w:rsidRPr="00104CDD">
        <w:rPr>
          <w:rFonts w:ascii="Sakkal Majalla" w:eastAsia="Calibri" w:hAnsi="Sakkal Majalla" w:cs="Sakkal Majalla"/>
          <w:color w:val="000000" w:themeColor="text1"/>
          <w:sz w:val="28"/>
          <w:szCs w:val="28"/>
          <w:lang w:bidi="ar-EG"/>
        </w:rPr>
        <w:t>.</w:t>
      </w:r>
    </w:p>
    <w:p w14:paraId="7A071E42" w14:textId="72C2C5C3"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وتُعنى هذه الدراسة بتغطية فجوة بحثية واضحة في الأدبيات، حيث إن معظم البحوث السابقة ركزت على التحول الرقمي بشكل عام أو على الكفاءة المؤسسية في بيئات تجارية أو صناعية، دون تسليط ضوء كافٍ على البيئة التنظيمية، التي تُعد معقدة بطبيعتها من حيث الإجراءات، وتعدد الجهات، وارتباطها بتطبيق السياسات العامة. ومن هنا تنبع الأهمية الأكاديمية للدراسة، كونها تساهم في تطوير إطار نظري وتحليلي لفهم العلاقة بين التحول الرقمي المالي، بمكوناته المختلفة، وبين مستوى كفاءة العمليات داخل هذه الهيئات</w:t>
      </w:r>
      <w:r w:rsidRPr="00104CDD">
        <w:rPr>
          <w:rFonts w:ascii="Sakkal Majalla" w:eastAsia="Calibri" w:hAnsi="Sakkal Majalla" w:cs="Sakkal Majalla"/>
          <w:color w:val="000000" w:themeColor="text1"/>
          <w:sz w:val="28"/>
          <w:szCs w:val="28"/>
          <w:lang w:bidi="ar-EG"/>
        </w:rPr>
        <w:t>.</w:t>
      </w:r>
    </w:p>
    <w:p w14:paraId="4CBC6414" w14:textId="3529B8CF"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 xml:space="preserve">أما من الناحية التطبيقية، فإن أهمية الدراسة تنبع من كونها تقدم رؤى عملية قابلة للتنفيذ أمام صناع القرار ومديري الهيئات التنظيمية، من خلال تحليل الأثر الفعلي للتحول الرقمي المالي على محاور أساسية مثل: تقليل الوقت، وتحسين جودة المعلومات، وخفض التكاليف، وزيادة المرونة المؤسسية. فمع </w:t>
      </w:r>
      <w:r w:rsidRPr="00104CDD">
        <w:rPr>
          <w:rFonts w:ascii="Sakkal Majalla" w:eastAsia="Calibri" w:hAnsi="Sakkal Majalla" w:cs="Sakkal Majalla"/>
          <w:color w:val="000000" w:themeColor="text1"/>
          <w:sz w:val="28"/>
          <w:szCs w:val="28"/>
          <w:rtl/>
          <w:lang w:bidi="ar-EG"/>
        </w:rPr>
        <w:lastRenderedPageBreak/>
        <w:t>التوجه الحكومي المتزايد نحو الحوكمة الرقمية، تحتاج المؤسسات إلى أدلة كمية ونوعية تُبرر استثماراتها في التحول الرقمي، وتساعدها على وضع استراتيجيات مدروسة لتحقيق أقصى فاعلية ممكنة</w:t>
      </w:r>
      <w:r w:rsidRPr="00104CDD">
        <w:rPr>
          <w:rFonts w:ascii="Sakkal Majalla" w:eastAsia="Calibri" w:hAnsi="Sakkal Majalla" w:cs="Sakkal Majalla"/>
          <w:color w:val="000000" w:themeColor="text1"/>
          <w:sz w:val="28"/>
          <w:szCs w:val="28"/>
          <w:lang w:bidi="ar-EG"/>
        </w:rPr>
        <w:t>.</w:t>
      </w:r>
    </w:p>
    <w:p w14:paraId="3C7F2E34" w14:textId="3219AA4A" w:rsidR="00AD6F04"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إضافة إلى ذلك، تساهم هذه الدراسة في دعم جهود الإصلاح الإداري والمالي داخل المؤسسات التنظيمية، من خلال إبراز أهمية التحول الرقمي كوسيلة لزيادة الكفاءة التشغيلية وليس فقط كأداة لتحديث المظهر المؤسسي. كما تساعد في توجيه الجهود نحو المعوقات الحقيقية التي قد تحول دون تحقيق هذا الأثر، سواء كانت معوقات بشرية، أو هيكلية، أو تقنية، وهو ما يدعم تحقيق تكامل استراتيجي بين التقنية والحوكمة</w:t>
      </w:r>
      <w:r w:rsidRPr="00104CDD">
        <w:rPr>
          <w:rFonts w:ascii="Sakkal Majalla" w:eastAsia="Calibri" w:hAnsi="Sakkal Majalla" w:cs="Sakkal Majalla"/>
          <w:color w:val="000000" w:themeColor="text1"/>
          <w:sz w:val="28"/>
          <w:szCs w:val="28"/>
          <w:lang w:bidi="ar-EG"/>
        </w:rPr>
        <w:t>.</w:t>
      </w:r>
    </w:p>
    <w:p w14:paraId="005E03F8" w14:textId="397E01D9" w:rsidR="00903CF9" w:rsidRPr="00104CDD" w:rsidRDefault="00AD6F0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وباختصار، فإن هذه الدراسة ليست مجرد مساهمة علمية لفهم أحد متغيرات الإدارة العامة الحديثة، بل هي خطوة نحو تعزيز قدرة الهيئات التنظيمية على مواكبة المتغيرات التكنولوجية العالمية، وتحقيق الاستخدام الأمثل للموارد، وتحقيق رضا المستفيدين، وزيادة كفاءة واستدامة الأداء المؤسسي.</w:t>
      </w:r>
    </w:p>
    <w:p w14:paraId="7E4EEDA2" w14:textId="3577AF2F" w:rsidR="00410DB9" w:rsidRPr="00104CDD" w:rsidRDefault="00A94E52" w:rsidP="009C0B3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104CDD" w:rsidRDefault="00A94E52" w:rsidP="009C0B30">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104CDD">
        <w:rPr>
          <w:rFonts w:ascii="Sakkal Majalla" w:eastAsia="Calibri" w:hAnsi="Sakkal Majalla" w:cs="Sakkal Majalla"/>
          <w:b/>
          <w:bCs/>
          <w:color w:val="000000" w:themeColor="text1"/>
          <w:sz w:val="32"/>
          <w:szCs w:val="32"/>
          <w:rtl/>
          <w:lang w:bidi="ar-EG"/>
        </w:rPr>
        <w:t>الأهمية النظرية</w:t>
      </w:r>
    </w:p>
    <w:p w14:paraId="0D77ECE4" w14:textId="6729B13C" w:rsidR="00AD6F04" w:rsidRPr="00104CDD" w:rsidRDefault="00AD6F04" w:rsidP="009C0B30">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توضح المفاهيم الأساسية المرتبطة بالتحول الرقمي المالي وكفاءة العمليات.</w:t>
      </w:r>
    </w:p>
    <w:p w14:paraId="22A7FACB" w14:textId="3E52457B" w:rsidR="00AD6F04" w:rsidRPr="00104CDD" w:rsidRDefault="00AD6F04" w:rsidP="009C0B30">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تساهم في بناء إطار علمي لفهم العلاقة بين التكنولوجيا والعمليات التنظيمية.</w:t>
      </w:r>
    </w:p>
    <w:p w14:paraId="200B46AA" w14:textId="2CCDA432" w:rsidR="00AD6F04" w:rsidRPr="00104CDD" w:rsidRDefault="00AD6F04" w:rsidP="009C0B30">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تساعد في تحليل النماذج والنظريات التي تشرح تأثير التحول الرقمي على الأداء المؤسسي.</w:t>
      </w:r>
    </w:p>
    <w:p w14:paraId="5C600DF8" w14:textId="2E83DC28" w:rsidR="00AD6F04" w:rsidRPr="00104CDD" w:rsidRDefault="00AD6F04" w:rsidP="009C0B30">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تُمكّن من مراجعة الأدبيات السابقة وتحديد الفجوات المعرفية في هذا المجال.</w:t>
      </w:r>
    </w:p>
    <w:p w14:paraId="6B47AFF4" w14:textId="6C04D80E" w:rsidR="002B3AFE" w:rsidRPr="00104CDD" w:rsidRDefault="00AD6F04" w:rsidP="009C0B30">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تدعم تطوير فرضيات قابلة للاختبار في دراسات ميدانية مستقبلية</w:t>
      </w:r>
      <w:r w:rsidR="002B1C6E" w:rsidRPr="00104CDD">
        <w:rPr>
          <w:rFonts w:ascii="Sakkal Majalla" w:eastAsia="Calibri" w:hAnsi="Sakkal Majalla" w:cs="Sakkal Majalla"/>
          <w:color w:val="000000" w:themeColor="text1"/>
          <w:sz w:val="28"/>
          <w:szCs w:val="28"/>
          <w:rtl/>
          <w:lang w:bidi="ar-EG"/>
        </w:rPr>
        <w:t>.</w:t>
      </w:r>
    </w:p>
    <w:p w14:paraId="38360832" w14:textId="77777777" w:rsidR="002B3AFE" w:rsidRPr="00104CDD" w:rsidRDefault="002B3AFE" w:rsidP="009C0B30">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104CDD">
        <w:rPr>
          <w:rFonts w:ascii="Sakkal Majalla" w:eastAsia="Calibri" w:hAnsi="Sakkal Majalla" w:cs="Sakkal Majalla"/>
          <w:b/>
          <w:bCs/>
          <w:color w:val="000000" w:themeColor="text1"/>
          <w:sz w:val="32"/>
          <w:szCs w:val="32"/>
          <w:rtl/>
          <w:lang w:bidi="ar-EG"/>
        </w:rPr>
        <w:t>الأهمية العملية</w:t>
      </w:r>
    </w:p>
    <w:p w14:paraId="5AD4C806" w14:textId="2CC5058E" w:rsidR="00AD6F04" w:rsidRPr="00104CDD" w:rsidRDefault="00AD6F04" w:rsidP="009C0B30">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تقيس الأثر الفعلي للتحول الرقمي المالي على كفاءة العمليات في هيئات تنظيمية محددة.</w:t>
      </w:r>
    </w:p>
    <w:p w14:paraId="1B538D56" w14:textId="3BD699D8" w:rsidR="00AD6F04" w:rsidRPr="00104CDD" w:rsidRDefault="00AD6F04" w:rsidP="009C0B30">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تقدم بيانات واقعية تساعد صناع القرار في تحسين العمليات التنظيمية.</w:t>
      </w:r>
    </w:p>
    <w:p w14:paraId="15C99EC3" w14:textId="23424701" w:rsidR="00AD6F04" w:rsidRPr="00104CDD" w:rsidRDefault="00AD6F04" w:rsidP="009C0B30">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lastRenderedPageBreak/>
        <w:t>تساعد على تقييم فعالية النظم الرقمية المطبقة حالياً واقتراح بدائل أفضل.</w:t>
      </w:r>
    </w:p>
    <w:p w14:paraId="095A3E96" w14:textId="5BDD649C" w:rsidR="00AD6F04" w:rsidRPr="00104CDD" w:rsidRDefault="00AD6F04" w:rsidP="009C0B30">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تُبرز التحديات والمعوقات التي تواجه التطبيق العملي للتحول الرقمي المالي.</w:t>
      </w:r>
    </w:p>
    <w:p w14:paraId="7B9E161F" w14:textId="661FA32F" w:rsidR="00410DB9" w:rsidRPr="00104CDD" w:rsidRDefault="00AD6F04" w:rsidP="009C0B30">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تقدم توصيات عملية قابلة للتنفيذ في سياق تحسين الأداء المؤسسي والحوكمة</w:t>
      </w:r>
      <w:r w:rsidR="002B1C6E" w:rsidRPr="00104CDD">
        <w:rPr>
          <w:rFonts w:ascii="Sakkal Majalla" w:eastAsia="Calibri" w:hAnsi="Sakkal Majalla" w:cs="Sakkal Majalla"/>
          <w:color w:val="000000" w:themeColor="text1"/>
          <w:sz w:val="28"/>
          <w:szCs w:val="28"/>
          <w:rtl/>
          <w:lang w:bidi="ar-EG"/>
        </w:rPr>
        <w:t>.</w:t>
      </w:r>
    </w:p>
    <w:p w14:paraId="192FD03E" w14:textId="64BA679D" w:rsidR="009C0B30"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4109295"/>
      <w:r w:rsidRPr="00104CDD">
        <w:rPr>
          <w:rFonts w:ascii="Sakkal Majalla" w:eastAsia="Calibri" w:hAnsi="Sakkal Majalla" w:cs="Sakkal Majalla"/>
          <w:b/>
          <w:bCs/>
          <w:color w:val="000000" w:themeColor="text1"/>
          <w:sz w:val="36"/>
          <w:szCs w:val="36"/>
          <w:rtl/>
          <w:lang w:bidi="ar-EG"/>
        </w:rPr>
        <w:t>4.1 اهداف الدراسة</w:t>
      </w:r>
      <w:bookmarkEnd w:id="4"/>
    </w:p>
    <w:p w14:paraId="3FFDEB8F" w14:textId="1D0779FF" w:rsidR="002B3AFE" w:rsidRPr="00104CDD" w:rsidRDefault="002B3AFE"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 xml:space="preserve">تهدف الدراسة إلى </w:t>
      </w:r>
      <w:r w:rsidR="002079FE" w:rsidRPr="00104CDD">
        <w:rPr>
          <w:rFonts w:ascii="Sakkal Majalla" w:eastAsia="Calibri" w:hAnsi="Sakkal Majalla" w:cs="Sakkal Majalla"/>
          <w:color w:val="000000" w:themeColor="text1"/>
          <w:sz w:val="28"/>
          <w:szCs w:val="28"/>
          <w:rtl/>
          <w:lang w:bidi="ar-EG"/>
        </w:rPr>
        <w:t xml:space="preserve">أثر </w:t>
      </w:r>
      <w:r w:rsidR="00AD6F04" w:rsidRPr="00104CDD">
        <w:rPr>
          <w:rFonts w:ascii="Sakkal Majalla" w:eastAsia="Calibri" w:hAnsi="Sakkal Majalla" w:cs="Sakkal Majalla"/>
          <w:color w:val="000000" w:themeColor="text1"/>
          <w:sz w:val="28"/>
          <w:szCs w:val="28"/>
          <w:rtl/>
          <w:lang w:bidi="ar-EG"/>
        </w:rPr>
        <w:t>التحول الرقمي المالي بأبعاده المختلفة (العمليات الرقمية، نموذج العمل الرقمي، أنشطة العملاء الرقمية، تعلم الآلة) على تحسين كفاءة العمليات في الهيئات التنظيمية: دراسة ميدانية على الهيئة السعودية للملكية الفكرية</w:t>
      </w:r>
      <w:r w:rsidRPr="00104CDD">
        <w:rPr>
          <w:rFonts w:ascii="Sakkal Majalla" w:eastAsia="Calibri" w:hAnsi="Sakkal Majalla" w:cs="Sakkal Majalla"/>
          <w:color w:val="000000" w:themeColor="text1"/>
          <w:sz w:val="28"/>
          <w:szCs w:val="28"/>
          <w:rtl/>
          <w:lang w:bidi="ar-EG"/>
        </w:rPr>
        <w:t>، ويتفرع منه مجموعة من الأهداف الفرعية:</w:t>
      </w:r>
    </w:p>
    <w:p w14:paraId="6D991CD6" w14:textId="77777777" w:rsidR="00AD6F04" w:rsidRPr="00104CDD" w:rsidRDefault="00AD6F04" w:rsidP="009C0B30">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5" w:name="_Hlk202366562"/>
      <w:r w:rsidRPr="00104CDD">
        <w:rPr>
          <w:rFonts w:ascii="Sakkal Majalla" w:eastAsia="Calibri" w:hAnsi="Sakkal Majalla" w:cs="Sakkal Majalla"/>
          <w:color w:val="000000" w:themeColor="text1"/>
          <w:sz w:val="28"/>
          <w:szCs w:val="28"/>
          <w:rtl/>
          <w:lang w:bidi="ar-EG"/>
        </w:rPr>
        <w:t>التعرف على العمليات الرقمية ومدى انعكاسها على تحسين كفاءة العمليات في الهيئات التنظيمية</w:t>
      </w:r>
      <w:r w:rsidRPr="00104CDD">
        <w:rPr>
          <w:rFonts w:ascii="Sakkal Majalla" w:eastAsia="Calibri" w:hAnsi="Sakkal Majalla" w:cs="Sakkal Majalla"/>
          <w:color w:val="000000" w:themeColor="text1"/>
          <w:sz w:val="28"/>
          <w:szCs w:val="28"/>
          <w:lang w:bidi="ar-EG"/>
        </w:rPr>
        <w:t>.</w:t>
      </w:r>
    </w:p>
    <w:p w14:paraId="25F42DC3" w14:textId="77777777" w:rsidR="00AD6F04" w:rsidRPr="00104CDD" w:rsidRDefault="00AD6F04" w:rsidP="009C0B30">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التعرف على نموذج العمل الرقمي ومدى انعكاسه على تحسين كفاءة العمليات في الهيئات التنظيمية</w:t>
      </w:r>
      <w:r w:rsidRPr="00104CDD">
        <w:rPr>
          <w:rFonts w:ascii="Sakkal Majalla" w:eastAsia="Calibri" w:hAnsi="Sakkal Majalla" w:cs="Sakkal Majalla"/>
          <w:color w:val="000000" w:themeColor="text1"/>
          <w:sz w:val="28"/>
          <w:szCs w:val="28"/>
          <w:lang w:bidi="ar-EG"/>
        </w:rPr>
        <w:t>.</w:t>
      </w:r>
    </w:p>
    <w:p w14:paraId="238C5A99" w14:textId="77777777" w:rsidR="00AD6F04" w:rsidRPr="00104CDD" w:rsidRDefault="00AD6F04" w:rsidP="009C0B30">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التعرف على أنشطة العملاء الرقمية ومدى انعكاسها على تحسين كفاءة العمليات في الهيئات التنظيمية</w:t>
      </w:r>
      <w:r w:rsidRPr="00104CDD">
        <w:rPr>
          <w:rFonts w:ascii="Sakkal Majalla" w:eastAsia="Calibri" w:hAnsi="Sakkal Majalla" w:cs="Sakkal Majalla"/>
          <w:color w:val="000000" w:themeColor="text1"/>
          <w:sz w:val="28"/>
          <w:szCs w:val="28"/>
          <w:lang w:bidi="ar-EG"/>
        </w:rPr>
        <w:t>.</w:t>
      </w:r>
    </w:p>
    <w:p w14:paraId="512B2B23" w14:textId="5A7C615E" w:rsidR="00D51F8F" w:rsidRPr="00104CDD" w:rsidRDefault="00AD6F04" w:rsidP="009C0B30">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التعرف على تعلم الآلة ومدى انعكاسها على تحسين كفاءة العمليات في الهيئات التنظيمية</w:t>
      </w:r>
      <w:r w:rsidR="00AC31BF" w:rsidRPr="00104CDD">
        <w:rPr>
          <w:rFonts w:ascii="Sakkal Majalla" w:eastAsia="Calibri" w:hAnsi="Sakkal Majalla" w:cs="Sakkal Majalla"/>
          <w:color w:val="000000" w:themeColor="text1"/>
          <w:sz w:val="28"/>
          <w:szCs w:val="28"/>
          <w:rtl/>
          <w:lang w:bidi="ar-EG"/>
        </w:rPr>
        <w:t>.</w:t>
      </w:r>
    </w:p>
    <w:p w14:paraId="14188DBE" w14:textId="2842F4C2" w:rsidR="009C0B30"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6" w:name="_Toc214109296"/>
      <w:bookmarkEnd w:id="5"/>
      <w:r w:rsidRPr="00104CDD">
        <w:rPr>
          <w:rFonts w:ascii="Sakkal Majalla" w:eastAsia="Calibri" w:hAnsi="Sakkal Majalla" w:cs="Sakkal Majalla"/>
          <w:b/>
          <w:bCs/>
          <w:color w:val="000000" w:themeColor="text1"/>
          <w:sz w:val="36"/>
          <w:szCs w:val="36"/>
          <w:rtl/>
          <w:lang w:bidi="ar-EG"/>
        </w:rPr>
        <w:t>5.1 تساؤلات الدراسة</w:t>
      </w:r>
      <w:bookmarkEnd w:id="6"/>
    </w:p>
    <w:p w14:paraId="36966223" w14:textId="5423B62A" w:rsidR="00953064" w:rsidRPr="00104CDD" w:rsidRDefault="00953064"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t>السؤال الرئيسي الأول</w:t>
      </w:r>
      <w:r w:rsidRPr="00104CDD">
        <w:rPr>
          <w:rFonts w:ascii="Sakkal Majalla" w:eastAsia="Calibri" w:hAnsi="Sakkal Majalla" w:cs="Sakkal Majalla"/>
          <w:color w:val="000000" w:themeColor="text1"/>
          <w:sz w:val="28"/>
          <w:szCs w:val="28"/>
          <w:u w:val="single"/>
          <w:rtl/>
          <w:lang w:bidi="ar-EG"/>
        </w:rPr>
        <w:t>:</w:t>
      </w:r>
      <w:r w:rsidRPr="00104CDD">
        <w:rPr>
          <w:rFonts w:ascii="Sakkal Majalla" w:eastAsia="Calibri" w:hAnsi="Sakkal Majalla" w:cs="Sakkal Majalla"/>
          <w:color w:val="000000" w:themeColor="text1"/>
          <w:sz w:val="28"/>
          <w:szCs w:val="28"/>
          <w:rtl/>
          <w:lang w:bidi="ar-EG"/>
        </w:rPr>
        <w:t xml:space="preserve"> ما </w:t>
      </w:r>
      <w:r w:rsidR="00CF16B1" w:rsidRPr="00104CDD">
        <w:rPr>
          <w:rFonts w:ascii="Sakkal Majalla" w:eastAsia="Calibri" w:hAnsi="Sakkal Majalla" w:cs="Sakkal Majalla"/>
          <w:color w:val="000000" w:themeColor="text1"/>
          <w:sz w:val="28"/>
          <w:szCs w:val="28"/>
          <w:rtl/>
          <w:lang w:bidi="ar-EG"/>
        </w:rPr>
        <w:t xml:space="preserve">أثر </w:t>
      </w:r>
      <w:r w:rsidR="00AD6F04" w:rsidRPr="00104CDD">
        <w:rPr>
          <w:rFonts w:ascii="Sakkal Majalla" w:eastAsia="Calibri" w:hAnsi="Sakkal Majalla" w:cs="Sakkal Majalla"/>
          <w:color w:val="000000" w:themeColor="text1"/>
          <w:sz w:val="28"/>
          <w:szCs w:val="28"/>
          <w:rtl/>
          <w:lang w:bidi="ar-EG"/>
        </w:rPr>
        <w:t>التحول الرقمي المالي بأبعاده المختلفة (العمليات الرقمية، نموذج العمل الرقمي، أنشطة العملاء الرقمية، تعلم الآلة) على تحسين كفاءة العمليات في الهيئات التنظيمية: دراسة ميدانية على الهيئة السعودية للملكية الفكرية</w:t>
      </w:r>
      <w:r w:rsidRPr="00104CDD">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085E0E57" w:rsidR="00AC31BF" w:rsidRPr="00104CDD" w:rsidRDefault="00AC31BF" w:rsidP="009C0B30">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7" w:name="_Hlk202366688"/>
      <w:r w:rsidRPr="00104CDD">
        <w:rPr>
          <w:rFonts w:ascii="Sakkal Majalla" w:eastAsia="Calibri" w:hAnsi="Sakkal Majalla" w:cs="Sakkal Majalla"/>
          <w:color w:val="000000" w:themeColor="text1"/>
          <w:sz w:val="28"/>
          <w:szCs w:val="28"/>
          <w:rtl/>
          <w:lang w:bidi="ar-EG"/>
        </w:rPr>
        <w:t xml:space="preserve">ما أثر التعرف على </w:t>
      </w:r>
      <w:r w:rsidR="00AD6F04" w:rsidRPr="00104CDD">
        <w:rPr>
          <w:rFonts w:ascii="Sakkal Majalla" w:eastAsia="Calibri" w:hAnsi="Sakkal Majalla" w:cs="Sakkal Majalla"/>
          <w:color w:val="000000" w:themeColor="text1"/>
          <w:sz w:val="28"/>
          <w:szCs w:val="28"/>
          <w:rtl/>
          <w:lang w:bidi="ar-EG"/>
        </w:rPr>
        <w:t>العمليات الرقمية ومدى انعكاسها على تحسين كفاءة العمليات في الهيئات التنظيمية</w:t>
      </w:r>
      <w:r w:rsidRPr="00104CDD">
        <w:rPr>
          <w:rFonts w:ascii="Sakkal Majalla" w:eastAsia="Calibri" w:hAnsi="Sakkal Majalla" w:cs="Sakkal Majalla"/>
          <w:color w:val="000000" w:themeColor="text1"/>
          <w:sz w:val="28"/>
          <w:szCs w:val="28"/>
          <w:rtl/>
          <w:lang w:bidi="ar-EG"/>
        </w:rPr>
        <w:t>؟</w:t>
      </w:r>
    </w:p>
    <w:p w14:paraId="57ABB7EB" w14:textId="50318C24" w:rsidR="00AC31BF" w:rsidRPr="00104CDD" w:rsidRDefault="00AC31BF" w:rsidP="009C0B30">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 xml:space="preserve">ما أثر التعرف على </w:t>
      </w:r>
      <w:r w:rsidR="00AD6F04" w:rsidRPr="00104CDD">
        <w:rPr>
          <w:rFonts w:ascii="Sakkal Majalla" w:eastAsia="Calibri" w:hAnsi="Sakkal Majalla" w:cs="Sakkal Majalla"/>
          <w:color w:val="000000" w:themeColor="text1"/>
          <w:sz w:val="28"/>
          <w:szCs w:val="28"/>
          <w:rtl/>
          <w:lang w:bidi="ar-EG"/>
        </w:rPr>
        <w:t>العمل الرقمي ومدى انعكاسه على تحسين كفاءة العمليات في الهيئات التنظيمية</w:t>
      </w:r>
      <w:r w:rsidRPr="00104CDD">
        <w:rPr>
          <w:rFonts w:ascii="Sakkal Majalla" w:eastAsia="Calibri" w:hAnsi="Sakkal Majalla" w:cs="Sakkal Majalla"/>
          <w:color w:val="000000" w:themeColor="text1"/>
          <w:sz w:val="28"/>
          <w:szCs w:val="28"/>
          <w:rtl/>
          <w:lang w:bidi="ar-EG"/>
        </w:rPr>
        <w:t>؟</w:t>
      </w:r>
    </w:p>
    <w:p w14:paraId="71BBA29C" w14:textId="0B4D736E" w:rsidR="00AC31BF" w:rsidRPr="00104CDD" w:rsidRDefault="00AC31BF" w:rsidP="009C0B30">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lastRenderedPageBreak/>
        <w:t xml:space="preserve">ما أثر التعرف على </w:t>
      </w:r>
      <w:r w:rsidR="00AD6F04" w:rsidRPr="00104CDD">
        <w:rPr>
          <w:rFonts w:ascii="Sakkal Majalla" w:eastAsia="Calibri" w:hAnsi="Sakkal Majalla" w:cs="Sakkal Majalla"/>
          <w:color w:val="000000" w:themeColor="text1"/>
          <w:sz w:val="28"/>
          <w:szCs w:val="28"/>
          <w:rtl/>
          <w:lang w:bidi="ar-EG"/>
        </w:rPr>
        <w:t>أنشطة العملاء الرقمية ومدى انعكاسها على تحسين كفاءة العمليات في الهيئات التنظيمية</w:t>
      </w:r>
      <w:r w:rsidRPr="00104CDD">
        <w:rPr>
          <w:rFonts w:ascii="Sakkal Majalla" w:eastAsia="Calibri" w:hAnsi="Sakkal Majalla" w:cs="Sakkal Majalla"/>
          <w:color w:val="000000" w:themeColor="text1"/>
          <w:sz w:val="28"/>
          <w:szCs w:val="28"/>
          <w:rtl/>
          <w:lang w:bidi="ar-EG"/>
        </w:rPr>
        <w:t>؟</w:t>
      </w:r>
    </w:p>
    <w:p w14:paraId="50768245" w14:textId="15C9133D" w:rsidR="00410DB9" w:rsidRPr="00104CDD" w:rsidRDefault="00AC31BF" w:rsidP="009C0B30">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 xml:space="preserve">ما أثر التعرف على </w:t>
      </w:r>
      <w:bookmarkEnd w:id="7"/>
      <w:r w:rsidR="00AD6F04" w:rsidRPr="00104CDD">
        <w:rPr>
          <w:rFonts w:ascii="Sakkal Majalla" w:eastAsia="Calibri" w:hAnsi="Sakkal Majalla" w:cs="Sakkal Majalla"/>
          <w:color w:val="000000" w:themeColor="text1"/>
          <w:sz w:val="28"/>
          <w:szCs w:val="28"/>
          <w:rtl/>
          <w:lang w:bidi="ar-EG"/>
        </w:rPr>
        <w:t>تعلم الآلة ومدى انعكاسها على تحسين كفاءة العمليات في الهيئات التنظيمية</w:t>
      </w:r>
      <w:r w:rsidR="00953064" w:rsidRPr="00104CDD">
        <w:rPr>
          <w:rFonts w:ascii="Sakkal Majalla" w:eastAsia="Calibri" w:hAnsi="Sakkal Majalla" w:cs="Sakkal Majalla"/>
          <w:color w:val="000000" w:themeColor="text1"/>
          <w:sz w:val="28"/>
          <w:szCs w:val="28"/>
          <w:rtl/>
          <w:lang w:bidi="ar-EG"/>
        </w:rPr>
        <w:t>؟</w:t>
      </w:r>
    </w:p>
    <w:p w14:paraId="78FCCCB8" w14:textId="2BAE514C" w:rsidR="009C0B30"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14109297"/>
      <w:r w:rsidRPr="00104CDD">
        <w:rPr>
          <w:rFonts w:ascii="Sakkal Majalla" w:eastAsia="Calibri" w:hAnsi="Sakkal Majalla" w:cs="Sakkal Majalla"/>
          <w:b/>
          <w:bCs/>
          <w:color w:val="000000" w:themeColor="text1"/>
          <w:sz w:val="36"/>
          <w:szCs w:val="36"/>
          <w:rtl/>
          <w:lang w:bidi="ar-EG"/>
        </w:rPr>
        <w:t>6.1 فروض الدراسة:</w:t>
      </w:r>
      <w:bookmarkEnd w:id="8"/>
    </w:p>
    <w:p w14:paraId="106E0DAB" w14:textId="77777777" w:rsidR="002F60B8" w:rsidRPr="00104CDD" w:rsidRDefault="002F60B8"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104CDD">
        <w:rPr>
          <w:rFonts w:ascii="Sakkal Majalla" w:eastAsia="Calibri" w:hAnsi="Sakkal Majalla" w:cs="Sakkal Majalla"/>
          <w:color w:val="000000" w:themeColor="text1"/>
          <w:sz w:val="28"/>
          <w:szCs w:val="28"/>
          <w:lang w:bidi="ar-EG"/>
        </w:rPr>
        <w:t>:</w:t>
      </w:r>
    </w:p>
    <w:p w14:paraId="7AD5E0DD" w14:textId="051C4CB8" w:rsidR="006113E4" w:rsidRPr="00104CDD" w:rsidRDefault="002F60B8"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t>الفرضية الرئيسة الأول</w:t>
      </w:r>
      <w:r w:rsidRPr="00104CDD">
        <w:rPr>
          <w:rFonts w:ascii="Sakkal Majalla" w:eastAsia="Calibri" w:hAnsi="Sakkal Majalla" w:cs="Sakkal Majalla"/>
          <w:color w:val="000000" w:themeColor="text1"/>
          <w:sz w:val="28"/>
          <w:szCs w:val="28"/>
          <w:rtl/>
          <w:lang w:bidi="ar-EG"/>
        </w:rPr>
        <w:t>: لا يوجد أثر ذو دلالة إحصائية</w:t>
      </w:r>
      <w:r w:rsidR="00A624B2" w:rsidRPr="00104CDD">
        <w:rPr>
          <w:rFonts w:ascii="Sakkal Majalla" w:eastAsia="Calibri" w:hAnsi="Sakkal Majalla" w:cs="Sakkal Majalla"/>
          <w:color w:val="000000" w:themeColor="text1"/>
          <w:sz w:val="28"/>
          <w:szCs w:val="28"/>
          <w:rtl/>
          <w:lang w:bidi="ar-EG"/>
        </w:rPr>
        <w:t xml:space="preserve"> </w:t>
      </w:r>
      <w:r w:rsidR="00694BD8" w:rsidRPr="00104CDD">
        <w:rPr>
          <w:rFonts w:ascii="Sakkal Majalla" w:eastAsia="Calibri" w:hAnsi="Sakkal Majalla" w:cs="Sakkal Majalla"/>
          <w:color w:val="000000" w:themeColor="text1"/>
          <w:sz w:val="28"/>
          <w:szCs w:val="28"/>
          <w:rtl/>
          <w:lang w:bidi="ar-EG"/>
        </w:rPr>
        <w:t xml:space="preserve">لأثر </w:t>
      </w:r>
      <w:r w:rsidR="00AD6F04" w:rsidRPr="00104CDD">
        <w:rPr>
          <w:rFonts w:ascii="Sakkal Majalla" w:eastAsia="Calibri" w:hAnsi="Sakkal Majalla" w:cs="Sakkal Majalla"/>
          <w:color w:val="000000" w:themeColor="text1"/>
          <w:sz w:val="28"/>
          <w:szCs w:val="28"/>
          <w:rtl/>
          <w:lang w:bidi="ar-EG"/>
        </w:rPr>
        <w:t>التحول الرقمي المالي بأبعاده المختلفة (العمليات الرقمية، نموذج العمل الرقمي، أنشطة العملاء الرقمية، تعلم الآلة) على تحسين كفاءة العمليات في الهيئات التنظيمية: دراسة ميدانية على الهيئة السعودية للملكية الفكرية</w:t>
      </w:r>
    </w:p>
    <w:p w14:paraId="0099E450" w14:textId="745BA500" w:rsidR="002F60B8" w:rsidRPr="00104CDD" w:rsidRDefault="002F60B8" w:rsidP="009C0B3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104CDD">
        <w:rPr>
          <w:rFonts w:ascii="Sakkal Majalla" w:eastAsia="Calibri" w:hAnsi="Sakkal Majalla" w:cs="Sakkal Majalla"/>
          <w:b/>
          <w:bCs/>
          <w:color w:val="000000" w:themeColor="text1"/>
          <w:sz w:val="28"/>
          <w:szCs w:val="28"/>
          <w:rtl/>
          <w:lang w:bidi="ar-EG"/>
        </w:rPr>
        <w:t>اربعة</w:t>
      </w:r>
      <w:r w:rsidRPr="00104CDD">
        <w:rPr>
          <w:rFonts w:ascii="Sakkal Majalla" w:eastAsia="Calibri" w:hAnsi="Sakkal Majalla" w:cs="Sakkal Majalla"/>
          <w:b/>
          <w:bCs/>
          <w:color w:val="000000" w:themeColor="text1"/>
          <w:sz w:val="28"/>
          <w:szCs w:val="28"/>
          <w:rtl/>
          <w:lang w:bidi="ar-EG"/>
        </w:rPr>
        <w:t xml:space="preserve"> التالية</w:t>
      </w:r>
      <w:r w:rsidRPr="00104CDD">
        <w:rPr>
          <w:rFonts w:ascii="Sakkal Majalla" w:eastAsia="Calibri" w:hAnsi="Sakkal Majalla" w:cs="Sakkal Majalla"/>
          <w:b/>
          <w:bCs/>
          <w:color w:val="000000" w:themeColor="text1"/>
          <w:sz w:val="28"/>
          <w:szCs w:val="28"/>
          <w:lang w:bidi="ar-EG"/>
        </w:rPr>
        <w:t>:</w:t>
      </w:r>
    </w:p>
    <w:p w14:paraId="2AD871A8" w14:textId="28C268DD" w:rsidR="002F60B8" w:rsidRPr="00104CDD" w:rsidRDefault="002F60B8" w:rsidP="009C0B30">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لا يوجد أثر ذو دلالة إحصائية</w:t>
      </w:r>
      <w:r w:rsidR="00B300C4" w:rsidRPr="00104CDD">
        <w:rPr>
          <w:rFonts w:ascii="Sakkal Majalla" w:eastAsia="Calibri" w:hAnsi="Sakkal Majalla" w:cs="Sakkal Majalla"/>
          <w:color w:val="000000" w:themeColor="text1"/>
          <w:sz w:val="28"/>
          <w:szCs w:val="28"/>
          <w:rtl/>
          <w:lang w:bidi="ar-EG"/>
        </w:rPr>
        <w:t xml:space="preserve"> </w:t>
      </w:r>
      <w:r w:rsidR="00AD6F04" w:rsidRPr="00104CDD">
        <w:rPr>
          <w:rFonts w:ascii="Sakkal Majalla" w:eastAsia="Calibri" w:hAnsi="Sakkal Majalla" w:cs="Sakkal Majalla"/>
          <w:color w:val="000000" w:themeColor="text1"/>
          <w:sz w:val="28"/>
          <w:szCs w:val="28"/>
          <w:rtl/>
          <w:lang w:bidi="ar-EG"/>
        </w:rPr>
        <w:t>للعمليات الرقمية ومدى انعكاسها على تحسين كفاءة العمليات في الهيئات التنظيمية</w:t>
      </w:r>
      <w:r w:rsidR="00AC31BF" w:rsidRPr="00104CDD">
        <w:rPr>
          <w:rFonts w:ascii="Sakkal Majalla" w:eastAsia="Calibri" w:hAnsi="Sakkal Majalla" w:cs="Sakkal Majalla"/>
          <w:color w:val="000000" w:themeColor="text1"/>
          <w:sz w:val="28"/>
          <w:szCs w:val="28"/>
          <w:rtl/>
          <w:lang w:bidi="ar-EG"/>
        </w:rPr>
        <w:t>.</w:t>
      </w:r>
      <w:r w:rsidRPr="00104CDD">
        <w:rPr>
          <w:rFonts w:ascii="Sakkal Majalla" w:eastAsia="Calibri" w:hAnsi="Sakkal Majalla" w:cs="Sakkal Majalla"/>
          <w:color w:val="000000" w:themeColor="text1"/>
          <w:sz w:val="28"/>
          <w:szCs w:val="28"/>
          <w:rtl/>
          <w:lang w:bidi="ar-EG"/>
        </w:rPr>
        <w:t xml:space="preserve"> </w:t>
      </w:r>
    </w:p>
    <w:p w14:paraId="4C8D1465" w14:textId="20FF35F6" w:rsidR="002F60B8" w:rsidRPr="00104CDD" w:rsidRDefault="002F60B8" w:rsidP="009C0B30">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 xml:space="preserve">لا يوجد أثر ذو دلالة إحصائية </w:t>
      </w:r>
      <w:r w:rsidR="00AD6F04" w:rsidRPr="00104CDD">
        <w:rPr>
          <w:rFonts w:ascii="Sakkal Majalla" w:eastAsia="Calibri" w:hAnsi="Sakkal Majalla" w:cs="Sakkal Majalla"/>
          <w:color w:val="000000" w:themeColor="text1"/>
          <w:sz w:val="28"/>
          <w:szCs w:val="28"/>
          <w:rtl/>
          <w:lang w:bidi="ar-EG"/>
        </w:rPr>
        <w:t>لنموذج العمل الرقمي ومدى انعكاسه على تحسين كفاءة العمليات في الهيئات التنظيمية</w:t>
      </w:r>
      <w:r w:rsidR="0021216C" w:rsidRPr="00104CDD">
        <w:rPr>
          <w:rFonts w:ascii="Sakkal Majalla" w:eastAsia="Calibri" w:hAnsi="Sakkal Majalla" w:cs="Sakkal Majalla"/>
          <w:color w:val="000000" w:themeColor="text1"/>
          <w:sz w:val="28"/>
          <w:szCs w:val="28"/>
          <w:rtl/>
          <w:lang w:bidi="ar-EG"/>
        </w:rPr>
        <w:t>.</w:t>
      </w:r>
    </w:p>
    <w:p w14:paraId="5B544E47" w14:textId="4E612772" w:rsidR="002F60B8" w:rsidRPr="00104CDD" w:rsidRDefault="002F60B8" w:rsidP="009C0B30">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 xml:space="preserve">لا يوجد أثر ذو دلالة إحصائية </w:t>
      </w:r>
      <w:r w:rsidR="00AD6F04" w:rsidRPr="00104CDD">
        <w:rPr>
          <w:rFonts w:ascii="Sakkal Majalla" w:eastAsia="Calibri" w:hAnsi="Sakkal Majalla" w:cs="Sakkal Majalla"/>
          <w:color w:val="000000" w:themeColor="text1"/>
          <w:sz w:val="28"/>
          <w:szCs w:val="28"/>
          <w:rtl/>
          <w:lang w:bidi="ar-EG"/>
        </w:rPr>
        <w:t>لأنشطة العملاء الرقمية ومدى انعكاسها على تحسين كفاءة العمليات في الهيئات التنظيمية</w:t>
      </w:r>
      <w:r w:rsidR="0021216C" w:rsidRPr="00104CDD">
        <w:rPr>
          <w:rFonts w:ascii="Sakkal Majalla" w:eastAsia="Calibri" w:hAnsi="Sakkal Majalla" w:cs="Sakkal Majalla"/>
          <w:color w:val="000000" w:themeColor="text1"/>
          <w:sz w:val="28"/>
          <w:szCs w:val="28"/>
          <w:rtl/>
          <w:lang w:bidi="ar-EG"/>
        </w:rPr>
        <w:t>.</w:t>
      </w:r>
    </w:p>
    <w:p w14:paraId="14B5D0C7" w14:textId="4E1226E2" w:rsidR="00AC31BF" w:rsidRPr="00104CDD" w:rsidRDefault="00AC31BF" w:rsidP="009C0B30">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color w:val="000000" w:themeColor="text1"/>
          <w:sz w:val="28"/>
          <w:szCs w:val="28"/>
          <w:rtl/>
          <w:lang w:bidi="ar-EG"/>
        </w:rPr>
        <w:t>لا يوجد أثر ذو دلالة إحصائية</w:t>
      </w:r>
      <w:r w:rsidR="00BA4DDC" w:rsidRPr="00104CDD">
        <w:rPr>
          <w:rFonts w:ascii="Sakkal Majalla" w:eastAsia="Calibri" w:hAnsi="Sakkal Majalla" w:cs="Sakkal Majalla"/>
          <w:color w:val="000000" w:themeColor="text1"/>
          <w:sz w:val="28"/>
          <w:szCs w:val="28"/>
          <w:rtl/>
          <w:lang w:bidi="ar-EG"/>
        </w:rPr>
        <w:t xml:space="preserve"> </w:t>
      </w:r>
      <w:r w:rsidR="00BF4B5D" w:rsidRPr="00104CDD">
        <w:rPr>
          <w:rFonts w:ascii="Sakkal Majalla" w:eastAsia="Calibri" w:hAnsi="Sakkal Majalla" w:cs="Sakkal Majalla"/>
          <w:color w:val="000000" w:themeColor="text1"/>
          <w:sz w:val="28"/>
          <w:szCs w:val="28"/>
          <w:rtl/>
          <w:lang w:bidi="ar-EG"/>
        </w:rPr>
        <w:t>لتعلم الآلة ومدى انعكاسها على تحسين كفاءة العمليات في الهيئات التنظيمية</w:t>
      </w:r>
      <w:r w:rsidR="00F96361" w:rsidRPr="00104CDD">
        <w:rPr>
          <w:rFonts w:ascii="Sakkal Majalla" w:eastAsia="Calibri" w:hAnsi="Sakkal Majalla" w:cs="Sakkal Majalla"/>
          <w:color w:val="000000" w:themeColor="text1"/>
          <w:sz w:val="28"/>
          <w:szCs w:val="28"/>
          <w:rtl/>
          <w:lang w:bidi="ar-EG"/>
        </w:rPr>
        <w:t>.</w:t>
      </w:r>
    </w:p>
    <w:p w14:paraId="33E4E007" w14:textId="3909A598" w:rsidR="009C0B30"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9" w:name="_Toc214109298"/>
      <w:r w:rsidRPr="00104CDD">
        <w:rPr>
          <w:rFonts w:ascii="Sakkal Majalla" w:eastAsia="Calibri" w:hAnsi="Sakkal Majalla" w:cs="Sakkal Majalla"/>
          <w:b/>
          <w:bCs/>
          <w:color w:val="000000" w:themeColor="text1"/>
          <w:sz w:val="36"/>
          <w:szCs w:val="36"/>
          <w:rtl/>
          <w:lang w:bidi="ar-EG"/>
        </w:rPr>
        <w:t>7.1 نموذج الدراسة:</w:t>
      </w:r>
      <w:bookmarkEnd w:id="9"/>
    </w:p>
    <w:p w14:paraId="6756553F" w14:textId="0C31DD22" w:rsidR="00D47753" w:rsidRPr="00104CDD" w:rsidRDefault="002F60B8" w:rsidP="007A344A">
      <w:pPr>
        <w:pStyle w:val="ListParagraph"/>
        <w:numPr>
          <w:ilvl w:val="0"/>
          <w:numId w:val="1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lastRenderedPageBreak/>
        <w:t>المتغير المستقل</w:t>
      </w:r>
      <w:r w:rsidRPr="00104CDD">
        <w:rPr>
          <w:rFonts w:ascii="Sakkal Majalla" w:eastAsia="Calibri" w:hAnsi="Sakkal Majalla" w:cs="Sakkal Majalla"/>
          <w:color w:val="000000" w:themeColor="text1"/>
          <w:sz w:val="28"/>
          <w:szCs w:val="28"/>
          <w:rtl/>
          <w:lang w:bidi="ar-EG"/>
        </w:rPr>
        <w:t xml:space="preserve">: </w:t>
      </w:r>
      <w:r w:rsidR="00BF4B5D" w:rsidRPr="00104CDD">
        <w:rPr>
          <w:rFonts w:ascii="Sakkal Majalla" w:eastAsia="Calibri" w:hAnsi="Sakkal Majalla" w:cs="Sakkal Majalla"/>
          <w:color w:val="000000" w:themeColor="text1"/>
          <w:sz w:val="28"/>
          <w:szCs w:val="28"/>
          <w:rtl/>
          <w:lang w:bidi="ar-EG"/>
        </w:rPr>
        <w:t>التحول الرقمي المالي بأبعاده المختلفة (العمليات الرقمية، نموذج العمل الرقمي، أنشطة العملاء الرقمية، تعلم الآلة</w:t>
      </w:r>
      <w:r w:rsidR="00BA4DDC" w:rsidRPr="00104CDD">
        <w:rPr>
          <w:rFonts w:ascii="Sakkal Majalla" w:eastAsia="Calibri" w:hAnsi="Sakkal Majalla" w:cs="Sakkal Majalla"/>
          <w:color w:val="000000" w:themeColor="text1"/>
          <w:sz w:val="28"/>
          <w:szCs w:val="28"/>
          <w:rtl/>
          <w:lang w:bidi="ar-EG"/>
        </w:rPr>
        <w:t>)</w:t>
      </w:r>
    </w:p>
    <w:p w14:paraId="1F367C15" w14:textId="3D74511B" w:rsidR="00B300C4" w:rsidRPr="00104CDD" w:rsidRDefault="002F60B8" w:rsidP="007A344A">
      <w:pPr>
        <w:pStyle w:val="ListParagraph"/>
        <w:numPr>
          <w:ilvl w:val="0"/>
          <w:numId w:val="1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b/>
          <w:bCs/>
          <w:color w:val="000000" w:themeColor="text1"/>
          <w:sz w:val="28"/>
          <w:szCs w:val="28"/>
          <w:rtl/>
          <w:lang w:bidi="ar-EG"/>
        </w:rPr>
        <w:t>المتغير التابع</w:t>
      </w:r>
      <w:r w:rsidRPr="00104CDD">
        <w:rPr>
          <w:rFonts w:ascii="Sakkal Majalla" w:eastAsia="Calibri" w:hAnsi="Sakkal Majalla" w:cs="Sakkal Majalla"/>
          <w:color w:val="000000" w:themeColor="text1"/>
          <w:sz w:val="28"/>
          <w:szCs w:val="28"/>
          <w:rtl/>
          <w:lang w:bidi="ar-EG"/>
        </w:rPr>
        <w:t xml:space="preserve">: </w:t>
      </w:r>
      <w:r w:rsidR="00BF4B5D" w:rsidRPr="00104CDD">
        <w:rPr>
          <w:rFonts w:ascii="Sakkal Majalla" w:eastAsia="Calibri" w:hAnsi="Sakkal Majalla" w:cs="Sakkal Majalla"/>
          <w:color w:val="000000" w:themeColor="text1"/>
          <w:sz w:val="28"/>
          <w:szCs w:val="28"/>
          <w:rtl/>
          <w:lang w:bidi="ar-EG"/>
        </w:rPr>
        <w:t>كفاءة العمليات</w:t>
      </w:r>
    </w:p>
    <w:p w14:paraId="021AE1EF" w14:textId="7D5160E2" w:rsidR="009C0B30" w:rsidRPr="00104CDD" w:rsidRDefault="009C0B30" w:rsidP="009C0B30">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104CDD">
        <w:rPr>
          <w:rFonts w:ascii="Sakkal Majalla" w:eastAsia="Calibri" w:hAnsi="Sakkal Majalla" w:cs="Sakkal Majalla" w:hint="cs"/>
          <w:b/>
          <w:bCs/>
          <w:color w:val="000000" w:themeColor="text1"/>
          <w:sz w:val="28"/>
          <w:szCs w:val="28"/>
          <w:rtl/>
          <w:lang w:bidi="ar-EG"/>
        </w:rPr>
        <w:t>الشكل رقم (1) نموذج الدراسة</w:t>
      </w:r>
    </w:p>
    <w:p w14:paraId="15B581FB" w14:textId="35FEADEF" w:rsidR="001745DB" w:rsidRPr="00104CDD" w:rsidRDefault="009C0B30"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noProof/>
          <w:color w:val="000000" w:themeColor="text1"/>
          <w:sz w:val="28"/>
          <w:szCs w:val="28"/>
          <w:rtl/>
        </w:rPr>
        <mc:AlternateContent>
          <mc:Choice Requires="wpg">
            <w:drawing>
              <wp:anchor distT="0" distB="0" distL="114300" distR="114300" simplePos="0" relativeHeight="251661312" behindDoc="0" locked="0" layoutInCell="1" allowOverlap="1" wp14:anchorId="7AFAECC7" wp14:editId="170B4EC0">
                <wp:simplePos x="0" y="0"/>
                <wp:positionH relativeFrom="margin">
                  <wp:align>right</wp:align>
                </wp:positionH>
                <wp:positionV relativeFrom="paragraph">
                  <wp:posOffset>8255</wp:posOffset>
                </wp:positionV>
                <wp:extent cx="4886325" cy="2095500"/>
                <wp:effectExtent l="0" t="0" r="28575" b="19050"/>
                <wp:wrapNone/>
                <wp:docPr id="1333929598" name="Group 5"/>
                <wp:cNvGraphicFramePr/>
                <a:graphic xmlns:a="http://schemas.openxmlformats.org/drawingml/2006/main">
                  <a:graphicData uri="http://schemas.microsoft.com/office/word/2010/wordprocessingGroup">
                    <wpg:wgp>
                      <wpg:cNvGrpSpPr/>
                      <wpg:grpSpPr>
                        <a:xfrm>
                          <a:off x="0" y="0"/>
                          <a:ext cx="4886325" cy="2095500"/>
                          <a:chOff x="0" y="0"/>
                          <a:chExt cx="5572125" cy="2286000"/>
                        </a:xfrm>
                      </wpg:grpSpPr>
                      <wps:wsp>
                        <wps:cNvPr id="1815824518" name="Rectangle: Rounded Corners 1"/>
                        <wps:cNvSpPr/>
                        <wps:spPr>
                          <a:xfrm>
                            <a:off x="3248025" y="0"/>
                            <a:ext cx="2324100" cy="2009774"/>
                          </a:xfrm>
                          <a:prstGeom prst="roundRect">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6755286" name="Rectangle: Rounded Corners 1"/>
                        <wps:cNvSpPr/>
                        <wps:spPr>
                          <a:xfrm>
                            <a:off x="85725" y="304800"/>
                            <a:ext cx="1971675" cy="1133475"/>
                          </a:xfrm>
                          <a:prstGeom prst="roundRect">
                            <a:avLst/>
                          </a:prstGeom>
                        </wps:spPr>
                        <wps:style>
                          <a:lnRef idx="2">
                            <a:schemeClr val="accent4"/>
                          </a:lnRef>
                          <a:fillRef idx="1">
                            <a:schemeClr val="lt1"/>
                          </a:fillRef>
                          <a:effectRef idx="0">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40884674" name="Text Box 2"/>
                        <wps:cNvSpPr txBox="1"/>
                        <wps:spPr>
                          <a:xfrm>
                            <a:off x="3371850" y="0"/>
                            <a:ext cx="2066925" cy="228600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55869CD8" w14:textId="77777777" w:rsidR="00353952" w:rsidRPr="00806716" w:rsidRDefault="00353952"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5281564E" w14:textId="0A6EA413" w:rsidR="00353952" w:rsidRPr="002079FE" w:rsidRDefault="00353952" w:rsidP="002079FE">
                              <w:pPr>
                                <w:bidi/>
                                <w:spacing w:line="259" w:lineRule="auto"/>
                                <w:ind w:left="-99"/>
                                <w:jc w:val="center"/>
                                <w:rPr>
                                  <w:rFonts w:ascii="Traditional Arabic" w:hAnsi="Traditional Arabic" w:cs="Traditional Arabic"/>
                                  <w:sz w:val="28"/>
                                  <w:szCs w:val="28"/>
                                </w:rPr>
                              </w:pPr>
                              <w:r>
                                <w:rPr>
                                  <w:rFonts w:ascii="Traditional Arabic" w:hAnsi="Traditional Arabic" w:cs="Traditional Arabic" w:hint="cs"/>
                                  <w:b/>
                                  <w:bCs/>
                                  <w:sz w:val="28"/>
                                  <w:szCs w:val="28"/>
                                  <w:rtl/>
                                </w:rPr>
                                <w:t>التحول الرقمي المالي</w:t>
                              </w:r>
                            </w:p>
                            <w:p w14:paraId="67BA1517" w14:textId="77777777" w:rsidR="00353952" w:rsidRDefault="00353952" w:rsidP="009C0B30">
                              <w:pPr>
                                <w:pStyle w:val="ListParagraph"/>
                                <w:numPr>
                                  <w:ilvl w:val="0"/>
                                  <w:numId w:val="5"/>
                                </w:numPr>
                                <w:bidi/>
                                <w:spacing w:line="259" w:lineRule="auto"/>
                                <w:ind w:left="261"/>
                                <w:rPr>
                                  <w:rFonts w:ascii="Traditional Arabic" w:hAnsi="Traditional Arabic" w:cs="Traditional Arabic"/>
                                  <w:sz w:val="28"/>
                                  <w:szCs w:val="28"/>
                                </w:rPr>
                              </w:pPr>
                              <w:r w:rsidRPr="00BF4B5D">
                                <w:rPr>
                                  <w:rFonts w:ascii="Traditional Arabic" w:hAnsi="Traditional Arabic" w:cs="Traditional Arabic"/>
                                  <w:sz w:val="28"/>
                                  <w:szCs w:val="28"/>
                                  <w:rtl/>
                                </w:rPr>
                                <w:t>العمليات الرقمية</w:t>
                              </w:r>
                            </w:p>
                            <w:p w14:paraId="164EC78D" w14:textId="77777777" w:rsidR="00353952" w:rsidRDefault="00353952" w:rsidP="009C0B30">
                              <w:pPr>
                                <w:pStyle w:val="ListParagraph"/>
                                <w:numPr>
                                  <w:ilvl w:val="0"/>
                                  <w:numId w:val="5"/>
                                </w:numPr>
                                <w:bidi/>
                                <w:spacing w:line="259" w:lineRule="auto"/>
                                <w:ind w:left="261"/>
                                <w:rPr>
                                  <w:rFonts w:ascii="Traditional Arabic" w:hAnsi="Traditional Arabic" w:cs="Traditional Arabic"/>
                                  <w:sz w:val="28"/>
                                  <w:szCs w:val="28"/>
                                </w:rPr>
                              </w:pPr>
                              <w:r w:rsidRPr="00BF4B5D">
                                <w:rPr>
                                  <w:rFonts w:ascii="Traditional Arabic" w:hAnsi="Traditional Arabic" w:cs="Traditional Arabic"/>
                                  <w:sz w:val="28"/>
                                  <w:szCs w:val="28"/>
                                  <w:rtl/>
                                </w:rPr>
                                <w:t>نموذج العمل الرقمي</w:t>
                              </w:r>
                            </w:p>
                            <w:p w14:paraId="7135E396" w14:textId="77777777" w:rsidR="00353952" w:rsidRDefault="00353952" w:rsidP="009C0B30">
                              <w:pPr>
                                <w:pStyle w:val="ListParagraph"/>
                                <w:numPr>
                                  <w:ilvl w:val="0"/>
                                  <w:numId w:val="5"/>
                                </w:numPr>
                                <w:bidi/>
                                <w:spacing w:line="259" w:lineRule="auto"/>
                                <w:ind w:left="261"/>
                                <w:rPr>
                                  <w:rFonts w:ascii="Traditional Arabic" w:hAnsi="Traditional Arabic" w:cs="Traditional Arabic"/>
                                  <w:sz w:val="28"/>
                                  <w:szCs w:val="28"/>
                                </w:rPr>
                              </w:pPr>
                              <w:r w:rsidRPr="00BF4B5D">
                                <w:rPr>
                                  <w:rFonts w:ascii="Traditional Arabic" w:hAnsi="Traditional Arabic" w:cs="Traditional Arabic"/>
                                  <w:sz w:val="28"/>
                                  <w:szCs w:val="28"/>
                                  <w:rtl/>
                                </w:rPr>
                                <w:t>أنشطة العملاء الرقمية</w:t>
                              </w:r>
                            </w:p>
                            <w:p w14:paraId="1B40F8F5" w14:textId="70D33219" w:rsidR="00353952" w:rsidRPr="003B2FC5" w:rsidRDefault="00353952" w:rsidP="009C0B30">
                              <w:pPr>
                                <w:pStyle w:val="ListParagraph"/>
                                <w:numPr>
                                  <w:ilvl w:val="0"/>
                                  <w:numId w:val="5"/>
                                </w:numPr>
                                <w:bidi/>
                                <w:spacing w:line="259" w:lineRule="auto"/>
                                <w:ind w:left="261"/>
                                <w:rPr>
                                  <w:rFonts w:ascii="Traditional Arabic" w:hAnsi="Traditional Arabic" w:cs="Traditional Arabic"/>
                                  <w:sz w:val="28"/>
                                  <w:szCs w:val="28"/>
                                </w:rPr>
                              </w:pPr>
                              <w:r w:rsidRPr="00BF4B5D">
                                <w:rPr>
                                  <w:rFonts w:ascii="Traditional Arabic" w:hAnsi="Traditional Arabic" w:cs="Traditional Arabic"/>
                                  <w:sz w:val="28"/>
                                  <w:szCs w:val="28"/>
                                  <w:rtl/>
                                </w:rPr>
                                <w:t>تعلم الآلة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60962554" name="Text Box 2"/>
                        <wps:cNvSpPr txBox="1"/>
                        <wps:spPr>
                          <a:xfrm>
                            <a:off x="0" y="419100"/>
                            <a:ext cx="2066925" cy="933450"/>
                          </a:xfrm>
                          <a:prstGeom prst="rect">
                            <a:avLst/>
                          </a:prstGeom>
                          <a:ln/>
                        </wps:spPr>
                        <wps:style>
                          <a:lnRef idx="2">
                            <a:schemeClr val="accent4"/>
                          </a:lnRef>
                          <a:fillRef idx="1">
                            <a:schemeClr val="lt1"/>
                          </a:fillRef>
                          <a:effectRef idx="0">
                            <a:schemeClr val="accent4"/>
                          </a:effectRef>
                          <a:fontRef idx="minor">
                            <a:schemeClr val="dk1"/>
                          </a:fontRef>
                        </wps:style>
                        <wps:txbx>
                          <w:txbxContent>
                            <w:p w14:paraId="6B72C9EE" w14:textId="77777777" w:rsidR="00353952" w:rsidRPr="00806716" w:rsidRDefault="00353952"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F646A29" w:rsidR="00353952" w:rsidRPr="00806716" w:rsidRDefault="00353952" w:rsidP="00BF4B5D">
                              <w:pPr>
                                <w:bidi/>
                                <w:jc w:val="center"/>
                                <w:rPr>
                                  <w:rFonts w:ascii="Traditional Arabic" w:hAnsi="Traditional Arabic" w:cs="Traditional Arabic"/>
                                  <w:b/>
                                  <w:bCs/>
                                  <w:sz w:val="28"/>
                                  <w:szCs w:val="28"/>
                                </w:rPr>
                              </w:pPr>
                              <w:r w:rsidRPr="00BF4B5D">
                                <w:rPr>
                                  <w:rFonts w:ascii="Traditional Arabic" w:hAnsi="Traditional Arabic" w:cs="Traditional Arabic"/>
                                  <w:b/>
                                  <w:bCs/>
                                  <w:sz w:val="28"/>
                                  <w:szCs w:val="28"/>
                                  <w:rtl/>
                                </w:rPr>
                                <w:t>كفاءة العمليات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AFAECC7" id="Group 5" o:spid="_x0000_s1026" style="position:absolute;left:0;text-align:left;margin-left:333.55pt;margin-top:.65pt;width:384.75pt;height:165pt;z-index:251661312;mso-position-horizontal:right;mso-position-horizontal-relative:margin;mso-width-relative:margin;mso-height-relative:margin" coordsize="55721,22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">
                <v:roundrect id="Rectangle: Rounded Corners 1" o:spid="_x0000_s1027" style="position:absolute;left:32480;width:23241;height:200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" fillcolor="white [3201]" strokecolor="#ffc000 [3207]" strokeweight="1pt">
                  <v:stroke joinstyle="miter"/>
                </v:roundrect>
                <v:roundrect id="Rectangle: Rounded Corners 1" o:spid="_x0000_s1028" style="position:absolute;left:857;top:3048;width:19717;height:11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OA8sA&#10;AADiAAAADwAAAGRycy9kb3ducmV2LnhtbESPQWvCQBSE74X+h+UJvZS6MWjU6CqhUFARodaLt0f2&#10;mQSzb0N2NWl/fVco9DjMzDfMct2bWtypdZVlBaNhBII4t7riQsHp6+NtBsJ5ZI21ZVLwTQ7Wq+en&#10;JabadvxJ96MvRICwS1FB6X2TSunykgy6oW2Ig3exrUEfZFtI3WIX4KaWcRQl0mDFYaHEht5Lyq/H&#10;m1FwyDpzjreH6by76R//yrt9dtkp9TLoswUIT73/D/+1N1rBeJRMJ5N4lsDjUrgDcvUL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YX44DywAAAOIAAAAPAAAAAAAAAAAAAAAAAJgC&#10;AABkcnMvZG93bnJldi54bWxQSwUGAAAAAAQABAD1AAAAkAMAAAAA&#10;" fillcolor="white [3201]" strokecolor="#ffc000 [3207]" strokeweight="1pt">
                  <v:stroke joinstyle="miter"/>
                </v:roundrect>
                <v:shapetype id="_x0000_t202" coordsize="21600,21600" o:spt="202" path="m,l,21600r21600,l21600,xe">
                  <v:stroke joinstyle="miter"/>
                  <v:path gradientshapeok="t" o:connecttype="rect"/>
                </v:shapetype>
                <v:shape id="Text Box 2" o:spid="_x0000_s1029" type="#_x0000_t202" style="position:absolute;left:33718;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8ckMoA&#10;AADjAAAADwAAAGRycy9kb3ducmV2LnhtbESPQUvDQBSE7wX/w/KE3trdbUNNY7dFKooeWz3Y2yP7&#10;TEKzb0N2TeK/dwXB4zAz3zC7w+RaMVAfGs8G9FKBIC69bbgy8P72tMhBhIhssfVMBr4pwGF/M9th&#10;Yf3IJxrOsRIJwqFAA3WMXSFlKGtyGJa+I07ep+8dxiT7StoexwR3rVwptZEOG04LNXZ0rKm8nr+c&#10;gY9RX/Tl9Gz1cWi3W31Vj+tXZcz8dnq4BxFpiv/hv/aLNbDSmcrzbHOXwe+n9Afk/g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s/HJDKAAAA4wAAAA8AAAAAAAAAAAAAAAAAmAIA&#10;AGRycy9kb3ducmV2LnhtbFBLBQYAAAAABAAEAPUAAACPAwAAAAA=&#10;" fillcolor="white [3201]" strokecolor="#ffc000 [3207]" strokeweight="1pt">
                  <v:textbox>
                    <w:txbxContent>
                      <w:p w14:paraId="55869CD8" w14:textId="77777777" w:rsidR="00353952" w:rsidRPr="00806716" w:rsidRDefault="00353952"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5281564E" w14:textId="0A6EA413" w:rsidR="00353952" w:rsidRPr="002079FE" w:rsidRDefault="00353952" w:rsidP="002079FE">
                        <w:pPr>
                          <w:bidi/>
                          <w:spacing w:line="259" w:lineRule="auto"/>
                          <w:ind w:left="-99"/>
                          <w:jc w:val="center"/>
                          <w:rPr>
                            <w:rFonts w:ascii="Traditional Arabic" w:hAnsi="Traditional Arabic" w:cs="Traditional Arabic"/>
                            <w:sz w:val="28"/>
                            <w:szCs w:val="28"/>
                          </w:rPr>
                        </w:pPr>
                        <w:r>
                          <w:rPr>
                            <w:rFonts w:ascii="Traditional Arabic" w:hAnsi="Traditional Arabic" w:cs="Traditional Arabic" w:hint="cs"/>
                            <w:b/>
                            <w:bCs/>
                            <w:sz w:val="28"/>
                            <w:szCs w:val="28"/>
                            <w:rtl/>
                          </w:rPr>
                          <w:t>التحول الرقمي المالي</w:t>
                        </w:r>
                      </w:p>
                      <w:p w14:paraId="67BA1517" w14:textId="77777777" w:rsidR="00353952" w:rsidRDefault="00353952" w:rsidP="009C0B30">
                        <w:pPr>
                          <w:pStyle w:val="ListParagraph"/>
                          <w:numPr>
                            <w:ilvl w:val="0"/>
                            <w:numId w:val="5"/>
                          </w:numPr>
                          <w:bidi/>
                          <w:spacing w:line="259" w:lineRule="auto"/>
                          <w:ind w:left="261"/>
                          <w:rPr>
                            <w:rFonts w:ascii="Traditional Arabic" w:hAnsi="Traditional Arabic" w:cs="Traditional Arabic"/>
                            <w:sz w:val="28"/>
                            <w:szCs w:val="28"/>
                          </w:rPr>
                        </w:pPr>
                        <w:r w:rsidRPr="00BF4B5D">
                          <w:rPr>
                            <w:rFonts w:ascii="Traditional Arabic" w:hAnsi="Traditional Arabic" w:cs="Traditional Arabic"/>
                            <w:sz w:val="28"/>
                            <w:szCs w:val="28"/>
                            <w:rtl/>
                          </w:rPr>
                          <w:t>العمليات الرقمية</w:t>
                        </w:r>
                      </w:p>
                      <w:p w14:paraId="164EC78D" w14:textId="77777777" w:rsidR="00353952" w:rsidRDefault="00353952" w:rsidP="009C0B30">
                        <w:pPr>
                          <w:pStyle w:val="ListParagraph"/>
                          <w:numPr>
                            <w:ilvl w:val="0"/>
                            <w:numId w:val="5"/>
                          </w:numPr>
                          <w:bidi/>
                          <w:spacing w:line="259" w:lineRule="auto"/>
                          <w:ind w:left="261"/>
                          <w:rPr>
                            <w:rFonts w:ascii="Traditional Arabic" w:hAnsi="Traditional Arabic" w:cs="Traditional Arabic"/>
                            <w:sz w:val="28"/>
                            <w:szCs w:val="28"/>
                          </w:rPr>
                        </w:pPr>
                        <w:r w:rsidRPr="00BF4B5D">
                          <w:rPr>
                            <w:rFonts w:ascii="Traditional Arabic" w:hAnsi="Traditional Arabic" w:cs="Traditional Arabic"/>
                            <w:sz w:val="28"/>
                            <w:szCs w:val="28"/>
                            <w:rtl/>
                          </w:rPr>
                          <w:t>نموذج العمل الرقمي</w:t>
                        </w:r>
                      </w:p>
                      <w:p w14:paraId="7135E396" w14:textId="77777777" w:rsidR="00353952" w:rsidRDefault="00353952" w:rsidP="009C0B30">
                        <w:pPr>
                          <w:pStyle w:val="ListParagraph"/>
                          <w:numPr>
                            <w:ilvl w:val="0"/>
                            <w:numId w:val="5"/>
                          </w:numPr>
                          <w:bidi/>
                          <w:spacing w:line="259" w:lineRule="auto"/>
                          <w:ind w:left="261"/>
                          <w:rPr>
                            <w:rFonts w:ascii="Traditional Arabic" w:hAnsi="Traditional Arabic" w:cs="Traditional Arabic"/>
                            <w:sz w:val="28"/>
                            <w:szCs w:val="28"/>
                          </w:rPr>
                        </w:pPr>
                        <w:r w:rsidRPr="00BF4B5D">
                          <w:rPr>
                            <w:rFonts w:ascii="Traditional Arabic" w:hAnsi="Traditional Arabic" w:cs="Traditional Arabic"/>
                            <w:sz w:val="28"/>
                            <w:szCs w:val="28"/>
                            <w:rtl/>
                          </w:rPr>
                          <w:t>أنشطة العملاء الرقمية</w:t>
                        </w:r>
                      </w:p>
                      <w:p w14:paraId="1B40F8F5" w14:textId="70D33219" w:rsidR="00353952" w:rsidRPr="003B2FC5" w:rsidRDefault="00353952" w:rsidP="009C0B30">
                        <w:pPr>
                          <w:pStyle w:val="ListParagraph"/>
                          <w:numPr>
                            <w:ilvl w:val="0"/>
                            <w:numId w:val="5"/>
                          </w:numPr>
                          <w:bidi/>
                          <w:spacing w:line="259" w:lineRule="auto"/>
                          <w:ind w:left="261"/>
                          <w:rPr>
                            <w:rFonts w:ascii="Traditional Arabic" w:hAnsi="Traditional Arabic" w:cs="Traditional Arabic"/>
                            <w:sz w:val="28"/>
                            <w:szCs w:val="28"/>
                          </w:rPr>
                        </w:pPr>
                        <w:r w:rsidRPr="00BF4B5D">
                          <w:rPr>
                            <w:rFonts w:ascii="Traditional Arabic" w:hAnsi="Traditional Arabic" w:cs="Traditional Arabic"/>
                            <w:sz w:val="28"/>
                            <w:szCs w:val="28"/>
                            <w:rtl/>
                          </w:rPr>
                          <w:t>تعلم الآلة</w:t>
                        </w:r>
                      </w:p>
                    </w:txbxContent>
                  </v:textbox>
                </v:shape>
                <v:shape id="Text Box 2" o:spid="_x0000_s1030" type="#_x0000_t202" style="position:absolute;top:4191;width:20669;height:93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92gsgA&#10;AADjAAAADwAAAGRycy9kb3ducmV2LnhtbERPvU7DMBDekfoO1iGxUduFBhLqVlURiI4tDHQ7xUcS&#10;NT5HsUnC22MkpI73/d9qM7lWDNSHxrMBPVcgiEtvG64MfLy/3D6CCBHZYuuZDPxQgM16drXCwvqR&#10;DzQcYyVSCIcCDdQxdoWUoazJYZj7jjhxX753GNPZV9L2OKZw18qFUpl02HBqqLGjXU3l+fjtDHyO&#10;+qRPh1erd0Ob5/qsnu/2ypib62n7BCLSFC/if/ebTfMfMpVni+XyHv5+SgDI9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WX3aCyAAAAOMAAAAPAAAAAAAAAAAAAAAAAJgCAABk&#10;cnMvZG93bnJldi54bWxQSwUGAAAAAAQABAD1AAAAjQMAAAAA&#10;" fillcolor="white [3201]" strokecolor="#ffc000 [3207]" strokeweight="1pt">
                  <v:textbox>
                    <w:txbxContent>
                      <w:p w14:paraId="6B72C9EE" w14:textId="77777777" w:rsidR="00353952" w:rsidRPr="00806716" w:rsidRDefault="00353952"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7F646A29" w:rsidR="00353952" w:rsidRPr="00806716" w:rsidRDefault="00353952" w:rsidP="00BF4B5D">
                        <w:pPr>
                          <w:bidi/>
                          <w:jc w:val="center"/>
                          <w:rPr>
                            <w:rFonts w:ascii="Traditional Arabic" w:hAnsi="Traditional Arabic" w:cs="Traditional Arabic"/>
                            <w:b/>
                            <w:bCs/>
                            <w:sz w:val="28"/>
                            <w:szCs w:val="28"/>
                          </w:rPr>
                        </w:pPr>
                        <w:r w:rsidRPr="00BF4B5D">
                          <w:rPr>
                            <w:rFonts w:ascii="Traditional Arabic" w:hAnsi="Traditional Arabic" w:cs="Traditional Arabic"/>
                            <w:b/>
                            <w:bCs/>
                            <w:sz w:val="28"/>
                            <w:szCs w:val="28"/>
                            <w:rtl/>
                          </w:rPr>
                          <w:t>كفاءة العمليات</w:t>
                        </w:r>
                      </w:p>
                    </w:txbxContent>
                  </v:textbox>
                </v:shape>
                <w10:wrap anchorx="margin"/>
              </v:group>
            </w:pict>
          </mc:Fallback>
        </mc:AlternateContent>
      </w:r>
    </w:p>
    <w:p w14:paraId="2D043E0B" w14:textId="17433AD4" w:rsidR="00D6040F" w:rsidRPr="00104CDD" w:rsidRDefault="00D6040F"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7C3F908" w14:textId="77777777" w:rsidR="00B300C4" w:rsidRPr="00104CDD" w:rsidRDefault="00B300C4"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ED7A930" w14:textId="77777777" w:rsidR="00D51F8F" w:rsidRPr="00104CDD" w:rsidRDefault="00D51F8F"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0D74EFC6" w14:textId="2179C505" w:rsidR="009C0B30"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lang w:bidi="ar-EG"/>
        </w:rPr>
      </w:pPr>
      <w:bookmarkStart w:id="10" w:name="_Toc214109299"/>
      <w:r w:rsidRPr="00104CDD">
        <w:rPr>
          <w:rFonts w:ascii="Sakkal Majalla" w:eastAsia="Calibri" w:hAnsi="Sakkal Majalla" w:cs="Sakkal Majalla"/>
          <w:b/>
          <w:bCs/>
          <w:color w:val="000000" w:themeColor="text1"/>
          <w:sz w:val="36"/>
          <w:szCs w:val="36"/>
          <w:rtl/>
          <w:lang w:bidi="ar-EG"/>
        </w:rPr>
        <w:t>8.1 دراسات سابقة</w:t>
      </w:r>
      <w:bookmarkEnd w:id="10"/>
    </w:p>
    <w:p w14:paraId="282B3C99" w14:textId="2A44C178" w:rsidR="00BF4B5D" w:rsidRPr="00104CDD" w:rsidRDefault="00BF4B5D" w:rsidP="007A344A">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t>دراسة (شلهوب، 2024) بعنوان:</w:t>
      </w:r>
      <w:r w:rsidR="009C0B30" w:rsidRPr="00104CDD">
        <w:rPr>
          <w:rFonts w:ascii="Sakkal Majalla" w:eastAsia="Calibri" w:hAnsi="Sakkal Majalla" w:cs="Sakkal Majalla" w:hint="cs"/>
          <w:b/>
          <w:bCs/>
          <w:color w:val="000000" w:themeColor="text1"/>
          <w:sz w:val="28"/>
          <w:szCs w:val="28"/>
          <w:rtl/>
          <w:lang w:bidi="ar-EG"/>
        </w:rPr>
        <w:t xml:space="preserve"> </w:t>
      </w:r>
      <w:r w:rsidRPr="00104CDD">
        <w:rPr>
          <w:rFonts w:ascii="Sakkal Majalla" w:eastAsia="Calibri" w:hAnsi="Sakkal Majalla" w:cs="Sakkal Majalla"/>
          <w:b/>
          <w:bCs/>
          <w:color w:val="000000" w:themeColor="text1"/>
          <w:sz w:val="28"/>
          <w:szCs w:val="28"/>
          <w:rtl/>
          <w:lang w:bidi="ar-EG"/>
        </w:rPr>
        <w:t>أثر التحول الرقمي في الأداء المالي: دراسة تطبيقية: دائرة ضريبة الدخل والمبيعات في الأردن</w:t>
      </w:r>
    </w:p>
    <w:p w14:paraId="6D4D5E6C" w14:textId="1A150195" w:rsidR="00BF4B5D" w:rsidRPr="00104CDD" w:rsidRDefault="007D23BF" w:rsidP="009C0B30">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 xml:space="preserve">هدفت هذه الدراسة إلى قياس أثر التحول الرقمي بأبعاده المتمثلة في العمليات الرقمية ونموذج الأعمال الرقمي وأنشطة العملاء الرقمية على الأداء المالي متضمنًا النفقات والإيرادات في دائرة ضريبة الدخل والمبيعات الأردنية. وقد اتبعت الدراسة المنهج الوصفي التحليلي. وتألف مجتمع الدراسة من جميع العاملين في دائرة ضريبة الدخل والمبيعات الأردنية والبالغ عددهم (1400). وتم استخدام عينة عشوائية ملائمة من العاملين في جميع مديريات ضريبة الدخل، حيث بلغ حجم عينة الدراسة (320) موظفًا. وتوصلت الدراسة إلى عدة نتائج، أبرزها وجود أثر ذي دلالة إحصائية للتحول الرقمي بأبعاده المتمثلة في العمليات الرقمية ونموذج الأعمال الرقمي وأنشطة العملاء الرقمية على الأداء المالي متضمنًا أبعاده (الإيرادات والنفقات). أما بالنسبة للمتوسطات الحسابية، فقد حققت جميع أبعاد المتغيرات المستقلة والتابعة درجة عالية. وبناء على نتائج الدراسة أوصت الدراسة بعدة توصيات أهمها ضرورة زيادة الاهتمام </w:t>
      </w:r>
      <w:r w:rsidRPr="00104CDD">
        <w:rPr>
          <w:rFonts w:ascii="Sakkal Majalla" w:eastAsia="Calibri" w:hAnsi="Sakkal Majalla" w:cs="Sakkal Majalla"/>
          <w:color w:val="000000" w:themeColor="text1"/>
          <w:sz w:val="28"/>
          <w:szCs w:val="28"/>
          <w:rtl/>
          <w:lang w:bidi="ar-EG"/>
        </w:rPr>
        <w:lastRenderedPageBreak/>
        <w:t>بالتحول الرقمي وتوسيع التطبيقات الإلكترونية التي من شأنها تتبع مصادر الدخل للكشف عن التهرب الضريبي، وتطوير برمجيات يسهل تطبيقها على مقدمي الإقرارات الضريبية، والعمل على زيادة الوعي الضريبي من خلال التحول الرقمي وأهميته للاقتصاد الوطني.</w:t>
      </w:r>
    </w:p>
    <w:p w14:paraId="6F1D82B9" w14:textId="176DE9B6" w:rsidR="00BF4B5D" w:rsidRPr="00104CDD" w:rsidRDefault="00BF4B5D" w:rsidP="007A344A">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t>دراسة (الرحيمي، 2025) بعنوان:</w:t>
      </w:r>
      <w:r w:rsidR="009C0B30" w:rsidRPr="00104CDD">
        <w:rPr>
          <w:rFonts w:ascii="Sakkal Majalla" w:eastAsia="Calibri" w:hAnsi="Sakkal Majalla" w:cs="Sakkal Majalla" w:hint="cs"/>
          <w:b/>
          <w:bCs/>
          <w:color w:val="000000" w:themeColor="text1"/>
          <w:sz w:val="28"/>
          <w:szCs w:val="28"/>
          <w:rtl/>
          <w:lang w:bidi="ar-EG"/>
        </w:rPr>
        <w:t xml:space="preserve"> </w:t>
      </w:r>
      <w:r w:rsidRPr="00104CDD">
        <w:rPr>
          <w:rFonts w:ascii="Sakkal Majalla" w:eastAsia="Calibri" w:hAnsi="Sakkal Majalla" w:cs="Sakkal Majalla"/>
          <w:b/>
          <w:bCs/>
          <w:color w:val="000000" w:themeColor="text1"/>
          <w:sz w:val="28"/>
          <w:szCs w:val="28"/>
          <w:rtl/>
          <w:lang w:bidi="ar-EG"/>
        </w:rPr>
        <w:t>أثر التحول الرقمي في الحد من الاحتيال: الدور المعدل لفاعلية التدقيق الداخلي في البنوك التجارية الأردنية</w:t>
      </w:r>
    </w:p>
    <w:p w14:paraId="0B49A193" w14:textId="3C2ADBAE" w:rsidR="00BF4B5D" w:rsidRPr="00104CDD" w:rsidRDefault="007D23BF" w:rsidP="009C0B30">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هدفت الدراسة إلى التعرف على أثر التحول الرقمي بأبعاده المتمثلة في المراقبة والكشف، والتعلم الآلي، والمصادقة البيومترية، ونظام الدفع الآمن، والتحقق الآمن من الوثائق في الحد من الاحتيال في البنوك التجارية في ظل وجود فعالية التدقيق الداخلي كمتغير معدل. ولتحقيق أهداف الدراسة، تم استخدام المنهج الوصفي التحليلي. تكون مجتمع الدراسة من جميع البنوك التجارية الأردنية والبالغ عددها (12) بنكًا. وقد تم تصميم استبانة وتوزيعها على أعضاء وحدة التحليل. وقد تم استلام (212) استبانة من أصل (240) استبانة تم توزيعها على أعضاء وحدة التحليل. وتم تحليل البيانات باستخدام برنامج (</w:t>
      </w:r>
      <w:r w:rsidRPr="00104CDD">
        <w:rPr>
          <w:rFonts w:ascii="Sakkal Majalla" w:eastAsia="Calibri" w:hAnsi="Sakkal Majalla" w:cs="Sakkal Majalla"/>
          <w:color w:val="000000" w:themeColor="text1"/>
          <w:sz w:val="28"/>
          <w:szCs w:val="28"/>
          <w:lang w:bidi="ar-EG"/>
        </w:rPr>
        <w:t>SPSS</w:t>
      </w:r>
      <w:r w:rsidRPr="00104CDD">
        <w:rPr>
          <w:rFonts w:ascii="Sakkal Majalla" w:eastAsia="Calibri" w:hAnsi="Sakkal Majalla" w:cs="Sakkal Majalla"/>
          <w:color w:val="000000" w:themeColor="text1"/>
          <w:sz w:val="28"/>
          <w:szCs w:val="28"/>
          <w:rtl/>
          <w:lang w:bidi="ar-EG"/>
        </w:rPr>
        <w:t>). وأظهرت النتائج وجود أثر إيجابي للتحول الرقمي بأبعاده المتمثلة في المراقبة والكشف، والتعلم الآلي، والمصادقة البيومترية، ونظام الدفع الآمن، والتحقق الآمن من الوثائق في الحد من الاحتيال. كما يوجد أثر للتحول الرقمي بأبعاده المتمثلة في المراقبة والكشف، والتعلم الآلي، والمصادقة البيومترية، ونظام الدفع الآمن، والتحقق الآمن من الوثائق في الحد من الاحتيال في البنوك التجارية في ظل وجود فعالية التدقيق الداخلي كمتغير معدل. وأوصت الدراسة بضرورة استمرار البنوك التجارية الأردنية في تحديد وقياس مخاطر الاحتيال بشكل فعال، وضرورة أن يكتسب المدققون الداخليون المزيد من المعرفة والفهم لمعايير التدقيق الداخلي الدولية والمعايير المحاسبية الدولية، مما يضمن جودة وكفاءة عمليات التدقيق.</w:t>
      </w:r>
    </w:p>
    <w:p w14:paraId="2C49E875" w14:textId="12CC579D" w:rsidR="00BF4B5D" w:rsidRPr="00104CDD" w:rsidRDefault="00BF4B5D" w:rsidP="007A344A">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t>دراسة (شكر، 2024) بعنوان:</w:t>
      </w:r>
      <w:r w:rsidR="009C0B30" w:rsidRPr="00104CDD">
        <w:rPr>
          <w:rFonts w:ascii="Sakkal Majalla" w:eastAsia="Calibri" w:hAnsi="Sakkal Majalla" w:cs="Sakkal Majalla" w:hint="cs"/>
          <w:b/>
          <w:bCs/>
          <w:color w:val="000000" w:themeColor="text1"/>
          <w:sz w:val="28"/>
          <w:szCs w:val="28"/>
          <w:rtl/>
          <w:lang w:bidi="ar-EG"/>
        </w:rPr>
        <w:t xml:space="preserve"> </w:t>
      </w:r>
      <w:r w:rsidRPr="00104CDD">
        <w:rPr>
          <w:rFonts w:ascii="Sakkal Majalla" w:eastAsia="Calibri" w:hAnsi="Sakkal Majalla" w:cs="Sakkal Majalla"/>
          <w:b/>
          <w:bCs/>
          <w:color w:val="000000" w:themeColor="text1"/>
          <w:sz w:val="28"/>
          <w:szCs w:val="28"/>
          <w:rtl/>
          <w:lang w:bidi="ar-EG"/>
        </w:rPr>
        <w:t>أثر التحول الرقمي على الأداء المالي للهيئة القومية للتأمين الاجتماعي: دراسة ميدانية</w:t>
      </w:r>
    </w:p>
    <w:p w14:paraId="62F18B6C" w14:textId="082B3F8D" w:rsidR="00BF4B5D" w:rsidRPr="00104CDD" w:rsidRDefault="007D23BF" w:rsidP="009C0B30">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 xml:space="preserve">هدف هذا البحث إلى الكشف عن أثر التحول الرقمي على الأداء المالي من خلال دراسة ميدانية على الهيئة القومية للتأمينات الاجتماعية بمحافظة الغربية. وقد اختبرت الدراسة أثر أبعاد التحول الرقمي </w:t>
      </w:r>
      <w:r w:rsidRPr="00104CDD">
        <w:rPr>
          <w:rFonts w:ascii="Sakkal Majalla" w:eastAsia="Calibri" w:hAnsi="Sakkal Majalla" w:cs="Sakkal Majalla"/>
          <w:color w:val="000000" w:themeColor="text1"/>
          <w:sz w:val="28"/>
          <w:szCs w:val="28"/>
          <w:rtl/>
          <w:lang w:bidi="ar-EG"/>
        </w:rPr>
        <w:lastRenderedPageBreak/>
        <w:t>(قواعد البيانات، التقنيات، الموارد البشرية، العمليات) على الأداء المالي. وقد تم تطوير قائمة استبيان لجمع البيانات الميدانية اللازمة لإجراء الدراسة. وتكونت عينة الدراسة من (251) فردًا يعملون في الهيئة القومية للتأمينات الاجتماعية بمحافظة الغربية. وبلغ عدد الاستبيانات الصالحة (219). وقد تم إجراء اختبار الثبات للمقاييس المستخدمة في الدراسة باستخدام معامل ألفا كرونباخ واختبارات الإحصاء الوصفي باستخدام المتوسط الحسابي والانحراف المعياري، ومصفوفة الارتباط لقياس الارتباطات بين متغيرات الدراسة، وتحليل الانحدار البسيط والمتعدد لاختبار فرضيات الدراسة. وقد أظهرت النتائج وجود ارتباطات مباشرة ودالة إحصائيًا بين أبعاد التحول الرقمي والأداء المالي، ووجود تأثير إيجابي ذي دلالة إحصائية لأبعاد التحول الرقمي على الأداء المالي. وأظهرت النتائج أن أبعاد التحول الرقمي ذات التأثير الأكبر على الأداء المالي هي بعد العمليات، ثم بعد التقنيات، يليه بعد قواعد البيانات، وأخيراً بعد الموارد البشرية.</w:t>
      </w:r>
    </w:p>
    <w:p w14:paraId="60A9DCDE" w14:textId="30CAA144" w:rsidR="00BF4B5D" w:rsidRPr="00104CDD" w:rsidRDefault="00BF4B5D" w:rsidP="007A344A">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t>دراسة (الملاحمة، 2023) بعنوان:</w:t>
      </w:r>
      <w:r w:rsidR="009C0B30" w:rsidRPr="00104CDD">
        <w:rPr>
          <w:rFonts w:ascii="Sakkal Majalla" w:eastAsia="Calibri" w:hAnsi="Sakkal Majalla" w:cs="Sakkal Majalla" w:hint="cs"/>
          <w:b/>
          <w:bCs/>
          <w:color w:val="000000" w:themeColor="text1"/>
          <w:sz w:val="28"/>
          <w:szCs w:val="28"/>
          <w:rtl/>
          <w:lang w:bidi="ar-EG"/>
        </w:rPr>
        <w:t xml:space="preserve"> </w:t>
      </w:r>
      <w:r w:rsidRPr="00104CDD">
        <w:rPr>
          <w:rFonts w:ascii="Sakkal Majalla" w:eastAsia="Calibri" w:hAnsi="Sakkal Majalla" w:cs="Sakkal Majalla"/>
          <w:b/>
          <w:bCs/>
          <w:color w:val="000000" w:themeColor="text1"/>
          <w:sz w:val="28"/>
          <w:szCs w:val="28"/>
          <w:rtl/>
          <w:lang w:bidi="ar-EG"/>
        </w:rPr>
        <w:t>الأثر المعدل لحجم الشركة على العلاقة بين التحول الرقمي والأداء المالي للشركات المدرجة في بورصة عمان</w:t>
      </w:r>
    </w:p>
    <w:p w14:paraId="14A9AD6C" w14:textId="2C267726" w:rsidR="00BF4B5D" w:rsidRPr="00104CDD" w:rsidRDefault="007D23BF" w:rsidP="009C0B30">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هدفت هذه الدراسة إلى دراسة التأثير المُخفف لحجم الشركة على العلاقة بين التحول الرقمي وأداء الشركات المدرجة في بورصة عمان. حللت هذه الدراسة مجموعة بيانات تم الحصول عليها من 43 شركة خدمات مدرجة في بورصة عمان، باستخدام تحليل محتوى التقارير المالية السنوية. أجريت الدراسة على مدى خمس سنوات (2018-2022)، واعتمدت على تحليل السلاسل الزمنية المقطعية (</w:t>
      </w:r>
      <w:r w:rsidRPr="00104CDD">
        <w:rPr>
          <w:rFonts w:ascii="Sakkal Majalla" w:eastAsia="Calibri" w:hAnsi="Sakkal Majalla" w:cs="Sakkal Majalla"/>
          <w:color w:val="000000" w:themeColor="text1"/>
          <w:sz w:val="28"/>
          <w:szCs w:val="28"/>
          <w:lang w:bidi="ar-EG"/>
        </w:rPr>
        <w:t>Panel Data</w:t>
      </w:r>
      <w:r w:rsidRPr="00104CDD">
        <w:rPr>
          <w:rFonts w:ascii="Sakkal Majalla" w:eastAsia="Calibri" w:hAnsi="Sakkal Majalla" w:cs="Sakkal Majalla"/>
          <w:color w:val="000000" w:themeColor="text1"/>
          <w:sz w:val="28"/>
          <w:szCs w:val="28"/>
          <w:rtl/>
          <w:lang w:bidi="ar-EG"/>
        </w:rPr>
        <w:t>). كشفت نتائج الدراسة عن طبيعة العلاقة بين التحول الرقمي والأداء المالي لشركات الخدمات في عينة الدراسة. أشارت النتائج إلى أن التحول الرقمي ليس له تأثير على الأداء المالي للشركات، ممثلاً بعائد توبين. وفيما يتعلق بدراسة تأثير حجم الشركة على العلاقة بين التحول الرقمي والأداء المؤسسي، أكدت النتائج الإحصائية للدراسة أن حجم الشركة يؤثر إيجابًا على العلاقة بين مستوى التحول الرقمي والأداء المالي لشركات الخدمات المدرجة في بورصة عمان. في ضوء نتائج الدراسة والتطور التكنولوجي والرقمي الذي يشهده العالم، يتضح أن هذه الدراسة ضرورية وضرورية لفهم دور التحول الرقمي في تحسين وتطوير أداء الشركات. فالشركات الكبيرة قادرة على البقاء والمنافسة، لذا يجب على الشركات إيلاء المزيد من الاهتمام للتحول الرقمي وأدواته.</w:t>
      </w:r>
    </w:p>
    <w:p w14:paraId="2FFAFC2E" w14:textId="17E465DF" w:rsidR="00BF4B5D" w:rsidRPr="00104CDD" w:rsidRDefault="00BF4B5D" w:rsidP="007A344A">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104CDD">
        <w:rPr>
          <w:rFonts w:ascii="Sakkal Majalla" w:eastAsia="Calibri" w:hAnsi="Sakkal Majalla" w:cs="Sakkal Majalla"/>
          <w:b/>
          <w:bCs/>
          <w:color w:val="000000" w:themeColor="text1"/>
          <w:sz w:val="28"/>
          <w:szCs w:val="28"/>
          <w:rtl/>
          <w:lang w:bidi="ar-EG"/>
        </w:rPr>
        <w:lastRenderedPageBreak/>
        <w:t>دراسة (الجعافرة، 2023) بعنوان:</w:t>
      </w:r>
      <w:r w:rsidR="009C0B30" w:rsidRPr="00104CDD">
        <w:rPr>
          <w:rFonts w:ascii="Sakkal Majalla" w:eastAsia="Calibri" w:hAnsi="Sakkal Majalla" w:cs="Sakkal Majalla" w:hint="cs"/>
          <w:b/>
          <w:bCs/>
          <w:color w:val="000000" w:themeColor="text1"/>
          <w:sz w:val="28"/>
          <w:szCs w:val="28"/>
          <w:rtl/>
          <w:lang w:bidi="ar-EG"/>
        </w:rPr>
        <w:t xml:space="preserve"> </w:t>
      </w:r>
      <w:r w:rsidRPr="00104CDD">
        <w:rPr>
          <w:rFonts w:ascii="Sakkal Majalla" w:eastAsia="Calibri" w:hAnsi="Sakkal Majalla" w:cs="Sakkal Majalla"/>
          <w:b/>
          <w:bCs/>
          <w:color w:val="000000" w:themeColor="text1"/>
          <w:sz w:val="28"/>
          <w:szCs w:val="28"/>
          <w:rtl/>
          <w:lang w:bidi="ar-EG"/>
        </w:rPr>
        <w:t>أثر التحول الرقمي على الأداء المالي للبنوك الأردنية المدرجة في بورصة عمان</w:t>
      </w:r>
    </w:p>
    <w:p w14:paraId="3E76A5FC" w14:textId="56FA15B8" w:rsidR="00BF4B5D" w:rsidRPr="00104CDD" w:rsidRDefault="007D23BF" w:rsidP="009C0B30">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تهدف هذه الدراسة إلى معرفة أثر التحول الرقمي على الأداء المالي للبنوك الأردنية. ولتحقيق أهداف الدراسة، اعتمد الباحث على التحليل الوصفي والكمي لاختبار فرضيات الدراسة. تكون مجتمع الدراسة من جميع البنوك الأردنية والبالغ عددها (16) بنكًا. وتم جمع البيانات اللازمة من التقارير السنوية للبنوك الأردنية. واستخدمت الدراسة أسلوب الانحدار ذو المربعات الصغرى لاختبار فرضيات الدراسة. وتم قياس التحول الرقمي من خلال مؤشرات عددية مبنية على الأدبيات والدراسات السابقة، منها عدد الفروع وأجهزة الصراف الآلي وتوفر خدمات الهاتف المحمول. وتم قياس متغير الأداء المالي بمؤشرين: العائد على الأصول (</w:t>
      </w:r>
      <w:r w:rsidRPr="00104CDD">
        <w:rPr>
          <w:rFonts w:ascii="Sakkal Majalla" w:eastAsia="Calibri" w:hAnsi="Sakkal Majalla" w:cs="Sakkal Majalla"/>
          <w:color w:val="000000" w:themeColor="text1"/>
          <w:sz w:val="28"/>
          <w:szCs w:val="28"/>
          <w:lang w:bidi="ar-EG"/>
        </w:rPr>
        <w:t>ROA</w:t>
      </w:r>
      <w:r w:rsidRPr="00104CDD">
        <w:rPr>
          <w:rFonts w:ascii="Sakkal Majalla" w:eastAsia="Calibri" w:hAnsi="Sakkal Majalla" w:cs="Sakkal Majalla"/>
          <w:color w:val="000000" w:themeColor="text1"/>
          <w:sz w:val="28"/>
          <w:szCs w:val="28"/>
          <w:rtl/>
          <w:lang w:bidi="ar-EG"/>
        </w:rPr>
        <w:t>) والعائد على حقوق الملكية (</w:t>
      </w:r>
      <w:r w:rsidRPr="00104CDD">
        <w:rPr>
          <w:rFonts w:ascii="Sakkal Majalla" w:eastAsia="Calibri" w:hAnsi="Sakkal Majalla" w:cs="Sakkal Majalla"/>
          <w:color w:val="000000" w:themeColor="text1"/>
          <w:sz w:val="28"/>
          <w:szCs w:val="28"/>
          <w:lang w:bidi="ar-EG"/>
        </w:rPr>
        <w:t>ROE</w:t>
      </w:r>
      <w:r w:rsidRPr="00104CDD">
        <w:rPr>
          <w:rFonts w:ascii="Sakkal Majalla" w:eastAsia="Calibri" w:hAnsi="Sakkal Majalla" w:cs="Sakkal Majalla"/>
          <w:color w:val="000000" w:themeColor="text1"/>
          <w:sz w:val="28"/>
          <w:szCs w:val="28"/>
          <w:rtl/>
          <w:lang w:bidi="ar-EG"/>
        </w:rPr>
        <w:t>). وخلصت الدراسة إلى وجود أثر إيجابي كبير للتحول الرقمي المتمثل في عدد أجهزة الصراف الآلي وعدد الفروع وتوفر خدمات الهاتف المحمول على الأداء المالي المتمثل في العائد على الأصول في البنوك الأردنية المدرجة في بورصة عمان. كما يوجد تأثير إيجابي كبير لأبعاد التحول الرقمي المتمثلة في عدد أجهزة الصراف الآلي وتوفر خدمات الهاتف المحمول على العائد على حقوق الملكية، ولا يوجد تأثير كبير لعدد الفروع على العائد على حقوق الملكية. توصي الدراسة بتحسين إدارة البنوك الأردنية لأجهزة الصراف الآلي وتزويدها بالتقنيات الحديثة والمتطورة، وتقييم أداء وربحية الفروع لتحديد فرص الاندماج أو الإغلاق بينها. كما ينبغي على إدارة البنك العمل على تطوير تطبيقات مصرفية سهلة الاستخدام عبر الهاتف المحمول.</w:t>
      </w:r>
    </w:p>
    <w:p w14:paraId="214CACDD" w14:textId="6E31DC32" w:rsidR="009C0B30"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1" w:name="_Toc214109300"/>
      <w:r w:rsidRPr="00104CDD">
        <w:rPr>
          <w:rFonts w:ascii="Sakkal Majalla" w:eastAsia="Calibri" w:hAnsi="Sakkal Majalla" w:cs="Sakkal Majalla"/>
          <w:b/>
          <w:bCs/>
          <w:color w:val="000000" w:themeColor="text1"/>
          <w:sz w:val="36"/>
          <w:szCs w:val="36"/>
          <w:rtl/>
          <w:lang w:bidi="ar-EG"/>
        </w:rPr>
        <w:t>9.1 الفجوة البحثية</w:t>
      </w:r>
      <w:bookmarkEnd w:id="11"/>
    </w:p>
    <w:p w14:paraId="1A339F3E" w14:textId="77777777"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معظم الدراسات السابقة ركزت على القطاعات المصرفية، التأمينية، الضريبية، أو الشركات المدرجة في الأسواق المالية. فدراسة (الجعافرة، 2023) و(الرحيمي، 2025) و(الملاحمة، 2023) و(شكر، 2024) جميعها دارت في بيئات مالية تجارية تستهدف الربحية بشكل مباشر، أو في مؤسسات تقدم خدمات عامة كالتأمينات والضرائب، ولكنها تتبع نماذج تشغيل ذات طابع شبه تجاري أو حكومي رقابي محدود</w:t>
      </w:r>
      <w:r w:rsidRPr="00104CDD">
        <w:rPr>
          <w:rFonts w:ascii="Sakkal Majalla" w:eastAsia="Calibri" w:hAnsi="Sakkal Majalla" w:cs="Sakkal Majalla"/>
          <w:color w:val="000000" w:themeColor="text1"/>
          <w:sz w:val="28"/>
          <w:szCs w:val="28"/>
          <w:lang w:bidi="ar-EG"/>
        </w:rPr>
        <w:t>.</w:t>
      </w:r>
    </w:p>
    <w:p w14:paraId="09018823" w14:textId="467FD3D2"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lastRenderedPageBreak/>
        <w:t>في المقابل، فإن الدراسة الحالية تركز على هيئة تنظيمية مستقلة ذات طابع قانوني وتنفيذي مثل الهيئة السعودية للملكية الفكرية، والتي تختلف في طبيعة مهامها وعملياتها، حيث ترتكز أعمالها على الجوانب التنظيمية والرقابية والتنسيقية، وليس على تقديم خدمات مالية أو تحقيق الأرباح. هذه البيئة تتطلب فهمًا مختلفًا لأثر التحول الرقمي المالي، خصوصًا في ما يتعلق بتعزيز كفاءة الإجراءات والعمليات الداخلية وليس فقط الأداء المالي المباشر، وهو ما لم تتطرق إليه الدراسات السابقة بشكل كافٍ</w:t>
      </w:r>
      <w:r w:rsidRPr="00104CDD">
        <w:rPr>
          <w:rFonts w:ascii="Sakkal Majalla" w:eastAsia="Calibri" w:hAnsi="Sakkal Majalla" w:cs="Sakkal Majalla"/>
          <w:color w:val="000000" w:themeColor="text1"/>
          <w:sz w:val="28"/>
          <w:szCs w:val="28"/>
          <w:lang w:bidi="ar-EG"/>
        </w:rPr>
        <w:t>.</w:t>
      </w:r>
    </w:p>
    <w:p w14:paraId="45FE5D06" w14:textId="77777777"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تدور أغلب الدراسات السابقة حول "الأداء المالي" كمخرج رئيسي للتحول الرقمي، حيث اعتمدت دراسات مثل (شكر، 2024) و(شلهوب، 2024) و(الجعافرة، 2023) و(الملاحمة، 2023) على مؤشرات مثل الإيرادات، النفقات، العائد على الأصول، العائد على حقوق الملكية، كمقياس رئيسي لتقييم الأثر الرقمي</w:t>
      </w:r>
      <w:r w:rsidRPr="00104CDD">
        <w:rPr>
          <w:rFonts w:ascii="Sakkal Majalla" w:eastAsia="Calibri" w:hAnsi="Sakkal Majalla" w:cs="Sakkal Majalla"/>
          <w:color w:val="000000" w:themeColor="text1"/>
          <w:sz w:val="28"/>
          <w:szCs w:val="28"/>
          <w:lang w:bidi="ar-EG"/>
        </w:rPr>
        <w:t>.</w:t>
      </w:r>
    </w:p>
    <w:p w14:paraId="4A4393A9" w14:textId="77777777"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أما الدراسة الحالية، فتركز على متغير تابع مختلف تمامًا وهو "كفاءة العمليات" داخل الهيئة التنظيمية. وهذا المتغير لا يرتبط فقط بالعائدات أو الربحية، بل يشمل أبعادًا أكثر شمولًا مثل تقليص الوقت اللازم للمعاملات، تحسين تدفق البيانات المالية، تقليل نسبة الأخطاء، وتسريع اتخاذ القرار الداخلي. وهذه الأبعاد لم تُدرس بعمق في أي من الدراسات السابقة التي اهتمت أكثر بالمخرجات المالية المباشرة</w:t>
      </w:r>
      <w:r w:rsidRPr="00104CDD">
        <w:rPr>
          <w:rFonts w:ascii="Sakkal Majalla" w:eastAsia="Calibri" w:hAnsi="Sakkal Majalla" w:cs="Sakkal Majalla"/>
          <w:color w:val="000000" w:themeColor="text1"/>
          <w:sz w:val="28"/>
          <w:szCs w:val="28"/>
          <w:lang w:bidi="ar-EG"/>
        </w:rPr>
        <w:t>.</w:t>
      </w:r>
    </w:p>
    <w:p w14:paraId="0BFE4D7F" w14:textId="77777777"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جميع الدراسات السابقة تقريبًا أُجريت في السياق الأردني أو المصري، باستثناء دراسة واحدة فقط تناولت الهيئة القومية للتأمينات الاجتماعية في محافظة مصرية، وبعضها الآخر اعتمد على بيانات من بورصة عمان أو البنوك الأردنية. وهذا يترك فراغًا بحثيًا واضحًا في البيئة السعودية، التي تمتاز باختلافاتها التنظيمية والتشريعية والثقافية، إضافة إلى كونها من الدول الرائدة في مجال التحول الرقمي الحكومي، خصوصًا في ظل رؤية السعودية 2030</w:t>
      </w:r>
      <w:r w:rsidRPr="00104CDD">
        <w:rPr>
          <w:rFonts w:ascii="Sakkal Majalla" w:eastAsia="Calibri" w:hAnsi="Sakkal Majalla" w:cs="Sakkal Majalla"/>
          <w:color w:val="000000" w:themeColor="text1"/>
          <w:sz w:val="28"/>
          <w:szCs w:val="28"/>
          <w:lang w:bidi="ar-EG"/>
        </w:rPr>
        <w:t>.</w:t>
      </w:r>
    </w:p>
    <w:p w14:paraId="35EFA554" w14:textId="77777777"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الدراسة الحالية تأتي لتسد هذه الفجوة من خلال التحقق من مدى نضج التحول الرقمي المالي في مؤسسة سعودية تنظيمية رائدة، وتحليل انعكاسه على جودة الأداء الإداري والتشغيلي، لا سيما في مؤسسة تُعنى بحقوق الملكية الفكرية، وهي مؤسسة ذات طبيعة فنية وتشريعية تتطلب كفاءة تشغيلية عالية لضمان تقديم خدمات فعالة وسريعة للقطاعين العام والخاص</w:t>
      </w:r>
      <w:r w:rsidRPr="00104CDD">
        <w:rPr>
          <w:rFonts w:ascii="Sakkal Majalla" w:eastAsia="Calibri" w:hAnsi="Sakkal Majalla" w:cs="Sakkal Majalla"/>
          <w:color w:val="000000" w:themeColor="text1"/>
          <w:sz w:val="28"/>
          <w:szCs w:val="28"/>
          <w:lang w:bidi="ar-EG"/>
        </w:rPr>
        <w:t>.</w:t>
      </w:r>
    </w:p>
    <w:p w14:paraId="418D814D" w14:textId="77777777"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lastRenderedPageBreak/>
        <w:t>بينما تناولت بعض الدراسات السابقة التحول الرقمي بأبعاده التقنية أو التشغيلية (مثل: التعلم الآلي، المصادقة البيومترية، قواعد البيانات، التقنيات)، فإنها لم تُفرد للتحول الرقمي المالي تحديدًا دراسة مستقلة أو أبعادًا دقيقة ترتبط بإعادة هندسة العمليات المالية داخل المؤسسة (مثل أتمتة إعداد الموازنة، الرقابة المالية الرقمية، التكامل مع أنظمة المشتريات والدفع، التتبع الذكي للإنفاق). الدراسة الحالية تركز تحديدًا على التحول الرقمي في الإدارة المالية للهيئة، أي أنها لا تنظر إلى الرقمنة بوصفها شكلاً عاماً من التطوير التكنولوجي، بل تنظر إليها بوصفها أداة استراتيجية لتحسين الكفاءة التشغيلية المالية والرقابية</w:t>
      </w:r>
      <w:r w:rsidRPr="00104CDD">
        <w:rPr>
          <w:rFonts w:ascii="Sakkal Majalla" w:eastAsia="Calibri" w:hAnsi="Sakkal Majalla" w:cs="Sakkal Majalla"/>
          <w:color w:val="000000" w:themeColor="text1"/>
          <w:sz w:val="28"/>
          <w:szCs w:val="28"/>
          <w:lang w:bidi="ar-EG"/>
        </w:rPr>
        <w:t>.</w:t>
      </w:r>
    </w:p>
    <w:p w14:paraId="10031C39" w14:textId="77777777"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في حين أن دراسات مثل (الرحيمي، 2025) و(الجعافرة، 2023) ركزت على الأمن المالي والحد من الاحتيال أو الأداء المالي الصرف، فإن الدراسة الحالية تقدم رؤية إدارية تكاملية من خلال ربط التحول الرقمي المالي بـ كفاءة العمليات الداخلية في هيئة تنظيمية، وهو ما يشمل إجراءات الميزانية، الدفع، المتابعة، والتحليل المالي، والتقارير الدورية، وطرق اتخاذ القرار المالي، مما يجعل الدراسة أكثر شمولية في فهم أثر الرقمنة على الأداء المؤسسي من زاوية إدارية – مالية متكاملة</w:t>
      </w:r>
      <w:r w:rsidRPr="00104CDD">
        <w:rPr>
          <w:rFonts w:ascii="Sakkal Majalla" w:eastAsia="Calibri" w:hAnsi="Sakkal Majalla" w:cs="Sakkal Majalla"/>
          <w:color w:val="000000" w:themeColor="text1"/>
          <w:sz w:val="28"/>
          <w:szCs w:val="28"/>
          <w:lang w:bidi="ar-EG"/>
        </w:rPr>
        <w:t>.</w:t>
      </w:r>
    </w:p>
    <w:p w14:paraId="52A22D71" w14:textId="7E4209D3" w:rsidR="00C245E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تُعد الدراسة الحالية ذات أهمية خاصة لأنها تتوجه نحو دراسة أبعاد جديدة للتحول الرقمي المالي، في بيئة تنظيمية سعودية متقدمة، وباستخدام متغيرات دقيقة تتعلق بالكفاءة التشغيلية الداخلية بدلاً من المؤشرات المالية التقليدية فقط. كما أنها تقدم إضافة علمية من خلال معالجة القصور المعرفي السابق الذي تجاهل التأثير العميق للتحول الرقمي المالي على ديناميات العمل الداخلي داخل المؤسسات غير الربحية ذات الطابع التنظيمي، مما يجعلها دراسة نوعية ومكملة في الحقل الإداري الحديث.</w:t>
      </w:r>
      <w:r w:rsidR="00584051" w:rsidRPr="00104CDD">
        <w:rPr>
          <w:rFonts w:ascii="Sakkal Majalla" w:eastAsia="Calibri" w:hAnsi="Sakkal Majalla" w:cs="Sakkal Majalla"/>
          <w:color w:val="000000" w:themeColor="text1"/>
          <w:sz w:val="28"/>
          <w:szCs w:val="28"/>
          <w:rtl/>
          <w:lang w:bidi="ar-EG"/>
        </w:rPr>
        <w:t xml:space="preserve"> </w:t>
      </w:r>
    </w:p>
    <w:p w14:paraId="068D6F70" w14:textId="0A10FEAB" w:rsidR="009C0B30" w:rsidRPr="00104CDD" w:rsidRDefault="009C0B30" w:rsidP="009C0B30">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2" w:name="_Toc214109301"/>
      <w:r w:rsidRPr="00104CDD">
        <w:rPr>
          <w:rFonts w:ascii="Sakkal Majalla" w:eastAsia="Calibri" w:hAnsi="Sakkal Majalla" w:cs="Sakkal Majalla"/>
          <w:b/>
          <w:bCs/>
          <w:color w:val="000000" w:themeColor="text1"/>
          <w:sz w:val="36"/>
          <w:szCs w:val="36"/>
          <w:rtl/>
          <w:lang w:bidi="ar-EG"/>
        </w:rPr>
        <w:t>10.1 المنطلقات النظرية للدراسة</w:t>
      </w:r>
      <w:bookmarkEnd w:id="12"/>
    </w:p>
    <w:p w14:paraId="5DD2E19A" w14:textId="57B51AD3"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تقوم هذه الدراسة على مجموعة من المنطلقات النظرية التي تُشكل الإطار الفلسفي والمنهجي لفهم العلاقة بين التحول الرقمي المالي وكفاءة العمليات داخل الهيئات التنظيمية. وتنبع هذه المنطلقات من التداخل بين مفاهيم الإدارة العامة، والمالية الرقمية، ونظريات التنظيم، مما يعكس الطبيعة المركّبة والمعاصرة لهذا الموضوع</w:t>
      </w:r>
      <w:r w:rsidRPr="00104CDD">
        <w:rPr>
          <w:rFonts w:ascii="Sakkal Majalla" w:eastAsia="Calibri" w:hAnsi="Sakkal Majalla" w:cs="Sakkal Majalla"/>
          <w:color w:val="000000" w:themeColor="text1"/>
          <w:sz w:val="28"/>
          <w:szCs w:val="28"/>
          <w:lang w:bidi="ar-EG"/>
        </w:rPr>
        <w:t>.</w:t>
      </w:r>
    </w:p>
    <w:p w14:paraId="0ACFDC40" w14:textId="59D2E3AC"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lastRenderedPageBreak/>
        <w:t>أول هذه المنطلقات يرتكز على نظرية النظم التي تنظر إلى المؤسسة باعتبارها نظامًا متكاملًا يتكون من أجزاء مترابطة تتأثر ببعضها البعض. ومن هذا المنظور، فإن إدخال التحول الرقمي في الأنشطة المالية لا يمكن النظر إليه كإجراء معزول، بل كجزء من إعادة هندسة شاملة في العمليات التي تربط بين الإدارات المختلفة داخل الهيئة التنظيمية. وبما أن العمليات المالية تقع في مركز هذه التفاعلات، فإن رقمنتها تؤثر على كفاءة النظام الإداري بأكمله، من حيث تدفق المعلومات، واتخاذ القرار، وتوزيع الموارد</w:t>
      </w:r>
      <w:r w:rsidRPr="00104CDD">
        <w:rPr>
          <w:rFonts w:ascii="Sakkal Majalla" w:eastAsia="Calibri" w:hAnsi="Sakkal Majalla" w:cs="Sakkal Majalla"/>
          <w:color w:val="000000" w:themeColor="text1"/>
          <w:sz w:val="28"/>
          <w:szCs w:val="28"/>
          <w:lang w:bidi="ar-EG"/>
        </w:rPr>
        <w:t>.</w:t>
      </w:r>
    </w:p>
    <w:p w14:paraId="56845EC3" w14:textId="0A752138"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كما تستند الدراسة إلى نظرية الكفاءة التشغيلية</w:t>
      </w:r>
      <w:r w:rsidRPr="00104CDD">
        <w:rPr>
          <w:rFonts w:ascii="Sakkal Majalla" w:eastAsia="Calibri" w:hAnsi="Sakkal Majalla" w:cs="Sakkal Majalla"/>
          <w:color w:val="000000" w:themeColor="text1"/>
          <w:sz w:val="28"/>
          <w:szCs w:val="28"/>
          <w:lang w:bidi="ar-EG"/>
        </w:rPr>
        <w:t xml:space="preserve"> (Operational Efficiency Theory)</w:t>
      </w:r>
      <w:r w:rsidRPr="00104CDD">
        <w:rPr>
          <w:rFonts w:ascii="Sakkal Majalla" w:eastAsia="Calibri" w:hAnsi="Sakkal Majalla" w:cs="Sakkal Majalla"/>
          <w:color w:val="000000" w:themeColor="text1"/>
          <w:sz w:val="28"/>
          <w:szCs w:val="28"/>
          <w:rtl/>
          <w:lang w:bidi="ar-EG"/>
        </w:rPr>
        <w:t>، التي تفترض أن المؤسسات التي تستطيع تحقيق أقصى إنتاج بأقل تكلفة ووقت، هي المؤسسات الأكثر كفاءة. ووفقًا لهذه النظرية، فإن التحول الرقمي المالي يمثل وسيلة استراتيجية لتحسين الأداء الداخلي من خلال تقليل الإجراءات اليدوية، وتقصير دورات العمل، وتحسين دقة المعالجة المالية، مما يؤدي إلى رفع كفاءة العمليات المؤسسية ككل. فالأدوات الرقمية مثل الأتمتة، والتحليلات المالية الذكية، وأنظمة</w:t>
      </w:r>
      <w:r w:rsidRPr="00104CDD">
        <w:rPr>
          <w:rFonts w:ascii="Sakkal Majalla" w:eastAsia="Calibri" w:hAnsi="Sakkal Majalla" w:cs="Sakkal Majalla"/>
          <w:color w:val="000000" w:themeColor="text1"/>
          <w:sz w:val="28"/>
          <w:szCs w:val="28"/>
          <w:lang w:bidi="ar-EG"/>
        </w:rPr>
        <w:t xml:space="preserve"> ERP</w:t>
      </w:r>
      <w:r w:rsidRPr="00104CDD">
        <w:rPr>
          <w:rFonts w:ascii="Sakkal Majalla" w:eastAsia="Calibri" w:hAnsi="Sakkal Majalla" w:cs="Sakkal Majalla"/>
          <w:color w:val="000000" w:themeColor="text1"/>
          <w:sz w:val="28"/>
          <w:szCs w:val="28"/>
          <w:rtl/>
          <w:lang w:bidi="ar-EG"/>
        </w:rPr>
        <w:t>، تُسهم في إعادة تشكيل البنية الداخلية للمؤسسة لتصبح أكثر مرونة وسرعة واستجابة</w:t>
      </w:r>
      <w:r w:rsidRPr="00104CDD">
        <w:rPr>
          <w:rFonts w:ascii="Sakkal Majalla" w:eastAsia="Calibri" w:hAnsi="Sakkal Majalla" w:cs="Sakkal Majalla"/>
          <w:color w:val="000000" w:themeColor="text1"/>
          <w:sz w:val="28"/>
          <w:szCs w:val="28"/>
          <w:lang w:bidi="ar-EG"/>
        </w:rPr>
        <w:t>.</w:t>
      </w:r>
    </w:p>
    <w:p w14:paraId="00BD04E8" w14:textId="4A880BC1"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كذلك تنطلق هذه الدراسة من نظرية التغيير التنظيمي</w:t>
      </w:r>
      <w:r w:rsidRPr="00104CDD">
        <w:rPr>
          <w:rFonts w:ascii="Sakkal Majalla" w:eastAsia="Calibri" w:hAnsi="Sakkal Majalla" w:cs="Sakkal Majalla"/>
          <w:color w:val="000000" w:themeColor="text1"/>
          <w:sz w:val="28"/>
          <w:szCs w:val="28"/>
          <w:lang w:bidi="ar-EG"/>
        </w:rPr>
        <w:t xml:space="preserve"> (Organizational Change Theory) </w:t>
      </w:r>
      <w:r w:rsidRPr="00104CDD">
        <w:rPr>
          <w:rFonts w:ascii="Sakkal Majalla" w:eastAsia="Calibri" w:hAnsi="Sakkal Majalla" w:cs="Sakkal Majalla"/>
          <w:color w:val="000000" w:themeColor="text1"/>
          <w:sz w:val="28"/>
          <w:szCs w:val="28"/>
          <w:rtl/>
          <w:lang w:bidi="ar-EG"/>
        </w:rPr>
        <w:t>التي تؤكد أن تبني التكنولوجيا الرقمية، خاصة في المجال المالي، يتطلب تحولات هيكلية وسلوكية داخل المؤسسة. فالتحول الرقمي لا يقتصر على استخدام أدوات تقنية جديدة، بل يشمل تعديل ثقافة العمل، وتغيير أنماط الإدارة، وتطوير قدرات الموظفين، وهو ما يؤدي في النهاية إلى إعادة تصميم العمليات وتحقيق مستويات أعلى من الكفاءة. ومن هذا المنظور، تفترض الدراسة أن الهيئات التنظيمية التي تنجح في دمج التحول الرقمي المالي ضمن سياقها التشغيلي والإداري ستكون أكثر قدرة على تحسين جودة الأداء العام، وزيادة الفعالية في تنفيذ المهام التنظيمية</w:t>
      </w:r>
      <w:r w:rsidRPr="00104CDD">
        <w:rPr>
          <w:rFonts w:ascii="Sakkal Majalla" w:eastAsia="Calibri" w:hAnsi="Sakkal Majalla" w:cs="Sakkal Majalla"/>
          <w:color w:val="000000" w:themeColor="text1"/>
          <w:sz w:val="28"/>
          <w:szCs w:val="28"/>
          <w:lang w:bidi="ar-EG"/>
        </w:rPr>
        <w:t>.</w:t>
      </w:r>
    </w:p>
    <w:p w14:paraId="2168DA6E" w14:textId="6037BD9C" w:rsidR="007D23BF"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 xml:space="preserve">وتعتمد الدراسة أيضًا على مفهوم الحوكمة الرقمية كمنطلق داعم، حيث تؤكد أدبيات الإدارة الحديثة أن استخدام التكنولوجيا المالية الرقمية في المؤسسات العامة يعزز الشفافية، ويرسّخ مبادئ المساءلة، ويقلل من الفاقد والهدر المالي. وبالتالي، فإن التحول الرقمي المالي يمكن أن يكون أداة فعالة ليس </w:t>
      </w:r>
      <w:r w:rsidRPr="00104CDD">
        <w:rPr>
          <w:rFonts w:ascii="Sakkal Majalla" w:eastAsia="Calibri" w:hAnsi="Sakkal Majalla" w:cs="Sakkal Majalla"/>
          <w:color w:val="000000" w:themeColor="text1"/>
          <w:sz w:val="28"/>
          <w:szCs w:val="28"/>
          <w:rtl/>
          <w:lang w:bidi="ar-EG"/>
        </w:rPr>
        <w:lastRenderedPageBreak/>
        <w:t>فقط لتحسين الكفاءة التشغيلية، بل أيضًا لتحقيق أهداف الحوكمة الرشيدة التي تُعد جوهر عمل الهيئات التنظيمية</w:t>
      </w:r>
      <w:r w:rsidRPr="00104CDD">
        <w:rPr>
          <w:rFonts w:ascii="Sakkal Majalla" w:eastAsia="Calibri" w:hAnsi="Sakkal Majalla" w:cs="Sakkal Majalla"/>
          <w:color w:val="000000" w:themeColor="text1"/>
          <w:sz w:val="28"/>
          <w:szCs w:val="28"/>
          <w:lang w:bidi="ar-EG"/>
        </w:rPr>
        <w:t>.</w:t>
      </w:r>
    </w:p>
    <w:p w14:paraId="155138A7" w14:textId="178EADFA" w:rsidR="00BC5922" w:rsidRPr="00104CDD" w:rsidRDefault="007D23BF" w:rsidP="009C0B3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104CDD">
        <w:rPr>
          <w:rFonts w:ascii="Sakkal Majalla" w:eastAsia="Calibri" w:hAnsi="Sakkal Majalla" w:cs="Sakkal Majalla"/>
          <w:color w:val="000000" w:themeColor="text1"/>
          <w:sz w:val="28"/>
          <w:szCs w:val="28"/>
          <w:rtl/>
          <w:lang w:bidi="ar-EG"/>
        </w:rPr>
        <w:t>وبناءً على ما سبق، تنطلق هذه الدراسة من فرضية أساسية مفادها أن التحول الرقمي المالي – إذا ما تم تنفيذه بشكل ممنهج ومدروس – يمكن أن يُحدث تحولاً إيجابيًا في كفاءة العمليات داخل الهيئات التنظيمية، ويُعيد تشكيل الطريقة التي تُدار بها الموارد، وتُتخذ بها القرارات، وتُنفذ بها السياسات التنظيمية.</w:t>
      </w:r>
    </w:p>
    <w:p w14:paraId="2419321C" w14:textId="3193ABB7" w:rsidR="00086EC7" w:rsidRPr="00104CDD" w:rsidRDefault="009C0B30" w:rsidP="009C0B3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01276596"/>
      <w:bookmarkStart w:id="14" w:name="_Toc201352820"/>
      <w:bookmarkStart w:id="15" w:name="_Toc214109302"/>
      <w:r w:rsidRPr="00104CDD">
        <w:rPr>
          <w:rFonts w:ascii="Sakkal Majalla" w:hAnsi="Sakkal Majalla" w:cs="Sakkal Majalla" w:hint="cs"/>
          <w:b/>
          <w:bCs/>
          <w:color w:val="000000" w:themeColor="text1"/>
          <w:sz w:val="36"/>
          <w:szCs w:val="36"/>
          <w:rtl/>
        </w:rPr>
        <w:t xml:space="preserve">11.1 </w:t>
      </w:r>
      <w:r w:rsidR="00086EC7" w:rsidRPr="00104CDD">
        <w:rPr>
          <w:rFonts w:ascii="Sakkal Majalla" w:hAnsi="Sakkal Majalla" w:cs="Sakkal Majalla"/>
          <w:b/>
          <w:bCs/>
          <w:color w:val="000000" w:themeColor="text1"/>
          <w:sz w:val="36"/>
          <w:szCs w:val="36"/>
          <w:rtl/>
        </w:rPr>
        <w:t>المنهجية وطرق البحث:</w:t>
      </w:r>
      <w:bookmarkEnd w:id="13"/>
      <w:bookmarkEnd w:id="14"/>
      <w:bookmarkEnd w:id="15"/>
    </w:p>
    <w:p w14:paraId="75A43376" w14:textId="77777777" w:rsidR="00086EC7" w:rsidRPr="00104CDD" w:rsidRDefault="00086EC7" w:rsidP="009C0B3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407F8BD4" w14:textId="0C62E5F8" w:rsidR="001745DB" w:rsidRPr="00104CDD" w:rsidRDefault="00086EC7" w:rsidP="009C0B3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5861BF3" w14:textId="450B558F" w:rsidR="00086EC7" w:rsidRPr="00104CDD" w:rsidRDefault="009C0B30" w:rsidP="009C0B3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69790503"/>
      <w:bookmarkStart w:id="17" w:name="_Toc201276597"/>
      <w:bookmarkStart w:id="18" w:name="_Toc201352821"/>
      <w:bookmarkStart w:id="19" w:name="_Toc214109303"/>
      <w:r w:rsidRPr="00104CDD">
        <w:rPr>
          <w:rFonts w:ascii="Sakkal Majalla" w:hAnsi="Sakkal Majalla" w:cs="Sakkal Majalla" w:hint="cs"/>
          <w:b/>
          <w:bCs/>
          <w:color w:val="000000" w:themeColor="text1"/>
          <w:sz w:val="36"/>
          <w:szCs w:val="36"/>
          <w:rtl/>
        </w:rPr>
        <w:t xml:space="preserve">12.1 </w:t>
      </w:r>
      <w:r w:rsidR="00086EC7" w:rsidRPr="00104CDD">
        <w:rPr>
          <w:rFonts w:ascii="Sakkal Majalla" w:hAnsi="Sakkal Majalla" w:cs="Sakkal Majalla"/>
          <w:b/>
          <w:bCs/>
          <w:color w:val="000000" w:themeColor="text1"/>
          <w:sz w:val="36"/>
          <w:szCs w:val="36"/>
          <w:rtl/>
        </w:rPr>
        <w:t>مصادر جمع البيانات</w:t>
      </w:r>
      <w:bookmarkEnd w:id="16"/>
      <w:bookmarkEnd w:id="17"/>
      <w:bookmarkEnd w:id="18"/>
      <w:bookmarkEnd w:id="19"/>
      <w:r w:rsidR="00086EC7" w:rsidRPr="00104CDD">
        <w:rPr>
          <w:rFonts w:ascii="Sakkal Majalla" w:hAnsi="Sakkal Majalla" w:cs="Sakkal Majalla"/>
          <w:b/>
          <w:bCs/>
          <w:color w:val="000000" w:themeColor="text1"/>
          <w:sz w:val="36"/>
          <w:szCs w:val="36"/>
          <w:rtl/>
        </w:rPr>
        <w:t xml:space="preserve"> </w:t>
      </w:r>
    </w:p>
    <w:p w14:paraId="24EAFAC4" w14:textId="77777777" w:rsidR="00086EC7" w:rsidRPr="00104CDD" w:rsidRDefault="00086EC7" w:rsidP="007A344A">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b/>
          <w:bCs/>
          <w:color w:val="000000" w:themeColor="text1"/>
          <w:sz w:val="28"/>
          <w:szCs w:val="28"/>
          <w:rtl/>
        </w:rPr>
        <w:lastRenderedPageBreak/>
        <w:t>المصادر الثانوية</w:t>
      </w:r>
      <w:r w:rsidRPr="00104CDD">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104CDD" w:rsidRDefault="00086EC7" w:rsidP="007A344A">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b/>
          <w:bCs/>
          <w:color w:val="000000" w:themeColor="text1"/>
          <w:sz w:val="28"/>
          <w:szCs w:val="28"/>
          <w:rtl/>
        </w:rPr>
        <w:t>المصادر الأولية</w:t>
      </w:r>
      <w:r w:rsidRPr="00104CDD">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104CDD">
        <w:rPr>
          <w:rFonts w:ascii="Sakkal Majalla" w:eastAsia="Calibri" w:hAnsi="Sakkal Majalla" w:cs="Sakkal Majalla"/>
          <w:color w:val="000000" w:themeColor="text1"/>
          <w:sz w:val="28"/>
          <w:szCs w:val="28"/>
        </w:rPr>
        <w:t>Google Forms</w:t>
      </w:r>
      <w:r w:rsidRPr="00104CDD">
        <w:rPr>
          <w:rFonts w:ascii="Sakkal Majalla" w:eastAsia="Calibri" w:hAnsi="Sakkal Majalla" w:cs="Sakkal Majalla"/>
          <w:color w:val="000000" w:themeColor="text1"/>
          <w:sz w:val="28"/>
          <w:szCs w:val="28"/>
          <w:rtl/>
        </w:rPr>
        <w:t xml:space="preserve"> وإرسال رابطها إلى مجتمع البحث.</w:t>
      </w:r>
    </w:p>
    <w:p w14:paraId="398146F7" w14:textId="35610015" w:rsidR="00086EC7" w:rsidRPr="00104CDD" w:rsidRDefault="009C0B30" w:rsidP="009C0B3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69790504"/>
      <w:bookmarkStart w:id="21" w:name="_Toc201276598"/>
      <w:bookmarkStart w:id="22" w:name="_Toc201352822"/>
      <w:bookmarkStart w:id="23" w:name="_Toc214109304"/>
      <w:r w:rsidRPr="00104CDD">
        <w:rPr>
          <w:rFonts w:ascii="Sakkal Majalla" w:hAnsi="Sakkal Majalla" w:cs="Sakkal Majalla" w:hint="cs"/>
          <w:b/>
          <w:bCs/>
          <w:color w:val="000000" w:themeColor="text1"/>
          <w:sz w:val="36"/>
          <w:szCs w:val="36"/>
          <w:rtl/>
        </w:rPr>
        <w:t xml:space="preserve">13.1 </w:t>
      </w:r>
      <w:r w:rsidR="00086EC7" w:rsidRPr="00104CDD">
        <w:rPr>
          <w:rFonts w:ascii="Sakkal Majalla" w:hAnsi="Sakkal Majalla" w:cs="Sakkal Majalla"/>
          <w:b/>
          <w:bCs/>
          <w:color w:val="000000" w:themeColor="text1"/>
          <w:sz w:val="36"/>
          <w:szCs w:val="36"/>
          <w:rtl/>
        </w:rPr>
        <w:t>أدوات الدراسة:</w:t>
      </w:r>
      <w:bookmarkEnd w:id="20"/>
      <w:bookmarkEnd w:id="21"/>
      <w:bookmarkEnd w:id="22"/>
      <w:bookmarkEnd w:id="23"/>
    </w:p>
    <w:p w14:paraId="2F8C394A" w14:textId="77777777" w:rsidR="00086EC7" w:rsidRPr="00104CDD" w:rsidRDefault="00086EC7" w:rsidP="009C0B30">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104CDD" w:rsidRDefault="00086EC7" w:rsidP="009C0B30">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104CDD">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104CDD" w:rsidRDefault="00086EC7" w:rsidP="007A344A">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b/>
          <w:bCs/>
          <w:color w:val="000000" w:themeColor="text1"/>
          <w:sz w:val="28"/>
          <w:szCs w:val="28"/>
          <w:rtl/>
        </w:rPr>
        <w:t>القسم الأول</w:t>
      </w:r>
      <w:r w:rsidRPr="00104CDD">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104CDD" w:rsidRDefault="00086EC7" w:rsidP="007A344A">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104CDD">
        <w:rPr>
          <w:rFonts w:ascii="Sakkal Majalla" w:eastAsia="Calibri" w:hAnsi="Sakkal Majalla" w:cs="Sakkal Majalla"/>
          <w:b/>
          <w:bCs/>
          <w:color w:val="000000" w:themeColor="text1"/>
          <w:sz w:val="28"/>
          <w:szCs w:val="28"/>
          <w:rtl/>
        </w:rPr>
        <w:t>القسم الثاني</w:t>
      </w:r>
      <w:r w:rsidRPr="00104CDD">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7E3878DB" w14:textId="5E2C579E" w:rsidR="00086EC7" w:rsidRPr="00104CDD" w:rsidRDefault="009C0B30" w:rsidP="009C0B3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93461959"/>
      <w:bookmarkStart w:id="25" w:name="_Toc201352823"/>
      <w:bookmarkStart w:id="26" w:name="_Toc214109305"/>
      <w:r w:rsidRPr="00104CDD">
        <w:rPr>
          <w:rFonts w:ascii="Sakkal Majalla" w:hAnsi="Sakkal Majalla" w:cs="Sakkal Majalla" w:hint="cs"/>
          <w:b/>
          <w:bCs/>
          <w:color w:val="000000" w:themeColor="text1"/>
          <w:sz w:val="36"/>
          <w:szCs w:val="36"/>
          <w:rtl/>
        </w:rPr>
        <w:t xml:space="preserve">14.1 </w:t>
      </w:r>
      <w:r w:rsidR="00086EC7" w:rsidRPr="00104CDD">
        <w:rPr>
          <w:rFonts w:ascii="Sakkal Majalla" w:hAnsi="Sakkal Majalla" w:cs="Sakkal Majalla"/>
          <w:b/>
          <w:bCs/>
          <w:color w:val="000000" w:themeColor="text1"/>
          <w:sz w:val="36"/>
          <w:szCs w:val="36"/>
          <w:rtl/>
        </w:rPr>
        <w:t>الأساليب الإحصائية المستخدمة</w:t>
      </w:r>
      <w:bookmarkEnd w:id="24"/>
      <w:bookmarkEnd w:id="25"/>
      <w:bookmarkEnd w:id="26"/>
    </w:p>
    <w:p w14:paraId="57815DFF" w14:textId="77777777" w:rsidR="00086EC7" w:rsidRPr="00104CDD" w:rsidRDefault="00086EC7" w:rsidP="009C0B30">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104CDD">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77777777" w:rsidR="00086EC7" w:rsidRPr="00104CDD" w:rsidRDefault="00086EC7" w:rsidP="007A344A">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27" w:name="_Hlk162514366"/>
      <w:r w:rsidRPr="00104CDD">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7"/>
    <w:p w14:paraId="2BD95CE3" w14:textId="77777777" w:rsidR="00086EC7" w:rsidRPr="00104CDD" w:rsidRDefault="00086EC7" w:rsidP="007A344A">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104CDD" w:rsidRDefault="00086EC7" w:rsidP="007A344A">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7A5DA75E" w14:textId="382C4E80" w:rsidR="00086EC7" w:rsidRPr="00104CDD" w:rsidRDefault="009C0B30" w:rsidP="009C0B3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93461960"/>
      <w:bookmarkStart w:id="29" w:name="_Toc201352824"/>
      <w:bookmarkStart w:id="30" w:name="_Toc214109306"/>
      <w:r w:rsidRPr="00104CDD">
        <w:rPr>
          <w:rFonts w:ascii="Sakkal Majalla" w:hAnsi="Sakkal Majalla" w:cs="Sakkal Majalla" w:hint="cs"/>
          <w:b/>
          <w:bCs/>
          <w:color w:val="000000" w:themeColor="text1"/>
          <w:sz w:val="36"/>
          <w:szCs w:val="36"/>
          <w:rtl/>
        </w:rPr>
        <w:t xml:space="preserve">15.1 </w:t>
      </w:r>
      <w:r w:rsidR="00086EC7" w:rsidRPr="00104CDD">
        <w:rPr>
          <w:rFonts w:ascii="Sakkal Majalla" w:hAnsi="Sakkal Majalla" w:cs="Sakkal Majalla"/>
          <w:b/>
          <w:bCs/>
          <w:color w:val="000000" w:themeColor="text1"/>
          <w:sz w:val="36"/>
          <w:szCs w:val="36"/>
          <w:rtl/>
        </w:rPr>
        <w:t>أداة الدراسة</w:t>
      </w:r>
      <w:bookmarkEnd w:id="28"/>
      <w:bookmarkEnd w:id="29"/>
      <w:bookmarkEnd w:id="30"/>
      <w:r w:rsidR="00086EC7" w:rsidRPr="00104CDD">
        <w:rPr>
          <w:rFonts w:ascii="Sakkal Majalla" w:hAnsi="Sakkal Majalla" w:cs="Sakkal Majalla"/>
          <w:b/>
          <w:bCs/>
          <w:color w:val="000000" w:themeColor="text1"/>
          <w:sz w:val="36"/>
          <w:szCs w:val="36"/>
          <w:rtl/>
        </w:rPr>
        <w:t xml:space="preserve"> </w:t>
      </w:r>
    </w:p>
    <w:p w14:paraId="75EAB8F5" w14:textId="77777777" w:rsidR="00086EC7" w:rsidRPr="00104CDD" w:rsidRDefault="00086EC7" w:rsidP="009C0B30">
      <w:pPr>
        <w:bidi/>
        <w:spacing w:before="100" w:beforeAutospacing="1" w:after="100" w:afterAutospacing="1" w:line="276"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457064A1" w:rsidR="00086EC7" w:rsidRPr="00104CDD" w:rsidRDefault="00086EC7" w:rsidP="007A344A">
      <w:pPr>
        <w:pStyle w:val="ListParagraph"/>
        <w:numPr>
          <w:ilvl w:val="0"/>
          <w:numId w:val="17"/>
        </w:numPr>
        <w:bidi/>
        <w:spacing w:before="100" w:beforeAutospacing="1" w:after="100" w:afterAutospacing="1" w:line="276" w:lineRule="auto"/>
        <w:ind w:left="424"/>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b/>
          <w:bCs/>
          <w:color w:val="000000" w:themeColor="text1"/>
          <w:sz w:val="28"/>
          <w:szCs w:val="28"/>
          <w:rtl/>
        </w:rPr>
        <w:t>القسم الأول</w:t>
      </w:r>
      <w:r w:rsidRPr="00104CDD">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13E65B6A" w:rsidR="00086EC7" w:rsidRPr="00104CDD" w:rsidRDefault="00086EC7" w:rsidP="007A344A">
      <w:pPr>
        <w:pStyle w:val="ListParagraph"/>
        <w:numPr>
          <w:ilvl w:val="0"/>
          <w:numId w:val="17"/>
        </w:numPr>
        <w:bidi/>
        <w:spacing w:before="100" w:beforeAutospacing="1" w:after="100" w:afterAutospacing="1" w:line="276" w:lineRule="auto"/>
        <w:ind w:left="424"/>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b/>
          <w:bCs/>
          <w:color w:val="000000" w:themeColor="text1"/>
          <w:sz w:val="28"/>
          <w:szCs w:val="28"/>
          <w:rtl/>
        </w:rPr>
        <w:t>القسم الثاني</w:t>
      </w:r>
      <w:r w:rsidRPr="00104CDD">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24F48FB0" w:rsidR="00086EC7" w:rsidRPr="00104CDD" w:rsidRDefault="00086EC7" w:rsidP="009C0B30">
      <w:pPr>
        <w:bidi/>
        <w:spacing w:before="100" w:beforeAutospacing="1" w:after="100" w:afterAutospacing="1" w:line="276" w:lineRule="auto"/>
        <w:jc w:val="both"/>
        <w:rPr>
          <w:rFonts w:ascii="Sakkal Majalla" w:eastAsia="Times New Roman" w:hAnsi="Sakkal Majalla" w:cs="Sakkal Majalla"/>
          <w:color w:val="000000" w:themeColor="text1"/>
          <w:kern w:val="0"/>
          <w:sz w:val="28"/>
          <w:szCs w:val="28"/>
          <w14:ligatures w14:val="none"/>
        </w:rPr>
      </w:pPr>
      <w:r w:rsidRPr="00104CDD">
        <w:rPr>
          <w:rFonts w:ascii="Sakkal Majalla" w:eastAsia="Times New Roman" w:hAnsi="Sakkal Majalla" w:cs="Sakkal Majalla"/>
          <w:b/>
          <w:bCs/>
          <w:color w:val="000000" w:themeColor="text1"/>
          <w:kern w:val="0"/>
          <w:sz w:val="32"/>
          <w:szCs w:val="32"/>
          <w:rtl/>
          <w14:ligatures w14:val="none"/>
        </w:rPr>
        <w:t xml:space="preserve">أولًا: المتغير المستقل – </w:t>
      </w:r>
      <w:r w:rsidR="007D23BF" w:rsidRPr="00104CDD">
        <w:rPr>
          <w:rFonts w:ascii="Sakkal Majalla" w:eastAsia="Times New Roman" w:hAnsi="Sakkal Majalla" w:cs="Sakkal Majalla"/>
          <w:b/>
          <w:bCs/>
          <w:color w:val="000000" w:themeColor="text1"/>
          <w:kern w:val="0"/>
          <w:sz w:val="32"/>
          <w:szCs w:val="32"/>
          <w:rtl/>
          <w14:ligatures w14:val="none"/>
        </w:rPr>
        <w:t>التحول الرقمي المالي</w:t>
      </w:r>
      <w:r w:rsidRPr="00104CDD">
        <w:rPr>
          <w:rFonts w:ascii="Sakkal Majalla" w:eastAsia="Times New Roman" w:hAnsi="Sakkal Majalla" w:cs="Sakkal Majalla"/>
          <w:color w:val="000000" w:themeColor="text1"/>
          <w:kern w:val="0"/>
          <w:sz w:val="28"/>
          <w:szCs w:val="28"/>
          <w:rtl/>
          <w14:ligatures w14:val="none"/>
        </w:rPr>
        <w:t xml:space="preserve">، ويُقاس من خلال 15 فقرة </w:t>
      </w:r>
      <w:r w:rsidR="00B76880" w:rsidRPr="00104CDD">
        <w:rPr>
          <w:rFonts w:ascii="Sakkal Majalla" w:eastAsia="Times New Roman" w:hAnsi="Sakkal Majalla" w:cs="Sakkal Majalla"/>
          <w:color w:val="000000" w:themeColor="text1"/>
          <w:kern w:val="0"/>
          <w:sz w:val="28"/>
          <w:szCs w:val="28"/>
          <w:rtl/>
          <w14:ligatures w14:val="none"/>
        </w:rPr>
        <w:t>مقسمة أربعة</w:t>
      </w:r>
      <w:r w:rsidRPr="00104CDD">
        <w:rPr>
          <w:rFonts w:ascii="Sakkal Majalla" w:eastAsia="Times New Roman" w:hAnsi="Sakkal Majalla" w:cs="Sakkal Majalla"/>
          <w:color w:val="000000" w:themeColor="text1"/>
          <w:kern w:val="0"/>
          <w:sz w:val="28"/>
          <w:szCs w:val="28"/>
          <w:rtl/>
          <w14:ligatures w14:val="none"/>
        </w:rPr>
        <w:t xml:space="preserve"> أبعاد رئيسية</w:t>
      </w:r>
      <w:r w:rsidRPr="00104CDD">
        <w:rPr>
          <w:rFonts w:ascii="Sakkal Majalla" w:eastAsia="Times New Roman" w:hAnsi="Sakkal Majalla" w:cs="Sakkal Majalla"/>
          <w:color w:val="000000" w:themeColor="text1"/>
          <w:kern w:val="0"/>
          <w:sz w:val="28"/>
          <w:szCs w:val="28"/>
          <w14:ligatures w14:val="none"/>
        </w:rPr>
        <w:t>:</w:t>
      </w:r>
    </w:p>
    <w:p w14:paraId="7CDDF85A" w14:textId="77777777" w:rsidR="007D23BF" w:rsidRPr="00104CDD" w:rsidRDefault="007D23BF" w:rsidP="007A344A">
      <w:pPr>
        <w:pStyle w:val="ListParagraph"/>
        <w:numPr>
          <w:ilvl w:val="0"/>
          <w:numId w:val="10"/>
        </w:numPr>
        <w:bidi/>
        <w:spacing w:before="100" w:beforeAutospacing="1" w:after="100" w:afterAutospacing="1" w:line="276"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104CDD">
        <w:rPr>
          <w:rFonts w:ascii="Sakkal Majalla" w:eastAsia="Times New Roman" w:hAnsi="Sakkal Majalla" w:cs="Sakkal Majalla"/>
          <w:color w:val="000000" w:themeColor="text1"/>
          <w:kern w:val="0"/>
          <w:sz w:val="28"/>
          <w:szCs w:val="28"/>
          <w:rtl/>
          <w14:ligatures w14:val="none"/>
        </w:rPr>
        <w:t>العمليات الرقمية</w:t>
      </w:r>
    </w:p>
    <w:p w14:paraId="55F27892" w14:textId="77777777" w:rsidR="007D23BF" w:rsidRPr="00104CDD" w:rsidRDefault="007D23BF" w:rsidP="007A344A">
      <w:pPr>
        <w:pStyle w:val="ListParagraph"/>
        <w:numPr>
          <w:ilvl w:val="0"/>
          <w:numId w:val="10"/>
        </w:numPr>
        <w:bidi/>
        <w:spacing w:before="100" w:beforeAutospacing="1" w:after="100" w:afterAutospacing="1" w:line="276"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104CDD">
        <w:rPr>
          <w:rFonts w:ascii="Sakkal Majalla" w:eastAsia="Times New Roman" w:hAnsi="Sakkal Majalla" w:cs="Sakkal Majalla"/>
          <w:color w:val="000000" w:themeColor="text1"/>
          <w:kern w:val="0"/>
          <w:sz w:val="28"/>
          <w:szCs w:val="28"/>
          <w:rtl/>
          <w14:ligatures w14:val="none"/>
        </w:rPr>
        <w:t>نموذج العمل الرقمي</w:t>
      </w:r>
    </w:p>
    <w:p w14:paraId="33C244FF" w14:textId="77777777" w:rsidR="007D23BF" w:rsidRPr="00104CDD" w:rsidRDefault="007D23BF" w:rsidP="007A344A">
      <w:pPr>
        <w:pStyle w:val="ListParagraph"/>
        <w:numPr>
          <w:ilvl w:val="0"/>
          <w:numId w:val="10"/>
        </w:numPr>
        <w:bidi/>
        <w:spacing w:before="100" w:beforeAutospacing="1" w:after="100" w:afterAutospacing="1" w:line="276"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104CDD">
        <w:rPr>
          <w:rFonts w:ascii="Sakkal Majalla" w:eastAsia="Times New Roman" w:hAnsi="Sakkal Majalla" w:cs="Sakkal Majalla"/>
          <w:color w:val="000000" w:themeColor="text1"/>
          <w:kern w:val="0"/>
          <w:sz w:val="28"/>
          <w:szCs w:val="28"/>
          <w:rtl/>
          <w14:ligatures w14:val="none"/>
        </w:rPr>
        <w:t>أنشطة العملاء الرقمية</w:t>
      </w:r>
    </w:p>
    <w:p w14:paraId="7E668A92" w14:textId="215422A8" w:rsidR="007D23BF" w:rsidRPr="00104CDD" w:rsidRDefault="007D23BF" w:rsidP="007A344A">
      <w:pPr>
        <w:pStyle w:val="ListParagraph"/>
        <w:numPr>
          <w:ilvl w:val="0"/>
          <w:numId w:val="10"/>
        </w:numPr>
        <w:bidi/>
        <w:spacing w:before="100" w:beforeAutospacing="1" w:after="100" w:afterAutospacing="1" w:line="276"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104CDD">
        <w:rPr>
          <w:rFonts w:ascii="Sakkal Majalla" w:eastAsia="Times New Roman" w:hAnsi="Sakkal Majalla" w:cs="Sakkal Majalla"/>
          <w:color w:val="000000" w:themeColor="text1"/>
          <w:kern w:val="0"/>
          <w:sz w:val="28"/>
          <w:szCs w:val="28"/>
          <w:rtl/>
          <w14:ligatures w14:val="none"/>
        </w:rPr>
        <w:t xml:space="preserve">تعلم الآلة </w:t>
      </w:r>
    </w:p>
    <w:p w14:paraId="1FDE48E0" w14:textId="1932AEE6" w:rsidR="00086EC7" w:rsidRPr="00104CDD" w:rsidRDefault="00086EC7" w:rsidP="009C0B30">
      <w:pPr>
        <w:bidi/>
        <w:spacing w:before="100" w:beforeAutospacing="1" w:after="100" w:afterAutospacing="1" w:line="276" w:lineRule="auto"/>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b/>
          <w:bCs/>
          <w:color w:val="000000" w:themeColor="text1"/>
          <w:sz w:val="32"/>
          <w:szCs w:val="32"/>
          <w:rtl/>
        </w:rPr>
        <w:t xml:space="preserve">ثانيًا: المتغير التابع – </w:t>
      </w:r>
      <w:r w:rsidR="007D23BF" w:rsidRPr="00104CDD">
        <w:rPr>
          <w:rFonts w:ascii="Sakkal Majalla" w:eastAsia="Calibri" w:hAnsi="Sakkal Majalla" w:cs="Sakkal Majalla"/>
          <w:b/>
          <w:bCs/>
          <w:color w:val="000000" w:themeColor="text1"/>
          <w:sz w:val="32"/>
          <w:szCs w:val="32"/>
          <w:rtl/>
        </w:rPr>
        <w:t>كفاءة العمليات</w:t>
      </w:r>
      <w:r w:rsidRPr="00104CDD">
        <w:rPr>
          <w:rFonts w:ascii="Sakkal Majalla" w:eastAsia="Calibri" w:hAnsi="Sakkal Majalla" w:cs="Sakkal Majalla"/>
          <w:color w:val="000000" w:themeColor="text1"/>
          <w:sz w:val="28"/>
          <w:szCs w:val="28"/>
          <w:rtl/>
        </w:rPr>
        <w:t>، ويُقاس من خلال (10) فقرة موزعة.</w:t>
      </w:r>
    </w:p>
    <w:p w14:paraId="2D9E6E3D" w14:textId="39AD73F9" w:rsidR="00086EC7" w:rsidRPr="00104CDD" w:rsidRDefault="009C0B30" w:rsidP="009C0B30">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1" w:name="_Toc169790505"/>
      <w:bookmarkStart w:id="32" w:name="_Toc201276599"/>
      <w:bookmarkStart w:id="33" w:name="_Toc201352825"/>
      <w:bookmarkStart w:id="34" w:name="_Toc214109307"/>
      <w:r w:rsidRPr="00104CDD">
        <w:rPr>
          <w:rFonts w:ascii="Sakkal Majalla" w:hAnsi="Sakkal Majalla" w:cs="Sakkal Majalla" w:hint="cs"/>
          <w:b/>
          <w:bCs/>
          <w:color w:val="000000" w:themeColor="text1"/>
          <w:sz w:val="36"/>
          <w:szCs w:val="36"/>
          <w:rtl/>
        </w:rPr>
        <w:t xml:space="preserve">16.1 </w:t>
      </w:r>
      <w:r w:rsidR="00086EC7" w:rsidRPr="00104CDD">
        <w:rPr>
          <w:rFonts w:ascii="Sakkal Majalla" w:hAnsi="Sakkal Majalla" w:cs="Sakkal Majalla"/>
          <w:b/>
          <w:bCs/>
          <w:color w:val="000000" w:themeColor="text1"/>
          <w:sz w:val="36"/>
          <w:szCs w:val="36"/>
          <w:rtl/>
        </w:rPr>
        <w:t>حدود الدراسة:</w:t>
      </w:r>
      <w:bookmarkEnd w:id="31"/>
      <w:bookmarkEnd w:id="32"/>
      <w:bookmarkEnd w:id="33"/>
      <w:bookmarkEnd w:id="34"/>
    </w:p>
    <w:p w14:paraId="5266B046" w14:textId="0FF35924" w:rsidR="002F57B8" w:rsidRPr="00104CDD" w:rsidRDefault="00086EC7" w:rsidP="007A344A">
      <w:pPr>
        <w:numPr>
          <w:ilvl w:val="0"/>
          <w:numId w:val="6"/>
        </w:numPr>
        <w:bidi/>
        <w:spacing w:before="100" w:beforeAutospacing="1" w:after="100" w:afterAutospacing="1" w:line="276" w:lineRule="auto"/>
        <w:ind w:left="424"/>
        <w:jc w:val="both"/>
        <w:rPr>
          <w:rFonts w:ascii="Sakkal Majalla" w:eastAsia="Calibri" w:hAnsi="Sakkal Majalla" w:cs="Sakkal Majalla"/>
          <w:color w:val="000000" w:themeColor="text1"/>
          <w:sz w:val="28"/>
          <w:szCs w:val="28"/>
          <w:u w:val="single"/>
        </w:rPr>
      </w:pPr>
      <w:r w:rsidRPr="00104CDD">
        <w:rPr>
          <w:rFonts w:ascii="Sakkal Majalla" w:eastAsia="Calibri" w:hAnsi="Sakkal Majalla" w:cs="Sakkal Majalla"/>
          <w:b/>
          <w:bCs/>
          <w:color w:val="000000" w:themeColor="text1"/>
          <w:sz w:val="28"/>
          <w:szCs w:val="28"/>
          <w:rtl/>
        </w:rPr>
        <w:t>حدود موضوعية</w:t>
      </w:r>
      <w:r w:rsidRPr="00104CDD">
        <w:rPr>
          <w:rFonts w:ascii="Sakkal Majalla" w:eastAsia="Calibri" w:hAnsi="Sakkal Majalla" w:cs="Sakkal Majalla"/>
          <w:color w:val="000000" w:themeColor="text1"/>
          <w:sz w:val="28"/>
          <w:szCs w:val="28"/>
          <w:rtl/>
        </w:rPr>
        <w:t xml:space="preserve">: تقتصر الدراسة على تحليل </w:t>
      </w:r>
      <w:bookmarkStart w:id="35" w:name="_Hlk202646048"/>
      <w:bookmarkStart w:id="36" w:name="_Hlk202912189"/>
      <w:r w:rsidR="00A44FE2" w:rsidRPr="00104CDD">
        <w:rPr>
          <w:rFonts w:ascii="Sakkal Majalla" w:eastAsia="Calibri" w:hAnsi="Sakkal Majalla" w:cs="Sakkal Majalla"/>
          <w:color w:val="000000" w:themeColor="text1"/>
          <w:sz w:val="28"/>
          <w:szCs w:val="28"/>
          <w:rtl/>
        </w:rPr>
        <w:t xml:space="preserve">أثر </w:t>
      </w:r>
      <w:r w:rsidR="007D23BF" w:rsidRPr="00104CDD">
        <w:rPr>
          <w:rFonts w:ascii="Sakkal Majalla" w:eastAsia="Calibri" w:hAnsi="Sakkal Majalla" w:cs="Sakkal Majalla"/>
          <w:color w:val="000000" w:themeColor="text1"/>
          <w:sz w:val="28"/>
          <w:szCs w:val="28"/>
          <w:rtl/>
        </w:rPr>
        <w:t>التحول الرقمي المالي بأبعاده المختلفة (العمليات الرقمية، نموذج العمل الرقمي، أنشطة العملاء الرقمية، تعلم الآلة) على تحسين كفاءة العمليات في الهيئات التنظيمية: دراسة ميدانية على الهيئة السعودية للملكية الفكرية</w:t>
      </w:r>
    </w:p>
    <w:bookmarkEnd w:id="35"/>
    <w:bookmarkEnd w:id="36"/>
    <w:p w14:paraId="39409CDC" w14:textId="77777777" w:rsidR="002F57B8" w:rsidRPr="00104CDD" w:rsidRDefault="00086EC7" w:rsidP="007A344A">
      <w:pPr>
        <w:numPr>
          <w:ilvl w:val="0"/>
          <w:numId w:val="6"/>
        </w:numPr>
        <w:bidi/>
        <w:spacing w:before="100" w:beforeAutospacing="1" w:after="100" w:afterAutospacing="1" w:line="276" w:lineRule="auto"/>
        <w:ind w:left="424"/>
        <w:jc w:val="both"/>
        <w:rPr>
          <w:rFonts w:ascii="Sakkal Majalla" w:eastAsia="Calibri" w:hAnsi="Sakkal Majalla" w:cs="Sakkal Majalla"/>
          <w:color w:val="000000" w:themeColor="text1"/>
          <w:sz w:val="28"/>
          <w:szCs w:val="28"/>
          <w:u w:val="single"/>
        </w:rPr>
      </w:pPr>
      <w:r w:rsidRPr="00104CDD">
        <w:rPr>
          <w:rFonts w:ascii="Sakkal Majalla" w:eastAsia="Calibri" w:hAnsi="Sakkal Majalla" w:cs="Sakkal Majalla"/>
          <w:b/>
          <w:bCs/>
          <w:color w:val="000000" w:themeColor="text1"/>
          <w:sz w:val="28"/>
          <w:szCs w:val="28"/>
          <w:rtl/>
        </w:rPr>
        <w:t>حدود زمانية</w:t>
      </w:r>
      <w:r w:rsidRPr="00104CDD">
        <w:rPr>
          <w:rFonts w:ascii="Sakkal Majalla" w:eastAsia="Calibri" w:hAnsi="Sakkal Majalla" w:cs="Sakkal Majalla"/>
          <w:color w:val="000000" w:themeColor="text1"/>
          <w:sz w:val="28"/>
          <w:szCs w:val="28"/>
          <w:rtl/>
        </w:rPr>
        <w:t xml:space="preserve"> : تم إعداد الدراسة في عام 2025.</w:t>
      </w:r>
    </w:p>
    <w:p w14:paraId="1C6EE982" w14:textId="23F437BA" w:rsidR="002F6CD7" w:rsidRPr="00104CDD" w:rsidRDefault="00086EC7" w:rsidP="007A344A">
      <w:pPr>
        <w:pStyle w:val="ListParagraph"/>
        <w:numPr>
          <w:ilvl w:val="0"/>
          <w:numId w:val="6"/>
        </w:numPr>
        <w:bidi/>
        <w:spacing w:before="100" w:beforeAutospacing="1" w:after="100" w:afterAutospacing="1" w:line="276" w:lineRule="auto"/>
        <w:ind w:left="424"/>
        <w:contextualSpacing w:val="0"/>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b/>
          <w:bCs/>
          <w:color w:val="000000" w:themeColor="text1"/>
          <w:sz w:val="28"/>
          <w:szCs w:val="28"/>
          <w:rtl/>
        </w:rPr>
        <w:t>حدود بشرية</w:t>
      </w:r>
      <w:r w:rsidRPr="00104CDD">
        <w:rPr>
          <w:rFonts w:ascii="Sakkal Majalla" w:eastAsia="Calibri" w:hAnsi="Sakkal Majalla" w:cs="Sakkal Majalla"/>
          <w:color w:val="000000" w:themeColor="text1"/>
          <w:sz w:val="28"/>
          <w:szCs w:val="28"/>
          <w:rtl/>
        </w:rPr>
        <w:t xml:space="preserve">: تقتصر الحدود البشرية لهذه الدراسة </w:t>
      </w:r>
      <w:r w:rsidR="002F57B8" w:rsidRPr="00104CDD">
        <w:rPr>
          <w:rFonts w:ascii="Sakkal Majalla" w:eastAsia="Calibri" w:hAnsi="Sakkal Majalla" w:cs="Sakkal Majalla"/>
          <w:color w:val="000000" w:themeColor="text1"/>
          <w:sz w:val="28"/>
          <w:szCs w:val="28"/>
          <w:rtl/>
        </w:rPr>
        <w:t>على</w:t>
      </w:r>
      <w:r w:rsidR="004D5EF8" w:rsidRPr="00104CDD">
        <w:rPr>
          <w:rFonts w:ascii="Sakkal Majalla" w:eastAsia="Calibri" w:hAnsi="Sakkal Majalla" w:cs="Sakkal Majalla"/>
          <w:color w:val="000000" w:themeColor="text1"/>
          <w:sz w:val="28"/>
          <w:szCs w:val="28"/>
          <w:rtl/>
        </w:rPr>
        <w:t xml:space="preserve"> العاملين في</w:t>
      </w:r>
      <w:r w:rsidR="002F57B8" w:rsidRPr="00104CDD">
        <w:rPr>
          <w:rFonts w:ascii="Sakkal Majalla" w:eastAsia="Calibri" w:hAnsi="Sakkal Majalla" w:cs="Sakkal Majalla"/>
          <w:color w:val="000000" w:themeColor="text1"/>
          <w:sz w:val="28"/>
          <w:szCs w:val="28"/>
          <w:rtl/>
        </w:rPr>
        <w:t xml:space="preserve"> </w:t>
      </w:r>
      <w:r w:rsidR="007D23BF" w:rsidRPr="00104CDD">
        <w:rPr>
          <w:rFonts w:ascii="Sakkal Majalla" w:eastAsia="Calibri" w:hAnsi="Sakkal Majalla" w:cs="Sakkal Majalla"/>
          <w:color w:val="000000" w:themeColor="text1"/>
          <w:sz w:val="28"/>
          <w:szCs w:val="28"/>
          <w:rtl/>
        </w:rPr>
        <w:t>الهيئة السعودية للملكية الفكرية</w:t>
      </w:r>
    </w:p>
    <w:p w14:paraId="5E6F38C0" w14:textId="4872FA00" w:rsidR="009C0B30" w:rsidRPr="00104CDD" w:rsidRDefault="009C0B30" w:rsidP="001D7023">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7" w:name="_Toc214109308"/>
      <w:r w:rsidRPr="00104CDD">
        <w:rPr>
          <w:rFonts w:ascii="Sakkal Majalla" w:eastAsia="Calibri" w:hAnsi="Sakkal Majalla" w:cs="Sakkal Majalla" w:hint="cs"/>
          <w:b/>
          <w:bCs/>
          <w:color w:val="000000" w:themeColor="text1"/>
          <w:sz w:val="40"/>
          <w:szCs w:val="40"/>
          <w:rtl/>
        </w:rPr>
        <w:lastRenderedPageBreak/>
        <w:t>الفصل الثاني: الإطار النظري</w:t>
      </w:r>
      <w:bookmarkEnd w:id="37"/>
    </w:p>
    <w:p w14:paraId="1B3E2C6A" w14:textId="4E44DC7E" w:rsidR="001745DB" w:rsidRPr="00104CDD" w:rsidRDefault="0050776A" w:rsidP="001D7023">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8" w:name="_Toc214109309"/>
      <w:r w:rsidRPr="00104CDD">
        <w:rPr>
          <w:rFonts w:ascii="Sakkal Majalla" w:eastAsia="Calibri" w:hAnsi="Sakkal Majalla" w:cs="Sakkal Majalla"/>
          <w:b/>
          <w:bCs/>
          <w:color w:val="000000" w:themeColor="text1"/>
          <w:sz w:val="36"/>
          <w:szCs w:val="36"/>
          <w:rtl/>
        </w:rPr>
        <w:t>المبحث الأول: التحول الرقمي المالي</w:t>
      </w:r>
      <w:bookmarkEnd w:id="38"/>
    </w:p>
    <w:p w14:paraId="53D929E2" w14:textId="1D650101" w:rsidR="0050776A" w:rsidRPr="00104CDD" w:rsidRDefault="001D7023" w:rsidP="001D7023">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14109310"/>
      <w:r w:rsidRPr="00104CDD">
        <w:rPr>
          <w:rFonts w:ascii="Sakkal Majalla" w:eastAsia="Calibri" w:hAnsi="Sakkal Majalla" w:cs="Sakkal Majalla" w:hint="cs"/>
          <w:b/>
          <w:bCs/>
          <w:color w:val="000000" w:themeColor="text1"/>
          <w:sz w:val="32"/>
          <w:szCs w:val="32"/>
          <w:rtl/>
        </w:rPr>
        <w:t>1.1.2</w:t>
      </w:r>
      <w:r w:rsidR="0050776A" w:rsidRPr="00104CDD">
        <w:rPr>
          <w:rFonts w:ascii="Sakkal Majalla" w:eastAsia="Calibri" w:hAnsi="Sakkal Majalla" w:cs="Sakkal Majalla"/>
          <w:b/>
          <w:bCs/>
          <w:color w:val="000000" w:themeColor="text1"/>
          <w:sz w:val="32"/>
          <w:szCs w:val="32"/>
          <w:rtl/>
        </w:rPr>
        <w:t xml:space="preserve"> التمهيد</w:t>
      </w:r>
      <w:bookmarkEnd w:id="39"/>
    </w:p>
    <w:p w14:paraId="4D28B4C4" w14:textId="77777777"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يشهد العالم المعاصر تحولات متسارعة بفعل الثورة الرقمية وما أحدثته من تغييرات جذرية في طرائق أداء المنظمات لوظائفها المختلفة، وعلى رأسها الوظائف المالية والإدارية. وقد أصبح التحول الرقمي المالي أحد أبرز الملامح التي تُميز المؤسسات الحكومية والتنظيمية، باعتباره مسارًا استراتيجيًا يهدف إلى إعادة صياغة العمليات المالية، وتطوير نماذج العمل، ورفع مستويات الكفاءة التشغيلية اعتمادًا على التقنيات الرقمية المتقدمة. ولم يعد التحول الرقمي خيارًا تكميليًا، بل تحول إلى ضرورة تفرضها تحديات البيئة الحديثة، واشتراطات الحوكمة، وضغوط المنافسة، وتوقعات المستفيدين المتزايدة للحصول على خدمات ذات جودة عالية وبسرعة وكفاءة وشفافية</w:t>
      </w:r>
      <w:r w:rsidRPr="00104CDD">
        <w:rPr>
          <w:rFonts w:ascii="Sakkal Majalla" w:eastAsia="Calibri" w:hAnsi="Sakkal Majalla" w:cs="Sakkal Majalla"/>
          <w:color w:val="000000" w:themeColor="text1"/>
          <w:sz w:val="28"/>
          <w:szCs w:val="28"/>
        </w:rPr>
        <w:t>.</w:t>
      </w:r>
    </w:p>
    <w:p w14:paraId="2DABB219" w14:textId="77777777"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في السياق الحكومي والتنظيمي، يتخذ التحول الرقمي المالي أهمية مضاعفة، نظرًا للدور الذي تلعبه الجهات الرقابية والتنظيمية في إدارة الموارد، وتطبيق السياسات، ومراقبة الامتثال، وتعزيز القيم المؤسسية. وقد دفعت التطورات العالمية في مجالات البيانات الضخمة، والذكاء الاصطناعي، والتحليلات المتقدمة، والمنصات الرقمية، المنظمات إلى تبني توجهات جديدة تعيد تشكيل عملياتها الداخلية، وتوسع قدرتها على الاستجابة للمتغيرات المتسارعة، وتحسين جودة خدماتها وعملياتها</w:t>
      </w:r>
      <w:r w:rsidRPr="00104CDD">
        <w:rPr>
          <w:rFonts w:ascii="Sakkal Majalla" w:eastAsia="Calibri" w:hAnsi="Sakkal Majalla" w:cs="Sakkal Majalla"/>
          <w:color w:val="000000" w:themeColor="text1"/>
          <w:sz w:val="28"/>
          <w:szCs w:val="28"/>
        </w:rPr>
        <w:t>.</w:t>
      </w:r>
    </w:p>
    <w:p w14:paraId="2EDC3C54" w14:textId="77777777"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وتعد الهيئة السعودية للملكية الفكرية نموذجًا لهيئة تنظيمية تواجه تحديات تتطلب إعادة تصميم آليات العمل، خاصة في ظل اتساع نطاق الخدمات، وتزايد حجم الطلب على إجراءات تسجيل الحقوق، وحماية المصنفات، وتنفيذ السياسات المتعلقة بالملكية الفكرية. وهنا يبرز التحول الرقمي المالي بوصفه مدخلًا حيويًا لتعزيز كفاءة العمليات، من خلال أتمتة المعاملات، وتحسين تدفق المعلومات، وتطوير طرق التمويل والتحصيل، وتمكين الأنظمة الذكية في معالجة البيانات واتخاذ القرار</w:t>
      </w:r>
      <w:r w:rsidRPr="00104CDD">
        <w:rPr>
          <w:rFonts w:ascii="Sakkal Majalla" w:eastAsia="Calibri" w:hAnsi="Sakkal Majalla" w:cs="Sakkal Majalla"/>
          <w:color w:val="000000" w:themeColor="text1"/>
          <w:sz w:val="28"/>
          <w:szCs w:val="28"/>
        </w:rPr>
        <w:t>.</w:t>
      </w:r>
    </w:p>
    <w:p w14:paraId="520334C9" w14:textId="55EBEBEB"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lastRenderedPageBreak/>
        <w:t>إن التحول الرقمي المالي بأبعاده المختلفة العمليات الرقمية، ونموذج العمل الرقمي، وأنشطة العملاء الرقمية، وتعلم الآلة يمثل إطارًا تكامليًا يهدف إلى تحويل الأنشطة المالية التقليدية إلى بيئة مؤتمتة وفعّالة، ما يسهم في تحسين مستوى الكفاءة التشغيلية للهيئات التنظيمية. ومن ثم فإن دراسة أثر هذا التحول تعد ضرورية لفهم مدى قدرة المنظمات الحكومية على مواكبة التطورات، وتحقيق أهدافها بكفاءة، وبناء منظومة مالية رقمية مستدامة تعزز التميز التشغيلي وتدعم صناعة القرار</w:t>
      </w:r>
      <w:r w:rsidRPr="00104CDD">
        <w:rPr>
          <w:rFonts w:ascii="Sakkal Majalla" w:eastAsia="Calibri" w:hAnsi="Sakkal Majalla" w:cs="Sakkal Majalla"/>
          <w:color w:val="000000" w:themeColor="text1"/>
          <w:sz w:val="28"/>
          <w:szCs w:val="28"/>
        </w:rPr>
        <w:t>.</w:t>
      </w:r>
    </w:p>
    <w:p w14:paraId="50CA04B8" w14:textId="7A92DA99" w:rsidR="0050776A" w:rsidRPr="00104CDD" w:rsidRDefault="001D7023" w:rsidP="001D7023">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0" w:name="_Toc214109311"/>
      <w:r w:rsidRPr="00104CDD">
        <w:rPr>
          <w:rFonts w:ascii="Sakkal Majalla" w:eastAsia="Calibri" w:hAnsi="Sakkal Majalla" w:cs="Sakkal Majalla" w:hint="cs"/>
          <w:b/>
          <w:bCs/>
          <w:color w:val="000000" w:themeColor="text1"/>
          <w:sz w:val="32"/>
          <w:szCs w:val="32"/>
          <w:rtl/>
        </w:rPr>
        <w:t xml:space="preserve">2.1.2 </w:t>
      </w:r>
      <w:r w:rsidR="0050776A" w:rsidRPr="00104CDD">
        <w:rPr>
          <w:rFonts w:ascii="Sakkal Majalla" w:eastAsia="Calibri" w:hAnsi="Sakkal Majalla" w:cs="Sakkal Majalla"/>
          <w:b/>
          <w:bCs/>
          <w:color w:val="000000" w:themeColor="text1"/>
          <w:sz w:val="32"/>
          <w:szCs w:val="32"/>
          <w:rtl/>
        </w:rPr>
        <w:t>مفهوم التحول الرقمي المالي</w:t>
      </w:r>
      <w:bookmarkEnd w:id="40"/>
      <w:r w:rsidR="0050776A" w:rsidRPr="00104CDD">
        <w:rPr>
          <w:rFonts w:ascii="Sakkal Majalla" w:eastAsia="Calibri" w:hAnsi="Sakkal Majalla" w:cs="Sakkal Majalla"/>
          <w:b/>
          <w:bCs/>
          <w:color w:val="000000" w:themeColor="text1"/>
          <w:sz w:val="32"/>
          <w:szCs w:val="32"/>
          <w:rtl/>
        </w:rPr>
        <w:t xml:space="preserve"> </w:t>
      </w:r>
    </w:p>
    <w:p w14:paraId="7123F62F" w14:textId="66F649BF"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تعددت تعريفات الباحثين لمفهوم التحول الرقمي المالي، نظرًا لاتساع مجاله وتداخله مع الجوانب التقنية والمالية والتنظيمية ، وفيما يلي عرض لأبرز التعريفات</w:t>
      </w:r>
      <w:r w:rsidRPr="00104CDD">
        <w:rPr>
          <w:rFonts w:ascii="Sakkal Majalla" w:eastAsia="Calibri" w:hAnsi="Sakkal Majalla" w:cs="Sakkal Majalla"/>
          <w:color w:val="000000" w:themeColor="text1"/>
          <w:sz w:val="28"/>
          <w:szCs w:val="28"/>
        </w:rPr>
        <w:t>:</w:t>
      </w:r>
    </w:p>
    <w:p w14:paraId="0BA86622" w14:textId="77777777"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يعرّف القطاونة والربابعة</w:t>
      </w:r>
      <w:r w:rsidRPr="00104CDD">
        <w:rPr>
          <w:rFonts w:ascii="Sakkal Majalla" w:eastAsia="Calibri" w:hAnsi="Sakkal Majalla" w:cs="Sakkal Majalla"/>
          <w:color w:val="000000" w:themeColor="text1"/>
          <w:sz w:val="28"/>
          <w:szCs w:val="28"/>
        </w:rPr>
        <w:t xml:space="preserve"> (2023) </w:t>
      </w:r>
      <w:r w:rsidRPr="00104CDD">
        <w:rPr>
          <w:rFonts w:ascii="Sakkal Majalla" w:eastAsia="Calibri" w:hAnsi="Sakkal Majalla" w:cs="Sakkal Majalla"/>
          <w:color w:val="000000" w:themeColor="text1"/>
          <w:sz w:val="28"/>
          <w:szCs w:val="28"/>
          <w:rtl/>
        </w:rPr>
        <w:t>التحول الرقمي بأنه استخدام التقنيات الرقمية الحديثة لتطوير آليات العمل وإعادة صياغة العمليات التقليدية بما يعزز جودة الخدمات ويرفع من كفاءة الأداء المؤسسي</w:t>
      </w:r>
      <w:r w:rsidRPr="00104CDD">
        <w:rPr>
          <w:rFonts w:ascii="Sakkal Majalla" w:eastAsia="Calibri" w:hAnsi="Sakkal Majalla" w:cs="Sakkal Majalla"/>
          <w:color w:val="000000" w:themeColor="text1"/>
          <w:sz w:val="28"/>
          <w:szCs w:val="28"/>
        </w:rPr>
        <w:t xml:space="preserve">. </w:t>
      </w:r>
      <w:r w:rsidRPr="00104CDD">
        <w:rPr>
          <w:rFonts w:ascii="Sakkal Majalla" w:eastAsia="Calibri" w:hAnsi="Sakkal Majalla" w:cs="Sakkal Majalla"/>
          <w:color w:val="000000" w:themeColor="text1"/>
          <w:sz w:val="28"/>
          <w:szCs w:val="28"/>
          <w:rtl/>
        </w:rPr>
        <w:t>ويركزان على أن التحول الرقمي لم يعد إجراءً تكنولوجيًا فقط، بل أصبح توجّهًا استراتيجيًا يعيد تشكيل بيئة العمل المالية والإدارية</w:t>
      </w:r>
      <w:r w:rsidRPr="00104CDD">
        <w:rPr>
          <w:rFonts w:ascii="Sakkal Majalla" w:eastAsia="Calibri" w:hAnsi="Sakkal Majalla" w:cs="Sakkal Majalla"/>
          <w:color w:val="000000" w:themeColor="text1"/>
          <w:sz w:val="28"/>
          <w:szCs w:val="28"/>
        </w:rPr>
        <w:t>.</w:t>
      </w:r>
    </w:p>
    <w:p w14:paraId="5662DFF8" w14:textId="117808DE"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بينما يشير حسين وآخرون</w:t>
      </w:r>
      <w:r w:rsidRPr="00104CDD">
        <w:rPr>
          <w:rFonts w:ascii="Sakkal Majalla" w:eastAsia="Calibri" w:hAnsi="Sakkal Majalla" w:cs="Sakkal Majalla"/>
          <w:color w:val="000000" w:themeColor="text1"/>
          <w:sz w:val="28"/>
          <w:szCs w:val="28"/>
        </w:rPr>
        <w:t xml:space="preserve"> (2023) </w:t>
      </w:r>
      <w:r w:rsidRPr="00104CDD">
        <w:rPr>
          <w:rFonts w:ascii="Sakkal Majalla" w:eastAsia="Calibri" w:hAnsi="Sakkal Majalla" w:cs="Sakkal Majalla"/>
          <w:color w:val="000000" w:themeColor="text1"/>
          <w:sz w:val="28"/>
          <w:szCs w:val="28"/>
          <w:rtl/>
        </w:rPr>
        <w:t>إلى أن التحول الرقمي يمثل مدخلًا لتحويل الإجراءات التشغيلية والمالية من نمطها التقليدي إلى نمط مُميكن يعتمد على الأنظمة الذكية والبنية الرقمية، بما يسهم في تحسين الأداء التنظيمي وتسهيل تدفق العمليات</w:t>
      </w:r>
      <w:r w:rsidRPr="00104CDD">
        <w:rPr>
          <w:rFonts w:ascii="Sakkal Majalla" w:eastAsia="Calibri" w:hAnsi="Sakkal Majalla" w:cs="Sakkal Majalla"/>
          <w:color w:val="000000" w:themeColor="text1"/>
          <w:sz w:val="28"/>
          <w:szCs w:val="28"/>
        </w:rPr>
        <w:t xml:space="preserve">. </w:t>
      </w:r>
    </w:p>
    <w:p w14:paraId="2A372116" w14:textId="44F8F661"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أما الجبور والزيديين</w:t>
      </w:r>
      <w:r w:rsidRPr="00104CDD">
        <w:rPr>
          <w:rFonts w:ascii="Sakkal Majalla" w:eastAsia="Calibri" w:hAnsi="Sakkal Majalla" w:cs="Sakkal Majalla"/>
          <w:color w:val="000000" w:themeColor="text1"/>
          <w:sz w:val="28"/>
          <w:szCs w:val="28"/>
        </w:rPr>
        <w:t xml:space="preserve"> (2022) </w:t>
      </w:r>
      <w:r w:rsidRPr="00104CDD">
        <w:rPr>
          <w:rFonts w:ascii="Sakkal Majalla" w:eastAsia="Calibri" w:hAnsi="Sakkal Majalla" w:cs="Sakkal Majalla"/>
          <w:color w:val="000000" w:themeColor="text1"/>
          <w:sz w:val="28"/>
          <w:szCs w:val="28"/>
          <w:rtl/>
        </w:rPr>
        <w:t>فيعرّفان التحول الرقمي بأنه عملية تبنّي أنظمة إلكترونية متقدمة في إدارة الأعمال المؤسسية، بهدف رفع مستوى الكفاءة التشغيلية وتعزيز القدرة على اتخاذ القرار، بما ينعكس على تطوير الأداء المؤسسي</w:t>
      </w:r>
      <w:r w:rsidRPr="00104CDD">
        <w:rPr>
          <w:rFonts w:ascii="Sakkal Majalla" w:eastAsia="Calibri" w:hAnsi="Sakkal Majalla" w:cs="Sakkal Majalla"/>
          <w:color w:val="000000" w:themeColor="text1"/>
          <w:sz w:val="28"/>
          <w:szCs w:val="28"/>
        </w:rPr>
        <w:t xml:space="preserve">. </w:t>
      </w:r>
    </w:p>
    <w:p w14:paraId="1FFD035D" w14:textId="1E10B6E4"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وفي سياق متقارب، ترى مياس والزيديين</w:t>
      </w:r>
      <w:r w:rsidRPr="00104CDD">
        <w:rPr>
          <w:rFonts w:ascii="Sakkal Majalla" w:eastAsia="Calibri" w:hAnsi="Sakkal Majalla" w:cs="Sakkal Majalla"/>
          <w:color w:val="000000" w:themeColor="text1"/>
          <w:sz w:val="28"/>
          <w:szCs w:val="28"/>
        </w:rPr>
        <w:t xml:space="preserve"> (2022) </w:t>
      </w:r>
      <w:r w:rsidRPr="00104CDD">
        <w:rPr>
          <w:rFonts w:ascii="Sakkal Majalla" w:eastAsia="Calibri" w:hAnsi="Sakkal Majalla" w:cs="Sakkal Majalla"/>
          <w:color w:val="000000" w:themeColor="text1"/>
          <w:sz w:val="28"/>
          <w:szCs w:val="28"/>
          <w:rtl/>
        </w:rPr>
        <w:t>أن التحول الرقمي يقوم على إدماج التكنولوجيا الذكية في الأنشطة المالية والإدارية بما يمكّن المؤسسة من التحسين المستمر في عملياتها، وزيادة قدرتها على الاستجابة للمتغيرات، وتطوير نماذج العمل القائمة</w:t>
      </w:r>
      <w:r w:rsidRPr="00104CDD">
        <w:rPr>
          <w:rFonts w:ascii="Sakkal Majalla" w:eastAsia="Calibri" w:hAnsi="Sakkal Majalla" w:cs="Sakkal Majalla"/>
          <w:color w:val="000000" w:themeColor="text1"/>
          <w:sz w:val="28"/>
          <w:szCs w:val="28"/>
        </w:rPr>
        <w:t xml:space="preserve">. </w:t>
      </w:r>
    </w:p>
    <w:p w14:paraId="4876CD5E" w14:textId="0244FF88"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lastRenderedPageBreak/>
        <w:t>ويطرح العمريين والربابعة</w:t>
      </w:r>
      <w:r w:rsidRPr="00104CDD">
        <w:rPr>
          <w:rFonts w:ascii="Sakkal Majalla" w:eastAsia="Calibri" w:hAnsi="Sakkal Majalla" w:cs="Sakkal Majalla"/>
          <w:color w:val="000000" w:themeColor="text1"/>
          <w:sz w:val="28"/>
          <w:szCs w:val="28"/>
        </w:rPr>
        <w:t xml:space="preserve"> (2023) </w:t>
      </w:r>
      <w:r w:rsidRPr="00104CDD">
        <w:rPr>
          <w:rFonts w:ascii="Sakkal Majalla" w:eastAsia="Calibri" w:hAnsi="Sakkal Majalla" w:cs="Sakkal Majalla"/>
          <w:color w:val="000000" w:themeColor="text1"/>
          <w:sz w:val="28"/>
          <w:szCs w:val="28"/>
          <w:rtl/>
        </w:rPr>
        <w:t>تعريفًا أكثر توسعًا، إذ يعتبران التحول الرقمي المالي توظيفًا منهجيًا للتكنولوجيا الرقمية لإعادة هندسة العمليات المالية، وتحقيق الاتساق بين البنية التكنولوجية والأهداف الاستراتيجية، بما يعزز الأداء العالي للمؤسسات</w:t>
      </w:r>
      <w:r w:rsidRPr="00104CDD">
        <w:rPr>
          <w:rFonts w:ascii="Sakkal Majalla" w:eastAsia="Calibri" w:hAnsi="Sakkal Majalla" w:cs="Sakkal Majalla"/>
          <w:color w:val="000000" w:themeColor="text1"/>
          <w:sz w:val="28"/>
          <w:szCs w:val="28"/>
        </w:rPr>
        <w:t xml:space="preserve">. </w:t>
      </w:r>
    </w:p>
    <w:p w14:paraId="10B16D09" w14:textId="564A056A"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ويُعرّف الصبيحات وبني خالد</w:t>
      </w:r>
      <w:r w:rsidRPr="00104CDD">
        <w:rPr>
          <w:rFonts w:ascii="Sakkal Majalla" w:eastAsia="Calibri" w:hAnsi="Sakkal Majalla" w:cs="Sakkal Majalla"/>
          <w:color w:val="000000" w:themeColor="text1"/>
          <w:sz w:val="28"/>
          <w:szCs w:val="28"/>
        </w:rPr>
        <w:t xml:space="preserve"> (2024) </w:t>
      </w:r>
      <w:r w:rsidRPr="00104CDD">
        <w:rPr>
          <w:rFonts w:ascii="Sakkal Majalla" w:eastAsia="Calibri" w:hAnsi="Sakkal Majalla" w:cs="Sakkal Majalla"/>
          <w:color w:val="000000" w:themeColor="text1"/>
          <w:sz w:val="28"/>
          <w:szCs w:val="28"/>
          <w:rtl/>
        </w:rPr>
        <w:t>التحول الرقمي بأنه عملية تطوير مستمرة للمهام والوظائف المؤسسية عبر الأنظمة الرقمية، بما يرفع من جودة الأداء الوظيفي ويزيد كفاءة العاملين.</w:t>
      </w:r>
    </w:p>
    <w:p w14:paraId="01B0BC9A" w14:textId="70BEA8D8"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وعلى المستوى الدولي، يصف </w:t>
      </w:r>
      <w:r w:rsidRPr="00104CDD">
        <w:rPr>
          <w:rFonts w:ascii="Sakkal Majalla" w:eastAsia="Calibri" w:hAnsi="Sakkal Majalla" w:cs="Sakkal Majalla"/>
          <w:color w:val="000000" w:themeColor="text1"/>
          <w:sz w:val="28"/>
          <w:szCs w:val="28"/>
        </w:rPr>
        <w:t xml:space="preserve">Mavlutova et al. (2022) </w:t>
      </w:r>
      <w:r w:rsidRPr="00104CDD">
        <w:rPr>
          <w:rFonts w:ascii="Sakkal Majalla" w:eastAsia="Calibri" w:hAnsi="Sakkal Majalla" w:cs="Sakkal Majalla"/>
          <w:color w:val="000000" w:themeColor="text1"/>
          <w:sz w:val="28"/>
          <w:szCs w:val="28"/>
          <w:rtl/>
        </w:rPr>
        <w:t>التحول الرقمي المالي بأنه دمج شامل للتكنولوجيا الرقمية في الأنشطة المالية بهدف تعزيز الاستدامة، ورفع مستوى الشمول المالي، وتحسين الكفاءة التشغيلية عبر استخدام تقنيات الذكاء الاصطناعي والعمليات الرقمية المتقدمة</w:t>
      </w:r>
      <w:r w:rsidRPr="00104CDD">
        <w:rPr>
          <w:rFonts w:ascii="Sakkal Majalla" w:eastAsia="Calibri" w:hAnsi="Sakkal Majalla" w:cs="Sakkal Majalla"/>
          <w:color w:val="000000" w:themeColor="text1"/>
          <w:sz w:val="28"/>
          <w:szCs w:val="28"/>
        </w:rPr>
        <w:t xml:space="preserve">. </w:t>
      </w:r>
    </w:p>
    <w:p w14:paraId="74401A9C" w14:textId="77777777"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بينما يرى </w:t>
      </w:r>
      <w:r w:rsidRPr="00104CDD">
        <w:rPr>
          <w:rFonts w:ascii="Sakkal Majalla" w:eastAsia="Calibri" w:hAnsi="Sakkal Majalla" w:cs="Sakkal Majalla"/>
          <w:color w:val="000000" w:themeColor="text1"/>
          <w:sz w:val="28"/>
          <w:szCs w:val="28"/>
        </w:rPr>
        <w:t xml:space="preserve">Liu et al. (2023) </w:t>
      </w:r>
      <w:r w:rsidRPr="00104CDD">
        <w:rPr>
          <w:rFonts w:ascii="Sakkal Majalla" w:eastAsia="Calibri" w:hAnsi="Sakkal Majalla" w:cs="Sakkal Majalla"/>
          <w:color w:val="000000" w:themeColor="text1"/>
          <w:sz w:val="28"/>
          <w:szCs w:val="28"/>
          <w:rtl/>
        </w:rPr>
        <w:t>أن التحول الرقمي المالي هو استخدام البيانات الضخمة والمنصات الرقمية لإعادة بناء العمليات المالية، وتقليل تكاليف التشغيل، ومعالجة مشكلة عدم تماثل المعلومات، مما يؤدي إلى تحسين الأداء المالي والمؤسسي</w:t>
      </w:r>
      <w:r w:rsidRPr="00104CDD">
        <w:rPr>
          <w:rFonts w:ascii="Sakkal Majalla" w:eastAsia="Calibri" w:hAnsi="Sakkal Majalla" w:cs="Sakkal Majalla"/>
          <w:color w:val="000000" w:themeColor="text1"/>
          <w:sz w:val="28"/>
          <w:szCs w:val="28"/>
        </w:rPr>
        <w:t>.</w:t>
      </w:r>
    </w:p>
    <w:p w14:paraId="5A49DB7E" w14:textId="77777777"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وتشير </w:t>
      </w:r>
      <w:r w:rsidRPr="00104CDD">
        <w:rPr>
          <w:rFonts w:ascii="Sakkal Majalla" w:eastAsia="Calibri" w:hAnsi="Sakkal Majalla" w:cs="Sakkal Majalla"/>
          <w:color w:val="000000" w:themeColor="text1"/>
          <w:sz w:val="28"/>
          <w:szCs w:val="28"/>
        </w:rPr>
        <w:t xml:space="preserve">Bueno et al. (2024) </w:t>
      </w:r>
      <w:r w:rsidRPr="00104CDD">
        <w:rPr>
          <w:rFonts w:ascii="Sakkal Majalla" w:eastAsia="Calibri" w:hAnsi="Sakkal Majalla" w:cs="Sakkal Majalla"/>
          <w:color w:val="000000" w:themeColor="text1"/>
          <w:sz w:val="28"/>
          <w:szCs w:val="28"/>
          <w:rtl/>
        </w:rPr>
        <w:t>إلى أن التحول الرقمي المالي عملية استراتيجية تهدف إلى دمج الأنظمة الرقمية في العمليات التشغيلية والبنكية لتعزيز الكفاءة، وتخفيض زمن المعاملات، وتحقيق مستوى أعلى من الجودة والمرونة التنظيمية</w:t>
      </w:r>
      <w:r w:rsidRPr="00104CDD">
        <w:rPr>
          <w:rFonts w:ascii="Sakkal Majalla" w:eastAsia="Calibri" w:hAnsi="Sakkal Majalla" w:cs="Sakkal Majalla"/>
          <w:color w:val="000000" w:themeColor="text1"/>
          <w:sz w:val="28"/>
          <w:szCs w:val="28"/>
        </w:rPr>
        <w:t>.</w:t>
      </w:r>
    </w:p>
    <w:p w14:paraId="5E765540" w14:textId="77777777"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وتعرّفه </w:t>
      </w:r>
      <w:r w:rsidRPr="00104CDD">
        <w:rPr>
          <w:rFonts w:ascii="Sakkal Majalla" w:eastAsia="Calibri" w:hAnsi="Sakkal Majalla" w:cs="Sakkal Majalla"/>
          <w:color w:val="000000" w:themeColor="text1"/>
          <w:sz w:val="28"/>
          <w:szCs w:val="28"/>
        </w:rPr>
        <w:t xml:space="preserve">Shuai (2025) </w:t>
      </w:r>
      <w:r w:rsidRPr="00104CDD">
        <w:rPr>
          <w:rFonts w:ascii="Sakkal Majalla" w:eastAsia="Calibri" w:hAnsi="Sakkal Majalla" w:cs="Sakkal Majalla"/>
          <w:color w:val="000000" w:themeColor="text1"/>
          <w:sz w:val="28"/>
          <w:szCs w:val="28"/>
          <w:rtl/>
        </w:rPr>
        <w:t>بأنه عملية تحول ديناميكية تعتمد على سرعة التبني الرقمي في الخدمات المالية المشتركة، بما يؤدي إلى رفع الإنتاجية وتحسين الكفاءة التشغيلية من خلال الأتمتة والتعلم الآلي</w:t>
      </w:r>
      <w:r w:rsidRPr="00104CDD">
        <w:rPr>
          <w:rFonts w:ascii="Sakkal Majalla" w:eastAsia="Calibri" w:hAnsi="Sakkal Majalla" w:cs="Sakkal Majalla"/>
          <w:color w:val="000000" w:themeColor="text1"/>
          <w:sz w:val="28"/>
          <w:szCs w:val="28"/>
        </w:rPr>
        <w:t>.</w:t>
      </w:r>
    </w:p>
    <w:p w14:paraId="4882D589" w14:textId="77777777"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استنادًا إلى ما تقدّم من تعريفات، يمكن للباحث صياغة تعريفه الخاص بطريقة علمية مترابطة كالآتي</w:t>
      </w:r>
      <w:r w:rsidRPr="00104CDD">
        <w:rPr>
          <w:rFonts w:ascii="Sakkal Majalla" w:eastAsia="Calibri" w:hAnsi="Sakkal Majalla" w:cs="Sakkal Majalla"/>
          <w:color w:val="000000" w:themeColor="text1"/>
          <w:sz w:val="28"/>
          <w:szCs w:val="28"/>
        </w:rPr>
        <w:t>:</w:t>
      </w:r>
    </w:p>
    <w:p w14:paraId="5E46BA24" w14:textId="53250AB3" w:rsidR="0050776A" w:rsidRPr="00104CDD" w:rsidRDefault="0050776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يرى الباحث أن التحول الرقمي المالي هو عملية استراتيجية شاملة تهدف إلى إعادة تصميم وتطوير العمليات المالية داخل المؤسسة من خلال تبني التقنيات الرقمية المتقدمة مثل الأتمتة، والمنصات </w:t>
      </w:r>
      <w:r w:rsidRPr="00104CDD">
        <w:rPr>
          <w:rFonts w:ascii="Sakkal Majalla" w:eastAsia="Calibri" w:hAnsi="Sakkal Majalla" w:cs="Sakkal Majalla"/>
          <w:color w:val="000000" w:themeColor="text1"/>
          <w:sz w:val="28"/>
          <w:szCs w:val="28"/>
          <w:rtl/>
        </w:rPr>
        <w:lastRenderedPageBreak/>
        <w:t>الإلكترونية، وتحليلات البيانات، وتعلم الآلة—بما يسهم في تحسين الكفاءة التشغيلية، ورفع جودة الخدمات، وتعزيز القدرة على اتخاذ القرار، وتحقيق مستويات أعلى من الشفافية والحوكمة المالية. وهو تحول يتجاوز الاستخدام التقني إلى إعادة هندسة شاملة للبنية المالية والإدارية بما يتوافق مع متطلبات البيئة الرقمية الحديثة</w:t>
      </w:r>
      <w:r w:rsidRPr="00104CDD">
        <w:rPr>
          <w:rFonts w:ascii="Sakkal Majalla" w:eastAsia="Calibri" w:hAnsi="Sakkal Majalla" w:cs="Sakkal Majalla"/>
          <w:color w:val="000000" w:themeColor="text1"/>
          <w:sz w:val="28"/>
          <w:szCs w:val="28"/>
        </w:rPr>
        <w:t>.</w:t>
      </w:r>
    </w:p>
    <w:p w14:paraId="6CDE29DA" w14:textId="414358AA" w:rsidR="0050776A" w:rsidRPr="00104CDD" w:rsidRDefault="001D7023" w:rsidP="001D7023">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1" w:name="_Toc214109312"/>
      <w:r w:rsidRPr="00104CDD">
        <w:rPr>
          <w:rFonts w:ascii="Sakkal Majalla" w:eastAsia="Calibri" w:hAnsi="Sakkal Majalla" w:cs="Sakkal Majalla" w:hint="cs"/>
          <w:b/>
          <w:bCs/>
          <w:color w:val="000000" w:themeColor="text1"/>
          <w:sz w:val="32"/>
          <w:szCs w:val="32"/>
          <w:rtl/>
        </w:rPr>
        <w:t xml:space="preserve">3.1.2 </w:t>
      </w:r>
      <w:r w:rsidR="00E3361A" w:rsidRPr="00104CDD">
        <w:rPr>
          <w:rFonts w:ascii="Sakkal Majalla" w:eastAsia="Calibri" w:hAnsi="Sakkal Majalla" w:cs="Sakkal Majalla"/>
          <w:b/>
          <w:bCs/>
          <w:color w:val="000000" w:themeColor="text1"/>
          <w:sz w:val="32"/>
          <w:szCs w:val="32"/>
          <w:rtl/>
        </w:rPr>
        <w:t>أهمية التحول الرقمي المالي</w:t>
      </w:r>
      <w:bookmarkEnd w:id="41"/>
    </w:p>
    <w:p w14:paraId="63F64E26" w14:textId="0E1E2444" w:rsidR="00E3361A" w:rsidRPr="00104CDD" w:rsidRDefault="00E3361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تنبع أهمية التحول الرقمي المالي من دوره المحوري في إعادة صياغة بيئات العمل داخل المنظمات الحكومية والتنظيمية، إذ يمكّنها من مواجهة تحديات العصر الرقمي ومتطلبات التحديث والتطوير. ومع ازدياد حجم البيانات المالية وتشعب الإجراءات وتعقد الأنشطة، أصبح الاعتماد على الأنظمة التقليدية يمثل عائقًا أمام تحقيق الكفاءة والسرعة والجودة ، ويُعد التحول الرقمي المالي ضرورة إستراتيجية تمكّن المؤسسات من تحسين عملياتها التشغيلية، وتعزيز الشفافية، وإدارة الموارد بكفاءة أعلى، وتطوير الخدمات المقدمة للمستفيدين، كما يساهم في تمكين المؤسسات من اتخاذ قرارات دقيقة تعتمد على التحليل الفوري للبيانات، وبما يدعم القدرة التنافسية والتميز المؤسسي في بيئة عمل تتسم بالتغير السريع</w:t>
      </w:r>
      <w:r w:rsidRPr="00104CDD">
        <w:rPr>
          <w:rFonts w:ascii="Sakkal Majalla" w:eastAsia="Calibri" w:hAnsi="Sakkal Majalla" w:cs="Sakkal Majalla"/>
          <w:color w:val="000000" w:themeColor="text1"/>
          <w:sz w:val="28"/>
          <w:szCs w:val="28"/>
        </w:rPr>
        <w:t>.</w:t>
      </w:r>
    </w:p>
    <w:p w14:paraId="4BCA27D0" w14:textId="77777777" w:rsidR="00E3361A" w:rsidRPr="00104CDD" w:rsidRDefault="00E3361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ويشير (القطاونة والربابعة، 2023) إلى أن أهمية التحول الرقمي المالي تتجلى في</w:t>
      </w:r>
      <w:r w:rsidRPr="00104CDD">
        <w:rPr>
          <w:rFonts w:ascii="Sakkal Majalla" w:eastAsia="Calibri" w:hAnsi="Sakkal Majalla" w:cs="Sakkal Majalla"/>
          <w:color w:val="000000" w:themeColor="text1"/>
          <w:sz w:val="28"/>
          <w:szCs w:val="28"/>
        </w:rPr>
        <w:t>:</w:t>
      </w:r>
    </w:p>
    <w:p w14:paraId="25663247" w14:textId="5831E491"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تعزيز جودة الخدمات المؤسسية</w:t>
      </w:r>
    </w:p>
    <w:p w14:paraId="5CA38DDB" w14:textId="4B6982DC" w:rsidR="00E3361A" w:rsidRPr="00104CDD" w:rsidRDefault="00E3361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إذ يرى الباحثان أن التحول الرقمي المالي يمكّن المؤسسات من تحسين جودة الخدمات من خلال تبسيط الإجراءات المالية، وتقليل الخطوات اليدوية، وتسريع زمن الإنجاز، وتصبح العمليات أكثر دقة وأقل عرضة للأخطاء البشرية، مما ينعكس مباشرة على رضا المستفيدين وفاعلية الأداء</w:t>
      </w:r>
      <w:r w:rsidRPr="00104CDD">
        <w:rPr>
          <w:rFonts w:ascii="Sakkal Majalla" w:eastAsia="Calibri" w:hAnsi="Sakkal Majalla" w:cs="Sakkal Majalla"/>
          <w:color w:val="000000" w:themeColor="text1"/>
          <w:sz w:val="28"/>
          <w:szCs w:val="28"/>
        </w:rPr>
        <w:t>.</w:t>
      </w:r>
    </w:p>
    <w:p w14:paraId="0985F004" w14:textId="0D1A825E"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تحسين فعالية الأنظمة المالية الداخلية</w:t>
      </w:r>
    </w:p>
    <w:p w14:paraId="72557AAE" w14:textId="77777777" w:rsidR="00E3361A" w:rsidRPr="00104CDD" w:rsidRDefault="00E3361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lastRenderedPageBreak/>
        <w:t>يسهم التحول الرقمي في بناء أنظمة أكثر تكاملًا وقدرة على إدارة العمليات المالية بكفاءة عالية، وذلك من خلال توفير بيئات رقمية تتيح مراقبة وتحليل العمليات بشكل مستمر وفوري، مما يساعد في اتخاذ القرارات المالية الدقيقة وفي الوقت المناسب</w:t>
      </w:r>
      <w:r w:rsidRPr="00104CDD">
        <w:rPr>
          <w:rFonts w:ascii="Sakkal Majalla" w:eastAsia="Calibri" w:hAnsi="Sakkal Majalla" w:cs="Sakkal Majalla"/>
          <w:color w:val="000000" w:themeColor="text1"/>
          <w:sz w:val="28"/>
          <w:szCs w:val="28"/>
        </w:rPr>
        <w:t>.</w:t>
      </w:r>
    </w:p>
    <w:p w14:paraId="54504C03" w14:textId="5C7E3594"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رفع مستوى الحوكمة والشفافية</w:t>
      </w:r>
    </w:p>
    <w:p w14:paraId="2780F106" w14:textId="77777777" w:rsidR="00E3361A" w:rsidRPr="00104CDD" w:rsidRDefault="00E3361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يشير الباحثان إلى أن الاعتماد على الأنظمة الرقمية المالية يعزز مستويات الشفافية من خلال توثيق المعاملات إلكترونيًا، وتوفير مسارات واضحة للتدقيق، وتقليل فرص التلاعب أو الأخطاء، مما يدعم الالتزام بالمعايير التنظيمية ويقوي الرقابة الداخلية</w:t>
      </w:r>
      <w:r w:rsidRPr="00104CDD">
        <w:rPr>
          <w:rFonts w:ascii="Sakkal Majalla" w:eastAsia="Calibri" w:hAnsi="Sakkal Majalla" w:cs="Sakkal Majalla"/>
          <w:color w:val="000000" w:themeColor="text1"/>
          <w:sz w:val="28"/>
          <w:szCs w:val="28"/>
        </w:rPr>
        <w:t>.</w:t>
      </w:r>
    </w:p>
    <w:p w14:paraId="5E457079" w14:textId="77777777" w:rsidR="00E3361A" w:rsidRPr="00104CDD" w:rsidRDefault="00E3361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وتشير</w:t>
      </w:r>
      <w:r w:rsidRPr="00104CDD">
        <w:rPr>
          <w:rFonts w:ascii="Sakkal Majalla" w:eastAsia="Calibri" w:hAnsi="Sakkal Majalla" w:cs="Sakkal Majalla"/>
          <w:color w:val="000000" w:themeColor="text1"/>
          <w:sz w:val="28"/>
          <w:szCs w:val="28"/>
        </w:rPr>
        <w:t xml:space="preserve"> (Mavlutova </w:t>
      </w:r>
      <w:r w:rsidRPr="00104CDD">
        <w:rPr>
          <w:rFonts w:ascii="Sakkal Majalla" w:eastAsia="Calibri" w:hAnsi="Sakkal Majalla" w:cs="Sakkal Majalla"/>
          <w:color w:val="000000" w:themeColor="text1"/>
          <w:sz w:val="28"/>
          <w:szCs w:val="28"/>
          <w:rtl/>
        </w:rPr>
        <w:t>وآخرون، 2022</w:t>
      </w:r>
      <w:r w:rsidRPr="00104CDD">
        <w:rPr>
          <w:rFonts w:ascii="Sakkal Majalla" w:eastAsia="Calibri" w:hAnsi="Sakkal Majalla" w:cs="Sakkal Majalla"/>
          <w:color w:val="000000" w:themeColor="text1"/>
          <w:sz w:val="28"/>
          <w:szCs w:val="28"/>
        </w:rPr>
        <w:t xml:space="preserve">) </w:t>
      </w:r>
      <w:r w:rsidRPr="00104CDD">
        <w:rPr>
          <w:rFonts w:ascii="Sakkal Majalla" w:eastAsia="Calibri" w:hAnsi="Sakkal Majalla" w:cs="Sakkal Majalla"/>
          <w:color w:val="000000" w:themeColor="text1"/>
          <w:sz w:val="28"/>
          <w:szCs w:val="28"/>
          <w:rtl/>
        </w:rPr>
        <w:t>إلى أن أهمية التحول الرقمي المالي تكمن في</w:t>
      </w:r>
      <w:r w:rsidRPr="00104CDD">
        <w:rPr>
          <w:rFonts w:ascii="Sakkal Majalla" w:eastAsia="Calibri" w:hAnsi="Sakkal Majalla" w:cs="Sakkal Majalla"/>
          <w:color w:val="000000" w:themeColor="text1"/>
          <w:sz w:val="28"/>
          <w:szCs w:val="28"/>
        </w:rPr>
        <w:t>:</w:t>
      </w:r>
    </w:p>
    <w:p w14:paraId="28F8CB45" w14:textId="58AD9A61"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تعزيز الشمول المالي والكفاءة التشغيلية</w:t>
      </w:r>
    </w:p>
    <w:p w14:paraId="6B9ACC76" w14:textId="77777777" w:rsidR="00E3361A" w:rsidRPr="00104CDD" w:rsidRDefault="00E3361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حيث يساهم التحول الرقمي في إتاحة الخدمات المالية على نطاق واسع وبطرق أكثر سهولة ومرونة، مما يزيد من قدرة المؤسسات على الوصول إلى المستفيدين وتحقيق أهدافها المالية والتشغيلية</w:t>
      </w:r>
      <w:r w:rsidRPr="00104CDD">
        <w:rPr>
          <w:rFonts w:ascii="Sakkal Majalla" w:eastAsia="Calibri" w:hAnsi="Sakkal Majalla" w:cs="Sakkal Majalla"/>
          <w:color w:val="000000" w:themeColor="text1"/>
          <w:sz w:val="28"/>
          <w:szCs w:val="28"/>
        </w:rPr>
        <w:t>.</w:t>
      </w:r>
    </w:p>
    <w:p w14:paraId="2CA2C620" w14:textId="17086CD5"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دعم الاستدامة والابتكار في الأنشطة المالية</w:t>
      </w:r>
    </w:p>
    <w:p w14:paraId="7B978BD1" w14:textId="77777777" w:rsidR="00E3361A" w:rsidRPr="00104CDD" w:rsidRDefault="00E3361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يسمح التحول الرقمي بتبني أدوات مالية مبتكرة تعتمد على الذكاء الاصطناعي، وأنظمة الدفع الحديثة، ومنصات الخدمة الذاتية، وهو ما يدعم استدامة العمليات المالية على المدى الطويل</w:t>
      </w:r>
      <w:r w:rsidRPr="00104CDD">
        <w:rPr>
          <w:rFonts w:ascii="Sakkal Majalla" w:eastAsia="Calibri" w:hAnsi="Sakkal Majalla" w:cs="Sakkal Majalla"/>
          <w:color w:val="000000" w:themeColor="text1"/>
          <w:sz w:val="28"/>
          <w:szCs w:val="28"/>
        </w:rPr>
        <w:t>.</w:t>
      </w:r>
    </w:p>
    <w:p w14:paraId="7FDBDB17" w14:textId="52325381"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تقليل عدم تماثل المعلومات</w:t>
      </w:r>
    </w:p>
    <w:p w14:paraId="3070FF76" w14:textId="77777777" w:rsidR="00E3361A" w:rsidRPr="00104CDD" w:rsidRDefault="00E3361A" w:rsidP="001D7023">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بما أن الأنظمة الرقمية توفر بيانات دقيقة ومتكاملة، فإنها تقلل الفجوة المعلوماتية بين الإدارات أو بين المستفيدين والمؤسسة، وهو ما يسهم في تحسين فعالية السياسات المالية والرقابية</w:t>
      </w:r>
      <w:r w:rsidRPr="00104CDD">
        <w:rPr>
          <w:rFonts w:ascii="Sakkal Majalla" w:eastAsia="Calibri" w:hAnsi="Sakkal Majalla" w:cs="Sakkal Majalla"/>
          <w:color w:val="000000" w:themeColor="text1"/>
          <w:sz w:val="28"/>
          <w:szCs w:val="28"/>
        </w:rPr>
        <w:t>.</w:t>
      </w:r>
    </w:p>
    <w:p w14:paraId="20649FC2" w14:textId="0DCBD99B" w:rsidR="00E3361A" w:rsidRPr="00104CDD" w:rsidRDefault="00E3361A" w:rsidP="001D7023">
      <w:pPr>
        <w:tabs>
          <w:tab w:val="left" w:pos="707"/>
        </w:tabs>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lastRenderedPageBreak/>
        <w:t xml:space="preserve">يرى الباحث أن أهمية التحول الرقمي المالي تعود إلى دوره المحوري في بناء منظومة مالية حديثة تعتمد على السرعة والدقة والتحليل الذكي للبيانات، بما يضمن رفع مستوى الكفاءة التشغيلية وتعزيز النزاهة المالية، وتحسين جودة الخدمات المقدمة للمستفيدين. </w:t>
      </w:r>
    </w:p>
    <w:p w14:paraId="11C3F30B" w14:textId="2B8ED9A4" w:rsidR="0050776A" w:rsidRPr="00104CDD" w:rsidRDefault="001D7023" w:rsidP="00385C6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2" w:name="_Toc214109313"/>
      <w:r w:rsidRPr="00104CDD">
        <w:rPr>
          <w:rFonts w:ascii="Sakkal Majalla" w:eastAsia="Calibri" w:hAnsi="Sakkal Majalla" w:cs="Sakkal Majalla" w:hint="cs"/>
          <w:b/>
          <w:bCs/>
          <w:color w:val="000000" w:themeColor="text1"/>
          <w:sz w:val="32"/>
          <w:szCs w:val="32"/>
          <w:rtl/>
        </w:rPr>
        <w:t xml:space="preserve">4.1.2 </w:t>
      </w:r>
      <w:r w:rsidR="00E3361A" w:rsidRPr="00104CDD">
        <w:rPr>
          <w:rFonts w:ascii="Sakkal Majalla" w:eastAsia="Calibri" w:hAnsi="Sakkal Majalla" w:cs="Sakkal Majalla"/>
          <w:b/>
          <w:bCs/>
          <w:color w:val="000000" w:themeColor="text1"/>
          <w:sz w:val="32"/>
          <w:szCs w:val="32"/>
          <w:rtl/>
        </w:rPr>
        <w:t>أهداف التحول الرقمي المالي</w:t>
      </w:r>
      <w:bookmarkEnd w:id="42"/>
    </w:p>
    <w:p w14:paraId="0B65BC1F" w14:textId="50731CFA" w:rsidR="00E3361A" w:rsidRPr="00104CDD" w:rsidRDefault="00E3361A" w:rsidP="00385C6B">
      <w:pPr>
        <w:tabs>
          <w:tab w:val="left" w:pos="707"/>
        </w:tabs>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يعد التحول الرقمي المالي أحد التوجهات الإستراتيجية التي تعتمد عليها المؤسسات الحديثة في تطوير بنيتها التشغيلية والمالية، من أجل تحسين كفاءة العمل ورفع جودة الخدمات، وقد أكدت الأدبيات المعاصرة أن التحول الرقمي يمثل نقطة تحول جوهرية في قدرة المؤسسات على مواجهة التحديات التنظيمية والتكنولوجية، وتحقيق مستويات أعلى من الفاعلية المؤسسية (القطاونة والربابعة، 2023؛ حسين وآخرون، 2023) ، ويمكن تحديد أبرز الأهداف الأساسية للتحول الرقمي المالي، وذلك على النحو الآتي</w:t>
      </w:r>
      <w:r w:rsidRPr="00104CDD">
        <w:rPr>
          <w:rFonts w:ascii="Sakkal Majalla" w:eastAsia="Calibri" w:hAnsi="Sakkal Majalla" w:cs="Sakkal Majalla"/>
          <w:color w:val="000000" w:themeColor="text1"/>
          <w:sz w:val="28"/>
          <w:szCs w:val="28"/>
        </w:rPr>
        <w:t>:</w:t>
      </w:r>
    </w:p>
    <w:p w14:paraId="58EEB3CC" w14:textId="6B2B75C3"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إعادة هندسة العمليات المالية وتبسيط الإجراءات</w:t>
      </w:r>
    </w:p>
    <w:p w14:paraId="081F924C" w14:textId="43CB24C6" w:rsidR="00E3361A" w:rsidRPr="00104CDD" w:rsidRDefault="00E3361A"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تشير العديد من الدراسات إلى أن من أهم أهداف التحول الرقمي المالي هو إعادة صياغة العمليات المالية التقليدية وتعزيز مرونتها، من خلال أتمتة المعاملات والاستغناء عن الإجراءات الورقية، بما يسهم في تسريع تدفق العمل وتقليل الوقت المستغرق في إنجاز المعاملات (الجبور والزيديين، 2022؛ مياس والزيديين، 2022)،  كما أوضحت دراسات عالمية أن المؤسسات التي تتبنى النماذج الرقمية في إدارة أنشطتها المالية تكون أكثر قدرة على تطوير إجراءات محسّنة تعتمد على البيانات والتحليلات الذكية، مما يعزز من كفاءة الأداء ويقلل من التعقيدات التشغيلية</w:t>
      </w:r>
      <w:r w:rsidRPr="00104CDD">
        <w:rPr>
          <w:rFonts w:ascii="Sakkal Majalla" w:eastAsia="Calibri" w:hAnsi="Sakkal Majalla" w:cs="Sakkal Majalla"/>
          <w:color w:val="000000" w:themeColor="text1"/>
          <w:sz w:val="28"/>
          <w:szCs w:val="28"/>
        </w:rPr>
        <w:t xml:space="preserve"> (Mavlutova et al., 2022).</w:t>
      </w:r>
    </w:p>
    <w:p w14:paraId="3E3C140C" w14:textId="634EA010"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رفع الكفاءة التشغيلية وتقليل الهدر في الموارد</w:t>
      </w:r>
    </w:p>
    <w:p w14:paraId="4105CC2C" w14:textId="4C611CCF" w:rsidR="00E3361A" w:rsidRPr="00104CDD" w:rsidRDefault="00E3361A"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أكدت عدة دراسات أن التحول الرقمي المالي يسهم في تحسين الكفاءة التشغيلية من خلال تقليل الأخطاء البشرية، وخفض التكاليف التشغيلية، وتعزيز فعالية استخدام الموارد (العمريين والربابعة، </w:t>
      </w:r>
      <w:r w:rsidRPr="00104CDD">
        <w:rPr>
          <w:rFonts w:ascii="Sakkal Majalla" w:eastAsia="Calibri" w:hAnsi="Sakkal Majalla" w:cs="Sakkal Majalla"/>
          <w:color w:val="000000" w:themeColor="text1"/>
          <w:sz w:val="28"/>
          <w:szCs w:val="28"/>
          <w:rtl/>
        </w:rPr>
        <w:lastRenderedPageBreak/>
        <w:t>2023؛ الصبيحات وبني خالد، 2024)، كما أشارت بحوث دولية إلى أن استخدام تقنيات الذكاء الاصطناعي وتعلم الآلة يرفع من كفاءة عمليات الرقابة والتحليل المالي، ويعزز القدرة على معالجة كميات كبيرة من البيانات بسرعة ودقة</w:t>
      </w:r>
      <w:r w:rsidRPr="00104CDD">
        <w:rPr>
          <w:rFonts w:ascii="Sakkal Majalla" w:eastAsia="Calibri" w:hAnsi="Sakkal Majalla" w:cs="Sakkal Majalla"/>
          <w:color w:val="000000" w:themeColor="text1"/>
          <w:sz w:val="28"/>
          <w:szCs w:val="28"/>
        </w:rPr>
        <w:t xml:space="preserve"> (Liu et al., 2023)</w:t>
      </w:r>
    </w:p>
    <w:p w14:paraId="16768DC0" w14:textId="0C432DB4"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تعزيز جودة القرارات المالية ودعم نظم المعلومات</w:t>
      </w:r>
    </w:p>
    <w:p w14:paraId="00C544A8" w14:textId="26AF977D" w:rsidR="00E3361A" w:rsidRPr="00104CDD" w:rsidRDefault="00E3361A"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أوضحت الأدبيات أن أحد الأهداف المحورية للتحول الرقمي المالي يتمثل في تمكين المؤسسات من الوصول إلى بيانات مالية حديثة وموثوقة، مما يدعم اتخاذ قرارات أكثر دقة ويعزز القدرات التحليلية للمؤسسة (حسين وآخرون، 2023)،  كما بينت دراسات عالمية أن تكامل البيانات الرقمية وجودتها يسهم في تعزيز قدرة المؤسسات على فهم الواقع المالي والتنبؤ بالاتجاهات المستقبلية بشكل أفضل، مما يرفع من مستوى التخطيط المالي والتنظيمي</w:t>
      </w:r>
      <w:r w:rsidRPr="00104CDD">
        <w:rPr>
          <w:rFonts w:ascii="Sakkal Majalla" w:eastAsia="Calibri" w:hAnsi="Sakkal Majalla" w:cs="Sakkal Majalla"/>
          <w:color w:val="000000" w:themeColor="text1"/>
          <w:sz w:val="28"/>
          <w:szCs w:val="28"/>
        </w:rPr>
        <w:t xml:space="preserve"> (Bueno et al., 2024</w:t>
      </w:r>
      <w:r w:rsidRPr="00104CDD">
        <w:rPr>
          <w:rFonts w:ascii="Sakkal Majalla" w:eastAsia="Calibri" w:hAnsi="Sakkal Majalla" w:cs="Sakkal Majalla"/>
          <w:color w:val="000000" w:themeColor="text1"/>
          <w:sz w:val="28"/>
          <w:szCs w:val="28"/>
          <w:rtl/>
        </w:rPr>
        <w:t>؛</w:t>
      </w:r>
      <w:r w:rsidRPr="00104CDD">
        <w:rPr>
          <w:rFonts w:ascii="Sakkal Majalla" w:eastAsia="Calibri" w:hAnsi="Sakkal Majalla" w:cs="Sakkal Majalla"/>
          <w:color w:val="000000" w:themeColor="text1"/>
          <w:sz w:val="28"/>
          <w:szCs w:val="28"/>
        </w:rPr>
        <w:t xml:space="preserve"> Mavlutova et al., 2022).</w:t>
      </w:r>
    </w:p>
    <w:p w14:paraId="2AE78885" w14:textId="395359D9" w:rsidR="00E3361A" w:rsidRPr="00104CDD" w:rsidRDefault="00E3361A" w:rsidP="007A344A">
      <w:pPr>
        <w:pStyle w:val="ListParagraph"/>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تعزيز الشفافية والحوكمة المالية</w:t>
      </w:r>
    </w:p>
    <w:p w14:paraId="0F6D2598" w14:textId="77280E26" w:rsidR="00E3361A" w:rsidRPr="00104CDD" w:rsidRDefault="00E3361A"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يهدف التحول الرقمي المالي إلى تحقيق مستويات أعلى من الشفافية والمساءلة داخل المنظمات، من خلال توثيق المعاملات إلكترونيًا وإتاحة مسارات تدقيق واضحة ودقيقة للعمليات المالية (القطاونة والربابعة، 2023)، كما تشير الأدبيات الدولية إلى أن النظم الرقمية تساهم في بناء بيئة مالية خالية من التلاعب، وتعزز من كفاءة المراقبة والتنظيم</w:t>
      </w:r>
      <w:r w:rsidRPr="00104CDD">
        <w:rPr>
          <w:rFonts w:ascii="Sakkal Majalla" w:eastAsia="Calibri" w:hAnsi="Sakkal Majalla" w:cs="Sakkal Majalla"/>
          <w:color w:val="000000" w:themeColor="text1"/>
          <w:sz w:val="28"/>
          <w:szCs w:val="28"/>
        </w:rPr>
        <w:t xml:space="preserve"> (Tsindeliani et al., 2022).</w:t>
      </w:r>
    </w:p>
    <w:p w14:paraId="2944695D" w14:textId="003EE238" w:rsidR="00632AD8" w:rsidRPr="00104CDD" w:rsidRDefault="00385C6B" w:rsidP="00385C6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43" w:name="_Toc214109314"/>
      <w:r w:rsidRPr="00104CDD">
        <w:rPr>
          <w:rFonts w:ascii="Sakkal Majalla" w:eastAsia="Calibri" w:hAnsi="Sakkal Majalla" w:cs="Sakkal Majalla" w:hint="cs"/>
          <w:b/>
          <w:bCs/>
          <w:color w:val="000000" w:themeColor="text1"/>
          <w:sz w:val="32"/>
          <w:szCs w:val="32"/>
          <w:rtl/>
        </w:rPr>
        <w:t xml:space="preserve">5.1.2 </w:t>
      </w:r>
      <w:r w:rsidR="00632AD8" w:rsidRPr="00104CDD">
        <w:rPr>
          <w:rFonts w:ascii="Sakkal Majalla" w:eastAsia="Calibri" w:hAnsi="Sakkal Majalla" w:cs="Sakkal Majalla"/>
          <w:b/>
          <w:bCs/>
          <w:color w:val="000000" w:themeColor="text1"/>
          <w:sz w:val="32"/>
          <w:szCs w:val="32"/>
          <w:rtl/>
        </w:rPr>
        <w:t>أبعاد التحول الرقمي المالي</w:t>
      </w:r>
      <w:bookmarkEnd w:id="43"/>
    </w:p>
    <w:p w14:paraId="296D8A47" w14:textId="3329CFAD"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تم تحديد أبعاد التحول الرقمي المالي في هذه الدراسة استنادًا إلى مجموعة من الأدبيات العربية والدولية التي تناولت مفهوم التحول الرقمي وأبعاده التشغيلية والتقنية، وقد اعتمدت الدراسة بشكل أساسي على الأطر التي عرضها القطاونة والربابعة (2023) في تفسير التحول الرقمي المؤسسي، والدراسات الدولية التي تناولت مكوّنات التحول الرقمي المالي مثل</w:t>
      </w:r>
      <w:r w:rsidRPr="00104CDD">
        <w:rPr>
          <w:rFonts w:ascii="Sakkal Majalla" w:eastAsia="Calibri" w:hAnsi="Sakkal Majalla" w:cs="Sakkal Majalla"/>
          <w:color w:val="000000" w:themeColor="text1"/>
          <w:sz w:val="28"/>
          <w:szCs w:val="28"/>
        </w:rPr>
        <w:t xml:space="preserve"> Mavlutova et al. (2022) </w:t>
      </w:r>
      <w:r w:rsidRPr="00104CDD">
        <w:rPr>
          <w:rFonts w:ascii="Sakkal Majalla" w:eastAsia="Calibri" w:hAnsi="Sakkal Majalla" w:cs="Sakkal Majalla"/>
          <w:color w:val="000000" w:themeColor="text1"/>
          <w:sz w:val="28"/>
          <w:szCs w:val="28"/>
          <w:rtl/>
        </w:rPr>
        <w:t>و</w:t>
      </w:r>
      <w:r w:rsidRPr="00104CDD">
        <w:rPr>
          <w:rFonts w:ascii="Sakkal Majalla" w:eastAsia="Calibri" w:hAnsi="Sakkal Majalla" w:cs="Sakkal Majalla"/>
          <w:color w:val="000000" w:themeColor="text1"/>
          <w:sz w:val="28"/>
          <w:szCs w:val="28"/>
        </w:rPr>
        <w:t xml:space="preserve"> Liu et al. (2023) </w:t>
      </w:r>
      <w:r w:rsidRPr="00104CDD">
        <w:rPr>
          <w:rFonts w:ascii="Sakkal Majalla" w:eastAsia="Calibri" w:hAnsi="Sakkal Majalla" w:cs="Sakkal Majalla"/>
          <w:color w:val="000000" w:themeColor="text1"/>
          <w:sz w:val="28"/>
          <w:szCs w:val="28"/>
          <w:rtl/>
        </w:rPr>
        <w:t>و</w:t>
      </w:r>
      <w:r w:rsidRPr="00104CDD">
        <w:rPr>
          <w:rFonts w:ascii="Sakkal Majalla" w:eastAsia="Calibri" w:hAnsi="Sakkal Majalla" w:cs="Sakkal Majalla"/>
          <w:color w:val="000000" w:themeColor="text1"/>
          <w:sz w:val="28"/>
          <w:szCs w:val="28"/>
        </w:rPr>
        <w:t xml:space="preserve"> Bueno et al. (2024)</w:t>
      </w:r>
      <w:r w:rsidRPr="00104CDD">
        <w:rPr>
          <w:rFonts w:ascii="Sakkal Majalla" w:eastAsia="Calibri" w:hAnsi="Sakkal Majalla" w:cs="Sakkal Majalla"/>
          <w:color w:val="000000" w:themeColor="text1"/>
          <w:sz w:val="28"/>
          <w:szCs w:val="28"/>
          <w:rtl/>
        </w:rPr>
        <w:t xml:space="preserve">، والتي أشارت جميعها إلى أن التحول الرقمي المالي عملية متعددة الأبعاد ترتبط </w:t>
      </w:r>
      <w:r w:rsidRPr="00104CDD">
        <w:rPr>
          <w:rFonts w:ascii="Sakkal Majalla" w:eastAsia="Calibri" w:hAnsi="Sakkal Majalla" w:cs="Sakkal Majalla"/>
          <w:color w:val="000000" w:themeColor="text1"/>
          <w:sz w:val="28"/>
          <w:szCs w:val="28"/>
          <w:rtl/>
        </w:rPr>
        <w:lastRenderedPageBreak/>
        <w:t>بالعمليات الرقمية، ونموذج العمل الرقمي، وأنشطة العملاء الرقمية، وتقنيات الذكاء الاصطناعي وتعلم الآلة. وبناءً على ذلك، تُعد الأبعاد الأربعة التالية إطارًا شاملًا لقياس مستوى التحول الرقمي المالي داخل الهيئات التنظيمية</w:t>
      </w:r>
      <w:r w:rsidRPr="00104CDD">
        <w:rPr>
          <w:rFonts w:ascii="Sakkal Majalla" w:eastAsia="Calibri" w:hAnsi="Sakkal Majalla" w:cs="Sakkal Majalla"/>
          <w:color w:val="000000" w:themeColor="text1"/>
          <w:sz w:val="28"/>
          <w:szCs w:val="28"/>
        </w:rPr>
        <w:t>.</w:t>
      </w:r>
    </w:p>
    <w:p w14:paraId="48E2D542" w14:textId="2F35A163" w:rsidR="00632AD8" w:rsidRPr="00104CDD" w:rsidRDefault="00632AD8" w:rsidP="007A344A">
      <w:pPr>
        <w:pStyle w:val="ListParagraph"/>
        <w:numPr>
          <w:ilvl w:val="0"/>
          <w:numId w:val="19"/>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rPr>
      </w:pPr>
      <w:r w:rsidRPr="00104CDD">
        <w:rPr>
          <w:rFonts w:ascii="Sakkal Majalla" w:eastAsia="Calibri" w:hAnsi="Sakkal Majalla" w:cs="Sakkal Majalla"/>
          <w:b/>
          <w:bCs/>
          <w:color w:val="000000" w:themeColor="text1"/>
          <w:sz w:val="28"/>
          <w:szCs w:val="28"/>
          <w:rtl/>
        </w:rPr>
        <w:t>العمليات الرقمية</w:t>
      </w:r>
      <w:r w:rsidRPr="00104CDD">
        <w:rPr>
          <w:rFonts w:ascii="Sakkal Majalla" w:eastAsia="Calibri" w:hAnsi="Sakkal Majalla" w:cs="Sakkal Majalla"/>
          <w:b/>
          <w:bCs/>
          <w:color w:val="000000" w:themeColor="text1"/>
          <w:sz w:val="28"/>
          <w:szCs w:val="28"/>
        </w:rPr>
        <w:t xml:space="preserve"> Digital Operations</w:t>
      </w:r>
    </w:p>
    <w:p w14:paraId="48077165"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 xml:space="preserve">تُعد العمليات الرقمية أحد أهم أبعاد التحول الرقمي المالي، إذ تمثل مجموعة الأنشطة والإجراءات التي تتم معالجتها باستخدام الأنظمة الإلكترونية بدلاً من الأساليب التقليدية الورقية،  ويشمل ذلك أتمتة الأعمال المالية، وإدارة تدفق العمل، وتحويل الأنشطة المعقدة إلى إجراءات رقمية منظمة. وقد أكدت الأدبيات أن العمليات الرقمية تسهم في تعزيز الدقة التشغيلية، وتقليل الأخطاء البشرية، وتوفير قدرة أكبر على متابعة سير العمليات لحظيًا (الجبور والزيديين، 2022). </w:t>
      </w:r>
    </w:p>
    <w:p w14:paraId="70F09169" w14:textId="7B640B03"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كما أشارت الدراسات الدولية إلى أن المؤسسات التي تعتمد على النظم الرقمية، مثل أنظمة تخطيط الموارد</w:t>
      </w:r>
      <w:r w:rsidRPr="00104CDD">
        <w:rPr>
          <w:rFonts w:ascii="Sakkal Majalla" w:eastAsia="Calibri" w:hAnsi="Sakkal Majalla" w:cs="Sakkal Majalla"/>
          <w:color w:val="000000" w:themeColor="text1"/>
          <w:sz w:val="28"/>
          <w:szCs w:val="28"/>
        </w:rPr>
        <w:t xml:space="preserve"> (ERP) </w:t>
      </w:r>
      <w:r w:rsidRPr="00104CDD">
        <w:rPr>
          <w:rFonts w:ascii="Sakkal Majalla" w:eastAsia="Calibri" w:hAnsi="Sakkal Majalla" w:cs="Sakkal Majalla"/>
          <w:color w:val="000000" w:themeColor="text1"/>
          <w:sz w:val="28"/>
          <w:szCs w:val="28"/>
          <w:rtl/>
        </w:rPr>
        <w:t>والعمليات الروبوتية الآلية</w:t>
      </w:r>
      <w:r w:rsidRPr="00104CDD">
        <w:rPr>
          <w:rFonts w:ascii="Sakkal Majalla" w:eastAsia="Calibri" w:hAnsi="Sakkal Majalla" w:cs="Sakkal Majalla"/>
          <w:color w:val="000000" w:themeColor="text1"/>
          <w:sz w:val="28"/>
          <w:szCs w:val="28"/>
        </w:rPr>
        <w:t xml:space="preserve"> (RPA)</w:t>
      </w:r>
      <w:r w:rsidRPr="00104CDD">
        <w:rPr>
          <w:rFonts w:ascii="Sakkal Majalla" w:eastAsia="Calibri" w:hAnsi="Sakkal Majalla" w:cs="Sakkal Majalla"/>
          <w:color w:val="000000" w:themeColor="text1"/>
          <w:sz w:val="28"/>
          <w:szCs w:val="28"/>
          <w:rtl/>
        </w:rPr>
        <w:t>، تصبح أكثر قدرة على تحسين جودة المعاملات وتقليل الزمن المستغرق في إنجاز العمليات المالية</w:t>
      </w:r>
      <w:r w:rsidRPr="00104CDD">
        <w:rPr>
          <w:rFonts w:ascii="Sakkal Majalla" w:eastAsia="Calibri" w:hAnsi="Sakkal Majalla" w:cs="Sakkal Majalla"/>
          <w:color w:val="000000" w:themeColor="text1"/>
          <w:sz w:val="28"/>
          <w:szCs w:val="28"/>
        </w:rPr>
        <w:t xml:space="preserve"> (Mavlutova et al., 2022).</w:t>
      </w:r>
    </w:p>
    <w:p w14:paraId="4ACCE054" w14:textId="5AD4477E"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وتمثل العمليات الرقمية الأساس الذي تقوم عليه بقية أبعاد التحول الرقمي، حيث تُبنى عليها إمكانات التكامل المالي، وإعادة تصميم الإجراءات، وتطوير الخدمات، ودعم اتخاذ القرار، كما تتيح تلك العمليات مراقبة دقيقة للمعاملات والتدفقات المالية، بما يعزز الضبط الداخلي ويرفع مستوى الشفافية التشغيلية. ومن ثم فإن قدرة المؤسسة على التحول الرقمي ترتبط ارتباطًا وثيقًا بمجموعة الأنظمة والمنصات المستخدمة في تشغيل عملياتها المالية اليومية</w:t>
      </w:r>
      <w:r w:rsidRPr="00104CDD">
        <w:rPr>
          <w:rFonts w:ascii="Sakkal Majalla" w:eastAsia="Calibri" w:hAnsi="Sakkal Majalla" w:cs="Sakkal Majalla"/>
          <w:color w:val="000000" w:themeColor="text1"/>
          <w:sz w:val="28"/>
          <w:szCs w:val="28"/>
        </w:rPr>
        <w:t>.</w:t>
      </w:r>
    </w:p>
    <w:p w14:paraId="30C6D800" w14:textId="0E20B687" w:rsidR="00632AD8" w:rsidRPr="00104CDD" w:rsidRDefault="00632AD8"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rPr>
      </w:pPr>
      <w:r w:rsidRPr="00104CDD">
        <w:rPr>
          <w:rFonts w:ascii="Sakkal Majalla" w:eastAsia="Calibri" w:hAnsi="Sakkal Majalla" w:cs="Sakkal Majalla"/>
          <w:b/>
          <w:bCs/>
          <w:color w:val="000000" w:themeColor="text1"/>
          <w:sz w:val="28"/>
          <w:szCs w:val="28"/>
          <w:rtl/>
        </w:rPr>
        <w:t>نموذج العمل الرقمي</w:t>
      </w:r>
      <w:r w:rsidRPr="00104CDD">
        <w:rPr>
          <w:rFonts w:ascii="Sakkal Majalla" w:eastAsia="Calibri" w:hAnsi="Sakkal Majalla" w:cs="Sakkal Majalla"/>
          <w:b/>
          <w:bCs/>
          <w:color w:val="000000" w:themeColor="text1"/>
          <w:sz w:val="28"/>
          <w:szCs w:val="28"/>
        </w:rPr>
        <w:t xml:space="preserve"> Digital Business Model</w:t>
      </w:r>
    </w:p>
    <w:p w14:paraId="14B4842C" w14:textId="30F6A7D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 xml:space="preserve">يشير نموذج العمل الرقمي إلى إعادة تصميم النمط الذي تعتمد عليه المؤسسة في تقديم خدماتها المالية، وتحقيق القيمة، وإدارة مواردها، باستخدام الأدوات الرقمية الحديثة، وهو بُعد يتجاوز مجرد رقمنة الإجراءات إلى تحويل جوهري في طريقة التفكير وبنية العمل المؤسسي، وقد أوضح العمريين والربابعة </w:t>
      </w:r>
      <w:r w:rsidRPr="00104CDD">
        <w:rPr>
          <w:rFonts w:ascii="Sakkal Majalla" w:eastAsia="Calibri" w:hAnsi="Sakkal Majalla" w:cs="Sakkal Majalla"/>
          <w:color w:val="000000" w:themeColor="text1"/>
          <w:sz w:val="28"/>
          <w:szCs w:val="28"/>
          <w:rtl/>
        </w:rPr>
        <w:lastRenderedPageBreak/>
        <w:t>(2023) أن نموذج العمل الرقمي يمثل تحوّلًا استراتيجيًا يقوم على دمج التكنولوجيا في بنيات العمل، بما يسهم في تعزيز الأداء المؤسسي ورفع مستوى المرونة التشغيلية</w:t>
      </w:r>
      <w:r w:rsidRPr="00104CDD">
        <w:rPr>
          <w:rFonts w:ascii="Sakkal Majalla" w:eastAsia="Calibri" w:hAnsi="Sakkal Majalla" w:cs="Sakkal Majalla"/>
          <w:color w:val="000000" w:themeColor="text1"/>
          <w:sz w:val="28"/>
          <w:szCs w:val="28"/>
        </w:rPr>
        <w:t>.</w:t>
      </w:r>
    </w:p>
    <w:p w14:paraId="556ED5A1" w14:textId="3B3EBD28"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ويرتبط هذا البعد بإعادة هندسة العمليات، وإعادة توزيع الأدوار، وتصميم خدمات مالية جديدة مبنية على البيانات والتحليلات الذكية. وتشير الأدبيات الدولية إلى أن المؤسسات التي تنجح في تطوير نموذج عمل رقمي تكون أكثر قدرة على الابتكار والخروج بخدمات مالية أكثر كفاءة، خاصة في ظل الظروف المتغيرة بيئيًا وتكنولوجيًا(</w:t>
      </w:r>
      <w:r w:rsidRPr="00104CDD">
        <w:rPr>
          <w:rFonts w:ascii="Sakkal Majalla" w:eastAsia="Calibri" w:hAnsi="Sakkal Majalla" w:cs="Sakkal Majalla"/>
          <w:color w:val="000000" w:themeColor="text1"/>
          <w:sz w:val="28"/>
          <w:szCs w:val="28"/>
        </w:rPr>
        <w:t xml:space="preserve"> (Bueno et al., 2024</w:t>
      </w:r>
      <w:r w:rsidRPr="00104CDD">
        <w:rPr>
          <w:rFonts w:ascii="Sakkal Majalla" w:eastAsia="Calibri" w:hAnsi="Sakkal Majalla" w:cs="Sakkal Majalla"/>
          <w:color w:val="000000" w:themeColor="text1"/>
          <w:sz w:val="28"/>
          <w:szCs w:val="28"/>
          <w:rtl/>
        </w:rPr>
        <w:t xml:space="preserve"> كما يسهم هذا النموذج في خلق بيئة عمل ديناميكية، توفر القدرة على التوسع واستخدام المنصات الرقمية المترابطة، وتعزز من قدرة المؤسسة على اتخاذ قرارات دقيقة مستندة إلى مؤشرات لحظية</w:t>
      </w:r>
      <w:r w:rsidRPr="00104CDD">
        <w:rPr>
          <w:rFonts w:ascii="Sakkal Majalla" w:eastAsia="Calibri" w:hAnsi="Sakkal Majalla" w:cs="Sakkal Majalla"/>
          <w:color w:val="000000" w:themeColor="text1"/>
          <w:sz w:val="28"/>
          <w:szCs w:val="28"/>
        </w:rPr>
        <w:t>.</w:t>
      </w:r>
    </w:p>
    <w:p w14:paraId="4615C0C2"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وبذلك، يشكل نموذج العمل الرقمي الإطار الذي يوحد الأنظمة الرقمية ويقود عملية تطوير الخدمات المالية ويحقق التكامل بين وظائف المؤسسة</w:t>
      </w:r>
      <w:r w:rsidRPr="00104CDD">
        <w:rPr>
          <w:rFonts w:ascii="Sakkal Majalla" w:eastAsia="Calibri" w:hAnsi="Sakkal Majalla" w:cs="Sakkal Majalla"/>
          <w:color w:val="000000" w:themeColor="text1"/>
          <w:sz w:val="28"/>
          <w:szCs w:val="28"/>
        </w:rPr>
        <w:t>.</w:t>
      </w:r>
    </w:p>
    <w:p w14:paraId="564568F8" w14:textId="44F28EBA" w:rsidR="00632AD8" w:rsidRPr="00104CDD" w:rsidRDefault="00632AD8"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rPr>
      </w:pPr>
      <w:r w:rsidRPr="00104CDD">
        <w:rPr>
          <w:rFonts w:ascii="Sakkal Majalla" w:eastAsia="Calibri" w:hAnsi="Sakkal Majalla" w:cs="Sakkal Majalla"/>
          <w:b/>
          <w:bCs/>
          <w:color w:val="000000" w:themeColor="text1"/>
          <w:sz w:val="28"/>
          <w:szCs w:val="28"/>
          <w:rtl/>
        </w:rPr>
        <w:t>أنشطة العملاء الرقمية</w:t>
      </w:r>
      <w:r w:rsidRPr="00104CDD">
        <w:rPr>
          <w:rFonts w:ascii="Sakkal Majalla" w:eastAsia="Calibri" w:hAnsi="Sakkal Majalla" w:cs="Sakkal Majalla"/>
          <w:b/>
          <w:bCs/>
          <w:color w:val="000000" w:themeColor="text1"/>
          <w:sz w:val="28"/>
          <w:szCs w:val="28"/>
        </w:rPr>
        <w:t xml:space="preserve"> Digital Customer Activities</w:t>
      </w:r>
    </w:p>
    <w:p w14:paraId="3FD8DAB2" w14:textId="55ECDD3C"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يمثل هذا البعد أحد المحركات الأساسية لتوجه المؤسسات نحو التحول الرقمي المالي، إذ يرتبط بتحسين الخدمات المقدمة للمستفيدين وتمكينهم من تنفيذ معاملاتهم المالية عبر قنوات رقمية سريعة ومرنة، ويشمل هذا البعد جميع الأنشطة الرقمية التي تتعلق بالتفاعل بين المؤسسة والمستفيدين، مثل المدفوعات الإلكترونية، والبوابات الرقمية، والمراسلات الإلكترونية، وتسهيل عمليات التقديم والمتابعة عبر منصات رقمية</w:t>
      </w:r>
      <w:r w:rsidRPr="00104CDD">
        <w:rPr>
          <w:rFonts w:ascii="Sakkal Majalla" w:eastAsia="Calibri" w:hAnsi="Sakkal Majalla" w:cs="Sakkal Majalla"/>
          <w:color w:val="000000" w:themeColor="text1"/>
          <w:sz w:val="28"/>
          <w:szCs w:val="28"/>
        </w:rPr>
        <w:t>.</w:t>
      </w:r>
    </w:p>
    <w:p w14:paraId="341C9AFD" w14:textId="2C73CF71"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وقد أشارت الأدبيات إلى أن تعزيز أنشطة العملاء الرقمية يسهم في رفع مستوى الرضا وزيادة جودة الخدمات (شحاتة ورضوان، 2024؛ العريمي والحراحشة، 2024)،  كما أكدت الدراسات الدولية أن المؤسسات التي توفر خدمات مالية رقمية متكاملة تكون أكثر قدرة على كسب ثقة المستفيدين وتحقيق كفاءة تشغيلية أعلى بسبب انخفاض الضغط على الموارد البشرية واعتماد المستفيدين على الخدمات الذاتية</w:t>
      </w:r>
      <w:r w:rsidRPr="00104CDD">
        <w:rPr>
          <w:rFonts w:ascii="Sakkal Majalla" w:eastAsia="Calibri" w:hAnsi="Sakkal Majalla" w:cs="Sakkal Majalla"/>
          <w:color w:val="000000" w:themeColor="text1"/>
          <w:sz w:val="28"/>
          <w:szCs w:val="28"/>
        </w:rPr>
        <w:t xml:space="preserve"> (Kitsios et al., 2021).</w:t>
      </w:r>
    </w:p>
    <w:p w14:paraId="718B7140"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lastRenderedPageBreak/>
        <w:t>ويمثل هذا البعد جسرًا مباشرًا بين المتغيرات المالية الداخلية للمؤسسة واحتياجات العملاء، حيث يعكس مدى نضج الأنظمة المالية الرقمية، وقدرة المؤسسة على تقديم خدمات رقمية ذات جودة عالية</w:t>
      </w:r>
      <w:r w:rsidRPr="00104CDD">
        <w:rPr>
          <w:rFonts w:ascii="Sakkal Majalla" w:eastAsia="Calibri" w:hAnsi="Sakkal Majalla" w:cs="Sakkal Majalla"/>
          <w:color w:val="000000" w:themeColor="text1"/>
          <w:sz w:val="28"/>
          <w:szCs w:val="28"/>
        </w:rPr>
        <w:t>.</w:t>
      </w:r>
    </w:p>
    <w:p w14:paraId="0C7C497A" w14:textId="25EC2423" w:rsidR="00632AD8" w:rsidRPr="00104CDD" w:rsidRDefault="00632AD8"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tl/>
        </w:rPr>
      </w:pPr>
      <w:r w:rsidRPr="00104CDD">
        <w:rPr>
          <w:rFonts w:ascii="Sakkal Majalla" w:eastAsia="Calibri" w:hAnsi="Sakkal Majalla" w:cs="Sakkal Majalla"/>
          <w:b/>
          <w:bCs/>
          <w:color w:val="000000" w:themeColor="text1"/>
          <w:sz w:val="28"/>
          <w:szCs w:val="28"/>
          <w:rtl/>
        </w:rPr>
        <w:t>تعلم الآلة</w:t>
      </w:r>
      <w:r w:rsidRPr="00104CDD">
        <w:rPr>
          <w:rFonts w:ascii="Sakkal Majalla" w:eastAsia="Calibri" w:hAnsi="Sakkal Majalla" w:cs="Sakkal Majalla"/>
          <w:b/>
          <w:bCs/>
          <w:color w:val="000000" w:themeColor="text1"/>
          <w:sz w:val="28"/>
          <w:szCs w:val="28"/>
        </w:rPr>
        <w:t xml:space="preserve"> Machine Learning</w:t>
      </w:r>
    </w:p>
    <w:p w14:paraId="171B739D" w14:textId="01745C9E"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يعد تعلم الآلة أحد الأبعاد المتقدمة للتحول الرقمي المالي، إذ يمثل استخدام الخوارزميات الذكية والنماذج الإحصائية لتحليل البيانات المالية المعقدة والتنبؤ بالاتجاهات المستقبلية بشكل دقيق وفعّال. وقد أكدت الأدبيات الدولية أن تعلم الآلة أصبح جزءًا أساسيًا من الأنظمة المالية الرقمية الحديثة، لما يوفره من قدرات تحليلية تعزز من جودة التنبؤ المالي والرقابة التشغيلية</w:t>
      </w:r>
      <w:r w:rsidRPr="00104CDD">
        <w:rPr>
          <w:rFonts w:ascii="Sakkal Majalla" w:eastAsia="Calibri" w:hAnsi="Sakkal Majalla" w:cs="Sakkal Majalla"/>
          <w:color w:val="000000" w:themeColor="text1"/>
          <w:sz w:val="28"/>
          <w:szCs w:val="28"/>
        </w:rPr>
        <w:t xml:space="preserve"> Liu et al., 2023).</w:t>
      </w:r>
      <w:r w:rsidRPr="00104CDD">
        <w:rPr>
          <w:rFonts w:ascii="Sakkal Majalla" w:eastAsia="Calibri" w:hAnsi="Sakkal Majalla" w:cs="Sakkal Majalla"/>
          <w:color w:val="000000" w:themeColor="text1"/>
          <w:sz w:val="28"/>
          <w:szCs w:val="28"/>
          <w:rtl/>
        </w:rPr>
        <w:t xml:space="preserve"> )</w:t>
      </w:r>
    </w:p>
    <w:p w14:paraId="0C4E7C4B"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وتشير البحوث الحديثة إلى أن تعلم الآلة يسهم في اكتشاف الأنماط غير الظاهرة في البيانات المالية، وكشف العمليات غير الاعتيادية، وزيادة دقة التقارير المالية، مما يرفع مستوى الشفافية والضبط الداخلي</w:t>
      </w:r>
      <w:r w:rsidRPr="00104CDD">
        <w:rPr>
          <w:rFonts w:ascii="Sakkal Majalla" w:eastAsia="Calibri" w:hAnsi="Sakkal Majalla" w:cs="Sakkal Majalla"/>
          <w:color w:val="000000" w:themeColor="text1"/>
          <w:sz w:val="28"/>
          <w:szCs w:val="28"/>
        </w:rPr>
        <w:t xml:space="preserve"> (Bueno et al., 2024). </w:t>
      </w:r>
      <w:r w:rsidRPr="00104CDD">
        <w:rPr>
          <w:rFonts w:ascii="Sakkal Majalla" w:eastAsia="Calibri" w:hAnsi="Sakkal Majalla" w:cs="Sakkal Majalla"/>
          <w:color w:val="000000" w:themeColor="text1"/>
          <w:sz w:val="28"/>
          <w:szCs w:val="28"/>
          <w:rtl/>
        </w:rPr>
        <w:t>كما يدعم هذا البعد عمليات اتخاذ القرار من خلال توفير نماذج تنبؤية تساعد في تحسين التخطيط المالي وإدارة المخاطر وتخصيص الموارد بكفاءة</w:t>
      </w:r>
      <w:r w:rsidRPr="00104CDD">
        <w:rPr>
          <w:rFonts w:ascii="Sakkal Majalla" w:eastAsia="Calibri" w:hAnsi="Sakkal Majalla" w:cs="Sakkal Majalla"/>
          <w:color w:val="000000" w:themeColor="text1"/>
          <w:sz w:val="28"/>
          <w:szCs w:val="28"/>
        </w:rPr>
        <w:t>.</w:t>
      </w:r>
    </w:p>
    <w:p w14:paraId="32C0CE9B" w14:textId="1F86784E" w:rsidR="00E3361A"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104CDD">
        <w:rPr>
          <w:rFonts w:ascii="Sakkal Majalla" w:eastAsia="Calibri" w:hAnsi="Sakkal Majalla" w:cs="Sakkal Majalla"/>
          <w:color w:val="000000" w:themeColor="text1"/>
          <w:sz w:val="28"/>
          <w:szCs w:val="28"/>
          <w:rtl/>
        </w:rPr>
        <w:t>ويُعد تعلم الآلة خطوة متقدمة في التحول الرقمي المالي، لأنه يوفر للمؤسسة القدرة على التفاعل الذكي مع البيانات بدلاً من معالجتها فقط، مما يعكس مرحلة نضج رقمي أعمق.</w:t>
      </w:r>
    </w:p>
    <w:p w14:paraId="6318AD51" w14:textId="77777777" w:rsidR="00E3361A" w:rsidRPr="00104CDD" w:rsidRDefault="00E3361A"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7E6C89DA" w14:textId="77777777" w:rsidR="0050776A" w:rsidRPr="00104CDD" w:rsidRDefault="0050776A"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2403171F" w14:textId="77777777" w:rsidR="00941505" w:rsidRPr="00104CDD" w:rsidRDefault="00941505"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F9FB546" w14:textId="77777777" w:rsidR="00941505" w:rsidRPr="00104CDD" w:rsidRDefault="00941505"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258854E7" w14:textId="77777777" w:rsidR="00941505" w:rsidRPr="00104CDD" w:rsidRDefault="00941505"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14D07FD4" w14:textId="3819DC58" w:rsidR="00632AD8" w:rsidRPr="00104CDD" w:rsidRDefault="00632AD8" w:rsidP="00385C6B">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4" w:name="_Toc214109315"/>
      <w:r w:rsidRPr="00104CDD">
        <w:rPr>
          <w:rFonts w:ascii="Sakkal Majalla" w:eastAsia="Calibri" w:hAnsi="Sakkal Majalla" w:cs="Sakkal Majalla"/>
          <w:b/>
          <w:bCs/>
          <w:color w:val="000000" w:themeColor="text1"/>
          <w:sz w:val="36"/>
          <w:szCs w:val="36"/>
          <w:rtl/>
        </w:rPr>
        <w:lastRenderedPageBreak/>
        <w:t>المبحث الثاني: تحسين كفاءة العمليات في الهيئات التنظيمية</w:t>
      </w:r>
      <w:bookmarkEnd w:id="44"/>
    </w:p>
    <w:p w14:paraId="1DC4987F" w14:textId="33241062" w:rsidR="00632AD8" w:rsidRPr="00104CDD" w:rsidRDefault="00385C6B" w:rsidP="00385C6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14109316"/>
      <w:r w:rsidRPr="00104CDD">
        <w:rPr>
          <w:rFonts w:ascii="Sakkal Majalla" w:eastAsia="Calibri" w:hAnsi="Sakkal Majalla" w:cs="Sakkal Majalla" w:hint="cs"/>
          <w:b/>
          <w:bCs/>
          <w:color w:val="000000" w:themeColor="text1"/>
          <w:sz w:val="32"/>
          <w:szCs w:val="32"/>
          <w:rtl/>
        </w:rPr>
        <w:t xml:space="preserve">1.2.2 </w:t>
      </w:r>
      <w:r w:rsidR="00632AD8" w:rsidRPr="00104CDD">
        <w:rPr>
          <w:rFonts w:ascii="Sakkal Majalla" w:eastAsia="Calibri" w:hAnsi="Sakkal Majalla" w:cs="Sakkal Majalla"/>
          <w:b/>
          <w:bCs/>
          <w:color w:val="000000" w:themeColor="text1"/>
          <w:sz w:val="32"/>
          <w:szCs w:val="32"/>
          <w:rtl/>
        </w:rPr>
        <w:t xml:space="preserve"> التمهيد</w:t>
      </w:r>
      <w:bookmarkEnd w:id="45"/>
    </w:p>
    <w:p w14:paraId="1A1B079F" w14:textId="79311CCF"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تُعد كفاءة العمليات أحد المحاور الأساسية التي تستند عليها المؤسسات الحديثة في تحقيق أهدافها التشغيلية والتنظيمية، خاصة في ظل التحديات المتسارعة التي تفرضها البيئة الرقمية، وضغط المستفيدين نحو خدمات أكثر سرعة وجودة وشفافية، وتمثل كفاءة العمليات معيارًا جوهريًا لقياس قدرة المؤسسة على استخدام مواردها البشرية، والتكنولوجية، والمالية بشكل فعّال، بما يضمن تحسين الأداء وتقليل الهدر وتحقيق مستويات أعلى من الجودة. وتزداد أهمية هذا المفهوم في الهيئات التنظيمية الحكومية، التي تتولى تنفيذ السياسات، وتطبيق الأنظمة، وتقديم خدمات رقابية وإجرائية تتطلب دقة عالية وسرعة في الاستجابة</w:t>
      </w:r>
      <w:r w:rsidRPr="00104CDD">
        <w:rPr>
          <w:rFonts w:ascii="Sakkal Majalla" w:eastAsia="Calibri" w:hAnsi="Sakkal Majalla" w:cs="Sakkal Majalla"/>
          <w:color w:val="000000" w:themeColor="text1"/>
          <w:sz w:val="28"/>
          <w:szCs w:val="28"/>
        </w:rPr>
        <w:t>.</w:t>
      </w:r>
    </w:p>
    <w:p w14:paraId="1A001D2E"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وفي ظل التحولات الرقمية التي تشهدها المؤسسات، أصبحت كفاءة العمليات أحد أهم النتائج المتوقعة من تطبيق الأنظمة الرقمية، وتقنيات الأتمتة، والتحليلات الذكية. إذ لا يُنظر إلى التحول الرقمي بصفته مجرد تطوير تكنولوجي، بل باعتباره وسيلة استراتيجية لضمان تحسين الكفاءة، وتحقيق التميز المؤسسي، وتطوير أداء الهيئات التنظيمية بشكل مستدام. ومن هذا المنطلق، برز الاهتمام بدراسة أثر التحول الرقمي المالي على تحسين كفاءة العمليات داخل الهيئات الحكومية، ومنها الهيئة السعودية للملكية الفكرية، التي تواجه توسعًا متزايدًا في حجم الخدمات والتعاملات، مما يجعل تطوير الكفاءة التشغيلية ضرورة مؤسسية ملحّة</w:t>
      </w:r>
      <w:r w:rsidRPr="00104CDD">
        <w:rPr>
          <w:rFonts w:ascii="Sakkal Majalla" w:eastAsia="Calibri" w:hAnsi="Sakkal Majalla" w:cs="Sakkal Majalla"/>
          <w:color w:val="000000" w:themeColor="text1"/>
          <w:sz w:val="28"/>
          <w:szCs w:val="28"/>
        </w:rPr>
        <w:t>.</w:t>
      </w:r>
    </w:p>
    <w:p w14:paraId="02D9575E" w14:textId="54EDA84E" w:rsidR="00632AD8" w:rsidRPr="00104CDD" w:rsidRDefault="00385C6B" w:rsidP="00385C6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6" w:name="_Toc214109317"/>
      <w:r w:rsidRPr="00104CDD">
        <w:rPr>
          <w:rFonts w:ascii="Sakkal Majalla" w:eastAsia="Calibri" w:hAnsi="Sakkal Majalla" w:cs="Sakkal Majalla" w:hint="cs"/>
          <w:b/>
          <w:bCs/>
          <w:color w:val="000000" w:themeColor="text1"/>
          <w:sz w:val="32"/>
          <w:szCs w:val="32"/>
          <w:rtl/>
        </w:rPr>
        <w:t xml:space="preserve">2.2.2 </w:t>
      </w:r>
      <w:r w:rsidR="00632AD8" w:rsidRPr="00104CDD">
        <w:rPr>
          <w:rFonts w:ascii="Sakkal Majalla" w:eastAsia="Calibri" w:hAnsi="Sakkal Majalla" w:cs="Sakkal Majalla"/>
          <w:b/>
          <w:bCs/>
          <w:color w:val="000000" w:themeColor="text1"/>
          <w:sz w:val="32"/>
          <w:szCs w:val="32"/>
          <w:rtl/>
        </w:rPr>
        <w:t>مفهوم تحسين كفاءة العمليات</w:t>
      </w:r>
      <w:bookmarkEnd w:id="46"/>
    </w:p>
    <w:p w14:paraId="66F96E70"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تجمع الأدبيات الحديثة على أن تحسين كفاءة العمليات يمثل أحد الركائز الأساسية التي تعتمد عليها المؤسسات في تطوير أدائها التنظيمي وتحقيق أهدافها التشغيلية. ورغم اختلاف زوايا تناول الباحثين لهذا المفهوم، إلا أن معظمهم يتفقون على أنه يعكس قدرة المنظمة على إنجاز أعمالها بأعلى مستوى من </w:t>
      </w:r>
      <w:r w:rsidRPr="00104CDD">
        <w:rPr>
          <w:rFonts w:ascii="Sakkal Majalla" w:eastAsia="Calibri" w:hAnsi="Sakkal Majalla" w:cs="Sakkal Majalla"/>
          <w:color w:val="000000" w:themeColor="text1"/>
          <w:sz w:val="28"/>
          <w:szCs w:val="28"/>
          <w:rtl/>
        </w:rPr>
        <w:lastRenderedPageBreak/>
        <w:t>الفاعلية، وأقل قدر من التكلفة، وبأعلى درجات الجودة والدقة. وفيما يأتي عرض لتعريفات الباحثين بصورة مترابطة</w:t>
      </w:r>
      <w:r w:rsidRPr="00104CDD">
        <w:rPr>
          <w:rFonts w:ascii="Sakkal Majalla" w:eastAsia="Calibri" w:hAnsi="Sakkal Majalla" w:cs="Sakkal Majalla"/>
          <w:color w:val="000000" w:themeColor="text1"/>
          <w:sz w:val="28"/>
          <w:szCs w:val="28"/>
        </w:rPr>
        <w:t>:</w:t>
      </w:r>
    </w:p>
    <w:p w14:paraId="0A0EAEDC"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يشير الجبور والزيديين</w:t>
      </w:r>
      <w:r w:rsidRPr="00104CDD">
        <w:rPr>
          <w:rFonts w:ascii="Sakkal Majalla" w:eastAsia="Calibri" w:hAnsi="Sakkal Majalla" w:cs="Sakkal Majalla"/>
          <w:color w:val="000000" w:themeColor="text1"/>
          <w:sz w:val="28"/>
          <w:szCs w:val="28"/>
        </w:rPr>
        <w:t xml:space="preserve"> (2022) </w:t>
      </w:r>
      <w:r w:rsidRPr="00104CDD">
        <w:rPr>
          <w:rFonts w:ascii="Sakkal Majalla" w:eastAsia="Calibri" w:hAnsi="Sakkal Majalla" w:cs="Sakkal Majalla"/>
          <w:color w:val="000000" w:themeColor="text1"/>
          <w:sz w:val="28"/>
          <w:szCs w:val="28"/>
          <w:rtl/>
        </w:rPr>
        <w:t>إلى أن تحسين كفاءة العمليات هو عملية تطوير منهجية تستهدف رفع جودة الأداء المؤسسي من خلال تبسيط الإجراءات الداخلية، وتقليل الوقت المستغرق في تنفيذ المعاملات، وتحقيق تكامل وظيفي بين الإدارات بحيث تصبح العمليات أكثر سلاسة ومرونة</w:t>
      </w:r>
      <w:r w:rsidRPr="00104CDD">
        <w:rPr>
          <w:rFonts w:ascii="Sakkal Majalla" w:eastAsia="Calibri" w:hAnsi="Sakkal Majalla" w:cs="Sakkal Majalla"/>
          <w:color w:val="000000" w:themeColor="text1"/>
          <w:sz w:val="28"/>
          <w:szCs w:val="28"/>
        </w:rPr>
        <w:t xml:space="preserve">. </w:t>
      </w:r>
      <w:r w:rsidRPr="00104CDD">
        <w:rPr>
          <w:rFonts w:ascii="Sakkal Majalla" w:eastAsia="Calibri" w:hAnsi="Sakkal Majalla" w:cs="Sakkal Majalla"/>
          <w:color w:val="000000" w:themeColor="text1"/>
          <w:sz w:val="28"/>
          <w:szCs w:val="28"/>
          <w:rtl/>
        </w:rPr>
        <w:t>ويرى الباحثان أن الكفاءة التشغيلية نتاج مباشر لتحديث إجراءات العمل ومعالجة نقاط الضعف في دورة العمليات</w:t>
      </w:r>
      <w:r w:rsidRPr="00104CDD">
        <w:rPr>
          <w:rFonts w:ascii="Sakkal Majalla" w:eastAsia="Calibri" w:hAnsi="Sakkal Majalla" w:cs="Sakkal Majalla"/>
          <w:color w:val="000000" w:themeColor="text1"/>
          <w:sz w:val="28"/>
          <w:szCs w:val="28"/>
        </w:rPr>
        <w:t>.</w:t>
      </w:r>
    </w:p>
    <w:p w14:paraId="7056F52D"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وتتفق دراسة حسين وآخرون</w:t>
      </w:r>
      <w:r w:rsidRPr="00104CDD">
        <w:rPr>
          <w:rFonts w:ascii="Sakkal Majalla" w:eastAsia="Calibri" w:hAnsi="Sakkal Majalla" w:cs="Sakkal Majalla"/>
          <w:color w:val="000000" w:themeColor="text1"/>
          <w:sz w:val="28"/>
          <w:szCs w:val="28"/>
        </w:rPr>
        <w:t xml:space="preserve"> (2023) </w:t>
      </w:r>
      <w:r w:rsidRPr="00104CDD">
        <w:rPr>
          <w:rFonts w:ascii="Sakkal Majalla" w:eastAsia="Calibri" w:hAnsi="Sakkal Majalla" w:cs="Sakkal Majalla"/>
          <w:color w:val="000000" w:themeColor="text1"/>
          <w:sz w:val="28"/>
          <w:szCs w:val="28"/>
          <w:rtl/>
        </w:rPr>
        <w:t>مع هذا التوجه، حيث تُعرّف تحسين كفاءة العمليات بأنه قدرة المؤسسة على إنجاز مهامها التشغيلية بدرجة عالية من الدقة والسرعة، مع الاستخدام الأمثل للموارد البشرية والتقنية، بما يسهم في تقليل الهدر وتحسين جودة مخرجات العمل</w:t>
      </w:r>
      <w:r w:rsidRPr="00104CDD">
        <w:rPr>
          <w:rFonts w:ascii="Sakkal Majalla" w:eastAsia="Calibri" w:hAnsi="Sakkal Majalla" w:cs="Sakkal Majalla"/>
          <w:color w:val="000000" w:themeColor="text1"/>
          <w:sz w:val="28"/>
          <w:szCs w:val="28"/>
        </w:rPr>
        <w:t xml:space="preserve">. </w:t>
      </w:r>
      <w:r w:rsidRPr="00104CDD">
        <w:rPr>
          <w:rFonts w:ascii="Sakkal Majalla" w:eastAsia="Calibri" w:hAnsi="Sakkal Majalla" w:cs="Sakkal Majalla"/>
          <w:color w:val="000000" w:themeColor="text1"/>
          <w:sz w:val="28"/>
          <w:szCs w:val="28"/>
          <w:rtl/>
        </w:rPr>
        <w:t>وتشير الدراسة إلى أن الكفاءة ليست مقتصرة على السرعة فقط، بل تشمل جودة التنفيذ ودقة البيانات</w:t>
      </w:r>
      <w:r w:rsidRPr="00104CDD">
        <w:rPr>
          <w:rFonts w:ascii="Sakkal Majalla" w:eastAsia="Calibri" w:hAnsi="Sakkal Majalla" w:cs="Sakkal Majalla"/>
          <w:color w:val="000000" w:themeColor="text1"/>
          <w:sz w:val="28"/>
          <w:szCs w:val="28"/>
        </w:rPr>
        <w:t>.</w:t>
      </w:r>
    </w:p>
    <w:p w14:paraId="5308B595"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ومن منظور إداري أوسع، يرى القطاونة والربابعة</w:t>
      </w:r>
      <w:r w:rsidRPr="00104CDD">
        <w:rPr>
          <w:rFonts w:ascii="Sakkal Majalla" w:eastAsia="Calibri" w:hAnsi="Sakkal Majalla" w:cs="Sakkal Majalla"/>
          <w:color w:val="000000" w:themeColor="text1"/>
          <w:sz w:val="28"/>
          <w:szCs w:val="28"/>
        </w:rPr>
        <w:t xml:space="preserve"> (2023) </w:t>
      </w:r>
      <w:r w:rsidRPr="00104CDD">
        <w:rPr>
          <w:rFonts w:ascii="Sakkal Majalla" w:eastAsia="Calibri" w:hAnsi="Sakkal Majalla" w:cs="Sakkal Majalla"/>
          <w:color w:val="000000" w:themeColor="text1"/>
          <w:sz w:val="28"/>
          <w:szCs w:val="28"/>
          <w:rtl/>
        </w:rPr>
        <w:t>أن كفاءة العمليات تعني تحقيق أعلى إنتاجية ممكنة من خلال تطوير آليات العمل، وتعزيز فعالية الإجراءات، وبناء بيئة تنظيمية قادرة على تحسين الأداء باستمرار</w:t>
      </w:r>
      <w:r w:rsidRPr="00104CDD">
        <w:rPr>
          <w:rFonts w:ascii="Sakkal Majalla" w:eastAsia="Calibri" w:hAnsi="Sakkal Majalla" w:cs="Sakkal Majalla"/>
          <w:color w:val="000000" w:themeColor="text1"/>
          <w:sz w:val="28"/>
          <w:szCs w:val="28"/>
        </w:rPr>
        <w:t xml:space="preserve">. </w:t>
      </w:r>
      <w:r w:rsidRPr="00104CDD">
        <w:rPr>
          <w:rFonts w:ascii="Sakkal Majalla" w:eastAsia="Calibri" w:hAnsi="Sakkal Majalla" w:cs="Sakkal Majalla"/>
          <w:color w:val="000000" w:themeColor="text1"/>
          <w:sz w:val="28"/>
          <w:szCs w:val="28"/>
          <w:rtl/>
        </w:rPr>
        <w:t>ويؤكدان أن الكفاءة التشغيلية تنبع من قدرة المؤسسة على إعادة تصميم عملياتها الداخلية بما يتناسب مع متطلبات التطوير والتحول المؤسسي</w:t>
      </w:r>
      <w:r w:rsidRPr="00104CDD">
        <w:rPr>
          <w:rFonts w:ascii="Sakkal Majalla" w:eastAsia="Calibri" w:hAnsi="Sakkal Majalla" w:cs="Sakkal Majalla"/>
          <w:color w:val="000000" w:themeColor="text1"/>
          <w:sz w:val="28"/>
          <w:szCs w:val="28"/>
        </w:rPr>
        <w:t>.</w:t>
      </w:r>
    </w:p>
    <w:p w14:paraId="102B073F"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أما على المستوى الدولي، فيعرّف </w:t>
      </w:r>
      <w:r w:rsidRPr="00104CDD">
        <w:rPr>
          <w:rFonts w:ascii="Sakkal Majalla" w:eastAsia="Calibri" w:hAnsi="Sakkal Majalla" w:cs="Sakkal Majalla"/>
          <w:color w:val="000000" w:themeColor="text1"/>
          <w:sz w:val="28"/>
          <w:szCs w:val="28"/>
        </w:rPr>
        <w:t xml:space="preserve">Bueno </w:t>
      </w:r>
      <w:r w:rsidRPr="00104CDD">
        <w:rPr>
          <w:rFonts w:ascii="Sakkal Majalla" w:eastAsia="Calibri" w:hAnsi="Sakkal Majalla" w:cs="Sakkal Majalla"/>
          <w:color w:val="000000" w:themeColor="text1"/>
          <w:sz w:val="28"/>
          <w:szCs w:val="28"/>
          <w:rtl/>
        </w:rPr>
        <w:t>وآخرون</w:t>
      </w:r>
      <w:r w:rsidRPr="00104CDD">
        <w:rPr>
          <w:rFonts w:ascii="Sakkal Majalla" w:eastAsia="Calibri" w:hAnsi="Sakkal Majalla" w:cs="Sakkal Majalla"/>
          <w:color w:val="000000" w:themeColor="text1"/>
          <w:sz w:val="28"/>
          <w:szCs w:val="28"/>
        </w:rPr>
        <w:t xml:space="preserve"> (2024) </w:t>
      </w:r>
      <w:r w:rsidRPr="00104CDD">
        <w:rPr>
          <w:rFonts w:ascii="Sakkal Majalla" w:eastAsia="Calibri" w:hAnsi="Sakkal Majalla" w:cs="Sakkal Majalla"/>
          <w:color w:val="000000" w:themeColor="text1"/>
          <w:sz w:val="28"/>
          <w:szCs w:val="28"/>
          <w:rtl/>
        </w:rPr>
        <w:t>تحسين كفاءة العمليات بأنه القدرة على الوصول إلى نتائج تشغيلية عالية القيمة عبر تقليل الهدر، وتحسين تدفق العمل، والاستفادة من الأنظمة الرقمية التي تدعم سرعة التنفيذ ودقة المخرجات</w:t>
      </w:r>
      <w:r w:rsidRPr="00104CDD">
        <w:rPr>
          <w:rFonts w:ascii="Sakkal Majalla" w:eastAsia="Calibri" w:hAnsi="Sakkal Majalla" w:cs="Sakkal Majalla"/>
          <w:color w:val="000000" w:themeColor="text1"/>
          <w:sz w:val="28"/>
          <w:szCs w:val="28"/>
        </w:rPr>
        <w:t xml:space="preserve">. </w:t>
      </w:r>
      <w:r w:rsidRPr="00104CDD">
        <w:rPr>
          <w:rFonts w:ascii="Sakkal Majalla" w:eastAsia="Calibri" w:hAnsi="Sakkal Majalla" w:cs="Sakkal Majalla"/>
          <w:color w:val="000000" w:themeColor="text1"/>
          <w:sz w:val="28"/>
          <w:szCs w:val="28"/>
          <w:rtl/>
        </w:rPr>
        <w:t>كما يشيرون إلى أهمية التكامل بين النظم الرقمية والهيكل التنظيمي في تحقيق كفاءة مستدامة</w:t>
      </w:r>
      <w:r w:rsidRPr="00104CDD">
        <w:rPr>
          <w:rFonts w:ascii="Sakkal Majalla" w:eastAsia="Calibri" w:hAnsi="Sakkal Majalla" w:cs="Sakkal Majalla"/>
          <w:color w:val="000000" w:themeColor="text1"/>
          <w:sz w:val="28"/>
          <w:szCs w:val="28"/>
        </w:rPr>
        <w:t>.</w:t>
      </w:r>
    </w:p>
    <w:p w14:paraId="5DC1C7DD"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ويذهب </w:t>
      </w:r>
      <w:r w:rsidRPr="00104CDD">
        <w:rPr>
          <w:rFonts w:ascii="Sakkal Majalla" w:eastAsia="Calibri" w:hAnsi="Sakkal Majalla" w:cs="Sakkal Majalla"/>
          <w:color w:val="000000" w:themeColor="text1"/>
          <w:sz w:val="28"/>
          <w:szCs w:val="28"/>
        </w:rPr>
        <w:t xml:space="preserve">Shuai (2025) </w:t>
      </w:r>
      <w:r w:rsidRPr="00104CDD">
        <w:rPr>
          <w:rFonts w:ascii="Sakkal Majalla" w:eastAsia="Calibri" w:hAnsi="Sakkal Majalla" w:cs="Sakkal Majalla"/>
          <w:color w:val="000000" w:themeColor="text1"/>
          <w:sz w:val="28"/>
          <w:szCs w:val="28"/>
          <w:rtl/>
        </w:rPr>
        <w:t xml:space="preserve">إلى أن كفاءة العمليات ترتبط بقدرة المؤسسة على استخدام التقنيات الذكية—مثل التحليلات المتقدمة وتعلم الآلة—لتحسين الإنتاجية وتقليل الأخطاء التشغيلية، وتطوير </w:t>
      </w:r>
      <w:r w:rsidRPr="00104CDD">
        <w:rPr>
          <w:rFonts w:ascii="Sakkal Majalla" w:eastAsia="Calibri" w:hAnsi="Sakkal Majalla" w:cs="Sakkal Majalla"/>
          <w:color w:val="000000" w:themeColor="text1"/>
          <w:sz w:val="28"/>
          <w:szCs w:val="28"/>
          <w:rtl/>
        </w:rPr>
        <w:lastRenderedPageBreak/>
        <w:t>عمليات أكثر استجابة للتغيرات المؤسسية والبيئية</w:t>
      </w:r>
      <w:r w:rsidRPr="00104CDD">
        <w:rPr>
          <w:rFonts w:ascii="Sakkal Majalla" w:eastAsia="Calibri" w:hAnsi="Sakkal Majalla" w:cs="Sakkal Majalla"/>
          <w:color w:val="000000" w:themeColor="text1"/>
          <w:sz w:val="28"/>
          <w:szCs w:val="28"/>
        </w:rPr>
        <w:t xml:space="preserve">. </w:t>
      </w:r>
      <w:r w:rsidRPr="00104CDD">
        <w:rPr>
          <w:rFonts w:ascii="Sakkal Majalla" w:eastAsia="Calibri" w:hAnsi="Sakkal Majalla" w:cs="Sakkal Majalla"/>
          <w:color w:val="000000" w:themeColor="text1"/>
          <w:sz w:val="28"/>
          <w:szCs w:val="28"/>
          <w:rtl/>
        </w:rPr>
        <w:t>وهو ما يجعل الكفاءة التشغيلية عنصرًا حيويًا في البيئة الرقمية الحديثة</w:t>
      </w:r>
      <w:r w:rsidRPr="00104CDD">
        <w:rPr>
          <w:rFonts w:ascii="Sakkal Majalla" w:eastAsia="Calibri" w:hAnsi="Sakkal Majalla" w:cs="Sakkal Majalla"/>
          <w:color w:val="000000" w:themeColor="text1"/>
          <w:sz w:val="28"/>
          <w:szCs w:val="28"/>
        </w:rPr>
        <w:t>.</w:t>
      </w:r>
    </w:p>
    <w:p w14:paraId="6E1D4A2A"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وتشير نتائج </w:t>
      </w:r>
      <w:r w:rsidRPr="00104CDD">
        <w:rPr>
          <w:rFonts w:ascii="Sakkal Majalla" w:eastAsia="Calibri" w:hAnsi="Sakkal Majalla" w:cs="Sakkal Majalla"/>
          <w:color w:val="000000" w:themeColor="text1"/>
          <w:sz w:val="28"/>
          <w:szCs w:val="28"/>
        </w:rPr>
        <w:t xml:space="preserve">Mavlutova </w:t>
      </w:r>
      <w:r w:rsidRPr="00104CDD">
        <w:rPr>
          <w:rFonts w:ascii="Sakkal Majalla" w:eastAsia="Calibri" w:hAnsi="Sakkal Majalla" w:cs="Sakkal Majalla"/>
          <w:color w:val="000000" w:themeColor="text1"/>
          <w:sz w:val="28"/>
          <w:szCs w:val="28"/>
          <w:rtl/>
        </w:rPr>
        <w:t>وآخرون</w:t>
      </w:r>
      <w:r w:rsidRPr="00104CDD">
        <w:rPr>
          <w:rFonts w:ascii="Sakkal Majalla" w:eastAsia="Calibri" w:hAnsi="Sakkal Majalla" w:cs="Sakkal Majalla"/>
          <w:color w:val="000000" w:themeColor="text1"/>
          <w:sz w:val="28"/>
          <w:szCs w:val="28"/>
        </w:rPr>
        <w:t xml:space="preserve"> (2022) </w:t>
      </w:r>
      <w:r w:rsidRPr="00104CDD">
        <w:rPr>
          <w:rFonts w:ascii="Sakkal Majalla" w:eastAsia="Calibri" w:hAnsi="Sakkal Majalla" w:cs="Sakkal Majalla"/>
          <w:color w:val="000000" w:themeColor="text1"/>
          <w:sz w:val="28"/>
          <w:szCs w:val="28"/>
          <w:rtl/>
        </w:rPr>
        <w:t>إلى أن كفاءة العمليات تُعد مؤشرًا لقدرة المؤسسة على تحويل مواردها إلى مخرجات عالية الجودة عبر تبني نظم رقمية ترفع مستوى الدقة وتقلل من عدم الاتساق في إجراءات العمل، مما يسهم في تحسين الفعالية المالية والتنظيمية</w:t>
      </w:r>
      <w:r w:rsidRPr="00104CDD">
        <w:rPr>
          <w:rFonts w:ascii="Sakkal Majalla" w:eastAsia="Calibri" w:hAnsi="Sakkal Majalla" w:cs="Sakkal Majalla"/>
          <w:color w:val="000000" w:themeColor="text1"/>
          <w:sz w:val="28"/>
          <w:szCs w:val="28"/>
        </w:rPr>
        <w:t>.</w:t>
      </w:r>
    </w:p>
    <w:p w14:paraId="6295FE5C"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يرى الباحث أن تحسين كفاءة العمليات يمثل عملية استراتيجية مستمرة تهدف إلى رفع جودة الأداء المؤسسي من خلال تحسين تدفق العمل، وتقليل الهدر، وتسريع الإجراءات، وتعزيز دقة البيانات، واستخدام الموارد بشكل أمثل. وهو مفهوم يتجاوز مجرد تقليل التكاليف أو زيادة الإنتاجية، ليشمل بناء منظومة تشغيلية متكاملة تعتمد على التكنولوجيا الحديثة، وتدعم اتخاذ القرار، وتحقق مستويات أعلى من الشفافية، وتُمكّن الهيئات التنظيمية من تحقيق رسالتها بكفاءة وفاعلية</w:t>
      </w:r>
      <w:r w:rsidRPr="00104CDD">
        <w:rPr>
          <w:rFonts w:ascii="Sakkal Majalla" w:eastAsia="Calibri" w:hAnsi="Sakkal Majalla" w:cs="Sakkal Majalla"/>
          <w:color w:val="000000" w:themeColor="text1"/>
          <w:sz w:val="28"/>
          <w:szCs w:val="28"/>
        </w:rPr>
        <w:t>.</w:t>
      </w:r>
    </w:p>
    <w:p w14:paraId="34114BF0" w14:textId="63D76F66" w:rsidR="00632AD8" w:rsidRPr="00104CDD" w:rsidRDefault="00385C6B" w:rsidP="00385C6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7" w:name="_Toc214109318"/>
      <w:r w:rsidRPr="00104CDD">
        <w:rPr>
          <w:rFonts w:ascii="Sakkal Majalla" w:eastAsia="Calibri" w:hAnsi="Sakkal Majalla" w:cs="Sakkal Majalla" w:hint="cs"/>
          <w:b/>
          <w:bCs/>
          <w:color w:val="000000" w:themeColor="text1"/>
          <w:sz w:val="32"/>
          <w:szCs w:val="32"/>
          <w:rtl/>
        </w:rPr>
        <w:t xml:space="preserve">3.2.2 </w:t>
      </w:r>
      <w:r w:rsidR="00632AD8" w:rsidRPr="00104CDD">
        <w:rPr>
          <w:rFonts w:ascii="Sakkal Majalla" w:eastAsia="Calibri" w:hAnsi="Sakkal Majalla" w:cs="Sakkal Majalla"/>
          <w:b/>
          <w:bCs/>
          <w:color w:val="000000" w:themeColor="text1"/>
          <w:sz w:val="32"/>
          <w:szCs w:val="32"/>
          <w:rtl/>
        </w:rPr>
        <w:t>أهمية تحسين كفاءة العمليات</w:t>
      </w:r>
      <w:bookmarkEnd w:id="47"/>
    </w:p>
    <w:p w14:paraId="553E742A" w14:textId="71C8A4B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تعد كفاءة العمليات أحد الأعمدة الأساسية التي تستند إليها المؤسسات في تحقيق الأداء التنظيمي المتميز، خاصة في الهيئات الحكومية والتنظيمية التي تتعامل مع إجراءات معقدة، وتدفقات معلوماتية كبيرة، ومتطلبات رقابية عالية. وتبرز أهمية كفاءة العمليات في قدرتها على تعزيز فعالية المؤسسة، وتقليل الهدر في الموارد، وتحسين جودة الخدمات، وتمكين القيادة من اتخاذ قرارات دقيقة ومستنيرة. وتتضح أهمية هذا المفهوم في الأدبيات من خلال عدد من الأبعاد الرئيسة، على النحو الآتي</w:t>
      </w:r>
      <w:r w:rsidRPr="00104CDD">
        <w:rPr>
          <w:rFonts w:ascii="Sakkal Majalla" w:eastAsia="Calibri" w:hAnsi="Sakkal Majalla" w:cs="Sakkal Majalla"/>
          <w:color w:val="000000" w:themeColor="text1"/>
          <w:sz w:val="28"/>
          <w:szCs w:val="28"/>
        </w:rPr>
        <w:t>:</w:t>
      </w:r>
    </w:p>
    <w:p w14:paraId="57FB4666" w14:textId="3963FB5D" w:rsidR="00632AD8" w:rsidRPr="00104CDD" w:rsidRDefault="00632AD8"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رفع مستوى الكفاءة التشغيلية وتقليل الهدر في الوقت والجهد</w:t>
      </w:r>
    </w:p>
    <w:p w14:paraId="73D88270" w14:textId="20AA507D"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تشير عدة دراسات إلى أن تحسين كفاءة العمليات يمثل مدخلًا أساسيًا لرفع فعالية المؤسسة وإعادة تنظيم تدفق العمل، بما يسهم في تقليل الزمن المستغرق في إنجاز المعاملات، وتقليل الجهد المبذول في المهام المتكررة (الجبور والزيديين، 2022)</w:t>
      </w:r>
      <w:r w:rsidR="00B84590" w:rsidRPr="00104CDD">
        <w:rPr>
          <w:rFonts w:ascii="Sakkal Majalla" w:eastAsia="Calibri" w:hAnsi="Sakkal Majalla" w:cs="Sakkal Majalla"/>
          <w:color w:val="000000" w:themeColor="text1"/>
          <w:sz w:val="28"/>
          <w:szCs w:val="28"/>
          <w:rtl/>
        </w:rPr>
        <w:t>،</w:t>
      </w:r>
      <w:r w:rsidRPr="00104CDD">
        <w:rPr>
          <w:rFonts w:ascii="Sakkal Majalla" w:eastAsia="Calibri" w:hAnsi="Sakkal Majalla" w:cs="Sakkal Majalla"/>
          <w:color w:val="000000" w:themeColor="text1"/>
          <w:sz w:val="28"/>
          <w:szCs w:val="28"/>
          <w:rtl/>
        </w:rPr>
        <w:t xml:space="preserve"> وتوضح الأدبيات أن المؤسسات التي تعمل على تطوير كفاءة عملياتها تكون أكثر قدرة على تحسين إنتاجية العاملين، وتوجيه جهودهم نحو الأنشطة ذات القيمة </w:t>
      </w:r>
      <w:r w:rsidRPr="00104CDD">
        <w:rPr>
          <w:rFonts w:ascii="Sakkal Majalla" w:eastAsia="Calibri" w:hAnsi="Sakkal Majalla" w:cs="Sakkal Majalla"/>
          <w:color w:val="000000" w:themeColor="text1"/>
          <w:sz w:val="28"/>
          <w:szCs w:val="28"/>
          <w:rtl/>
        </w:rPr>
        <w:lastRenderedPageBreak/>
        <w:t>المضافة، مما يسهم في تحقيق نتائج تشغيلية أفضل بمستوى جهد أقل (حسين وآخرون، 2023)</w:t>
      </w:r>
      <w:r w:rsidR="00B84590" w:rsidRPr="00104CDD">
        <w:rPr>
          <w:rFonts w:ascii="Sakkal Majalla" w:eastAsia="Calibri" w:hAnsi="Sakkal Majalla" w:cs="Sakkal Majalla"/>
          <w:color w:val="000000" w:themeColor="text1"/>
          <w:sz w:val="28"/>
          <w:szCs w:val="28"/>
          <w:rtl/>
        </w:rPr>
        <w:t>،</w:t>
      </w:r>
      <w:r w:rsidRPr="00104CDD">
        <w:rPr>
          <w:rFonts w:ascii="Sakkal Majalla" w:eastAsia="Calibri" w:hAnsi="Sakkal Majalla" w:cs="Sakkal Majalla"/>
          <w:color w:val="000000" w:themeColor="text1"/>
          <w:sz w:val="28"/>
          <w:szCs w:val="28"/>
          <w:rtl/>
        </w:rPr>
        <w:t xml:space="preserve"> كما تؤكد الدراسات الدولية أن تحسين الكفاءة التشغيلية ينعكس مباشرة على جودة الخدمة وعلى قدرة المؤسسة على مواكبة التغيرات التقنية والتنظيمية</w:t>
      </w:r>
      <w:r w:rsidRPr="00104CDD">
        <w:rPr>
          <w:rFonts w:ascii="Sakkal Majalla" w:eastAsia="Calibri" w:hAnsi="Sakkal Majalla" w:cs="Sakkal Majalla"/>
          <w:color w:val="000000" w:themeColor="text1"/>
          <w:sz w:val="28"/>
          <w:szCs w:val="28"/>
        </w:rPr>
        <w:t xml:space="preserve"> (Bueno et al., 2024).</w:t>
      </w:r>
    </w:p>
    <w:p w14:paraId="5410E9CA" w14:textId="40DE9644" w:rsidR="00632AD8" w:rsidRPr="00104CDD" w:rsidRDefault="00632AD8"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تحسين جودة الخدمات ودقة المخرجات التشغيلية</w:t>
      </w:r>
    </w:p>
    <w:p w14:paraId="34499485" w14:textId="52620B1C"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تؤكد الأدبيات أن تحسين كفاءة العمليات يسهم بشكل مباشر في رفع مستوى جودة الخدمات المقدمة للمستفيدين، وذلك من خلال تقليل الأخطاء التشغيلية، وتحسين دقة البيانات، وتعزيز موثوقية الإجراءات (القطاونة والربابعة، 2023). وترى دراسات دولية أن المؤسسات التي تطور كفاءة عملياتها تصبح أكثر قدرة على توفير خدمات موحدة ومستقرة، مما يعزز ثقة المستفيدين ويرفع مستوى رضاهم</w:t>
      </w:r>
      <w:r w:rsidRPr="00104CDD">
        <w:rPr>
          <w:rFonts w:ascii="Sakkal Majalla" w:eastAsia="Calibri" w:hAnsi="Sakkal Majalla" w:cs="Sakkal Majalla"/>
          <w:color w:val="000000" w:themeColor="text1"/>
          <w:sz w:val="28"/>
          <w:szCs w:val="28"/>
        </w:rPr>
        <w:t xml:space="preserve"> (Mavlutova et al., 2022). </w:t>
      </w:r>
      <w:r w:rsidRPr="00104CDD">
        <w:rPr>
          <w:rFonts w:ascii="Sakkal Majalla" w:eastAsia="Calibri" w:hAnsi="Sakkal Majalla" w:cs="Sakkal Majalla"/>
          <w:color w:val="000000" w:themeColor="text1"/>
          <w:sz w:val="28"/>
          <w:szCs w:val="28"/>
          <w:rtl/>
        </w:rPr>
        <w:t>وتبرز أهمية هذا الجانب بشكل خاص في الهيئات التنظيمية التي تعتمد قراراتها على دقة المعلومات وجودة الإجراءات، مما يجعل الكفاءة التشغيلية عنصرًا محوريًا في نجاحها</w:t>
      </w:r>
      <w:r w:rsidRPr="00104CDD">
        <w:rPr>
          <w:rFonts w:ascii="Sakkal Majalla" w:eastAsia="Calibri" w:hAnsi="Sakkal Majalla" w:cs="Sakkal Majalla"/>
          <w:color w:val="000000" w:themeColor="text1"/>
          <w:sz w:val="28"/>
          <w:szCs w:val="28"/>
        </w:rPr>
        <w:t>.</w:t>
      </w:r>
    </w:p>
    <w:p w14:paraId="05D37621" w14:textId="43A57E64" w:rsidR="00632AD8" w:rsidRPr="00104CDD" w:rsidRDefault="00632AD8"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دعم اتخاذ القرار وتعزيز القدرة على التنبؤ</w:t>
      </w:r>
    </w:p>
    <w:p w14:paraId="4C61846D" w14:textId="40CF4B3B"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تشير الدراسات الحديثة إلى أن كفاءة العمليات ترتبط ارتباطًا مباشرًا بقدرة المؤسسة على اتخاذ قرارات دقيقة وفعّالة، إذ إن الإجراءات الفعّالة توفر بيانات حديثة وموثوقة تساعد الإدارة في تقييم الأداء وتحديد أولويات التدخل (حسين وآخرون، 2023)،  كما توضح الأدبيات الدولية أن تحسين كفاءة العمليات يسمح ببناء نظم تحليل وتشخيص دقيقة، وبالتالي تعزيز القدرة على التنبؤ بالاحتياجات المستقبلية وإدارة المخاطر بشكل أفضل</w:t>
      </w:r>
      <w:r w:rsidRPr="00104CDD">
        <w:rPr>
          <w:rFonts w:ascii="Sakkal Majalla" w:eastAsia="Calibri" w:hAnsi="Sakkal Majalla" w:cs="Sakkal Majalla"/>
          <w:color w:val="000000" w:themeColor="text1"/>
          <w:sz w:val="28"/>
          <w:szCs w:val="28"/>
        </w:rPr>
        <w:t xml:space="preserve"> (Shuai, 2025</w:t>
      </w:r>
      <w:r w:rsidRPr="00104CDD">
        <w:rPr>
          <w:rFonts w:ascii="Sakkal Majalla" w:eastAsia="Calibri" w:hAnsi="Sakkal Majalla" w:cs="Sakkal Majalla"/>
          <w:color w:val="000000" w:themeColor="text1"/>
          <w:sz w:val="28"/>
          <w:szCs w:val="28"/>
          <w:rtl/>
        </w:rPr>
        <w:t>؛</w:t>
      </w:r>
      <w:r w:rsidRPr="00104CDD">
        <w:rPr>
          <w:rFonts w:ascii="Sakkal Majalla" w:eastAsia="Calibri" w:hAnsi="Sakkal Majalla" w:cs="Sakkal Majalla"/>
          <w:color w:val="000000" w:themeColor="text1"/>
          <w:sz w:val="28"/>
          <w:szCs w:val="28"/>
        </w:rPr>
        <w:t xml:space="preserve"> Liu et al., 2023). </w:t>
      </w:r>
      <w:r w:rsidRPr="00104CDD">
        <w:rPr>
          <w:rFonts w:ascii="Sakkal Majalla" w:eastAsia="Calibri" w:hAnsi="Sakkal Majalla" w:cs="Sakkal Majalla"/>
          <w:color w:val="000000" w:themeColor="text1"/>
          <w:sz w:val="28"/>
          <w:szCs w:val="28"/>
          <w:rtl/>
        </w:rPr>
        <w:t>ومن ثم فإن كفاءة العمليات تسهم في تحويل المؤسسة من نمط الاستجابة إلى نمط المبادرة والتخطيط الاستراتيجي</w:t>
      </w:r>
      <w:r w:rsidRPr="00104CDD">
        <w:rPr>
          <w:rFonts w:ascii="Sakkal Majalla" w:eastAsia="Calibri" w:hAnsi="Sakkal Majalla" w:cs="Sakkal Majalla"/>
          <w:color w:val="000000" w:themeColor="text1"/>
          <w:sz w:val="28"/>
          <w:szCs w:val="28"/>
        </w:rPr>
        <w:t>.</w:t>
      </w:r>
    </w:p>
    <w:p w14:paraId="54221CC4" w14:textId="6B85F1EB" w:rsidR="00632AD8" w:rsidRPr="00104CDD" w:rsidRDefault="00632AD8"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تعزيز التكامل المؤسسي وتسهيل تدفق العمل بين الوحدات</w:t>
      </w:r>
    </w:p>
    <w:p w14:paraId="62E13F8A" w14:textId="112F8499"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تعد كفاءة العمليات عنصرًا أساسيًا في تعزيز التنسيق بين الإدارات المختلفة، إذ تتيح الإجراءات الفعّالة تكاملًا وظيفيًا أعلى، وتقلل من حالات الازدواجية أو الانقطاع في دورة العمل (القطاونة والربابعة، 2023)، كما تشير الدراسات إلى أن تطوير الكفاءة يساعد في تحسين التواصل المؤسسي، وتسهيل تبادل </w:t>
      </w:r>
      <w:r w:rsidRPr="00104CDD">
        <w:rPr>
          <w:rFonts w:ascii="Sakkal Majalla" w:eastAsia="Calibri" w:hAnsi="Sakkal Majalla" w:cs="Sakkal Majalla"/>
          <w:color w:val="000000" w:themeColor="text1"/>
          <w:sz w:val="28"/>
          <w:szCs w:val="28"/>
          <w:rtl/>
        </w:rPr>
        <w:lastRenderedPageBreak/>
        <w:t>البيانات، وتحقيق التوافق بين الأنظمة التشغيلية المختلفة</w:t>
      </w:r>
      <w:r w:rsidRPr="00104CDD">
        <w:rPr>
          <w:rFonts w:ascii="Sakkal Majalla" w:eastAsia="Calibri" w:hAnsi="Sakkal Majalla" w:cs="Sakkal Majalla"/>
          <w:color w:val="000000" w:themeColor="text1"/>
          <w:sz w:val="28"/>
          <w:szCs w:val="28"/>
        </w:rPr>
        <w:t xml:space="preserve"> (Bueno et al., 2024). </w:t>
      </w:r>
      <w:r w:rsidRPr="00104CDD">
        <w:rPr>
          <w:rFonts w:ascii="Sakkal Majalla" w:eastAsia="Calibri" w:hAnsi="Sakkal Majalla" w:cs="Sakkal Majalla"/>
          <w:color w:val="000000" w:themeColor="text1"/>
          <w:sz w:val="28"/>
          <w:szCs w:val="28"/>
          <w:rtl/>
        </w:rPr>
        <w:t>وهذا التكامل يوفر بيئة تشغيلية مستقرة تدعم الاستدامة التنظيمية على المدى الطويل</w:t>
      </w:r>
      <w:r w:rsidRPr="00104CDD">
        <w:rPr>
          <w:rFonts w:ascii="Sakkal Majalla" w:eastAsia="Calibri" w:hAnsi="Sakkal Majalla" w:cs="Sakkal Majalla"/>
          <w:color w:val="000000" w:themeColor="text1"/>
          <w:sz w:val="28"/>
          <w:szCs w:val="28"/>
        </w:rPr>
        <w:t>.</w:t>
      </w:r>
    </w:p>
    <w:p w14:paraId="764F8ABD" w14:textId="66FE9B0D" w:rsidR="00632AD8" w:rsidRPr="00104CDD" w:rsidRDefault="00632AD8"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تعزيز الشفافية والحوكمة المؤسسية</w:t>
      </w:r>
    </w:p>
    <w:p w14:paraId="2D8FC12C" w14:textId="1EF5BFE8"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lang w:bidi="ar-EG"/>
        </w:rPr>
      </w:pPr>
      <w:r w:rsidRPr="00104CDD">
        <w:rPr>
          <w:rFonts w:ascii="Sakkal Majalla" w:eastAsia="Calibri" w:hAnsi="Sakkal Majalla" w:cs="Sakkal Majalla" w:hint="cs"/>
          <w:color w:val="000000" w:themeColor="text1"/>
          <w:sz w:val="28"/>
          <w:szCs w:val="28"/>
          <w:rtl/>
          <w:lang w:bidi="ar-EG"/>
        </w:rPr>
        <w:t>أظهرت الأدبيات أن كفاءة العمليات ترتبط ارتباطًا وثيقًا بمستويات الشفافية والحوكمة، حيث تسهم الإجراءات الواضحة والمتوازنة في تقليل الأخطاء، وتنظيم الوثائق، وتعزيز إمكانية التدقيق والمتابعة</w:t>
      </w:r>
      <w:r w:rsidRPr="00104CDD">
        <w:rPr>
          <w:rFonts w:ascii="Sakkal Majalla" w:eastAsia="Calibri" w:hAnsi="Sakkal Majalla" w:cs="Sakkal Majalla" w:hint="cs"/>
          <w:color w:val="000000" w:themeColor="text1"/>
          <w:sz w:val="28"/>
          <w:szCs w:val="28"/>
          <w:lang w:bidi="ar-EG"/>
        </w:rPr>
        <w:t xml:space="preserve"> (Mavlutova et al., 2022). </w:t>
      </w:r>
      <w:r w:rsidRPr="00104CDD">
        <w:rPr>
          <w:rFonts w:ascii="Sakkal Majalla" w:eastAsia="Calibri" w:hAnsi="Sakkal Majalla" w:cs="Sakkal Majalla" w:hint="cs"/>
          <w:color w:val="000000" w:themeColor="text1"/>
          <w:sz w:val="28"/>
          <w:szCs w:val="28"/>
          <w:rtl/>
          <w:lang w:bidi="ar-EG"/>
        </w:rPr>
        <w:t>وتعد هذه الأهمية محورية في الهيئات الحكومية والتنظيمية، حيث تُعتبر الشفافية معيارًا رئيسًا لنجاح المؤسسة في تحقيق رسالتها الرقابية والتنظيمية</w:t>
      </w:r>
      <w:r w:rsidRPr="00104CDD">
        <w:rPr>
          <w:rFonts w:ascii="Sakkal Majalla" w:eastAsia="Calibri" w:hAnsi="Sakkal Majalla" w:cs="Sakkal Majalla" w:hint="cs"/>
          <w:color w:val="000000" w:themeColor="text1"/>
          <w:sz w:val="28"/>
          <w:szCs w:val="28"/>
          <w:lang w:bidi="ar-EG"/>
        </w:rPr>
        <w:t>.</w:t>
      </w:r>
    </w:p>
    <w:p w14:paraId="7EF2702D" w14:textId="54CFED1D" w:rsidR="00632AD8" w:rsidRPr="00104CDD" w:rsidRDefault="00632AD8"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تمكين المؤسسات من مواكبة التحول الرقمي والتطور التقني</w:t>
      </w:r>
    </w:p>
    <w:p w14:paraId="35C65B38" w14:textId="77777777" w:rsidR="00632AD8" w:rsidRPr="00104CDD" w:rsidRDefault="00632AD8"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تشير الدراسات العالمية إلى أن كفاءة العمليات تُعد شرطًا أساسيًا لنجاح أي مبادرة رقمية، حيث إن الأنظمة الرقمية لا يمكنها تحقيق أهدافها دون وجود إجراءات مرنة وقابلة للتطوير</w:t>
      </w:r>
      <w:r w:rsidRPr="00104CDD">
        <w:rPr>
          <w:rFonts w:ascii="Sakkal Majalla" w:eastAsia="Calibri" w:hAnsi="Sakkal Majalla" w:cs="Sakkal Majalla"/>
          <w:color w:val="000000" w:themeColor="text1"/>
          <w:sz w:val="28"/>
          <w:szCs w:val="28"/>
        </w:rPr>
        <w:t xml:space="preserve"> (Bueno et al., 2024). </w:t>
      </w:r>
      <w:r w:rsidRPr="00104CDD">
        <w:rPr>
          <w:rFonts w:ascii="Sakkal Majalla" w:eastAsia="Calibri" w:hAnsi="Sakkal Majalla" w:cs="Sakkal Majalla"/>
          <w:color w:val="000000" w:themeColor="text1"/>
          <w:sz w:val="28"/>
          <w:szCs w:val="28"/>
          <w:rtl/>
        </w:rPr>
        <w:t>كما أن المؤسسات ذات الكفاءة التشغيلية العالية تتمتع بجاهزية رقمية أكبر، وقدرة أعلى على استيعاب التقنيات الحديثة، مما ينعكس على جودة أدائها وسرعة استجابتها للتغيرات التقنية</w:t>
      </w:r>
      <w:r w:rsidRPr="00104CDD">
        <w:rPr>
          <w:rFonts w:ascii="Sakkal Majalla" w:eastAsia="Calibri" w:hAnsi="Sakkal Majalla" w:cs="Sakkal Majalla"/>
          <w:color w:val="000000" w:themeColor="text1"/>
          <w:sz w:val="28"/>
          <w:szCs w:val="28"/>
        </w:rPr>
        <w:t>.</w:t>
      </w:r>
    </w:p>
    <w:p w14:paraId="68916DD2" w14:textId="5E7DFB4C" w:rsidR="00B84590" w:rsidRPr="00104CDD" w:rsidRDefault="00385C6B" w:rsidP="00385C6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8" w:name="_Toc214109319"/>
      <w:r w:rsidRPr="00104CDD">
        <w:rPr>
          <w:rFonts w:ascii="Sakkal Majalla" w:eastAsia="Calibri" w:hAnsi="Sakkal Majalla" w:cs="Sakkal Majalla" w:hint="cs"/>
          <w:b/>
          <w:bCs/>
          <w:color w:val="000000" w:themeColor="text1"/>
          <w:sz w:val="32"/>
          <w:szCs w:val="32"/>
          <w:rtl/>
        </w:rPr>
        <w:t xml:space="preserve">4.2.2 </w:t>
      </w:r>
      <w:r w:rsidR="00B84590" w:rsidRPr="00104CDD">
        <w:rPr>
          <w:rFonts w:ascii="Sakkal Majalla" w:eastAsia="Calibri" w:hAnsi="Sakkal Majalla" w:cs="Sakkal Majalla"/>
          <w:b/>
          <w:bCs/>
          <w:color w:val="000000" w:themeColor="text1"/>
          <w:sz w:val="32"/>
          <w:szCs w:val="32"/>
          <w:rtl/>
        </w:rPr>
        <w:t>أبعاد تحسين كفاءة العمليات</w:t>
      </w:r>
      <w:bookmarkEnd w:id="48"/>
    </w:p>
    <w:p w14:paraId="5DB94C36" w14:textId="174F714D"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تم تحديد أبعاد تحسين كفاءة العمليات في هذه الدراسة استنادًا إلى مجموعة من الأدبيات العربية والدولية التي تناولت موضوع الكفاءة التشغيلية في المؤسسات الحكومية والتنظيمية. وقد اعتمدت الدراسة بشكل أساسي على ما طرحه الجبور والزيديين</w:t>
      </w:r>
      <w:r w:rsidRPr="00104CDD">
        <w:rPr>
          <w:rFonts w:ascii="Sakkal Majalla" w:eastAsia="Calibri" w:hAnsi="Sakkal Majalla" w:cs="Sakkal Majalla"/>
          <w:color w:val="000000" w:themeColor="text1"/>
          <w:sz w:val="28"/>
          <w:szCs w:val="28"/>
        </w:rPr>
        <w:t xml:space="preserve"> (2022) </w:t>
      </w:r>
      <w:r w:rsidRPr="00104CDD">
        <w:rPr>
          <w:rFonts w:ascii="Sakkal Majalla" w:eastAsia="Calibri" w:hAnsi="Sakkal Majalla" w:cs="Sakkal Majalla"/>
          <w:color w:val="000000" w:themeColor="text1"/>
          <w:sz w:val="28"/>
          <w:szCs w:val="28"/>
          <w:rtl/>
        </w:rPr>
        <w:t>حول كفاءة الأداء المؤسسي، وما أشار إليه حسين وآخرون</w:t>
      </w:r>
      <w:r w:rsidRPr="00104CDD">
        <w:rPr>
          <w:rFonts w:ascii="Sakkal Majalla" w:eastAsia="Calibri" w:hAnsi="Sakkal Majalla" w:cs="Sakkal Majalla"/>
          <w:color w:val="000000" w:themeColor="text1"/>
          <w:sz w:val="28"/>
          <w:szCs w:val="28"/>
        </w:rPr>
        <w:t xml:space="preserve"> (2023) </w:t>
      </w:r>
      <w:r w:rsidRPr="00104CDD">
        <w:rPr>
          <w:rFonts w:ascii="Sakkal Majalla" w:eastAsia="Calibri" w:hAnsi="Sakkal Majalla" w:cs="Sakkal Majalla"/>
          <w:color w:val="000000" w:themeColor="text1"/>
          <w:sz w:val="28"/>
          <w:szCs w:val="28"/>
          <w:rtl/>
        </w:rPr>
        <w:t xml:space="preserve">بشأن تحسين جودة العمل وتسريع الإجراءات، إضافة إلى ما عرضته الأدبيات الدولية لدى </w:t>
      </w:r>
      <w:r w:rsidRPr="00104CDD">
        <w:rPr>
          <w:rFonts w:ascii="Sakkal Majalla" w:eastAsia="Calibri" w:hAnsi="Sakkal Majalla" w:cs="Sakkal Majalla"/>
          <w:color w:val="000000" w:themeColor="text1"/>
          <w:sz w:val="28"/>
          <w:szCs w:val="28"/>
        </w:rPr>
        <w:t xml:space="preserve">Bueno et al. (2024) </w:t>
      </w:r>
      <w:r w:rsidRPr="00104CDD">
        <w:rPr>
          <w:rFonts w:ascii="Sakkal Majalla" w:eastAsia="Calibri" w:hAnsi="Sakkal Majalla" w:cs="Sakkal Majalla"/>
          <w:color w:val="000000" w:themeColor="text1"/>
          <w:sz w:val="28"/>
          <w:szCs w:val="28"/>
          <w:rtl/>
        </w:rPr>
        <w:t xml:space="preserve">و </w:t>
      </w:r>
      <w:r w:rsidRPr="00104CDD">
        <w:rPr>
          <w:rFonts w:ascii="Sakkal Majalla" w:eastAsia="Calibri" w:hAnsi="Sakkal Majalla" w:cs="Sakkal Majalla"/>
          <w:color w:val="000000" w:themeColor="text1"/>
          <w:sz w:val="28"/>
          <w:szCs w:val="28"/>
        </w:rPr>
        <w:t xml:space="preserve">Mavlutova et al. (2022) </w:t>
      </w:r>
      <w:r w:rsidRPr="00104CDD">
        <w:rPr>
          <w:rFonts w:ascii="Sakkal Majalla" w:eastAsia="Calibri" w:hAnsi="Sakkal Majalla" w:cs="Sakkal Majalla"/>
          <w:color w:val="000000" w:themeColor="text1"/>
          <w:sz w:val="28"/>
          <w:szCs w:val="28"/>
          <w:rtl/>
        </w:rPr>
        <w:t>بشأن العوامل التشغيلية التي تسهم في رفع الكفاءة. وبناءً على هذه الدراسات، تم تحديد أربعة أبعاد رئيسة تُعد جوهرية في قياس وتحسين كفاءة العمليات داخل الهيئات التنظيمية</w:t>
      </w:r>
      <w:r w:rsidRPr="00104CDD">
        <w:rPr>
          <w:rFonts w:ascii="Sakkal Majalla" w:eastAsia="Calibri" w:hAnsi="Sakkal Majalla" w:cs="Sakkal Majalla"/>
          <w:color w:val="000000" w:themeColor="text1"/>
          <w:sz w:val="28"/>
          <w:szCs w:val="28"/>
        </w:rPr>
        <w:t>.</w:t>
      </w:r>
    </w:p>
    <w:p w14:paraId="28ADAAC1" w14:textId="5DBA4E7E" w:rsidR="00B84590" w:rsidRPr="00104CDD" w:rsidRDefault="00B84590" w:rsidP="007A344A">
      <w:pPr>
        <w:pStyle w:val="ListParagraph"/>
        <w:numPr>
          <w:ilvl w:val="0"/>
          <w:numId w:val="20"/>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lastRenderedPageBreak/>
        <w:t>سرعة إنجاز العمليات</w:t>
      </w:r>
      <w:r w:rsidRPr="00104CDD">
        <w:rPr>
          <w:rFonts w:ascii="Sakkal Majalla" w:eastAsia="Calibri" w:hAnsi="Sakkal Majalla" w:cs="Sakkal Majalla"/>
          <w:b/>
          <w:bCs/>
          <w:color w:val="000000" w:themeColor="text1"/>
          <w:sz w:val="28"/>
          <w:szCs w:val="28"/>
        </w:rPr>
        <w:t xml:space="preserve"> Efficiency of Processing Time</w:t>
      </w:r>
    </w:p>
    <w:p w14:paraId="297C809C"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تعد سرعة إنجاز العمليات أحد الأبعاد الأساسية التي تُستخدم لقياس كفاءة العمليات التشغيلية، إذ تعكس قدرة المؤسسة على تقليل الوقت اللازم لتنفيذ المعاملات، وتسريع دورة العمل من بداية الإجراء حتى نهايته. وقد أكدت الأدبيات أن المؤسسات ذات أنظمة العمل الفعّالة تتميز بانخفاض متوسط الزمن المستغرق في معالجة الطلبات، مما يعزز من رضا المستفيدين ويحسن من جودة الأداء (الجبور والزيديين، 2022)</w:t>
      </w:r>
      <w:r w:rsidRPr="00104CDD">
        <w:rPr>
          <w:rFonts w:ascii="Sakkal Majalla" w:eastAsia="Calibri" w:hAnsi="Sakkal Majalla" w:cs="Sakkal Majalla"/>
          <w:color w:val="000000" w:themeColor="text1"/>
          <w:sz w:val="28"/>
          <w:szCs w:val="28"/>
        </w:rPr>
        <w:t>.</w:t>
      </w:r>
    </w:p>
    <w:p w14:paraId="285EB9FD"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وتشير الدراسات الدولية إلى أن تحسين سرعة الإنجاز يرتبط بشكل مباشر بفاعلية الإجراءات الداخلية، وتكامل الأنظمة الرقمية، وقدرة الموظفين على التعامل مع الأدوات الحديثة</w:t>
      </w:r>
      <w:r w:rsidRPr="00104CDD">
        <w:rPr>
          <w:rFonts w:ascii="Sakkal Majalla" w:eastAsia="Calibri" w:hAnsi="Sakkal Majalla" w:cs="Sakkal Majalla"/>
          <w:color w:val="000000" w:themeColor="text1"/>
          <w:sz w:val="28"/>
          <w:szCs w:val="28"/>
        </w:rPr>
        <w:t xml:space="preserve"> (Bueno et al., 2024). </w:t>
      </w:r>
      <w:r w:rsidRPr="00104CDD">
        <w:rPr>
          <w:rFonts w:ascii="Sakkal Majalla" w:eastAsia="Calibri" w:hAnsi="Sakkal Majalla" w:cs="Sakkal Majalla"/>
          <w:color w:val="000000" w:themeColor="text1"/>
          <w:sz w:val="28"/>
          <w:szCs w:val="28"/>
          <w:rtl/>
        </w:rPr>
        <w:t>كما أن المؤسسات التي تعمل على تقليل الزمن الضائع، وتحسين نظام تدفق العمل، وتطبيق الأتمتة في المهام الروتينية، تتمتع بكفاءة تشغيلية أعلى وقدرة أكبر على تلبية احتياجات المستفيدين بسرعة وفعالية</w:t>
      </w:r>
      <w:r w:rsidRPr="00104CDD">
        <w:rPr>
          <w:rFonts w:ascii="Sakkal Majalla" w:eastAsia="Calibri" w:hAnsi="Sakkal Majalla" w:cs="Sakkal Majalla"/>
          <w:color w:val="000000" w:themeColor="text1"/>
          <w:sz w:val="28"/>
          <w:szCs w:val="28"/>
        </w:rPr>
        <w:t>.</w:t>
      </w:r>
    </w:p>
    <w:p w14:paraId="2AB7CF7F" w14:textId="74B592FB"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ويمثل هذا البعد أحد أهم مخرجات التحول التنظيمي، حيث تعتمد الجهات الحكومية، ومنها الهيئات التنظيمية، على سرعة الإنجاز كمعيار رئيسي لقياس جودة العمل وفعالية الأداء</w:t>
      </w:r>
      <w:r w:rsidRPr="00104CDD">
        <w:rPr>
          <w:rFonts w:ascii="Sakkal Majalla" w:eastAsia="Calibri" w:hAnsi="Sakkal Majalla" w:cs="Sakkal Majalla"/>
          <w:color w:val="000000" w:themeColor="text1"/>
          <w:sz w:val="28"/>
          <w:szCs w:val="28"/>
        </w:rPr>
        <w:t>.</w:t>
      </w:r>
    </w:p>
    <w:p w14:paraId="68A006BD" w14:textId="74D48A76" w:rsidR="00B84590" w:rsidRPr="00104CDD" w:rsidRDefault="00B84590" w:rsidP="007A344A">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جودة ودقة المخرجات</w:t>
      </w:r>
      <w:r w:rsidRPr="00104CDD">
        <w:rPr>
          <w:rFonts w:ascii="Sakkal Majalla" w:eastAsia="Calibri" w:hAnsi="Sakkal Majalla" w:cs="Sakkal Majalla"/>
          <w:b/>
          <w:bCs/>
          <w:color w:val="000000" w:themeColor="text1"/>
          <w:sz w:val="28"/>
          <w:szCs w:val="28"/>
        </w:rPr>
        <w:t xml:space="preserve"> Output Quality and Accuracy</w:t>
      </w:r>
    </w:p>
    <w:p w14:paraId="5E2F6510"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يشير هذا البعد إلى مدى قدرة المؤسسة على تقديم مخرجات عالية الجودة، خالية من الأخطاء، وتعكس التزامًا بمعايير الدقة والاتساق. وقد ركزت الأدبيات على أن جودة المخرجات تعد حجر الأساس في تعزيز الثقة بين المؤسسة والمستفيدين، خاصة في الهيئات التنظيمية التي تعتمد قراراتها على دقة البيانات ومصداقية الإجراءات (حسين وآخرون، 2023)</w:t>
      </w:r>
      <w:r w:rsidRPr="00104CDD">
        <w:rPr>
          <w:rFonts w:ascii="Sakkal Majalla" w:eastAsia="Calibri" w:hAnsi="Sakkal Majalla" w:cs="Sakkal Majalla"/>
          <w:color w:val="000000" w:themeColor="text1"/>
          <w:sz w:val="28"/>
          <w:szCs w:val="28"/>
        </w:rPr>
        <w:t>.</w:t>
      </w:r>
    </w:p>
    <w:p w14:paraId="5B44FFF0"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وتشير الدراسات الدولية إلى أن جودة المخرجات تُعد مؤشرًا رئيسًا على فعالية النظم التشغيلية، وأن المؤسسات التي تعتمد على إجراءات واضحة ومبسّطة ونظم رقمية متكاملة تكون أكثر قدرة على تقديم </w:t>
      </w:r>
      <w:r w:rsidRPr="00104CDD">
        <w:rPr>
          <w:rFonts w:ascii="Sakkal Majalla" w:eastAsia="Calibri" w:hAnsi="Sakkal Majalla" w:cs="Sakkal Majalla"/>
          <w:color w:val="000000" w:themeColor="text1"/>
          <w:sz w:val="28"/>
          <w:szCs w:val="28"/>
          <w:rtl/>
        </w:rPr>
        <w:lastRenderedPageBreak/>
        <w:t>خدمات دقيقة ومنتظمة</w:t>
      </w:r>
      <w:r w:rsidRPr="00104CDD">
        <w:rPr>
          <w:rFonts w:ascii="Sakkal Majalla" w:eastAsia="Calibri" w:hAnsi="Sakkal Majalla" w:cs="Sakkal Majalla"/>
          <w:color w:val="000000" w:themeColor="text1"/>
          <w:sz w:val="28"/>
          <w:szCs w:val="28"/>
        </w:rPr>
        <w:t xml:space="preserve"> (Mavlutova et al., 2022). </w:t>
      </w:r>
      <w:r w:rsidRPr="00104CDD">
        <w:rPr>
          <w:rFonts w:ascii="Sakkal Majalla" w:eastAsia="Calibri" w:hAnsi="Sakkal Majalla" w:cs="Sakkal Majalla"/>
          <w:color w:val="000000" w:themeColor="text1"/>
          <w:sz w:val="28"/>
          <w:szCs w:val="28"/>
          <w:rtl/>
        </w:rPr>
        <w:t>كما ترتبط جودة المخرجات بقدرة المؤسسة على تقليل الأخطاء التشغيلية، وتطبيق ضوابط رقابية فعّالة، وتحديث قواعد البيانات بشكل مستمر</w:t>
      </w:r>
      <w:r w:rsidRPr="00104CDD">
        <w:rPr>
          <w:rFonts w:ascii="Sakkal Majalla" w:eastAsia="Calibri" w:hAnsi="Sakkal Majalla" w:cs="Sakkal Majalla"/>
          <w:color w:val="000000" w:themeColor="text1"/>
          <w:sz w:val="28"/>
          <w:szCs w:val="28"/>
        </w:rPr>
        <w:t>.</w:t>
      </w:r>
    </w:p>
    <w:p w14:paraId="14562CB1" w14:textId="15A24DC6"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ويمثل هذا البعد جزءًا حيويًا من الأداء المؤسسي، حيث يعتمد نجاح عمليات المؤسسة على مدى دقة الوثائق، وصحة البيانات، وجودة التقارير المالية والتنظيمية التي تقدمها</w:t>
      </w:r>
      <w:r w:rsidRPr="00104CDD">
        <w:rPr>
          <w:rFonts w:ascii="Sakkal Majalla" w:eastAsia="Calibri" w:hAnsi="Sakkal Majalla" w:cs="Sakkal Majalla"/>
          <w:color w:val="000000" w:themeColor="text1"/>
          <w:sz w:val="28"/>
          <w:szCs w:val="28"/>
        </w:rPr>
        <w:t>.</w:t>
      </w:r>
    </w:p>
    <w:p w14:paraId="48FD503A" w14:textId="0E8E60BA" w:rsidR="00B84590" w:rsidRPr="00104CDD" w:rsidRDefault="00B84590" w:rsidP="007A344A">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الاستخدام الأمثل للموارد</w:t>
      </w:r>
      <w:r w:rsidRPr="00104CDD">
        <w:rPr>
          <w:rFonts w:ascii="Sakkal Majalla" w:eastAsia="Calibri" w:hAnsi="Sakkal Majalla" w:cs="Sakkal Majalla"/>
          <w:b/>
          <w:bCs/>
          <w:color w:val="000000" w:themeColor="text1"/>
          <w:sz w:val="28"/>
          <w:szCs w:val="28"/>
        </w:rPr>
        <w:t xml:space="preserve"> Resource Optimization</w:t>
      </w:r>
    </w:p>
    <w:p w14:paraId="38FBA2D1"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يشير الاستخدام الأمثل للموارد إلى قدرة المؤسسة على استثمار مواردها البشرية والمالية والتقنية بأعلى مستوى ممكن من الفاعلية، وبأقل قدر من الهدر. وقد أكدت الأدبيات أن تحسين كفاءة العمليات يقوم بشكل أساسي على إعادة تخصيص الموارد، وتجاوز الأنشطة غير الضرورية، وتوجيه الجهود نحو العمليات ذات القيمة المضافة (القطاونة والربابعة، 2023)</w:t>
      </w:r>
      <w:r w:rsidRPr="00104CDD">
        <w:rPr>
          <w:rFonts w:ascii="Sakkal Majalla" w:eastAsia="Calibri" w:hAnsi="Sakkal Majalla" w:cs="Sakkal Majalla"/>
          <w:color w:val="000000" w:themeColor="text1"/>
          <w:sz w:val="28"/>
          <w:szCs w:val="28"/>
        </w:rPr>
        <w:t>.</w:t>
      </w:r>
    </w:p>
    <w:p w14:paraId="28A1F0B6"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وتوضح الدراسات الدولية أن المؤسسات التي تتمتع بكفاءة تشغيلية تستخدم الموارد بشكل متوازن، وتقلل من الأعباء التشغيلية الزائدة، وتستثمر في الأنظمة الرقمية التي تساعد في تحسين الإنتاجية</w:t>
      </w:r>
      <w:r w:rsidRPr="00104CDD">
        <w:rPr>
          <w:rFonts w:ascii="Sakkal Majalla" w:eastAsia="Calibri" w:hAnsi="Sakkal Majalla" w:cs="Sakkal Majalla"/>
          <w:color w:val="000000" w:themeColor="text1"/>
          <w:sz w:val="28"/>
          <w:szCs w:val="28"/>
        </w:rPr>
        <w:t xml:space="preserve"> (Bueno et al., 2024). </w:t>
      </w:r>
      <w:r w:rsidRPr="00104CDD">
        <w:rPr>
          <w:rFonts w:ascii="Sakkal Majalla" w:eastAsia="Calibri" w:hAnsi="Sakkal Majalla" w:cs="Sakkal Majalla"/>
          <w:color w:val="000000" w:themeColor="text1"/>
          <w:sz w:val="28"/>
          <w:szCs w:val="28"/>
          <w:rtl/>
        </w:rPr>
        <w:t>كما أن الاستخدام الأمثل للموارد يرتبط بقدرة المؤسسة على تحليل طبيعة العمل، وتقييم مستويات الأداء، وتحديد المجالات التي تحتاج إلى تحسين أو تطوير</w:t>
      </w:r>
      <w:r w:rsidRPr="00104CDD">
        <w:rPr>
          <w:rFonts w:ascii="Sakkal Majalla" w:eastAsia="Calibri" w:hAnsi="Sakkal Majalla" w:cs="Sakkal Majalla"/>
          <w:color w:val="000000" w:themeColor="text1"/>
          <w:sz w:val="28"/>
          <w:szCs w:val="28"/>
        </w:rPr>
        <w:t>.</w:t>
      </w:r>
    </w:p>
    <w:p w14:paraId="713E8C7C" w14:textId="00611871"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ويمثل هذا البعد ضمانًا لاستدامة المؤسسة ومرونتها التشغيلية، حيث يقلل الهدر ويعزز من فاعلية الأنشطة، خاصة في البيئة الحكومية التي تركز على حسن إدارة المال العام</w:t>
      </w:r>
      <w:r w:rsidRPr="00104CDD">
        <w:rPr>
          <w:rFonts w:ascii="Sakkal Majalla" w:eastAsia="Calibri" w:hAnsi="Sakkal Majalla" w:cs="Sakkal Majalla"/>
          <w:color w:val="000000" w:themeColor="text1"/>
          <w:sz w:val="28"/>
          <w:szCs w:val="28"/>
        </w:rPr>
        <w:t>.</w:t>
      </w:r>
    </w:p>
    <w:p w14:paraId="07A06F74" w14:textId="27F35DC0" w:rsidR="00B84590" w:rsidRPr="00104CDD" w:rsidRDefault="00B84590" w:rsidP="007A344A">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فعالية التنسيق بين الإدارات</w:t>
      </w:r>
      <w:r w:rsidRPr="00104CDD">
        <w:rPr>
          <w:rFonts w:ascii="Sakkal Majalla" w:eastAsia="Calibri" w:hAnsi="Sakkal Majalla" w:cs="Sakkal Majalla"/>
          <w:b/>
          <w:bCs/>
          <w:color w:val="000000" w:themeColor="text1"/>
          <w:sz w:val="28"/>
          <w:szCs w:val="28"/>
        </w:rPr>
        <w:t xml:space="preserve"> Coordination Effectiveness</w:t>
      </w:r>
    </w:p>
    <w:p w14:paraId="30E0791A"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يشير هذا البعد إلى مدى قدرة المؤسسة على تحقيق انسجام في تدفق العمل بين وحداتها المختلفة، وتعزيز التكامل الوظيفي، وتقليل حالات التأخير أو التعارض في الإجراءات. وقد تناولت الأدبيات هذا البعد بوصفه أحد أبرز عناصر الكفاءة التشغيلية، لأنه يعكس قدرة المؤسسة على العمل كمنظومة موحدة (حسين وآخرون، 2023)</w:t>
      </w:r>
      <w:r w:rsidRPr="00104CDD">
        <w:rPr>
          <w:rFonts w:ascii="Sakkal Majalla" w:eastAsia="Calibri" w:hAnsi="Sakkal Majalla" w:cs="Sakkal Majalla"/>
          <w:color w:val="000000" w:themeColor="text1"/>
          <w:sz w:val="28"/>
          <w:szCs w:val="28"/>
        </w:rPr>
        <w:t>.</w:t>
      </w:r>
    </w:p>
    <w:p w14:paraId="2E92AA9F"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lastRenderedPageBreak/>
        <w:t>وتشير الدراسات الدولية إلى أن فعالية التنسيق بين الإدارات ترتبط بوجود أنظمة رقمية تكاملية، وبنية تنظيمية واضحة، ووضوح في المسؤوليات والمهام</w:t>
      </w:r>
      <w:r w:rsidRPr="00104CDD">
        <w:rPr>
          <w:rFonts w:ascii="Sakkal Majalla" w:eastAsia="Calibri" w:hAnsi="Sakkal Majalla" w:cs="Sakkal Majalla"/>
          <w:color w:val="000000" w:themeColor="text1"/>
          <w:sz w:val="28"/>
          <w:szCs w:val="28"/>
        </w:rPr>
        <w:t xml:space="preserve"> (Shuai, 2025). </w:t>
      </w:r>
      <w:r w:rsidRPr="00104CDD">
        <w:rPr>
          <w:rFonts w:ascii="Sakkal Majalla" w:eastAsia="Calibri" w:hAnsi="Sakkal Majalla" w:cs="Sakkal Majalla"/>
          <w:color w:val="000000" w:themeColor="text1"/>
          <w:sz w:val="28"/>
          <w:szCs w:val="28"/>
          <w:rtl/>
        </w:rPr>
        <w:t>كما أن المؤسسات ذات التنسيق الفعّال تتجنب الازدواجية في المهام، وتقلل التأخيرات الناتجة عن نقص التواصل أو ضعف تدفق المعلومات</w:t>
      </w:r>
      <w:r w:rsidRPr="00104CDD">
        <w:rPr>
          <w:rFonts w:ascii="Sakkal Majalla" w:eastAsia="Calibri" w:hAnsi="Sakkal Majalla" w:cs="Sakkal Majalla"/>
          <w:color w:val="000000" w:themeColor="text1"/>
          <w:sz w:val="28"/>
          <w:szCs w:val="28"/>
        </w:rPr>
        <w:t xml:space="preserve"> (Mavlutova et al., 2022).</w:t>
      </w:r>
    </w:p>
    <w:p w14:paraId="4BA856E0"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ويمثل هذا البعد أحد أهم معايير النجاح في الهيئات التنظيمية، باعتبار أن طبيعة عملها تتطلب تعاونًا مستمرًا بين مختلف الأقسام لتقديم خدمات دقيقة وسريعة ومتوافقة مع الأنظمة المعمول بها</w:t>
      </w:r>
      <w:r w:rsidRPr="00104CDD">
        <w:rPr>
          <w:rFonts w:ascii="Sakkal Majalla" w:eastAsia="Calibri" w:hAnsi="Sakkal Majalla" w:cs="Sakkal Majalla"/>
          <w:color w:val="000000" w:themeColor="text1"/>
          <w:sz w:val="28"/>
          <w:szCs w:val="28"/>
        </w:rPr>
        <w:t>.</w:t>
      </w:r>
    </w:p>
    <w:p w14:paraId="48804208" w14:textId="06EAA01D" w:rsidR="00B84590" w:rsidRPr="00104CDD" w:rsidRDefault="00385C6B" w:rsidP="00385C6B">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9" w:name="_Toc214109320"/>
      <w:r w:rsidRPr="00104CDD">
        <w:rPr>
          <w:rFonts w:ascii="Sakkal Majalla" w:eastAsia="Calibri" w:hAnsi="Sakkal Majalla" w:cs="Sakkal Majalla" w:hint="cs"/>
          <w:b/>
          <w:bCs/>
          <w:color w:val="000000" w:themeColor="text1"/>
          <w:sz w:val="32"/>
          <w:szCs w:val="32"/>
          <w:rtl/>
        </w:rPr>
        <w:t xml:space="preserve">5.2.2 </w:t>
      </w:r>
      <w:r w:rsidR="00B84590" w:rsidRPr="00104CDD">
        <w:rPr>
          <w:rFonts w:ascii="Sakkal Majalla" w:eastAsia="Calibri" w:hAnsi="Sakkal Majalla" w:cs="Sakkal Majalla"/>
          <w:b/>
          <w:bCs/>
          <w:color w:val="000000" w:themeColor="text1"/>
          <w:sz w:val="32"/>
          <w:szCs w:val="32"/>
          <w:rtl/>
        </w:rPr>
        <w:t>العوامل المؤثرة في كفاءة العمليات</w:t>
      </w:r>
      <w:bookmarkEnd w:id="49"/>
    </w:p>
    <w:p w14:paraId="615F94B6" w14:textId="50E940D1"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تتأثر كفاءة العمليات داخل المؤسسات بمجموعة من العوامل التنظيمية والتكنولوجية والبشرية، التي ينعكس أداؤها وتكاملها بشكل مباشر على قدرة المؤسسة على تحقيق نتائج تشغيلية متميزة. وقد اتفقت الأدبيات الإدارية والدراسات التطبيقية على أن كفاءة العمليات ليست نتاجًا لعنصر واحد، بل هي حصيلة تفاعل عدة متغيرات، تتعلق بطبيعة الإجراءات، وفاعلية الأنظمة، وكفاءة الموارد البشرية، ومستوى التحول الرقمي، ووضوح الهيكل التنظيمي. وفيما يأتي عرض لأهم العوامل المؤثرة في كفاءة العمليات كما وردت في الأدبيات العربية والدولية</w:t>
      </w:r>
      <w:r w:rsidRPr="00104CDD">
        <w:rPr>
          <w:rFonts w:ascii="Sakkal Majalla" w:eastAsia="Calibri" w:hAnsi="Sakkal Majalla" w:cs="Sakkal Majalla"/>
          <w:color w:val="000000" w:themeColor="text1"/>
          <w:sz w:val="28"/>
          <w:szCs w:val="28"/>
        </w:rPr>
        <w:t>.</w:t>
      </w:r>
    </w:p>
    <w:p w14:paraId="2AD8F33E" w14:textId="1F6871E9" w:rsidR="00B84590" w:rsidRPr="00104CDD" w:rsidRDefault="00B84590" w:rsidP="007A344A">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البنية التكنولوجية الداعمة</w:t>
      </w:r>
      <w:r w:rsidRPr="00104CDD">
        <w:rPr>
          <w:rFonts w:ascii="Sakkal Majalla" w:eastAsia="Calibri" w:hAnsi="Sakkal Majalla" w:cs="Sakkal Majalla"/>
          <w:b/>
          <w:bCs/>
          <w:color w:val="000000" w:themeColor="text1"/>
          <w:sz w:val="28"/>
          <w:szCs w:val="28"/>
        </w:rPr>
        <w:t xml:space="preserve"> Digital Infrastructure</w:t>
      </w:r>
    </w:p>
    <w:p w14:paraId="5752CAEE" w14:textId="4CB1D30A"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تُعد البنية التكنولوجية من أهم العوامل المؤثرة في كفاءة العمليات، إذ ترتبط قدرة المؤسسة على تحسين أدائها بتوافر أنظمة رقمية فعّالة، وبرمجيات حديثة، وبيئة تقنية تسمح بتنفيذ الإجراءات المالية والإدارية بسلاسة. وتشير الأدبيات إلى أن المؤسسات التي تعتمد على أنظمة متقدمة مثل</w:t>
      </w:r>
      <w:r w:rsidRPr="00104CDD">
        <w:rPr>
          <w:rFonts w:ascii="Sakkal Majalla" w:eastAsia="Calibri" w:hAnsi="Sakkal Majalla" w:cs="Sakkal Majalla"/>
          <w:color w:val="000000" w:themeColor="text1"/>
          <w:sz w:val="28"/>
          <w:szCs w:val="28"/>
        </w:rPr>
        <w:t xml:space="preserve"> ERP </w:t>
      </w:r>
      <w:r w:rsidRPr="00104CDD">
        <w:rPr>
          <w:rFonts w:ascii="Sakkal Majalla" w:eastAsia="Calibri" w:hAnsi="Sakkal Majalla" w:cs="Sakkal Majalla"/>
          <w:color w:val="000000" w:themeColor="text1"/>
          <w:sz w:val="28"/>
          <w:szCs w:val="28"/>
          <w:rtl/>
        </w:rPr>
        <w:t>و</w:t>
      </w:r>
      <w:r w:rsidRPr="00104CDD">
        <w:rPr>
          <w:rFonts w:ascii="Sakkal Majalla" w:eastAsia="Calibri" w:hAnsi="Sakkal Majalla" w:cs="Sakkal Majalla"/>
          <w:color w:val="000000" w:themeColor="text1"/>
          <w:sz w:val="28"/>
          <w:szCs w:val="28"/>
        </w:rPr>
        <w:t xml:space="preserve"> BPM </w:t>
      </w:r>
      <w:r w:rsidRPr="00104CDD">
        <w:rPr>
          <w:rFonts w:ascii="Sakkal Majalla" w:eastAsia="Calibri" w:hAnsi="Sakkal Majalla" w:cs="Sakkal Majalla"/>
          <w:color w:val="000000" w:themeColor="text1"/>
          <w:sz w:val="28"/>
          <w:szCs w:val="28"/>
          <w:rtl/>
        </w:rPr>
        <w:t>و</w:t>
      </w:r>
      <w:r w:rsidRPr="00104CDD">
        <w:rPr>
          <w:rFonts w:ascii="Sakkal Majalla" w:eastAsia="Calibri" w:hAnsi="Sakkal Majalla" w:cs="Sakkal Majalla"/>
          <w:color w:val="000000" w:themeColor="text1"/>
          <w:sz w:val="28"/>
          <w:szCs w:val="28"/>
        </w:rPr>
        <w:t xml:space="preserve"> RPA </w:t>
      </w:r>
      <w:r w:rsidRPr="00104CDD">
        <w:rPr>
          <w:rFonts w:ascii="Sakkal Majalla" w:eastAsia="Calibri" w:hAnsi="Sakkal Majalla" w:cs="Sakkal Majalla"/>
          <w:color w:val="000000" w:themeColor="text1"/>
          <w:sz w:val="28"/>
          <w:szCs w:val="28"/>
          <w:rtl/>
        </w:rPr>
        <w:t>تتمتع بكفاءة تشغيلية أعلى نتيجة تقليل الأخطاء وتسريع تدفق العمل</w:t>
      </w:r>
      <w:r w:rsidRPr="00104CDD">
        <w:rPr>
          <w:rFonts w:ascii="Sakkal Majalla" w:eastAsia="Calibri" w:hAnsi="Sakkal Majalla" w:cs="Sakkal Majalla"/>
          <w:color w:val="000000" w:themeColor="text1"/>
          <w:sz w:val="28"/>
          <w:szCs w:val="28"/>
        </w:rPr>
        <w:t xml:space="preserve"> (Mavlutova et al., 2022</w:t>
      </w:r>
      <w:r w:rsidRPr="00104CDD">
        <w:rPr>
          <w:rFonts w:ascii="Sakkal Majalla" w:eastAsia="Calibri" w:hAnsi="Sakkal Majalla" w:cs="Sakkal Majalla"/>
          <w:color w:val="000000" w:themeColor="text1"/>
          <w:sz w:val="28"/>
          <w:szCs w:val="28"/>
          <w:rtl/>
        </w:rPr>
        <w:t>؛</w:t>
      </w:r>
      <w:r w:rsidRPr="00104CDD">
        <w:rPr>
          <w:rFonts w:ascii="Sakkal Majalla" w:eastAsia="Calibri" w:hAnsi="Sakkal Majalla" w:cs="Sakkal Majalla"/>
          <w:color w:val="000000" w:themeColor="text1"/>
          <w:sz w:val="28"/>
          <w:szCs w:val="28"/>
        </w:rPr>
        <w:t xml:space="preserve"> Bueno et al., 2024). </w:t>
      </w:r>
      <w:r w:rsidRPr="00104CDD">
        <w:rPr>
          <w:rFonts w:ascii="Sakkal Majalla" w:eastAsia="Calibri" w:hAnsi="Sakkal Majalla" w:cs="Sakkal Majalla"/>
          <w:color w:val="000000" w:themeColor="text1"/>
          <w:sz w:val="28"/>
          <w:szCs w:val="28"/>
          <w:rtl/>
        </w:rPr>
        <w:t>كما يؤكد الجبور والزيديين</w:t>
      </w:r>
      <w:r w:rsidRPr="00104CDD">
        <w:rPr>
          <w:rFonts w:ascii="Sakkal Majalla" w:eastAsia="Calibri" w:hAnsi="Sakkal Majalla" w:cs="Sakkal Majalla"/>
          <w:color w:val="000000" w:themeColor="text1"/>
          <w:sz w:val="28"/>
          <w:szCs w:val="28"/>
        </w:rPr>
        <w:t xml:space="preserve"> (2022) </w:t>
      </w:r>
      <w:r w:rsidRPr="00104CDD">
        <w:rPr>
          <w:rFonts w:ascii="Sakkal Majalla" w:eastAsia="Calibri" w:hAnsi="Sakkal Majalla" w:cs="Sakkal Majalla"/>
          <w:color w:val="000000" w:themeColor="text1"/>
          <w:sz w:val="28"/>
          <w:szCs w:val="28"/>
          <w:rtl/>
        </w:rPr>
        <w:t>أن ضعف البنية التكنولوجية يُعد أحد أهم المعوقات التي تحد من كفاءة الأداء</w:t>
      </w:r>
      <w:r w:rsidRPr="00104CDD">
        <w:rPr>
          <w:rFonts w:ascii="Sakkal Majalla" w:eastAsia="Calibri" w:hAnsi="Sakkal Majalla" w:cs="Sakkal Majalla"/>
          <w:color w:val="000000" w:themeColor="text1"/>
          <w:sz w:val="28"/>
          <w:szCs w:val="28"/>
        </w:rPr>
        <w:t>.</w:t>
      </w:r>
    </w:p>
    <w:p w14:paraId="1E4000C1" w14:textId="5CF9F3CF" w:rsidR="00B84590" w:rsidRPr="00104CDD" w:rsidRDefault="00B84590" w:rsidP="007A344A">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مهارات وقدرات الموارد البشرية</w:t>
      </w:r>
      <w:r w:rsidRPr="00104CDD">
        <w:rPr>
          <w:rFonts w:ascii="Sakkal Majalla" w:eastAsia="Calibri" w:hAnsi="Sakkal Majalla" w:cs="Sakkal Majalla"/>
          <w:b/>
          <w:bCs/>
          <w:color w:val="000000" w:themeColor="text1"/>
          <w:sz w:val="28"/>
          <w:szCs w:val="28"/>
        </w:rPr>
        <w:t xml:space="preserve"> Human Capabilities</w:t>
      </w:r>
    </w:p>
    <w:p w14:paraId="26923BBD" w14:textId="7F7AA2C3"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lastRenderedPageBreak/>
        <w:t>تلعب الكوادر البشرية دورًا محوريًا في تحقيق الكفاءة، إذ تعتمد العمليات التشغيلية على مدى قدرة العاملين على استخدام الأنظمة الرقمية، وفهم الإجراءات، والتصرف وفقًا للمعايير المهنية. وقد أكدت عدة دراسات أن نقص الخبرات، أو ضعف الوعي التكنولوجي، يشكل عائقًا كبيرًا أمام تحقيق الكفاءة التشغيلية (حسين وآخرون، 2023). كما أوضحت الأدبيات الدولية أن المؤسسات ذات الكفاءات البشرية المدربة تكون أكثر قدرة على تطوير العمليات وتقليل وقت الإنجاز وتجويد المخرجات</w:t>
      </w:r>
      <w:r w:rsidRPr="00104CDD">
        <w:rPr>
          <w:rFonts w:ascii="Sakkal Majalla" w:eastAsia="Calibri" w:hAnsi="Sakkal Majalla" w:cs="Sakkal Majalla"/>
          <w:color w:val="000000" w:themeColor="text1"/>
          <w:sz w:val="28"/>
          <w:szCs w:val="28"/>
        </w:rPr>
        <w:t xml:space="preserve"> (Shuai, 2025).</w:t>
      </w:r>
    </w:p>
    <w:p w14:paraId="530A7AAE" w14:textId="1EC31CB6" w:rsidR="00B84590" w:rsidRPr="00104CDD" w:rsidRDefault="00B84590" w:rsidP="007A344A">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وضوح الإجراءات ودقة النماذج التشغيلية</w:t>
      </w:r>
      <w:r w:rsidRPr="00104CDD">
        <w:rPr>
          <w:rFonts w:ascii="Sakkal Majalla" w:eastAsia="Calibri" w:hAnsi="Sakkal Majalla" w:cs="Sakkal Majalla"/>
          <w:b/>
          <w:bCs/>
          <w:color w:val="000000" w:themeColor="text1"/>
          <w:sz w:val="28"/>
          <w:szCs w:val="28"/>
        </w:rPr>
        <w:t xml:space="preserve"> Process Clarity</w:t>
      </w:r>
    </w:p>
    <w:p w14:paraId="35FCF844" w14:textId="68335C96"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تشير الأدبيات إلى أن غموض الإجراءات وتعقيدها، وكثرة الحلقات الإدارية، تؤثر سلبًا على كفاءة العمليات، وتزيد من الأخطاء، وتطيل الوقت المستغرق لإنجاز المعاملات (القطاونة والربابعة، 2023). وتوضح الدراسات أن المؤسسات التي تعتمد على إجراءات عمل موحدة، ونماذج تشغيلية واضحة، تسهم في تقليل الازدواجية، وتحسين تدفق المعلومات، وتعزيز الدقة التشغيلية</w:t>
      </w:r>
      <w:r w:rsidRPr="00104CDD">
        <w:rPr>
          <w:rFonts w:ascii="Sakkal Majalla" w:eastAsia="Calibri" w:hAnsi="Sakkal Majalla" w:cs="Sakkal Majalla"/>
          <w:color w:val="000000" w:themeColor="text1"/>
          <w:sz w:val="28"/>
          <w:szCs w:val="28"/>
        </w:rPr>
        <w:t xml:space="preserve"> (Bueno et al., 2024).</w:t>
      </w:r>
    </w:p>
    <w:p w14:paraId="44CD0C4A" w14:textId="3E312DFC" w:rsidR="00B84590" w:rsidRPr="00104CDD" w:rsidRDefault="00B84590" w:rsidP="007A344A">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مستوى التكامل بين الإدارات</w:t>
      </w:r>
      <w:r w:rsidRPr="00104CDD">
        <w:rPr>
          <w:rFonts w:ascii="Sakkal Majalla" w:eastAsia="Calibri" w:hAnsi="Sakkal Majalla" w:cs="Sakkal Majalla"/>
          <w:b/>
          <w:bCs/>
          <w:color w:val="000000" w:themeColor="text1"/>
          <w:sz w:val="28"/>
          <w:szCs w:val="28"/>
        </w:rPr>
        <w:t xml:space="preserve"> Integration Level</w:t>
      </w:r>
    </w:p>
    <w:p w14:paraId="5A69717B" w14:textId="30B6A346"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 xml:space="preserve">يُعد التكامل التنظيمي أحد أبرز العوامل التي تؤثر في كفاءة العمليات، إذ تشير الدراسات إلى أن ضعف التواصل بين الإدارات يؤدي إلى تأخير الإجراءات وتكرار الجهود، في حين أن التكامل يسهم في تسريع تدفق المعلومات وتحقيق تنسيق فعّال (حسين وآخرون، 2023). كما يؤكد </w:t>
      </w:r>
      <w:r w:rsidRPr="00104CDD">
        <w:rPr>
          <w:rFonts w:ascii="Sakkal Majalla" w:eastAsia="Calibri" w:hAnsi="Sakkal Majalla" w:cs="Sakkal Majalla"/>
          <w:color w:val="000000" w:themeColor="text1"/>
          <w:sz w:val="28"/>
          <w:szCs w:val="28"/>
        </w:rPr>
        <w:t xml:space="preserve">Mavlutova et al. (2022) </w:t>
      </w:r>
      <w:r w:rsidRPr="00104CDD">
        <w:rPr>
          <w:rFonts w:ascii="Sakkal Majalla" w:eastAsia="Calibri" w:hAnsi="Sakkal Majalla" w:cs="Sakkal Majalla"/>
          <w:color w:val="000000" w:themeColor="text1"/>
          <w:sz w:val="28"/>
          <w:szCs w:val="28"/>
          <w:rtl/>
        </w:rPr>
        <w:t>أن التكامل بين الأنظمة والوحدات التشغيلية يعد عنصرًا جوهريًا لتحسين الكفاءة في المؤسسات الحكومية والتنظيمية</w:t>
      </w:r>
      <w:r w:rsidRPr="00104CDD">
        <w:rPr>
          <w:rFonts w:ascii="Sakkal Majalla" w:eastAsia="Calibri" w:hAnsi="Sakkal Majalla" w:cs="Sakkal Majalla"/>
          <w:color w:val="000000" w:themeColor="text1"/>
          <w:sz w:val="28"/>
          <w:szCs w:val="28"/>
        </w:rPr>
        <w:t>.</w:t>
      </w:r>
    </w:p>
    <w:p w14:paraId="1A337419" w14:textId="69A2770A" w:rsidR="00B84590" w:rsidRPr="00104CDD" w:rsidRDefault="00B84590" w:rsidP="007A344A">
      <w:pPr>
        <w:pStyle w:val="ListParagraph"/>
        <w:numPr>
          <w:ilvl w:val="0"/>
          <w:numId w:val="21"/>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104CDD">
        <w:rPr>
          <w:rFonts w:ascii="Sakkal Majalla" w:eastAsia="Calibri" w:hAnsi="Sakkal Majalla" w:cs="Sakkal Majalla"/>
          <w:b/>
          <w:bCs/>
          <w:color w:val="000000" w:themeColor="text1"/>
          <w:sz w:val="28"/>
          <w:szCs w:val="28"/>
          <w:rtl/>
        </w:rPr>
        <w:t>الحوكمة وضوابط الرقابة المؤسسية</w:t>
      </w:r>
      <w:r w:rsidRPr="00104CDD">
        <w:rPr>
          <w:rFonts w:ascii="Sakkal Majalla" w:eastAsia="Calibri" w:hAnsi="Sakkal Majalla" w:cs="Sakkal Majalla"/>
          <w:b/>
          <w:bCs/>
          <w:color w:val="000000" w:themeColor="text1"/>
          <w:sz w:val="28"/>
          <w:szCs w:val="28"/>
        </w:rPr>
        <w:t xml:space="preserve"> Governance and Controls</w:t>
      </w:r>
    </w:p>
    <w:p w14:paraId="42F99296" w14:textId="77777777" w:rsidR="00B84590" w:rsidRPr="00104CDD" w:rsidRDefault="00B84590" w:rsidP="00385C6B">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104CDD">
        <w:rPr>
          <w:rFonts w:ascii="Sakkal Majalla" w:eastAsia="Calibri" w:hAnsi="Sakkal Majalla" w:cs="Sakkal Majalla"/>
          <w:color w:val="000000" w:themeColor="text1"/>
          <w:sz w:val="28"/>
          <w:szCs w:val="28"/>
          <w:rtl/>
        </w:rPr>
        <w:t>توضح الأدبيات أن وجود ضوابط رقابية قوية يساهم في رفع كفاءة العمليات من خلال تقليل الأخطاء التشغيلية، وتنظيم البيانات، وتعزيز دقة المخرجات (الجبور والزيديين، 2022). كما تشير الدراسات الدولية إلى أن الحوكمة المالية والإدارية تضمن سير العمليات وفق معايير واضحة، مما يدعم جودة الأداء ويسرّع عمليات المتابعة والتدقيق</w:t>
      </w:r>
      <w:r w:rsidRPr="00104CDD">
        <w:rPr>
          <w:rFonts w:ascii="Sakkal Majalla" w:eastAsia="Calibri" w:hAnsi="Sakkal Majalla" w:cs="Sakkal Majalla"/>
          <w:color w:val="000000" w:themeColor="text1"/>
          <w:sz w:val="28"/>
          <w:szCs w:val="28"/>
        </w:rPr>
        <w:t xml:space="preserve"> (Mavlutova et al., 2022).</w:t>
      </w:r>
    </w:p>
    <w:p w14:paraId="249868D7" w14:textId="3413FBA0" w:rsidR="00104CDD" w:rsidRPr="00104CDD" w:rsidRDefault="00104CDD" w:rsidP="00335ACE">
      <w:pPr>
        <w:bidi/>
        <w:spacing w:before="100" w:beforeAutospacing="1" w:after="100" w:afterAutospacing="1" w:line="360" w:lineRule="auto"/>
        <w:ind w:left="720"/>
        <w:jc w:val="center"/>
        <w:rPr>
          <w:rFonts w:cs="Sakkal Majalla"/>
          <w:b/>
          <w:bCs/>
          <w:color w:val="000000" w:themeColor="text1"/>
          <w:sz w:val="28"/>
          <w:szCs w:val="32"/>
          <w:rtl/>
        </w:rPr>
        <w:sectPr w:rsidR="00104CDD" w:rsidRPr="00104CDD" w:rsidSect="009C0B30">
          <w:footerReference w:type="default" r:id="rId9"/>
          <w:pgSz w:w="11907" w:h="16840" w:code="9"/>
          <w:pgMar w:top="1440" w:right="1985" w:bottom="1440" w:left="1418" w:header="720" w:footer="720" w:gutter="567"/>
          <w:pgNumType w:start="1"/>
          <w:cols w:space="708"/>
          <w:bidi/>
          <w:rtlGutter/>
          <w:docGrid w:linePitch="360"/>
        </w:sectPr>
      </w:pPr>
      <w:bookmarkStart w:id="50" w:name="_GoBack"/>
      <w:bookmarkEnd w:id="50"/>
    </w:p>
    <w:p w14:paraId="6BD436A8" w14:textId="363CBA62" w:rsidR="00B3062E" w:rsidRPr="00104CDD" w:rsidRDefault="00B3062E" w:rsidP="009C0B30">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bookmarkStart w:id="51" w:name="_Hlk203128626"/>
      <w:r w:rsidRPr="00104CDD">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1" locked="0" layoutInCell="1" allowOverlap="1" wp14:anchorId="294AE27B" wp14:editId="76E89473">
            <wp:simplePos x="0" y="0"/>
            <wp:positionH relativeFrom="margin">
              <wp:align>right</wp:align>
            </wp:positionH>
            <wp:positionV relativeFrom="paragraph">
              <wp:posOffset>0</wp:posOffset>
            </wp:positionV>
            <wp:extent cx="1666875" cy="1543685"/>
            <wp:effectExtent l="0" t="0" r="9525" b="0"/>
            <wp:wrapTight wrapText="bothSides">
              <wp:wrapPolygon edited="0">
                <wp:start x="0" y="0"/>
                <wp:lineTo x="0" y="21325"/>
                <wp:lineTo x="21477" y="21325"/>
                <wp:lineTo x="2147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66875" cy="1543685"/>
                    </a:xfrm>
                    <a:prstGeom prst="rect">
                      <a:avLst/>
                    </a:prstGeom>
                    <a:noFill/>
                  </pic:spPr>
                </pic:pic>
              </a:graphicData>
            </a:graphic>
            <wp14:sizeRelH relativeFrom="margin">
              <wp14:pctWidth>0</wp14:pctWidth>
            </wp14:sizeRelH>
            <wp14:sizeRelV relativeFrom="margin">
              <wp14:pctHeight>0</wp14:pctHeight>
            </wp14:sizeRelV>
          </wp:anchor>
        </w:drawing>
      </w:r>
      <w:r w:rsidRPr="00104CDD">
        <w:rPr>
          <w:rFonts w:ascii="Sakkal Majalla" w:eastAsia="Calibri" w:hAnsi="Sakkal Majalla" w:cs="Sakkal Majalla"/>
          <w:b/>
          <w:bCs/>
          <w:color w:val="000000" w:themeColor="text1"/>
          <w:kern w:val="0"/>
          <w:sz w:val="32"/>
          <w:szCs w:val="32"/>
          <w:lang w:bidi="ar-EG"/>
          <w14:ligatures w14:val="none"/>
        </w:rPr>
        <w:t>Mid-Ocean University</w:t>
      </w:r>
    </w:p>
    <w:p w14:paraId="4741BDE5" w14:textId="77777777" w:rsidR="00B3062E" w:rsidRPr="00104CDD" w:rsidRDefault="00B3062E" w:rsidP="009C0B30">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104CDD">
        <w:rPr>
          <w:rFonts w:ascii="Sakkal Majalla" w:eastAsia="Calibri" w:hAnsi="Sakkal Majalla" w:cs="Sakkal Majalla"/>
          <w:b/>
          <w:bCs/>
          <w:color w:val="000000" w:themeColor="text1"/>
          <w:kern w:val="0"/>
          <w:sz w:val="32"/>
          <w:szCs w:val="32"/>
          <w:lang w:bidi="ar-EG"/>
          <w14:ligatures w14:val="none"/>
        </w:rPr>
        <w:t>College of Management</w:t>
      </w:r>
    </w:p>
    <w:p w14:paraId="7C59AA50" w14:textId="086C0BBA" w:rsidR="00B3062E" w:rsidRPr="00104CDD" w:rsidRDefault="00B3062E" w:rsidP="009C0B30">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104CDD">
        <w:rPr>
          <w:rFonts w:ascii="Sakkal Majalla" w:eastAsia="Calibri" w:hAnsi="Sakkal Majalla" w:cs="Sakkal Majalla"/>
          <w:b/>
          <w:bCs/>
          <w:color w:val="000000" w:themeColor="text1"/>
          <w:kern w:val="0"/>
          <w:sz w:val="32"/>
          <w:szCs w:val="32"/>
          <w:lang w:bidi="ar-EG"/>
          <w14:ligatures w14:val="none"/>
        </w:rPr>
        <w:t xml:space="preserve">Department of </w:t>
      </w:r>
      <w:r w:rsidR="00EF5E1A" w:rsidRPr="00104CDD">
        <w:rPr>
          <w:rFonts w:ascii="Sakkal Majalla" w:eastAsia="Calibri" w:hAnsi="Sakkal Majalla" w:cs="Sakkal Majalla"/>
          <w:b/>
          <w:bCs/>
          <w:color w:val="000000" w:themeColor="text1"/>
          <w:kern w:val="0"/>
          <w:sz w:val="32"/>
          <w:szCs w:val="32"/>
          <w14:ligatures w14:val="none"/>
        </w:rPr>
        <w:t>Human Resources Management</w:t>
      </w:r>
    </w:p>
    <w:p w14:paraId="113BDE18" w14:textId="4F1A8EE1" w:rsidR="00E74049" w:rsidRPr="00104CDD" w:rsidRDefault="00D71EC8" w:rsidP="00104CDD">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104CDD">
        <w:rPr>
          <w:rFonts w:ascii="Sakkal Majalla" w:eastAsia="Calibri" w:hAnsi="Sakkal Majalla" w:cs="Sakkal Majalla"/>
          <w:b/>
          <w:bCs/>
          <w:color w:val="000000" w:themeColor="text1"/>
          <w:kern w:val="0"/>
          <w:sz w:val="40"/>
          <w:szCs w:val="40"/>
          <w:lang w:bidi="ar-EG"/>
          <w14:ligatures w14:val="none"/>
        </w:rPr>
        <w:t>The Impact of Digital Financial Transformation on Improving Operational Efficiency in Regulatory Bodies: A Field Study of the Saudi Authority for Intellectual Property</w:t>
      </w:r>
    </w:p>
    <w:p w14:paraId="34D65D72" w14:textId="77777777" w:rsidR="00B3062E" w:rsidRPr="00104CDD" w:rsidRDefault="00B3062E" w:rsidP="00104CD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04CDD">
        <w:rPr>
          <w:rFonts w:ascii="Sakkal Majalla" w:eastAsia="Calibri" w:hAnsi="Sakkal Majalla" w:cs="Sakkal Majalla"/>
          <w:b/>
          <w:bCs/>
          <w:color w:val="000000" w:themeColor="text1"/>
          <w:kern w:val="0"/>
          <w:sz w:val="36"/>
          <w:szCs w:val="36"/>
          <w:lang w:bidi="ar-EG"/>
          <w14:ligatures w14:val="none"/>
        </w:rPr>
        <w:t>Preparation</w:t>
      </w:r>
      <w:r w:rsidRPr="00104CDD">
        <w:rPr>
          <w:rFonts w:ascii="Sakkal Majalla" w:eastAsia="Calibri" w:hAnsi="Sakkal Majalla" w:cs="Sakkal Majalla"/>
          <w:b/>
          <w:bCs/>
          <w:color w:val="000000" w:themeColor="text1"/>
          <w:kern w:val="0"/>
          <w:sz w:val="36"/>
          <w:szCs w:val="36"/>
          <w:rtl/>
          <w:lang w:bidi="ar-EG"/>
          <w14:ligatures w14:val="none"/>
        </w:rPr>
        <w:t>:</w:t>
      </w:r>
    </w:p>
    <w:p w14:paraId="7DB3EC0A" w14:textId="0FBBEA97" w:rsidR="000D7F5C" w:rsidRPr="00104CDD" w:rsidRDefault="00D71EC8" w:rsidP="00104CD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104CDD">
        <w:rPr>
          <w:rFonts w:ascii="Sakkal Majalla" w:eastAsia="Calibri" w:hAnsi="Sakkal Majalla" w:cs="Sakkal Majalla"/>
          <w:b/>
          <w:bCs/>
          <w:color w:val="000000" w:themeColor="text1"/>
          <w:kern w:val="0"/>
          <w:sz w:val="36"/>
          <w:szCs w:val="36"/>
          <w:lang w:bidi="ar-EG"/>
          <w14:ligatures w14:val="none"/>
        </w:rPr>
        <w:t>Nouf</w:t>
      </w:r>
    </w:p>
    <w:p w14:paraId="0EDAF171" w14:textId="6F3908DC" w:rsidR="00B3062E" w:rsidRPr="00104CDD" w:rsidRDefault="00B3062E" w:rsidP="00104CD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04CDD">
        <w:rPr>
          <w:rFonts w:ascii="Sakkal Majalla" w:eastAsia="Calibri" w:hAnsi="Sakkal Majalla" w:cs="Sakkal Majalla"/>
          <w:b/>
          <w:bCs/>
          <w:color w:val="000000" w:themeColor="text1"/>
          <w:kern w:val="0"/>
          <w:sz w:val="36"/>
          <w:szCs w:val="36"/>
          <w:lang w:bidi="ar-EG"/>
          <w14:ligatures w14:val="none"/>
        </w:rPr>
        <w:t>Supervision:</w:t>
      </w:r>
    </w:p>
    <w:p w14:paraId="006D2D0F" w14:textId="77777777" w:rsidR="00B3062E" w:rsidRPr="00104CDD" w:rsidRDefault="00B3062E" w:rsidP="00104CD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04CDD">
        <w:rPr>
          <w:rFonts w:ascii="Sakkal Majalla" w:eastAsia="Calibri" w:hAnsi="Sakkal Majalla" w:cs="Sakkal Majalla"/>
          <w:b/>
          <w:bCs/>
          <w:color w:val="000000" w:themeColor="text1"/>
          <w:kern w:val="0"/>
          <w:sz w:val="36"/>
          <w:szCs w:val="36"/>
          <w:lang w:bidi="ar-EG"/>
          <w14:ligatures w14:val="none"/>
        </w:rPr>
        <w:t>Dr. Al-Faisal Abdelhamid Mohamed Hassan</w:t>
      </w:r>
    </w:p>
    <w:p w14:paraId="247015DC" w14:textId="0067CD5B" w:rsidR="00104CDD" w:rsidRPr="00104CDD" w:rsidRDefault="00104CDD" w:rsidP="00104CD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04CDD">
        <w:rPr>
          <w:rFonts w:ascii="Sakkal Majalla" w:eastAsia="Calibri" w:hAnsi="Sakkal Majalla" w:cs="Sakkal Majalla"/>
          <w:b/>
          <w:bCs/>
          <w:color w:val="000000" w:themeColor="text1"/>
          <w:kern w:val="0"/>
          <w:sz w:val="36"/>
          <w:szCs w:val="36"/>
          <w:lang w:bidi="ar-EG"/>
          <w14:ligatures w14:val="none"/>
        </w:rPr>
        <w:t>Dr. Fayez Grad</w:t>
      </w:r>
    </w:p>
    <w:p w14:paraId="6CEB1C8D" w14:textId="0F4195FC" w:rsidR="00104CDD" w:rsidRPr="00104CDD" w:rsidRDefault="00104CDD" w:rsidP="00104CD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04CDD">
        <w:rPr>
          <w:rFonts w:ascii="Sakkal Majalla" w:eastAsia="Calibri" w:hAnsi="Sakkal Majalla" w:cs="Sakkal Majalla"/>
          <w:b/>
          <w:bCs/>
          <w:color w:val="000000" w:themeColor="text1"/>
          <w:kern w:val="0"/>
          <w:sz w:val="36"/>
          <w:szCs w:val="36"/>
          <w:lang w:bidi="ar-EG"/>
          <w14:ligatures w14:val="none"/>
        </w:rPr>
        <w:t>Year/</w:t>
      </w:r>
    </w:p>
    <w:p w14:paraId="293DD8D4" w14:textId="181B5DD3" w:rsidR="00104CDD" w:rsidRPr="00104CDD" w:rsidRDefault="00104CDD" w:rsidP="00104CDD">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104CDD">
        <w:rPr>
          <w:rFonts w:ascii="Sakkal Majalla" w:eastAsia="Calibri" w:hAnsi="Sakkal Majalla" w:cs="Sakkal Majalla"/>
          <w:b/>
          <w:bCs/>
          <w:color w:val="000000" w:themeColor="text1"/>
          <w:kern w:val="0"/>
          <w:sz w:val="36"/>
          <w:szCs w:val="36"/>
          <w:lang w:bidi="ar-EG"/>
          <w14:ligatures w14:val="none"/>
        </w:rPr>
        <w:t>1447 – 2025</w:t>
      </w:r>
    </w:p>
    <w:bookmarkEnd w:id="51"/>
    <w:p w14:paraId="06D3878E" w14:textId="5393ECA6" w:rsidR="00B3062E" w:rsidRPr="00104CDD" w:rsidRDefault="00B3062E" w:rsidP="009C0B30">
      <w:pPr>
        <w:bidi/>
        <w:spacing w:before="100" w:beforeAutospacing="1" w:after="100" w:afterAutospacing="1" w:line="360" w:lineRule="auto"/>
        <w:jc w:val="both"/>
        <w:rPr>
          <w:rFonts w:ascii="Sakkal Majalla" w:eastAsia="Calibri" w:hAnsi="Sakkal Majalla" w:cs="Sakkal Majalla"/>
          <w:color w:val="000000" w:themeColor="text1"/>
          <w:sz w:val="28"/>
          <w:szCs w:val="28"/>
          <w:u w:val="single"/>
          <w:rtl/>
          <w:lang w:bidi="ar-EG"/>
        </w:rPr>
      </w:pPr>
    </w:p>
    <w:sectPr w:rsidR="00B3062E" w:rsidRPr="00104CDD" w:rsidSect="009C0B30">
      <w:footerReference w:type="default" r:id="rId11"/>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41B6F9" w14:textId="77777777" w:rsidR="0077117E" w:rsidRDefault="0077117E" w:rsidP="009C0B30">
      <w:pPr>
        <w:spacing w:after="0" w:line="240" w:lineRule="auto"/>
      </w:pPr>
      <w:r>
        <w:separator/>
      </w:r>
    </w:p>
  </w:endnote>
  <w:endnote w:type="continuationSeparator" w:id="0">
    <w:p w14:paraId="593617CB" w14:textId="77777777" w:rsidR="0077117E" w:rsidRDefault="0077117E" w:rsidP="009C0B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7513867"/>
      <w:docPartObj>
        <w:docPartGallery w:val="Page Numbers (Bottom of Page)"/>
        <w:docPartUnique/>
      </w:docPartObj>
    </w:sdtPr>
    <w:sdtEndPr/>
    <w:sdtContent>
      <w:p w14:paraId="12CDDB5E" w14:textId="77777777" w:rsidR="00353952" w:rsidRDefault="00353952">
        <w:pPr>
          <w:pStyle w:val="Footer"/>
        </w:pPr>
        <w:r>
          <w:rPr>
            <w:noProof/>
          </w:rPr>
          <mc:AlternateContent>
            <mc:Choice Requires="wpg">
              <w:drawing>
                <wp:anchor distT="0" distB="0" distL="114300" distR="114300" simplePos="0" relativeHeight="251663360" behindDoc="0" locked="0" layoutInCell="1" allowOverlap="1" wp14:anchorId="7E6557A6" wp14:editId="10E0657B">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1"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32877CDC" w14:textId="77777777" w:rsidR="00353952" w:rsidRPr="009C0B30" w:rsidRDefault="00353952">
                                <w:pPr>
                                  <w:pStyle w:val="Footer"/>
                                  <w:jc w:val="center"/>
                                  <w:rPr>
                                    <w:rFonts w:ascii="Sakkal Majalla" w:hAnsi="Sakkal Majalla" w:cs="Sakkal Majalla"/>
                                    <w:b/>
                                    <w:bCs/>
                                  </w:rPr>
                                </w:pPr>
                                <w:r w:rsidRPr="009C0B30">
                                  <w:rPr>
                                    <w:rFonts w:ascii="Sakkal Majalla" w:hAnsi="Sakkal Majalla" w:cs="Sakkal Majalla"/>
                                    <w:b/>
                                    <w:bCs/>
                                  </w:rPr>
                                  <w:fldChar w:fldCharType="begin"/>
                                </w:r>
                                <w:r w:rsidRPr="009C0B30">
                                  <w:rPr>
                                    <w:rFonts w:ascii="Sakkal Majalla" w:hAnsi="Sakkal Majalla" w:cs="Sakkal Majalla"/>
                                    <w:b/>
                                    <w:bCs/>
                                  </w:rPr>
                                  <w:instrText xml:space="preserve"> PAGE    \* MERGEFORMAT </w:instrText>
                                </w:r>
                                <w:r w:rsidRPr="009C0B30">
                                  <w:rPr>
                                    <w:rFonts w:ascii="Sakkal Majalla" w:hAnsi="Sakkal Majalla" w:cs="Sakkal Majalla"/>
                                    <w:b/>
                                    <w:bCs/>
                                  </w:rPr>
                                  <w:fldChar w:fldCharType="separate"/>
                                </w:r>
                                <w:r w:rsidR="00335ACE">
                                  <w:rPr>
                                    <w:rFonts w:ascii="Sakkal Majalla" w:hAnsi="Sakkal Majalla" w:cs="Sakkal Majalla"/>
                                    <w:b/>
                                    <w:bCs/>
                                    <w:noProof/>
                                  </w:rPr>
                                  <w:t>39</w:t>
                                </w:r>
                                <w:r w:rsidRPr="009C0B30">
                                  <w:rPr>
                                    <w:rFonts w:ascii="Sakkal Majalla" w:hAnsi="Sakkal Majalla" w:cs="Sakkal Majalla"/>
                                    <w:b/>
                                    <w:bCs/>
                                    <w:noProof/>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6557A6" id="Group 7" o:spid="_x0000_s1031" style="position:absolute;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0AAaAMAAB4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">
                  <v:shapetype id="_x0000_t32" coordsize="21600,21600" o:spt="32" o:oned="t" path="m,l21600,21600e" filled="f">
                    <v:path arrowok="t" fillok="f" o:connecttype="none"/>
                    <o:lock v:ext="edit" shapetype="t"/>
                  </v:shapetype>
                  <v:shape id="AutoShape 77" o:spid="_x0000_s1032"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QeKkMAAAADaAAAADwAAAGRycy9kb3ducmV2LnhtbERPy0rDQBTdC/7DcIXu7MRCq8ROgghC&#10;NqUkaV1fMtckmrkTMpNH+/WdRcHl4bz36WI6MdHgWssKXtYRCOLK6pZrBafy6/kNhPPIGjvLpOBC&#10;DtLk8WGPsbYz5zQVvhYhhF2MChrv+1hKVzVk0K1tTxy4HzsY9AEOtdQDziHcdHITRTtpsOXQ0GBP&#10;nw1Vf8VoFGyzV/PrsjK/elkevqfu2I9nqdTqafl4B+Fp8f/iuzvTCsLWcCXcAJnc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kHipDAAAAA2gAAAA8AAAAAAAAAAAAAAAAA&#10;oQIAAGRycy9kb3ducmV2LnhtbFBLBQYAAAAABAAEAPkAAACOAwAAAAA=&#10;" strokecolor="#7f7f7f"/>
                  <v:rect id="Rectangle 78" o:spid="_x0000_s1033"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PWsMA&#10;AADbAAAADwAAAGRycy9kb3ducmV2LnhtbERPTWvCQBC9F/wPywje6sYeio2uUqKFgherpeptyI7Z&#10;NNnZkF2T+O+7hUJv83ifs1wPthYdtb50rGA2TUAQ506XXCj4PL49zkH4gKyxdkwK7uRhvRo9LDHV&#10;rucP6g6hEDGEfYoKTAhNKqXPDVn0U9cQR+7qWoshwraQusU+httaPiXJs7RYcmww2FBmKK8ON6ug&#10;Mpvv7a66Z2f+6rLTPvQvl9Neqcl4eF2ACDSEf/Gf+13H+TP4/SUe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mPWsMAAADbAAAADwAAAAAAAAAAAAAAAACYAgAAZHJzL2Rv&#10;d25yZXYueG1sUEsFBgAAAAAEAAQA9QAAAIgDAAAAAA==&#10;" filled="f" strokecolor="#7f7f7f">
                    <v:textbox>
                      <w:txbxContent>
                        <w:p w14:paraId="32877CDC" w14:textId="77777777" w:rsidR="00353952" w:rsidRPr="009C0B30" w:rsidRDefault="00353952">
                          <w:pPr>
                            <w:pStyle w:val="Footer"/>
                            <w:jc w:val="center"/>
                            <w:rPr>
                              <w:rFonts w:ascii="Sakkal Majalla" w:hAnsi="Sakkal Majalla" w:cs="Sakkal Majalla"/>
                              <w:b/>
                              <w:bCs/>
                            </w:rPr>
                          </w:pPr>
                          <w:r w:rsidRPr="009C0B30">
                            <w:rPr>
                              <w:rFonts w:ascii="Sakkal Majalla" w:hAnsi="Sakkal Majalla" w:cs="Sakkal Majalla"/>
                              <w:b/>
                              <w:bCs/>
                            </w:rPr>
                            <w:fldChar w:fldCharType="begin"/>
                          </w:r>
                          <w:r w:rsidRPr="009C0B30">
                            <w:rPr>
                              <w:rFonts w:ascii="Sakkal Majalla" w:hAnsi="Sakkal Majalla" w:cs="Sakkal Majalla"/>
                              <w:b/>
                              <w:bCs/>
                            </w:rPr>
                            <w:instrText xml:space="preserve"> PAGE    \* MERGEFORMAT </w:instrText>
                          </w:r>
                          <w:r w:rsidRPr="009C0B30">
                            <w:rPr>
                              <w:rFonts w:ascii="Sakkal Majalla" w:hAnsi="Sakkal Majalla" w:cs="Sakkal Majalla"/>
                              <w:b/>
                              <w:bCs/>
                            </w:rPr>
                            <w:fldChar w:fldCharType="separate"/>
                          </w:r>
                          <w:r w:rsidR="00335ACE">
                            <w:rPr>
                              <w:rFonts w:ascii="Sakkal Majalla" w:hAnsi="Sakkal Majalla" w:cs="Sakkal Majalla"/>
                              <w:b/>
                              <w:bCs/>
                              <w:noProof/>
                            </w:rPr>
                            <w:t>39</w:t>
                          </w:r>
                          <w:r w:rsidRPr="009C0B30">
                            <w:rPr>
                              <w:rFonts w:ascii="Sakkal Majalla" w:hAnsi="Sakkal Majalla" w:cs="Sakkal Majalla"/>
                              <w:b/>
                              <w:bCs/>
                              <w:noProof/>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E56A6" w14:textId="126BF482" w:rsidR="00104CDD" w:rsidRDefault="00104C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36FA3A" w14:textId="77777777" w:rsidR="0077117E" w:rsidRDefault="0077117E" w:rsidP="009C0B30">
      <w:pPr>
        <w:spacing w:after="0" w:line="240" w:lineRule="auto"/>
      </w:pPr>
      <w:r>
        <w:separator/>
      </w:r>
    </w:p>
  </w:footnote>
  <w:footnote w:type="continuationSeparator" w:id="0">
    <w:p w14:paraId="4E8050B9" w14:textId="77777777" w:rsidR="0077117E" w:rsidRDefault="0077117E" w:rsidP="009C0B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664F87"/>
    <w:multiLevelType w:val="hybridMultilevel"/>
    <w:tmpl w:val="65A630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100AA4"/>
    <w:multiLevelType w:val="hybridMultilevel"/>
    <w:tmpl w:val="F850E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B57A9F"/>
    <w:multiLevelType w:val="multilevel"/>
    <w:tmpl w:val="34400AFC"/>
    <w:lvl w:ilvl="0">
      <w:numFmt w:val="decimal"/>
      <w:lvlText w:val=""/>
      <w:lvlJc w:val="left"/>
      <w:pPr>
        <w:tabs>
          <w:tab w:val="num" w:pos="1080"/>
        </w:tabs>
        <w:ind w:left="1080" w:hanging="360"/>
      </w:pPr>
      <w:rPr>
        <w:rFonts w:ascii="Symbol" w:hAnsi="Symbol" w:hint="default"/>
      </w:rPr>
    </w:lvl>
    <w:lvl w:ilvl="1">
      <w:numFmt w:val="decimal"/>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7">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nsid w:val="33C1231B"/>
    <w:multiLevelType w:val="multilevel"/>
    <w:tmpl w:val="F33A9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6D37C58"/>
    <w:multiLevelType w:val="hybridMultilevel"/>
    <w:tmpl w:val="3AE4BE5A"/>
    <w:lvl w:ilvl="0" w:tplc="BA749FCE">
      <w:start w:val="1"/>
      <w:numFmt w:val="bullet"/>
      <w:lvlText w:val=""/>
      <w:lvlJc w:val="left"/>
      <w:pPr>
        <w:ind w:left="888" w:hanging="360"/>
      </w:pPr>
      <w:rPr>
        <w:rFonts w:ascii="Symbol" w:hAnsi="Symbol" w:hint="default"/>
      </w:rPr>
    </w:lvl>
    <w:lvl w:ilvl="1" w:tplc="04090003" w:tentative="1">
      <w:start w:val="1"/>
      <w:numFmt w:val="bullet"/>
      <w:lvlText w:val="o"/>
      <w:lvlJc w:val="left"/>
      <w:pPr>
        <w:ind w:left="1608" w:hanging="360"/>
      </w:pPr>
      <w:rPr>
        <w:rFonts w:ascii="Courier New" w:hAnsi="Courier New" w:cs="Courier New" w:hint="default"/>
      </w:rPr>
    </w:lvl>
    <w:lvl w:ilvl="2" w:tplc="04090005" w:tentative="1">
      <w:start w:val="1"/>
      <w:numFmt w:val="bullet"/>
      <w:lvlText w:val=""/>
      <w:lvlJc w:val="left"/>
      <w:pPr>
        <w:ind w:left="2328" w:hanging="360"/>
      </w:pPr>
      <w:rPr>
        <w:rFonts w:ascii="Wingdings" w:hAnsi="Wingdings" w:hint="default"/>
      </w:rPr>
    </w:lvl>
    <w:lvl w:ilvl="3" w:tplc="04090001" w:tentative="1">
      <w:start w:val="1"/>
      <w:numFmt w:val="bullet"/>
      <w:lvlText w:val=""/>
      <w:lvlJc w:val="left"/>
      <w:pPr>
        <w:ind w:left="3048" w:hanging="360"/>
      </w:pPr>
      <w:rPr>
        <w:rFonts w:ascii="Symbol" w:hAnsi="Symbol" w:hint="default"/>
      </w:rPr>
    </w:lvl>
    <w:lvl w:ilvl="4" w:tplc="04090003" w:tentative="1">
      <w:start w:val="1"/>
      <w:numFmt w:val="bullet"/>
      <w:lvlText w:val="o"/>
      <w:lvlJc w:val="left"/>
      <w:pPr>
        <w:ind w:left="3768" w:hanging="360"/>
      </w:pPr>
      <w:rPr>
        <w:rFonts w:ascii="Courier New" w:hAnsi="Courier New" w:cs="Courier New" w:hint="default"/>
      </w:rPr>
    </w:lvl>
    <w:lvl w:ilvl="5" w:tplc="04090005" w:tentative="1">
      <w:start w:val="1"/>
      <w:numFmt w:val="bullet"/>
      <w:lvlText w:val=""/>
      <w:lvlJc w:val="left"/>
      <w:pPr>
        <w:ind w:left="4488" w:hanging="360"/>
      </w:pPr>
      <w:rPr>
        <w:rFonts w:ascii="Wingdings" w:hAnsi="Wingdings" w:hint="default"/>
      </w:rPr>
    </w:lvl>
    <w:lvl w:ilvl="6" w:tplc="04090001" w:tentative="1">
      <w:start w:val="1"/>
      <w:numFmt w:val="bullet"/>
      <w:lvlText w:val=""/>
      <w:lvlJc w:val="left"/>
      <w:pPr>
        <w:ind w:left="5208" w:hanging="360"/>
      </w:pPr>
      <w:rPr>
        <w:rFonts w:ascii="Symbol" w:hAnsi="Symbol" w:hint="default"/>
      </w:rPr>
    </w:lvl>
    <w:lvl w:ilvl="7" w:tplc="04090003" w:tentative="1">
      <w:start w:val="1"/>
      <w:numFmt w:val="bullet"/>
      <w:lvlText w:val="o"/>
      <w:lvlJc w:val="left"/>
      <w:pPr>
        <w:ind w:left="5928" w:hanging="360"/>
      </w:pPr>
      <w:rPr>
        <w:rFonts w:ascii="Courier New" w:hAnsi="Courier New" w:cs="Courier New" w:hint="default"/>
      </w:rPr>
    </w:lvl>
    <w:lvl w:ilvl="8" w:tplc="04090005" w:tentative="1">
      <w:start w:val="1"/>
      <w:numFmt w:val="bullet"/>
      <w:lvlText w:val=""/>
      <w:lvlJc w:val="left"/>
      <w:pPr>
        <w:ind w:left="6648" w:hanging="360"/>
      </w:pPr>
      <w:rPr>
        <w:rFonts w:ascii="Wingdings" w:hAnsi="Wingdings" w:hint="default"/>
      </w:rPr>
    </w:lvl>
  </w:abstractNum>
  <w:abstractNum w:abstractNumId="10">
    <w:nsid w:val="39A51E7C"/>
    <w:multiLevelType w:val="hybridMultilevel"/>
    <w:tmpl w:val="F850E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9C368F"/>
    <w:multiLevelType w:val="hybridMultilevel"/>
    <w:tmpl w:val="9EC207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AA11995"/>
    <w:multiLevelType w:val="hybridMultilevel"/>
    <w:tmpl w:val="EBE42AAC"/>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861CFF"/>
    <w:multiLevelType w:val="hybridMultilevel"/>
    <w:tmpl w:val="288855B4"/>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17">
    <w:nsid w:val="62D429BA"/>
    <w:multiLevelType w:val="hybridMultilevel"/>
    <w:tmpl w:val="9B544B7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3075E87"/>
    <w:multiLevelType w:val="multilevel"/>
    <w:tmpl w:val="7B086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CBC2B32"/>
    <w:multiLevelType w:val="hybridMultilevel"/>
    <w:tmpl w:val="E5629B34"/>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DE07BD7"/>
    <w:multiLevelType w:val="hybridMultilevel"/>
    <w:tmpl w:val="77BABC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09B41C1"/>
    <w:multiLevelType w:val="hybridMultilevel"/>
    <w:tmpl w:val="D848F61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56915AA"/>
    <w:multiLevelType w:val="hybridMultilevel"/>
    <w:tmpl w:val="317A7D6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8A24458"/>
    <w:multiLevelType w:val="hybridMultilevel"/>
    <w:tmpl w:val="F850E0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3"/>
  </w:num>
  <w:num w:numId="3">
    <w:abstractNumId w:val="20"/>
  </w:num>
  <w:num w:numId="4">
    <w:abstractNumId w:val="2"/>
  </w:num>
  <w:num w:numId="5">
    <w:abstractNumId w:val="12"/>
  </w:num>
  <w:num w:numId="6">
    <w:abstractNumId w:val="5"/>
  </w:num>
  <w:num w:numId="7">
    <w:abstractNumId w:val="26"/>
  </w:num>
  <w:num w:numId="8">
    <w:abstractNumId w:val="3"/>
  </w:num>
  <w:num w:numId="9">
    <w:abstractNumId w:val="7"/>
  </w:num>
  <w:num w:numId="10">
    <w:abstractNumId w:val="27"/>
  </w:num>
  <w:num w:numId="11">
    <w:abstractNumId w:val="21"/>
  </w:num>
  <w:num w:numId="12">
    <w:abstractNumId w:val="6"/>
  </w:num>
  <w:num w:numId="13">
    <w:abstractNumId w:val="8"/>
  </w:num>
  <w:num w:numId="14">
    <w:abstractNumId w:val="18"/>
  </w:num>
  <w:num w:numId="15">
    <w:abstractNumId w:val="25"/>
  </w:num>
  <w:num w:numId="16">
    <w:abstractNumId w:val="22"/>
  </w:num>
  <w:num w:numId="17">
    <w:abstractNumId w:val="9"/>
  </w:num>
  <w:num w:numId="18">
    <w:abstractNumId w:val="17"/>
  </w:num>
  <w:num w:numId="19">
    <w:abstractNumId w:val="16"/>
  </w:num>
  <w:num w:numId="20">
    <w:abstractNumId w:val="11"/>
  </w:num>
  <w:num w:numId="21">
    <w:abstractNumId w:val="24"/>
  </w:num>
  <w:num w:numId="22">
    <w:abstractNumId w:val="10"/>
  </w:num>
  <w:num w:numId="23">
    <w:abstractNumId w:val="14"/>
  </w:num>
  <w:num w:numId="24">
    <w:abstractNumId w:val="23"/>
  </w:num>
  <w:num w:numId="25">
    <w:abstractNumId w:val="0"/>
  </w:num>
  <w:num w:numId="26">
    <w:abstractNumId w:val="4"/>
  </w:num>
  <w:num w:numId="27">
    <w:abstractNumId w:val="19"/>
  </w:num>
  <w:num w:numId="28">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1506E"/>
    <w:rsid w:val="00016A02"/>
    <w:rsid w:val="00027DA6"/>
    <w:rsid w:val="00031CE3"/>
    <w:rsid w:val="00035BF9"/>
    <w:rsid w:val="000418BB"/>
    <w:rsid w:val="00053E45"/>
    <w:rsid w:val="000605FC"/>
    <w:rsid w:val="00086EC7"/>
    <w:rsid w:val="000D1F9A"/>
    <w:rsid w:val="000D7F5C"/>
    <w:rsid w:val="000E05CD"/>
    <w:rsid w:val="000E15CB"/>
    <w:rsid w:val="000E58E0"/>
    <w:rsid w:val="00104CDD"/>
    <w:rsid w:val="0010558F"/>
    <w:rsid w:val="001227DF"/>
    <w:rsid w:val="00126A2D"/>
    <w:rsid w:val="001401A3"/>
    <w:rsid w:val="00146C25"/>
    <w:rsid w:val="001729B0"/>
    <w:rsid w:val="001735A7"/>
    <w:rsid w:val="001743CE"/>
    <w:rsid w:val="001745DB"/>
    <w:rsid w:val="001902D9"/>
    <w:rsid w:val="001A534C"/>
    <w:rsid w:val="001B4725"/>
    <w:rsid w:val="001C608D"/>
    <w:rsid w:val="001D3E4E"/>
    <w:rsid w:val="001D7023"/>
    <w:rsid w:val="001E751A"/>
    <w:rsid w:val="001F438F"/>
    <w:rsid w:val="002079FE"/>
    <w:rsid w:val="00211DF4"/>
    <w:rsid w:val="0021216C"/>
    <w:rsid w:val="00243E8A"/>
    <w:rsid w:val="00263812"/>
    <w:rsid w:val="002B1C6E"/>
    <w:rsid w:val="002B1F81"/>
    <w:rsid w:val="002B3AFE"/>
    <w:rsid w:val="002B6095"/>
    <w:rsid w:val="002F1465"/>
    <w:rsid w:val="002F57B8"/>
    <w:rsid w:val="002F60B8"/>
    <w:rsid w:val="002F6CD7"/>
    <w:rsid w:val="00330E8E"/>
    <w:rsid w:val="00335ACE"/>
    <w:rsid w:val="003369E0"/>
    <w:rsid w:val="00353952"/>
    <w:rsid w:val="00377082"/>
    <w:rsid w:val="00385C6B"/>
    <w:rsid w:val="003B2FC5"/>
    <w:rsid w:val="003D7197"/>
    <w:rsid w:val="003E0C4E"/>
    <w:rsid w:val="00407D50"/>
    <w:rsid w:val="00410DB9"/>
    <w:rsid w:val="00411A34"/>
    <w:rsid w:val="00412C52"/>
    <w:rsid w:val="0042489A"/>
    <w:rsid w:val="00431C8C"/>
    <w:rsid w:val="00436D48"/>
    <w:rsid w:val="004372F8"/>
    <w:rsid w:val="00440A3F"/>
    <w:rsid w:val="00465599"/>
    <w:rsid w:val="00471905"/>
    <w:rsid w:val="00471BB0"/>
    <w:rsid w:val="0049363B"/>
    <w:rsid w:val="0049562C"/>
    <w:rsid w:val="004B352F"/>
    <w:rsid w:val="004C6D3E"/>
    <w:rsid w:val="004C6F58"/>
    <w:rsid w:val="004D5EF8"/>
    <w:rsid w:val="004D6D9C"/>
    <w:rsid w:val="004E0F8B"/>
    <w:rsid w:val="004E431B"/>
    <w:rsid w:val="004E61A7"/>
    <w:rsid w:val="00503EAC"/>
    <w:rsid w:val="0050776A"/>
    <w:rsid w:val="00510EFA"/>
    <w:rsid w:val="00513D84"/>
    <w:rsid w:val="00516225"/>
    <w:rsid w:val="005646B4"/>
    <w:rsid w:val="005650B6"/>
    <w:rsid w:val="0057194E"/>
    <w:rsid w:val="00584051"/>
    <w:rsid w:val="005B2435"/>
    <w:rsid w:val="006045AF"/>
    <w:rsid w:val="006113E4"/>
    <w:rsid w:val="006276FC"/>
    <w:rsid w:val="00632AD8"/>
    <w:rsid w:val="00633787"/>
    <w:rsid w:val="0064319C"/>
    <w:rsid w:val="0066195E"/>
    <w:rsid w:val="0067063B"/>
    <w:rsid w:val="00686D9C"/>
    <w:rsid w:val="00691A4B"/>
    <w:rsid w:val="00694BD8"/>
    <w:rsid w:val="006B031B"/>
    <w:rsid w:val="006B10E4"/>
    <w:rsid w:val="006B124E"/>
    <w:rsid w:val="006B204F"/>
    <w:rsid w:val="006B2437"/>
    <w:rsid w:val="006C61FA"/>
    <w:rsid w:val="006D722E"/>
    <w:rsid w:val="006E5DF8"/>
    <w:rsid w:val="00702F03"/>
    <w:rsid w:val="00707B14"/>
    <w:rsid w:val="00722549"/>
    <w:rsid w:val="00755C2B"/>
    <w:rsid w:val="0077117E"/>
    <w:rsid w:val="007821AC"/>
    <w:rsid w:val="00786A5D"/>
    <w:rsid w:val="007A201F"/>
    <w:rsid w:val="007A344A"/>
    <w:rsid w:val="007B70BE"/>
    <w:rsid w:val="007D23BF"/>
    <w:rsid w:val="007E7623"/>
    <w:rsid w:val="007F5B63"/>
    <w:rsid w:val="0082350B"/>
    <w:rsid w:val="00840BBC"/>
    <w:rsid w:val="00862511"/>
    <w:rsid w:val="00865EDA"/>
    <w:rsid w:val="008A068F"/>
    <w:rsid w:val="008B7A4D"/>
    <w:rsid w:val="008C1E4D"/>
    <w:rsid w:val="008C7323"/>
    <w:rsid w:val="00903CAC"/>
    <w:rsid w:val="00903CF9"/>
    <w:rsid w:val="00907ABD"/>
    <w:rsid w:val="00941505"/>
    <w:rsid w:val="00953064"/>
    <w:rsid w:val="009633C7"/>
    <w:rsid w:val="00975291"/>
    <w:rsid w:val="00981FD0"/>
    <w:rsid w:val="009B7E08"/>
    <w:rsid w:val="009C0B30"/>
    <w:rsid w:val="009C526E"/>
    <w:rsid w:val="009E6EA5"/>
    <w:rsid w:val="009F633B"/>
    <w:rsid w:val="00A14016"/>
    <w:rsid w:val="00A27421"/>
    <w:rsid w:val="00A4051C"/>
    <w:rsid w:val="00A40FCC"/>
    <w:rsid w:val="00A44FE2"/>
    <w:rsid w:val="00A54657"/>
    <w:rsid w:val="00A624B2"/>
    <w:rsid w:val="00A75455"/>
    <w:rsid w:val="00A77BCF"/>
    <w:rsid w:val="00A94E52"/>
    <w:rsid w:val="00A97A87"/>
    <w:rsid w:val="00AA3314"/>
    <w:rsid w:val="00AC31BF"/>
    <w:rsid w:val="00AC57EE"/>
    <w:rsid w:val="00AD5B79"/>
    <w:rsid w:val="00AD6F04"/>
    <w:rsid w:val="00AE1706"/>
    <w:rsid w:val="00AF2AC9"/>
    <w:rsid w:val="00AF54A5"/>
    <w:rsid w:val="00B27F19"/>
    <w:rsid w:val="00B300C4"/>
    <w:rsid w:val="00B3062E"/>
    <w:rsid w:val="00B32AF2"/>
    <w:rsid w:val="00B451B8"/>
    <w:rsid w:val="00B45B8F"/>
    <w:rsid w:val="00B76880"/>
    <w:rsid w:val="00B84126"/>
    <w:rsid w:val="00B84590"/>
    <w:rsid w:val="00B84F7F"/>
    <w:rsid w:val="00B913E0"/>
    <w:rsid w:val="00BA3FBD"/>
    <w:rsid w:val="00BA4DDC"/>
    <w:rsid w:val="00BB034F"/>
    <w:rsid w:val="00BB088E"/>
    <w:rsid w:val="00BB7F8F"/>
    <w:rsid w:val="00BC5922"/>
    <w:rsid w:val="00BD01E1"/>
    <w:rsid w:val="00BD1FA5"/>
    <w:rsid w:val="00BD3887"/>
    <w:rsid w:val="00BF4B5D"/>
    <w:rsid w:val="00C144B7"/>
    <w:rsid w:val="00C23470"/>
    <w:rsid w:val="00C245EF"/>
    <w:rsid w:val="00C53DA2"/>
    <w:rsid w:val="00C66CE5"/>
    <w:rsid w:val="00C679BF"/>
    <w:rsid w:val="00C9526B"/>
    <w:rsid w:val="00CB7336"/>
    <w:rsid w:val="00CC5A15"/>
    <w:rsid w:val="00CE027E"/>
    <w:rsid w:val="00CF0F6B"/>
    <w:rsid w:val="00CF16B1"/>
    <w:rsid w:val="00CF428A"/>
    <w:rsid w:val="00D16BE6"/>
    <w:rsid w:val="00D22715"/>
    <w:rsid w:val="00D32B74"/>
    <w:rsid w:val="00D32F52"/>
    <w:rsid w:val="00D34CA1"/>
    <w:rsid w:val="00D40138"/>
    <w:rsid w:val="00D45B6F"/>
    <w:rsid w:val="00D47753"/>
    <w:rsid w:val="00D51F8F"/>
    <w:rsid w:val="00D6040F"/>
    <w:rsid w:val="00D71EC8"/>
    <w:rsid w:val="00D732C5"/>
    <w:rsid w:val="00D85EBD"/>
    <w:rsid w:val="00DD1EF7"/>
    <w:rsid w:val="00DE010D"/>
    <w:rsid w:val="00E3361A"/>
    <w:rsid w:val="00E337C0"/>
    <w:rsid w:val="00E5667F"/>
    <w:rsid w:val="00E74049"/>
    <w:rsid w:val="00E9695E"/>
    <w:rsid w:val="00EB2685"/>
    <w:rsid w:val="00EB33D5"/>
    <w:rsid w:val="00EC4F46"/>
    <w:rsid w:val="00ED21BD"/>
    <w:rsid w:val="00ED2895"/>
    <w:rsid w:val="00ED735A"/>
    <w:rsid w:val="00EF0705"/>
    <w:rsid w:val="00EF5E1A"/>
    <w:rsid w:val="00F0032F"/>
    <w:rsid w:val="00F07788"/>
    <w:rsid w:val="00F2181C"/>
    <w:rsid w:val="00F32602"/>
    <w:rsid w:val="00F3540F"/>
    <w:rsid w:val="00F55245"/>
    <w:rsid w:val="00F64806"/>
    <w:rsid w:val="00F83178"/>
    <w:rsid w:val="00F95867"/>
    <w:rsid w:val="00F96361"/>
    <w:rsid w:val="00FA6C5E"/>
    <w:rsid w:val="00FB2F8D"/>
    <w:rsid w:val="00FC0183"/>
    <w:rsid w:val="00FD56F8"/>
    <w:rsid w:val="00FD65DA"/>
    <w:rsid w:val="00FE28D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paragraph" w:styleId="Header">
    <w:name w:val="header"/>
    <w:basedOn w:val="Normal"/>
    <w:link w:val="HeaderChar"/>
    <w:uiPriority w:val="99"/>
    <w:unhideWhenUsed/>
    <w:rsid w:val="009C0B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B30"/>
  </w:style>
  <w:style w:type="paragraph" w:styleId="Footer">
    <w:name w:val="footer"/>
    <w:basedOn w:val="Normal"/>
    <w:link w:val="FooterChar"/>
    <w:uiPriority w:val="99"/>
    <w:unhideWhenUsed/>
    <w:rsid w:val="009C0B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B30"/>
  </w:style>
  <w:style w:type="table" w:styleId="TableGrid">
    <w:name w:val="Table Grid"/>
    <w:basedOn w:val="TableNormal"/>
    <w:uiPriority w:val="39"/>
    <w:rsid w:val="009C0B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1Light-Accent4">
    <w:name w:val="Grid Table 1 Light Accent 4"/>
    <w:basedOn w:val="TableNormal"/>
    <w:uiPriority w:val="46"/>
    <w:rsid w:val="009C0B30"/>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ED735A"/>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2">
    <w:name w:val="toc 2"/>
    <w:basedOn w:val="Normal"/>
    <w:next w:val="Normal"/>
    <w:autoRedefine/>
    <w:uiPriority w:val="39"/>
    <w:unhideWhenUsed/>
    <w:rsid w:val="00ED735A"/>
    <w:pPr>
      <w:spacing w:after="100"/>
      <w:ind w:left="240"/>
    </w:pPr>
  </w:style>
  <w:style w:type="paragraph" w:styleId="TOC3">
    <w:name w:val="toc 3"/>
    <w:basedOn w:val="Normal"/>
    <w:next w:val="Normal"/>
    <w:autoRedefine/>
    <w:uiPriority w:val="39"/>
    <w:unhideWhenUsed/>
    <w:rsid w:val="00ED735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54222">
      <w:bodyDiv w:val="1"/>
      <w:marLeft w:val="0"/>
      <w:marRight w:val="0"/>
      <w:marTop w:val="0"/>
      <w:marBottom w:val="0"/>
      <w:divBdr>
        <w:top w:val="none" w:sz="0" w:space="0" w:color="auto"/>
        <w:left w:val="none" w:sz="0" w:space="0" w:color="auto"/>
        <w:bottom w:val="none" w:sz="0" w:space="0" w:color="auto"/>
        <w:right w:val="none" w:sz="0" w:space="0" w:color="auto"/>
      </w:divBdr>
      <w:divsChild>
        <w:div w:id="738282888">
          <w:marLeft w:val="0"/>
          <w:marRight w:val="0"/>
          <w:marTop w:val="0"/>
          <w:marBottom w:val="0"/>
          <w:divBdr>
            <w:top w:val="none" w:sz="0" w:space="0" w:color="auto"/>
            <w:left w:val="none" w:sz="0" w:space="0" w:color="auto"/>
            <w:bottom w:val="none" w:sz="0" w:space="0" w:color="auto"/>
            <w:right w:val="none" w:sz="0" w:space="0" w:color="auto"/>
          </w:divBdr>
          <w:divsChild>
            <w:div w:id="186470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10198">
      <w:bodyDiv w:val="1"/>
      <w:marLeft w:val="0"/>
      <w:marRight w:val="0"/>
      <w:marTop w:val="0"/>
      <w:marBottom w:val="0"/>
      <w:divBdr>
        <w:top w:val="none" w:sz="0" w:space="0" w:color="auto"/>
        <w:left w:val="none" w:sz="0" w:space="0" w:color="auto"/>
        <w:bottom w:val="none" w:sz="0" w:space="0" w:color="auto"/>
        <w:right w:val="none" w:sz="0" w:space="0" w:color="auto"/>
      </w:divBdr>
    </w:div>
    <w:div w:id="70583157">
      <w:bodyDiv w:val="1"/>
      <w:marLeft w:val="0"/>
      <w:marRight w:val="0"/>
      <w:marTop w:val="0"/>
      <w:marBottom w:val="0"/>
      <w:divBdr>
        <w:top w:val="none" w:sz="0" w:space="0" w:color="auto"/>
        <w:left w:val="none" w:sz="0" w:space="0" w:color="auto"/>
        <w:bottom w:val="none" w:sz="0" w:space="0" w:color="auto"/>
        <w:right w:val="none" w:sz="0" w:space="0" w:color="auto"/>
      </w:divBdr>
      <w:divsChild>
        <w:div w:id="546334177">
          <w:marLeft w:val="0"/>
          <w:marRight w:val="0"/>
          <w:marTop w:val="0"/>
          <w:marBottom w:val="0"/>
          <w:divBdr>
            <w:top w:val="none" w:sz="0" w:space="0" w:color="auto"/>
            <w:left w:val="none" w:sz="0" w:space="0" w:color="auto"/>
            <w:bottom w:val="none" w:sz="0" w:space="0" w:color="auto"/>
            <w:right w:val="none" w:sz="0" w:space="0" w:color="auto"/>
          </w:divBdr>
          <w:divsChild>
            <w:div w:id="2989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0266">
      <w:bodyDiv w:val="1"/>
      <w:marLeft w:val="0"/>
      <w:marRight w:val="0"/>
      <w:marTop w:val="0"/>
      <w:marBottom w:val="0"/>
      <w:divBdr>
        <w:top w:val="none" w:sz="0" w:space="0" w:color="auto"/>
        <w:left w:val="none" w:sz="0" w:space="0" w:color="auto"/>
        <w:bottom w:val="none" w:sz="0" w:space="0" w:color="auto"/>
        <w:right w:val="none" w:sz="0" w:space="0" w:color="auto"/>
      </w:divBdr>
      <w:divsChild>
        <w:div w:id="2096856326">
          <w:marLeft w:val="0"/>
          <w:marRight w:val="0"/>
          <w:marTop w:val="0"/>
          <w:marBottom w:val="0"/>
          <w:divBdr>
            <w:top w:val="none" w:sz="0" w:space="0" w:color="auto"/>
            <w:left w:val="none" w:sz="0" w:space="0" w:color="auto"/>
            <w:bottom w:val="none" w:sz="0" w:space="0" w:color="auto"/>
            <w:right w:val="none" w:sz="0" w:space="0" w:color="auto"/>
          </w:divBdr>
          <w:divsChild>
            <w:div w:id="1156802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3137">
      <w:bodyDiv w:val="1"/>
      <w:marLeft w:val="0"/>
      <w:marRight w:val="0"/>
      <w:marTop w:val="0"/>
      <w:marBottom w:val="0"/>
      <w:divBdr>
        <w:top w:val="none" w:sz="0" w:space="0" w:color="auto"/>
        <w:left w:val="none" w:sz="0" w:space="0" w:color="auto"/>
        <w:bottom w:val="none" w:sz="0" w:space="0" w:color="auto"/>
        <w:right w:val="none" w:sz="0" w:space="0" w:color="auto"/>
      </w:divBdr>
      <w:divsChild>
        <w:div w:id="2097820916">
          <w:marLeft w:val="0"/>
          <w:marRight w:val="0"/>
          <w:marTop w:val="0"/>
          <w:marBottom w:val="0"/>
          <w:divBdr>
            <w:top w:val="none" w:sz="0" w:space="0" w:color="auto"/>
            <w:left w:val="none" w:sz="0" w:space="0" w:color="auto"/>
            <w:bottom w:val="none" w:sz="0" w:space="0" w:color="auto"/>
            <w:right w:val="none" w:sz="0" w:space="0" w:color="auto"/>
          </w:divBdr>
          <w:divsChild>
            <w:div w:id="195077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43986">
      <w:bodyDiv w:val="1"/>
      <w:marLeft w:val="0"/>
      <w:marRight w:val="0"/>
      <w:marTop w:val="0"/>
      <w:marBottom w:val="0"/>
      <w:divBdr>
        <w:top w:val="none" w:sz="0" w:space="0" w:color="auto"/>
        <w:left w:val="none" w:sz="0" w:space="0" w:color="auto"/>
        <w:bottom w:val="none" w:sz="0" w:space="0" w:color="auto"/>
        <w:right w:val="none" w:sz="0" w:space="0" w:color="auto"/>
      </w:divBdr>
    </w:div>
    <w:div w:id="124277451">
      <w:bodyDiv w:val="1"/>
      <w:marLeft w:val="0"/>
      <w:marRight w:val="0"/>
      <w:marTop w:val="0"/>
      <w:marBottom w:val="0"/>
      <w:divBdr>
        <w:top w:val="none" w:sz="0" w:space="0" w:color="auto"/>
        <w:left w:val="none" w:sz="0" w:space="0" w:color="auto"/>
        <w:bottom w:val="none" w:sz="0" w:space="0" w:color="auto"/>
        <w:right w:val="none" w:sz="0" w:space="0" w:color="auto"/>
      </w:divBdr>
    </w:div>
    <w:div w:id="216599358">
      <w:bodyDiv w:val="1"/>
      <w:marLeft w:val="0"/>
      <w:marRight w:val="0"/>
      <w:marTop w:val="0"/>
      <w:marBottom w:val="0"/>
      <w:divBdr>
        <w:top w:val="none" w:sz="0" w:space="0" w:color="auto"/>
        <w:left w:val="none" w:sz="0" w:space="0" w:color="auto"/>
        <w:bottom w:val="none" w:sz="0" w:space="0" w:color="auto"/>
        <w:right w:val="none" w:sz="0" w:space="0" w:color="auto"/>
      </w:divBdr>
    </w:div>
    <w:div w:id="247691095">
      <w:bodyDiv w:val="1"/>
      <w:marLeft w:val="0"/>
      <w:marRight w:val="0"/>
      <w:marTop w:val="0"/>
      <w:marBottom w:val="0"/>
      <w:divBdr>
        <w:top w:val="none" w:sz="0" w:space="0" w:color="auto"/>
        <w:left w:val="none" w:sz="0" w:space="0" w:color="auto"/>
        <w:bottom w:val="none" w:sz="0" w:space="0" w:color="auto"/>
        <w:right w:val="none" w:sz="0" w:space="0" w:color="auto"/>
      </w:divBdr>
    </w:div>
    <w:div w:id="249655699">
      <w:bodyDiv w:val="1"/>
      <w:marLeft w:val="0"/>
      <w:marRight w:val="0"/>
      <w:marTop w:val="0"/>
      <w:marBottom w:val="0"/>
      <w:divBdr>
        <w:top w:val="none" w:sz="0" w:space="0" w:color="auto"/>
        <w:left w:val="none" w:sz="0" w:space="0" w:color="auto"/>
        <w:bottom w:val="none" w:sz="0" w:space="0" w:color="auto"/>
        <w:right w:val="none" w:sz="0" w:space="0" w:color="auto"/>
      </w:divBdr>
    </w:div>
    <w:div w:id="300810275">
      <w:bodyDiv w:val="1"/>
      <w:marLeft w:val="0"/>
      <w:marRight w:val="0"/>
      <w:marTop w:val="0"/>
      <w:marBottom w:val="0"/>
      <w:divBdr>
        <w:top w:val="none" w:sz="0" w:space="0" w:color="auto"/>
        <w:left w:val="none" w:sz="0" w:space="0" w:color="auto"/>
        <w:bottom w:val="none" w:sz="0" w:space="0" w:color="auto"/>
        <w:right w:val="none" w:sz="0" w:space="0" w:color="auto"/>
      </w:divBdr>
      <w:divsChild>
        <w:div w:id="751320355">
          <w:marLeft w:val="0"/>
          <w:marRight w:val="0"/>
          <w:marTop w:val="0"/>
          <w:marBottom w:val="0"/>
          <w:divBdr>
            <w:top w:val="none" w:sz="0" w:space="0" w:color="auto"/>
            <w:left w:val="none" w:sz="0" w:space="0" w:color="auto"/>
            <w:bottom w:val="none" w:sz="0" w:space="0" w:color="auto"/>
            <w:right w:val="none" w:sz="0" w:space="0" w:color="auto"/>
          </w:divBdr>
          <w:divsChild>
            <w:div w:id="105913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176529">
      <w:bodyDiv w:val="1"/>
      <w:marLeft w:val="0"/>
      <w:marRight w:val="0"/>
      <w:marTop w:val="0"/>
      <w:marBottom w:val="0"/>
      <w:divBdr>
        <w:top w:val="none" w:sz="0" w:space="0" w:color="auto"/>
        <w:left w:val="none" w:sz="0" w:space="0" w:color="auto"/>
        <w:bottom w:val="none" w:sz="0" w:space="0" w:color="auto"/>
        <w:right w:val="none" w:sz="0" w:space="0" w:color="auto"/>
      </w:divBdr>
    </w:div>
    <w:div w:id="426269626">
      <w:bodyDiv w:val="1"/>
      <w:marLeft w:val="0"/>
      <w:marRight w:val="0"/>
      <w:marTop w:val="0"/>
      <w:marBottom w:val="0"/>
      <w:divBdr>
        <w:top w:val="none" w:sz="0" w:space="0" w:color="auto"/>
        <w:left w:val="none" w:sz="0" w:space="0" w:color="auto"/>
        <w:bottom w:val="none" w:sz="0" w:space="0" w:color="auto"/>
        <w:right w:val="none" w:sz="0" w:space="0" w:color="auto"/>
      </w:divBdr>
    </w:div>
    <w:div w:id="476653804">
      <w:bodyDiv w:val="1"/>
      <w:marLeft w:val="0"/>
      <w:marRight w:val="0"/>
      <w:marTop w:val="0"/>
      <w:marBottom w:val="0"/>
      <w:divBdr>
        <w:top w:val="none" w:sz="0" w:space="0" w:color="auto"/>
        <w:left w:val="none" w:sz="0" w:space="0" w:color="auto"/>
        <w:bottom w:val="none" w:sz="0" w:space="0" w:color="auto"/>
        <w:right w:val="none" w:sz="0" w:space="0" w:color="auto"/>
      </w:divBdr>
      <w:divsChild>
        <w:div w:id="1284266779">
          <w:marLeft w:val="0"/>
          <w:marRight w:val="0"/>
          <w:marTop w:val="0"/>
          <w:marBottom w:val="0"/>
          <w:divBdr>
            <w:top w:val="none" w:sz="0" w:space="0" w:color="auto"/>
            <w:left w:val="none" w:sz="0" w:space="0" w:color="auto"/>
            <w:bottom w:val="none" w:sz="0" w:space="0" w:color="auto"/>
            <w:right w:val="none" w:sz="0" w:space="0" w:color="auto"/>
          </w:divBdr>
          <w:divsChild>
            <w:div w:id="772893902">
              <w:marLeft w:val="0"/>
              <w:marRight w:val="0"/>
              <w:marTop w:val="0"/>
              <w:marBottom w:val="0"/>
              <w:divBdr>
                <w:top w:val="none" w:sz="0" w:space="0" w:color="auto"/>
                <w:left w:val="none" w:sz="0" w:space="0" w:color="auto"/>
                <w:bottom w:val="none" w:sz="0" w:space="0" w:color="auto"/>
                <w:right w:val="none" w:sz="0" w:space="0" w:color="auto"/>
              </w:divBdr>
            </w:div>
          </w:divsChild>
        </w:div>
        <w:div w:id="228348008">
          <w:marLeft w:val="0"/>
          <w:marRight w:val="0"/>
          <w:marTop w:val="0"/>
          <w:marBottom w:val="0"/>
          <w:divBdr>
            <w:top w:val="none" w:sz="0" w:space="0" w:color="auto"/>
            <w:left w:val="none" w:sz="0" w:space="0" w:color="auto"/>
            <w:bottom w:val="none" w:sz="0" w:space="0" w:color="auto"/>
            <w:right w:val="none" w:sz="0" w:space="0" w:color="auto"/>
          </w:divBdr>
          <w:divsChild>
            <w:div w:id="1501433023">
              <w:marLeft w:val="0"/>
              <w:marRight w:val="0"/>
              <w:marTop w:val="0"/>
              <w:marBottom w:val="0"/>
              <w:divBdr>
                <w:top w:val="none" w:sz="0" w:space="0" w:color="auto"/>
                <w:left w:val="none" w:sz="0" w:space="0" w:color="auto"/>
                <w:bottom w:val="none" w:sz="0" w:space="0" w:color="auto"/>
                <w:right w:val="none" w:sz="0" w:space="0" w:color="auto"/>
              </w:divBdr>
            </w:div>
          </w:divsChild>
        </w:div>
        <w:div w:id="568812358">
          <w:marLeft w:val="0"/>
          <w:marRight w:val="0"/>
          <w:marTop w:val="0"/>
          <w:marBottom w:val="0"/>
          <w:divBdr>
            <w:top w:val="none" w:sz="0" w:space="0" w:color="auto"/>
            <w:left w:val="none" w:sz="0" w:space="0" w:color="auto"/>
            <w:bottom w:val="none" w:sz="0" w:space="0" w:color="auto"/>
            <w:right w:val="none" w:sz="0" w:space="0" w:color="auto"/>
          </w:divBdr>
          <w:divsChild>
            <w:div w:id="1263685855">
              <w:marLeft w:val="0"/>
              <w:marRight w:val="0"/>
              <w:marTop w:val="0"/>
              <w:marBottom w:val="0"/>
              <w:divBdr>
                <w:top w:val="none" w:sz="0" w:space="0" w:color="auto"/>
                <w:left w:val="none" w:sz="0" w:space="0" w:color="auto"/>
                <w:bottom w:val="none" w:sz="0" w:space="0" w:color="auto"/>
                <w:right w:val="none" w:sz="0" w:space="0" w:color="auto"/>
              </w:divBdr>
            </w:div>
          </w:divsChild>
        </w:div>
        <w:div w:id="640186240">
          <w:marLeft w:val="0"/>
          <w:marRight w:val="0"/>
          <w:marTop w:val="0"/>
          <w:marBottom w:val="0"/>
          <w:divBdr>
            <w:top w:val="none" w:sz="0" w:space="0" w:color="auto"/>
            <w:left w:val="none" w:sz="0" w:space="0" w:color="auto"/>
            <w:bottom w:val="none" w:sz="0" w:space="0" w:color="auto"/>
            <w:right w:val="none" w:sz="0" w:space="0" w:color="auto"/>
          </w:divBdr>
          <w:divsChild>
            <w:div w:id="211232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26635">
      <w:bodyDiv w:val="1"/>
      <w:marLeft w:val="0"/>
      <w:marRight w:val="0"/>
      <w:marTop w:val="0"/>
      <w:marBottom w:val="0"/>
      <w:divBdr>
        <w:top w:val="none" w:sz="0" w:space="0" w:color="auto"/>
        <w:left w:val="none" w:sz="0" w:space="0" w:color="auto"/>
        <w:bottom w:val="none" w:sz="0" w:space="0" w:color="auto"/>
        <w:right w:val="none" w:sz="0" w:space="0" w:color="auto"/>
      </w:divBdr>
    </w:div>
    <w:div w:id="591283675">
      <w:bodyDiv w:val="1"/>
      <w:marLeft w:val="0"/>
      <w:marRight w:val="0"/>
      <w:marTop w:val="0"/>
      <w:marBottom w:val="0"/>
      <w:divBdr>
        <w:top w:val="none" w:sz="0" w:space="0" w:color="auto"/>
        <w:left w:val="none" w:sz="0" w:space="0" w:color="auto"/>
        <w:bottom w:val="none" w:sz="0" w:space="0" w:color="auto"/>
        <w:right w:val="none" w:sz="0" w:space="0" w:color="auto"/>
      </w:divBdr>
    </w:div>
    <w:div w:id="613174852">
      <w:bodyDiv w:val="1"/>
      <w:marLeft w:val="0"/>
      <w:marRight w:val="0"/>
      <w:marTop w:val="0"/>
      <w:marBottom w:val="0"/>
      <w:divBdr>
        <w:top w:val="none" w:sz="0" w:space="0" w:color="auto"/>
        <w:left w:val="none" w:sz="0" w:space="0" w:color="auto"/>
        <w:bottom w:val="none" w:sz="0" w:space="0" w:color="auto"/>
        <w:right w:val="none" w:sz="0" w:space="0" w:color="auto"/>
      </w:divBdr>
    </w:div>
    <w:div w:id="676737557">
      <w:bodyDiv w:val="1"/>
      <w:marLeft w:val="0"/>
      <w:marRight w:val="0"/>
      <w:marTop w:val="0"/>
      <w:marBottom w:val="0"/>
      <w:divBdr>
        <w:top w:val="none" w:sz="0" w:space="0" w:color="auto"/>
        <w:left w:val="none" w:sz="0" w:space="0" w:color="auto"/>
        <w:bottom w:val="none" w:sz="0" w:space="0" w:color="auto"/>
        <w:right w:val="none" w:sz="0" w:space="0" w:color="auto"/>
      </w:divBdr>
      <w:divsChild>
        <w:div w:id="275526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6487349">
      <w:bodyDiv w:val="1"/>
      <w:marLeft w:val="0"/>
      <w:marRight w:val="0"/>
      <w:marTop w:val="0"/>
      <w:marBottom w:val="0"/>
      <w:divBdr>
        <w:top w:val="none" w:sz="0" w:space="0" w:color="auto"/>
        <w:left w:val="none" w:sz="0" w:space="0" w:color="auto"/>
        <w:bottom w:val="none" w:sz="0" w:space="0" w:color="auto"/>
        <w:right w:val="none" w:sz="0" w:space="0" w:color="auto"/>
      </w:divBdr>
    </w:div>
    <w:div w:id="903182463">
      <w:bodyDiv w:val="1"/>
      <w:marLeft w:val="0"/>
      <w:marRight w:val="0"/>
      <w:marTop w:val="0"/>
      <w:marBottom w:val="0"/>
      <w:divBdr>
        <w:top w:val="none" w:sz="0" w:space="0" w:color="auto"/>
        <w:left w:val="none" w:sz="0" w:space="0" w:color="auto"/>
        <w:bottom w:val="none" w:sz="0" w:space="0" w:color="auto"/>
        <w:right w:val="none" w:sz="0" w:space="0" w:color="auto"/>
      </w:divBdr>
    </w:div>
    <w:div w:id="967049549">
      <w:bodyDiv w:val="1"/>
      <w:marLeft w:val="0"/>
      <w:marRight w:val="0"/>
      <w:marTop w:val="0"/>
      <w:marBottom w:val="0"/>
      <w:divBdr>
        <w:top w:val="none" w:sz="0" w:space="0" w:color="auto"/>
        <w:left w:val="none" w:sz="0" w:space="0" w:color="auto"/>
        <w:bottom w:val="none" w:sz="0" w:space="0" w:color="auto"/>
        <w:right w:val="none" w:sz="0" w:space="0" w:color="auto"/>
      </w:divBdr>
      <w:divsChild>
        <w:div w:id="1972973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11727489">
      <w:bodyDiv w:val="1"/>
      <w:marLeft w:val="0"/>
      <w:marRight w:val="0"/>
      <w:marTop w:val="0"/>
      <w:marBottom w:val="0"/>
      <w:divBdr>
        <w:top w:val="none" w:sz="0" w:space="0" w:color="auto"/>
        <w:left w:val="none" w:sz="0" w:space="0" w:color="auto"/>
        <w:bottom w:val="none" w:sz="0" w:space="0" w:color="auto"/>
        <w:right w:val="none" w:sz="0" w:space="0" w:color="auto"/>
      </w:divBdr>
      <w:divsChild>
        <w:div w:id="523717102">
          <w:marLeft w:val="0"/>
          <w:marRight w:val="0"/>
          <w:marTop w:val="0"/>
          <w:marBottom w:val="0"/>
          <w:divBdr>
            <w:top w:val="none" w:sz="0" w:space="0" w:color="auto"/>
            <w:left w:val="none" w:sz="0" w:space="0" w:color="auto"/>
            <w:bottom w:val="none" w:sz="0" w:space="0" w:color="auto"/>
            <w:right w:val="none" w:sz="0" w:space="0" w:color="auto"/>
          </w:divBdr>
          <w:divsChild>
            <w:div w:id="70224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440004">
      <w:bodyDiv w:val="1"/>
      <w:marLeft w:val="0"/>
      <w:marRight w:val="0"/>
      <w:marTop w:val="0"/>
      <w:marBottom w:val="0"/>
      <w:divBdr>
        <w:top w:val="none" w:sz="0" w:space="0" w:color="auto"/>
        <w:left w:val="none" w:sz="0" w:space="0" w:color="auto"/>
        <w:bottom w:val="none" w:sz="0" w:space="0" w:color="auto"/>
        <w:right w:val="none" w:sz="0" w:space="0" w:color="auto"/>
      </w:divBdr>
      <w:divsChild>
        <w:div w:id="1282415953">
          <w:marLeft w:val="0"/>
          <w:marRight w:val="0"/>
          <w:marTop w:val="0"/>
          <w:marBottom w:val="0"/>
          <w:divBdr>
            <w:top w:val="none" w:sz="0" w:space="0" w:color="auto"/>
            <w:left w:val="none" w:sz="0" w:space="0" w:color="auto"/>
            <w:bottom w:val="none" w:sz="0" w:space="0" w:color="auto"/>
            <w:right w:val="none" w:sz="0" w:space="0" w:color="auto"/>
          </w:divBdr>
          <w:divsChild>
            <w:div w:id="205553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503049">
      <w:bodyDiv w:val="1"/>
      <w:marLeft w:val="0"/>
      <w:marRight w:val="0"/>
      <w:marTop w:val="0"/>
      <w:marBottom w:val="0"/>
      <w:divBdr>
        <w:top w:val="none" w:sz="0" w:space="0" w:color="auto"/>
        <w:left w:val="none" w:sz="0" w:space="0" w:color="auto"/>
        <w:bottom w:val="none" w:sz="0" w:space="0" w:color="auto"/>
        <w:right w:val="none" w:sz="0" w:space="0" w:color="auto"/>
      </w:divBdr>
    </w:div>
    <w:div w:id="1428964103">
      <w:bodyDiv w:val="1"/>
      <w:marLeft w:val="0"/>
      <w:marRight w:val="0"/>
      <w:marTop w:val="0"/>
      <w:marBottom w:val="0"/>
      <w:divBdr>
        <w:top w:val="none" w:sz="0" w:space="0" w:color="auto"/>
        <w:left w:val="none" w:sz="0" w:space="0" w:color="auto"/>
        <w:bottom w:val="none" w:sz="0" w:space="0" w:color="auto"/>
        <w:right w:val="none" w:sz="0" w:space="0" w:color="auto"/>
      </w:divBdr>
    </w:div>
    <w:div w:id="1505634493">
      <w:bodyDiv w:val="1"/>
      <w:marLeft w:val="0"/>
      <w:marRight w:val="0"/>
      <w:marTop w:val="0"/>
      <w:marBottom w:val="0"/>
      <w:divBdr>
        <w:top w:val="none" w:sz="0" w:space="0" w:color="auto"/>
        <w:left w:val="none" w:sz="0" w:space="0" w:color="auto"/>
        <w:bottom w:val="none" w:sz="0" w:space="0" w:color="auto"/>
        <w:right w:val="none" w:sz="0" w:space="0" w:color="auto"/>
      </w:divBdr>
      <w:divsChild>
        <w:div w:id="916788928">
          <w:marLeft w:val="0"/>
          <w:marRight w:val="0"/>
          <w:marTop w:val="0"/>
          <w:marBottom w:val="0"/>
          <w:divBdr>
            <w:top w:val="none" w:sz="0" w:space="0" w:color="auto"/>
            <w:left w:val="none" w:sz="0" w:space="0" w:color="auto"/>
            <w:bottom w:val="none" w:sz="0" w:space="0" w:color="auto"/>
            <w:right w:val="none" w:sz="0" w:space="0" w:color="auto"/>
          </w:divBdr>
          <w:divsChild>
            <w:div w:id="2108958137">
              <w:marLeft w:val="0"/>
              <w:marRight w:val="0"/>
              <w:marTop w:val="0"/>
              <w:marBottom w:val="0"/>
              <w:divBdr>
                <w:top w:val="none" w:sz="0" w:space="0" w:color="auto"/>
                <w:left w:val="none" w:sz="0" w:space="0" w:color="auto"/>
                <w:bottom w:val="none" w:sz="0" w:space="0" w:color="auto"/>
                <w:right w:val="none" w:sz="0" w:space="0" w:color="auto"/>
              </w:divBdr>
            </w:div>
          </w:divsChild>
        </w:div>
        <w:div w:id="1112287816">
          <w:marLeft w:val="0"/>
          <w:marRight w:val="0"/>
          <w:marTop w:val="0"/>
          <w:marBottom w:val="0"/>
          <w:divBdr>
            <w:top w:val="none" w:sz="0" w:space="0" w:color="auto"/>
            <w:left w:val="none" w:sz="0" w:space="0" w:color="auto"/>
            <w:bottom w:val="none" w:sz="0" w:space="0" w:color="auto"/>
            <w:right w:val="none" w:sz="0" w:space="0" w:color="auto"/>
          </w:divBdr>
          <w:divsChild>
            <w:div w:id="1977758638">
              <w:marLeft w:val="0"/>
              <w:marRight w:val="0"/>
              <w:marTop w:val="0"/>
              <w:marBottom w:val="0"/>
              <w:divBdr>
                <w:top w:val="none" w:sz="0" w:space="0" w:color="auto"/>
                <w:left w:val="none" w:sz="0" w:space="0" w:color="auto"/>
                <w:bottom w:val="none" w:sz="0" w:space="0" w:color="auto"/>
                <w:right w:val="none" w:sz="0" w:space="0" w:color="auto"/>
              </w:divBdr>
            </w:div>
          </w:divsChild>
        </w:div>
        <w:div w:id="333456182">
          <w:marLeft w:val="0"/>
          <w:marRight w:val="0"/>
          <w:marTop w:val="0"/>
          <w:marBottom w:val="0"/>
          <w:divBdr>
            <w:top w:val="none" w:sz="0" w:space="0" w:color="auto"/>
            <w:left w:val="none" w:sz="0" w:space="0" w:color="auto"/>
            <w:bottom w:val="none" w:sz="0" w:space="0" w:color="auto"/>
            <w:right w:val="none" w:sz="0" w:space="0" w:color="auto"/>
          </w:divBdr>
          <w:divsChild>
            <w:div w:id="1340307531">
              <w:marLeft w:val="0"/>
              <w:marRight w:val="0"/>
              <w:marTop w:val="0"/>
              <w:marBottom w:val="0"/>
              <w:divBdr>
                <w:top w:val="none" w:sz="0" w:space="0" w:color="auto"/>
                <w:left w:val="none" w:sz="0" w:space="0" w:color="auto"/>
                <w:bottom w:val="none" w:sz="0" w:space="0" w:color="auto"/>
                <w:right w:val="none" w:sz="0" w:space="0" w:color="auto"/>
              </w:divBdr>
            </w:div>
          </w:divsChild>
        </w:div>
        <w:div w:id="488209320">
          <w:marLeft w:val="0"/>
          <w:marRight w:val="0"/>
          <w:marTop w:val="0"/>
          <w:marBottom w:val="0"/>
          <w:divBdr>
            <w:top w:val="none" w:sz="0" w:space="0" w:color="auto"/>
            <w:left w:val="none" w:sz="0" w:space="0" w:color="auto"/>
            <w:bottom w:val="none" w:sz="0" w:space="0" w:color="auto"/>
            <w:right w:val="none" w:sz="0" w:space="0" w:color="auto"/>
          </w:divBdr>
          <w:divsChild>
            <w:div w:id="129714068">
              <w:marLeft w:val="0"/>
              <w:marRight w:val="0"/>
              <w:marTop w:val="0"/>
              <w:marBottom w:val="0"/>
              <w:divBdr>
                <w:top w:val="none" w:sz="0" w:space="0" w:color="auto"/>
                <w:left w:val="none" w:sz="0" w:space="0" w:color="auto"/>
                <w:bottom w:val="none" w:sz="0" w:space="0" w:color="auto"/>
                <w:right w:val="none" w:sz="0" w:space="0" w:color="auto"/>
              </w:divBdr>
            </w:div>
          </w:divsChild>
        </w:div>
        <w:div w:id="946424987">
          <w:marLeft w:val="0"/>
          <w:marRight w:val="0"/>
          <w:marTop w:val="0"/>
          <w:marBottom w:val="0"/>
          <w:divBdr>
            <w:top w:val="none" w:sz="0" w:space="0" w:color="auto"/>
            <w:left w:val="none" w:sz="0" w:space="0" w:color="auto"/>
            <w:bottom w:val="none" w:sz="0" w:space="0" w:color="auto"/>
            <w:right w:val="none" w:sz="0" w:space="0" w:color="auto"/>
          </w:divBdr>
          <w:divsChild>
            <w:div w:id="680162861">
              <w:marLeft w:val="0"/>
              <w:marRight w:val="0"/>
              <w:marTop w:val="0"/>
              <w:marBottom w:val="0"/>
              <w:divBdr>
                <w:top w:val="none" w:sz="0" w:space="0" w:color="auto"/>
                <w:left w:val="none" w:sz="0" w:space="0" w:color="auto"/>
                <w:bottom w:val="none" w:sz="0" w:space="0" w:color="auto"/>
                <w:right w:val="none" w:sz="0" w:space="0" w:color="auto"/>
              </w:divBdr>
            </w:div>
          </w:divsChild>
        </w:div>
        <w:div w:id="1341204445">
          <w:marLeft w:val="0"/>
          <w:marRight w:val="0"/>
          <w:marTop w:val="0"/>
          <w:marBottom w:val="0"/>
          <w:divBdr>
            <w:top w:val="none" w:sz="0" w:space="0" w:color="auto"/>
            <w:left w:val="none" w:sz="0" w:space="0" w:color="auto"/>
            <w:bottom w:val="none" w:sz="0" w:space="0" w:color="auto"/>
            <w:right w:val="none" w:sz="0" w:space="0" w:color="auto"/>
          </w:divBdr>
          <w:divsChild>
            <w:div w:id="8619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023846">
      <w:bodyDiv w:val="1"/>
      <w:marLeft w:val="0"/>
      <w:marRight w:val="0"/>
      <w:marTop w:val="0"/>
      <w:marBottom w:val="0"/>
      <w:divBdr>
        <w:top w:val="none" w:sz="0" w:space="0" w:color="auto"/>
        <w:left w:val="none" w:sz="0" w:space="0" w:color="auto"/>
        <w:bottom w:val="none" w:sz="0" w:space="0" w:color="auto"/>
        <w:right w:val="none" w:sz="0" w:space="0" w:color="auto"/>
      </w:divBdr>
    </w:div>
    <w:div w:id="1647665065">
      <w:bodyDiv w:val="1"/>
      <w:marLeft w:val="0"/>
      <w:marRight w:val="0"/>
      <w:marTop w:val="0"/>
      <w:marBottom w:val="0"/>
      <w:divBdr>
        <w:top w:val="none" w:sz="0" w:space="0" w:color="auto"/>
        <w:left w:val="none" w:sz="0" w:space="0" w:color="auto"/>
        <w:bottom w:val="none" w:sz="0" w:space="0" w:color="auto"/>
        <w:right w:val="none" w:sz="0" w:space="0" w:color="auto"/>
      </w:divBdr>
    </w:div>
    <w:div w:id="1688747307">
      <w:bodyDiv w:val="1"/>
      <w:marLeft w:val="0"/>
      <w:marRight w:val="0"/>
      <w:marTop w:val="0"/>
      <w:marBottom w:val="0"/>
      <w:divBdr>
        <w:top w:val="none" w:sz="0" w:space="0" w:color="auto"/>
        <w:left w:val="none" w:sz="0" w:space="0" w:color="auto"/>
        <w:bottom w:val="none" w:sz="0" w:space="0" w:color="auto"/>
        <w:right w:val="none" w:sz="0" w:space="0" w:color="auto"/>
      </w:divBdr>
    </w:div>
    <w:div w:id="1700542088">
      <w:bodyDiv w:val="1"/>
      <w:marLeft w:val="0"/>
      <w:marRight w:val="0"/>
      <w:marTop w:val="0"/>
      <w:marBottom w:val="0"/>
      <w:divBdr>
        <w:top w:val="none" w:sz="0" w:space="0" w:color="auto"/>
        <w:left w:val="none" w:sz="0" w:space="0" w:color="auto"/>
        <w:bottom w:val="none" w:sz="0" w:space="0" w:color="auto"/>
        <w:right w:val="none" w:sz="0" w:space="0" w:color="auto"/>
      </w:divBdr>
    </w:div>
    <w:div w:id="1705709648">
      <w:bodyDiv w:val="1"/>
      <w:marLeft w:val="0"/>
      <w:marRight w:val="0"/>
      <w:marTop w:val="0"/>
      <w:marBottom w:val="0"/>
      <w:divBdr>
        <w:top w:val="none" w:sz="0" w:space="0" w:color="auto"/>
        <w:left w:val="none" w:sz="0" w:space="0" w:color="auto"/>
        <w:bottom w:val="none" w:sz="0" w:space="0" w:color="auto"/>
        <w:right w:val="none" w:sz="0" w:space="0" w:color="auto"/>
      </w:divBdr>
    </w:div>
    <w:div w:id="1837957343">
      <w:bodyDiv w:val="1"/>
      <w:marLeft w:val="0"/>
      <w:marRight w:val="0"/>
      <w:marTop w:val="0"/>
      <w:marBottom w:val="0"/>
      <w:divBdr>
        <w:top w:val="none" w:sz="0" w:space="0" w:color="auto"/>
        <w:left w:val="none" w:sz="0" w:space="0" w:color="auto"/>
        <w:bottom w:val="none" w:sz="0" w:space="0" w:color="auto"/>
        <w:right w:val="none" w:sz="0" w:space="0" w:color="auto"/>
      </w:divBdr>
      <w:divsChild>
        <w:div w:id="1326208085">
          <w:marLeft w:val="0"/>
          <w:marRight w:val="0"/>
          <w:marTop w:val="0"/>
          <w:marBottom w:val="0"/>
          <w:divBdr>
            <w:top w:val="none" w:sz="0" w:space="0" w:color="auto"/>
            <w:left w:val="none" w:sz="0" w:space="0" w:color="auto"/>
            <w:bottom w:val="none" w:sz="0" w:space="0" w:color="auto"/>
            <w:right w:val="none" w:sz="0" w:space="0" w:color="auto"/>
          </w:divBdr>
          <w:divsChild>
            <w:div w:id="195455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481620">
      <w:bodyDiv w:val="1"/>
      <w:marLeft w:val="0"/>
      <w:marRight w:val="0"/>
      <w:marTop w:val="0"/>
      <w:marBottom w:val="0"/>
      <w:divBdr>
        <w:top w:val="none" w:sz="0" w:space="0" w:color="auto"/>
        <w:left w:val="none" w:sz="0" w:space="0" w:color="auto"/>
        <w:bottom w:val="none" w:sz="0" w:space="0" w:color="auto"/>
        <w:right w:val="none" w:sz="0" w:space="0" w:color="auto"/>
      </w:divBdr>
    </w:div>
    <w:div w:id="1991128788">
      <w:bodyDiv w:val="1"/>
      <w:marLeft w:val="0"/>
      <w:marRight w:val="0"/>
      <w:marTop w:val="0"/>
      <w:marBottom w:val="0"/>
      <w:divBdr>
        <w:top w:val="none" w:sz="0" w:space="0" w:color="auto"/>
        <w:left w:val="none" w:sz="0" w:space="0" w:color="auto"/>
        <w:bottom w:val="none" w:sz="0" w:space="0" w:color="auto"/>
        <w:right w:val="none" w:sz="0" w:space="0" w:color="auto"/>
      </w:divBdr>
    </w:div>
    <w:div w:id="2010601255">
      <w:bodyDiv w:val="1"/>
      <w:marLeft w:val="0"/>
      <w:marRight w:val="0"/>
      <w:marTop w:val="0"/>
      <w:marBottom w:val="0"/>
      <w:divBdr>
        <w:top w:val="none" w:sz="0" w:space="0" w:color="auto"/>
        <w:left w:val="none" w:sz="0" w:space="0" w:color="auto"/>
        <w:bottom w:val="none" w:sz="0" w:space="0" w:color="auto"/>
        <w:right w:val="none" w:sz="0" w:space="0" w:color="auto"/>
      </w:divBdr>
    </w:div>
    <w:div w:id="2054841681">
      <w:bodyDiv w:val="1"/>
      <w:marLeft w:val="0"/>
      <w:marRight w:val="0"/>
      <w:marTop w:val="0"/>
      <w:marBottom w:val="0"/>
      <w:divBdr>
        <w:top w:val="none" w:sz="0" w:space="0" w:color="auto"/>
        <w:left w:val="none" w:sz="0" w:space="0" w:color="auto"/>
        <w:bottom w:val="none" w:sz="0" w:space="0" w:color="auto"/>
        <w:right w:val="none" w:sz="0" w:space="0" w:color="auto"/>
      </w:divBdr>
      <w:divsChild>
        <w:div w:id="18641741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907EE-41D8-4C11-B6A9-BA3072A39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9428</Words>
  <Characters>53745</Characters>
  <Application>Microsoft Office Word</Application>
  <DocSecurity>0</DocSecurity>
  <Lines>447</Lines>
  <Paragraphs>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2025-11-15T12:43:00Z</cp:lastPrinted>
  <dcterms:created xsi:type="dcterms:W3CDTF">2025-11-15T12:45:00Z</dcterms:created>
  <dcterms:modified xsi:type="dcterms:W3CDTF">2025-11-15T12:45:00Z</dcterms:modified>
</cp:coreProperties>
</file>