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2">
      <w:pPr>
        <w:spacing w:after="200" w:line="360" w:lineRule="auto"/>
        <w:rPr>
          <w:rFonts w:ascii="Times New Roman" w:cs="Times New Roman" w:eastAsia="Times New Roman" w:hAnsi="Times New Roman"/>
          <w:color w:val="1c4587"/>
          <w:sz w:val="24"/>
          <w:szCs w:val="24"/>
        </w:rPr>
      </w:pPr>
      <w:r w:rsidDel="00000000" w:rsidR="00000000" w:rsidRPr="00000000">
        <w:rPr>
          <w:rFonts w:ascii="Times New Roman" w:cs="Times New Roman" w:eastAsia="Times New Roman" w:hAnsi="Times New Roman"/>
          <w:color w:val="1c4587"/>
          <w:sz w:val="24"/>
          <w:szCs w:val="24"/>
          <w:rtl w:val="0"/>
        </w:rPr>
        <w:t xml:space="preserve">College of Management</w:t>
      </w:r>
    </w:p>
    <w:p w:rsidR="00000000" w:rsidDel="00000000" w:rsidP="00000000" w:rsidRDefault="00000000" w:rsidRPr="00000000" w14:paraId="00000003">
      <w:pPr>
        <w:spacing w:after="200" w:line="360" w:lineRule="auto"/>
        <w:rPr>
          <w:rFonts w:ascii="Times New Roman" w:cs="Times New Roman" w:eastAsia="Times New Roman" w:hAnsi="Times New Roman"/>
          <w:color w:val="1c4587"/>
          <w:sz w:val="24"/>
          <w:szCs w:val="24"/>
        </w:rPr>
      </w:pPr>
      <w:r w:rsidDel="00000000" w:rsidR="00000000" w:rsidRPr="00000000">
        <w:rPr>
          <w:rFonts w:ascii="Times New Roman" w:cs="Times New Roman" w:eastAsia="Times New Roman" w:hAnsi="Times New Roman"/>
          <w:color w:val="1c4587"/>
          <w:sz w:val="24"/>
          <w:szCs w:val="24"/>
          <w:rtl w:val="0"/>
        </w:rPr>
        <w:t xml:space="preserve">Department: Business Administration / Real Estate Management</w:t>
      </w:r>
    </w:p>
    <w:p w:rsidR="00000000" w:rsidDel="00000000" w:rsidP="00000000" w:rsidRDefault="00000000" w:rsidRPr="00000000" w14:paraId="00000004">
      <w:pPr>
        <w:spacing w:after="200" w:line="360" w:lineRule="auto"/>
        <w:rPr>
          <w:rFonts w:ascii="Times New Roman" w:cs="Times New Roman" w:eastAsia="Times New Roman" w:hAnsi="Times New Roman"/>
          <w:color w:val="1c4587"/>
          <w:sz w:val="24"/>
          <w:szCs w:val="24"/>
        </w:rPr>
      </w:pPr>
      <w:r w:rsidDel="00000000" w:rsidR="00000000" w:rsidRPr="00000000">
        <w:rPr>
          <w:rtl w:val="0"/>
        </w:rPr>
      </w:r>
    </w:p>
    <w:p w:rsidR="00000000" w:rsidDel="00000000" w:rsidP="00000000" w:rsidRDefault="00000000" w:rsidRPr="00000000" w14:paraId="00000005">
      <w:pPr>
        <w:pStyle w:val="Title"/>
        <w:spacing w:after="200" w:line="360" w:lineRule="auto"/>
        <w:rPr>
          <w:rFonts w:ascii="Times New Roman" w:cs="Times New Roman" w:eastAsia="Times New Roman" w:hAnsi="Times New Roman"/>
          <w:color w:val="366091"/>
          <w:sz w:val="42"/>
          <w:szCs w:val="42"/>
        </w:rPr>
      </w:pPr>
      <w:bookmarkStart w:colFirst="0" w:colLast="0" w:name="_heading=h.ss3s0pfsg53s" w:id="0"/>
      <w:bookmarkEnd w:id="0"/>
      <w:r w:rsidDel="00000000" w:rsidR="00000000" w:rsidRPr="00000000">
        <w:rPr>
          <w:rFonts w:ascii="Times New Roman" w:cs="Times New Roman" w:eastAsia="Times New Roman" w:hAnsi="Times New Roman"/>
          <w:color w:val="366091"/>
          <w:sz w:val="42"/>
          <w:szCs w:val="42"/>
          <w:rtl w:val="0"/>
        </w:rPr>
        <w:t xml:space="preserve">Determinants of Investor Trust and Adoption Intention Toward Tokenized Real Estate Investment Platforms in Saudi Arabia </w:t>
      </w:r>
    </w:p>
    <w:p w:rsidR="00000000" w:rsidDel="00000000" w:rsidP="00000000" w:rsidRDefault="00000000" w:rsidRPr="00000000" w14:paraId="00000006">
      <w:pPr>
        <w:spacing w:after="200" w:line="360" w:lineRule="auto"/>
        <w:rPr>
          <w:rFonts w:ascii="Times New Roman" w:cs="Times New Roman" w:eastAsia="Times New Roman" w:hAnsi="Times New Roman"/>
          <w:b w:val="1"/>
          <w:bCs w:val="1"/>
          <w:color w:val="1c4587"/>
          <w:sz w:val="38"/>
          <w:szCs w:val="38"/>
        </w:rPr>
      </w:pPr>
      <w:r w:rsidDel="00000000" w:rsidR="00000000" w:rsidRPr="00000000">
        <w:rPr>
          <w:rFonts w:ascii="Times New Roman" w:cs="Times New Roman" w:eastAsia="Times New Roman" w:hAnsi="Times New Roman"/>
          <w:color w:val="1c4587"/>
          <w:sz w:val="24"/>
          <w:szCs w:val="24"/>
          <w:rtl w:val="0"/>
        </w:rPr>
        <w:t xml:space="preserve">Research Project </w:t>
      </w:r>
      <w:r w:rsidDel="00000000" w:rsidR="00000000" w:rsidRPr="00000000">
        <w:rPr>
          <w:rtl w:val="0"/>
        </w:rPr>
      </w:r>
    </w:p>
    <w:p w:rsidR="00000000" w:rsidDel="00000000" w:rsidP="00000000" w:rsidRDefault="00000000" w:rsidRPr="00000000" w14:paraId="00000007">
      <w:pPr>
        <w:spacing w:after="200" w:line="360" w:lineRule="auto"/>
        <w:rPr>
          <w:rFonts w:ascii="Times New Roman" w:cs="Times New Roman" w:eastAsia="Times New Roman" w:hAnsi="Times New Roman"/>
          <w:b w:val="1"/>
          <w:bCs w:val="1"/>
          <w:color w:val="1c4587"/>
          <w:sz w:val="38"/>
          <w:szCs w:val="38"/>
        </w:rPr>
      </w:pPr>
      <w:r w:rsidDel="00000000" w:rsidR="00000000" w:rsidRPr="00000000">
        <w:rPr>
          <w:rtl w:val="0"/>
        </w:rPr>
      </w:r>
    </w:p>
    <w:p w:rsidR="00000000" w:rsidDel="00000000" w:rsidP="00000000" w:rsidRDefault="00000000" w:rsidRPr="00000000" w14:paraId="00000008">
      <w:pPr>
        <w:spacing w:after="200" w:line="360" w:lineRule="auto"/>
        <w:rPr>
          <w:rFonts w:ascii="Times New Roman" w:cs="Times New Roman" w:eastAsia="Times New Roman" w:hAnsi="Times New Roman"/>
          <w:color w:val="1c4587"/>
          <w:sz w:val="28"/>
          <w:szCs w:val="28"/>
        </w:rPr>
      </w:pPr>
      <w:r w:rsidDel="00000000" w:rsidR="00000000" w:rsidRPr="00000000">
        <w:rPr>
          <w:rFonts w:ascii="Times New Roman" w:cs="Times New Roman" w:eastAsia="Times New Roman" w:hAnsi="Times New Roman"/>
          <w:color w:val="1c4587"/>
          <w:sz w:val="28"/>
          <w:szCs w:val="28"/>
          <w:rtl w:val="0"/>
        </w:rPr>
        <w:t xml:space="preserve">Prepared by: Hussain Hassan Abdu </w:t>
      </w:r>
    </w:p>
    <w:p w:rsidR="00000000" w:rsidDel="00000000" w:rsidP="00000000" w:rsidRDefault="00000000" w:rsidRPr="00000000" w14:paraId="00000009">
      <w:pPr>
        <w:spacing w:after="200" w:line="360" w:lineRule="auto"/>
        <w:rPr>
          <w:rFonts w:ascii="Times New Roman" w:cs="Times New Roman" w:eastAsia="Times New Roman" w:hAnsi="Times New Roman"/>
          <w:color w:val="1c4587"/>
          <w:sz w:val="28"/>
          <w:szCs w:val="28"/>
        </w:rPr>
      </w:pPr>
      <w:r w:rsidDel="00000000" w:rsidR="00000000" w:rsidRPr="00000000">
        <w:rPr>
          <w:rFonts w:ascii="Times New Roman" w:cs="Times New Roman" w:eastAsia="Times New Roman" w:hAnsi="Times New Roman"/>
          <w:color w:val="1c4587"/>
          <w:sz w:val="28"/>
          <w:szCs w:val="28"/>
          <w:rtl w:val="0"/>
        </w:rPr>
        <w:t xml:space="preserve">ORCID ID: 0009-0004-6688-1610 </w:t>
      </w:r>
    </w:p>
    <w:p w:rsidR="00000000" w:rsidDel="00000000" w:rsidP="00000000" w:rsidRDefault="00000000" w:rsidRPr="00000000" w14:paraId="0000000A">
      <w:pPr>
        <w:spacing w:after="200" w:line="360" w:lineRule="auto"/>
        <w:rPr>
          <w:rFonts w:ascii="Times New Roman" w:cs="Times New Roman" w:eastAsia="Times New Roman" w:hAnsi="Times New Roman"/>
          <w:color w:val="366091"/>
          <w:sz w:val="20"/>
          <w:szCs w:val="20"/>
        </w:rPr>
      </w:pPr>
      <w:r w:rsidDel="00000000" w:rsidR="00000000" w:rsidRPr="00000000">
        <w:rPr>
          <w:rFonts w:ascii="Times New Roman" w:cs="Times New Roman" w:eastAsia="Times New Roman" w:hAnsi="Times New Roman"/>
          <w:color w:val="1c4587"/>
          <w:sz w:val="28"/>
          <w:szCs w:val="28"/>
          <w:rtl w:val="0"/>
        </w:rPr>
        <w:t xml:space="preserve">Email: hussain.abdu.phd@gmail.com</w:t>
      </w:r>
      <w:r w:rsidDel="00000000" w:rsidR="00000000" w:rsidRPr="00000000">
        <w:rPr>
          <w:rtl w:val="0"/>
        </w:rPr>
      </w:r>
    </w:p>
    <w:p w:rsidR="00000000" w:rsidDel="00000000" w:rsidP="00000000" w:rsidRDefault="00000000" w:rsidRPr="00000000" w14:paraId="0000000B">
      <w:pPr>
        <w:spacing w:after="200" w:line="360" w:lineRule="auto"/>
        <w:rPr>
          <w:rFonts w:ascii="Times New Roman" w:cs="Times New Roman" w:eastAsia="Times New Roman" w:hAnsi="Times New Roman"/>
          <w:color w:val="1c4587"/>
          <w:sz w:val="28"/>
          <w:szCs w:val="28"/>
        </w:rPr>
      </w:pPr>
      <w:r w:rsidDel="00000000" w:rsidR="00000000" w:rsidRPr="00000000">
        <w:rPr>
          <w:rFonts w:ascii="Times New Roman" w:cs="Times New Roman" w:eastAsia="Times New Roman" w:hAnsi="Times New Roman"/>
          <w:color w:val="1c4587"/>
          <w:sz w:val="28"/>
          <w:szCs w:val="28"/>
          <w:rtl w:val="0"/>
        </w:rPr>
        <w:t xml:space="preserve">Supervisor: Dr. Fayez Ali</w:t>
      </w:r>
    </w:p>
    <w:p w:rsidR="00000000" w:rsidDel="00000000" w:rsidP="00000000" w:rsidRDefault="00000000" w:rsidRPr="00000000" w14:paraId="0000000C">
      <w:pPr>
        <w:spacing w:after="200" w:line="360" w:lineRule="auto"/>
        <w:rPr>
          <w:rFonts w:ascii="Times New Roman" w:cs="Times New Roman" w:eastAsia="Times New Roman" w:hAnsi="Times New Roman"/>
          <w:color w:val="1c4587"/>
          <w:sz w:val="28"/>
          <w:szCs w:val="28"/>
        </w:rPr>
      </w:pPr>
      <w:r w:rsidDel="00000000" w:rsidR="00000000" w:rsidRPr="00000000">
        <w:rPr>
          <w:rFonts w:ascii="Times New Roman" w:cs="Times New Roman" w:eastAsia="Times New Roman" w:hAnsi="Times New Roman"/>
          <w:color w:val="1c4587"/>
          <w:sz w:val="28"/>
          <w:szCs w:val="28"/>
          <w:rtl w:val="0"/>
        </w:rPr>
        <w:t xml:space="preserve">Academic Year: 2026</w:t>
      </w:r>
    </w:p>
    <w:p w:rsidR="00000000" w:rsidDel="00000000" w:rsidP="00000000" w:rsidRDefault="00000000" w:rsidRPr="00000000" w14:paraId="0000000D">
      <w:pPr>
        <w:spacing w:after="20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spacing w:after="20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spacing w:after="200" w:line="360" w:lineRule="auto"/>
        <w:rPr>
          <w:rFonts w:ascii="Times New Roman" w:cs="Times New Roman" w:eastAsia="Times New Roman" w:hAnsi="Times New Roman"/>
          <w:color w:val="1c4587"/>
          <w:sz w:val="28"/>
          <w:szCs w:val="28"/>
        </w:rPr>
      </w:pPr>
      <w:r w:rsidDel="00000000" w:rsidR="00000000" w:rsidRPr="00000000">
        <w:rPr>
          <w:rFonts w:ascii="Times New Roman" w:cs="Times New Roman" w:eastAsia="Times New Roman" w:hAnsi="Times New Roman"/>
          <w:b w:val="1"/>
          <w:bCs w:val="1"/>
          <w:color w:val="366091"/>
          <w:sz w:val="32"/>
          <w:szCs w:val="32"/>
          <w:rtl w:val="0"/>
        </w:rPr>
        <w:t xml:space="preserve">Table of Content</w:t>
      </w:r>
      <w:r w:rsidDel="00000000" w:rsidR="00000000" w:rsidRPr="00000000">
        <w:rPr>
          <w:rtl w:val="0"/>
        </w:rPr>
      </w:r>
    </w:p>
    <w:sdt>
      <w:sdtPr>
        <w:id w:val="1483121646"/>
        <w:docPartObj>
          <w:docPartGallery w:val="Table of Contents"/>
          <w:docPartUnique w:val="1"/>
        </w:docPartObj>
      </w:sdtPr>
      <w:sdtContent>
        <w:p w:rsidR="00000000" w:rsidDel="00000000" w:rsidP="00000000" w:rsidRDefault="00000000" w:rsidRPr="00000000" w14:paraId="00000010">
          <w:pPr>
            <w:widowControl w:val="0"/>
            <w:tabs>
              <w:tab w:val="right" w:leader="none" w:pos="12000"/>
            </w:tabs>
            <w:spacing w:after="0" w:before="60" w:line="360" w:lineRule="auto"/>
            <w:rPr>
              <w:rFonts w:ascii="Arial" w:cs="Arial" w:eastAsia="Arial" w:hAnsi="Arial"/>
              <w:b w:val="1"/>
              <w:bCs w:val="1"/>
              <w:color w:val="000000"/>
            </w:rPr>
          </w:pPr>
          <w:r w:rsidDel="00000000" w:rsidR="00000000" w:rsidRPr="00000000">
            <w:fldChar w:fldCharType="begin"/>
            <w:instrText xml:space="preserve"> TOC \h \u \z \t "Heading 1,1,Heading 5,5,Heading 6,6,"</w:instrText>
            <w:fldChar w:fldCharType="separate"/>
          </w:r>
          <w:hyperlink w:anchor="_heading=">
            <w:r w:rsidDel="00000000" w:rsidR="00000000" w:rsidRPr="00000000">
              <w:rPr>
                <w:rFonts w:ascii="Times New Roman" w:cs="Times New Roman" w:eastAsia="Times New Roman" w:hAnsi="Times New Roman"/>
                <w:b w:val="1"/>
                <w:bCs w:val="1"/>
                <w:color w:val="1c4587"/>
                <w:sz w:val="28"/>
                <w:szCs w:val="28"/>
                <w:rtl w:val="0"/>
              </w:rPr>
              <w:t xml:space="preserve">1. Introduction</w:t>
              <w:tab/>
              <w:t xml:space="preserve">2</w:t>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after="0" w:before="60" w:line="360" w:lineRule="auto"/>
            <w:rPr>
              <w:rFonts w:ascii="Arial" w:cs="Arial" w:eastAsia="Arial" w:hAnsi="Arial"/>
              <w:b w:val="1"/>
              <w:bCs w:val="1"/>
              <w:color w:val="000000"/>
            </w:rPr>
          </w:pPr>
          <w:hyperlink w:anchor="_heading=">
            <w:r w:rsidDel="00000000" w:rsidR="00000000" w:rsidRPr="00000000">
              <w:rPr>
                <w:rFonts w:ascii="Times New Roman" w:cs="Times New Roman" w:eastAsia="Times New Roman" w:hAnsi="Times New Roman"/>
                <w:b w:val="1"/>
                <w:bCs w:val="1"/>
                <w:color w:val="1c4587"/>
                <w:sz w:val="28"/>
                <w:szCs w:val="28"/>
                <w:rtl w:val="0"/>
              </w:rPr>
              <w:t xml:space="preserve">2. Research Problem</w:t>
              <w:tab/>
              <w:t xml:space="preserve">3</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after="0" w:before="60" w:line="360" w:lineRule="auto"/>
            <w:rPr>
              <w:rFonts w:ascii="Arial" w:cs="Arial" w:eastAsia="Arial" w:hAnsi="Arial"/>
              <w:b w:val="1"/>
              <w:bCs w:val="1"/>
              <w:color w:val="000000"/>
            </w:rPr>
          </w:pPr>
          <w:hyperlink w:anchor="_heading=">
            <w:r w:rsidDel="00000000" w:rsidR="00000000" w:rsidRPr="00000000">
              <w:rPr>
                <w:rFonts w:ascii="Times New Roman" w:cs="Times New Roman" w:eastAsia="Times New Roman" w:hAnsi="Times New Roman"/>
                <w:b w:val="1"/>
                <w:bCs w:val="1"/>
                <w:color w:val="1c4587"/>
                <w:sz w:val="28"/>
                <w:szCs w:val="28"/>
                <w:rtl w:val="0"/>
              </w:rPr>
              <w:t xml:space="preserve">3. Significance of the Study</w:t>
              <w:tab/>
              <w:t xml:space="preserve">4</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after="0" w:before="60" w:line="360" w:lineRule="auto"/>
            <w:rPr>
              <w:rFonts w:ascii="Arial" w:cs="Arial" w:eastAsia="Arial" w:hAnsi="Arial"/>
              <w:b w:val="1"/>
              <w:bCs w:val="1"/>
              <w:color w:val="000000"/>
            </w:rPr>
          </w:pPr>
          <w:hyperlink w:anchor="_heading=">
            <w:r w:rsidDel="00000000" w:rsidR="00000000" w:rsidRPr="00000000">
              <w:rPr>
                <w:rFonts w:ascii="Times New Roman" w:cs="Times New Roman" w:eastAsia="Times New Roman" w:hAnsi="Times New Roman"/>
                <w:b w:val="1"/>
                <w:bCs w:val="1"/>
                <w:color w:val="1c4587"/>
                <w:sz w:val="28"/>
                <w:szCs w:val="28"/>
                <w:rtl w:val="0"/>
              </w:rPr>
              <w:t xml:space="preserve">4. Research Objectives</w:t>
              <w:tab/>
              <w:t xml:space="preserve">6</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after="0" w:before="60" w:line="360" w:lineRule="auto"/>
            <w:rPr>
              <w:rFonts w:ascii="Arial" w:cs="Arial" w:eastAsia="Arial" w:hAnsi="Arial"/>
              <w:b w:val="1"/>
              <w:bCs w:val="1"/>
              <w:color w:val="000000"/>
            </w:rPr>
          </w:pPr>
          <w:hyperlink w:anchor="_heading=">
            <w:r w:rsidDel="00000000" w:rsidR="00000000" w:rsidRPr="00000000">
              <w:rPr>
                <w:rFonts w:ascii="Times New Roman" w:cs="Times New Roman" w:eastAsia="Times New Roman" w:hAnsi="Times New Roman"/>
                <w:b w:val="1"/>
                <w:bCs w:val="1"/>
                <w:color w:val="1c4587"/>
                <w:sz w:val="28"/>
                <w:szCs w:val="28"/>
                <w:rtl w:val="0"/>
              </w:rPr>
              <w:t xml:space="preserve">5. Research Questions</w:t>
              <w:tab/>
              <w:t xml:space="preserve">6</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360" w:lineRule="auto"/>
            <w:rPr>
              <w:rFonts w:ascii="Arial" w:cs="Arial" w:eastAsia="Arial" w:hAnsi="Arial"/>
              <w:b w:val="1"/>
              <w:bCs w:val="1"/>
              <w:color w:val="000000"/>
            </w:rPr>
          </w:pPr>
          <w:hyperlink w:anchor="_heading=">
            <w:r w:rsidDel="00000000" w:rsidR="00000000" w:rsidRPr="00000000">
              <w:rPr>
                <w:rFonts w:ascii="Times New Roman" w:cs="Times New Roman" w:eastAsia="Times New Roman" w:hAnsi="Times New Roman"/>
                <w:b w:val="1"/>
                <w:bCs w:val="1"/>
                <w:color w:val="1c4587"/>
                <w:sz w:val="28"/>
                <w:szCs w:val="28"/>
                <w:rtl w:val="0"/>
              </w:rPr>
              <w:t xml:space="preserve">6. Research Hypotheses</w:t>
              <w:tab/>
              <w:t xml:space="preserve">7</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360" w:lineRule="auto"/>
            <w:rPr>
              <w:rFonts w:ascii="Arial" w:cs="Arial" w:eastAsia="Arial" w:hAnsi="Arial"/>
              <w:b w:val="1"/>
              <w:bCs w:val="1"/>
              <w:color w:val="000000"/>
            </w:rPr>
          </w:pPr>
          <w:hyperlink w:anchor="_heading=">
            <w:r w:rsidDel="00000000" w:rsidR="00000000" w:rsidRPr="00000000">
              <w:rPr>
                <w:rFonts w:ascii="Times New Roman" w:cs="Times New Roman" w:eastAsia="Times New Roman" w:hAnsi="Times New Roman"/>
                <w:b w:val="1"/>
                <w:bCs w:val="1"/>
                <w:color w:val="1c4587"/>
                <w:sz w:val="28"/>
                <w:szCs w:val="28"/>
                <w:rtl w:val="0"/>
              </w:rPr>
              <w:t xml:space="preserve">7. Literature Review</w:t>
              <w:tab/>
              <w:t xml:space="preserve">8</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360" w:lineRule="auto"/>
            <w:rPr>
              <w:rFonts w:ascii="Arial" w:cs="Arial" w:eastAsia="Arial" w:hAnsi="Arial"/>
              <w:b w:val="1"/>
              <w:bCs w:val="1"/>
              <w:color w:val="000000"/>
            </w:rPr>
          </w:pPr>
          <w:hyperlink w:anchor="_heading=">
            <w:r w:rsidDel="00000000" w:rsidR="00000000" w:rsidRPr="00000000">
              <w:rPr>
                <w:rFonts w:ascii="Times New Roman" w:cs="Times New Roman" w:eastAsia="Times New Roman" w:hAnsi="Times New Roman"/>
                <w:b w:val="1"/>
                <w:bCs w:val="1"/>
                <w:color w:val="1c4587"/>
                <w:sz w:val="28"/>
                <w:szCs w:val="28"/>
                <w:rtl w:val="0"/>
              </w:rPr>
              <w:t xml:space="preserve">8. Research Gap</w:t>
              <w:tab/>
              <w:t xml:space="preserve">9</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360" w:lineRule="auto"/>
            <w:rPr>
              <w:rFonts w:ascii="Arial" w:cs="Arial" w:eastAsia="Arial" w:hAnsi="Arial"/>
              <w:b w:val="1"/>
              <w:bCs w:val="1"/>
              <w:color w:val="000000"/>
            </w:rPr>
          </w:pPr>
          <w:hyperlink w:anchor="_heading=">
            <w:r w:rsidDel="00000000" w:rsidR="00000000" w:rsidRPr="00000000">
              <w:rPr>
                <w:rFonts w:ascii="Times New Roman" w:cs="Times New Roman" w:eastAsia="Times New Roman" w:hAnsi="Times New Roman"/>
                <w:b w:val="1"/>
                <w:bCs w:val="1"/>
                <w:color w:val="1c4587"/>
                <w:sz w:val="28"/>
                <w:szCs w:val="28"/>
                <w:rtl w:val="0"/>
              </w:rPr>
              <w:t xml:space="preserve">9. Theoretical Framework</w:t>
              <w:tab/>
              <w:t xml:space="preserve">10</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after="0" w:before="60" w:line="360" w:lineRule="auto"/>
            <w:rPr>
              <w:rFonts w:ascii="Arial" w:cs="Arial" w:eastAsia="Arial" w:hAnsi="Arial"/>
              <w:b w:val="1"/>
              <w:bCs w:val="1"/>
              <w:color w:val="000000"/>
            </w:rPr>
          </w:pPr>
          <w:hyperlink w:anchor="_heading=">
            <w:r w:rsidDel="00000000" w:rsidR="00000000" w:rsidRPr="00000000">
              <w:rPr>
                <w:rFonts w:ascii="Times New Roman" w:cs="Times New Roman" w:eastAsia="Times New Roman" w:hAnsi="Times New Roman"/>
                <w:b w:val="1"/>
                <w:bCs w:val="1"/>
                <w:color w:val="1c4587"/>
                <w:sz w:val="28"/>
                <w:szCs w:val="28"/>
                <w:rtl w:val="0"/>
              </w:rPr>
              <w:t xml:space="preserve">10. Research Methodology and Ethical Considerations</w:t>
              <w:tab/>
              <w:t xml:space="preserve">12</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after="0" w:before="60" w:line="360" w:lineRule="auto"/>
            <w:rPr>
              <w:rFonts w:ascii="Arial" w:cs="Arial" w:eastAsia="Arial" w:hAnsi="Arial"/>
              <w:b w:val="1"/>
              <w:bCs w:val="1"/>
              <w:color w:val="000000"/>
            </w:rPr>
          </w:pPr>
          <w:hyperlink w:anchor="_heading=">
            <w:r w:rsidDel="00000000" w:rsidR="00000000" w:rsidRPr="00000000">
              <w:rPr>
                <w:rFonts w:ascii="Times New Roman" w:cs="Times New Roman" w:eastAsia="Times New Roman" w:hAnsi="Times New Roman"/>
                <w:b w:val="1"/>
                <w:bCs w:val="1"/>
                <w:color w:val="1c4587"/>
                <w:sz w:val="28"/>
                <w:szCs w:val="28"/>
                <w:rtl w:val="0"/>
              </w:rPr>
              <w:t xml:space="preserve">11. Population and Sample</w:t>
              <w:tab/>
              <w:t xml:space="preserve">14</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after="0" w:before="60" w:line="360" w:lineRule="auto"/>
            <w:rPr>
              <w:rFonts w:ascii="Arial" w:cs="Arial" w:eastAsia="Arial" w:hAnsi="Arial"/>
              <w:b w:val="1"/>
              <w:bCs w:val="1"/>
              <w:color w:val="000000"/>
            </w:rPr>
          </w:pPr>
          <w:hyperlink w:anchor="_heading=h.wyusd54mlxqe">
            <w:r w:rsidDel="00000000" w:rsidR="00000000" w:rsidRPr="00000000">
              <w:rPr>
                <w:rFonts w:ascii="Times New Roman" w:cs="Times New Roman" w:eastAsia="Times New Roman" w:hAnsi="Times New Roman"/>
                <w:b w:val="1"/>
                <w:bCs w:val="1"/>
                <w:color w:val="1c4587"/>
                <w:sz w:val="28"/>
                <w:szCs w:val="28"/>
                <w:rtl w:val="0"/>
              </w:rPr>
              <w:t xml:space="preserve">12. Research Instrument</w:t>
              <w:tab/>
              <w:t xml:space="preserve">14</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0" w:before="60" w:line="360" w:lineRule="auto"/>
            <w:rPr>
              <w:rFonts w:ascii="Arial" w:cs="Arial" w:eastAsia="Arial" w:hAnsi="Arial"/>
              <w:b w:val="1"/>
              <w:bCs w:val="1"/>
              <w:color w:val="000000"/>
            </w:rPr>
          </w:pPr>
          <w:hyperlink w:anchor="_heading=">
            <w:r w:rsidDel="00000000" w:rsidR="00000000" w:rsidRPr="00000000">
              <w:rPr>
                <w:rFonts w:ascii="Times New Roman" w:cs="Times New Roman" w:eastAsia="Times New Roman" w:hAnsi="Times New Roman"/>
                <w:b w:val="1"/>
                <w:bCs w:val="1"/>
                <w:color w:val="1c4587"/>
                <w:sz w:val="28"/>
                <w:szCs w:val="28"/>
                <w:rtl w:val="0"/>
              </w:rPr>
              <w:t xml:space="preserve">13. Statistical Analysis Methods</w:t>
              <w:tab/>
              <w:t xml:space="preserve">16</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after="0" w:before="60" w:line="360" w:lineRule="auto"/>
            <w:rPr>
              <w:rFonts w:ascii="Arial" w:cs="Arial" w:eastAsia="Arial" w:hAnsi="Arial"/>
              <w:b w:val="1"/>
              <w:bCs w:val="1"/>
              <w:color w:val="000000"/>
            </w:rPr>
          </w:pPr>
          <w:hyperlink w:anchor="_heading=h.dsscgi6ir0pm">
            <w:r w:rsidDel="00000000" w:rsidR="00000000" w:rsidRPr="00000000">
              <w:rPr>
                <w:rFonts w:ascii="Times New Roman" w:cs="Times New Roman" w:eastAsia="Times New Roman" w:hAnsi="Times New Roman"/>
                <w:b w:val="1"/>
                <w:bCs w:val="1"/>
                <w:color w:val="1c4587"/>
                <w:sz w:val="28"/>
                <w:szCs w:val="28"/>
                <w:rtl w:val="0"/>
              </w:rPr>
              <w:t xml:space="preserve">14. Study Limitations</w:t>
              <w:tab/>
              <w:t xml:space="preserve">17</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after="0" w:before="60" w:line="360" w:lineRule="auto"/>
            <w:rPr>
              <w:rFonts w:ascii="Arial" w:cs="Arial" w:eastAsia="Arial" w:hAnsi="Arial"/>
              <w:b w:val="1"/>
              <w:bCs w:val="1"/>
              <w:color w:val="000000"/>
            </w:rPr>
          </w:pPr>
          <w:hyperlink w:anchor="_heading=h.c5lvgb9eh81l">
            <w:r w:rsidDel="00000000" w:rsidR="00000000" w:rsidRPr="00000000">
              <w:rPr>
                <w:rFonts w:ascii="Times New Roman" w:cs="Times New Roman" w:eastAsia="Times New Roman" w:hAnsi="Times New Roman"/>
                <w:b w:val="1"/>
                <w:bCs w:val="1"/>
                <w:color w:val="1c4587"/>
                <w:sz w:val="28"/>
                <w:szCs w:val="28"/>
                <w:rtl w:val="0"/>
              </w:rPr>
              <w:t xml:space="preserve">15. Conceptual Framework Diagram</w:t>
              <w:tab/>
              <w:t xml:space="preserve">18</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after="0" w:before="60" w:line="360" w:lineRule="auto"/>
            <w:rPr>
              <w:rFonts w:ascii="Arial" w:cs="Arial" w:eastAsia="Arial" w:hAnsi="Arial"/>
              <w:b w:val="1"/>
              <w:bCs w:val="1"/>
              <w:color w:val="000000"/>
            </w:rPr>
          </w:pPr>
          <w:hyperlink w:anchor="_heading=">
            <w:r w:rsidDel="00000000" w:rsidR="00000000" w:rsidRPr="00000000">
              <w:rPr>
                <w:rFonts w:ascii="Times New Roman" w:cs="Times New Roman" w:eastAsia="Times New Roman" w:hAnsi="Times New Roman"/>
                <w:b w:val="1"/>
                <w:bCs w:val="1"/>
                <w:color w:val="1c4587"/>
                <w:sz w:val="28"/>
                <w:szCs w:val="28"/>
                <w:rtl w:val="0"/>
              </w:rPr>
              <w:t xml:space="preserve">16. Survey Questionnaire</w:t>
              <w:tab/>
              <w:t xml:space="preserve">18</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after="0" w:before="60" w:line="360" w:lineRule="auto"/>
            <w:rPr>
              <w:rFonts w:ascii="Arial" w:cs="Arial" w:eastAsia="Arial" w:hAnsi="Arial"/>
              <w:b w:val="1"/>
              <w:bCs w:val="1"/>
              <w:color w:val="000000"/>
            </w:rPr>
          </w:pPr>
          <w:hyperlink w:anchor="_heading=">
            <w:r w:rsidDel="00000000" w:rsidR="00000000" w:rsidRPr="00000000">
              <w:rPr>
                <w:rFonts w:ascii="Times New Roman" w:cs="Times New Roman" w:eastAsia="Times New Roman" w:hAnsi="Times New Roman"/>
                <w:b w:val="1"/>
                <w:bCs w:val="1"/>
                <w:color w:val="1c4587"/>
                <w:sz w:val="28"/>
                <w:szCs w:val="28"/>
                <w:rtl w:val="0"/>
              </w:rPr>
              <w:t xml:space="preserve">17. References</w:t>
              <w:tab/>
              <w:t xml:space="preserve">19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pStyle w:val="Heading1"/>
        <w:spacing w:line="360" w:lineRule="auto"/>
        <w:rPr>
          <w:rFonts w:ascii="Times New Roman" w:cs="Times New Roman" w:eastAsia="Times New Roman" w:hAnsi="Times New Roman"/>
          <w:color w:val="366091"/>
          <w:sz w:val="28"/>
          <w:szCs w:val="28"/>
        </w:rPr>
      </w:pPr>
      <w:r w:rsidDel="00000000" w:rsidR="00000000" w:rsidRPr="00000000">
        <w:rPr>
          <w:rFonts w:ascii="Times New Roman" w:cs="Times New Roman" w:eastAsia="Times New Roman" w:hAnsi="Times New Roman"/>
          <w:color w:val="366091"/>
          <w:sz w:val="28"/>
          <w:szCs w:val="28"/>
          <w:rtl w:val="0"/>
        </w:rPr>
        <w:t xml:space="preserve">1. Introduction</w:t>
      </w:r>
    </w:p>
    <w:p w:rsidR="00000000" w:rsidDel="00000000" w:rsidP="00000000" w:rsidRDefault="00000000" w:rsidRPr="00000000" w14:paraId="00000023">
      <w:pPr>
        <w:rPr/>
      </w:pPr>
      <w:r w:rsidDel="00000000" w:rsidR="00000000" w:rsidRPr="00000000">
        <w:rPr>
          <w:rtl w:val="0"/>
        </w:rPr>
        <w:t xml:space="preserve">Historically, the global real estate market has been characterised by high capital needs, complex ownership structures and limited liquidity. However, in recent years, the development of financial technologies has brought up new methods to change classic investment strategies. Among these advancements, the blockchain technology has attracted special attention for its ability to establish decentralized, transparent and immutable methods of record-keeping.</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Blockchain is a system that allows digital objects to be recorded and transmitted securely without centralized third parties. Distributed ledger systems make transactions public and verifiable, minimizing the risk of fraud and enhancing confidence among market players. Real estate tokenization, the most inventive application of blockchain in the real estate industry, is one of them.</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Real estate tokenization is the process of digitizing registered ownership interests into tokens on a blockchain that allows for fractional ownership and trade on secondary markets within established permissions. This can reduce minimum investment requirements and enhance exit optionality when legal title and investor rights are clearly enforced.</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These advantages notwithstanding, the uptake of tokenized real estate platforms by investors is still very low. Investors frequently inquire about the technological reliability, legal structures, and organizational competence of organizations that operate these platforms. Therefore, trust is an important factor affecting adoption behavior.</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Saudi Arabia provides a rich backdrop for studying the adoption of digital real estate, given the country’s continuous economic change under Vision 2030. The government has been proactive in promoting digital innovation across a range of sectors, including as financial services and real estate.</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“Saudi Arabia is a place where the decision-makers, including the Capital Market Authority and the Real Estate General Authority, are trying new ideas in a safe environment. This way, they can make sure new things can happen without hurting investors. They want to make sure people trust the platforms, and they're honest and fair, and the legislation is clear, so people will utilize them.</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This study intends to investigate the factors affecting investor trust and adoption intention for the tokenized real estate investments in Saudi Arabia.</w:t>
      </w:r>
    </w:p>
    <w:p w:rsidR="00000000" w:rsidDel="00000000" w:rsidP="00000000" w:rsidRDefault="00000000" w:rsidRPr="00000000" w14:paraId="0000003C">
      <w:pPr>
        <w:pStyle w:val="Heading1"/>
        <w:spacing w:line="360" w:lineRule="auto"/>
        <w:rPr>
          <w:rFonts w:ascii="Times New Roman" w:cs="Times New Roman" w:eastAsia="Times New Roman" w:hAnsi="Times New Roman"/>
          <w:color w:val="366091"/>
          <w:sz w:val="28"/>
          <w:szCs w:val="28"/>
        </w:rPr>
      </w:pPr>
      <w:r w:rsidDel="00000000" w:rsidR="00000000" w:rsidRPr="00000000">
        <w:rPr>
          <w:rFonts w:ascii="Times New Roman" w:cs="Times New Roman" w:eastAsia="Times New Roman" w:hAnsi="Times New Roman"/>
          <w:color w:val="366091"/>
          <w:sz w:val="28"/>
          <w:szCs w:val="28"/>
          <w:rtl w:val="0"/>
        </w:rPr>
        <w:t xml:space="preserve">2. Problem Statement</w:t>
      </w:r>
    </w:p>
    <w:p w:rsidR="00000000" w:rsidDel="00000000" w:rsidP="00000000" w:rsidRDefault="00000000" w:rsidRPr="00000000" w14:paraId="0000003D">
      <w:pPr>
        <w:rPr/>
      </w:pPr>
      <w:r w:rsidDel="00000000" w:rsidR="00000000" w:rsidRPr="00000000">
        <w:rPr>
          <w:rtl w:val="0"/>
        </w:rPr>
        <w:t xml:space="preserve">Blockchain technology has several benefits for the openness and efficiency of the financial markets; however, tokenized real estate investment platforms are rather low on acceptance. Risks to investors may arise in relation to digital investment systems due to uncertainties as to the technology security, regulatory framework, and organizational capacity.</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Real estate investments are long-term assets that require a significant amount of money to invest. Once these investments are tokenized into digital representations, investors are highly dependent on technological infrastructures and regulatory authorities to verify the validity and security of their investments.</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Few studies have examined the combined influence of technology, organization and environment on investors’ trust and intention to enter tokenized real estate markets.</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What are the factors affecting investors’ trust and adoption intention of tokenized real estate investing platforms in Saudi Arabia?</w:t>
      </w:r>
    </w:p>
    <w:p w:rsidR="00000000" w:rsidDel="00000000" w:rsidP="00000000" w:rsidRDefault="00000000" w:rsidRPr="00000000" w14:paraId="0000004A">
      <w:pPr>
        <w:pStyle w:val="Heading1"/>
        <w:spacing w:line="360" w:lineRule="auto"/>
        <w:rPr>
          <w:rFonts w:ascii="Times New Roman" w:cs="Times New Roman" w:eastAsia="Times New Roman" w:hAnsi="Times New Roman"/>
          <w:color w:val="366091"/>
          <w:sz w:val="28"/>
          <w:szCs w:val="28"/>
        </w:rPr>
      </w:pPr>
      <w:r w:rsidDel="00000000" w:rsidR="00000000" w:rsidRPr="00000000">
        <w:rPr>
          <w:rFonts w:ascii="Times New Roman" w:cs="Times New Roman" w:eastAsia="Times New Roman" w:hAnsi="Times New Roman"/>
          <w:color w:val="366091"/>
          <w:sz w:val="28"/>
          <w:szCs w:val="28"/>
          <w:rtl w:val="0"/>
        </w:rPr>
        <w:t xml:space="preserve">3. Importance of the Study</w:t>
      </w:r>
    </w:p>
    <w:p w:rsidR="00000000" w:rsidDel="00000000" w:rsidP="00000000" w:rsidRDefault="00000000" w:rsidRPr="00000000" w14:paraId="0000004B">
      <w:pPr>
        <w:pStyle w:val="Heading2"/>
        <w:spacing w:after="200" w:line="360" w:lineRule="auto"/>
        <w:rPr>
          <w:rFonts w:ascii="Arial" w:cs="Arial" w:eastAsia="Arial" w:hAnsi="Arial"/>
          <w:sz w:val="26"/>
          <w:szCs w:val="26"/>
        </w:rPr>
      </w:pPr>
      <w:bookmarkStart w:colFirst="0" w:colLast="0" w:name="_heading=h.uyeuvnwnwq3v" w:id="1"/>
      <w:bookmarkEnd w:id="1"/>
      <w:r w:rsidDel="00000000" w:rsidR="00000000" w:rsidRPr="00000000">
        <w:rPr>
          <w:rFonts w:ascii="Times New Roman" w:cs="Times New Roman" w:eastAsia="Times New Roman" w:hAnsi="Times New Roman"/>
          <w:color w:val="366091"/>
          <w:sz w:val="24"/>
          <w:szCs w:val="24"/>
          <w:rtl w:val="0"/>
        </w:rPr>
        <w:t xml:space="preserve">3.1 </w:t>
      </w:r>
      <w:r w:rsidDel="00000000" w:rsidR="00000000" w:rsidRPr="00000000">
        <w:rPr>
          <w:rFonts w:ascii="Times New Roman" w:cs="Times New Roman" w:eastAsia="Times New Roman" w:hAnsi="Times New Roman"/>
          <w:color w:val="366091"/>
          <w:sz w:val="28"/>
          <w:szCs w:val="28"/>
          <w:rtl w:val="0"/>
        </w:rPr>
        <w:t xml:space="preserve">Significance for Science</w:t>
      </w:r>
      <w:r w:rsidDel="00000000" w:rsidR="00000000" w:rsidRPr="00000000">
        <w:rPr>
          <w:rtl w:val="0"/>
        </w:rPr>
      </w:r>
    </w:p>
    <w:p w:rsidR="00000000" w:rsidDel="00000000" w:rsidP="00000000" w:rsidRDefault="00000000" w:rsidRPr="00000000" w14:paraId="0000004C">
      <w:pPr>
        <w:rPr/>
      </w:pPr>
      <w:bookmarkStart w:colFirst="0" w:colLast="0" w:name="_heading=h.nkzournk34o8" w:id="2"/>
      <w:bookmarkEnd w:id="2"/>
      <w:r w:rsidDel="00000000" w:rsidR="00000000" w:rsidRPr="00000000">
        <w:rPr>
          <w:rtl w:val="0"/>
        </w:rPr>
        <w:t xml:space="preserve">This study contributes to the understanding of blockchain by examining its implementation in the real estate business. To date, most research has concentrated on the potential of blockchain in banking and cryptocurrency, rather than on its utility in buying and selling property online. The paper combines two key concepts, the Technology-Organization-Environment framework and the Resource-Based View, to develop a comprehensive perspective on the interaction between technology, firms, and government rules in shaping the behavior of investors in these new digital markets. It’s about how all these diverse forces come together to drive the way people invest in real estate on blockchain.</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pStyle w:val="Heading2"/>
        <w:spacing w:after="200" w:line="360" w:lineRule="auto"/>
        <w:rPr>
          <w:rFonts w:ascii="Arial" w:cs="Arial" w:eastAsia="Arial" w:hAnsi="Arial"/>
          <w:sz w:val="26"/>
          <w:szCs w:val="26"/>
        </w:rPr>
      </w:pPr>
      <w:r w:rsidDel="00000000" w:rsidR="00000000" w:rsidRPr="00000000">
        <w:rPr>
          <w:rFonts w:ascii="Times New Roman" w:cs="Times New Roman" w:eastAsia="Times New Roman" w:hAnsi="Times New Roman"/>
          <w:color w:val="366091"/>
          <w:sz w:val="24"/>
          <w:szCs w:val="24"/>
          <w:rtl w:val="0"/>
        </w:rPr>
        <w:t xml:space="preserve">3.2 Practical and National Significance (In line with Saudi Vision 2030)</w:t>
      </w:r>
      <w:r w:rsidDel="00000000" w:rsidR="00000000" w:rsidRPr="00000000">
        <w:rPr>
          <w:rtl w:val="0"/>
        </w:rPr>
      </w:r>
    </w:p>
    <w:p w:rsidR="00000000" w:rsidDel="00000000" w:rsidP="00000000" w:rsidRDefault="00000000" w:rsidRPr="00000000" w14:paraId="00000050">
      <w:pPr>
        <w:rPr/>
      </w:pPr>
      <w:bookmarkStart w:colFirst="0" w:colLast="0" w:name="_heading=h.tsr8pjxjaevf" w:id="3"/>
      <w:bookmarkEnd w:id="3"/>
      <w:r w:rsidDel="00000000" w:rsidR="00000000" w:rsidRPr="00000000">
        <w:rPr>
          <w:rtl w:val="0"/>
        </w:rPr>
        <w:t xml:space="preserve">Practically, the research results are closely related to the strategic pillars of the Saudi Vision 2030 that actively promotes digital transformation, financial innovation and the growth of the non-oil economy. Specifically, this research supports:</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Financial Sector Development Program (FSDP): By investigating ways to increase investor confidence in Fintech and digital property investment platforms.</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National Real Estate Strategy is about making things more transparent for people, utilizing technology to provide people with a clear view of what's going on. This can help encourage more people to buy into real estate and make things more active in the market.</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Regulatory Systems: Enabling institutions such as the Capital Market Authority (CMA) and the Real Estate General Authority (REGA) to refine their regulatory sandboxes to foster innovation while offering solid investor protection.</w:t>
      </w:r>
    </w:p>
    <w:p w:rsidR="00000000" w:rsidDel="00000000" w:rsidP="00000000" w:rsidRDefault="00000000" w:rsidRPr="00000000" w14:paraId="00000059">
      <w:pPr>
        <w:pStyle w:val="Heading2"/>
        <w:spacing w:after="200" w:line="360" w:lineRule="auto"/>
        <w:rPr>
          <w:rFonts w:ascii="Times New Roman" w:cs="Times New Roman" w:eastAsia="Times New Roman" w:hAnsi="Times New Roman"/>
          <w:color w:val="366091"/>
          <w:sz w:val="24"/>
          <w:szCs w:val="24"/>
        </w:rPr>
      </w:pPr>
      <w:r w:rsidDel="00000000" w:rsidR="00000000" w:rsidRPr="00000000">
        <w:rPr>
          <w:rFonts w:ascii="Times New Roman" w:cs="Times New Roman" w:eastAsia="Times New Roman" w:hAnsi="Times New Roman"/>
          <w:color w:val="366091"/>
          <w:sz w:val="24"/>
          <w:szCs w:val="24"/>
          <w:rtl w:val="0"/>
        </w:rPr>
        <w:t xml:space="preserve">3.3 Global Significance (correspondence with UN Sustainable</w:t>
      </w:r>
      <w:r w:rsidDel="00000000" w:rsidR="00000000" w:rsidRPr="00000000">
        <w:rPr>
          <w:rtl w:val="0"/>
        </w:rPr>
        <w:t xml:space="preserve"> </w:t>
      </w:r>
      <w:r w:rsidDel="00000000" w:rsidR="00000000" w:rsidRPr="00000000">
        <w:rPr>
          <w:rFonts w:ascii="Times New Roman" w:cs="Times New Roman" w:eastAsia="Times New Roman" w:hAnsi="Times New Roman"/>
          <w:color w:val="366091"/>
          <w:sz w:val="24"/>
          <w:szCs w:val="24"/>
          <w:rtl w:val="0"/>
        </w:rPr>
        <w:t xml:space="preserve">Development Goals - SDGs)</w:t>
      </w:r>
    </w:p>
    <w:p w:rsidR="00000000" w:rsidDel="00000000" w:rsidP="00000000" w:rsidRDefault="00000000" w:rsidRPr="00000000" w14:paraId="0000005A">
      <w:pPr>
        <w:rPr/>
      </w:pPr>
      <w:r w:rsidDel="00000000" w:rsidR="00000000" w:rsidRPr="00000000">
        <w:rPr>
          <w:rtl w:val="0"/>
        </w:rPr>
        <w:t xml:space="preserve">SDG 8: Decent Work and Economic Growth: Platforms make revenue-generating assets more accessible to more people by reducing minimum ticket quantities and fractionalizing units.</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SDG 9: Industry Innovation and Infrastructure Smart-contract workflows (issuance, distributes) are performed on regulated financial infrastructure.</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**SDG 10: Reduced Inequalities:** Fractional ownership gives access to more than just high-net-worth investors, under KYC/AML regulations.</w:t>
      </w:r>
    </w:p>
    <w:p w:rsidR="00000000" w:rsidDel="00000000" w:rsidP="00000000" w:rsidRDefault="00000000" w:rsidRPr="00000000" w14:paraId="0000005F">
      <w:pPr>
        <w:pStyle w:val="Heading1"/>
        <w:spacing w:line="360" w:lineRule="auto"/>
        <w:rPr>
          <w:rFonts w:ascii="Times New Roman" w:cs="Times New Roman" w:eastAsia="Times New Roman" w:hAnsi="Times New Roman"/>
          <w:color w:val="366091"/>
          <w:sz w:val="28"/>
          <w:szCs w:val="28"/>
        </w:rPr>
      </w:pPr>
      <w:r w:rsidDel="00000000" w:rsidR="00000000" w:rsidRPr="00000000">
        <w:rPr>
          <w:rFonts w:ascii="Times New Roman" w:cs="Times New Roman" w:eastAsia="Times New Roman" w:hAnsi="Times New Roman"/>
          <w:color w:val="366091"/>
          <w:sz w:val="28"/>
          <w:szCs w:val="28"/>
          <w:rtl w:val="0"/>
        </w:rPr>
        <w:t xml:space="preserve">4. Research Objectives</w:t>
      </w:r>
    </w:p>
    <w:p w:rsidR="00000000" w:rsidDel="00000000" w:rsidP="00000000" w:rsidRDefault="00000000" w:rsidRPr="00000000" w14:paraId="00000060">
      <w:pPr>
        <w:pStyle w:val="Heading3"/>
        <w:spacing w:after="240" w:before="240" w:line="360" w:lineRule="auto"/>
        <w:rPr>
          <w:rFonts w:ascii="Times New Roman" w:cs="Times New Roman" w:eastAsia="Times New Roman" w:hAnsi="Times New Roman"/>
          <w:i w:val="1"/>
          <w:iCs w:val="1"/>
          <w:color w:val="366091"/>
          <w:sz w:val="24"/>
          <w:szCs w:val="24"/>
        </w:rPr>
      </w:pPr>
      <w:bookmarkStart w:colFirst="0" w:colLast="0" w:name="_heading=h.ntfej21iw3o1" w:id="4"/>
      <w:bookmarkEnd w:id="4"/>
      <w:r w:rsidDel="00000000" w:rsidR="00000000" w:rsidRPr="00000000">
        <w:rPr>
          <w:rFonts w:ascii="Times New Roman" w:cs="Times New Roman" w:eastAsia="Times New Roman" w:hAnsi="Times New Roman"/>
          <w:i w:val="1"/>
          <w:iCs w:val="1"/>
          <w:color w:val="366091"/>
          <w:sz w:val="24"/>
          <w:szCs w:val="24"/>
          <w:rtl w:val="0"/>
        </w:rPr>
        <w:t xml:space="preserve">General Aim</w:t>
      </w:r>
    </w:p>
    <w:p w:rsidR="00000000" w:rsidDel="00000000" w:rsidP="00000000" w:rsidRDefault="00000000" w:rsidRPr="00000000" w14:paraId="00000061">
      <w:pPr>
        <w:rPr/>
      </w:pPr>
      <w:bookmarkStart w:colFirst="0" w:colLast="0" w:name="_heading=h.lyfwyt2i88n7" w:id="5"/>
      <w:bookmarkEnd w:id="5"/>
      <w:r w:rsidDel="00000000" w:rsidR="00000000" w:rsidRPr="00000000">
        <w:rPr>
          <w:rtl w:val="0"/>
        </w:rPr>
        <w:t xml:space="preserve">To evaluate the characteristics that influence investors’ trust and adoption intention towards tokenized real estate investing in Saudi Arabia.</w:t>
      </w:r>
    </w:p>
    <w:p w:rsidR="00000000" w:rsidDel="00000000" w:rsidP="00000000" w:rsidRDefault="00000000" w:rsidRPr="00000000" w14:paraId="00000062">
      <w:pPr>
        <w:pStyle w:val="Heading3"/>
        <w:spacing w:after="240" w:before="240" w:line="360" w:lineRule="auto"/>
        <w:rPr>
          <w:rFonts w:ascii="Times New Roman" w:cs="Times New Roman" w:eastAsia="Times New Roman" w:hAnsi="Times New Roman"/>
          <w:i w:val="1"/>
          <w:iCs w:val="1"/>
          <w:color w:val="366091"/>
          <w:sz w:val="24"/>
          <w:szCs w:val="24"/>
        </w:rPr>
      </w:pPr>
      <w:r w:rsidDel="00000000" w:rsidR="00000000" w:rsidRPr="00000000">
        <w:rPr>
          <w:rFonts w:ascii="Times New Roman" w:cs="Times New Roman" w:eastAsia="Times New Roman" w:hAnsi="Times New Roman"/>
          <w:i w:val="1"/>
          <w:iCs w:val="1"/>
          <w:color w:val="366091"/>
          <w:sz w:val="24"/>
          <w:szCs w:val="24"/>
          <w:rtl w:val="0"/>
        </w:rPr>
        <w:t xml:space="preserve">Specific Objectives</w:t>
      </w:r>
    </w:p>
    <w:p w:rsidR="00000000" w:rsidDel="00000000" w:rsidP="00000000" w:rsidRDefault="00000000" w:rsidRPr="00000000" w14:paraId="00000063">
      <w:pPr>
        <w:numPr>
          <w:ilvl w:val="0"/>
          <w:numId w:val="1"/>
        </w:numPr>
        <w:spacing w:after="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Examine the influence of technological transparency on investor trust.</w:t>
      </w:r>
    </w:p>
    <w:p w:rsidR="00000000" w:rsidDel="00000000" w:rsidP="00000000" w:rsidRDefault="00000000" w:rsidRPr="00000000" w14:paraId="00000064">
      <w:pPr>
        <w:numPr>
          <w:ilvl w:val="0"/>
          <w:numId w:val="1"/>
        </w:numPr>
        <w:spacing w:after="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Analyze the impact of regulatory clarity on investor trust.</w:t>
      </w:r>
    </w:p>
    <w:p w:rsidR="00000000" w:rsidDel="00000000" w:rsidP="00000000" w:rsidRDefault="00000000" w:rsidRPr="00000000" w14:paraId="00000065">
      <w:pPr>
        <w:numPr>
          <w:ilvl w:val="0"/>
          <w:numId w:val="1"/>
        </w:numPr>
        <w:spacing w:after="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Evaluate the role of organizational readiness in building investor trust.</w:t>
      </w:r>
    </w:p>
    <w:p w:rsidR="00000000" w:rsidDel="00000000" w:rsidP="00000000" w:rsidRDefault="00000000" w:rsidRPr="00000000" w14:paraId="00000066">
      <w:pPr>
        <w:numPr>
          <w:ilvl w:val="0"/>
          <w:numId w:val="1"/>
        </w:numPr>
        <w:spacing w:after="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Investigate the relationship between investor trust and adoption intention.</w:t>
      </w:r>
    </w:p>
    <w:p w:rsidR="00000000" w:rsidDel="00000000" w:rsidP="00000000" w:rsidRDefault="00000000" w:rsidRPr="00000000" w14:paraId="00000067">
      <w:pPr>
        <w:pStyle w:val="Heading1"/>
        <w:spacing w:line="360" w:lineRule="auto"/>
        <w:rPr>
          <w:rFonts w:ascii="Times New Roman" w:cs="Times New Roman" w:eastAsia="Times New Roman" w:hAnsi="Times New Roman"/>
          <w:color w:val="366091"/>
          <w:sz w:val="28"/>
          <w:szCs w:val="28"/>
        </w:rPr>
      </w:pPr>
      <w:r w:rsidDel="00000000" w:rsidR="00000000" w:rsidRPr="00000000">
        <w:rPr>
          <w:rFonts w:ascii="Times New Roman" w:cs="Times New Roman" w:eastAsia="Times New Roman" w:hAnsi="Times New Roman"/>
          <w:color w:val="366091"/>
          <w:sz w:val="28"/>
          <w:szCs w:val="28"/>
          <w:rtl w:val="0"/>
        </w:rPr>
        <w:t xml:space="preserve">5. Goals in Concrete</w:t>
      </w:r>
    </w:p>
    <w:p w:rsidR="00000000" w:rsidDel="00000000" w:rsidP="00000000" w:rsidRDefault="00000000" w:rsidRPr="00000000" w14:paraId="00000068">
      <w:pPr>
        <w:rPr/>
      </w:pPr>
      <w:r w:rsidDel="00000000" w:rsidR="00000000" w:rsidRPr="00000000">
        <w:rPr>
          <w:rtl w:val="0"/>
        </w:rPr>
        <w:t xml:space="preserve">1.  Consider the effect of technical openness on investor confidence.</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2.  Assess the effect of regulatory certainty on investor confidence.</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3.  Evaluate the role of organizational readiness in winning investor confidence</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4.  Examine the effect of investor trust on intention to adopt.</w:t>
      </w:r>
    </w:p>
    <w:p w:rsidR="00000000" w:rsidDel="00000000" w:rsidP="00000000" w:rsidRDefault="00000000" w:rsidRPr="00000000" w14:paraId="0000006F">
      <w:pPr>
        <w:pStyle w:val="Heading1"/>
        <w:spacing w:line="360" w:lineRule="auto"/>
        <w:rPr>
          <w:rFonts w:ascii="Times New Roman" w:cs="Times New Roman" w:eastAsia="Times New Roman" w:hAnsi="Times New Roman"/>
          <w:color w:val="366091"/>
          <w:sz w:val="28"/>
          <w:szCs w:val="28"/>
        </w:rPr>
      </w:pPr>
      <w:r w:rsidDel="00000000" w:rsidR="00000000" w:rsidRPr="00000000">
        <w:rPr>
          <w:rFonts w:ascii="Times New Roman" w:cs="Times New Roman" w:eastAsia="Times New Roman" w:hAnsi="Times New Roman"/>
          <w:color w:val="366091"/>
          <w:sz w:val="28"/>
          <w:szCs w:val="28"/>
          <w:rtl w:val="0"/>
        </w:rPr>
        <w:t xml:space="preserve">6. Research Questions and Hypotheses</w:t>
      </w:r>
    </w:p>
    <w:p w:rsidR="00000000" w:rsidDel="00000000" w:rsidP="00000000" w:rsidRDefault="00000000" w:rsidRPr="00000000" w14:paraId="00000070">
      <w:pPr>
        <w:rPr/>
      </w:pPr>
      <w:r w:rsidDel="00000000" w:rsidR="00000000" w:rsidRPr="00000000">
        <w:rPr>
          <w:rtl w:val="0"/>
        </w:rPr>
        <w:t xml:space="preserve">1.  What is the effect of the transparency of technology on investor confidence in platforms for tokenized real estate?</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2.  How critical is regulatory clarity for investor confidence?</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3.  What is the effect of organizational preparedness on investors’ confidence?</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4.  How trust in investors influences the adoption intention towards</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Tokenized real estate?</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H1: Investor trust is favorably related to technological transparency.</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H2: Investor trust is bolstered by regulatory clarity.</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H3: Investor trust is positively affected by organizational readiness.</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H4: Investor trust has a beneficial influence on the intention to adopt tokenized real estate investments.</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*Hypothesis 1:* Technology Transparency and Trust of Investors</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 Hypothesis 2: Clarity of Regulations and Investor Trust</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 *Hypothesis 3:* Readiness of the organization and confidence of investors</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 *Hypothesis 4:* The mediating effect of investor trust on adoption intention</w:t>
      </w:r>
    </w:p>
    <w:p w:rsidR="00000000" w:rsidDel="00000000" w:rsidP="00000000" w:rsidRDefault="00000000" w:rsidRPr="00000000" w14:paraId="0000009E">
      <w:pPr>
        <w:pStyle w:val="Heading1"/>
        <w:spacing w:line="360" w:lineRule="auto"/>
        <w:rPr>
          <w:rFonts w:ascii="Times New Roman" w:cs="Times New Roman" w:eastAsia="Times New Roman" w:hAnsi="Times New Roman"/>
          <w:color w:val="366091"/>
          <w:sz w:val="28"/>
          <w:szCs w:val="28"/>
        </w:rPr>
      </w:pPr>
      <w:r w:rsidDel="00000000" w:rsidR="00000000" w:rsidRPr="00000000">
        <w:rPr>
          <w:rFonts w:ascii="Times New Roman" w:cs="Times New Roman" w:eastAsia="Times New Roman" w:hAnsi="Times New Roman"/>
          <w:color w:val="366091"/>
          <w:sz w:val="28"/>
          <w:szCs w:val="28"/>
          <w:rtl w:val="0"/>
        </w:rPr>
        <w:t xml:space="preserve">7. Review of Literature</w:t>
      </w:r>
    </w:p>
    <w:p w:rsidR="00000000" w:rsidDel="00000000" w:rsidP="00000000" w:rsidRDefault="00000000" w:rsidRPr="00000000" w14:paraId="0000009F">
      <w:pPr>
        <w:rPr/>
      </w:pPr>
      <w:r w:rsidDel="00000000" w:rsidR="00000000" w:rsidRPr="00000000">
        <w:rPr>
          <w:rtl w:val="0"/>
        </w:rPr>
        <w:t xml:space="preserve">Tokenization has been suggested as a technology that can transform existing real estate investment patterns through fractional ownership structures. They allow investors to reach property markets with less capital outlay and improve the liquidity of real estate assets. (Baum, 2022; Konashevych,2020 )</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The importance of transparency in systems that use blockchain technology has been noted in research. All transactions are recorded on a public ledger, allowing investors to review the transaction history themselves. This transparency will help to lessen the information asymmetry and instill more confidence in investors to invest in digital investments.</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While these studies provide significant insights, most of the prior research has either focused on</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adoption of blockchain technology by organizations or individual adoption of fintech platforms. Only a few studies merge both approaches inside a single analytical framework of tokenized real estate uptake.</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Based on the research studied, the main factors that influence the trust of investors are technology openness, regulatory clarity, and organizational readiness. In turn, investor trust is assumed to drive the adoption intention of tokenized real estate investments. (Werbach, 2018; Yermack, 2017). These linkages constitute the basis for the suggested conceptual framework and hypotheses.</w:t>
      </w:r>
    </w:p>
    <w:p w:rsidR="00000000" w:rsidDel="00000000" w:rsidP="00000000" w:rsidRDefault="00000000" w:rsidRPr="00000000" w14:paraId="000000AE">
      <w:pPr>
        <w:pStyle w:val="Heading1"/>
        <w:spacing w:line="360" w:lineRule="auto"/>
        <w:rPr>
          <w:rFonts w:ascii="Times New Roman" w:cs="Times New Roman" w:eastAsia="Times New Roman" w:hAnsi="Times New Roman"/>
          <w:color w:val="366091"/>
          <w:sz w:val="28"/>
          <w:szCs w:val="28"/>
        </w:rPr>
      </w:pPr>
      <w:r w:rsidDel="00000000" w:rsidR="00000000" w:rsidRPr="00000000">
        <w:rPr>
          <w:rFonts w:ascii="Times New Roman" w:cs="Times New Roman" w:eastAsia="Times New Roman" w:hAnsi="Times New Roman"/>
          <w:color w:val="366091"/>
          <w:sz w:val="28"/>
          <w:szCs w:val="28"/>
          <w:rtl w:val="0"/>
        </w:rPr>
        <w:t xml:space="preserve">8. Research Gap</w:t>
      </w:r>
    </w:p>
    <w:p w:rsidR="00000000" w:rsidDel="00000000" w:rsidP="00000000" w:rsidRDefault="00000000" w:rsidRPr="00000000" w14:paraId="000000AF">
      <w:pPr>
        <w:rPr/>
      </w:pPr>
      <w:r w:rsidDel="00000000" w:rsidR="00000000" w:rsidRPr="00000000">
        <w:rPr>
          <w:rtl w:val="0"/>
        </w:rPr>
        <w:t xml:space="preserve">This study aims to fill this vacuum by evaluating a theory linking these elements to the level of faith investors have in the system and their intention to embrace it. It’s a complicated topic but basically the study is trying to figure out how these varied factors affect investors’ judgments. This study explores the determinants of investor trust and adoption intention towards tokenized property in Saudi Arabia by examining technological transparency, regulatory clarity, and organizational readiness.</w:t>
      </w:r>
    </w:p>
    <w:p w:rsidR="00000000" w:rsidDel="00000000" w:rsidP="00000000" w:rsidRDefault="00000000" w:rsidRPr="00000000" w14:paraId="000000B0">
      <w:pPr>
        <w:pStyle w:val="Heading1"/>
        <w:spacing w:line="360" w:lineRule="auto"/>
        <w:rPr>
          <w:rFonts w:ascii="Times New Roman" w:cs="Times New Roman" w:eastAsia="Times New Roman" w:hAnsi="Times New Roman"/>
          <w:color w:val="366091"/>
          <w:sz w:val="28"/>
          <w:szCs w:val="28"/>
        </w:rPr>
      </w:pPr>
      <w:r w:rsidDel="00000000" w:rsidR="00000000" w:rsidRPr="00000000">
        <w:rPr>
          <w:rFonts w:ascii="Times New Roman" w:cs="Times New Roman" w:eastAsia="Times New Roman" w:hAnsi="Times New Roman"/>
          <w:color w:val="366091"/>
          <w:sz w:val="28"/>
          <w:szCs w:val="28"/>
          <w:rtl w:val="0"/>
        </w:rPr>
        <w:t xml:space="preserve">9. Theoretical Background</w:t>
      </w:r>
    </w:p>
    <w:p w:rsidR="00000000" w:rsidDel="00000000" w:rsidP="00000000" w:rsidRDefault="00000000" w:rsidRPr="00000000" w14:paraId="000000B1">
      <w:pPr>
        <w:rPr/>
      </w:pPr>
      <w:r w:rsidDel="00000000" w:rsidR="00000000" w:rsidRPr="00000000">
        <w:rPr>
          <w:rFonts w:ascii="Times New Roman" w:cs="Times New Roman" w:eastAsia="Times New Roman" w:hAnsi="Times New Roman"/>
          <w:b w:val="1"/>
          <w:bCs w:val="1"/>
          <w:color w:val="366091"/>
          <w:sz w:val="28"/>
          <w:szCs w:val="28"/>
          <w:rtl w:val="0"/>
        </w:rPr>
        <w:t xml:space="preserve">9.1 The Technological-Organizational-Environmental (TOE) Framework</w:t>
      </w: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bookmarkStart w:colFirst="0" w:colLast="0" w:name="_heading=h.j4al7taa0lii" w:id="6"/>
      <w:bookmarkEnd w:id="6"/>
      <w:r w:rsidDel="00000000" w:rsidR="00000000" w:rsidRPr="00000000">
        <w:rPr>
          <w:rtl w:val="0"/>
        </w:rPr>
        <w:t xml:space="preserve">The TOE framework is a multi-perspective theoretical model that describes the process of adoption and implementation of technical advances under the influence of three different contextual dimensions: technological, organizational, and environmental factors (Tornatzky &amp; Fleischer, 1990). In this study, the framework is used to determine the multi-layer antecedents of individual investor trust:</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Fonts w:ascii="Times New Roman" w:cs="Times New Roman" w:eastAsia="Times New Roman" w:hAnsi="Times New Roman"/>
          <w:b w:val="1"/>
          <w:bCs w:val="1"/>
          <w:color w:val="366091"/>
          <w:rtl w:val="0"/>
        </w:rPr>
        <w:t xml:space="preserve">Technological Dimension:</w:t>
      </w:r>
      <w:r w:rsidDel="00000000" w:rsidR="00000000" w:rsidRPr="00000000">
        <w:rPr>
          <w:rtl w:val="0"/>
        </w:rPr>
        <w:t xml:space="preserve"> This dimension is related to the inherent properties of the innovation. In this research, this is operationalized through Technological Transparency. Blockchain technology, thanks to its decentralized, immutable and distributed ledger, allows investors to independently check property ownership and transaction records in real-time (Konashevych, 2020). The paper claims that this technology feature immediately minimizes information asymmetry and provides a structural mechanism that shapes investor trust.</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User-facing on-chain proofs (transaction hashes, explorer links), auditable smart-contract addresses. Clear CMA/REGA guidelines on token issue and enforceability of rights. Documented audits, staffed compliance, and sandbox participation.</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Fonts w:ascii="Times New Roman" w:cs="Times New Roman" w:eastAsia="Times New Roman" w:hAnsi="Times New Roman"/>
          <w:b w:val="1"/>
          <w:bCs w:val="1"/>
          <w:color w:val="366091"/>
          <w:rtl w:val="0"/>
        </w:rPr>
        <w:t xml:space="preserve">Context of the Environment:</w:t>
      </w:r>
      <w:r w:rsidDel="00000000" w:rsidR="00000000" w:rsidRPr="00000000">
        <w:rPr>
          <w:rtl w:val="0"/>
        </w:rPr>
        <w:t xml:space="preserve"> The external world where the new ideas and inventions are occurring. It's the industry, what's there to help them, the regulations that apply to them. In our research we are looking at something called Regulatory Clarity. But with regards to converting real estate into digital tokens, it is important that the law supports these digital contracts and property rights. But if the regulatory agencies such as the Saudi Capital Market Authority and the Real Estate General Authority provide clear rules, it protects investors and decreases the fear of legal issues and that makes people trust digital platforms more.</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pStyle w:val="Heading2"/>
        <w:keepNext w:val="0"/>
        <w:keepLines w:val="0"/>
        <w:spacing w:line="360" w:lineRule="auto"/>
        <w:jc w:val="both"/>
        <w:rPr>
          <w:b w:val="0"/>
          <w:bCs w:val="0"/>
          <w:sz w:val="22"/>
          <w:szCs w:val="22"/>
        </w:rPr>
      </w:pPr>
      <w:r w:rsidDel="00000000" w:rsidR="00000000" w:rsidRPr="00000000">
        <w:rPr>
          <w:b w:val="0"/>
          <w:bCs w:val="0"/>
          <w:sz w:val="22"/>
          <w:szCs w:val="22"/>
          <w:rtl w:val="0"/>
        </w:rPr>
        <w:t xml:space="preserve"> </w:t>
      </w:r>
      <w:r w:rsidDel="00000000" w:rsidR="00000000" w:rsidRPr="00000000">
        <w:rPr>
          <w:rFonts w:ascii="Times New Roman" w:cs="Times New Roman" w:eastAsia="Times New Roman" w:hAnsi="Times New Roman"/>
          <w:color w:val="366091"/>
          <w:sz w:val="22"/>
          <w:szCs w:val="22"/>
          <w:rtl w:val="0"/>
        </w:rPr>
        <w:t xml:space="preserve">Organizational Context</w:t>
      </w:r>
      <w:r w:rsidDel="00000000" w:rsidR="00000000" w:rsidRPr="00000000">
        <w:rPr>
          <w:rFonts w:ascii="Times New Roman" w:cs="Times New Roman" w:eastAsia="Times New Roman" w:hAnsi="Times New Roman"/>
          <w:color w:val="366091"/>
          <w:sz w:val="24"/>
          <w:szCs w:val="24"/>
          <w:rtl w:val="0"/>
        </w:rPr>
        <w:t xml:space="preserve">: </w:t>
      </w:r>
      <w:r w:rsidDel="00000000" w:rsidR="00000000" w:rsidRPr="00000000">
        <w:rPr>
          <w:b w:val="0"/>
          <w:bCs w:val="0"/>
          <w:sz w:val="22"/>
          <w:szCs w:val="22"/>
          <w:rtl w:val="0"/>
        </w:rPr>
        <w:t xml:space="preserve"> This is about what’s happening inside the organizations that provide tokenization services for real estate and fintech. We’re examining what makes them prepared for this position. We’re trying to find out if they have the right technology, the expertise to keep things working, and the talented individuals needed to handle these new forms of property investments on the blockchain.</w:t>
      </w:r>
    </w:p>
    <w:p w:rsidR="00000000" w:rsidDel="00000000" w:rsidP="00000000" w:rsidRDefault="00000000" w:rsidRPr="00000000" w14:paraId="000000C2">
      <w:pPr>
        <w:pStyle w:val="Heading2"/>
        <w:keepNext w:val="0"/>
        <w:keepLines w:val="0"/>
        <w:spacing w:line="360" w:lineRule="auto"/>
        <w:jc w:val="both"/>
        <w:rPr>
          <w:rFonts w:ascii="Times New Roman" w:cs="Times New Roman" w:eastAsia="Times New Roman" w:hAnsi="Times New Roman"/>
          <w:color w:val="366091"/>
          <w:sz w:val="24"/>
          <w:szCs w:val="24"/>
        </w:rPr>
      </w:pPr>
      <w:bookmarkStart w:colFirst="0" w:colLast="0" w:name="_heading=h.cn4idhs94hhn" w:id="7"/>
      <w:bookmarkEnd w:id="7"/>
      <w:r w:rsidDel="00000000" w:rsidR="00000000" w:rsidRPr="00000000">
        <w:rPr>
          <w:rFonts w:ascii="Times New Roman" w:cs="Times New Roman" w:eastAsia="Times New Roman" w:hAnsi="Times New Roman"/>
          <w:color w:val="366091"/>
          <w:sz w:val="24"/>
          <w:szCs w:val="24"/>
          <w:rtl w:val="0"/>
        </w:rPr>
        <w:t xml:space="preserve">9.2 The Resource-Based View (RBV)</w:t>
      </w:r>
    </w:p>
    <w:p w:rsidR="00000000" w:rsidDel="00000000" w:rsidP="00000000" w:rsidRDefault="00000000" w:rsidRPr="00000000" w14:paraId="000000C3">
      <w:pPr>
        <w:rPr/>
      </w:pPr>
      <w:bookmarkStart w:colFirst="0" w:colLast="0" w:name="_heading=h.mjqigjr3jtzg" w:id="8"/>
      <w:bookmarkEnd w:id="8"/>
      <w:r w:rsidDel="00000000" w:rsidR="00000000" w:rsidRPr="00000000">
        <w:rPr>
          <w:rtl w:val="0"/>
        </w:rPr>
        <w:t xml:space="preserve">When we consider how firms leverage new ideas to gain an edge, the TOE framework helps us understand the external and technical issues involved. However, the Resource-Based View, or RBV, goes one step further, explaining why certain businesses are better at applying these new ideas to develop trust and gain competitive advantage. The RBV suggests that a firm’s distinctive resources and competencies that have been developed over time allow it to compete well and outperform rivals. These resources and capabilities are distinctive since they are valuable, hard to locate, tough to reproduce, and not replaceable with something else - this is commonly called VRIN.</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The study employs the RBV to further examine and support the Organizational Readiness dimension in the tokenized real estate setting. For a real estate firm to successfully implement blockchain, it needs to have certain strategic competencies as essential internal assets:</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This is what we mean by having the proper abilities and setup to construct secure and dependable systems for tokenization: blockchain competency. That’s about understanding the technical side of things, and having the infrastructure to support it.</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2.  </w:t>
      </w:r>
      <w:r w:rsidDel="00000000" w:rsidR="00000000" w:rsidRPr="00000000">
        <w:rPr>
          <w:rFonts w:ascii="Times New Roman" w:cs="Times New Roman" w:eastAsia="Times New Roman" w:hAnsi="Times New Roman"/>
          <w:b w:val="1"/>
          <w:bCs w:val="1"/>
          <w:color w:val="366091"/>
          <w:rtl w:val="0"/>
        </w:rPr>
        <w:t xml:space="preserve">Digital Orientation: </w:t>
      </w:r>
      <w:r w:rsidDel="00000000" w:rsidR="00000000" w:rsidRPr="00000000">
        <w:rPr>
          <w:rtl w:val="0"/>
        </w:rPr>
        <w:t xml:space="preserve">Strategic orientation of the whole company towards digital transformation and administrative agility to deal with fintech instruments.</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3.  </w:t>
      </w:r>
      <w:r w:rsidDel="00000000" w:rsidR="00000000" w:rsidRPr="00000000">
        <w:rPr>
          <w:rFonts w:ascii="Times New Roman" w:cs="Times New Roman" w:eastAsia="Times New Roman" w:hAnsi="Times New Roman"/>
          <w:b w:val="1"/>
          <w:bCs w:val="1"/>
          <w:color w:val="366091"/>
          <w:rtl w:val="0"/>
        </w:rPr>
        <w:t xml:space="preserve">Compliance Capabilities:</w:t>
      </w:r>
      <w:r w:rsidDel="00000000" w:rsidR="00000000" w:rsidRPr="00000000">
        <w:rPr>
          <w:rtl w:val="0"/>
        </w:rPr>
        <w:t xml:space="preserve"> The organizational capacity to synchronize activities to the changing digital regulatory sandboxes in Saudi Arabia.</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Investors who believe that a token-based real estate platform has great in-house capacity would perceive less risk in the operations and the people behind it. So, being ready as a company is one of the major signals that makes investors trust the platform. This is based on the Resource-Based View, which states that when investors view a company as well-prepared and capable of handling its operations, they feel secure.</w:t>
      </w:r>
    </w:p>
    <w:p w:rsidR="00000000" w:rsidDel="00000000" w:rsidP="00000000" w:rsidRDefault="00000000" w:rsidRPr="00000000" w14:paraId="000000D4">
      <w:pPr>
        <w:pStyle w:val="Heading2"/>
        <w:keepNext w:val="0"/>
        <w:keepLines w:val="0"/>
        <w:spacing w:line="360" w:lineRule="auto"/>
        <w:jc w:val="both"/>
        <w:rPr>
          <w:rFonts w:ascii="Times New Roman" w:cs="Times New Roman" w:eastAsia="Times New Roman" w:hAnsi="Times New Roman"/>
          <w:color w:val="366091"/>
          <w:sz w:val="24"/>
          <w:szCs w:val="24"/>
        </w:rPr>
      </w:pPr>
      <w:r w:rsidDel="00000000" w:rsidR="00000000" w:rsidRPr="00000000">
        <w:rPr>
          <w:rFonts w:ascii="Times New Roman" w:cs="Times New Roman" w:eastAsia="Times New Roman" w:hAnsi="Times New Roman"/>
          <w:color w:val="366091"/>
          <w:sz w:val="24"/>
          <w:szCs w:val="24"/>
          <w:rtl w:val="0"/>
        </w:rPr>
        <w:t xml:space="preserve">9.3 Theoretical Integration and Model Justification</w:t>
      </w:r>
    </w:p>
    <w:p w:rsidR="00000000" w:rsidDel="00000000" w:rsidP="00000000" w:rsidRDefault="00000000" w:rsidRPr="00000000" w14:paraId="000000D5">
      <w:pPr>
        <w:rPr/>
      </w:pPr>
      <w:r w:rsidDel="00000000" w:rsidR="00000000" w:rsidRPr="00000000">
        <w:rPr>
          <w:rtl w:val="0"/>
        </w:rPr>
        <w:t xml:space="preserve">This is achieved by integrating two core concepts, TOE and RBV, to provide a full perspective, free from the constraints of looking at just one aspect. The TOE framework presents a simple approach to organizing the main elements that influence whether people accept anything new, such as the ease of understanding of technology and the clarity of the regulations. However, RBV helps us to see the minor things in how firms create their strengths, which is really important when preparing for new things. Combining these two notions, we can see how technology, environment and companies’ actions can all be aligned to build trust in investors, which is the key driver of people’s decision to adopt new ideas such as tokenized real estate in Saudi Arabia. It’s this trust that will make consumers take that final step to adopt something new.</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bookmarkStart w:colFirst="0" w:colLast="0" w:name="_heading=h.wmtky3bqt739" w:id="9"/>
      <w:bookmarkEnd w:id="9"/>
      <w:r w:rsidDel="00000000" w:rsidR="00000000" w:rsidRPr="00000000">
        <w:rPr>
          <w:rFonts w:ascii="Times New Roman" w:cs="Times New Roman" w:eastAsia="Times New Roman" w:hAnsi="Times New Roman"/>
          <w:color w:val="366091"/>
          <w:sz w:val="28"/>
          <w:szCs w:val="28"/>
          <w:rtl w:val="0"/>
        </w:rPr>
        <w:t xml:space="preserve">10. Methodology and Issues in Research</w:t>
      </w:r>
      <w:r w:rsidDel="00000000" w:rsidR="00000000" w:rsidRPr="00000000">
        <w:rPr>
          <w:rtl w:val="0"/>
        </w:rPr>
      </w:r>
    </w:p>
    <w:p w:rsidR="00000000" w:rsidDel="00000000" w:rsidP="00000000" w:rsidRDefault="00000000" w:rsidRPr="00000000" w14:paraId="000000DD">
      <w:pPr>
        <w:rPr>
          <w:rFonts w:ascii="Times New Roman" w:cs="Times New Roman" w:eastAsia="Times New Roman" w:hAnsi="Times New Roman"/>
          <w:color w:val="366091"/>
          <w:sz w:val="24"/>
          <w:szCs w:val="24"/>
        </w:rPr>
      </w:pPr>
      <w:r w:rsidDel="00000000" w:rsidR="00000000" w:rsidRPr="00000000">
        <w:rPr>
          <w:rFonts w:ascii="Times New Roman" w:cs="Times New Roman" w:eastAsia="Times New Roman" w:hAnsi="Times New Roman"/>
          <w:color w:val="366091"/>
          <w:sz w:val="24"/>
          <w:szCs w:val="24"/>
          <w:rtl w:val="0"/>
        </w:rPr>
        <w:t xml:space="preserve">10.1 Research methodology:</w:t>
      </w:r>
    </w:p>
    <w:p w:rsidR="00000000" w:rsidDel="00000000" w:rsidP="00000000" w:rsidRDefault="00000000" w:rsidRPr="00000000" w14:paraId="000000DE">
      <w:pPr>
        <w:pStyle w:val="Heading1"/>
        <w:spacing w:line="360" w:lineRule="auto"/>
        <w:rPr>
          <w:rFonts w:ascii="Times New Roman" w:cs="Times New Roman" w:eastAsia="Times New Roman" w:hAnsi="Times New Roman"/>
          <w:color w:val="366091"/>
          <w:sz w:val="24"/>
          <w:szCs w:val="24"/>
        </w:rPr>
      </w:pPr>
      <w:r w:rsidDel="00000000" w:rsidR="00000000" w:rsidRPr="00000000">
        <w:rPr>
          <w:rtl w:val="0"/>
        </w:rPr>
      </w:r>
    </w:p>
    <w:p w:rsidR="00000000" w:rsidDel="00000000" w:rsidP="00000000" w:rsidRDefault="00000000" w:rsidRPr="00000000" w14:paraId="000000DF">
      <w:pPr>
        <w:rPr/>
      </w:pPr>
      <w:bookmarkStart w:colFirst="0" w:colLast="0" w:name="_heading=h.kshcdoh2i37" w:id="10"/>
      <w:bookmarkEnd w:id="10"/>
      <w:r w:rsidDel="00000000" w:rsidR="00000000" w:rsidRPr="00000000">
        <w:rPr>
          <w:rtl w:val="0"/>
        </w:rPr>
        <w:t xml:space="preserve">In this study we adopt a simple approach to the examination of the interrelationship of several aspects. We want to see three things: clarity of technology, clarity of the policy and organizational readiness, and how they are affecting people's trust and intention to adopt. We are doing a simple survey design to get figures from a particular set of people. This is how we can utilize the statistics to check if our thoughts are right or not. We are trying to understand how these aspects interact with each other, and this strategy will help us reach a clear answer.</w:t>
      </w:r>
    </w:p>
    <w:p w:rsidR="00000000" w:rsidDel="00000000" w:rsidP="00000000" w:rsidRDefault="00000000" w:rsidRPr="00000000" w14:paraId="000000E0">
      <w:pPr>
        <w:pStyle w:val="Heading2"/>
        <w:keepNext w:val="0"/>
        <w:keepLines w:val="0"/>
        <w:spacing w:line="360" w:lineRule="auto"/>
        <w:jc w:val="both"/>
        <w:rPr>
          <w:rFonts w:ascii="Times New Roman" w:cs="Times New Roman" w:eastAsia="Times New Roman" w:hAnsi="Times New Roman"/>
          <w:color w:val="366091"/>
          <w:sz w:val="24"/>
          <w:szCs w:val="24"/>
        </w:rPr>
      </w:pPr>
      <w:r w:rsidDel="00000000" w:rsidR="00000000" w:rsidRPr="00000000">
        <w:rPr>
          <w:rFonts w:ascii="Times New Roman" w:cs="Times New Roman" w:eastAsia="Times New Roman" w:hAnsi="Times New Roman"/>
          <w:color w:val="366091"/>
          <w:sz w:val="24"/>
          <w:szCs w:val="24"/>
          <w:rtl w:val="0"/>
        </w:rPr>
        <w:t xml:space="preserve">10.2 Data Collection and Management</w:t>
      </w:r>
    </w:p>
    <w:p w:rsidR="00000000" w:rsidDel="00000000" w:rsidP="00000000" w:rsidRDefault="00000000" w:rsidRPr="00000000" w14:paraId="000000E1">
      <w:pPr>
        <w:rPr/>
      </w:pPr>
      <w:bookmarkStart w:colFirst="0" w:colLast="0" w:name="_heading=h.zghxi7wvs2l5" w:id="11"/>
      <w:bookmarkEnd w:id="11"/>
      <w:r w:rsidDel="00000000" w:rsidR="00000000" w:rsidRPr="00000000">
        <w:rPr>
          <w:rtl w:val="0"/>
        </w:rPr>
        <w:t xml:space="preserve">We will be doing an online survey where we will get information from people directly. This survey will be hosted on a site such as Google Forms or Microsoft Forms. We will post the link in groups focused on real estate, financial technology, and investing in Saudi Arabia to help boost responses.</w:t>
      </w:r>
    </w:p>
    <w:p w:rsidR="00000000" w:rsidDel="00000000" w:rsidP="00000000" w:rsidRDefault="00000000" w:rsidRPr="00000000" w14:paraId="000000E2">
      <w:pPr>
        <w:pStyle w:val="Heading2"/>
        <w:keepNext w:val="0"/>
        <w:keepLines w:val="0"/>
        <w:spacing w:line="360" w:lineRule="auto"/>
        <w:jc w:val="both"/>
        <w:rPr>
          <w:rFonts w:ascii="Times New Roman" w:cs="Times New Roman" w:eastAsia="Times New Roman" w:hAnsi="Times New Roman"/>
          <w:color w:val="366091"/>
          <w:sz w:val="24"/>
          <w:szCs w:val="24"/>
        </w:rPr>
      </w:pPr>
      <w:r w:rsidDel="00000000" w:rsidR="00000000" w:rsidRPr="00000000">
        <w:rPr>
          <w:rFonts w:ascii="Times New Roman" w:cs="Times New Roman" w:eastAsia="Times New Roman" w:hAnsi="Times New Roman"/>
          <w:color w:val="366091"/>
          <w:sz w:val="24"/>
          <w:szCs w:val="24"/>
          <w:rtl w:val="0"/>
        </w:rPr>
        <w:t xml:space="preserve">10.3 Ethical Protocols </w:t>
      </w:r>
    </w:p>
    <w:p w:rsidR="00000000" w:rsidDel="00000000" w:rsidP="00000000" w:rsidRDefault="00000000" w:rsidRPr="00000000" w14:paraId="000000E3">
      <w:pPr>
        <w:rPr/>
      </w:pPr>
      <w:r w:rsidDel="00000000" w:rsidR="00000000" w:rsidRPr="00000000">
        <w:rPr>
          <w:rtl w:val="0"/>
        </w:rPr>
        <w:t xml:space="preserve">For the data collection process, it will be rigorously followed the four ethical aspects required by the Institutional Review Board (IRB) of the University:</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When you begin the online survey, the first page is like a cover letter. It informs you what the study is about, who is conducting the research, and that you are voluntarily deciding to participate. You can quit the survey at any moment without any hassle. By continuing to the next portion of the survey, you are agreeing to participate in the study.</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Fonts w:ascii="Times New Roman" w:cs="Times New Roman" w:eastAsia="Times New Roman" w:hAnsi="Times New Roman"/>
          <w:color w:val="366091"/>
          <w:sz w:val="24"/>
          <w:szCs w:val="24"/>
          <w:rtl w:val="0"/>
        </w:rPr>
        <w:t xml:space="preserve">Anonymity and Privacy:</w:t>
      </w:r>
      <w:r w:rsidDel="00000000" w:rsidR="00000000" w:rsidRPr="00000000">
        <w:rPr>
          <w:rtl w:val="0"/>
        </w:rPr>
        <w:t xml:space="preserve"> When you discuss real estate and money, you are generally discussing private thoughts. So, we have made sure our survey is completely anonymous. We don’t require any personal information like your name, email, phone number or home address. You will remain anonymous when you reply.</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We are taking precautions to keep our data safe. This involves putting information in a specific spreadsheet, protected by password and encryption. The raw data is only visible to the researcher in charge of the study and only for the study's purpose.</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The researcher is keen to be clear: they have no affiliations to companies or individuals who would sway their study. They’re not getting compensated by anyone in the Saudi real estate market and they don’t have any personal relationships that could sway their findings. They are just conducting this study because they are interested in the topic and want to make sure their results are fair and unbiased.</w:t>
      </w:r>
    </w:p>
    <w:p w:rsidR="00000000" w:rsidDel="00000000" w:rsidP="00000000" w:rsidRDefault="00000000" w:rsidRPr="00000000" w14:paraId="000000EE">
      <w:pPr>
        <w:pStyle w:val="Heading1"/>
        <w:spacing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color w:val="366091"/>
          <w:sz w:val="28"/>
          <w:szCs w:val="28"/>
          <w:rtl w:val="0"/>
        </w:rPr>
        <w:t xml:space="preserve">11. Population and Sample</w:t>
      </w:r>
      <w:r w:rsidDel="00000000" w:rsidR="00000000" w:rsidRPr="00000000">
        <w:rPr>
          <w:rtl w:val="0"/>
        </w:rPr>
      </w:r>
    </w:p>
    <w:p w:rsidR="00000000" w:rsidDel="00000000" w:rsidP="00000000" w:rsidRDefault="00000000" w:rsidRPr="00000000" w14:paraId="000000EF">
      <w:pPr>
        <w:pStyle w:val="Heading2"/>
        <w:keepNext w:val="0"/>
        <w:keepLines w:val="0"/>
        <w:spacing w:before="0" w:line="360" w:lineRule="auto"/>
        <w:rPr>
          <w:rFonts w:ascii="Times New Roman" w:cs="Times New Roman" w:eastAsia="Times New Roman" w:hAnsi="Times New Roman"/>
          <w:color w:val="366091"/>
          <w:sz w:val="24"/>
          <w:szCs w:val="24"/>
        </w:rPr>
      </w:pPr>
      <w:bookmarkStart w:colFirst="0" w:colLast="0" w:name="_heading=h.affe20169g34" w:id="12"/>
      <w:bookmarkEnd w:id="12"/>
      <w:r w:rsidDel="00000000" w:rsidR="00000000" w:rsidRPr="00000000">
        <w:rPr>
          <w:rFonts w:ascii="Times New Roman" w:cs="Times New Roman" w:eastAsia="Times New Roman" w:hAnsi="Times New Roman"/>
          <w:color w:val="366091"/>
          <w:sz w:val="24"/>
          <w:szCs w:val="24"/>
          <w:rtl w:val="0"/>
        </w:rPr>
        <w:t xml:space="preserve">11.1 Target Population</w:t>
      </w:r>
    </w:p>
    <w:p w:rsidR="00000000" w:rsidDel="00000000" w:rsidP="00000000" w:rsidRDefault="00000000" w:rsidRPr="00000000" w14:paraId="000000F0">
      <w:pPr>
        <w:rPr/>
      </w:pPr>
      <w:bookmarkStart w:colFirst="0" w:colLast="0" w:name="_heading=h.ktzxn5jhc5g7" w:id="13"/>
      <w:bookmarkEnd w:id="13"/>
      <w:r w:rsidDel="00000000" w:rsidR="00000000" w:rsidRPr="00000000">
        <w:rPr>
          <w:rtl w:val="0"/>
        </w:rPr>
        <w:t xml:space="preserve">The persons we are focusing on in this study are the ones who invest in real estate, potential individual investors, and users of financial technology in Saudi Arabia. That is why we are focusing on them, because they are the ones who will decide whether to use tokenized real estate platforms or not. Their trust and willingness to adopt such platforms are critical for their success in the Saudi market.” They are the largest group of people who will use these platforms, and their choices will decide if they are commercially viable.</w:t>
      </w:r>
    </w:p>
    <w:p w:rsidR="00000000" w:rsidDel="00000000" w:rsidP="00000000" w:rsidRDefault="00000000" w:rsidRPr="00000000" w14:paraId="000000F1">
      <w:pPr>
        <w:rPr/>
      </w:pPr>
      <w:r w:rsidDel="00000000" w:rsidR="00000000" w:rsidRPr="00000000">
        <w:rPr>
          <w:rFonts w:ascii="Times New Roman" w:cs="Times New Roman" w:eastAsia="Times New Roman" w:hAnsi="Times New Roman"/>
          <w:color w:val="366091"/>
          <w:sz w:val="24"/>
          <w:szCs w:val="24"/>
          <w:rtl w:val="0"/>
        </w:rPr>
        <w:t xml:space="preserve">11.2 </w:t>
      </w:r>
      <w:r w:rsidDel="00000000" w:rsidR="00000000" w:rsidRPr="00000000">
        <w:rPr>
          <w:rFonts w:ascii="Times New Roman" w:cs="Times New Roman" w:eastAsia="Times New Roman" w:hAnsi="Times New Roman"/>
          <w:b w:val="1"/>
          <w:bCs w:val="1"/>
          <w:color w:val="366091"/>
          <w:sz w:val="24"/>
          <w:szCs w:val="24"/>
          <w:rtl w:val="0"/>
        </w:rPr>
        <w:t xml:space="preserve">Sampling procedure and the sample size</w:t>
      </w:r>
      <w:r w:rsidDel="00000000" w:rsidR="00000000" w:rsidRPr="00000000">
        <w:rPr>
          <w:rtl w:val="0"/>
        </w:rPr>
      </w:r>
    </w:p>
    <w:p w:rsidR="00000000" w:rsidDel="00000000" w:rsidP="00000000" w:rsidRDefault="00000000" w:rsidRPr="00000000" w14:paraId="000000F2">
      <w:pPr>
        <w:rPr/>
      </w:pPr>
      <w:bookmarkStart w:colFirst="0" w:colLast="0" w:name="_heading=h.wyusd54mlxqe" w:id="14"/>
      <w:bookmarkEnd w:id="14"/>
      <w:r w:rsidDel="00000000" w:rsidR="00000000" w:rsidRPr="00000000">
        <w:rPr>
          <w:rtl w:val="0"/>
        </w:rPr>
        <w:t xml:space="preserve">To research the digital real estate investors in Saudi Arabia, we need to attract a good number of people to answer our questions. As this is a specific group we will utilize a methodology of asking folks we can easily access to participate. We need at least 150 people to answer our questionnaire so that we can get credible results. “Getting 100 to 150 people to answer is enough to do the kind of analysis we need, like looking at how different things are related to each other,” said Hair and his team of researchers. This allows us to keep our study simple and yet obtain decent findings within the time available. It is also vital that our study be based on genuine data and done in a way considered valid by other academics. We’re trying to strike a compromise between making our study manageable and making it good enough to provide us relevant insights.” Doing it this manner we can ensure our study is both viable and trustworthy.</w:t>
      </w:r>
    </w:p>
    <w:p w:rsidR="00000000" w:rsidDel="00000000" w:rsidP="00000000" w:rsidRDefault="00000000" w:rsidRPr="00000000" w14:paraId="000000F3">
      <w:pPr>
        <w:pStyle w:val="Heading1"/>
        <w:spacing w:line="360" w:lineRule="auto"/>
        <w:rPr/>
      </w:pPr>
      <w:bookmarkStart w:colFirst="0" w:colLast="0" w:name="_heading=h.3r60c7f6u5t" w:id="15"/>
      <w:bookmarkEnd w:id="15"/>
      <w:r w:rsidDel="00000000" w:rsidR="00000000" w:rsidRPr="00000000">
        <w:rPr>
          <w:rFonts w:ascii="Times New Roman" w:cs="Times New Roman" w:eastAsia="Times New Roman" w:hAnsi="Times New Roman"/>
          <w:color w:val="366091"/>
          <w:sz w:val="28"/>
          <w:szCs w:val="28"/>
          <w:rtl w:val="0"/>
        </w:rPr>
        <w:t xml:space="preserve">12. Tool of Research</w:t>
      </w:r>
      <w:r w:rsidDel="00000000" w:rsidR="00000000" w:rsidRPr="00000000">
        <w:rPr>
          <w:rtl w:val="0"/>
        </w:rPr>
      </w:r>
    </w:p>
    <w:p w:rsidR="00000000" w:rsidDel="00000000" w:rsidP="00000000" w:rsidRDefault="00000000" w:rsidRPr="00000000" w14:paraId="000000F4">
      <w:pPr>
        <w:pStyle w:val="Heading1"/>
        <w:spacing w:line="360" w:lineRule="auto"/>
        <w:rPr>
          <w:rFonts w:ascii="Times New Roman" w:cs="Times New Roman" w:eastAsia="Times New Roman" w:hAnsi="Times New Roman"/>
          <w:color w:val="366091"/>
          <w:sz w:val="24"/>
          <w:szCs w:val="24"/>
        </w:rPr>
      </w:pPr>
      <w:r w:rsidDel="00000000" w:rsidR="00000000" w:rsidRPr="00000000">
        <w:rPr>
          <w:rFonts w:ascii="Times New Roman" w:cs="Times New Roman" w:eastAsia="Times New Roman" w:hAnsi="Times New Roman"/>
          <w:color w:val="366091"/>
          <w:sz w:val="24"/>
          <w:szCs w:val="24"/>
          <w:rtl w:val="0"/>
        </w:rPr>
        <w:t xml:space="preserve">12.1 Designing a Survey</w:t>
      </w:r>
    </w:p>
    <w:p w:rsidR="00000000" w:rsidDel="00000000" w:rsidP="00000000" w:rsidRDefault="00000000" w:rsidRPr="00000000" w14:paraId="000000F5">
      <w:pPr>
        <w:rPr/>
      </w:pPr>
      <w:bookmarkStart w:colFirst="0" w:colLast="0" w:name="_heading=h.gira3lxg2ism" w:id="16"/>
      <w:bookmarkEnd w:id="16"/>
      <w:r w:rsidDel="00000000" w:rsidR="00000000" w:rsidRPr="00000000">
        <w:rPr>
          <w:rtl w:val="0"/>
        </w:rPr>
        <w:t xml:space="preserve">The study instrument employed is a special type of questionnaire that consists of specific multiple choice questions. It was developed from ideas and scales that have already been tested and proved to work in the past, but modified to match the specific situation of the real estate industry in Saudi Arabia. This questionnaire is divided into two main parts:</w:t>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This component of the poll concerns the respondents themselves. It asks for basic information such as whether they are a man or a woman, their age, what sort of education they have, and if they have ever invested in real estate or bitcoin previously.</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t xml:space="preserve">This part of the test examines the main ideas in a framework and asks you to rate how much you agree or disagree with them. You'll use a specific scale of 5 points: you can declare you strongly disagree, disagree, are neutral, agree, or strongly agree.</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pStyle w:val="Heading2"/>
        <w:keepNext w:val="0"/>
        <w:keepLines w:val="0"/>
        <w:spacing w:before="0" w:line="360" w:lineRule="auto"/>
        <w:rPr>
          <w:rFonts w:ascii="Times New Roman" w:cs="Times New Roman" w:eastAsia="Times New Roman" w:hAnsi="Times New Roman"/>
          <w:color w:val="366091"/>
          <w:sz w:val="24"/>
          <w:szCs w:val="24"/>
        </w:rPr>
      </w:pPr>
      <w:r w:rsidDel="00000000" w:rsidR="00000000" w:rsidRPr="00000000">
        <w:rPr>
          <w:rFonts w:ascii="Times New Roman" w:cs="Times New Roman" w:eastAsia="Times New Roman" w:hAnsi="Times New Roman"/>
          <w:color w:val="366091"/>
          <w:sz w:val="24"/>
          <w:szCs w:val="24"/>
          <w:rtl w:val="0"/>
        </w:rPr>
        <w:t xml:space="preserve">12.2 Scale Operationalization</w:t>
      </w:r>
    </w:p>
    <w:p w:rsidR="00000000" w:rsidDel="00000000" w:rsidP="00000000" w:rsidRDefault="00000000" w:rsidRPr="00000000" w14:paraId="000000FD">
      <w:pPr>
        <w:rPr/>
      </w:pPr>
      <w:bookmarkStart w:colFirst="0" w:colLast="0" w:name="_heading=h.f60kf2yuvc1a" w:id="17"/>
      <w:bookmarkEnd w:id="17"/>
      <w:r w:rsidDel="00000000" w:rsidR="00000000" w:rsidRPr="00000000">
        <w:rPr>
          <w:rtl w:val="0"/>
        </w:rPr>
        <w:t xml:space="preserve">The things we want to measure are strongly related to the things we are seeking to find out. And we set it up in a very particular way:</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t xml:space="preserve">1</w:t>
      </w:r>
      <w:r w:rsidDel="00000000" w:rsidR="00000000" w:rsidRPr="00000000">
        <w:rPr>
          <w:rFonts w:ascii="Times New Roman" w:cs="Times New Roman" w:eastAsia="Times New Roman" w:hAnsi="Times New Roman"/>
          <w:b w:val="1"/>
          <w:bCs w:val="1"/>
          <w:color w:val="366091"/>
          <w:sz w:val="24"/>
          <w:szCs w:val="24"/>
          <w:rtl w:val="0"/>
        </w:rPr>
        <w:t xml:space="preserve">.  **Technological Transparency**</w:t>
      </w:r>
      <w:r w:rsidDel="00000000" w:rsidR="00000000" w:rsidRPr="00000000">
        <w:rPr>
          <w:rtl w:val="0"/>
        </w:rPr>
        <w:t xml:space="preserve"> (3 items – Q1 to Q3): Adapted from Konashevych (2020) to capture perspectives on blockchain’s immutability and data accessibility.</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Fonts w:ascii="Times New Roman" w:cs="Times New Roman" w:eastAsia="Times New Roman" w:hAnsi="Times New Roman"/>
          <w:b w:val="1"/>
          <w:bCs w:val="1"/>
          <w:color w:val="366091"/>
          <w:sz w:val="24"/>
          <w:szCs w:val="24"/>
          <w:rtl w:val="0"/>
        </w:rPr>
        <w:t xml:space="preserve">2.  **Regulatory Clarity**</w:t>
      </w:r>
      <w:r w:rsidDel="00000000" w:rsidR="00000000" w:rsidRPr="00000000">
        <w:rPr>
          <w:rtl w:val="0"/>
        </w:rPr>
        <w:t xml:space="preserve"> (3 elements - Q4 to Q6): Adapted from Zhang &amp; Chen (2024) to measure investor trust in the CMA and REGA digital frameworks.</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t xml:space="preserve">Here is what it looks like, broken down. The organizational readiness is crucial, and it has 3 primary components to it. These sections are adapted from the study of Li et al. (2024. They assist us in determining if the folks supplying the platform have the required technical expertise and follow the guidelines.</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Fonts w:ascii="Times New Roman" w:cs="Times New Roman" w:eastAsia="Times New Roman" w:hAnsi="Times New Roman"/>
          <w:b w:val="1"/>
          <w:bCs w:val="1"/>
          <w:color w:val="366091"/>
          <w:sz w:val="24"/>
          <w:szCs w:val="24"/>
          <w:rtl w:val="0"/>
        </w:rPr>
        <w:t xml:space="preserve">3.  **Investor Trust**</w:t>
      </w:r>
      <w:r w:rsidDel="00000000" w:rsidR="00000000" w:rsidRPr="00000000">
        <w:rPr>
          <w:rtl w:val="0"/>
        </w:rPr>
        <w:t xml:space="preserve"> (3 items – Q10 to Q12): Adapted from Puthal et al. ( 2023) to measure the mediated psychological confidence of the investors.</w:t>
      </w:r>
    </w:p>
    <w:p w:rsidR="00000000" w:rsidDel="00000000" w:rsidP="00000000" w:rsidRDefault="00000000" w:rsidRPr="00000000" w14:paraId="00000108">
      <w:pPr>
        <w:rPr/>
      </w:pPr>
      <w:r w:rsidDel="00000000" w:rsidR="00000000" w:rsidRPr="00000000">
        <w:rPr>
          <w:rFonts w:ascii="Times New Roman" w:cs="Times New Roman" w:eastAsia="Times New Roman" w:hAnsi="Times New Roman"/>
          <w:b w:val="1"/>
          <w:bCs w:val="1"/>
          <w:color w:val="366091"/>
          <w:sz w:val="24"/>
          <w:szCs w:val="24"/>
          <w:rtl w:val="0"/>
        </w:rPr>
        <w:t xml:space="preserve">4. ** Adoption Intention**</w:t>
      </w:r>
      <w:r w:rsidDel="00000000" w:rsidR="00000000" w:rsidRPr="00000000">
        <w:rPr>
          <w:rtl w:val="0"/>
        </w:rPr>
        <w:t xml:space="preserve"> (3 items - Q13 to Q15): Adapted from *Davis (1989)* to measure the readiness to invest in tokenized properties.</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A">
      <w:pPr>
        <w:pStyle w:val="Heading2"/>
        <w:keepNext w:val="0"/>
        <w:keepLines w:val="0"/>
        <w:spacing w:before="0" w:line="360" w:lineRule="auto"/>
        <w:rPr>
          <w:rFonts w:ascii="Times New Roman" w:cs="Times New Roman" w:eastAsia="Times New Roman" w:hAnsi="Times New Roman"/>
          <w:color w:val="366091"/>
          <w:sz w:val="24"/>
          <w:szCs w:val="24"/>
        </w:rPr>
      </w:pPr>
      <w:r w:rsidDel="00000000" w:rsidR="00000000" w:rsidRPr="00000000">
        <w:rPr>
          <w:rFonts w:ascii="Times New Roman" w:cs="Times New Roman" w:eastAsia="Times New Roman" w:hAnsi="Times New Roman"/>
          <w:color w:val="366091"/>
          <w:sz w:val="24"/>
          <w:szCs w:val="24"/>
          <w:rtl w:val="0"/>
        </w:rPr>
        <w:t xml:space="preserve">12.3 Validity and Reliability</w:t>
      </w:r>
    </w:p>
    <w:p w:rsidR="00000000" w:rsidDel="00000000" w:rsidP="00000000" w:rsidRDefault="00000000" w:rsidRPr="00000000" w14:paraId="0000010B">
      <w:pPr>
        <w:rPr/>
      </w:pPr>
      <w:r w:rsidDel="00000000" w:rsidR="00000000" w:rsidRPr="00000000">
        <w:rPr>
          <w:rtl w:val="0"/>
        </w:rPr>
        <w:t xml:space="preserve">Before the final distribution, two steps of the assessment will be carried out to ensure the psychometric robustness of the instrument:</w:t>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We will have some specialists evaluate our questionnaire. They will make sure everything is clear, easy to read and that the English to Arabic translation is correct. These professionals are from the business and real estate worlds, so they know what they're talking about. We want to make sure that our questionnaire is good and accurate therefore we’re getting them to review it and offer us their input. This will allow us to ensure that our questionnaire is valid and will give us the information we need.</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First we will test our study on a small group of 30 participants to make sure that our study is reliable. We will use a specific tool called Cronbach’s alpha to determine how well our questions fit together. If the score is 0.70 or above, then we can use the questions to collect more data, meaning our questions are dependable. This is a critical step to ensure that our study will offer us reliable data. The statistical tool we are using to determine the Cronbach's alpha score is called SPSS.</w:t>
      </w:r>
    </w:p>
    <w:p w:rsidR="00000000" w:rsidDel="00000000" w:rsidP="00000000" w:rsidRDefault="00000000" w:rsidRPr="00000000" w14:paraId="00000114">
      <w:pPr>
        <w:pStyle w:val="Heading1"/>
        <w:spacing w:line="360" w:lineRule="auto"/>
        <w:rPr>
          <w:rFonts w:ascii="Times New Roman" w:cs="Times New Roman" w:eastAsia="Times New Roman" w:hAnsi="Times New Roman"/>
          <w:color w:val="366091"/>
          <w:sz w:val="28"/>
          <w:szCs w:val="28"/>
        </w:rPr>
      </w:pPr>
      <w:r w:rsidDel="00000000" w:rsidR="00000000" w:rsidRPr="00000000">
        <w:rPr>
          <w:rFonts w:ascii="Times New Roman" w:cs="Times New Roman" w:eastAsia="Times New Roman" w:hAnsi="Times New Roman"/>
          <w:color w:val="366091"/>
          <w:sz w:val="28"/>
          <w:szCs w:val="28"/>
          <w:rtl w:val="0"/>
        </w:rPr>
        <w:t xml:space="preserve">13. Methods of Statistical Analysis</w:t>
      </w:r>
    </w:p>
    <w:p w:rsidR="00000000" w:rsidDel="00000000" w:rsidP="00000000" w:rsidRDefault="00000000" w:rsidRPr="00000000" w14:paraId="00000115">
      <w:pPr>
        <w:rPr/>
      </w:pPr>
      <w:bookmarkStart w:colFirst="0" w:colLast="0" w:name="_heading=h.dsscgi6ir0pm" w:id="18"/>
      <w:bookmarkEnd w:id="18"/>
      <w:r w:rsidDel="00000000" w:rsidR="00000000" w:rsidRPr="00000000">
        <w:rPr>
          <w:rtl w:val="0"/>
        </w:rPr>
        <w:t xml:space="preserve">Sample adequacy: 3 exogenous predictors into Trust, 10-15 cases per predictor rule-of-thumb, 90-135 observations, target N≥150 meets this requirement.</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t xml:space="preserve">We will use a special tool called SPSS to examine the numbers that we have collected to check our ideas and look at how things are related. If we require it, another program that could be used for building models is called SmartPLS. "What we'll do is, we'll use certain statistical tools step by step to see what's going on.</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t xml:space="preserve">1.  ** Descriptive Statistics:** Frequency distributions, percentages, means and standard deviations will be employed to provide an overview of the demographic characteristics of the sample (Section A) and to assess the general perception of each item.</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2.  Reliability and Validity Analyses: Internal consistency of the 5-point Likert scales will be confirmed using Cronbach’s Alpha (</w:t>
      </w:r>
      <w:r w:rsidDel="00000000" w:rsidR="00000000" w:rsidRPr="00000000">
        <w:rPr>
          <w:rFonts w:ascii="Cambria Math" w:cs="Cambria Math" w:eastAsia="Cambria Math" w:hAnsi="Cambria Math"/>
          <w:rtl w:val="0"/>
        </w:rPr>
        <w:t xml:space="preserve">𝛼</w:t>
      </w:r>
      <w:r w:rsidDel="00000000" w:rsidR="00000000" w:rsidRPr="00000000">
        <w:rPr>
          <w:rtl w:val="0"/>
        </w:rPr>
        <w:t xml:space="preserve">) values, confirmingthat all constructs are above the 0.70 criteria.Pearson Correlation Analysis was used to better understand the strength of the relationships between the independent variables and investor trust. This allows us to see not only how strong these associations are but also the direction.4.  ** Multiple Regression Analysis:** To test the direct impacts of *Technological Transparency*, *Regulatory Clarity* and *Organizational Readiness* on *Investor Trust* (H₁, H**2**, H**3**).We conduct a simple mediation regression analysis to evaluate the effect of *Investor Trust* on *Adoption Intention*. This is to assist us understand whether *Investor Trust* plays a key role in the process, as postulated in H**4**. We want to determine whether *Investor Trust* is a key factor that affects *Adoption Intention* or not. Such study helps us to affirm or refute its value in the great scheme of things.14.  </w:t>
      </w:r>
    </w:p>
    <w:p w:rsidR="00000000" w:rsidDel="00000000" w:rsidP="00000000" w:rsidRDefault="00000000" w:rsidRPr="00000000" w14:paraId="00000120">
      <w:pPr>
        <w:pStyle w:val="Heading1"/>
        <w:spacing w:line="360" w:lineRule="auto"/>
        <w:rPr>
          <w:rFonts w:ascii="Times New Roman" w:cs="Times New Roman" w:eastAsia="Times New Roman" w:hAnsi="Times New Roman"/>
          <w:color w:val="366091"/>
          <w:sz w:val="28"/>
          <w:szCs w:val="28"/>
        </w:rPr>
      </w:pPr>
      <w:r w:rsidDel="00000000" w:rsidR="00000000" w:rsidRPr="00000000">
        <w:rPr>
          <w:rFonts w:ascii="Times New Roman" w:cs="Times New Roman" w:eastAsia="Times New Roman" w:hAnsi="Times New Roman"/>
          <w:color w:val="366091"/>
          <w:sz w:val="28"/>
          <w:szCs w:val="28"/>
          <w:rtl w:val="0"/>
        </w:rPr>
        <w:t xml:space="preserve">14. Study Limitations</w:t>
      </w:r>
    </w:p>
    <w:p w:rsidR="00000000" w:rsidDel="00000000" w:rsidP="00000000" w:rsidRDefault="00000000" w:rsidRPr="00000000" w14:paraId="00000121">
      <w:pPr>
        <w:rPr/>
      </w:pPr>
      <w:bookmarkStart w:colFirst="0" w:colLast="0" w:name="_heading=h.c5lvgb9eh81l" w:id="19"/>
      <w:bookmarkEnd w:id="19"/>
      <w:r w:rsidDel="00000000" w:rsidR="00000000" w:rsidRPr="00000000">
        <w:rPr>
          <w:rtl w:val="0"/>
        </w:rPr>
        <w:t xml:space="preserve">This investigation is limited by three particular boundaries in line with the academic research proposal requirements:</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t xml:space="preserve">This research is interested in the individuals who buy real estate by themselves such individual investors and the ones who use financial technologies in Saudi Arabia. It excludes large corporations with real estate assets, excludes non-investors.1.  **Where:** We’re looking at Saudi Arabia. This sector is essential because we are looking at things like Vision 2030, particular testing areas that have been set up by the CMA, which are unique to the social and economic context in Saudi Arabia. So what we learn may not be the same as other countries in the region, or on the rest of the Earth.We are talking about a very particular time period for data collection and statistical models construction – academic year 2026. This is when we’ll be undertaking research. The outcomes will be indicative of what the investors think and how ready they will be to employ the existing technology and legal procedures at that time. This will offer us a snapshot of where we stand in 2026.15.  Diagram of Conceptual Framework</w:t>
      </w:r>
    </w:p>
    <w:p w:rsidR="00000000" w:rsidDel="00000000" w:rsidP="00000000" w:rsidRDefault="00000000" w:rsidRPr="00000000" w14:paraId="00000124">
      <w:pPr>
        <w:pStyle w:val="Heading1"/>
        <w:spacing w:line="360" w:lineRule="auto"/>
        <w:rPr>
          <w:rFonts w:ascii="Times New Roman" w:cs="Times New Roman" w:eastAsia="Times New Roman" w:hAnsi="Times New Roman"/>
          <w:color w:val="366091"/>
          <w:sz w:val="28"/>
          <w:szCs w:val="28"/>
        </w:rPr>
      </w:pPr>
      <w:r w:rsidDel="00000000" w:rsidR="00000000" w:rsidRPr="00000000">
        <w:rPr>
          <w:rFonts w:ascii="Times New Roman" w:cs="Times New Roman" w:eastAsia="Times New Roman" w:hAnsi="Times New Roman"/>
          <w:color w:val="366091"/>
          <w:sz w:val="28"/>
          <w:szCs w:val="28"/>
          <w:rtl w:val="0"/>
        </w:rPr>
        <w:t xml:space="preserve">15. Conceptual Framework Diagram</w:t>
      </w:r>
    </w:p>
    <w:p w:rsidR="00000000" w:rsidDel="00000000" w:rsidP="00000000" w:rsidRDefault="00000000" w:rsidRPr="00000000" w14:paraId="00000125">
      <w:pPr>
        <w:spacing w:after="20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6196965" cy="3162300"/>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196965" cy="3162300"/>
                    </a:xfrm>
                    <a:prstGeom prst="rect"/>
                    <a:ln/>
                  </pic:spPr>
                </pic:pic>
              </a:graphicData>
            </a:graphic>
          </wp:inline>
        </w:drawing>
      </w:r>
      <w:r w:rsidDel="00000000" w:rsidR="00000000" w:rsidRPr="00000000">
        <w:rPr>
          <w:rtl w:val="0"/>
        </w:rPr>
      </w:r>
    </w:p>
    <w:p w:rsidR="00000000" w:rsidDel="00000000" w:rsidP="00000000" w:rsidRDefault="00000000" w:rsidRPr="00000000" w14:paraId="00000126">
      <w:pPr>
        <w:pStyle w:val="Heading1"/>
        <w:spacing w:line="360" w:lineRule="auto"/>
        <w:rPr>
          <w:rFonts w:ascii="Times New Roman" w:cs="Times New Roman" w:eastAsia="Times New Roman" w:hAnsi="Times New Roman"/>
          <w:color w:val="366091"/>
          <w:sz w:val="28"/>
          <w:szCs w:val="28"/>
        </w:rPr>
      </w:pPr>
      <w:r w:rsidDel="00000000" w:rsidR="00000000" w:rsidRPr="00000000">
        <w:rPr>
          <w:rFonts w:ascii="Times New Roman" w:cs="Times New Roman" w:eastAsia="Times New Roman" w:hAnsi="Times New Roman"/>
          <w:color w:val="366091"/>
          <w:sz w:val="28"/>
          <w:szCs w:val="28"/>
          <w:rtl w:val="0"/>
        </w:rPr>
        <w:t xml:space="preserve">16. Survey Questionnaire </w:t>
      </w:r>
    </w:p>
    <w:p w:rsidR="00000000" w:rsidDel="00000000" w:rsidP="00000000" w:rsidRDefault="00000000" w:rsidRPr="00000000" w14:paraId="00000127">
      <w:pPr>
        <w:pStyle w:val="Heading2"/>
        <w:spacing w:after="240" w:before="240" w:line="360" w:lineRule="auto"/>
        <w:rPr/>
      </w:pPr>
      <w:bookmarkStart w:colFirst="0" w:colLast="0" w:name="_heading=h.72wcdj49p6na" w:id="20"/>
      <w:bookmarkEnd w:id="20"/>
      <w:r w:rsidDel="00000000" w:rsidR="00000000" w:rsidRPr="00000000">
        <w:rPr>
          <w:rFonts w:ascii="Times New Roman" w:cs="Times New Roman" w:eastAsia="Times New Roman" w:hAnsi="Times New Roman"/>
          <w:color w:val="366091"/>
          <w:sz w:val="24"/>
          <w:szCs w:val="24"/>
          <w:rtl w:val="0"/>
        </w:rPr>
        <w:t xml:space="preserve">16.1: Population Data</w:t>
      </w:r>
      <w:r w:rsidDel="00000000" w:rsidR="00000000" w:rsidRPr="00000000">
        <w:rPr>
          <w:rtl w:val="0"/>
        </w:rPr>
      </w:r>
    </w:p>
    <w:p w:rsidR="00000000" w:rsidDel="00000000" w:rsidP="00000000" w:rsidRDefault="00000000" w:rsidRPr="00000000" w14:paraId="00000128">
      <w:pPr>
        <w:rPr/>
      </w:pPr>
      <w:bookmarkStart w:colFirst="0" w:colLast="0" w:name="_heading=h.nif9zl86gjt" w:id="21"/>
      <w:bookmarkEnd w:id="21"/>
      <w:r w:rsidDel="00000000" w:rsidR="00000000" w:rsidRPr="00000000">
        <w:rPr>
          <w:rtl w:val="0"/>
        </w:rPr>
        <w:t xml:space="preserve">D1–D8: Gender; Age; Education Level; Employment Status; Annual Income (SAR); Investment Experience; Prior Real Estate Investment; Knowledge of Blockchain Technology.</w:t>
      </w:r>
    </w:p>
    <w:p w:rsidR="00000000" w:rsidDel="00000000" w:rsidP="00000000" w:rsidRDefault="00000000" w:rsidRPr="00000000" w14:paraId="00000129">
      <w:pPr>
        <w:pStyle w:val="Heading2"/>
        <w:spacing w:after="240" w:before="240" w:line="360" w:lineRule="auto"/>
        <w:rPr>
          <w:rFonts w:ascii="Times New Roman" w:cs="Times New Roman" w:eastAsia="Times New Roman" w:hAnsi="Times New Roman"/>
          <w:color w:val="366091"/>
          <w:sz w:val="24"/>
          <w:szCs w:val="24"/>
        </w:rPr>
      </w:pPr>
      <w:r w:rsidDel="00000000" w:rsidR="00000000" w:rsidRPr="00000000">
        <w:rPr>
          <w:rFonts w:ascii="Times New Roman" w:cs="Times New Roman" w:eastAsia="Times New Roman" w:hAnsi="Times New Roman"/>
          <w:color w:val="366091"/>
          <w:sz w:val="24"/>
          <w:szCs w:val="24"/>
          <w:rtl w:val="0"/>
        </w:rPr>
        <w:t xml:space="preserve">16.2: Questionnaire of the Study</w:t>
      </w:r>
    </w:p>
    <w:p w:rsidR="00000000" w:rsidDel="00000000" w:rsidP="00000000" w:rsidRDefault="00000000" w:rsidRPr="00000000" w14:paraId="0000012A">
      <w:pPr>
        <w:rPr/>
      </w:pPr>
      <w:r w:rsidDel="00000000" w:rsidR="00000000" w:rsidRPr="00000000">
        <w:rPr>
          <w:rtl w:val="0"/>
        </w:rPr>
        <w:t xml:space="preserve">Q.1 Technological Transparency: Platform transparently displays ownership records.The software ties each item to a transaction on the blockchain that I can check.Q2.  Transparency of technology The transactions of the blockchain may be easily verified.Q3.  Transparency of technology: The investment processes are open.Buying and selling real estate with tokens is simple to understand.Add: CMA/REGA guidelines for token issuance and secondary trading are understandable for non-institutional investors.Q5.  Regulatory Certainty: Laws protecting investors are adequate.Q6.  Regulatory Clarity: Clear definition of legal ownership rights.Q7.  Organizational readiness Real estate investment firms proposing for tokenized investments have sufficient digital skills.Add: The platform releases third-party security/compliance audit results.Q8.Organizational readiness: Companies that provide tokenized real estate investments are knowledgeable enough to understand blockchain technology.Q9.  Organizational Readiness: Companies offering tokenized real estate investments can cope with tokenized platforms efficiently.Q10.  Investor Trust: I have faith in property platforms on the blockchain.I would rely on this platform to handle and keep track of property rights effectively.Q11.  Tokenized platforms are safe. Investor Trust</w:t>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spacing w:after="200" w:line="360" w:lineRule="auto"/>
        <w:jc w:val="both"/>
        <w:rPr>
          <w:rFonts w:ascii="Times New Roman" w:cs="Times New Roman" w:eastAsia="Times New Roman" w:hAnsi="Times New Roman"/>
          <w:sz w:val="24"/>
          <w:szCs w:val="24"/>
        </w:rPr>
      </w:pPr>
      <w:r w:rsidDel="00000000" w:rsidR="00000000" w:rsidRPr="00000000">
        <w:rPr>
          <w:rtl w:val="0"/>
        </w:rPr>
        <w:t xml:space="preserve">I am confident in online real estate platforms with my money and happy to invest in them.I am thinking of investing my money in real estate, but not in the usual sense -- I want to invest in tokenized homes.I'm going to get into tokenized real estate shortly, possibly within the next year if the right opportunities come around.I would definitely recommend tokenized property investment to others.At some point I am thinking of looking into platforms that allow you to buy and own sections of properties using tokens.17.  </w:t>
      </w:r>
      <w:r w:rsidDel="00000000" w:rsidR="00000000" w:rsidRPr="00000000">
        <w:rPr>
          <w:rtl w:val="0"/>
        </w:rPr>
      </w:r>
    </w:p>
    <w:p w:rsidR="00000000" w:rsidDel="00000000" w:rsidP="00000000" w:rsidRDefault="00000000" w:rsidRPr="00000000" w14:paraId="0000012F">
      <w:pPr>
        <w:pStyle w:val="Heading1"/>
        <w:spacing w:line="360" w:lineRule="auto"/>
        <w:rPr>
          <w:rFonts w:ascii="Times New Roman" w:cs="Times New Roman" w:eastAsia="Times New Roman" w:hAnsi="Times New Roman"/>
          <w:color w:val="366091"/>
          <w:sz w:val="28"/>
          <w:szCs w:val="28"/>
        </w:rPr>
      </w:pPr>
      <w:r w:rsidDel="00000000" w:rsidR="00000000" w:rsidRPr="00000000">
        <w:rPr>
          <w:rFonts w:ascii="Times New Roman" w:cs="Times New Roman" w:eastAsia="Times New Roman" w:hAnsi="Times New Roman"/>
          <w:color w:val="366091"/>
          <w:sz w:val="28"/>
          <w:szCs w:val="28"/>
          <w:rtl w:val="0"/>
        </w:rPr>
        <w:t xml:space="preserve">17. References</w:t>
      </w:r>
    </w:p>
    <w:p w:rsidR="00000000" w:rsidDel="00000000" w:rsidP="00000000" w:rsidRDefault="00000000" w:rsidRPr="00000000" w14:paraId="00000130">
      <w:pPr>
        <w:rPr/>
      </w:pPr>
      <w:r w:rsidDel="00000000" w:rsidR="00000000" w:rsidRPr="00000000">
        <w:rPr>
          <w:rtl w:val="0"/>
        </w:rPr>
        <w:t xml:space="preserve">Barney, J.  (1991).  Resources of the firm and sustainable competitive advantage. Journal of Management, 17(1), 99-120.Baum A. (2022).  Tokenisation of property: The next frontier in real estate investment. * Saïd Business School, University of Oxford* .Casino, F., Dasaklis, T. K. &amp; Patsakis, C. (2019).  A thorough literature analysis of blockchain-based applications: Classification, current status and open issues *Telematics and Informatics*, *36*, 55–81.Catalini, C., &amp; Gans, J. (2020).  Some basic economics of the blockchain. Communications of the ACM, 63(7), 80-90.Dai, J., Vasarhelyi, M. A. . (2017).  Towards Blockchain Based Accounting and Assurance *Journal of Information Systems*, *31*(3), 5–21.Davis, F. D.  (1989).  Toward a unified view of user acceptability of information technology. MIS Quarterly, 13(3), 319–340.In their 2019 article, Hair, Risher, Sarstedt, and Ringle explore whether to utilize partial least squares structural equation modeling (PLS-SEM) and how to publish the results. It's not a small publication, it's a rather well-known one – the European Business Review. They mention it there. The piece is from volume 31, issue 1, and it spans pages 2 to 24.Iansiti and Lakhani published an article “The Truth About Blockchain” in the Harvard Business Review. It was published in 2017 and is available in volume 95, issue 1, pages 118-127.In 2020, Oleksandr Konashevych published a paper on blockchain use in real estate and property rights. He looked at the problematic points and the good points of this proposal. Journal of Property, Planning and Environmental Law, 12(2), pp. 109-127.Kshetri, N. (2014). (2018).  Blockchain’s function in improving cyber security and privacy protection. Telecommunications Policy, *41*(10), 1027–1038.X. Li, Y. Zhang, and H. Chen. (2024).Blockchain adoption and organizational readiness of service ecosystems. International Journal of Information Management, 74, 102–115.Puthal, D., Malik, A., &amp; Mohanty, S. P. . Psychometric confirmation of trust scale in decentralized digital platforms * IEEE Transactions on Engineering Management* 70(4), pp. 1310–1322.A 2022 research by PwC titled “Global Crypto Regulation Report” was released. This study has been prepared by PricewaterhouseCoopers, a firm of international repute.Tapscott &amp; Tapscott, 2016). (2018).  Blockchain revolution: How the technology behind bitcoin and other cryptocurrencies is altering the world (Updated edition) *Penguin Books*.Tornatzky, L. G., &amp; Fleischer, M. . (1990).  Technological innovation procedures. * Lexington Books. .Treleaven, P., Brown, R. G., &amp; Yang, D. . (2017).  Blockchain for finance. *Computer*, *50* (9), 14–17.Kevin Werbach is the author of The Blockchain and the New Architecture of Trust (MIT Press, 2018).World Economic Forum.  ( 2023).  Understanding the possibilities of blockchain tech. *World Economic Forum.Yermack, D.  (2017).  Corporate Governance and Blockchains 1.Introduction. Review of Finance, 21(1), pp.7–90.L. Zhang and S. Chen (2024).  Tokenized assets: Regulatory structures and compliance routes in emerging markets *Journal of Financial Regulation and Compliance*, *32*(1), 45–63.</w:t>
      </w:r>
    </w:p>
    <w:p w:rsidR="00000000" w:rsidDel="00000000" w:rsidP="00000000" w:rsidRDefault="00000000" w:rsidRPr="00000000" w14:paraId="00000131">
      <w:pPr>
        <w:spacing w:after="240" w:before="240" w:line="360" w:lineRule="auto"/>
        <w:ind w:righ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Kshetri, N. (2018). Blockchain's roles in strengthening cybersecurity and protecting privacy. </w:t>
      </w:r>
      <w:r w:rsidDel="00000000" w:rsidR="00000000" w:rsidRPr="00000000">
        <w:rPr>
          <w:rFonts w:ascii="Times New Roman" w:cs="Times New Roman" w:eastAsia="Times New Roman" w:hAnsi="Times New Roman"/>
          <w:i w:val="1"/>
          <w:iCs w:val="1"/>
          <w:sz w:val="24"/>
          <w:szCs w:val="24"/>
          <w:rtl w:val="0"/>
        </w:rPr>
        <w:t xml:space="preserve">Telecommunications Policy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41</w:t>
      </w:r>
      <w:r w:rsidDel="00000000" w:rsidR="00000000" w:rsidRPr="00000000">
        <w:rPr>
          <w:rFonts w:ascii="Times New Roman" w:cs="Times New Roman" w:eastAsia="Times New Roman" w:hAnsi="Times New Roman"/>
          <w:sz w:val="24"/>
          <w:szCs w:val="24"/>
          <w:rtl w:val="0"/>
        </w:rPr>
        <w:t xml:space="preserve">(10), 1027–1038.</w:t>
      </w:r>
    </w:p>
    <w:p w:rsidR="00000000" w:rsidDel="00000000" w:rsidP="00000000" w:rsidRDefault="00000000" w:rsidRPr="00000000" w14:paraId="00000132">
      <w:pPr>
        <w:spacing w:after="240" w:before="240" w:line="360" w:lineRule="auto"/>
        <w:ind w:righ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 X., Zhang, Y., &amp; Chen, H. (2024). Organizational readiness and blockchain adoption in service ecosystems. </w:t>
      </w:r>
      <w:r w:rsidDel="00000000" w:rsidR="00000000" w:rsidRPr="00000000">
        <w:rPr>
          <w:rFonts w:ascii="Times New Roman" w:cs="Times New Roman" w:eastAsia="Times New Roman" w:hAnsi="Times New Roman"/>
          <w:i w:val="1"/>
          <w:iCs w:val="1"/>
          <w:sz w:val="24"/>
          <w:szCs w:val="24"/>
          <w:rtl w:val="0"/>
        </w:rPr>
        <w:t xml:space="preserve">International Journal of Information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74</w:t>
      </w:r>
      <w:r w:rsidDel="00000000" w:rsidR="00000000" w:rsidRPr="00000000">
        <w:rPr>
          <w:rFonts w:ascii="Times New Roman" w:cs="Times New Roman" w:eastAsia="Times New Roman" w:hAnsi="Times New Roman"/>
          <w:sz w:val="24"/>
          <w:szCs w:val="24"/>
          <w:rtl w:val="0"/>
        </w:rPr>
        <w:t xml:space="preserve">, 102–115.</w:t>
      </w:r>
    </w:p>
    <w:p w:rsidR="00000000" w:rsidDel="00000000" w:rsidP="00000000" w:rsidRDefault="00000000" w:rsidRPr="00000000" w14:paraId="00000133">
      <w:pPr>
        <w:spacing w:after="240" w:before="240" w:line="360" w:lineRule="auto"/>
        <w:ind w:righ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Puthal, D., Malik, A., &amp; Mohanty, S. P. (2023). Building trust in decentralized digital platforms: A psychometric validation scale. </w:t>
      </w:r>
      <w:r w:rsidDel="00000000" w:rsidR="00000000" w:rsidRPr="00000000">
        <w:rPr>
          <w:rFonts w:ascii="Times New Roman" w:cs="Times New Roman" w:eastAsia="Times New Roman" w:hAnsi="Times New Roman"/>
          <w:i w:val="1"/>
          <w:iCs w:val="1"/>
          <w:sz w:val="24"/>
          <w:szCs w:val="24"/>
          <w:rtl w:val="0"/>
        </w:rPr>
        <w:t xml:space="preserve">IEEE Transactions on Engineering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70</w:t>
      </w:r>
      <w:r w:rsidDel="00000000" w:rsidR="00000000" w:rsidRPr="00000000">
        <w:rPr>
          <w:rFonts w:ascii="Times New Roman" w:cs="Times New Roman" w:eastAsia="Times New Roman" w:hAnsi="Times New Roman"/>
          <w:sz w:val="24"/>
          <w:szCs w:val="24"/>
          <w:rtl w:val="0"/>
        </w:rPr>
        <w:t xml:space="preserve">(4), 1310–1322.</w:t>
      </w:r>
    </w:p>
    <w:p w:rsidR="00000000" w:rsidDel="00000000" w:rsidP="00000000" w:rsidRDefault="00000000" w:rsidRPr="00000000" w14:paraId="00000134">
      <w:pPr>
        <w:spacing w:after="240" w:before="240" w:line="360" w:lineRule="auto"/>
        <w:ind w:righ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PwC. (2022). Global crypto regulation report 2022. </w:t>
      </w:r>
      <w:r w:rsidDel="00000000" w:rsidR="00000000" w:rsidRPr="00000000">
        <w:rPr>
          <w:rFonts w:ascii="Times New Roman" w:cs="Times New Roman" w:eastAsia="Times New Roman" w:hAnsi="Times New Roman"/>
          <w:i w:val="1"/>
          <w:iCs w:val="1"/>
          <w:sz w:val="24"/>
          <w:szCs w:val="24"/>
          <w:rtl w:val="0"/>
        </w:rPr>
        <w:t xml:space="preserve">PricewaterhouseCoopers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35">
      <w:pPr>
        <w:spacing w:after="240" w:before="240" w:line="360" w:lineRule="auto"/>
        <w:ind w:righ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Tapscott, D., &amp; Tapscott, A. (2018). Blockchain revolution: How the technology behind Bitcoin and other cryptocurrencies is changing the world (Updated ed.). </w:t>
      </w:r>
      <w:r w:rsidDel="00000000" w:rsidR="00000000" w:rsidRPr="00000000">
        <w:rPr>
          <w:rFonts w:ascii="Times New Roman" w:cs="Times New Roman" w:eastAsia="Times New Roman" w:hAnsi="Times New Roman"/>
          <w:i w:val="1"/>
          <w:iCs w:val="1"/>
          <w:sz w:val="24"/>
          <w:szCs w:val="24"/>
          <w:rtl w:val="0"/>
        </w:rPr>
        <w:t xml:space="preserve">Penguin Books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36">
      <w:pPr>
        <w:spacing w:after="240" w:before="240" w:line="360" w:lineRule="auto"/>
        <w:ind w:righ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Tornatzky, L. G., &amp; Fleischer, M. (1990). The processes of technological innovation. </w:t>
      </w:r>
      <w:r w:rsidDel="00000000" w:rsidR="00000000" w:rsidRPr="00000000">
        <w:rPr>
          <w:rFonts w:ascii="Times New Roman" w:cs="Times New Roman" w:eastAsia="Times New Roman" w:hAnsi="Times New Roman"/>
          <w:i w:val="1"/>
          <w:iCs w:val="1"/>
          <w:sz w:val="24"/>
          <w:szCs w:val="24"/>
          <w:rtl w:val="0"/>
        </w:rPr>
        <w:t xml:space="preserve">Lexington Books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37">
      <w:pPr>
        <w:spacing w:after="240" w:before="240" w:line="360" w:lineRule="auto"/>
        <w:ind w:righ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Treleaven, P., Brown, R. G., &amp; Yang, D. (2017). Blockchain technology in finance. </w:t>
      </w:r>
      <w:r w:rsidDel="00000000" w:rsidR="00000000" w:rsidRPr="00000000">
        <w:rPr>
          <w:rFonts w:ascii="Times New Roman" w:cs="Times New Roman" w:eastAsia="Times New Roman" w:hAnsi="Times New Roman"/>
          <w:i w:val="1"/>
          <w:iCs w:val="1"/>
          <w:sz w:val="24"/>
          <w:szCs w:val="24"/>
          <w:rtl w:val="0"/>
        </w:rPr>
        <w:t xml:space="preserve">Computer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50</w:t>
      </w:r>
      <w:r w:rsidDel="00000000" w:rsidR="00000000" w:rsidRPr="00000000">
        <w:rPr>
          <w:rFonts w:ascii="Times New Roman" w:cs="Times New Roman" w:eastAsia="Times New Roman" w:hAnsi="Times New Roman"/>
          <w:sz w:val="24"/>
          <w:szCs w:val="24"/>
          <w:rtl w:val="0"/>
        </w:rPr>
        <w:t xml:space="preserve">(9), 14–17.</w:t>
      </w:r>
    </w:p>
    <w:p w:rsidR="00000000" w:rsidDel="00000000" w:rsidP="00000000" w:rsidRDefault="00000000" w:rsidRPr="00000000" w14:paraId="00000138">
      <w:pPr>
        <w:spacing w:after="240" w:before="240" w:line="360" w:lineRule="auto"/>
        <w:ind w:righ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Werbach, K. (2018). The blockchain and the new architecture of trust. </w:t>
      </w:r>
      <w:r w:rsidDel="00000000" w:rsidR="00000000" w:rsidRPr="00000000">
        <w:rPr>
          <w:rFonts w:ascii="Times New Roman" w:cs="Times New Roman" w:eastAsia="Times New Roman" w:hAnsi="Times New Roman"/>
          <w:i w:val="1"/>
          <w:iCs w:val="1"/>
          <w:sz w:val="24"/>
          <w:szCs w:val="24"/>
          <w:rtl w:val="0"/>
        </w:rPr>
        <w:t xml:space="preserve">MIT Press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39">
      <w:pPr>
        <w:spacing w:after="240" w:before="240" w:line="360" w:lineRule="auto"/>
        <w:ind w:righ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World Economic Forum. (2023). Realizing the potential of blockchain technology. </w:t>
      </w:r>
      <w:r w:rsidDel="00000000" w:rsidR="00000000" w:rsidRPr="00000000">
        <w:rPr>
          <w:rFonts w:ascii="Times New Roman" w:cs="Times New Roman" w:eastAsia="Times New Roman" w:hAnsi="Times New Roman"/>
          <w:i w:val="1"/>
          <w:iCs w:val="1"/>
          <w:sz w:val="24"/>
          <w:szCs w:val="24"/>
          <w:rtl w:val="0"/>
        </w:rPr>
        <w:t xml:space="preserve">World Economic Forum</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3A">
      <w:pPr>
        <w:spacing w:after="240" w:before="240" w:line="360" w:lineRule="auto"/>
        <w:ind w:righ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Yermack, D. (2017). Corporate governance and blockchains. </w:t>
      </w:r>
      <w:r w:rsidDel="00000000" w:rsidR="00000000" w:rsidRPr="00000000">
        <w:rPr>
          <w:rFonts w:ascii="Times New Roman" w:cs="Times New Roman" w:eastAsia="Times New Roman" w:hAnsi="Times New Roman"/>
          <w:i w:val="1"/>
          <w:iCs w:val="1"/>
          <w:sz w:val="24"/>
          <w:szCs w:val="24"/>
          <w:rtl w:val="0"/>
        </w:rPr>
        <w:t xml:space="preserve">Review of Finance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21</w:t>
      </w:r>
      <w:r w:rsidDel="00000000" w:rsidR="00000000" w:rsidRPr="00000000">
        <w:rPr>
          <w:rFonts w:ascii="Times New Roman" w:cs="Times New Roman" w:eastAsia="Times New Roman" w:hAnsi="Times New Roman"/>
          <w:sz w:val="24"/>
          <w:szCs w:val="24"/>
          <w:rtl w:val="0"/>
        </w:rPr>
        <w:t xml:space="preserve">(1), 7–90.</w:t>
      </w:r>
    </w:p>
    <w:p w:rsidR="00000000" w:rsidDel="00000000" w:rsidP="00000000" w:rsidRDefault="00000000" w:rsidRPr="00000000" w14:paraId="0000013B">
      <w:pPr>
        <w:spacing w:after="240" w:before="240" w:line="360" w:lineRule="auto"/>
        <w:ind w:right="720"/>
        <w:rPr>
          <w:rFonts w:ascii="Sakkal Majalla" w:cs="Sakkal Majalla" w:eastAsia="Sakkal Majalla" w:hAnsi="Sakkal Majalla"/>
          <w:sz w:val="23"/>
          <w:szCs w:val="23"/>
        </w:rPr>
      </w:pPr>
      <w:r w:rsidDel="00000000" w:rsidR="00000000" w:rsidRPr="00000000">
        <w:rPr>
          <w:rFonts w:ascii="Times New Roman" w:cs="Times New Roman" w:eastAsia="Times New Roman" w:hAnsi="Times New Roman"/>
          <w:sz w:val="24"/>
          <w:szCs w:val="24"/>
          <w:rtl w:val="0"/>
        </w:rPr>
        <w:t xml:space="preserve">Zhang, L., &amp; Chen, S. (2024). Regulatory frameworks and compliance paths for tokenized assets in emerging economies. </w:t>
      </w:r>
      <w:r w:rsidDel="00000000" w:rsidR="00000000" w:rsidRPr="00000000">
        <w:rPr>
          <w:rFonts w:ascii="Times New Roman" w:cs="Times New Roman" w:eastAsia="Times New Roman" w:hAnsi="Times New Roman"/>
          <w:i w:val="1"/>
          <w:iCs w:val="1"/>
          <w:sz w:val="24"/>
          <w:szCs w:val="24"/>
          <w:rtl w:val="0"/>
        </w:rPr>
        <w:t xml:space="preserve">Journal of Financial Regulation and Compliance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32</w:t>
      </w:r>
      <w:r w:rsidDel="00000000" w:rsidR="00000000" w:rsidRPr="00000000">
        <w:rPr>
          <w:rFonts w:ascii="Times New Roman" w:cs="Times New Roman" w:eastAsia="Times New Roman" w:hAnsi="Times New Roman"/>
          <w:sz w:val="24"/>
          <w:szCs w:val="24"/>
          <w:rtl w:val="0"/>
        </w:rPr>
        <w:t xml:space="preserve">(1), 45–63.</w:t>
      </w:r>
      <w:r w:rsidDel="00000000" w:rsidR="00000000" w:rsidRPr="00000000">
        <w:rPr>
          <w:rtl w:val="0"/>
        </w:rPr>
      </w:r>
    </w:p>
    <w:sectPr>
      <w:headerReference r:id="rId8" w:type="default"/>
      <w:headerReference r:id="rId9" w:type="first"/>
      <w:footerReference r:id="rId10" w:type="default"/>
      <w:footerReference r:id="rId11" w:type="first"/>
      <w:pgSz w:h="15840" w:w="12240" w:orient="portrait"/>
      <w:pgMar w:bottom="2250" w:top="2610" w:left="1440" w:right="1041" w:header="1612" w:footer="720"/>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Sakkal Majalla"/>
  <w:font w:name="Courier New"/>
  <w:font w:name="Alexandria Medium">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E">
    <w:pPr>
      <w:spacing w:line="276" w:lineRule="auto"/>
      <w:ind w:right="-421"/>
      <w:rPr>
        <w:rFonts w:ascii="Alexandria Medium" w:cs="Alexandria Medium" w:eastAsia="Alexandria Medium" w:hAnsi="Alexandria Medium"/>
        <w:color w:val="767171"/>
        <w:sz w:val="20"/>
        <w:szCs w:val="20"/>
      </w:rPr>
    </w:pPr>
    <w:hyperlink r:id="rId1">
      <w:r w:rsidDel="00000000" w:rsidR="00000000" w:rsidRPr="00000000">
        <w:rPr>
          <w:rFonts w:ascii="Alexandria Medium" w:cs="Alexandria Medium" w:eastAsia="Alexandria Medium" w:hAnsi="Alexandria Medium"/>
          <w:b w:val="1"/>
          <w:bCs w:val="1"/>
          <w:color w:val="023160"/>
          <w:rtl w:val="0"/>
        </w:rPr>
        <w:t xml:space="preserve">www.midocean.edu.km</w:t>
      </w:r>
    </w:hyperlink>
    <w:r w:rsidDel="00000000" w:rsidR="00000000" w:rsidRPr="00000000">
      <w:rPr>
        <w:rFonts w:ascii="Alexandria Medium" w:cs="Alexandria Medium" w:eastAsia="Alexandria Medium" w:hAnsi="Alexandria Medium"/>
        <w:b w:val="1"/>
        <w:bCs w:val="1"/>
        <w:color w:val="767171"/>
        <w:rtl w:val="0"/>
      </w:rPr>
      <w:br w:type="textWrapping"/>
    </w:r>
    <w:r w:rsidDel="00000000" w:rsidR="00000000" w:rsidRPr="00000000">
      <w:rPr>
        <w:rFonts w:ascii="Alexandria Medium" w:cs="Alexandria Medium" w:eastAsia="Alexandria Medium" w:hAnsi="Alexandria Medium"/>
        <w:b w:val="1"/>
        <w:bCs w:val="1"/>
        <w:color w:val="767171"/>
        <w:sz w:val="16"/>
        <w:szCs w:val="16"/>
        <w:rtl w:val="0"/>
      </w:rPr>
      <w:t xml:space="preserve">Comoros Address: </w:t>
    </w:r>
    <w:r w:rsidDel="00000000" w:rsidR="00000000" w:rsidRPr="00000000">
      <w:rPr>
        <w:rFonts w:ascii="Alexandria Medium" w:cs="Alexandria Medium" w:eastAsia="Alexandria Medium" w:hAnsi="Alexandria Medium"/>
        <w:color w:val="767171"/>
        <w:sz w:val="16"/>
        <w:szCs w:val="16"/>
        <w:rtl w:val="0"/>
      </w:rPr>
      <w:t xml:space="preserve">(Headquarters) Midocean university, 8764+GH9 Matelec street, BP 684 Moroni, RP 98123 Moroni, Comoros</w:t>
    </w:r>
    <w:r w:rsidDel="00000000" w:rsidR="00000000" w:rsidRPr="00000000">
      <w:rPr>
        <w:rFonts w:ascii="Alexandria Medium" w:cs="Alexandria Medium" w:eastAsia="Alexandria Medium" w:hAnsi="Alexandria Medium"/>
        <w:color w:val="767171"/>
        <w:sz w:val="20"/>
        <w:szCs w:val="20"/>
        <w:rtl w:val="0"/>
      </w:rPr>
      <w:br w:type="textWrapping"/>
    </w:r>
  </w:p>
  <w:p w:rsidR="00000000" w:rsidDel="00000000" w:rsidP="00000000" w:rsidRDefault="00000000" w:rsidRPr="00000000" w14:paraId="0000013F">
    <w:pPr>
      <w:spacing w:line="276" w:lineRule="auto"/>
      <w:ind w:right="-421"/>
      <w:jc w:val="right"/>
      <w:rPr>
        <w:rFonts w:ascii="Alexandria Medium" w:cs="Alexandria Medium" w:eastAsia="Alexandria Medium" w:hAnsi="Alexandria Medium"/>
        <w:color w:val="767171"/>
        <w:sz w:val="20"/>
        <w:szCs w:val="20"/>
      </w:rPr>
    </w:pPr>
    <w:r w:rsidDel="00000000" w:rsidR="00000000" w:rsidRPr="00000000">
      <w:rPr>
        <w:rFonts w:ascii="Alexandria Medium" w:cs="Alexandria Medium" w:eastAsia="Alexandria Medium" w:hAnsi="Alexandria Medium"/>
        <w:color w:val="767171"/>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C">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color w:val="000000"/>
      </w:rPr>
      <w:drawing>
        <wp:anchor allowOverlap="1" behindDoc="1" distB="0" distT="0" distL="0" distR="0" hidden="0" layoutInCell="1" locked="0" relativeHeight="0" simplePos="0">
          <wp:simplePos x="0" y="0"/>
          <wp:positionH relativeFrom="margin">
            <wp:posOffset>-859786</wp:posOffset>
          </wp:positionH>
          <wp:positionV relativeFrom="margin">
            <wp:posOffset>-1581146</wp:posOffset>
          </wp:positionV>
          <wp:extent cx="7603509" cy="9923554"/>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603509" cy="9923554"/>
                  </a:xfrm>
                  <a:prstGeom prst="rect"/>
                  <a:ln/>
                </pic:spPr>
              </pic:pic>
            </a:graphicData>
          </a:graphic>
        </wp:anchor>
      </w:drawing>
    </w:r>
    <w:r w:rsidDel="00000000" w:rsidR="00000000" w:rsidRPr="00000000">
      <w:rPr>
        <w:color w:val="000000"/>
      </w:rPr>
      <w:drawing>
        <wp:anchor allowOverlap="1" behindDoc="0" distB="0" distT="0" distL="114300" distR="114300" hidden="0" layoutInCell="1" locked="0" relativeHeight="0" simplePos="0">
          <wp:simplePos x="0" y="0"/>
          <wp:positionH relativeFrom="margin">
            <wp:posOffset>0</wp:posOffset>
          </wp:positionH>
          <wp:positionV relativeFrom="topMargin">
            <wp:posOffset>305435</wp:posOffset>
          </wp:positionV>
          <wp:extent cx="2033270" cy="908685"/>
          <wp:effectExtent b="0" l="0" r="0" t="0"/>
          <wp:wrapTopAndBottom distB="0" distT="0"/>
          <wp:docPr id="1" name="image3.png"/>
          <a:graphic>
            <a:graphicData uri="http://schemas.openxmlformats.org/drawingml/2006/picture">
              <pic:pic>
                <pic:nvPicPr>
                  <pic:cNvPr id="0" name="image3.png"/>
                  <pic:cNvPicPr preferRelativeResize="0"/>
                </pic:nvPicPr>
                <pic:blipFill>
                  <a:blip r:embed="rId2"/>
                  <a:srcRect b="28753" l="5311" r="2653" t="30088"/>
                  <a:stretch>
                    <a:fillRect/>
                  </a:stretch>
                </pic:blipFill>
                <pic:spPr>
                  <a:xfrm>
                    <a:off x="0" y="0"/>
                    <a:ext cx="2033270" cy="908685"/>
                  </a:xfrm>
                  <a:prstGeom prst="rect"/>
                  <a:ln/>
                </pic:spPr>
              </pic:pic>
            </a:graphicData>
          </a:graphic>
        </wp:anchor>
      </w:drawing>
    </w:r>
    <w:r w:rsidDel="00000000" w:rsidR="00000000" w:rsidRPr="00000000">
      <w:rPr>
        <w:color w:val="000000"/>
        <w:rtl w:val="0"/>
      </w:rPr>
      <w:tab/>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lexandriaMedium-regular.ttf"/><Relationship Id="rId2" Type="http://schemas.openxmlformats.org/officeDocument/2006/relationships/font" Target="fonts/AlexandriaMedium-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ambriaMath-regular.ttf"/></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ZEnWHUckepWQDhDn4rmXyYOjDg==">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