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49C50" w14:textId="083BE40B" w:rsidR="00B627EA" w:rsidRPr="005D59A7" w:rsidRDefault="00972BEC" w:rsidP="00B627EA">
      <w:pPr>
        <w:bidi/>
        <w:spacing w:line="240" w:lineRule="auto"/>
        <w:ind w:hanging="283"/>
        <w:jc w:val="both"/>
        <w:rPr>
          <w:rFonts w:ascii="T" w:hAnsi="T" w:cstheme="majorBidi"/>
          <w:b/>
          <w:bCs/>
          <w:color w:val="548DD4" w:themeColor="text2" w:themeTint="99"/>
          <w:sz w:val="40"/>
          <w:szCs w:val="40"/>
          <w:rtl/>
        </w:rPr>
      </w:pPr>
      <w:bookmarkStart w:id="0" w:name="_Hlk225823442"/>
      <w:r w:rsidRPr="002D6703">
        <w:rPr>
          <w:rFonts w:asciiTheme="majorBidi" w:hAnsiTheme="majorBidi" w:cstheme="majorBidi"/>
          <w:b/>
          <w:noProof/>
          <w:sz w:val="20"/>
        </w:rPr>
        <w:drawing>
          <wp:anchor distT="0" distB="0" distL="114300" distR="114300" simplePos="0" relativeHeight="251656704" behindDoc="0" locked="0" layoutInCell="1" allowOverlap="1" wp14:anchorId="54ED0BD0" wp14:editId="1B411BA5">
            <wp:simplePos x="0" y="0"/>
            <wp:positionH relativeFrom="margin">
              <wp:posOffset>1979930</wp:posOffset>
            </wp:positionH>
            <wp:positionV relativeFrom="margin">
              <wp:posOffset>-355600</wp:posOffset>
            </wp:positionV>
            <wp:extent cx="1516380" cy="666750"/>
            <wp:effectExtent l="1905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750"/>
                    </a:xfrm>
                    <a:prstGeom prst="rect">
                      <a:avLst/>
                    </a:prstGeom>
                  </pic:spPr>
                </pic:pic>
              </a:graphicData>
            </a:graphic>
          </wp:anchor>
        </w:drawing>
      </w:r>
    </w:p>
    <w:p w14:paraId="04BD89F3" w14:textId="0CFE0614" w:rsidR="00B627EA" w:rsidRPr="005D59A7" w:rsidRDefault="00B627EA" w:rsidP="00B627EA">
      <w:pPr>
        <w:pStyle w:val="NormalWeb"/>
        <w:bidi/>
        <w:spacing w:before="0" w:beforeAutospacing="0" w:after="0" w:afterAutospacing="0"/>
        <w:ind w:right="-270"/>
        <w:rPr>
          <w:rFonts w:ascii="T" w:hAnsi="T" w:cstheme="majorBidi"/>
          <w:b/>
          <w:bCs/>
          <w:color w:val="0000FF"/>
          <w:sz w:val="32"/>
          <w:szCs w:val="32"/>
        </w:rPr>
      </w:pPr>
    </w:p>
    <w:p w14:paraId="7661DD81" w14:textId="77777777" w:rsidR="00B627EA" w:rsidRPr="005D59A7" w:rsidRDefault="00B627EA" w:rsidP="00B627EA">
      <w:pPr>
        <w:bidi/>
        <w:jc w:val="center"/>
        <w:rPr>
          <w:rFonts w:ascii="T" w:hAnsi="T" w:cs="Simplified Arabic"/>
          <w:b/>
          <w:bCs/>
          <w:sz w:val="24"/>
          <w:szCs w:val="24"/>
        </w:rPr>
      </w:pPr>
      <w:r w:rsidRPr="005D59A7">
        <w:rPr>
          <w:rFonts w:ascii="T" w:hAnsi="T" w:cs="Simplified Arabic"/>
          <w:b/>
          <w:bCs/>
          <w:sz w:val="24"/>
          <w:szCs w:val="24"/>
          <w:rtl/>
        </w:rPr>
        <w:t>مشروع أطروحة لتسجيل درجة الدكتوراه في</w:t>
      </w:r>
      <w:r w:rsidRPr="005D59A7">
        <w:rPr>
          <w:rFonts w:ascii="T" w:hAnsi="T" w:cs="Simplified Arabic"/>
          <w:b/>
          <w:bCs/>
          <w:sz w:val="24"/>
          <w:szCs w:val="24"/>
        </w:rPr>
        <w:t xml:space="preserve"> </w:t>
      </w:r>
      <w:r w:rsidRPr="005D59A7">
        <w:rPr>
          <w:rFonts w:ascii="T" w:hAnsi="T" w:cs="Simplified Arabic"/>
          <w:b/>
          <w:bCs/>
          <w:sz w:val="24"/>
          <w:szCs w:val="24"/>
          <w:rtl/>
        </w:rPr>
        <w:t>الإدارة</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30"/>
        <w:gridCol w:w="270"/>
      </w:tblGrid>
      <w:tr w:rsidR="00B627EA" w:rsidRPr="005D59A7" w14:paraId="2972832D" w14:textId="77777777" w:rsidTr="007E5DDA">
        <w:tc>
          <w:tcPr>
            <w:tcW w:w="8130" w:type="dxa"/>
            <w:tcBorders>
              <w:top w:val="nil"/>
              <w:left w:val="nil"/>
              <w:bottom w:val="nil"/>
              <w:right w:val="nil"/>
            </w:tcBorders>
            <w:vAlign w:val="center"/>
            <w:hideMark/>
          </w:tcPr>
          <w:p w14:paraId="237BA0D7" w14:textId="77777777" w:rsidR="00B627EA" w:rsidRPr="005D59A7" w:rsidRDefault="00B627EA" w:rsidP="007E5DDA">
            <w:pPr>
              <w:spacing w:after="0" w:line="240" w:lineRule="auto"/>
              <w:jc w:val="center"/>
              <w:rPr>
                <w:rFonts w:ascii="T" w:eastAsia="Times New Roman" w:hAnsi="T" w:cstheme="majorBidi"/>
                <w:b/>
                <w:bCs/>
                <w:sz w:val="24"/>
                <w:szCs w:val="24"/>
              </w:rPr>
            </w:pPr>
            <w:r w:rsidRPr="005D59A7">
              <w:rPr>
                <w:rFonts w:ascii="T" w:eastAsia="Times New Roman" w:hAnsi="T" w:cstheme="majorBidi"/>
                <w:b/>
                <w:bCs/>
                <w:color w:val="000000"/>
                <w:sz w:val="24"/>
              </w:rPr>
              <w:t>Submitted to Mid ocean University in partial fulfillment of the requirements for the degree of Doctor of Management</w:t>
            </w:r>
          </w:p>
        </w:tc>
        <w:tc>
          <w:tcPr>
            <w:tcW w:w="270" w:type="dxa"/>
            <w:tcBorders>
              <w:top w:val="nil"/>
              <w:left w:val="nil"/>
              <w:bottom w:val="nil"/>
              <w:right w:val="nil"/>
            </w:tcBorders>
            <w:vAlign w:val="center"/>
            <w:hideMark/>
          </w:tcPr>
          <w:p w14:paraId="58D61F10" w14:textId="77777777" w:rsidR="00B627EA" w:rsidRPr="005D59A7" w:rsidRDefault="00B627EA" w:rsidP="007E5DDA">
            <w:pPr>
              <w:spacing w:after="0" w:line="240" w:lineRule="auto"/>
              <w:rPr>
                <w:rFonts w:ascii="T" w:eastAsia="Times New Roman" w:hAnsi="T" w:cs="Times New Roman"/>
                <w:sz w:val="24"/>
                <w:szCs w:val="24"/>
              </w:rPr>
            </w:pPr>
            <w:r w:rsidRPr="005D59A7">
              <w:rPr>
                <w:rFonts w:ascii="Segoe UI Symbol" w:eastAsia="MS Mincho" w:hAnsi="Segoe UI Symbol" w:cs="Segoe UI Symbol"/>
                <w:color w:val="000000"/>
                <w:sz w:val="24"/>
              </w:rPr>
              <w:t>➢</w:t>
            </w:r>
          </w:p>
        </w:tc>
      </w:tr>
    </w:tbl>
    <w:p w14:paraId="291F3170" w14:textId="77777777" w:rsidR="00B627EA" w:rsidRPr="005D59A7" w:rsidRDefault="00B627EA" w:rsidP="00B627EA">
      <w:pPr>
        <w:bidi/>
        <w:rPr>
          <w:rFonts w:ascii="T" w:hAnsi="T" w:cstheme="majorBidi"/>
          <w:b/>
          <w:bCs/>
          <w:sz w:val="24"/>
          <w:szCs w:val="24"/>
          <w:rtl/>
        </w:rPr>
      </w:pPr>
    </w:p>
    <w:p w14:paraId="2CB8523B" w14:textId="77777777" w:rsidR="00B627EA" w:rsidRPr="005D59A7" w:rsidRDefault="00B627EA" w:rsidP="00B627EA">
      <w:pPr>
        <w:pStyle w:val="NormalWeb"/>
        <w:bidi/>
        <w:spacing w:before="0" w:beforeAutospacing="0" w:after="0" w:afterAutospacing="0"/>
        <w:ind w:right="-270"/>
        <w:jc w:val="both"/>
        <w:rPr>
          <w:rFonts w:ascii="T" w:hAnsi="T" w:cstheme="majorBidi"/>
          <w:b/>
          <w:bCs/>
          <w:color w:val="0000FF"/>
          <w:sz w:val="32"/>
          <w:szCs w:val="32"/>
          <w:rtl/>
          <w:lang w:bidi="ar-JO"/>
        </w:rPr>
      </w:pPr>
    </w:p>
    <w:p w14:paraId="36377248" w14:textId="77777777" w:rsidR="00B627EA" w:rsidRPr="005D59A7" w:rsidRDefault="00B627EA" w:rsidP="00B627EA">
      <w:pPr>
        <w:spacing w:line="360" w:lineRule="auto"/>
        <w:jc w:val="right"/>
        <w:rPr>
          <w:rFonts w:ascii="T" w:hAnsi="T" w:cs="Simplified Arabic"/>
          <w:b/>
          <w:bCs/>
          <w:noProof/>
          <w:sz w:val="28"/>
          <w:szCs w:val="28"/>
          <w:rtl/>
        </w:rPr>
      </w:pPr>
      <w:r w:rsidRPr="005D59A7">
        <w:rPr>
          <w:rFonts w:ascii="T" w:hAnsi="T" w:cs="Simplified Arabic"/>
          <w:b/>
          <w:bCs/>
          <w:noProof/>
          <w:sz w:val="28"/>
          <w:szCs w:val="28"/>
          <w:rtl/>
        </w:rPr>
        <w:t>العنوان باللغة العربية:</w:t>
      </w:r>
    </w:p>
    <w:p w14:paraId="08280DA0" w14:textId="77777777" w:rsidR="00B627EA" w:rsidRPr="005D59A7" w:rsidRDefault="00B627EA" w:rsidP="00B627EA">
      <w:pPr>
        <w:spacing w:line="240" w:lineRule="auto"/>
        <w:jc w:val="center"/>
        <w:rPr>
          <w:rFonts w:ascii="T" w:hAnsi="T" w:cs="Simplified Arabic"/>
          <w:b/>
          <w:bCs/>
          <w:color w:val="1F497D" w:themeColor="text2"/>
          <w:sz w:val="36"/>
          <w:szCs w:val="36"/>
          <w:rtl/>
        </w:rPr>
      </w:pPr>
      <w:r w:rsidRPr="005D59A7">
        <w:rPr>
          <w:rFonts w:ascii="T" w:hAnsi="T" w:cs="Simplified Arabic"/>
          <w:b/>
          <w:bCs/>
          <w:color w:val="1F497D" w:themeColor="text2"/>
          <w:sz w:val="36"/>
          <w:szCs w:val="36"/>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039F61F6" w14:textId="77777777" w:rsidR="00B627EA" w:rsidRPr="005D59A7" w:rsidRDefault="00B627EA" w:rsidP="00B627EA">
      <w:pPr>
        <w:spacing w:line="360" w:lineRule="auto"/>
        <w:ind w:left="534" w:hanging="340"/>
        <w:jc w:val="right"/>
        <w:rPr>
          <w:rFonts w:ascii="T" w:hAnsi="T" w:cs="Simplified Arabic"/>
          <w:b/>
          <w:bCs/>
          <w:noProof/>
          <w:sz w:val="20"/>
          <w:szCs w:val="20"/>
          <w:rtl/>
        </w:rPr>
      </w:pPr>
      <w:r w:rsidRPr="005D59A7">
        <w:rPr>
          <w:rFonts w:ascii="T" w:hAnsi="T" w:cs="Simplified Arabic"/>
          <w:b/>
          <w:bCs/>
          <w:noProof/>
          <w:sz w:val="20"/>
          <w:szCs w:val="28"/>
          <w:rtl/>
        </w:rPr>
        <w:t xml:space="preserve">العنوان </w:t>
      </w:r>
      <w:r w:rsidRPr="005D59A7">
        <w:rPr>
          <w:rFonts w:ascii="T" w:hAnsi="T" w:cs="Simplified Arabic"/>
          <w:b/>
          <w:bCs/>
          <w:noProof/>
          <w:sz w:val="28"/>
          <w:szCs w:val="28"/>
          <w:rtl/>
        </w:rPr>
        <w:t>باللغة الإنجليزية:</w:t>
      </w:r>
    </w:p>
    <w:p w14:paraId="147DBBA3"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28"/>
          <w:szCs w:val="32"/>
        </w:rPr>
      </w:pPr>
      <w:r w:rsidRPr="005D59A7">
        <w:rPr>
          <w:rFonts w:ascii="T" w:eastAsiaTheme="minorHAnsi" w:hAnsi="T" w:cstheme="majorBidi"/>
          <w:b/>
          <w:bCs/>
          <w:color w:val="1F497D" w:themeColor="text2"/>
          <w:sz w:val="36"/>
          <w:szCs w:val="36"/>
        </w:rPr>
        <w:t>ANALYZING THE REALITY OF PUBLIC-PRIVATE PARTNERSHIPS PPP IN THE ENVIRONMENTAL SECTOR AND DEVELOPING A PROPSAL MODEL FOR ENVIRONMENTAL GOVERNANCE AND PERFORMANCE MANAGEMENT IN SAUDI ARABIA (A CASE STUDY OF ENVIRONMENTAL INSPECTION)</w:t>
      </w:r>
    </w:p>
    <w:p w14:paraId="36942891"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1"/>
        <w:gridCol w:w="5593"/>
      </w:tblGrid>
      <w:tr w:rsidR="00B627EA" w:rsidRPr="005D59A7" w14:paraId="72CF4286" w14:textId="77777777" w:rsidTr="007E5DDA">
        <w:trPr>
          <w:jc w:val="center"/>
        </w:trPr>
        <w:tc>
          <w:tcPr>
            <w:tcW w:w="1930" w:type="dxa"/>
          </w:tcPr>
          <w:p w14:paraId="6CE5200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28"/>
                <w:szCs w:val="28"/>
                <w:rtl/>
              </w:rPr>
            </w:pPr>
            <w:r w:rsidRPr="005D59A7">
              <w:rPr>
                <w:rFonts w:ascii="T" w:hAnsi="T" w:cs="Simplified Arabic"/>
                <w:b/>
                <w:bCs/>
                <w:color w:val="000000" w:themeColor="text1"/>
                <w:sz w:val="28"/>
                <w:szCs w:val="28"/>
                <w:rtl/>
              </w:rPr>
              <w:t>اسم الباحث</w:t>
            </w:r>
          </w:p>
          <w:p w14:paraId="2D0ADF8C"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دولة الباحث</w:t>
            </w:r>
          </w:p>
          <w:p w14:paraId="152ED57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28"/>
                <w:szCs w:val="28"/>
                <w:rtl/>
              </w:rPr>
              <w:t xml:space="preserve">اسم الجامعة       </w:t>
            </w:r>
          </w:p>
        </w:tc>
        <w:tc>
          <w:tcPr>
            <w:tcW w:w="270" w:type="dxa"/>
          </w:tcPr>
          <w:p w14:paraId="40BF839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0E27A6B3"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2"/>
                <w:szCs w:val="32"/>
                <w:rtl/>
              </w:rPr>
            </w:pPr>
            <w:r w:rsidRPr="005D59A7">
              <w:rPr>
                <w:rFonts w:ascii="T" w:hAnsi="T" w:cs="Simplified Arabic"/>
                <w:b/>
                <w:bCs/>
                <w:color w:val="1F497D" w:themeColor="text2"/>
                <w:sz w:val="28"/>
                <w:szCs w:val="28"/>
                <w:rtl/>
              </w:rPr>
              <w:t>عادل علي حماص</w:t>
            </w:r>
          </w:p>
          <w:p w14:paraId="2232E40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المملكة العربية السعودية</w:t>
            </w:r>
          </w:p>
          <w:p w14:paraId="15622FC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28"/>
                <w:szCs w:val="28"/>
                <w:rtl/>
              </w:rPr>
            </w:pPr>
            <w:r w:rsidRPr="005D59A7">
              <w:rPr>
                <w:rFonts w:ascii="T" w:hAnsi="T" w:cs="Simplified Arabic"/>
                <w:b/>
                <w:bCs/>
                <w:color w:val="1F497D" w:themeColor="text2"/>
                <w:sz w:val="28"/>
                <w:szCs w:val="28"/>
                <w:rtl/>
              </w:rPr>
              <w:t>جامعة ميد أوشن</w:t>
            </w:r>
          </w:p>
        </w:tc>
      </w:tr>
      <w:tr w:rsidR="00B627EA" w:rsidRPr="005D59A7" w14:paraId="768562B4" w14:textId="77777777" w:rsidTr="007E5DDA">
        <w:trPr>
          <w:jc w:val="center"/>
        </w:trPr>
        <w:tc>
          <w:tcPr>
            <w:tcW w:w="1930" w:type="dxa"/>
          </w:tcPr>
          <w:p w14:paraId="14380418"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28"/>
                <w:szCs w:val="28"/>
                <w:rtl/>
              </w:rPr>
              <w:t>الرقم الجامعي</w:t>
            </w:r>
          </w:p>
        </w:tc>
        <w:tc>
          <w:tcPr>
            <w:tcW w:w="270" w:type="dxa"/>
          </w:tcPr>
          <w:p w14:paraId="4401D87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w:t>
            </w:r>
          </w:p>
        </w:tc>
        <w:tc>
          <w:tcPr>
            <w:tcW w:w="5593" w:type="dxa"/>
          </w:tcPr>
          <w:p w14:paraId="15DA65F0"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sz w:val="28"/>
                <w:szCs w:val="28"/>
                <w:rtl/>
              </w:rPr>
              <w:t>242001104</w:t>
            </w:r>
          </w:p>
        </w:tc>
      </w:tr>
      <w:tr w:rsidR="00B627EA" w:rsidRPr="005D59A7" w14:paraId="658FFA91" w14:textId="77777777" w:rsidTr="007E5DDA">
        <w:trPr>
          <w:jc w:val="center"/>
        </w:trPr>
        <w:tc>
          <w:tcPr>
            <w:tcW w:w="1930" w:type="dxa"/>
          </w:tcPr>
          <w:p w14:paraId="76288E4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الكلية</w:t>
            </w:r>
          </w:p>
          <w:p w14:paraId="0CE6E91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rtl/>
              </w:rPr>
              <w:t>التخصص</w:t>
            </w:r>
          </w:p>
        </w:tc>
        <w:tc>
          <w:tcPr>
            <w:tcW w:w="270" w:type="dxa"/>
          </w:tcPr>
          <w:p w14:paraId="1188490F"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34677F0B"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كلية الإدارة</w:t>
            </w:r>
          </w:p>
          <w:p w14:paraId="0181A47D"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rtl/>
              </w:rPr>
              <w:t>إدارة بيئية</w:t>
            </w:r>
          </w:p>
        </w:tc>
      </w:tr>
      <w:tr w:rsidR="00B627EA" w:rsidRPr="005D59A7" w14:paraId="1A47E656" w14:textId="77777777" w:rsidTr="007E5DDA">
        <w:trPr>
          <w:jc w:val="center"/>
        </w:trPr>
        <w:tc>
          <w:tcPr>
            <w:tcW w:w="1930" w:type="dxa"/>
          </w:tcPr>
          <w:p w14:paraId="5F8C7E7E"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270" w:type="dxa"/>
          </w:tcPr>
          <w:p w14:paraId="2BDD89B5"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5593" w:type="dxa"/>
          </w:tcPr>
          <w:p w14:paraId="6CF8A7BD" w14:textId="77777777" w:rsidR="00B627EA" w:rsidRPr="005D59A7" w:rsidRDefault="00B627EA" w:rsidP="007E5DDA">
            <w:pPr>
              <w:pStyle w:val="NormalWeb"/>
              <w:bidi/>
              <w:spacing w:before="0" w:beforeAutospacing="0" w:after="0" w:afterAutospacing="0"/>
              <w:ind w:right="-270"/>
              <w:rPr>
                <w:rFonts w:ascii="T" w:hAnsi="T" w:cstheme="majorBidi"/>
                <w:b/>
                <w:bCs/>
                <w:color w:val="0000FF"/>
                <w:sz w:val="36"/>
                <w:szCs w:val="36"/>
                <w:rtl/>
              </w:rPr>
            </w:pPr>
          </w:p>
        </w:tc>
      </w:tr>
    </w:tbl>
    <w:p w14:paraId="535C41A4" w14:textId="1C0321DA" w:rsidR="00B627EA" w:rsidRPr="005D59A7" w:rsidRDefault="00B627EA" w:rsidP="00B627EA">
      <w:pPr>
        <w:spacing w:line="240" w:lineRule="auto"/>
        <w:rPr>
          <w:rFonts w:ascii="T" w:hAnsi="T" w:cstheme="majorBidi"/>
          <w:noProof/>
          <w:rtl/>
          <w:lang w:bidi="ar-JO"/>
        </w:rPr>
      </w:pPr>
    </w:p>
    <w:p w14:paraId="154F0699" w14:textId="162E3517" w:rsidR="00B627EA" w:rsidRPr="005D59A7" w:rsidRDefault="00B627EA" w:rsidP="00B627EA">
      <w:pPr>
        <w:jc w:val="center"/>
        <w:rPr>
          <w:rFonts w:ascii="T" w:hAnsi="T" w:cs="Simplified Arabic"/>
          <w:b/>
          <w:bCs/>
          <w:color w:val="000000" w:themeColor="text1"/>
          <w:sz w:val="24"/>
          <w:szCs w:val="24"/>
          <w:rtl/>
        </w:rPr>
      </w:pPr>
      <w:r w:rsidRPr="005D59A7">
        <w:rPr>
          <w:rFonts w:ascii="T" w:hAnsi="T" w:cs="Simplified Arabic"/>
          <w:b/>
          <w:bCs/>
          <w:color w:val="000000" w:themeColor="text1"/>
          <w:sz w:val="24"/>
          <w:szCs w:val="24"/>
          <w:rtl/>
        </w:rPr>
        <w:t>144</w:t>
      </w:r>
      <w:r w:rsidR="00B477A9">
        <w:rPr>
          <w:rFonts w:ascii="T" w:hAnsi="T" w:cs="Simplified Arabic" w:hint="cs"/>
          <w:b/>
          <w:bCs/>
          <w:color w:val="000000" w:themeColor="text1"/>
          <w:sz w:val="24"/>
          <w:szCs w:val="24"/>
          <w:rtl/>
        </w:rPr>
        <w:t>8</w:t>
      </w:r>
      <w:r w:rsidRPr="005D59A7">
        <w:rPr>
          <w:rFonts w:ascii="T" w:hAnsi="T" w:cs="Simplified Arabic"/>
          <w:b/>
          <w:bCs/>
          <w:color w:val="000000" w:themeColor="text1"/>
          <w:sz w:val="24"/>
          <w:szCs w:val="24"/>
          <w:rtl/>
        </w:rPr>
        <w:t>هـ  -  202</w:t>
      </w:r>
      <w:r w:rsidR="00B477A9">
        <w:rPr>
          <w:rFonts w:ascii="T" w:hAnsi="T" w:cs="Simplified Arabic" w:hint="cs"/>
          <w:b/>
          <w:bCs/>
          <w:color w:val="000000" w:themeColor="text1"/>
          <w:sz w:val="24"/>
          <w:szCs w:val="24"/>
          <w:rtl/>
        </w:rPr>
        <w:t>6</w:t>
      </w:r>
      <w:r w:rsidRPr="005D59A7">
        <w:rPr>
          <w:rFonts w:ascii="T" w:hAnsi="T" w:cs="Simplified Arabic"/>
          <w:b/>
          <w:bCs/>
          <w:color w:val="000000" w:themeColor="text1"/>
          <w:sz w:val="24"/>
          <w:szCs w:val="24"/>
          <w:rtl/>
        </w:rPr>
        <w:t>م</w:t>
      </w:r>
    </w:p>
    <w:p w14:paraId="13BCE324" w14:textId="77777777" w:rsidR="00B627EA" w:rsidRPr="005D59A7" w:rsidRDefault="00B627EA" w:rsidP="00B627EA">
      <w:pPr>
        <w:bidi/>
        <w:jc w:val="center"/>
        <w:rPr>
          <w:rFonts w:ascii="T" w:hAnsi="T" w:cs="Simplified Arabic"/>
          <w:b/>
          <w:bCs/>
          <w:color w:val="000000" w:themeColor="text1"/>
          <w:sz w:val="32"/>
          <w:szCs w:val="32"/>
          <w:rtl/>
        </w:rPr>
      </w:pPr>
    </w:p>
    <w:p w14:paraId="5062A176" w14:textId="77777777" w:rsidR="00B627EA" w:rsidRPr="005D59A7" w:rsidRDefault="00B627EA" w:rsidP="00B627EA">
      <w:pPr>
        <w:bidi/>
        <w:jc w:val="center"/>
        <w:rPr>
          <w:rFonts w:ascii="T" w:hAnsi="T" w:cs="Simplified Arabic"/>
          <w:b/>
          <w:bCs/>
          <w:color w:val="000000" w:themeColor="text1"/>
          <w:sz w:val="32"/>
          <w:szCs w:val="32"/>
        </w:rPr>
      </w:pPr>
      <w:r w:rsidRPr="005D59A7">
        <w:rPr>
          <w:rFonts w:ascii="T" w:hAnsi="T" w:cs="Simplified Arabic"/>
          <w:b/>
          <w:bCs/>
          <w:noProof/>
          <w:color w:val="000000" w:themeColor="text1"/>
          <w:sz w:val="32"/>
          <w:szCs w:val="32"/>
        </w:rPr>
        <w:drawing>
          <wp:inline distT="0" distB="0" distL="0" distR="0" wp14:anchorId="3F4191C5" wp14:editId="40AE5538">
            <wp:extent cx="4121150" cy="4066076"/>
            <wp:effectExtent l="0" t="0" r="0" b="0"/>
            <wp:docPr id="528953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8422" cy="4073251"/>
                    </a:xfrm>
                    <a:prstGeom prst="rect">
                      <a:avLst/>
                    </a:prstGeom>
                    <a:noFill/>
                    <a:ln>
                      <a:noFill/>
                    </a:ln>
                  </pic:spPr>
                </pic:pic>
              </a:graphicData>
            </a:graphic>
          </wp:inline>
        </w:drawing>
      </w:r>
    </w:p>
    <w:p w14:paraId="72D90D59" w14:textId="77777777" w:rsidR="00B627EA" w:rsidRPr="005D59A7" w:rsidRDefault="00B627EA" w:rsidP="00B627EA">
      <w:pPr>
        <w:bidi/>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صدق الله العظيم</w:t>
      </w:r>
    </w:p>
    <w:p w14:paraId="0BE1F53D" w14:textId="77777777" w:rsidR="00B627EA" w:rsidRPr="005D59A7" w:rsidRDefault="00B627EA" w:rsidP="00B627EA">
      <w:pPr>
        <w:bidi/>
        <w:rPr>
          <w:rFonts w:ascii="T" w:hAnsi="T" w:cs="Simplified Arabic"/>
          <w:b/>
          <w:bCs/>
          <w:color w:val="000000" w:themeColor="text1"/>
          <w:sz w:val="36"/>
          <w:szCs w:val="36"/>
          <w:rtl/>
        </w:rPr>
      </w:pPr>
    </w:p>
    <w:p w14:paraId="7689D9D5" w14:textId="77777777" w:rsidR="00B627EA" w:rsidRPr="005D59A7" w:rsidRDefault="00B627EA" w:rsidP="00B627EA">
      <w:pPr>
        <w:bidi/>
        <w:rPr>
          <w:rFonts w:ascii="T" w:hAnsi="T" w:cs="Simplified Arabic"/>
          <w:b/>
          <w:bCs/>
          <w:color w:val="000000" w:themeColor="text1"/>
          <w:sz w:val="36"/>
          <w:szCs w:val="36"/>
          <w:rtl/>
        </w:rPr>
      </w:pPr>
    </w:p>
    <w:p w14:paraId="2176B4D2" w14:textId="77777777" w:rsidR="00B627EA" w:rsidRPr="005D59A7" w:rsidRDefault="00B627EA" w:rsidP="00B627EA">
      <w:pPr>
        <w:bidi/>
        <w:rPr>
          <w:rFonts w:ascii="T" w:hAnsi="T" w:cs="Simplified Arabic"/>
          <w:b/>
          <w:bCs/>
          <w:color w:val="000000" w:themeColor="text1"/>
          <w:sz w:val="36"/>
          <w:szCs w:val="36"/>
          <w:rtl/>
        </w:rPr>
      </w:pPr>
    </w:p>
    <w:p w14:paraId="62039A41" w14:textId="77777777" w:rsidR="00B627EA" w:rsidRPr="005D59A7" w:rsidRDefault="00B627EA" w:rsidP="00B627EA">
      <w:pPr>
        <w:bidi/>
        <w:rPr>
          <w:rFonts w:ascii="T" w:hAnsi="T" w:cs="Simplified Arabic"/>
          <w:b/>
          <w:bCs/>
          <w:color w:val="000000" w:themeColor="text1"/>
          <w:sz w:val="36"/>
          <w:szCs w:val="36"/>
          <w:rtl/>
        </w:rPr>
      </w:pPr>
    </w:p>
    <w:p w14:paraId="034082B5" w14:textId="77777777" w:rsidR="004B1E9E" w:rsidRPr="005D59A7" w:rsidRDefault="004B1E9E" w:rsidP="00836D37">
      <w:pPr>
        <w:rPr>
          <w:rFonts w:ascii="T" w:hAnsi="T" w:cs="Simplified Arabic"/>
          <w:b/>
          <w:bCs/>
          <w:sz w:val="24"/>
          <w:szCs w:val="24"/>
        </w:rPr>
      </w:pPr>
    </w:p>
    <w:p w14:paraId="67CD0443" w14:textId="77777777" w:rsidR="00AA4673" w:rsidRPr="005D59A7" w:rsidRDefault="00AA4673" w:rsidP="00836D37">
      <w:pPr>
        <w:rPr>
          <w:rFonts w:ascii="T" w:hAnsi="T" w:cs="Simplified Arabic"/>
          <w:b/>
          <w:bCs/>
          <w:sz w:val="24"/>
          <w:szCs w:val="24"/>
        </w:rPr>
      </w:pPr>
    </w:p>
    <w:p w14:paraId="3256554B" w14:textId="77777777" w:rsidR="00AA4673" w:rsidRPr="005D59A7" w:rsidRDefault="00AA4673" w:rsidP="00836D37">
      <w:pPr>
        <w:rPr>
          <w:rFonts w:ascii="T" w:hAnsi="T" w:cs="Simplified Arabic"/>
          <w:b/>
          <w:bCs/>
          <w:sz w:val="24"/>
          <w:szCs w:val="24"/>
        </w:rPr>
      </w:pPr>
    </w:p>
    <w:p w14:paraId="349EABD6" w14:textId="77777777" w:rsidR="00AA4673" w:rsidRDefault="00AA4673" w:rsidP="00836D37">
      <w:pPr>
        <w:rPr>
          <w:rFonts w:ascii="T" w:hAnsi="T" w:cs="Simplified Arabic"/>
          <w:b/>
          <w:bCs/>
          <w:sz w:val="24"/>
          <w:szCs w:val="24"/>
        </w:rPr>
      </w:pPr>
    </w:p>
    <w:p w14:paraId="5AA2EA4F" w14:textId="77777777" w:rsidR="00344EDD" w:rsidRPr="005D59A7" w:rsidRDefault="00344EDD" w:rsidP="00836D37">
      <w:pPr>
        <w:rPr>
          <w:rFonts w:ascii="T" w:hAnsi="T" w:cs="Simplified Arabic"/>
          <w:b/>
          <w:bCs/>
          <w:sz w:val="24"/>
          <w:szCs w:val="24"/>
        </w:rPr>
      </w:pPr>
    </w:p>
    <w:p w14:paraId="1D59889C" w14:textId="77777777" w:rsidR="004B1E9E" w:rsidRPr="005D59A7" w:rsidRDefault="004B1E9E" w:rsidP="004B1E9E">
      <w:pPr>
        <w:spacing w:line="360" w:lineRule="auto"/>
        <w:jc w:val="center"/>
        <w:rPr>
          <w:rFonts w:ascii="T" w:eastAsia="Calibri" w:hAnsi="T" w:cs="Simplified Arabic"/>
          <w:b/>
          <w:bCs/>
          <w:sz w:val="16"/>
          <w:szCs w:val="16"/>
          <w:lang w:bidi="ar-EG"/>
        </w:rPr>
      </w:pPr>
      <w:r w:rsidRPr="005D59A7">
        <w:rPr>
          <w:rFonts w:ascii="T" w:eastAsia="Calibri" w:hAnsi="T" w:cs="Simplified Arabic"/>
          <w:b/>
          <w:bCs/>
          <w:sz w:val="28"/>
          <w:szCs w:val="28"/>
          <w:rtl/>
          <w:lang w:bidi="ar-SY"/>
        </w:rPr>
        <w:lastRenderedPageBreak/>
        <w:t>رسالة شكر</w:t>
      </w:r>
    </w:p>
    <w:p w14:paraId="01FA072F" w14:textId="4DEBE412"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بسم الله الرحمن الرحيم، قال تعالى في كتابه الكريم، (ومن يشكر فإنما يشكر لنفسه) أما بعد، فإني أحمد الله عز وجل حمداً كثيراُ طيباُ يملئ السماوات والأرض، وأشكره قبل كل شيء على ما أكرمني به من إتمام هذه الدراسة وأسأل الله أن تنفعني في ديني ودنياي وأنال بها رضاه. نحمده ونشكره كما ينبغي لجلال وجهه وعظيم سلطانه ونستغفره عدد خلقه ورضا نفسه وزنة عرشه ومداد كلماته ونسأله أن يتقبل منا أعمالنا واجتهادنا ويرضي بها عنا، ثم نصلي على أشرف الخلق سيدنا محمد صلى الله عليه وسلم وعلى آله وصحبه وسلم تسليماً كثيرا. </w:t>
      </w:r>
    </w:p>
    <w:p w14:paraId="6FF24607"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أتوجه بالشكر لإدارة الجامعة والتي تتمثل في مدير الجامعة الأستاذ الفاضل (.....) وعميد كلية (.....) ورئيس قسم (.....) أستاذي الفاضل الدكتور (........). </w:t>
      </w:r>
    </w:p>
    <w:p w14:paraId="3C755DFA"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كما أتوجه بالشكر إلى أستاذي الدكتور المسؤول عن رسالتي (......) والذي كان ولا زال الداعم الأول لي بعد الله عز وجل الأستاذ (......) المشرف العام على الرسالة. </w:t>
      </w:r>
    </w:p>
    <w:p w14:paraId="7DA30BB8"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أود أيضاً التوجه بخالص الشكر لكل الأساتذة الذين ساهموا ولو بالقليل من الدعم النفسي لي ومنهم الدكتور/الدكتورة (........) والشكر واجب لكل أساتذة التحكيم والسادة المناقشين لهذه الرسالة وشكراً لهم لقبول هذه المناقشة. </w:t>
      </w:r>
    </w:p>
    <w:p w14:paraId="7305921E" w14:textId="389B5C69"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أخيراً، لا يمكنني أن أنسى فضل ودور أهلي وزوجتي وأبنائي وأخوتي على دعمي طوال فترة البحث والتحضير لهذه المناقشة والشكر جائز لهم من بداية تعليمي على مدار كل المراحل التعليمية، فلولا وجودهم ودعمهم لما أكملت هذا العمل. </w:t>
      </w:r>
    </w:p>
    <w:p w14:paraId="3B34F565" w14:textId="79B707F1" w:rsidR="00A76C20" w:rsidRPr="005D59A7" w:rsidRDefault="00A76C20" w:rsidP="00A76C20">
      <w:pPr>
        <w:bidi/>
        <w:spacing w:line="360" w:lineRule="auto"/>
        <w:jc w:val="both"/>
        <w:rPr>
          <w:rFonts w:ascii="T" w:eastAsia="Calibri" w:hAnsi="T" w:cs="Sakkal Majalla"/>
          <w:sz w:val="28"/>
          <w:szCs w:val="28"/>
          <w:rtl/>
        </w:rPr>
      </w:pPr>
    </w:p>
    <w:p w14:paraId="7DB8AA19" w14:textId="30628389" w:rsidR="00A76C20" w:rsidRPr="005D59A7" w:rsidRDefault="00A76C20" w:rsidP="00A76C20">
      <w:pPr>
        <w:bidi/>
        <w:spacing w:line="360" w:lineRule="auto"/>
        <w:jc w:val="both"/>
        <w:rPr>
          <w:rFonts w:ascii="T" w:eastAsia="Calibri" w:hAnsi="T" w:cs="Sakkal Majalla"/>
          <w:sz w:val="28"/>
          <w:szCs w:val="28"/>
          <w:rtl/>
        </w:rPr>
      </w:pPr>
    </w:p>
    <w:p w14:paraId="4E5CDB63" w14:textId="5B593CC8" w:rsidR="00A76C20" w:rsidRPr="005D59A7" w:rsidRDefault="00A76C20" w:rsidP="00A76C20">
      <w:pPr>
        <w:bidi/>
        <w:spacing w:line="360" w:lineRule="auto"/>
        <w:jc w:val="both"/>
        <w:rPr>
          <w:rFonts w:ascii="T" w:eastAsia="Calibri" w:hAnsi="T" w:cs="Sakkal Majalla"/>
          <w:sz w:val="28"/>
          <w:szCs w:val="28"/>
          <w:rtl/>
        </w:rPr>
      </w:pPr>
    </w:p>
    <w:p w14:paraId="1FD03980" w14:textId="7A4EE633" w:rsidR="00A76C20" w:rsidRDefault="00A76C20" w:rsidP="00AA4673">
      <w:pPr>
        <w:bidi/>
        <w:rPr>
          <w:rFonts w:ascii="T" w:eastAsia="Calibri" w:hAnsi="T" w:cs="Sakkal Majalla"/>
          <w:sz w:val="28"/>
          <w:szCs w:val="28"/>
          <w:rtl/>
        </w:rPr>
      </w:pPr>
    </w:p>
    <w:p w14:paraId="3FE21C75" w14:textId="77777777" w:rsidR="00C20C02" w:rsidRPr="005D59A7" w:rsidRDefault="00C20C02" w:rsidP="00C20C02">
      <w:pPr>
        <w:bidi/>
        <w:rPr>
          <w:rFonts w:ascii="T" w:eastAsia="Calibri" w:hAnsi="T" w:cs="Sakkal Majalla"/>
          <w:sz w:val="28"/>
          <w:szCs w:val="28"/>
        </w:rPr>
      </w:pPr>
    </w:p>
    <w:p w14:paraId="7EB5E61D" w14:textId="77777777" w:rsidR="00AA4673" w:rsidRPr="005D59A7" w:rsidRDefault="00AA4673" w:rsidP="00AA4673">
      <w:pPr>
        <w:bidi/>
        <w:rPr>
          <w:rFonts w:ascii="T" w:hAnsi="T" w:cstheme="majorBidi"/>
          <w:b/>
          <w:bCs/>
          <w:sz w:val="32"/>
          <w:szCs w:val="32"/>
        </w:rPr>
      </w:pPr>
    </w:p>
    <w:p w14:paraId="123A99E7" w14:textId="77777777" w:rsidR="00A76C20" w:rsidRPr="005D59A7" w:rsidRDefault="00A76C20" w:rsidP="00481A79">
      <w:pPr>
        <w:jc w:val="center"/>
        <w:rPr>
          <w:rFonts w:ascii="T" w:hAnsi="T" w:cs="Simplified Arabic"/>
          <w:b/>
          <w:bCs/>
          <w:sz w:val="28"/>
          <w:szCs w:val="28"/>
          <w:rtl/>
        </w:rPr>
      </w:pPr>
      <w:r w:rsidRPr="005D59A7">
        <w:rPr>
          <w:rFonts w:ascii="T" w:hAnsi="T" w:cs="Simplified Arabic"/>
          <w:b/>
          <w:bCs/>
          <w:sz w:val="28"/>
          <w:szCs w:val="28"/>
          <w:rtl/>
        </w:rPr>
        <w:lastRenderedPageBreak/>
        <w:t>المستخلص</w:t>
      </w:r>
    </w:p>
    <w:p w14:paraId="6D2EE172"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لا تخلو الشراكات بين القطاعين العام والخاص من التعقيدات. فهي تتطلب تخطيطًا دقيقًا، وأطر قانونية وتنظيمية متينة، وتوزيعًا شفافًا للمخاطر بين الشركاء. وبينما يتحمل القطاع الخاص عادةً مخاطر الإنشاء والتشغيل، يتحمل القطاع العام المسؤولية النهائية عن ضمان تقديم الخدمات العامة وحماية المصلحة العامة. وبالتالي، يعد التخطيط والحوكمة لأي قطاع ما جوهر الأساس في إعادة الهيكلة والتنظيم نحو نجاح مثمر وأداء متميز.</w:t>
      </w:r>
    </w:p>
    <w:p w14:paraId="3A8BCAE6"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إلى جانب إعادة الهيكلة التنظيمية للقطاع البيئي التي تم تطبيقها في المملكة العربية السعودية، لا يزال انخراط القطاع الخاص فيه محدوداً. وتهدف هذه الدراسة بشكل رئيسي إلى اقتراح نموذج للشراكة بين القطاعين العام والخاص في القطاع البيئي، من شأنه تعزيز الحوكمة المطبقة حاليًا وزيادة كفاءة تقديم الخدمات من حيث التشغيل والتكلفة. عليه، قامت الوزارة بإطلاق الإستراتيجية الوطنية للبيئة في عام 2018 والتي اقتضت إنشاء المراكز الوطنية الخمسة وصندوق البيئة وذلك بهدف إعادة هيكلة القطاع وبحث سبل إشراك القطاع الخاص وتحقيق العوائد.</w:t>
      </w:r>
    </w:p>
    <w:p w14:paraId="1FF3B665"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ومن هنا، تنبع مشكلة الدراسة في بحث سبل الشراكة بين القطاعين العام والخاص في القطاع البيئي وذلك من خلال دراسة الخدمات البيئية التي يقدمها القطاع الخاص حالياً واختيار خدمة محددة لتوضيح الفجوة في الكفاءة التشغيلية والمالية واقتراح نموذج شراكة لها. كما تنبع الأهمية التطبيقية في اختيار خدمة بيئية محددة وهي التفتيش البيئي ودراسة الفجوة الحالية بها من الإجراءات والتكاليف الرأس مالية والتشغيلية، واقتراح نموذج شراكة بين القطاعين العام والخاص لها للحد من ذلك.</w:t>
      </w:r>
    </w:p>
    <w:p w14:paraId="63A8F630"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وتعد المتغيرات الوسيطة والمعدلة هي البنود، والمعايير الخاصة بالدراسة التي سيتم اختيارها لتمثيل نموذج مناسب للشراكة مع القطاع الخاص مثل الرسوم إن وجدت، التكاليف الرأس مالية والتشغيلية، عدد الموظفين، وغيرها من عناصر دراسات الجدوى.</w:t>
      </w:r>
    </w:p>
    <w:p w14:paraId="63F983CD"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lastRenderedPageBreak/>
        <w:t>بينما 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للخدمة البيئية المختارة كنموذج عمل وتطبيق دراسات الجدوى اللازمة لها لاقتراح نموذج شراكة بين القطاع العام والخاص لها شاملةً تحاليل الكفاءة التشغيلية والمالية.</w:t>
      </w:r>
    </w:p>
    <w:p w14:paraId="63B90DEA"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وتعد عينة الدراسة هي الخدمة البيئية التي سيتم اختيارها لعمل نموذج شراكة بين القطاع العام والخاص لها.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 للدراسة.</w:t>
      </w:r>
    </w:p>
    <w:p w14:paraId="4D57A9D7"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ووجد البحث أن معظم الخدمات البيئية قابلة للمشاركة مع القطاع الخاص خاصة خدمة التفتيش البيئي والتي تم استهدافها كعينة أساسية للدراسة. حيث أن كافة الخدمات متضمنة خدمة التفتيش البيئي يتم تقديمها بالشكل الأساسي والتقليدي عن طريق الجهات الحكومية المسؤولة. وخلال إعداد الدراسات اللازمة ووضع الخطط المطلوبة يمكن التوصل إلى نموذج مناسب. وتعد الركيزة الأساسية لتخصيص خدمة التفتيش البيئي هي خلق مصدر دخل أساسي للخدمة عن طريق الرسوم البيئية ما من شأنه تغطية أو تقليل التكاليف التشغيلية للخدمة وخلق عوائد مالية، ويعد هذا الإجراء قابل للتفعيل حيث أن كافة التكاليف التشغيلية القائمة عليها الخدمة تعد على عاتق الدولة في الوقت الحالي. </w:t>
      </w:r>
    </w:p>
    <w:p w14:paraId="371B8329"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بعد التحليل والتقييم الأولي للخدمة تم إيجاد عدد كبير من الشركات المحتملة المحلية والإقليمية التي يمكن لها المشاركة في عملية تخصيص التفتيش وتوفير الموارد المطلوبة والكوادر البشرية التي من شأنها تقييم الخدمة بالشكل المطلوب وتقليل عبء التكاليف على المشغل الحكومي الحالي. وسيتم استهداف فرض الرسوم البيئية على شريحة العملاء من المنشآت على البنود الأساسية للتفتيش مثل زيارة المفتش وأيضاً من خلال </w:t>
      </w:r>
      <w:r w:rsidRPr="005D59A7">
        <w:rPr>
          <w:rFonts w:ascii="T" w:eastAsia="Times New Roman" w:hAnsi="T" w:cs="Simplified Arabic"/>
          <w:sz w:val="24"/>
          <w:szCs w:val="24"/>
          <w:rtl/>
        </w:rPr>
        <w:lastRenderedPageBreak/>
        <w:t xml:space="preserve">الخدمات الأخرى المصاحبة مثل خدمة إصدار الرخصة البيئية حيث وجد أنه يمكن فرض رسوم زيارة المفتش البيئي للمنشأة عن طريق الرخصة البيئية. </w:t>
      </w:r>
    </w:p>
    <w:p w14:paraId="35837E82" w14:textId="1FA629AB"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وعلى أصعدة المقارنة، يوجد العديد من الخدمات المحلية التي يتم مشاركة القطاع الخاص بها في القطاعات الأخرى مثل وزارة الداخلية وخدمات المرور والأمانات والبلديات وغيرها. كما يوجد على الأصعدة الدولية أمثلة عديدة في تخصيص خدمات قطاع البيئة وعلى سبيل المثال تم النظر في نموذج وكالة حماية البيئة بالمملكة المتحدة وأسكتلندا أيضاً. وبالتالي، يمكن الاستدلال على إمكانية تطبيق تخصيص الخدمات البيئية وتفعيل نماذج عمل ناجحة مثمرة. </w:t>
      </w:r>
    </w:p>
    <w:p w14:paraId="41BBF505" w14:textId="758592E4" w:rsidR="00686195" w:rsidRPr="005D59A7" w:rsidRDefault="00217271" w:rsidP="00AA4673">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b/>
          <w:bCs/>
          <w:sz w:val="24"/>
          <w:szCs w:val="24"/>
          <w:rtl/>
        </w:rPr>
        <w:t>الكلمات المفتاحية</w:t>
      </w:r>
      <w:r w:rsidRPr="005D59A7">
        <w:rPr>
          <w:rFonts w:ascii="T" w:eastAsia="Times New Roman" w:hAnsi="T" w:cs="Simplified Arabic"/>
          <w:sz w:val="24"/>
          <w:szCs w:val="24"/>
          <w:rtl/>
        </w:rPr>
        <w:t>: الشراكات بين القطاعين العام والخاص، الحوكمة البيئية، التفتيش البيئي , إدارة الأداء</w:t>
      </w:r>
    </w:p>
    <w:p w14:paraId="4D365A7A"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A959A2D"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5BE590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5C443D5"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763165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BAB58DC"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59972C89" w14:textId="77777777" w:rsidR="00AA4673"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825D8E9" w14:textId="77777777" w:rsidR="00233335"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1F086682" w14:textId="77777777" w:rsidR="00233335" w:rsidRPr="005D59A7"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34D1B913"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6C7F56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62C73609" w14:textId="77777777" w:rsidR="00242A04" w:rsidRPr="005D59A7" w:rsidRDefault="00242A04" w:rsidP="00481A79">
      <w:pPr>
        <w:jc w:val="center"/>
        <w:rPr>
          <w:rFonts w:ascii="T" w:hAnsi="T" w:cstheme="majorBidi"/>
          <w:b/>
          <w:bCs/>
          <w:sz w:val="28"/>
          <w:szCs w:val="28"/>
        </w:rPr>
      </w:pPr>
      <w:r w:rsidRPr="005D59A7">
        <w:rPr>
          <w:rFonts w:ascii="T" w:hAnsi="T" w:cstheme="majorBidi"/>
          <w:b/>
          <w:bCs/>
          <w:sz w:val="28"/>
          <w:szCs w:val="28"/>
        </w:rPr>
        <w:lastRenderedPageBreak/>
        <w:t>ABSTRACT</w:t>
      </w:r>
    </w:p>
    <w:p w14:paraId="0F70F05B" w14:textId="77777777" w:rsidR="00242A04" w:rsidRPr="005D59A7" w:rsidRDefault="00242A04" w:rsidP="00A76C20">
      <w:pPr>
        <w:spacing w:line="360" w:lineRule="auto"/>
        <w:ind w:firstLine="720"/>
        <w:jc w:val="both"/>
        <w:rPr>
          <w:rFonts w:ascii="T" w:hAnsi="T" w:cs="Times New Roman"/>
          <w:sz w:val="24"/>
          <w:szCs w:val="24"/>
        </w:rPr>
      </w:pPr>
      <w:r w:rsidRPr="005D59A7">
        <w:rPr>
          <w:rFonts w:ascii="T" w:hAnsi="T" w:cstheme="majorBidi"/>
          <w:sz w:val="24"/>
          <w:szCs w:val="24"/>
        </w:rPr>
        <w:t>Public-private partnerships are not without their complexities. They require meticulous planning, robust legal and regulatory frameworks, and a transparent allocation of risk between partners. While the private sector typically bears the risks of establishment and operation, the public sector bears the ultimate responsibility for ensuring the delivery of public services and protecting the public interest. Therefore, planning and governance are fundamental to any sector's restructuring and reorganization, paving the way for successful and high-performing outcomes</w:t>
      </w:r>
      <w:r w:rsidRPr="005D59A7">
        <w:rPr>
          <w:rFonts w:ascii="T" w:hAnsi="T" w:cs="Times New Roman"/>
          <w:sz w:val="24"/>
          <w:szCs w:val="24"/>
          <w:rtl/>
        </w:rPr>
        <w:t>.</w:t>
      </w:r>
    </w:p>
    <w:p w14:paraId="7AC19AE9"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Despite the organizational restructuring of the environmental sector implemented in Saudi Arabia, private sector involvement remains limited. This </w:t>
      </w:r>
      <w:proofErr w:type="gramStart"/>
      <w:r w:rsidRPr="005D59A7">
        <w:rPr>
          <w:rFonts w:ascii="T" w:hAnsi="T" w:cstheme="majorBidi"/>
          <w:sz w:val="24"/>
          <w:szCs w:val="24"/>
        </w:rPr>
        <w:t>study primarily</w:t>
      </w:r>
      <w:proofErr w:type="gramEnd"/>
      <w:r w:rsidRPr="005D59A7">
        <w:rPr>
          <w:rFonts w:ascii="T" w:hAnsi="T" w:cstheme="majorBidi"/>
          <w:sz w:val="24"/>
          <w:szCs w:val="24"/>
        </w:rPr>
        <w:t xml:space="preserve"> aims to propose a public-private partnership (PPP) model for the environmental sector that would enhance current governance practices and improve the operational and cost-effectiveness of service delivery. Accordingly, the Ministry launched the National Environment Strategy in 2018, which led to the establishment of five national centers and the Environmental Fund, with the goal of restructuring the sector and exploring ways to engage the private sector and generate returns.</w:t>
      </w:r>
    </w:p>
    <w:p w14:paraId="7060E443"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Hence, the research problem lies in exploring avenues for public-private partnerships in the environmental sector. This is achieved by examining the environmental services currently provided by the </w:t>
      </w:r>
      <w:r w:rsidR="008804AB" w:rsidRPr="005D59A7">
        <w:rPr>
          <w:rFonts w:ascii="T" w:hAnsi="T" w:cstheme="majorBidi"/>
          <w:sz w:val="24"/>
          <w:szCs w:val="24"/>
        </w:rPr>
        <w:t>public</w:t>
      </w:r>
      <w:r w:rsidRPr="005D59A7">
        <w:rPr>
          <w:rFonts w:ascii="T" w:hAnsi="T" w:cstheme="majorBidi"/>
          <w:sz w:val="24"/>
          <w:szCs w:val="24"/>
        </w:rPr>
        <w:t xml:space="preserve"> sector, selecting a specific service to highlight the gap in operational and financial efficiency, and proposing a partnership model for it. The practical significance of this study stems from choosing a specific environmental service—environmental inspection—and analyzing the existing gap in its procedures, capital costs, and operational expenses, thereby proposing a public-private partnership model to mitigate these challenges.</w:t>
      </w:r>
    </w:p>
    <w:p w14:paraId="5021D5DA"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The mediating and adjusting variables are the items and criteria of the study that will be chosen to represent a suitable model for partnership with the private sector, such as fees, if any, capital and operating costs, number of employees, and other elements of feasibility studies.</w:t>
      </w:r>
    </w:p>
    <w:p w14:paraId="3D15DB3F"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lastRenderedPageBreak/>
        <w:t>The study methodology combines descriptive and analytical approaches. The descriptive section begins with a theoretical evaluation of existing literature and a general review of information related to the thesis topic. The research then progresses to a technical analytical section, focusing on the selected environmental service as a business model and applying the necessary feasibility studies to propose a public-private partnership model, including operational and financial efficiency analyses.</w:t>
      </w:r>
    </w:p>
    <w:p w14:paraId="0A88CB91" w14:textId="0E7B6800"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The </w:t>
      </w:r>
      <w:r w:rsidR="00B60659" w:rsidRPr="005D59A7">
        <w:rPr>
          <w:rFonts w:ascii="T" w:hAnsi="T" w:cstheme="majorBidi"/>
          <w:sz w:val="24"/>
          <w:szCs w:val="24"/>
        </w:rPr>
        <w:t>sample study</w:t>
      </w:r>
      <w:r w:rsidRPr="005D59A7">
        <w:rPr>
          <w:rFonts w:ascii="T" w:hAnsi="T" w:cstheme="majorBidi"/>
          <w:sz w:val="24"/>
          <w:szCs w:val="24"/>
        </w:rPr>
        <w:t xml:space="preserve"> is an environmental service selected for a public-private partnership (PPP) model. This model includes a comprehensive feasibility study encompassing operational and capital costs, staffing levels and working hours, input-output analysis, calculation of fees and revenues (if applicable), and other relevant elements. The primary objective is to create an operational and administrative model for an environmental service involving private sector participation. This model aims to generate revenue for the relevant entity, reduce operational costs or budget constraints, improve the quality of </w:t>
      </w:r>
      <w:proofErr w:type="gramStart"/>
      <w:r w:rsidRPr="005D59A7">
        <w:rPr>
          <w:rFonts w:ascii="T" w:hAnsi="T" w:cstheme="majorBidi"/>
          <w:sz w:val="24"/>
          <w:szCs w:val="24"/>
        </w:rPr>
        <w:t>outputs</w:t>
      </w:r>
      <w:proofErr w:type="gramEnd"/>
      <w:r w:rsidRPr="005D59A7">
        <w:rPr>
          <w:rFonts w:ascii="T" w:hAnsi="T" w:cstheme="majorBidi"/>
          <w:sz w:val="24"/>
          <w:szCs w:val="24"/>
        </w:rPr>
        <w:t>, and create a new job market with available opportunities. As previously mentioned, environmental inspection is the ideal choice for this study.</w:t>
      </w:r>
    </w:p>
    <w:p w14:paraId="3CF63EAF"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The research found that most environmental services are suitable for privatization, particularly environmental inspection services which </w:t>
      </w:r>
      <w:proofErr w:type="gramStart"/>
      <w:r w:rsidRPr="005D59A7">
        <w:rPr>
          <w:rFonts w:ascii="T" w:hAnsi="T" w:cstheme="majorBidi"/>
          <w:sz w:val="24"/>
          <w:szCs w:val="24"/>
        </w:rPr>
        <w:t>is</w:t>
      </w:r>
      <w:proofErr w:type="gramEnd"/>
      <w:r w:rsidRPr="005D59A7">
        <w:rPr>
          <w:rFonts w:ascii="T" w:hAnsi="T" w:cstheme="majorBidi"/>
          <w:sz w:val="24"/>
          <w:szCs w:val="24"/>
        </w:rPr>
        <w:t xml:space="preserve"> chosen as the primary case study. Currently, all services, including environmental inspection, are provided primarily and traditionally by the responsible government agencies. By conducting the necessary studies and developing the required plans, a suitable model can be developed. The fundamental principle behind privatizing environmental inspection services is to create a primary source of revenue through environmental fees. This would cover or reduce the service's operational costs and generate financial returns. This measure is feasible, as all operational costs currently incurred by the service are borne by the government.</w:t>
      </w:r>
    </w:p>
    <w:p w14:paraId="4DCFA494"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Following initial analysis and evaluation of the service, a significant number of potential local and regional companies were identified that could participate in the inspection process, providing the necessary resources and personnel to effectively evaluate the service and reduce the cost burden on the current government operator. Environmental fees will be levied on a segment of </w:t>
      </w:r>
      <w:r w:rsidRPr="005D59A7">
        <w:rPr>
          <w:rFonts w:ascii="T" w:hAnsi="T" w:cstheme="majorBidi"/>
          <w:sz w:val="24"/>
          <w:szCs w:val="24"/>
        </w:rPr>
        <w:lastRenderedPageBreak/>
        <w:t>client facilities, covering essential inspection items such as the inspector's visit, as well as associated services like the issuance of the environmental license. It was determined that the environmental inspector's visit fee could be collected through the environmental license itself.</w:t>
      </w:r>
    </w:p>
    <w:p w14:paraId="31E995E9"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By way of comparison, many local services involve private sector participation in other sectors, such as the Ministry of the Interior, traffic services, municipalities, and others. Internationally, there are numerous examples of privatizing environmental services; for instance, the models of the UK and Scotland's Environmental Protection Agency have been examined. Therefore, the feasibility of privatizing environmental services and implementing successful and productive business models can be demonstrated.</w:t>
      </w:r>
    </w:p>
    <w:p w14:paraId="7A7FFEED" w14:textId="033E1614" w:rsidR="006A6532" w:rsidRPr="005D59A7" w:rsidRDefault="00217271" w:rsidP="00280FF6">
      <w:pPr>
        <w:spacing w:line="360" w:lineRule="auto"/>
        <w:ind w:firstLine="720"/>
        <w:jc w:val="both"/>
        <w:rPr>
          <w:rFonts w:ascii="T" w:hAnsi="T" w:cstheme="majorBidi"/>
          <w:sz w:val="24"/>
          <w:szCs w:val="24"/>
        </w:rPr>
      </w:pPr>
      <w:r w:rsidRPr="005D59A7">
        <w:rPr>
          <w:rFonts w:ascii="T" w:hAnsi="T" w:cstheme="majorBidi"/>
          <w:b/>
          <w:bCs/>
          <w:sz w:val="24"/>
          <w:szCs w:val="24"/>
        </w:rPr>
        <w:t>Keywords:</w:t>
      </w:r>
      <w:r w:rsidRPr="005D59A7">
        <w:rPr>
          <w:rFonts w:ascii="T" w:hAnsi="T" w:cstheme="majorBidi"/>
          <w:sz w:val="24"/>
          <w:szCs w:val="24"/>
        </w:rPr>
        <w:t xml:space="preserve"> Public-private partnerships, environmental governance, environmental inspection, performance management</w:t>
      </w:r>
    </w:p>
    <w:p w14:paraId="545B5081" w14:textId="77777777" w:rsidR="00AA4673" w:rsidRPr="005D59A7" w:rsidRDefault="00AA4673" w:rsidP="00280FF6">
      <w:pPr>
        <w:spacing w:line="360" w:lineRule="auto"/>
        <w:ind w:firstLine="720"/>
        <w:jc w:val="both"/>
        <w:rPr>
          <w:rFonts w:ascii="T" w:hAnsi="T" w:cstheme="majorBidi"/>
          <w:sz w:val="24"/>
          <w:szCs w:val="24"/>
        </w:rPr>
      </w:pPr>
    </w:p>
    <w:p w14:paraId="12855008" w14:textId="77777777" w:rsidR="00AA4673" w:rsidRPr="005D59A7" w:rsidRDefault="00AA4673" w:rsidP="00280FF6">
      <w:pPr>
        <w:spacing w:line="360" w:lineRule="auto"/>
        <w:ind w:firstLine="720"/>
        <w:jc w:val="both"/>
        <w:rPr>
          <w:rFonts w:ascii="T" w:hAnsi="T" w:cstheme="majorBidi"/>
          <w:sz w:val="24"/>
          <w:szCs w:val="24"/>
        </w:rPr>
      </w:pPr>
    </w:p>
    <w:p w14:paraId="26C596BD" w14:textId="77777777" w:rsidR="00AA4673" w:rsidRPr="005D59A7" w:rsidRDefault="00AA4673" w:rsidP="00280FF6">
      <w:pPr>
        <w:spacing w:line="360" w:lineRule="auto"/>
        <w:ind w:firstLine="720"/>
        <w:jc w:val="both"/>
        <w:rPr>
          <w:rFonts w:ascii="T" w:hAnsi="T" w:cstheme="majorBidi"/>
          <w:sz w:val="24"/>
          <w:szCs w:val="24"/>
        </w:rPr>
      </w:pPr>
    </w:p>
    <w:p w14:paraId="4FE848E5" w14:textId="77777777" w:rsidR="00AA4673" w:rsidRPr="005D59A7" w:rsidRDefault="00AA4673" w:rsidP="00280FF6">
      <w:pPr>
        <w:spacing w:line="360" w:lineRule="auto"/>
        <w:ind w:firstLine="720"/>
        <w:jc w:val="both"/>
        <w:rPr>
          <w:rFonts w:ascii="T" w:hAnsi="T" w:cstheme="majorBidi"/>
          <w:sz w:val="24"/>
          <w:szCs w:val="24"/>
        </w:rPr>
      </w:pPr>
    </w:p>
    <w:p w14:paraId="7168458E" w14:textId="77777777" w:rsidR="00AA4673" w:rsidRPr="005D59A7" w:rsidRDefault="00AA4673" w:rsidP="00280FF6">
      <w:pPr>
        <w:spacing w:line="360" w:lineRule="auto"/>
        <w:ind w:firstLine="720"/>
        <w:jc w:val="both"/>
        <w:rPr>
          <w:rFonts w:ascii="T" w:hAnsi="T" w:cstheme="majorBidi"/>
          <w:sz w:val="24"/>
          <w:szCs w:val="24"/>
        </w:rPr>
      </w:pPr>
    </w:p>
    <w:p w14:paraId="0A8E3673" w14:textId="77777777" w:rsidR="00AA4673" w:rsidRPr="005D59A7" w:rsidRDefault="00AA4673" w:rsidP="00280FF6">
      <w:pPr>
        <w:spacing w:line="360" w:lineRule="auto"/>
        <w:ind w:firstLine="720"/>
        <w:jc w:val="both"/>
        <w:rPr>
          <w:rFonts w:ascii="T" w:hAnsi="T" w:cstheme="majorBidi"/>
          <w:sz w:val="24"/>
          <w:szCs w:val="24"/>
        </w:rPr>
      </w:pPr>
    </w:p>
    <w:p w14:paraId="76F6F3CB" w14:textId="77777777" w:rsidR="00AA4673" w:rsidRPr="005D59A7" w:rsidRDefault="00AA4673" w:rsidP="00280FF6">
      <w:pPr>
        <w:spacing w:line="360" w:lineRule="auto"/>
        <w:ind w:firstLine="720"/>
        <w:jc w:val="both"/>
        <w:rPr>
          <w:rFonts w:ascii="T" w:hAnsi="T" w:cstheme="majorBidi"/>
          <w:sz w:val="24"/>
          <w:szCs w:val="24"/>
        </w:rPr>
      </w:pPr>
    </w:p>
    <w:p w14:paraId="6F8CE3D2" w14:textId="77777777" w:rsidR="00AA4673" w:rsidRPr="005D59A7" w:rsidRDefault="00AA4673" w:rsidP="00280FF6">
      <w:pPr>
        <w:spacing w:line="360" w:lineRule="auto"/>
        <w:ind w:firstLine="720"/>
        <w:jc w:val="both"/>
        <w:rPr>
          <w:rFonts w:ascii="T" w:hAnsi="T" w:cstheme="majorBidi"/>
          <w:sz w:val="24"/>
          <w:szCs w:val="24"/>
        </w:rPr>
      </w:pPr>
    </w:p>
    <w:p w14:paraId="092D1375" w14:textId="77777777" w:rsidR="00AA4673" w:rsidRPr="005D59A7" w:rsidRDefault="00AA4673" w:rsidP="00280FF6">
      <w:pPr>
        <w:spacing w:line="360" w:lineRule="auto"/>
        <w:ind w:firstLine="720"/>
        <w:jc w:val="both"/>
        <w:rPr>
          <w:rFonts w:ascii="T" w:hAnsi="T" w:cstheme="majorBidi"/>
          <w:sz w:val="24"/>
          <w:szCs w:val="24"/>
        </w:rPr>
      </w:pPr>
    </w:p>
    <w:p w14:paraId="513CC19E" w14:textId="56625A0F" w:rsidR="00AA4673" w:rsidRDefault="00AA4673" w:rsidP="00280FF6">
      <w:pPr>
        <w:spacing w:line="360" w:lineRule="auto"/>
        <w:ind w:firstLine="720"/>
        <w:jc w:val="both"/>
        <w:rPr>
          <w:rFonts w:ascii="T" w:hAnsi="T" w:cstheme="majorBidi"/>
          <w:sz w:val="24"/>
          <w:szCs w:val="24"/>
          <w:rtl/>
        </w:rPr>
      </w:pPr>
    </w:p>
    <w:p w14:paraId="1625C30D" w14:textId="41B875C8" w:rsidR="00EA4291" w:rsidRDefault="00EA4291" w:rsidP="00280FF6">
      <w:pPr>
        <w:spacing w:line="360" w:lineRule="auto"/>
        <w:ind w:firstLine="720"/>
        <w:jc w:val="both"/>
        <w:rPr>
          <w:rFonts w:ascii="T" w:hAnsi="T" w:cstheme="majorBidi"/>
          <w:sz w:val="24"/>
          <w:szCs w:val="24"/>
          <w:rtl/>
        </w:rPr>
      </w:pPr>
    </w:p>
    <w:p w14:paraId="5C8B4C00" w14:textId="66EF8DBD" w:rsidR="00EA4291" w:rsidRDefault="00EA4291" w:rsidP="00280FF6">
      <w:pPr>
        <w:spacing w:line="360" w:lineRule="auto"/>
        <w:ind w:firstLine="720"/>
        <w:jc w:val="both"/>
        <w:rPr>
          <w:rFonts w:ascii="T" w:hAnsi="T" w:cstheme="majorBidi"/>
          <w:sz w:val="24"/>
          <w:szCs w:val="24"/>
          <w:rtl/>
        </w:rPr>
      </w:pPr>
    </w:p>
    <w:p w14:paraId="0F1D8187" w14:textId="77777777" w:rsidR="00EA4291" w:rsidRPr="005D59A7" w:rsidRDefault="00EA4291" w:rsidP="00280FF6">
      <w:pPr>
        <w:spacing w:line="360" w:lineRule="auto"/>
        <w:ind w:firstLine="720"/>
        <w:jc w:val="both"/>
        <w:rPr>
          <w:rFonts w:ascii="T" w:hAnsi="T" w:cstheme="majorBidi"/>
          <w:sz w:val="24"/>
          <w:szCs w:val="24"/>
          <w:rtl/>
        </w:rPr>
      </w:pPr>
    </w:p>
    <w:sdt>
      <w:sdtPr>
        <w:rPr>
          <w:rFonts w:ascii="T" w:eastAsiaTheme="minorHAnsi" w:hAnsi="T" w:cstheme="minorBidi"/>
          <w:b w:val="0"/>
          <w:bCs w:val="0"/>
          <w:color w:val="auto"/>
          <w:sz w:val="22"/>
          <w:szCs w:val="22"/>
          <w:rtl/>
        </w:rPr>
        <w:id w:val="2700971"/>
        <w:docPartObj>
          <w:docPartGallery w:val="Table of Contents"/>
          <w:docPartUnique/>
        </w:docPartObj>
      </w:sdtPr>
      <w:sdtEndPr/>
      <w:sdtContent>
        <w:p w14:paraId="5AD7F050" w14:textId="2CCE1ECA" w:rsidR="00EA21E0" w:rsidRPr="00240338" w:rsidRDefault="00EA21E0" w:rsidP="00AC44CC">
          <w:pPr>
            <w:pStyle w:val="TOCHeading"/>
            <w:bidi/>
            <w:rPr>
              <w:rFonts w:ascii="Simplified Arabic" w:hAnsi="Simplified Arabic" w:cs="Simplified Arabic"/>
              <w:color w:val="auto"/>
            </w:rPr>
          </w:pPr>
          <w:r w:rsidRPr="00240338">
            <w:rPr>
              <w:rFonts w:ascii="Simplified Arabic" w:hAnsi="Simplified Arabic" w:cs="Simplified Arabic"/>
              <w:color w:val="auto"/>
              <w:rtl/>
            </w:rPr>
            <w:t>جدول المحتويات</w:t>
          </w:r>
        </w:p>
        <w:p w14:paraId="0C8279C7" w14:textId="6AE37FBD" w:rsidR="00AC44CC" w:rsidRDefault="00FD30BF">
          <w:pPr>
            <w:pStyle w:val="TOC1"/>
            <w:rPr>
              <w:rFonts w:eastAsiaTheme="minorEastAsia"/>
              <w:noProof/>
              <w:kern w:val="2"/>
              <w:sz w:val="24"/>
              <w:szCs w:val="24"/>
              <w:rtl/>
              <w14:ligatures w14:val="standardContextual"/>
            </w:rPr>
          </w:pPr>
          <w:r w:rsidRPr="00240338">
            <w:rPr>
              <w:rFonts w:ascii="Simplified Arabic" w:hAnsi="Simplified Arabic" w:cs="Simplified Arabic"/>
              <w:sz w:val="20"/>
              <w:szCs w:val="20"/>
            </w:rPr>
            <w:fldChar w:fldCharType="begin"/>
          </w:r>
          <w:r w:rsidR="00EA21E0" w:rsidRPr="00240338">
            <w:rPr>
              <w:rFonts w:ascii="Simplified Arabic" w:hAnsi="Simplified Arabic" w:cs="Simplified Arabic"/>
              <w:sz w:val="20"/>
              <w:szCs w:val="20"/>
            </w:rPr>
            <w:instrText xml:space="preserve"> TOC \o "1-3" \h \z \u </w:instrText>
          </w:r>
          <w:r w:rsidRPr="00240338">
            <w:rPr>
              <w:rFonts w:ascii="Simplified Arabic" w:hAnsi="Simplified Arabic" w:cs="Simplified Arabic"/>
              <w:sz w:val="20"/>
              <w:szCs w:val="20"/>
            </w:rPr>
            <w:fldChar w:fldCharType="separate"/>
          </w:r>
          <w:hyperlink w:anchor="_Toc234607841" w:history="1">
            <w:r w:rsidR="00AC44CC" w:rsidRPr="00F9081D">
              <w:rPr>
                <w:rStyle w:val="Hyperlink"/>
                <w:rFonts w:ascii="Simplified Arabic" w:hAnsi="Simplified Arabic" w:cs="Simplified Arabic"/>
                <w:b/>
                <w:bCs/>
                <w:noProof/>
                <w:rtl/>
              </w:rPr>
              <w:t>قائمة الجداول</w:t>
            </w:r>
            <w:r w:rsidR="00AC44CC">
              <w:rPr>
                <w:noProof/>
                <w:webHidden/>
                <w:rtl/>
              </w:rPr>
              <w:tab/>
            </w:r>
            <w:r w:rsidR="00AC44CC">
              <w:rPr>
                <w:noProof/>
                <w:webHidden/>
                <w:rtl/>
              </w:rPr>
              <w:fldChar w:fldCharType="begin"/>
            </w:r>
            <w:r w:rsidR="00AC44CC">
              <w:rPr>
                <w:noProof/>
                <w:webHidden/>
                <w:rtl/>
              </w:rPr>
              <w:instrText xml:space="preserve"> </w:instrText>
            </w:r>
            <w:r w:rsidR="00AC44CC">
              <w:rPr>
                <w:noProof/>
                <w:webHidden/>
              </w:rPr>
              <w:instrText>PAGEREF</w:instrText>
            </w:r>
            <w:r w:rsidR="00AC44CC">
              <w:rPr>
                <w:noProof/>
                <w:webHidden/>
                <w:rtl/>
              </w:rPr>
              <w:instrText xml:space="preserve"> _</w:instrText>
            </w:r>
            <w:r w:rsidR="00AC44CC">
              <w:rPr>
                <w:noProof/>
                <w:webHidden/>
              </w:rPr>
              <w:instrText>Toc234607841 \h</w:instrText>
            </w:r>
            <w:r w:rsidR="00AC44CC">
              <w:rPr>
                <w:noProof/>
                <w:webHidden/>
                <w:rtl/>
              </w:rPr>
              <w:instrText xml:space="preserve"> </w:instrText>
            </w:r>
            <w:r w:rsidR="00AC44CC">
              <w:rPr>
                <w:noProof/>
                <w:webHidden/>
                <w:rtl/>
              </w:rPr>
            </w:r>
            <w:r w:rsidR="00AC44CC">
              <w:rPr>
                <w:noProof/>
                <w:webHidden/>
                <w:rtl/>
              </w:rPr>
              <w:fldChar w:fldCharType="separate"/>
            </w:r>
            <w:r w:rsidR="00AC44CC">
              <w:rPr>
                <w:noProof/>
                <w:webHidden/>
                <w:rtl/>
              </w:rPr>
              <w:t>13</w:t>
            </w:r>
            <w:r w:rsidR="00AC44CC">
              <w:rPr>
                <w:noProof/>
                <w:webHidden/>
                <w:rtl/>
              </w:rPr>
              <w:fldChar w:fldCharType="end"/>
            </w:r>
          </w:hyperlink>
        </w:p>
        <w:p w14:paraId="04867F6B" w14:textId="39A2605E" w:rsidR="00AC44CC" w:rsidRDefault="00AC44CC">
          <w:pPr>
            <w:pStyle w:val="TOC1"/>
            <w:rPr>
              <w:rFonts w:eastAsiaTheme="minorEastAsia"/>
              <w:noProof/>
              <w:kern w:val="2"/>
              <w:sz w:val="24"/>
              <w:szCs w:val="24"/>
              <w:rtl/>
              <w14:ligatures w14:val="standardContextual"/>
            </w:rPr>
          </w:pPr>
          <w:hyperlink w:anchor="_Toc234607842" w:history="1">
            <w:r w:rsidRPr="00F9081D">
              <w:rPr>
                <w:rStyle w:val="Hyperlink"/>
                <w:rFonts w:ascii="Simplified Arabic" w:hAnsi="Simplified Arabic" w:cs="Simplified Arabic"/>
                <w:b/>
                <w:bCs/>
                <w:noProof/>
                <w:rtl/>
              </w:rPr>
              <w:t>قائمة الرسوم التوضيحية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6D2E139" w14:textId="31DEF099" w:rsidR="00AC44CC" w:rsidRDefault="00AC44CC">
          <w:pPr>
            <w:pStyle w:val="TOC1"/>
            <w:rPr>
              <w:rFonts w:eastAsiaTheme="minorEastAsia"/>
              <w:noProof/>
              <w:kern w:val="2"/>
              <w:sz w:val="24"/>
              <w:szCs w:val="24"/>
              <w:rtl/>
              <w14:ligatures w14:val="standardContextual"/>
            </w:rPr>
          </w:pPr>
          <w:hyperlink w:anchor="_Toc234607843" w:history="1">
            <w:r w:rsidRPr="00F9081D">
              <w:rPr>
                <w:rStyle w:val="Hyperlink"/>
                <w:rFonts w:ascii="T" w:eastAsia="Times New Roman" w:hAnsi="T" w:cs="Simplified Arabic"/>
                <w:b/>
                <w:bCs/>
                <w:noProof/>
                <w:rtl/>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31707C5" w14:textId="11828E38" w:rsidR="00AC44CC" w:rsidRDefault="00AC44CC">
          <w:pPr>
            <w:pStyle w:val="TOC1"/>
            <w:rPr>
              <w:rFonts w:eastAsiaTheme="minorEastAsia"/>
              <w:noProof/>
              <w:kern w:val="2"/>
              <w:sz w:val="24"/>
              <w:szCs w:val="24"/>
              <w:rtl/>
              <w14:ligatures w14:val="standardContextual"/>
            </w:rPr>
          </w:pPr>
          <w:hyperlink w:anchor="_Toc234607844" w:history="1">
            <w:r w:rsidRPr="00F9081D">
              <w:rPr>
                <w:rStyle w:val="Hyperlink"/>
                <w:rFonts w:ascii="T" w:eastAsia="Times New Roman" w:hAnsi="T" w:cs="Simplified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591F605" w14:textId="264C91D6" w:rsidR="00AC44CC" w:rsidRDefault="00AC44CC">
          <w:pPr>
            <w:pStyle w:val="TOC1"/>
            <w:rPr>
              <w:rFonts w:eastAsiaTheme="minorEastAsia"/>
              <w:noProof/>
              <w:kern w:val="2"/>
              <w:sz w:val="24"/>
              <w:szCs w:val="24"/>
              <w:rtl/>
              <w14:ligatures w14:val="standardContextual"/>
            </w:rPr>
          </w:pPr>
          <w:hyperlink w:anchor="_Toc234607845" w:history="1">
            <w:r w:rsidRPr="00F9081D">
              <w:rPr>
                <w:rStyle w:val="Hyperlink"/>
                <w:rFonts w:ascii="T" w:eastAsia="Times New Roman" w:hAnsi="T"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B97F568" w14:textId="69B8A962" w:rsidR="00AC44CC" w:rsidRDefault="00AC44CC">
          <w:pPr>
            <w:pStyle w:val="TOC1"/>
            <w:rPr>
              <w:rFonts w:eastAsiaTheme="minorEastAsia"/>
              <w:noProof/>
              <w:kern w:val="2"/>
              <w:sz w:val="24"/>
              <w:szCs w:val="24"/>
              <w:rtl/>
              <w14:ligatures w14:val="standardContextual"/>
            </w:rPr>
          </w:pPr>
          <w:hyperlink w:anchor="_Toc234607846" w:history="1">
            <w:r w:rsidRPr="00F9081D">
              <w:rPr>
                <w:rStyle w:val="Hyperlink"/>
                <w:rFonts w:ascii="T" w:eastAsia="Times New Roman" w:hAnsi="T"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FAE7D95" w14:textId="794D0A2D" w:rsidR="00AC44CC" w:rsidRDefault="00AC44CC">
          <w:pPr>
            <w:pStyle w:val="TOC1"/>
            <w:rPr>
              <w:rFonts w:eastAsiaTheme="minorEastAsia"/>
              <w:noProof/>
              <w:kern w:val="2"/>
              <w:sz w:val="24"/>
              <w:szCs w:val="24"/>
              <w:rtl/>
              <w14:ligatures w14:val="standardContextual"/>
            </w:rPr>
          </w:pPr>
          <w:hyperlink w:anchor="_Toc234607847" w:history="1">
            <w:r w:rsidRPr="00F9081D">
              <w:rPr>
                <w:rStyle w:val="Hyperlink"/>
                <w:rFonts w:ascii="T" w:eastAsia="Times New Roman" w:hAnsi="T" w:cs="Simplified Arabic"/>
                <w:b/>
                <w:bCs/>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4149F0F" w14:textId="70E86F6B" w:rsidR="00AC44CC" w:rsidRDefault="00AC44CC">
          <w:pPr>
            <w:pStyle w:val="TOC1"/>
            <w:rPr>
              <w:rFonts w:eastAsiaTheme="minorEastAsia"/>
              <w:noProof/>
              <w:kern w:val="2"/>
              <w:sz w:val="24"/>
              <w:szCs w:val="24"/>
              <w:rtl/>
              <w14:ligatures w14:val="standardContextual"/>
            </w:rPr>
          </w:pPr>
          <w:hyperlink w:anchor="_Toc234607848" w:history="1">
            <w:r w:rsidRPr="00F9081D">
              <w:rPr>
                <w:rStyle w:val="Hyperlink"/>
                <w:rFonts w:ascii="T" w:eastAsia="Times New Roman" w:hAnsi="T" w:cs="Simplified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626EBCC" w14:textId="5441C3C9" w:rsidR="00AC44CC" w:rsidRDefault="00AC44CC">
          <w:pPr>
            <w:pStyle w:val="TOC2"/>
            <w:rPr>
              <w:rFonts w:eastAsiaTheme="minorEastAsia"/>
              <w:noProof/>
              <w:kern w:val="2"/>
              <w:sz w:val="24"/>
              <w:szCs w:val="24"/>
              <w:rtl/>
              <w14:ligatures w14:val="standardContextual"/>
            </w:rPr>
          </w:pPr>
          <w:hyperlink w:anchor="_Toc234607849" w:history="1">
            <w:r w:rsidRPr="00F9081D">
              <w:rPr>
                <w:rStyle w:val="Hyperlink"/>
                <w:rFonts w:ascii="T" w:hAnsi="T" w:cs="Simplified Arabic"/>
                <w:b/>
                <w:bCs/>
                <w:noProof/>
                <w:rtl/>
              </w:rPr>
              <w:t>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Toc234607849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E30D9EF" w14:textId="0D5B0F47" w:rsidR="00AC44CC" w:rsidRDefault="00AC44CC">
          <w:pPr>
            <w:pStyle w:val="TOC2"/>
            <w:rPr>
              <w:rFonts w:eastAsiaTheme="minorEastAsia"/>
              <w:noProof/>
              <w:kern w:val="2"/>
              <w:sz w:val="24"/>
              <w:szCs w:val="24"/>
              <w:rtl/>
              <w14:ligatures w14:val="standardContextual"/>
            </w:rPr>
          </w:pPr>
          <w:hyperlink w:anchor="_Toc234607850" w:history="1">
            <w:r w:rsidRPr="00F9081D">
              <w:rPr>
                <w:rStyle w:val="Hyperlink"/>
                <w:rFonts w:ascii="T" w:hAnsi="T" w:cs="Simplified Arabic"/>
                <w:b/>
                <w:bCs/>
                <w:noProof/>
                <w:rtl/>
              </w:rPr>
              <w:t>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3258416" w14:textId="50A04FA7" w:rsidR="00AC44CC" w:rsidRDefault="00AC44CC">
          <w:pPr>
            <w:pStyle w:val="TOC1"/>
            <w:rPr>
              <w:rFonts w:eastAsiaTheme="minorEastAsia"/>
              <w:noProof/>
              <w:kern w:val="2"/>
              <w:sz w:val="24"/>
              <w:szCs w:val="24"/>
              <w:rtl/>
              <w14:ligatures w14:val="standardContextual"/>
            </w:rPr>
          </w:pPr>
          <w:hyperlink w:anchor="_Toc234607851" w:history="1">
            <w:r w:rsidRPr="00F9081D">
              <w:rPr>
                <w:rStyle w:val="Hyperlink"/>
                <w:rFonts w:ascii="T" w:eastAsia="Times New Roman" w:hAnsi="T"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14906CC" w14:textId="30BB2F3E" w:rsidR="00AC44CC" w:rsidRDefault="00AC44CC">
          <w:pPr>
            <w:pStyle w:val="TOC1"/>
            <w:rPr>
              <w:rFonts w:eastAsiaTheme="minorEastAsia"/>
              <w:noProof/>
              <w:kern w:val="2"/>
              <w:sz w:val="24"/>
              <w:szCs w:val="24"/>
              <w:rtl/>
              <w14:ligatures w14:val="standardContextual"/>
            </w:rPr>
          </w:pPr>
          <w:hyperlink w:anchor="_Toc234607852" w:history="1">
            <w:r w:rsidRPr="00F9081D">
              <w:rPr>
                <w:rStyle w:val="Hyperlink"/>
                <w:rFonts w:ascii="T" w:eastAsia="Times New Roman" w:hAnsi="T" w:cs="Simplified Arabic"/>
                <w:b/>
                <w:bCs/>
                <w:noProof/>
                <w:rtl/>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996B2E7" w14:textId="41DAF470" w:rsidR="00AC44CC" w:rsidRDefault="00AC44CC">
          <w:pPr>
            <w:pStyle w:val="TOC2"/>
            <w:rPr>
              <w:rFonts w:eastAsiaTheme="minorEastAsia"/>
              <w:noProof/>
              <w:kern w:val="2"/>
              <w:sz w:val="24"/>
              <w:szCs w:val="24"/>
              <w:rtl/>
              <w14:ligatures w14:val="standardContextual"/>
            </w:rPr>
          </w:pPr>
          <w:hyperlink w:anchor="_Toc234607853" w:history="1">
            <w:r w:rsidRPr="00F9081D">
              <w:rPr>
                <w:rStyle w:val="Hyperlink"/>
                <w:rFonts w:ascii="T" w:hAnsi="T" w:cs="Simplified Arabic"/>
                <w:noProof/>
                <w:rtl/>
              </w:rPr>
              <w:t>المفاهيم الاصطلاحية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55A05E2" w14:textId="43E164FD" w:rsidR="00AC44CC" w:rsidRDefault="00AC44CC">
          <w:pPr>
            <w:pStyle w:val="TOC2"/>
            <w:rPr>
              <w:rFonts w:eastAsiaTheme="minorEastAsia"/>
              <w:noProof/>
              <w:kern w:val="2"/>
              <w:sz w:val="24"/>
              <w:szCs w:val="24"/>
              <w:rtl/>
              <w14:ligatures w14:val="standardContextual"/>
            </w:rPr>
          </w:pPr>
          <w:hyperlink w:anchor="_Toc234607854" w:history="1">
            <w:r w:rsidRPr="00F9081D">
              <w:rPr>
                <w:rStyle w:val="Hyperlink"/>
                <w:rFonts w:ascii="T" w:hAnsi="T" w:cs="Simplified Arabic"/>
                <w:noProof/>
                <w:rtl/>
              </w:rPr>
              <w:t>المفاهيم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9A09142" w14:textId="5401B64D" w:rsidR="00AC44CC" w:rsidRDefault="00AC44CC">
          <w:pPr>
            <w:pStyle w:val="TOC2"/>
            <w:rPr>
              <w:rFonts w:eastAsiaTheme="minorEastAsia"/>
              <w:noProof/>
              <w:kern w:val="2"/>
              <w:sz w:val="24"/>
              <w:szCs w:val="24"/>
              <w:rtl/>
              <w14:ligatures w14:val="standardContextual"/>
            </w:rPr>
          </w:pPr>
          <w:hyperlink w:anchor="_Toc234607855" w:history="1">
            <w:r w:rsidRPr="00F9081D">
              <w:rPr>
                <w:rStyle w:val="Hyperlink"/>
                <w:rFonts w:ascii="T" w:hAnsi="T" w:cs="Simplified Arabic"/>
                <w:noProof/>
                <w:rtl/>
              </w:rPr>
              <w:t>المفاهيم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Toc234607855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FF168DF" w14:textId="15A64C45" w:rsidR="00AC44CC" w:rsidRDefault="00AC44CC">
          <w:pPr>
            <w:pStyle w:val="TOC1"/>
            <w:rPr>
              <w:rFonts w:eastAsiaTheme="minorEastAsia"/>
              <w:noProof/>
              <w:kern w:val="2"/>
              <w:sz w:val="24"/>
              <w:szCs w:val="24"/>
              <w:rtl/>
              <w14:ligatures w14:val="standardContextual"/>
            </w:rPr>
          </w:pPr>
          <w:hyperlink w:anchor="_Toc234607856" w:history="1">
            <w:r w:rsidRPr="00F9081D">
              <w:rPr>
                <w:rStyle w:val="Hyperlink"/>
                <w:rFonts w:ascii="T" w:eastAsia="Times New Roman" w:hAnsi="T" w:cs="Simplified Arabic"/>
                <w:b/>
                <w:bCs/>
                <w:noProof/>
                <w:rtl/>
              </w:rPr>
              <w:t>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B50E8F6" w14:textId="59E31A8F" w:rsidR="00AC44CC" w:rsidRDefault="00AC44CC">
          <w:pPr>
            <w:pStyle w:val="TOC1"/>
            <w:rPr>
              <w:rFonts w:eastAsiaTheme="minorEastAsia"/>
              <w:noProof/>
              <w:kern w:val="2"/>
              <w:sz w:val="24"/>
              <w:szCs w:val="24"/>
              <w:rtl/>
              <w14:ligatures w14:val="standardContextual"/>
            </w:rPr>
          </w:pPr>
          <w:hyperlink w:anchor="_Toc234607857" w:history="1">
            <w:r w:rsidRPr="00F9081D">
              <w:rPr>
                <w:rStyle w:val="Hyperlink"/>
                <w:rFonts w:ascii="T" w:eastAsia="Times New Roman" w:hAnsi="T" w:cs="Simplified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A05F6D1" w14:textId="34CC1C77" w:rsidR="00AC44CC" w:rsidRDefault="00AC44CC">
          <w:pPr>
            <w:pStyle w:val="TOC2"/>
            <w:rPr>
              <w:rFonts w:eastAsiaTheme="minorEastAsia"/>
              <w:noProof/>
              <w:kern w:val="2"/>
              <w:sz w:val="24"/>
              <w:szCs w:val="24"/>
              <w:rtl/>
              <w14:ligatures w14:val="standardContextual"/>
            </w:rPr>
          </w:pPr>
          <w:hyperlink w:anchor="_Toc234607858" w:history="1">
            <w:r w:rsidRPr="00F9081D">
              <w:rPr>
                <w:rStyle w:val="Hyperlink"/>
                <w:rFonts w:ascii="T" w:hAnsi="T" w:cs="Simplified Arabic"/>
                <w:noProof/>
                <w:rtl/>
              </w:rPr>
              <w:t>أولاً: 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41DA7469" w14:textId="0903B6E9" w:rsidR="00AC44CC" w:rsidRDefault="00AC44CC">
          <w:pPr>
            <w:pStyle w:val="TOC2"/>
            <w:rPr>
              <w:rFonts w:eastAsiaTheme="minorEastAsia"/>
              <w:noProof/>
              <w:kern w:val="2"/>
              <w:sz w:val="24"/>
              <w:szCs w:val="24"/>
              <w:rtl/>
              <w14:ligatures w14:val="standardContextual"/>
            </w:rPr>
          </w:pPr>
          <w:hyperlink w:anchor="_Toc234607859" w:history="1">
            <w:r w:rsidRPr="00F9081D">
              <w:rPr>
                <w:rStyle w:val="Hyperlink"/>
                <w:rFonts w:ascii="T" w:hAnsi="T" w:cs="Simplified Arabic"/>
                <w:noProof/>
                <w:rtl/>
              </w:rPr>
              <w:t>ثانياً: الحدود 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Toc234607859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4B0BABB" w14:textId="26031AFD" w:rsidR="00AC44CC" w:rsidRDefault="00AC44CC">
          <w:pPr>
            <w:pStyle w:val="TOC2"/>
            <w:rPr>
              <w:rFonts w:eastAsiaTheme="minorEastAsia"/>
              <w:noProof/>
              <w:kern w:val="2"/>
              <w:sz w:val="24"/>
              <w:szCs w:val="24"/>
              <w:rtl/>
              <w14:ligatures w14:val="standardContextual"/>
            </w:rPr>
          </w:pPr>
          <w:hyperlink w:anchor="_Toc234607860" w:history="1">
            <w:r w:rsidRPr="00F9081D">
              <w:rPr>
                <w:rStyle w:val="Hyperlink"/>
                <w:rFonts w:ascii="T" w:hAnsi="T" w:cs="Simplified Arabic"/>
                <w:noProof/>
                <w:rtl/>
              </w:rPr>
              <w:t>ثالثاً: 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3AF888ED" w14:textId="0DFFDA7F" w:rsidR="00AC44CC" w:rsidRDefault="00AC44CC">
          <w:pPr>
            <w:pStyle w:val="TOC2"/>
            <w:rPr>
              <w:rFonts w:eastAsiaTheme="minorEastAsia"/>
              <w:noProof/>
              <w:kern w:val="2"/>
              <w:sz w:val="24"/>
              <w:szCs w:val="24"/>
              <w:rtl/>
              <w14:ligatures w14:val="standardContextual"/>
            </w:rPr>
          </w:pPr>
          <w:hyperlink w:anchor="_Toc234607861" w:history="1">
            <w:r w:rsidRPr="00F9081D">
              <w:rPr>
                <w:rStyle w:val="Hyperlink"/>
                <w:rFonts w:ascii="T" w:hAnsi="T" w:cs="Simplified Arabic"/>
                <w:noProof/>
                <w:rtl/>
              </w:rPr>
              <w:t>رابعاً: 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BA9C2A3" w14:textId="3192451B" w:rsidR="00AC44CC" w:rsidRDefault="00AC44CC">
          <w:pPr>
            <w:pStyle w:val="TOC1"/>
            <w:rPr>
              <w:rFonts w:eastAsiaTheme="minorEastAsia"/>
              <w:noProof/>
              <w:kern w:val="2"/>
              <w:sz w:val="24"/>
              <w:szCs w:val="24"/>
              <w:rtl/>
              <w14:ligatures w14:val="standardContextual"/>
            </w:rPr>
          </w:pPr>
          <w:hyperlink w:anchor="_Toc234607862" w:history="1">
            <w:r w:rsidRPr="00F9081D">
              <w:rPr>
                <w:rStyle w:val="Hyperlink"/>
                <w:rFonts w:ascii="T" w:eastAsia="Times New Roman" w:hAnsi="T" w:cs="Simplified Arabic"/>
                <w:b/>
                <w:bCs/>
                <w:noProof/>
                <w:rtl/>
              </w:rPr>
              <w:t>إجراءات ومنهجية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Toc234607862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A9CDF8C" w14:textId="56A58940" w:rsidR="00AC44CC" w:rsidRDefault="00AC44CC">
          <w:pPr>
            <w:pStyle w:val="TOC2"/>
            <w:rPr>
              <w:rFonts w:eastAsiaTheme="minorEastAsia"/>
              <w:noProof/>
              <w:kern w:val="2"/>
              <w:sz w:val="24"/>
              <w:szCs w:val="24"/>
              <w:rtl/>
              <w14:ligatures w14:val="standardContextual"/>
            </w:rPr>
          </w:pPr>
          <w:hyperlink w:anchor="_Toc234607863" w:history="1">
            <w:r w:rsidRPr="00F9081D">
              <w:rPr>
                <w:rStyle w:val="Hyperlink"/>
                <w:rFonts w:ascii="T" w:hAnsi="T" w:cs="Simplified Arabic"/>
                <w:noProof/>
                <w:rtl/>
              </w:rPr>
              <w:t>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F38F346" w14:textId="3E6B0763" w:rsidR="00AC44CC" w:rsidRDefault="00AC44CC">
          <w:pPr>
            <w:pStyle w:val="TOC2"/>
            <w:rPr>
              <w:rFonts w:eastAsiaTheme="minorEastAsia"/>
              <w:noProof/>
              <w:kern w:val="2"/>
              <w:sz w:val="24"/>
              <w:szCs w:val="24"/>
              <w:rtl/>
              <w14:ligatures w14:val="standardContextual"/>
            </w:rPr>
          </w:pPr>
          <w:hyperlink w:anchor="_Toc234607864" w:history="1">
            <w:r w:rsidRPr="00F9081D">
              <w:rPr>
                <w:rStyle w:val="Hyperlink"/>
                <w:rFonts w:ascii="T" w:hAnsi="T" w:cs="Simplified Arabic"/>
                <w:noProof/>
                <w:rtl/>
              </w:rPr>
              <w:t>وسائل جمع بيانات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6D9901B" w14:textId="4E98CBD2" w:rsidR="00AC44CC" w:rsidRDefault="00AC44CC">
          <w:pPr>
            <w:pStyle w:val="TOC2"/>
            <w:rPr>
              <w:rFonts w:eastAsiaTheme="minorEastAsia"/>
              <w:noProof/>
              <w:kern w:val="2"/>
              <w:sz w:val="24"/>
              <w:szCs w:val="24"/>
              <w:rtl/>
              <w14:ligatures w14:val="standardContextual"/>
            </w:rPr>
          </w:pPr>
          <w:hyperlink w:anchor="_Toc234607865" w:history="1">
            <w:r w:rsidRPr="00F9081D">
              <w:rPr>
                <w:rStyle w:val="Hyperlink"/>
                <w:rFonts w:ascii="T" w:hAnsi="T" w:cs="Simplified Arabic"/>
                <w:noProof/>
                <w:shd w:val="clear" w:color="auto" w:fill="FFFFFF"/>
                <w:rtl/>
              </w:rPr>
              <w:t>إطار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Toc234607865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37A472E" w14:textId="0595C307" w:rsidR="00AC44CC" w:rsidRDefault="00AC44CC" w:rsidP="004908D6">
          <w:pPr>
            <w:pStyle w:val="TOC3"/>
            <w:bidi w:val="0"/>
            <w:rPr>
              <w:rFonts w:eastAsiaTheme="minorEastAsia"/>
              <w:noProof/>
              <w:kern w:val="2"/>
              <w:sz w:val="24"/>
              <w:szCs w:val="24"/>
              <w:rtl/>
              <w14:ligatures w14:val="standardContextual"/>
            </w:rPr>
          </w:pPr>
          <w:hyperlink w:anchor="_Toc234607866" w:history="1">
            <w:r w:rsidRPr="00F9081D">
              <w:rPr>
                <w:rStyle w:val="Hyperlink"/>
                <w:noProof/>
                <w:rtl/>
              </w:rPr>
              <w:t>أ‌.</w:t>
            </w:r>
            <w:r>
              <w:rPr>
                <w:rFonts w:eastAsiaTheme="minorEastAsia"/>
                <w:noProof/>
                <w:kern w:val="2"/>
                <w:sz w:val="24"/>
                <w:szCs w:val="24"/>
                <w:rtl/>
                <w14:ligatures w14:val="standardContextual"/>
              </w:rPr>
              <w:tab/>
            </w:r>
            <w:r w:rsidRPr="00F9081D">
              <w:rPr>
                <w:rStyle w:val="Hyperlink"/>
                <w:rFonts w:ascii="T" w:hAnsi="T" w:cs="Simplified Arabic"/>
                <w:noProof/>
                <w:shd w:val="clear" w:color="auto" w:fill="FFFFFF"/>
                <w:rtl/>
              </w:rPr>
              <w:t>أدوات التحليل المالي ومعايير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Toc234607866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50994B7" w14:textId="6B7DDC73" w:rsidR="00AC44CC" w:rsidRDefault="00AC44CC" w:rsidP="004908D6">
          <w:pPr>
            <w:pStyle w:val="TOC3"/>
            <w:rPr>
              <w:rFonts w:eastAsiaTheme="minorEastAsia"/>
              <w:noProof/>
              <w:kern w:val="2"/>
              <w:sz w:val="24"/>
              <w:szCs w:val="24"/>
              <w:rtl/>
              <w14:ligatures w14:val="standardContextual"/>
            </w:rPr>
          </w:pPr>
          <w:hyperlink w:anchor="_Toc234607867" w:history="1">
            <w:r w:rsidRPr="00F9081D">
              <w:rPr>
                <w:rStyle w:val="Hyperlink"/>
                <w:noProof/>
                <w:rtl/>
              </w:rPr>
              <w:t>ب‌.</w:t>
            </w:r>
            <w:r>
              <w:rPr>
                <w:rFonts w:eastAsiaTheme="minorEastAsia"/>
                <w:noProof/>
                <w:kern w:val="2"/>
                <w:sz w:val="24"/>
                <w:szCs w:val="24"/>
                <w:rtl/>
                <w14:ligatures w14:val="standardContextual"/>
              </w:rPr>
              <w:tab/>
            </w:r>
            <w:r w:rsidRPr="00F9081D">
              <w:rPr>
                <w:rStyle w:val="Hyperlink"/>
                <w:rFonts w:ascii="T" w:hAnsi="T" w:cs="Simplified Arabic"/>
                <w:noProof/>
                <w:shd w:val="clear" w:color="auto" w:fill="FFFFFF"/>
                <w:rtl/>
              </w:rPr>
              <w:t>مؤشرات مستوى الخدمة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1B9B04A1" w14:textId="6544EFEA" w:rsidR="00AC44CC" w:rsidRDefault="00AC44CC" w:rsidP="004908D6">
          <w:pPr>
            <w:pStyle w:val="TOC3"/>
            <w:rPr>
              <w:rFonts w:eastAsiaTheme="minorEastAsia"/>
              <w:noProof/>
              <w:kern w:val="2"/>
              <w:sz w:val="24"/>
              <w:szCs w:val="24"/>
              <w:rtl/>
              <w14:ligatures w14:val="standardContextual"/>
            </w:rPr>
          </w:pPr>
          <w:hyperlink w:anchor="_Toc234607868" w:history="1">
            <w:r w:rsidRPr="00F9081D">
              <w:rPr>
                <w:rStyle w:val="Hyperlink"/>
                <w:noProof/>
                <w:rtl/>
              </w:rPr>
              <w:t>ت‌.</w:t>
            </w:r>
            <w:r>
              <w:rPr>
                <w:rFonts w:eastAsiaTheme="minorEastAsia"/>
                <w:noProof/>
                <w:kern w:val="2"/>
                <w:sz w:val="24"/>
                <w:szCs w:val="24"/>
                <w:rtl/>
                <w14:ligatures w14:val="standardContextual"/>
              </w:rPr>
              <w:tab/>
            </w:r>
            <w:r w:rsidRPr="00F9081D">
              <w:rPr>
                <w:rStyle w:val="Hyperlink"/>
                <w:rFonts w:ascii="T" w:hAnsi="T" w:cs="Simplified Arabic"/>
                <w:noProof/>
                <w:shd w:val="clear" w:color="auto" w:fill="FFFFFF"/>
                <w:rtl/>
              </w:rPr>
              <w:t>أداة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Toc234607868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250D474B" w14:textId="535F42EC" w:rsidR="00AC44CC" w:rsidRDefault="00AC44CC" w:rsidP="004908D6">
          <w:pPr>
            <w:pStyle w:val="TOC3"/>
            <w:rPr>
              <w:rFonts w:eastAsiaTheme="minorEastAsia"/>
              <w:noProof/>
              <w:kern w:val="2"/>
              <w:sz w:val="24"/>
              <w:szCs w:val="24"/>
              <w:rtl/>
              <w14:ligatures w14:val="standardContextual"/>
            </w:rPr>
          </w:pPr>
          <w:hyperlink w:anchor="_Toc234607869" w:history="1">
            <w:r w:rsidRPr="00F9081D">
              <w:rPr>
                <w:rStyle w:val="Hyperlink"/>
                <w:noProof/>
                <w:rtl/>
              </w:rPr>
              <w:t>ث‌.</w:t>
            </w:r>
            <w:r>
              <w:rPr>
                <w:rFonts w:eastAsiaTheme="minorEastAsia"/>
                <w:noProof/>
                <w:kern w:val="2"/>
                <w:sz w:val="24"/>
                <w:szCs w:val="24"/>
                <w:rtl/>
                <w14:ligatures w14:val="standardContextual"/>
              </w:rPr>
              <w:tab/>
            </w:r>
            <w:r w:rsidRPr="00F9081D">
              <w:rPr>
                <w:rStyle w:val="Hyperlink"/>
                <w:rFonts w:ascii="T" w:hAnsi="T" w:cs="Simplified Arabic"/>
                <w:noProof/>
                <w:shd w:val="clear" w:color="auto" w:fill="FFFFFF"/>
                <w:rtl/>
              </w:rPr>
              <w:t>المتغيرات الضابطة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Toc234607869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0974C192" w14:textId="2CC2B5A7" w:rsidR="00AC44CC" w:rsidRDefault="00AC44CC">
          <w:pPr>
            <w:pStyle w:val="TOC2"/>
            <w:rPr>
              <w:rFonts w:eastAsiaTheme="minorEastAsia"/>
              <w:noProof/>
              <w:kern w:val="2"/>
              <w:sz w:val="24"/>
              <w:szCs w:val="24"/>
              <w:rtl/>
              <w14:ligatures w14:val="standardContextual"/>
            </w:rPr>
          </w:pPr>
          <w:hyperlink w:anchor="_Toc234607870" w:history="1">
            <w:r w:rsidRPr="00F9081D">
              <w:rPr>
                <w:rStyle w:val="Hyperlink"/>
                <w:rFonts w:ascii="T" w:hAnsi="T" w:cs="Simplified Arabic"/>
                <w:noProof/>
                <w:shd w:val="clear" w:color="auto" w:fill="FFFFF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Toc234607870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5F32AFCA" w14:textId="02E0D53A" w:rsidR="00AC44CC" w:rsidRDefault="00AC44CC">
          <w:pPr>
            <w:pStyle w:val="TOC1"/>
            <w:rPr>
              <w:rFonts w:eastAsiaTheme="minorEastAsia"/>
              <w:noProof/>
              <w:kern w:val="2"/>
              <w:sz w:val="24"/>
              <w:szCs w:val="24"/>
              <w:rtl/>
              <w14:ligatures w14:val="standardContextual"/>
            </w:rPr>
          </w:pPr>
          <w:hyperlink w:anchor="_Toc234607871" w:history="1">
            <w:r w:rsidRPr="00F9081D">
              <w:rPr>
                <w:rStyle w:val="Hyperlink"/>
                <w:rFonts w:ascii="T" w:hAnsi="T" w:cs="Simplified Arabic"/>
                <w:b/>
                <w:bCs/>
                <w:noProof/>
                <w:shd w:val="clear" w:color="auto" w:fill="FFFFFF"/>
                <w:rtl/>
              </w:rPr>
              <w:t>الفصل الثاني: الإطار النظري للدراسة (مراجعة الأدبيات ذات العلاقة)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68EC99A" w14:textId="4961FF37" w:rsidR="00AC44CC" w:rsidRDefault="00AC44CC">
          <w:pPr>
            <w:pStyle w:val="TOC1"/>
            <w:rPr>
              <w:rFonts w:eastAsiaTheme="minorEastAsia"/>
              <w:noProof/>
              <w:kern w:val="2"/>
              <w:sz w:val="24"/>
              <w:szCs w:val="24"/>
              <w:rtl/>
              <w14:ligatures w14:val="standardContextual"/>
            </w:rPr>
          </w:pPr>
          <w:hyperlink w:anchor="_Toc234607872" w:history="1">
            <w:r w:rsidRPr="00F9081D">
              <w:rPr>
                <w:rStyle w:val="Hyperlink"/>
                <w:rFonts w:ascii="T" w:hAnsi="T" w:cs="Simplified Arabic"/>
                <w:b/>
                <w:bCs/>
                <w:noProof/>
                <w:shd w:val="clear" w:color="auto" w:fill="FFFFFF"/>
                <w:rtl/>
              </w:rPr>
              <w:t>منهجية مراجعة الأدبيات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Toc234607872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1ED8DE08" w14:textId="4B5C80FC" w:rsidR="00AC44CC" w:rsidRDefault="00AC44CC" w:rsidP="004908D6">
          <w:pPr>
            <w:pStyle w:val="TOC3"/>
            <w:rPr>
              <w:rFonts w:eastAsiaTheme="minorEastAsia"/>
              <w:noProof/>
              <w:kern w:val="2"/>
              <w:sz w:val="24"/>
              <w:szCs w:val="24"/>
              <w:rtl/>
              <w14:ligatures w14:val="standardContextual"/>
            </w:rPr>
          </w:pPr>
          <w:hyperlink w:anchor="_Toc234607873" w:history="1">
            <w:r w:rsidRPr="00F9081D">
              <w:rPr>
                <w:rStyle w:val="Hyperlink"/>
                <w:rFonts w:ascii="T" w:eastAsiaTheme="majorEastAsia" w:hAnsi="T" w:cs="Simplified Arabic"/>
                <w:b/>
                <w:bCs/>
                <w:noProof/>
                <w:shd w:val="clear" w:color="auto" w:fill="FFFFFF"/>
                <w:rtl/>
              </w:rPr>
              <w:t>أولاً: قواعد البيانات والمصادر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Toc234607873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00CA9E85" w14:textId="74BC7E58" w:rsidR="00AC44CC" w:rsidRDefault="00AC44CC" w:rsidP="004908D6">
          <w:pPr>
            <w:pStyle w:val="TOC3"/>
            <w:rPr>
              <w:rFonts w:eastAsiaTheme="minorEastAsia"/>
              <w:noProof/>
              <w:kern w:val="2"/>
              <w:sz w:val="24"/>
              <w:szCs w:val="24"/>
              <w:rtl/>
              <w14:ligatures w14:val="standardContextual"/>
            </w:rPr>
          </w:pPr>
          <w:hyperlink w:anchor="_Toc234607874" w:history="1">
            <w:r w:rsidRPr="00F9081D">
              <w:rPr>
                <w:rStyle w:val="Hyperlink"/>
                <w:rFonts w:ascii="T" w:eastAsiaTheme="majorEastAsia" w:hAnsi="T" w:cs="Simplified Arabic"/>
                <w:b/>
                <w:bCs/>
                <w:noProof/>
                <w:shd w:val="clear" w:color="auto" w:fill="FFFFFF"/>
                <w:rtl/>
              </w:rPr>
              <w:t>قواعد البيانات العلمية المحكمة</w:t>
            </w:r>
            <w:r w:rsidRPr="00F9081D">
              <w:rPr>
                <w:rStyle w:val="Hyperlink"/>
                <w:rFonts w:ascii="T" w:eastAsiaTheme="majorEastAsia" w:hAnsi="T" w:cs="Simplified Arabic"/>
                <w:b/>
                <w:bCs/>
                <w:noProof/>
                <w:shd w:val="clear" w:color="auto" w:fill="FFFFF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Toc234607874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82FFDF9" w14:textId="2623F11E" w:rsidR="00AC44CC" w:rsidRDefault="00AC44CC" w:rsidP="004908D6">
          <w:pPr>
            <w:pStyle w:val="TOC3"/>
            <w:rPr>
              <w:rFonts w:eastAsiaTheme="minorEastAsia"/>
              <w:noProof/>
              <w:kern w:val="2"/>
              <w:sz w:val="24"/>
              <w:szCs w:val="24"/>
              <w:rtl/>
              <w14:ligatures w14:val="standardContextual"/>
            </w:rPr>
          </w:pPr>
          <w:hyperlink w:anchor="_Toc234607875" w:history="1">
            <w:r w:rsidRPr="00F9081D">
              <w:rPr>
                <w:rStyle w:val="Hyperlink"/>
                <w:rFonts w:ascii="T" w:eastAsiaTheme="majorEastAsia" w:hAnsi="T" w:cs="Simplified Arabic"/>
                <w:b/>
                <w:bCs/>
                <w:noProof/>
                <w:shd w:val="clear" w:color="auto" w:fill="FFFFFF"/>
                <w:rtl/>
              </w:rPr>
              <w:t>المصادر الرسمية والتقارير</w:t>
            </w:r>
            <w:r w:rsidRPr="00F9081D">
              <w:rPr>
                <w:rStyle w:val="Hyperlink"/>
                <w:rFonts w:ascii="T" w:eastAsiaTheme="majorEastAsia" w:hAnsi="T" w:cs="Simplified Arabic"/>
                <w:b/>
                <w:bCs/>
                <w:noProof/>
                <w:shd w:val="clear" w:color="auto" w:fill="FFFFF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Toc234607875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642F395C" w14:textId="4B107356" w:rsidR="00AC44CC" w:rsidRDefault="00AC44CC" w:rsidP="004908D6">
          <w:pPr>
            <w:pStyle w:val="TOC3"/>
            <w:rPr>
              <w:rFonts w:eastAsiaTheme="minorEastAsia"/>
              <w:noProof/>
              <w:kern w:val="2"/>
              <w:sz w:val="24"/>
              <w:szCs w:val="24"/>
              <w:rtl/>
              <w14:ligatures w14:val="standardContextual"/>
            </w:rPr>
          </w:pPr>
          <w:hyperlink w:anchor="_Toc234607876" w:history="1">
            <w:r w:rsidRPr="00F9081D">
              <w:rPr>
                <w:rStyle w:val="Hyperlink"/>
                <w:rFonts w:ascii="T" w:eastAsiaTheme="majorEastAsia" w:hAnsi="T" w:cs="Simplified Arabic"/>
                <w:b/>
                <w:bCs/>
                <w:noProof/>
                <w:shd w:val="clear" w:color="auto" w:fill="FFFFFF"/>
                <w:rtl/>
              </w:rPr>
              <w:t>ثانياً: الكلمات المفتاحية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Toc234607876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2B86634" w14:textId="26C4B140" w:rsidR="00AC44CC" w:rsidRDefault="00AC44CC">
          <w:pPr>
            <w:pStyle w:val="TOC1"/>
            <w:rPr>
              <w:rFonts w:eastAsiaTheme="minorEastAsia"/>
              <w:noProof/>
              <w:kern w:val="2"/>
              <w:sz w:val="24"/>
              <w:szCs w:val="24"/>
              <w:rtl/>
              <w14:ligatures w14:val="standardContextual"/>
            </w:rPr>
          </w:pPr>
          <w:hyperlink w:anchor="_Toc234607877" w:history="1">
            <w:r w:rsidRPr="00F9081D">
              <w:rPr>
                <w:rStyle w:val="Hyperlink"/>
                <w:rFonts w:ascii="T" w:hAnsi="T" w:cs="Simplified Arabic"/>
                <w:b/>
                <w:bCs/>
                <w:noProof/>
                <w:rtl/>
              </w:rPr>
              <w:t>النظريات المفسرة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Toc234607877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77357BF4" w14:textId="7CB1CEAE" w:rsidR="00AC44CC" w:rsidRDefault="00AC44CC">
          <w:pPr>
            <w:pStyle w:val="TOC2"/>
            <w:rPr>
              <w:rFonts w:eastAsiaTheme="minorEastAsia"/>
              <w:noProof/>
              <w:kern w:val="2"/>
              <w:sz w:val="24"/>
              <w:szCs w:val="24"/>
              <w:rtl/>
              <w14:ligatures w14:val="standardContextual"/>
            </w:rPr>
          </w:pPr>
          <w:hyperlink w:anchor="_Toc234607878" w:history="1">
            <w:r w:rsidRPr="00F9081D">
              <w:rPr>
                <w:rStyle w:val="Hyperlink"/>
                <w:rFonts w:ascii="T" w:hAnsi="T" w:cs="Simplified Arabic"/>
                <w:b/>
                <w:bCs/>
                <w:noProof/>
                <w:rtl/>
              </w:rPr>
              <w:t>نظرية الوكالة</w:t>
            </w:r>
            <w:r w:rsidRPr="00F9081D">
              <w:rPr>
                <w:rStyle w:val="Hyperlink"/>
                <w:rFonts w:ascii="T" w:hAnsi="T" w:cs="Simplified Arabic"/>
                <w:b/>
                <w:bCs/>
                <w:noProof/>
              </w:rPr>
              <w:t xml:space="preserve"> (Agency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Toc234607878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9E14025" w14:textId="22FCA2D4" w:rsidR="00AC44CC" w:rsidRDefault="00AC44CC">
          <w:pPr>
            <w:pStyle w:val="TOC2"/>
            <w:rPr>
              <w:rFonts w:eastAsiaTheme="minorEastAsia"/>
              <w:noProof/>
              <w:kern w:val="2"/>
              <w:sz w:val="24"/>
              <w:szCs w:val="24"/>
              <w:rtl/>
              <w14:ligatures w14:val="standardContextual"/>
            </w:rPr>
          </w:pPr>
          <w:hyperlink w:anchor="_Toc234607879" w:history="1">
            <w:r w:rsidRPr="00F9081D">
              <w:rPr>
                <w:rStyle w:val="Hyperlink"/>
                <w:rFonts w:ascii="T" w:hAnsi="T" w:cs="Simplified Arabic"/>
                <w:b/>
                <w:bCs/>
                <w:noProof/>
                <w:rtl/>
              </w:rPr>
              <w:t>1.</w:t>
            </w:r>
            <w:r>
              <w:rPr>
                <w:rFonts w:eastAsiaTheme="minorEastAsia"/>
                <w:noProof/>
                <w:kern w:val="2"/>
                <w:sz w:val="24"/>
                <w:szCs w:val="24"/>
                <w:rtl/>
                <w14:ligatures w14:val="standardContextual"/>
              </w:rPr>
              <w:tab/>
            </w:r>
            <w:r w:rsidRPr="00F9081D">
              <w:rPr>
                <w:rStyle w:val="Hyperlink"/>
                <w:rFonts w:ascii="T" w:hAnsi="T" w:cs="Simplified Arabic"/>
                <w:b/>
                <w:bCs/>
                <w:noProof/>
                <w:rtl/>
              </w:rPr>
              <w:t>نظرة عامة عن الشراكة مع القطاع 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Toc234607879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3166A9A1" w14:textId="6EBBD58E" w:rsidR="00AC44CC" w:rsidRDefault="00AC44CC">
          <w:pPr>
            <w:pStyle w:val="TOC2"/>
            <w:rPr>
              <w:rFonts w:eastAsiaTheme="minorEastAsia"/>
              <w:noProof/>
              <w:kern w:val="2"/>
              <w:sz w:val="24"/>
              <w:szCs w:val="24"/>
              <w:rtl/>
              <w14:ligatures w14:val="standardContextual"/>
            </w:rPr>
          </w:pPr>
          <w:hyperlink w:anchor="_Toc234607880" w:history="1">
            <w:r w:rsidRPr="00F9081D">
              <w:rPr>
                <w:rStyle w:val="Hyperlink"/>
                <w:rFonts w:ascii="T" w:hAnsi="T" w:cs="Simplified Arabic"/>
                <w:b/>
                <w:bCs/>
                <w:noProof/>
                <w:rtl/>
              </w:rPr>
              <w:t>2.</w:t>
            </w:r>
            <w:r>
              <w:rPr>
                <w:rFonts w:eastAsiaTheme="minorEastAsia"/>
                <w:noProof/>
                <w:kern w:val="2"/>
                <w:sz w:val="24"/>
                <w:szCs w:val="24"/>
                <w:rtl/>
                <w14:ligatures w14:val="standardContextual"/>
              </w:rPr>
              <w:tab/>
            </w:r>
            <w:r w:rsidRPr="00F9081D">
              <w:rPr>
                <w:rStyle w:val="Hyperlink"/>
                <w:rFonts w:ascii="T" w:hAnsi="T" w:cs="Simplified Arabic"/>
                <w:b/>
                <w:bCs/>
                <w:noProof/>
                <w:rtl/>
              </w:rPr>
              <w:t>منافع وفوائد الشراكة مع القطاع 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Toc234607880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4A864554" w14:textId="12A56495" w:rsidR="00AC44CC" w:rsidRDefault="00AC44CC">
          <w:pPr>
            <w:pStyle w:val="TOC2"/>
            <w:rPr>
              <w:rFonts w:eastAsiaTheme="minorEastAsia"/>
              <w:noProof/>
              <w:kern w:val="2"/>
              <w:sz w:val="24"/>
              <w:szCs w:val="24"/>
              <w:rtl/>
              <w14:ligatures w14:val="standardContextual"/>
            </w:rPr>
          </w:pPr>
          <w:hyperlink w:anchor="_Toc234607881" w:history="1">
            <w:r w:rsidRPr="00F9081D">
              <w:rPr>
                <w:rStyle w:val="Hyperlink"/>
                <w:rFonts w:ascii="T" w:hAnsi="T" w:cs="Simplified Arabic"/>
                <w:b/>
                <w:bCs/>
                <w:noProof/>
                <w:rtl/>
              </w:rPr>
              <w:t>3.</w:t>
            </w:r>
            <w:r>
              <w:rPr>
                <w:rFonts w:eastAsiaTheme="minorEastAsia"/>
                <w:noProof/>
                <w:kern w:val="2"/>
                <w:sz w:val="24"/>
                <w:szCs w:val="24"/>
                <w:rtl/>
                <w14:ligatures w14:val="standardContextual"/>
              </w:rPr>
              <w:tab/>
            </w:r>
            <w:r w:rsidRPr="00F9081D">
              <w:rPr>
                <w:rStyle w:val="Hyperlink"/>
                <w:rFonts w:ascii="T" w:hAnsi="T" w:cs="Simplified Arabic"/>
                <w:b/>
                <w:bCs/>
                <w:noProof/>
                <w:rtl/>
              </w:rPr>
              <w:t>أنواع العقود وطرق التعاقد بين القطاعين العام والخاص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Toc234607881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C1E7811" w14:textId="06DEA0BB" w:rsidR="00AC44CC" w:rsidRDefault="00AC44CC">
          <w:pPr>
            <w:pStyle w:val="TOC2"/>
            <w:rPr>
              <w:rFonts w:eastAsiaTheme="minorEastAsia"/>
              <w:noProof/>
              <w:kern w:val="2"/>
              <w:sz w:val="24"/>
              <w:szCs w:val="24"/>
              <w:rtl/>
              <w14:ligatures w14:val="standardContextual"/>
            </w:rPr>
          </w:pPr>
          <w:hyperlink w:anchor="_Toc234607882" w:history="1">
            <w:r w:rsidRPr="00F9081D">
              <w:rPr>
                <w:rStyle w:val="Hyperlink"/>
                <w:rFonts w:ascii="T" w:hAnsi="T" w:cs="Simplified Arabic"/>
                <w:b/>
                <w:bCs/>
                <w:noProof/>
                <w:rtl/>
              </w:rPr>
              <w:t>4.</w:t>
            </w:r>
            <w:r>
              <w:rPr>
                <w:rFonts w:eastAsiaTheme="minorEastAsia"/>
                <w:noProof/>
                <w:kern w:val="2"/>
                <w:sz w:val="24"/>
                <w:szCs w:val="24"/>
                <w:rtl/>
                <w14:ligatures w14:val="standardContextual"/>
              </w:rPr>
              <w:tab/>
            </w:r>
            <w:r w:rsidRPr="00F9081D">
              <w:rPr>
                <w:rStyle w:val="Hyperlink"/>
                <w:rFonts w:ascii="T" w:hAnsi="T" w:cs="Simplified Arabic"/>
                <w:b/>
                <w:bCs/>
                <w:noProof/>
                <w:rtl/>
              </w:rPr>
              <w:t>الحوكمة 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Toc234607882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7F0E1C4" w14:textId="265796A9" w:rsidR="00AC44CC" w:rsidRDefault="00AC44CC">
          <w:pPr>
            <w:pStyle w:val="TOC2"/>
            <w:rPr>
              <w:rFonts w:eastAsiaTheme="minorEastAsia"/>
              <w:noProof/>
              <w:kern w:val="2"/>
              <w:sz w:val="24"/>
              <w:szCs w:val="24"/>
              <w:rtl/>
              <w14:ligatures w14:val="standardContextual"/>
            </w:rPr>
          </w:pPr>
          <w:hyperlink w:anchor="_Toc234607883" w:history="1">
            <w:r w:rsidRPr="00F9081D">
              <w:rPr>
                <w:rStyle w:val="Hyperlink"/>
                <w:rFonts w:ascii="T" w:hAnsi="T" w:cs="Simplified Arabic"/>
                <w:b/>
                <w:bCs/>
                <w:noProof/>
                <w:rtl/>
              </w:rPr>
              <w:t>5.</w:t>
            </w:r>
            <w:r>
              <w:rPr>
                <w:rFonts w:eastAsiaTheme="minorEastAsia"/>
                <w:noProof/>
                <w:kern w:val="2"/>
                <w:sz w:val="24"/>
                <w:szCs w:val="24"/>
                <w:rtl/>
                <w14:ligatures w14:val="standardContextual"/>
              </w:rPr>
              <w:tab/>
            </w:r>
            <w:r w:rsidRPr="00F9081D">
              <w:rPr>
                <w:rStyle w:val="Hyperlink"/>
                <w:rFonts w:ascii="T" w:hAnsi="T" w:cs="Simplified Arabic"/>
                <w:b/>
                <w:bCs/>
                <w:noProof/>
                <w:rtl/>
              </w:rPr>
              <w:t>رؤية المملكة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Toc234607883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4F1201E1" w14:textId="5083F5B6" w:rsidR="00AC44CC" w:rsidRDefault="00AC44CC" w:rsidP="004908D6">
          <w:pPr>
            <w:pStyle w:val="TOC3"/>
            <w:rPr>
              <w:rFonts w:eastAsiaTheme="minorEastAsia"/>
              <w:noProof/>
              <w:kern w:val="2"/>
              <w:sz w:val="24"/>
              <w:szCs w:val="24"/>
              <w:rtl/>
              <w14:ligatures w14:val="standardContextual"/>
            </w:rPr>
          </w:pPr>
          <w:hyperlink w:anchor="_Toc234607884" w:history="1">
            <w:r w:rsidRPr="00F9081D">
              <w:rPr>
                <w:rStyle w:val="Hyperlink"/>
                <w:rFonts w:ascii="T" w:hAnsi="T" w:cs="Simplified Arabic"/>
                <w:noProof/>
                <w:rtl/>
              </w:rPr>
              <w:t>أ‌.</w:t>
            </w:r>
            <w:r>
              <w:rPr>
                <w:rFonts w:eastAsiaTheme="minorEastAsia"/>
                <w:noProof/>
                <w:kern w:val="2"/>
                <w:sz w:val="24"/>
                <w:szCs w:val="24"/>
                <w:rtl/>
                <w14:ligatures w14:val="standardContextual"/>
              </w:rPr>
              <w:tab/>
            </w:r>
            <w:r w:rsidRPr="00F9081D">
              <w:rPr>
                <w:rStyle w:val="Hyperlink"/>
                <w:rFonts w:ascii="T" w:hAnsi="T" w:cs="Simplified Arabic"/>
                <w:noProof/>
                <w:rtl/>
              </w:rPr>
              <w:t>أهداف التنمية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Toc234607884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00DF013D" w14:textId="5BE0E86A" w:rsidR="00AC44CC" w:rsidRDefault="00AC44CC" w:rsidP="004908D6">
          <w:pPr>
            <w:pStyle w:val="TOC3"/>
            <w:rPr>
              <w:rFonts w:eastAsiaTheme="minorEastAsia"/>
              <w:noProof/>
              <w:kern w:val="2"/>
              <w:sz w:val="24"/>
              <w:szCs w:val="24"/>
              <w:rtl/>
              <w14:ligatures w14:val="standardContextual"/>
            </w:rPr>
          </w:pPr>
          <w:hyperlink w:anchor="_Toc234607885" w:history="1">
            <w:r w:rsidRPr="00F9081D">
              <w:rPr>
                <w:rStyle w:val="Hyperlink"/>
                <w:rFonts w:ascii="T" w:hAnsi="T" w:cs="Simplified Arabic"/>
                <w:noProof/>
                <w:rtl/>
              </w:rPr>
              <w:t>ب‌.</w:t>
            </w:r>
            <w:r>
              <w:rPr>
                <w:rFonts w:eastAsiaTheme="minorEastAsia"/>
                <w:noProof/>
                <w:kern w:val="2"/>
                <w:sz w:val="24"/>
                <w:szCs w:val="24"/>
                <w:rtl/>
                <w14:ligatures w14:val="standardContextual"/>
              </w:rPr>
              <w:tab/>
            </w:r>
            <w:r w:rsidRPr="00F9081D">
              <w:rPr>
                <w:rStyle w:val="Hyperlink"/>
                <w:rFonts w:ascii="T" w:hAnsi="T" w:cs="Simplified Arabic"/>
                <w:noProof/>
                <w:rtl/>
              </w:rPr>
              <w:t>انطلاق رؤية المملكة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Toc234607885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63F353D" w14:textId="03C2E8CB" w:rsidR="00AC44CC" w:rsidRDefault="00AC44CC">
          <w:pPr>
            <w:pStyle w:val="TOC2"/>
            <w:rPr>
              <w:rFonts w:eastAsiaTheme="minorEastAsia"/>
              <w:noProof/>
              <w:kern w:val="2"/>
              <w:sz w:val="24"/>
              <w:szCs w:val="24"/>
              <w:rtl/>
              <w14:ligatures w14:val="standardContextual"/>
            </w:rPr>
          </w:pPr>
          <w:hyperlink w:anchor="_Toc234607886" w:history="1">
            <w:r w:rsidRPr="00F9081D">
              <w:rPr>
                <w:rStyle w:val="Hyperlink"/>
                <w:rFonts w:ascii="T" w:hAnsi="T" w:cs="Simplified Arabic"/>
                <w:noProof/>
                <w:rtl/>
              </w:rPr>
              <w:t>6.</w:t>
            </w:r>
            <w:r>
              <w:rPr>
                <w:rFonts w:eastAsiaTheme="minorEastAsia"/>
                <w:noProof/>
                <w:kern w:val="2"/>
                <w:sz w:val="24"/>
                <w:szCs w:val="24"/>
                <w:rtl/>
                <w14:ligatures w14:val="standardContextual"/>
              </w:rPr>
              <w:tab/>
            </w:r>
            <w:r w:rsidRPr="00F9081D">
              <w:rPr>
                <w:rStyle w:val="Hyperlink"/>
                <w:rFonts w:ascii="T" w:hAnsi="T" w:cs="Simplified Arabic"/>
                <w:noProof/>
                <w:rtl/>
              </w:rPr>
              <w:t>قطاع البيئة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Toc234607886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41EA21DA" w14:textId="543EE9A2" w:rsidR="00AC44CC" w:rsidRDefault="00AC44CC" w:rsidP="004908D6">
          <w:pPr>
            <w:pStyle w:val="TOC3"/>
            <w:rPr>
              <w:rFonts w:eastAsiaTheme="minorEastAsia"/>
              <w:noProof/>
              <w:kern w:val="2"/>
              <w:sz w:val="24"/>
              <w:szCs w:val="24"/>
              <w:rtl/>
              <w14:ligatures w14:val="standardContextual"/>
            </w:rPr>
          </w:pPr>
          <w:hyperlink w:anchor="_Toc234607887" w:history="1">
            <w:r w:rsidRPr="00F9081D">
              <w:rPr>
                <w:rStyle w:val="Hyperlink"/>
                <w:rFonts w:ascii="T" w:hAnsi="T" w:cs="Simplified Arabic"/>
                <w:noProof/>
                <w:rtl/>
              </w:rPr>
              <w:t>أ‌.</w:t>
            </w:r>
            <w:r>
              <w:rPr>
                <w:rFonts w:eastAsiaTheme="minorEastAsia"/>
                <w:noProof/>
                <w:kern w:val="2"/>
                <w:sz w:val="24"/>
                <w:szCs w:val="24"/>
                <w:rtl/>
                <w14:ligatures w14:val="standardContextual"/>
              </w:rPr>
              <w:tab/>
            </w:r>
            <w:r w:rsidRPr="00F9081D">
              <w:rPr>
                <w:rStyle w:val="Hyperlink"/>
                <w:rFonts w:ascii="T" w:hAnsi="T" w:cs="Simplified Arabic"/>
                <w:noProof/>
                <w:rtl/>
              </w:rPr>
              <w:t>علاقة الرؤية بالتحول بالقطاع في البيئي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Toc234607887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4E21927A" w14:textId="6A6BD659" w:rsidR="00AC44CC" w:rsidRDefault="00AC44CC" w:rsidP="004908D6">
          <w:pPr>
            <w:pStyle w:val="TOC3"/>
            <w:rPr>
              <w:rFonts w:eastAsiaTheme="minorEastAsia"/>
              <w:noProof/>
              <w:kern w:val="2"/>
              <w:sz w:val="24"/>
              <w:szCs w:val="24"/>
              <w:rtl/>
              <w14:ligatures w14:val="standardContextual"/>
            </w:rPr>
          </w:pPr>
          <w:hyperlink w:anchor="_Toc234607888" w:history="1">
            <w:r w:rsidRPr="00F9081D">
              <w:rPr>
                <w:rStyle w:val="Hyperlink"/>
                <w:rFonts w:ascii="T" w:hAnsi="T" w:cs="Simplified Arabic"/>
                <w:noProof/>
                <w:rtl/>
              </w:rPr>
              <w:t>ب‌.</w:t>
            </w:r>
            <w:r>
              <w:rPr>
                <w:rFonts w:eastAsiaTheme="minorEastAsia"/>
                <w:noProof/>
                <w:kern w:val="2"/>
                <w:sz w:val="24"/>
                <w:szCs w:val="24"/>
                <w:rtl/>
                <w14:ligatures w14:val="standardContextual"/>
              </w:rPr>
              <w:tab/>
            </w:r>
            <w:r w:rsidRPr="00F9081D">
              <w:rPr>
                <w:rStyle w:val="Hyperlink"/>
                <w:rFonts w:ascii="T" w:hAnsi="T" w:cs="Simplified Arabic"/>
                <w:noProof/>
                <w:rtl/>
              </w:rPr>
              <w:t>لمحة تاريخية عن قطاع البيئة في المملكة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Toc234607888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78FD2A95" w14:textId="2F5C7D42" w:rsidR="00AC44CC" w:rsidRDefault="00AC44CC" w:rsidP="004908D6">
          <w:pPr>
            <w:pStyle w:val="TOC3"/>
            <w:rPr>
              <w:rFonts w:eastAsiaTheme="minorEastAsia"/>
              <w:noProof/>
              <w:kern w:val="2"/>
              <w:sz w:val="24"/>
              <w:szCs w:val="24"/>
              <w:rtl/>
              <w14:ligatures w14:val="standardContextual"/>
            </w:rPr>
          </w:pPr>
          <w:hyperlink w:anchor="_Toc234607889" w:history="1">
            <w:r w:rsidRPr="00F9081D">
              <w:rPr>
                <w:rStyle w:val="Hyperlink"/>
                <w:rFonts w:ascii="T" w:hAnsi="T" w:cs="Simplified Arabic"/>
                <w:noProof/>
                <w:rtl/>
              </w:rPr>
              <w:t>ت‌.</w:t>
            </w:r>
            <w:r>
              <w:rPr>
                <w:rFonts w:eastAsiaTheme="minorEastAsia"/>
                <w:noProof/>
                <w:kern w:val="2"/>
                <w:sz w:val="24"/>
                <w:szCs w:val="24"/>
                <w:rtl/>
                <w14:ligatures w14:val="standardContextual"/>
              </w:rPr>
              <w:tab/>
            </w:r>
            <w:r w:rsidRPr="00F9081D">
              <w:rPr>
                <w:rStyle w:val="Hyperlink"/>
                <w:rFonts w:ascii="T" w:hAnsi="T" w:cs="Simplified Arabic"/>
                <w:noProof/>
                <w:rtl/>
              </w:rPr>
              <w:t>نبذة عن الجهات المتخصصة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Toc234607889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3579549" w14:textId="0A059866" w:rsidR="00AC44CC" w:rsidRDefault="00AC44CC" w:rsidP="004908D6">
          <w:pPr>
            <w:pStyle w:val="TOC3"/>
            <w:rPr>
              <w:rFonts w:eastAsiaTheme="minorEastAsia"/>
              <w:noProof/>
              <w:kern w:val="2"/>
              <w:sz w:val="24"/>
              <w:szCs w:val="24"/>
              <w:rtl/>
              <w14:ligatures w14:val="standardContextual"/>
            </w:rPr>
          </w:pPr>
          <w:hyperlink w:anchor="_Toc234607890" w:history="1">
            <w:r w:rsidRPr="00F9081D">
              <w:rPr>
                <w:rStyle w:val="Hyperlink"/>
                <w:rFonts w:ascii="T" w:hAnsi="T" w:cs="Simplified Arabic"/>
                <w:noProof/>
                <w:rtl/>
              </w:rPr>
              <w:t>ث‌.</w:t>
            </w:r>
            <w:r>
              <w:rPr>
                <w:rFonts w:eastAsiaTheme="minorEastAsia"/>
                <w:noProof/>
                <w:kern w:val="2"/>
                <w:sz w:val="24"/>
                <w:szCs w:val="24"/>
                <w:rtl/>
                <w14:ligatures w14:val="standardContextual"/>
              </w:rPr>
              <w:tab/>
            </w:r>
            <w:r w:rsidRPr="00F9081D">
              <w:rPr>
                <w:rStyle w:val="Hyperlink"/>
                <w:rFonts w:ascii="T" w:hAnsi="T" w:cs="Simplified Arabic"/>
                <w:noProof/>
                <w:rtl/>
              </w:rPr>
              <w:t>تقرير دراسة الإستراتيجية الوطنية للبيئة (وزارة البيئة والمياه والزراعة، 2018).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Toc234607890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7206CE6F" w14:textId="048C48DB" w:rsidR="00AC44CC" w:rsidRDefault="00AC44CC">
          <w:pPr>
            <w:pStyle w:val="TOC1"/>
            <w:rPr>
              <w:rFonts w:eastAsiaTheme="minorEastAsia"/>
              <w:noProof/>
              <w:kern w:val="2"/>
              <w:sz w:val="24"/>
              <w:szCs w:val="24"/>
              <w:rtl/>
              <w14:ligatures w14:val="standardContextual"/>
            </w:rPr>
          </w:pPr>
          <w:hyperlink w:anchor="_Toc234607891" w:history="1">
            <w:r w:rsidRPr="00F9081D">
              <w:rPr>
                <w:rStyle w:val="Hyperlink"/>
                <w:rFonts w:ascii="T" w:hAnsi="T" w:cs="Simplified Arabic"/>
                <w:b/>
                <w:bCs/>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Toc234607891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0A2A6C04" w14:textId="189EF890" w:rsidR="00AC44CC" w:rsidRDefault="00AC44CC">
          <w:pPr>
            <w:pStyle w:val="TOC2"/>
            <w:rPr>
              <w:rFonts w:eastAsiaTheme="minorEastAsia"/>
              <w:noProof/>
              <w:kern w:val="2"/>
              <w:sz w:val="24"/>
              <w:szCs w:val="24"/>
              <w:rtl/>
              <w14:ligatures w14:val="standardContextual"/>
            </w:rPr>
          </w:pPr>
          <w:hyperlink w:anchor="_Toc234607892" w:history="1">
            <w:r w:rsidRPr="00F9081D">
              <w:rPr>
                <w:rStyle w:val="Hyperlink"/>
                <w:rFonts w:ascii="T" w:hAnsi="T" w:cs="Simplified Arabic"/>
                <w:noProof/>
                <w:rtl/>
                <w:lang w:bidi="ar-EG"/>
              </w:rPr>
              <w:t>المحور الأول: دراسات الشراكات بين القطاعين العام والخاص</w:t>
            </w:r>
            <w:r w:rsidRPr="00F9081D">
              <w:rPr>
                <w:rStyle w:val="Hyperlink"/>
                <w:rFonts w:ascii="T" w:hAnsi="T" w:cs="Simplified Arabic"/>
                <w:noProof/>
                <w:lang w:bidi="ar-EG"/>
              </w:rPr>
              <w:t xml:space="preserve"> (PPP)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Toc234607892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187E9A51" w14:textId="4A25369E" w:rsidR="00AC44CC" w:rsidRDefault="00AC44CC">
          <w:pPr>
            <w:pStyle w:val="TOC2"/>
            <w:rPr>
              <w:rFonts w:eastAsiaTheme="minorEastAsia"/>
              <w:noProof/>
              <w:kern w:val="2"/>
              <w:sz w:val="24"/>
              <w:szCs w:val="24"/>
              <w:rtl/>
              <w14:ligatures w14:val="standardContextual"/>
            </w:rPr>
          </w:pPr>
          <w:hyperlink w:anchor="_Toc234607893" w:history="1">
            <w:r w:rsidRPr="00F9081D">
              <w:rPr>
                <w:rStyle w:val="Hyperlink"/>
                <w:rFonts w:ascii="T" w:hAnsi="T" w:cs="Simplified Arabic"/>
                <w:noProof/>
                <w:rtl/>
              </w:rPr>
              <w:t>المحور الثاني: دراسات الحوكمة 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Toc234607893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4BF2C621" w14:textId="60AAC21A" w:rsidR="00AC44CC" w:rsidRDefault="00AC44CC">
          <w:pPr>
            <w:pStyle w:val="TOC2"/>
            <w:rPr>
              <w:rFonts w:eastAsiaTheme="minorEastAsia"/>
              <w:noProof/>
              <w:kern w:val="2"/>
              <w:sz w:val="24"/>
              <w:szCs w:val="24"/>
              <w:rtl/>
              <w14:ligatures w14:val="standardContextual"/>
            </w:rPr>
          </w:pPr>
          <w:hyperlink w:anchor="_Toc234607894" w:history="1">
            <w:r w:rsidRPr="00F9081D">
              <w:rPr>
                <w:rStyle w:val="Hyperlink"/>
                <w:rFonts w:ascii="T" w:hAnsi="T" w:cs="Simplified Arabic"/>
                <w:noProof/>
                <w:rtl/>
              </w:rPr>
              <w:t>المحور الثالث: دراسات العلاقة بين الشراكات والحوكمة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Toc234607894 \h</w:instrText>
            </w:r>
            <w:r>
              <w:rPr>
                <w:noProof/>
                <w:webHidden/>
                <w:rtl/>
              </w:rPr>
              <w:instrText xml:space="preserve"> </w:instrText>
            </w:r>
            <w:r>
              <w:rPr>
                <w:noProof/>
                <w:webHidden/>
                <w:rtl/>
              </w:rPr>
            </w:r>
            <w:r>
              <w:rPr>
                <w:noProof/>
                <w:webHidden/>
                <w:rtl/>
              </w:rPr>
              <w:fldChar w:fldCharType="separate"/>
            </w:r>
            <w:r>
              <w:rPr>
                <w:noProof/>
                <w:webHidden/>
                <w:rtl/>
              </w:rPr>
              <w:t>120</w:t>
            </w:r>
            <w:r>
              <w:rPr>
                <w:noProof/>
                <w:webHidden/>
                <w:rtl/>
              </w:rPr>
              <w:fldChar w:fldCharType="end"/>
            </w:r>
          </w:hyperlink>
        </w:p>
        <w:p w14:paraId="3BA7BC60" w14:textId="24969761" w:rsidR="00AC44CC" w:rsidRDefault="00AC44CC">
          <w:pPr>
            <w:pStyle w:val="TOC2"/>
            <w:rPr>
              <w:rFonts w:eastAsiaTheme="minorEastAsia"/>
              <w:noProof/>
              <w:kern w:val="2"/>
              <w:sz w:val="24"/>
              <w:szCs w:val="24"/>
              <w:rtl/>
              <w14:ligatures w14:val="standardContextual"/>
            </w:rPr>
          </w:pPr>
          <w:hyperlink w:anchor="_Toc234607895" w:history="1">
            <w:r w:rsidRPr="00F9081D">
              <w:rPr>
                <w:rStyle w:val="Hyperlink"/>
                <w:rFonts w:ascii="T" w:hAnsi="T" w:cs="Simplified Arabic"/>
                <w:noProof/>
                <w:rtl/>
              </w:rPr>
              <w:t>المحور الرابع: دراسات العلاقة بين الحوكمة وإدارة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Toc234607895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2CF2874B" w14:textId="12E873E9" w:rsidR="00AC44CC" w:rsidRDefault="00AC44CC">
          <w:pPr>
            <w:pStyle w:val="TOC2"/>
            <w:rPr>
              <w:rFonts w:eastAsiaTheme="minorEastAsia"/>
              <w:noProof/>
              <w:kern w:val="2"/>
              <w:sz w:val="24"/>
              <w:szCs w:val="24"/>
              <w:rtl/>
              <w14:ligatures w14:val="standardContextual"/>
            </w:rPr>
          </w:pPr>
          <w:hyperlink w:anchor="_Toc234607896" w:history="1">
            <w:r w:rsidRPr="00F9081D">
              <w:rPr>
                <w:rStyle w:val="Hyperlink"/>
                <w:rFonts w:ascii="T" w:hAnsi="T" w:cs="Simplified Arabic"/>
                <w:noProof/>
                <w:rtl/>
              </w:rPr>
              <w:t>المحور الخامس: دراسات في السياق العربي والسعودي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Toc234607896 \h</w:instrText>
            </w:r>
            <w:r>
              <w:rPr>
                <w:noProof/>
                <w:webHidden/>
                <w:rtl/>
              </w:rPr>
              <w:instrText xml:space="preserve"> </w:instrText>
            </w:r>
            <w:r>
              <w:rPr>
                <w:noProof/>
                <w:webHidden/>
                <w:rtl/>
              </w:rPr>
            </w:r>
            <w:r>
              <w:rPr>
                <w:noProof/>
                <w:webHidden/>
                <w:rtl/>
              </w:rPr>
              <w:fldChar w:fldCharType="separate"/>
            </w:r>
            <w:r>
              <w:rPr>
                <w:noProof/>
                <w:webHidden/>
                <w:rtl/>
              </w:rPr>
              <w:t>129</w:t>
            </w:r>
            <w:r>
              <w:rPr>
                <w:noProof/>
                <w:webHidden/>
                <w:rtl/>
              </w:rPr>
              <w:fldChar w:fldCharType="end"/>
            </w:r>
          </w:hyperlink>
        </w:p>
        <w:p w14:paraId="6F3D089B" w14:textId="4F85E492" w:rsidR="00AC44CC" w:rsidRDefault="00AC44CC">
          <w:pPr>
            <w:pStyle w:val="TOC1"/>
            <w:rPr>
              <w:rFonts w:eastAsiaTheme="minorEastAsia"/>
              <w:noProof/>
              <w:kern w:val="2"/>
              <w:sz w:val="24"/>
              <w:szCs w:val="24"/>
              <w:rtl/>
              <w14:ligatures w14:val="standardContextual"/>
            </w:rPr>
          </w:pPr>
          <w:hyperlink w:anchor="_Toc234607897" w:history="1">
            <w:r w:rsidRPr="00F9081D">
              <w:rPr>
                <w:rStyle w:val="Hyperlink"/>
                <w:rFonts w:ascii="Simplified Arabic" w:hAnsi="Simplified Arabic" w:cs="Simplified Arabic"/>
                <w:b/>
                <w:bCs/>
                <w:noProof/>
                <w:highlight w:val="yellow"/>
                <w:rtl/>
                <w:lang w:bidi="ar-EG"/>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Toc234607897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138023A3" w14:textId="04FB927B" w:rsidR="00AC44CC" w:rsidRDefault="00AC44CC">
          <w:pPr>
            <w:pStyle w:val="TOC2"/>
            <w:rPr>
              <w:rFonts w:eastAsiaTheme="minorEastAsia"/>
              <w:noProof/>
              <w:kern w:val="2"/>
              <w:sz w:val="24"/>
              <w:szCs w:val="24"/>
              <w:rtl/>
              <w14:ligatures w14:val="standardContextual"/>
            </w:rPr>
          </w:pPr>
          <w:hyperlink w:anchor="_Toc234607898" w:history="1">
            <w:r w:rsidRPr="00F9081D">
              <w:rPr>
                <w:rStyle w:val="Hyperlink"/>
                <w:rFonts w:ascii="Simplified Arabic" w:eastAsia="Times New Roman"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Toc234607898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35E3EB79" w14:textId="28282246" w:rsidR="00AC44CC" w:rsidRDefault="00AC44CC">
          <w:pPr>
            <w:pStyle w:val="TOC1"/>
            <w:rPr>
              <w:rFonts w:eastAsiaTheme="minorEastAsia"/>
              <w:noProof/>
              <w:kern w:val="2"/>
              <w:sz w:val="24"/>
              <w:szCs w:val="24"/>
              <w:rtl/>
              <w14:ligatures w14:val="standardContextual"/>
            </w:rPr>
          </w:pPr>
          <w:hyperlink w:anchor="_Toc234607899" w:history="1">
            <w:r w:rsidRPr="00F9081D">
              <w:rPr>
                <w:rStyle w:val="Hyperlink"/>
                <w:rFonts w:ascii="Simplified Arabic" w:eastAsia="Times New Roman" w:hAnsi="Simplified Arabic" w:cs="Simplified Arabic"/>
                <w:b/>
                <w:bCs/>
                <w:noProof/>
                <w:kern w:val="36"/>
              </w:rPr>
              <w:t xml:space="preserve">3.1 </w:t>
            </w:r>
            <w:r w:rsidRPr="00F9081D">
              <w:rPr>
                <w:rStyle w:val="Hyperlink"/>
                <w:rFonts w:ascii="Simplified Arabic" w:eastAsia="Times New Roman" w:hAnsi="Simplified Arabic" w:cs="Simplified Arabic"/>
                <w:b/>
                <w:bCs/>
                <w:noProof/>
                <w:kern w:val="36"/>
                <w:rtl/>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Toc234607899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03CD50D6" w14:textId="6CF399F2" w:rsidR="00AC44CC" w:rsidRDefault="00AC44CC">
          <w:pPr>
            <w:pStyle w:val="TOC1"/>
            <w:rPr>
              <w:rFonts w:eastAsiaTheme="minorEastAsia"/>
              <w:noProof/>
              <w:kern w:val="2"/>
              <w:sz w:val="24"/>
              <w:szCs w:val="24"/>
              <w:rtl/>
              <w14:ligatures w14:val="standardContextual"/>
            </w:rPr>
          </w:pPr>
          <w:hyperlink w:anchor="_Toc234607900" w:history="1">
            <w:r w:rsidRPr="00F9081D">
              <w:rPr>
                <w:rStyle w:val="Hyperlink"/>
                <w:rFonts w:ascii="Simplified Arabic" w:eastAsia="Times New Roman" w:hAnsi="Simplified Arabic" w:cs="Simplified Arabic"/>
                <w:b/>
                <w:bCs/>
                <w:noProof/>
                <w:kern w:val="36"/>
              </w:rPr>
              <w:t xml:space="preserve">3.2 </w:t>
            </w:r>
            <w:r w:rsidRPr="00F9081D">
              <w:rPr>
                <w:rStyle w:val="Hyperlink"/>
                <w:rFonts w:ascii="Simplified Arabic" w:eastAsia="Times New Roman" w:hAnsi="Simplified Arabic" w:cs="Simplified Arabic"/>
                <w:b/>
                <w:bCs/>
                <w:noProof/>
                <w:kern w:val="36"/>
                <w:rtl/>
              </w:rPr>
              <w:t>تصميم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Toc234607900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76A2C6FB" w14:textId="56A8E13F" w:rsidR="00AC44CC" w:rsidRDefault="00AC44CC">
          <w:pPr>
            <w:pStyle w:val="TOC1"/>
            <w:rPr>
              <w:rFonts w:eastAsiaTheme="minorEastAsia"/>
              <w:noProof/>
              <w:kern w:val="2"/>
              <w:sz w:val="24"/>
              <w:szCs w:val="24"/>
              <w:rtl/>
              <w14:ligatures w14:val="standardContextual"/>
            </w:rPr>
          </w:pPr>
          <w:hyperlink w:anchor="_Toc234607901" w:history="1">
            <w:r w:rsidRPr="00F9081D">
              <w:rPr>
                <w:rStyle w:val="Hyperlink"/>
                <w:rFonts w:ascii="Simplified Arabic" w:eastAsia="Times New Roman" w:hAnsi="Simplified Arabic" w:cs="Simplified Arabic"/>
                <w:b/>
                <w:bCs/>
                <w:noProof/>
                <w:kern w:val="36"/>
              </w:rPr>
              <w:t xml:space="preserve">3.3 </w:t>
            </w:r>
            <w:r w:rsidRPr="00F9081D">
              <w:rPr>
                <w:rStyle w:val="Hyperlink"/>
                <w:rFonts w:ascii="Simplified Arabic" w:eastAsia="Times New Roman" w:hAnsi="Simplified Arabic" w:cs="Simplified Arabic"/>
                <w:b/>
                <w:bCs/>
                <w:noProof/>
                <w:kern w:val="36"/>
                <w:rtl/>
              </w:rPr>
              <w:t>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Toc234607901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5DB86F96" w14:textId="5BECF9F8" w:rsidR="00AC44CC" w:rsidRDefault="00AC44CC" w:rsidP="004908D6">
          <w:pPr>
            <w:pStyle w:val="TOC3"/>
            <w:rPr>
              <w:rFonts w:eastAsiaTheme="minorEastAsia"/>
              <w:noProof/>
              <w:kern w:val="2"/>
              <w:sz w:val="24"/>
              <w:szCs w:val="24"/>
              <w:rtl/>
              <w14:ligatures w14:val="standardContextual"/>
            </w:rPr>
          </w:pPr>
          <w:hyperlink w:anchor="_Toc234607902" w:history="1">
            <w:r w:rsidRPr="00F9081D">
              <w:rPr>
                <w:rStyle w:val="Hyperlink"/>
                <w:rFonts w:ascii="Simplified Arabic" w:eastAsia="Times New Roman" w:hAnsi="Simplified Arabic" w:cs="Simplified Arabic"/>
                <w:b/>
                <w:bCs/>
                <w:noProof/>
                <w:rtl/>
              </w:rPr>
              <w:t>جدول</w:t>
            </w:r>
            <w:r w:rsidRPr="00F9081D">
              <w:rPr>
                <w:rStyle w:val="Hyperlink"/>
                <w:rFonts w:ascii="Simplified Arabic" w:eastAsia="Times New Roman" w:hAnsi="Simplified Arabic" w:cs="Simplified Arabic"/>
                <w:b/>
                <w:bCs/>
                <w:noProof/>
              </w:rPr>
              <w:t xml:space="preserve">  (3-1)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Toc234607902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079DB69F" w14:textId="53B1B7F7" w:rsidR="00AC44CC" w:rsidRDefault="00AC44CC" w:rsidP="004908D6">
          <w:pPr>
            <w:pStyle w:val="TOC3"/>
            <w:rPr>
              <w:rFonts w:eastAsiaTheme="minorEastAsia"/>
              <w:noProof/>
              <w:kern w:val="2"/>
              <w:sz w:val="24"/>
              <w:szCs w:val="24"/>
              <w:rtl/>
              <w14:ligatures w14:val="standardContextual"/>
            </w:rPr>
          </w:pPr>
          <w:hyperlink w:anchor="_Toc234607903" w:history="1">
            <w:r w:rsidRPr="00F9081D">
              <w:rPr>
                <w:rStyle w:val="Hyperlink"/>
                <w:rFonts w:ascii="Simplified Arabic" w:eastAsia="Times New Roman" w:hAnsi="Simplified Arabic" w:cs="Simplified Arabic"/>
                <w:b/>
                <w:bCs/>
                <w:noProof/>
                <w:rtl/>
              </w:rPr>
              <w:t>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Toc234607903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48739F2B" w14:textId="5874F668" w:rsidR="00AC44CC" w:rsidRDefault="00AC44CC">
          <w:pPr>
            <w:pStyle w:val="TOC1"/>
            <w:rPr>
              <w:rFonts w:eastAsiaTheme="minorEastAsia"/>
              <w:noProof/>
              <w:kern w:val="2"/>
              <w:sz w:val="24"/>
              <w:szCs w:val="24"/>
              <w:rtl/>
              <w14:ligatures w14:val="standardContextual"/>
            </w:rPr>
          </w:pPr>
          <w:hyperlink w:anchor="_Toc234607904" w:history="1">
            <w:r w:rsidRPr="00F9081D">
              <w:rPr>
                <w:rStyle w:val="Hyperlink"/>
                <w:rFonts w:ascii="Simplified Arabic" w:eastAsia="Times New Roman" w:hAnsi="Simplified Arabic" w:cs="Simplified Arabic"/>
                <w:b/>
                <w:bCs/>
                <w:noProof/>
                <w:kern w:val="36"/>
              </w:rPr>
              <w:t xml:space="preserve">3.4 </w:t>
            </w:r>
            <w:r w:rsidRPr="00F9081D">
              <w:rPr>
                <w:rStyle w:val="Hyperlink"/>
                <w:rFonts w:ascii="Simplified Arabic" w:eastAsia="Times New Roman" w:hAnsi="Simplified Arabic" w:cs="Simplified Arabic"/>
                <w:b/>
                <w:bCs/>
                <w:noProof/>
                <w:kern w:val="36"/>
                <w:rtl/>
              </w:rPr>
              <w:t>التعريفات الإجرائية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Toc234607904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16AE114F" w14:textId="051B364A" w:rsidR="00AC44CC" w:rsidRDefault="00AC44CC" w:rsidP="004908D6">
          <w:pPr>
            <w:pStyle w:val="TOC3"/>
            <w:rPr>
              <w:rFonts w:eastAsiaTheme="minorEastAsia"/>
              <w:noProof/>
              <w:kern w:val="2"/>
              <w:sz w:val="24"/>
              <w:szCs w:val="24"/>
              <w:rtl/>
              <w14:ligatures w14:val="standardContextual"/>
            </w:rPr>
          </w:pPr>
          <w:hyperlink w:anchor="_Toc234607905" w:history="1">
            <w:r w:rsidRPr="00F9081D">
              <w:rPr>
                <w:rStyle w:val="Hyperlink"/>
                <w:rFonts w:ascii="Simplified Arabic" w:eastAsia="Times New Roman" w:hAnsi="Simplified Arabic" w:cs="Simplified Arabic"/>
                <w:b/>
                <w:bCs/>
                <w:noProof/>
                <w:rtl/>
              </w:rPr>
              <w:t>جدول</w:t>
            </w:r>
            <w:r w:rsidRPr="00F9081D">
              <w:rPr>
                <w:rStyle w:val="Hyperlink"/>
                <w:rFonts w:ascii="Simplified Arabic" w:eastAsia="Times New Roman" w:hAnsi="Simplified Arabic" w:cs="Simplified Arabic"/>
                <w:b/>
                <w:bCs/>
                <w:noProof/>
              </w:rPr>
              <w:t xml:space="preserve"> (3-2)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Toc234607905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2EDAD1A0" w14:textId="5F3B347A" w:rsidR="00AC44CC" w:rsidRDefault="00AC44CC" w:rsidP="004908D6">
          <w:pPr>
            <w:pStyle w:val="TOC3"/>
            <w:rPr>
              <w:rFonts w:eastAsiaTheme="minorEastAsia"/>
              <w:noProof/>
              <w:kern w:val="2"/>
              <w:sz w:val="24"/>
              <w:szCs w:val="24"/>
              <w:rtl/>
              <w14:ligatures w14:val="standardContextual"/>
            </w:rPr>
          </w:pPr>
          <w:hyperlink w:anchor="_Toc234607906" w:history="1">
            <w:r w:rsidRPr="00F9081D">
              <w:rPr>
                <w:rStyle w:val="Hyperlink"/>
                <w:rFonts w:ascii="Simplified Arabic" w:eastAsia="Times New Roman" w:hAnsi="Simplified Arabic" w:cs="Simplified Arabic"/>
                <w:b/>
                <w:bCs/>
                <w:noProof/>
                <w:rtl/>
              </w:rPr>
              <w:t>التعريفات الإجرائية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Toc234607906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1BA8BD5F" w14:textId="60336C2E" w:rsidR="00AC44CC" w:rsidRDefault="00AC44CC">
          <w:pPr>
            <w:pStyle w:val="TOC1"/>
            <w:rPr>
              <w:rFonts w:eastAsiaTheme="minorEastAsia"/>
              <w:noProof/>
              <w:kern w:val="2"/>
              <w:sz w:val="24"/>
              <w:szCs w:val="24"/>
              <w:rtl/>
              <w14:ligatures w14:val="standardContextual"/>
            </w:rPr>
          </w:pPr>
          <w:hyperlink w:anchor="_Toc234607907" w:history="1">
            <w:r w:rsidRPr="00F9081D">
              <w:rPr>
                <w:rStyle w:val="Hyperlink"/>
                <w:rFonts w:ascii="Simplified Arabic" w:eastAsia="Times New Roman" w:hAnsi="Simplified Arabic" w:cs="Simplified Arabic"/>
                <w:b/>
                <w:bCs/>
                <w:noProof/>
                <w:kern w:val="36"/>
              </w:rPr>
              <w:t xml:space="preserve">3.5 </w:t>
            </w:r>
            <w:r w:rsidRPr="00F9081D">
              <w:rPr>
                <w:rStyle w:val="Hyperlink"/>
                <w:rFonts w:ascii="Simplified Arabic" w:eastAsia="Times New Roman" w:hAnsi="Simplified Arabic" w:cs="Simplified Arabic"/>
                <w:b/>
                <w:bCs/>
                <w:noProof/>
                <w:kern w:val="36"/>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Toc234607907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33759B9C" w14:textId="7383BA8C" w:rsidR="00AC44CC" w:rsidRDefault="00AC44CC">
          <w:pPr>
            <w:pStyle w:val="TOC1"/>
            <w:rPr>
              <w:rFonts w:eastAsiaTheme="minorEastAsia"/>
              <w:noProof/>
              <w:kern w:val="2"/>
              <w:sz w:val="24"/>
              <w:szCs w:val="24"/>
              <w:rtl/>
              <w14:ligatures w14:val="standardContextual"/>
            </w:rPr>
          </w:pPr>
          <w:hyperlink w:anchor="_Toc234607908" w:history="1">
            <w:r w:rsidRPr="00F9081D">
              <w:rPr>
                <w:rStyle w:val="Hyperlink"/>
                <w:rFonts w:ascii="Simplified Arabic" w:eastAsia="Times New Roman" w:hAnsi="Simplified Arabic" w:cs="Simplified Arabic"/>
                <w:b/>
                <w:bCs/>
                <w:noProof/>
                <w:kern w:val="36"/>
              </w:rPr>
              <w:t xml:space="preserve">3.6 </w:t>
            </w:r>
            <w:r w:rsidRPr="00F9081D">
              <w:rPr>
                <w:rStyle w:val="Hyperlink"/>
                <w:rFonts w:ascii="Simplified Arabic" w:eastAsia="Times New Roman" w:hAnsi="Simplified Arabic" w:cs="Simplified Arabic"/>
                <w:b/>
                <w:bCs/>
                <w:noProof/>
                <w:kern w:val="36"/>
                <w:rtl/>
              </w:rPr>
              <w:t>وحدة 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Toc234607908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41DF8F0E" w14:textId="36ED58A7" w:rsidR="00AC44CC" w:rsidRDefault="00AC44CC">
          <w:pPr>
            <w:pStyle w:val="TOC1"/>
            <w:rPr>
              <w:rFonts w:eastAsiaTheme="minorEastAsia"/>
              <w:noProof/>
              <w:kern w:val="2"/>
              <w:sz w:val="24"/>
              <w:szCs w:val="24"/>
              <w:rtl/>
              <w14:ligatures w14:val="standardContextual"/>
            </w:rPr>
          </w:pPr>
          <w:hyperlink w:anchor="_Toc234607909" w:history="1">
            <w:r w:rsidRPr="00F9081D">
              <w:rPr>
                <w:rStyle w:val="Hyperlink"/>
                <w:rFonts w:ascii="Simplified Arabic" w:eastAsia="Times New Roman" w:hAnsi="Simplified Arabic" w:cs="Simplified Arabic"/>
                <w:b/>
                <w:bCs/>
                <w:noProof/>
                <w:kern w:val="36"/>
              </w:rPr>
              <w:t xml:space="preserve">3.7 </w:t>
            </w:r>
            <w:r w:rsidRPr="00F9081D">
              <w:rPr>
                <w:rStyle w:val="Hyperlink"/>
                <w:rFonts w:ascii="Simplified Arabic" w:eastAsia="Times New Roman" w:hAnsi="Simplified Arabic" w:cs="Simplified Arabic"/>
                <w:b/>
                <w:bCs/>
                <w:noProof/>
                <w:kern w:val="36"/>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Toc234607909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387FEEB1" w14:textId="1669C7F3" w:rsidR="00AC44CC" w:rsidRDefault="00AC44CC" w:rsidP="004908D6">
          <w:pPr>
            <w:pStyle w:val="TOC3"/>
            <w:rPr>
              <w:rFonts w:eastAsiaTheme="minorEastAsia"/>
              <w:noProof/>
              <w:kern w:val="2"/>
              <w:sz w:val="24"/>
              <w:szCs w:val="24"/>
              <w:rtl/>
              <w14:ligatures w14:val="standardContextual"/>
            </w:rPr>
          </w:pPr>
          <w:hyperlink w:anchor="_Toc234607910" w:history="1">
            <w:r w:rsidRPr="00F9081D">
              <w:rPr>
                <w:rStyle w:val="Hyperlink"/>
                <w:rFonts w:ascii="Simplified Arabic" w:eastAsia="Times New Roman" w:hAnsi="Simplified Arabic" w:cs="Simplified Arabic"/>
                <w:b/>
                <w:bCs/>
                <w:noProof/>
                <w:rtl/>
              </w:rPr>
              <w:t>جدول</w:t>
            </w:r>
            <w:r w:rsidRPr="00F9081D">
              <w:rPr>
                <w:rStyle w:val="Hyperlink"/>
                <w:rFonts w:ascii="Simplified Arabic" w:eastAsia="Times New Roman" w:hAnsi="Simplified Arabic" w:cs="Simplified Arabic"/>
                <w:b/>
                <w:bCs/>
                <w:noProof/>
              </w:rPr>
              <w:t xml:space="preserve"> (3-3)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Toc234607910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1EF4D7A4" w14:textId="70DA1F30" w:rsidR="00AC44CC" w:rsidRDefault="00AC44CC" w:rsidP="004908D6">
          <w:pPr>
            <w:pStyle w:val="TOC3"/>
            <w:rPr>
              <w:rFonts w:eastAsiaTheme="minorEastAsia"/>
              <w:noProof/>
              <w:kern w:val="2"/>
              <w:sz w:val="24"/>
              <w:szCs w:val="24"/>
              <w:rtl/>
              <w14:ligatures w14:val="standardContextual"/>
            </w:rPr>
          </w:pPr>
          <w:hyperlink w:anchor="_Toc234607911" w:history="1">
            <w:r w:rsidRPr="00F9081D">
              <w:rPr>
                <w:rStyle w:val="Hyperlink"/>
                <w:rFonts w:ascii="Simplified Arabic" w:eastAsia="Times New Roman" w:hAnsi="Simplified Arabic" w:cs="Simplified Arabic"/>
                <w:b/>
                <w:bCs/>
                <w:noProof/>
                <w:rtl/>
              </w:rPr>
              <w:t>التوزيع المقترح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Toc234607911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3201722A" w14:textId="3317E9A8" w:rsidR="00AC44CC" w:rsidRDefault="00AC44CC">
          <w:pPr>
            <w:pStyle w:val="TOC1"/>
            <w:rPr>
              <w:rFonts w:eastAsiaTheme="minorEastAsia"/>
              <w:noProof/>
              <w:kern w:val="2"/>
              <w:sz w:val="24"/>
              <w:szCs w:val="24"/>
              <w:rtl/>
              <w14:ligatures w14:val="standardContextual"/>
            </w:rPr>
          </w:pPr>
          <w:hyperlink w:anchor="_Toc234607912" w:history="1">
            <w:r w:rsidRPr="00F9081D">
              <w:rPr>
                <w:rStyle w:val="Hyperlink"/>
                <w:rFonts w:ascii="Simplified Arabic" w:eastAsia="Times New Roman" w:hAnsi="Simplified Arabic" w:cs="Simplified Arabic"/>
                <w:b/>
                <w:bCs/>
                <w:noProof/>
                <w:kern w:val="36"/>
              </w:rPr>
              <w:t xml:space="preserve">3.8 </w:t>
            </w:r>
            <w:r w:rsidRPr="00F9081D">
              <w:rPr>
                <w:rStyle w:val="Hyperlink"/>
                <w:rFonts w:ascii="Simplified Arabic" w:eastAsia="Times New Roman" w:hAnsi="Simplified Arabic" w:cs="Simplified Arabic"/>
                <w:b/>
                <w:bCs/>
                <w:noProof/>
                <w:kern w:val="36"/>
                <w:rtl/>
              </w:rPr>
              <w:t>مصادر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Toc234607912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7C8588F3" w14:textId="38D599E0" w:rsidR="00AC44CC" w:rsidRDefault="00AC44CC">
          <w:pPr>
            <w:pStyle w:val="TOC1"/>
            <w:rPr>
              <w:rFonts w:eastAsiaTheme="minorEastAsia"/>
              <w:noProof/>
              <w:kern w:val="2"/>
              <w:sz w:val="24"/>
              <w:szCs w:val="24"/>
              <w:rtl/>
              <w14:ligatures w14:val="standardContextual"/>
            </w:rPr>
          </w:pPr>
          <w:hyperlink w:anchor="_Toc234607913" w:history="1">
            <w:r w:rsidRPr="00F9081D">
              <w:rPr>
                <w:rStyle w:val="Hyperlink"/>
                <w:rFonts w:ascii="Simplified Arabic" w:eastAsia="Times New Roman" w:hAnsi="Simplified Arabic" w:cs="Simplified Arabic"/>
                <w:b/>
                <w:bCs/>
                <w:noProof/>
                <w:kern w:val="36"/>
              </w:rPr>
              <w:t xml:space="preserve">3.9 </w:t>
            </w:r>
            <w:r w:rsidRPr="00F9081D">
              <w:rPr>
                <w:rStyle w:val="Hyperlink"/>
                <w:rFonts w:ascii="Simplified Arabic" w:eastAsia="Times New Roman" w:hAnsi="Simplified Arabic" w:cs="Simplified Arabic"/>
                <w:b/>
                <w:bCs/>
                <w:noProof/>
                <w:kern w:val="36"/>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Toc234607913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29E3CE5C" w14:textId="548731CB" w:rsidR="00AC44CC" w:rsidRDefault="00AC44CC" w:rsidP="004908D6">
          <w:pPr>
            <w:pStyle w:val="TOC3"/>
            <w:rPr>
              <w:rFonts w:eastAsiaTheme="minorEastAsia"/>
              <w:noProof/>
              <w:kern w:val="2"/>
              <w:sz w:val="24"/>
              <w:szCs w:val="24"/>
              <w:rtl/>
              <w14:ligatures w14:val="standardContextual"/>
            </w:rPr>
          </w:pPr>
          <w:hyperlink w:anchor="_Toc234607914" w:history="1">
            <w:r w:rsidRPr="00F9081D">
              <w:rPr>
                <w:rStyle w:val="Hyperlink"/>
                <w:rFonts w:ascii="Simplified Arabic" w:eastAsia="Times New Roman" w:hAnsi="Simplified Arabic" w:cs="Simplified Arabic"/>
                <w:b/>
                <w:bCs/>
                <w:noProof/>
                <w:rtl/>
              </w:rPr>
              <w:t>جدول</w:t>
            </w:r>
            <w:r w:rsidRPr="00F9081D">
              <w:rPr>
                <w:rStyle w:val="Hyperlink"/>
                <w:rFonts w:ascii="Simplified Arabic" w:eastAsia="Times New Roman" w:hAnsi="Simplified Arabic" w:cs="Simplified Arabic"/>
                <w:b/>
                <w:bCs/>
                <w:noProof/>
              </w:rPr>
              <w:t xml:space="preserve"> (3-4)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Toc234607914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23707178" w14:textId="24713EE3" w:rsidR="00AC44CC" w:rsidRDefault="00AC44CC" w:rsidP="004908D6">
          <w:pPr>
            <w:pStyle w:val="TOC3"/>
            <w:rPr>
              <w:rFonts w:eastAsiaTheme="minorEastAsia"/>
              <w:noProof/>
              <w:kern w:val="2"/>
              <w:sz w:val="24"/>
              <w:szCs w:val="24"/>
              <w:rtl/>
              <w14:ligatures w14:val="standardContextual"/>
            </w:rPr>
          </w:pPr>
          <w:hyperlink w:anchor="_Toc234607915" w:history="1">
            <w:r w:rsidRPr="00F9081D">
              <w:rPr>
                <w:rStyle w:val="Hyperlink"/>
                <w:rFonts w:ascii="Simplified Arabic" w:eastAsia="Times New Roman" w:hAnsi="Simplified Arabic" w:cs="Simplified Arabic"/>
                <w:b/>
                <w:bCs/>
                <w:noProof/>
                <w:rtl/>
              </w:rPr>
              <w:t>أدوات جمع البيانات ودور كل 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Toc234607915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2BBDDE77" w14:textId="67C32D07" w:rsidR="00AC44CC" w:rsidRDefault="00AC44CC">
          <w:pPr>
            <w:pStyle w:val="TOC1"/>
            <w:rPr>
              <w:rFonts w:eastAsiaTheme="minorEastAsia"/>
              <w:noProof/>
              <w:kern w:val="2"/>
              <w:sz w:val="24"/>
              <w:szCs w:val="24"/>
              <w:rtl/>
              <w14:ligatures w14:val="standardContextual"/>
            </w:rPr>
          </w:pPr>
          <w:hyperlink w:anchor="_Toc234607916" w:history="1">
            <w:r w:rsidRPr="00F9081D">
              <w:rPr>
                <w:rStyle w:val="Hyperlink"/>
                <w:rFonts w:ascii="T" w:eastAsia="Calibri" w:hAnsi="T" w:cs="Simplified Arabic"/>
                <w:b/>
                <w:bCs/>
                <w:noProof/>
                <w:rtl/>
                <w:lang w:bidi="ar-EG"/>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Toc234607916 \h</w:instrText>
            </w:r>
            <w:r>
              <w:rPr>
                <w:noProof/>
                <w:webHidden/>
                <w:rtl/>
              </w:rPr>
              <w:instrText xml:space="preserve"> </w:instrText>
            </w:r>
            <w:r>
              <w:rPr>
                <w:noProof/>
                <w:webHidden/>
                <w:rtl/>
              </w:rPr>
            </w:r>
            <w:r>
              <w:rPr>
                <w:noProof/>
                <w:webHidden/>
                <w:rtl/>
              </w:rPr>
              <w:fldChar w:fldCharType="separate"/>
            </w:r>
            <w:r>
              <w:rPr>
                <w:noProof/>
                <w:webHidden/>
                <w:rtl/>
              </w:rPr>
              <w:t>151</w:t>
            </w:r>
            <w:r>
              <w:rPr>
                <w:noProof/>
                <w:webHidden/>
                <w:rtl/>
              </w:rPr>
              <w:fldChar w:fldCharType="end"/>
            </w:r>
          </w:hyperlink>
        </w:p>
        <w:p w14:paraId="0ADD30B6" w14:textId="2E0C34DA" w:rsidR="002C6EAC" w:rsidRPr="00D550B1" w:rsidRDefault="00FD30BF" w:rsidP="00AC44CC">
          <w:pPr>
            <w:bidi/>
            <w:spacing w:after="0" w:line="240" w:lineRule="auto"/>
            <w:rPr>
              <w:rFonts w:ascii="T" w:hAnsi="T" w:cstheme="majorBidi"/>
              <w:rtl/>
            </w:rPr>
          </w:pPr>
          <w:r w:rsidRPr="00240338">
            <w:rPr>
              <w:rFonts w:ascii="Simplified Arabic" w:hAnsi="Simplified Arabic" w:cs="Simplified Arabic"/>
              <w:sz w:val="20"/>
              <w:szCs w:val="20"/>
            </w:rPr>
            <w:fldChar w:fldCharType="end"/>
          </w:r>
        </w:p>
      </w:sdtContent>
    </w:sdt>
    <w:p w14:paraId="01D8AD95" w14:textId="1FAEAADA" w:rsidR="00E234C5" w:rsidRPr="00B94AD1" w:rsidRDefault="00CB09E2" w:rsidP="002C6EAC">
      <w:pPr>
        <w:pStyle w:val="Heading1"/>
        <w:bidi/>
        <w:rPr>
          <w:rFonts w:ascii="Simplified Arabic" w:hAnsi="Simplified Arabic" w:cs="Simplified Arabic"/>
          <w:b/>
          <w:bCs/>
          <w:color w:val="auto"/>
          <w:sz w:val="24"/>
          <w:szCs w:val="24"/>
          <w:rtl/>
          <w:lang w:bidi="ar-EG"/>
        </w:rPr>
      </w:pPr>
      <w:bookmarkStart w:id="1" w:name="_Toc234607841"/>
      <w:r w:rsidRPr="00B94AD1">
        <w:rPr>
          <w:rFonts w:ascii="Simplified Arabic" w:hAnsi="Simplified Arabic" w:cs="Simplified Arabic"/>
          <w:b/>
          <w:bCs/>
          <w:color w:val="auto"/>
          <w:sz w:val="24"/>
          <w:szCs w:val="24"/>
          <w:rtl/>
        </w:rPr>
        <w:lastRenderedPageBreak/>
        <w:t>قائمة الجداول</w:t>
      </w:r>
      <w:bookmarkEnd w:id="1"/>
    </w:p>
    <w:p w14:paraId="4A23FE2D" w14:textId="4DACB755" w:rsidR="006A6532" w:rsidRPr="00B94AD1" w:rsidRDefault="00FD30BF">
      <w:pPr>
        <w:pStyle w:val="TableofFigures"/>
        <w:tabs>
          <w:tab w:val="right" w:leader="dot" w:pos="8296"/>
        </w:tabs>
        <w:bidi/>
        <w:rPr>
          <w:rFonts w:ascii="Simplified Arabic" w:eastAsiaTheme="minorEastAsia" w:hAnsi="Simplified Arabic" w:cs="Simplified Arabic"/>
          <w:noProof/>
          <w:sz w:val="20"/>
          <w:szCs w:val="20"/>
          <w:rtl/>
        </w:rPr>
      </w:pPr>
      <w:r w:rsidRPr="005D59A7">
        <w:rPr>
          <w:rFonts w:ascii="T" w:hAnsi="T"/>
          <w:rtl/>
        </w:rPr>
        <w:fldChar w:fldCharType="begin"/>
      </w:r>
      <w:r w:rsidR="00920785" w:rsidRPr="005D59A7">
        <w:rPr>
          <w:rFonts w:ascii="T" w:hAnsi="T"/>
          <w:rtl/>
        </w:rPr>
        <w:instrText xml:space="preserve"> </w:instrText>
      </w:r>
      <w:r w:rsidR="00920785" w:rsidRPr="005D59A7">
        <w:rPr>
          <w:rFonts w:ascii="T" w:hAnsi="T"/>
        </w:rPr>
        <w:instrText>TOC</w:instrText>
      </w:r>
      <w:r w:rsidR="00920785" w:rsidRPr="005D59A7">
        <w:rPr>
          <w:rFonts w:ascii="T" w:hAnsi="T"/>
          <w:rtl/>
        </w:rPr>
        <w:instrText xml:space="preserve"> \</w:instrText>
      </w:r>
      <w:r w:rsidR="00920785" w:rsidRPr="005D59A7">
        <w:rPr>
          <w:rFonts w:ascii="T" w:hAnsi="T"/>
        </w:rPr>
        <w:instrText>h \z \c "Table</w:instrText>
      </w:r>
      <w:r w:rsidR="00920785" w:rsidRPr="005D59A7">
        <w:rPr>
          <w:rFonts w:ascii="T" w:hAnsi="T"/>
          <w:rtl/>
        </w:rPr>
        <w:instrText xml:space="preserve">" </w:instrText>
      </w:r>
      <w:r w:rsidRPr="005D59A7">
        <w:rPr>
          <w:rFonts w:ascii="T" w:hAnsi="T"/>
          <w:rtl/>
        </w:rPr>
        <w:fldChar w:fldCharType="separate"/>
      </w:r>
      <w:hyperlink w:anchor="_Toc225991173" w:history="1">
        <w:r w:rsidR="006A6532" w:rsidRPr="00B94AD1">
          <w:rPr>
            <w:rStyle w:val="Hyperlink"/>
            <w:rFonts w:ascii="Simplified Arabic" w:hAnsi="Simplified Arabic" w:cs="Simplified Arabic"/>
            <w:noProof/>
            <w:color w:val="auto"/>
            <w:sz w:val="20"/>
            <w:szCs w:val="20"/>
          </w:rPr>
          <w:t>Table</w:t>
        </w:r>
        <w:r w:rsidR="006A6532" w:rsidRPr="00B94AD1">
          <w:rPr>
            <w:rStyle w:val="Hyperlink"/>
            <w:rFonts w:ascii="Simplified Arabic" w:hAnsi="Simplified Arabic" w:cs="Simplified Arabic"/>
            <w:noProof/>
            <w:color w:val="auto"/>
            <w:sz w:val="20"/>
            <w:szCs w:val="20"/>
            <w:rtl/>
          </w:rPr>
          <w:t xml:space="preserve"> 2: المصطلحات التطبيقية</w:t>
        </w:r>
        <w:r w:rsidR="006A6532" w:rsidRPr="00B94AD1">
          <w:rPr>
            <w:rFonts w:ascii="Simplified Arabic" w:hAnsi="Simplified Arabic" w:cs="Simplified Arabic"/>
            <w:noProof/>
            <w:webHidden/>
            <w:sz w:val="20"/>
            <w:szCs w:val="20"/>
            <w:rtl/>
          </w:rPr>
          <w:tab/>
        </w:r>
        <w:r w:rsidR="006A6532" w:rsidRPr="00B94AD1">
          <w:rPr>
            <w:rStyle w:val="Hyperlink"/>
            <w:rFonts w:ascii="Simplified Arabic" w:hAnsi="Simplified Arabic" w:cs="Simplified Arabic"/>
            <w:noProof/>
            <w:color w:val="auto"/>
            <w:sz w:val="20"/>
            <w:szCs w:val="20"/>
            <w:rtl/>
          </w:rPr>
          <w:fldChar w:fldCharType="begin"/>
        </w:r>
        <w:r w:rsidR="006A6532" w:rsidRPr="00B94AD1">
          <w:rPr>
            <w:rFonts w:ascii="Simplified Arabic" w:hAnsi="Simplified Arabic" w:cs="Simplified Arabic"/>
            <w:noProof/>
            <w:webHidden/>
            <w:sz w:val="20"/>
            <w:szCs w:val="20"/>
            <w:rtl/>
          </w:rPr>
          <w:instrText xml:space="preserve"> </w:instrText>
        </w:r>
        <w:r w:rsidR="006A6532" w:rsidRPr="00B94AD1">
          <w:rPr>
            <w:rFonts w:ascii="Simplified Arabic" w:hAnsi="Simplified Arabic" w:cs="Simplified Arabic"/>
            <w:noProof/>
            <w:webHidden/>
            <w:sz w:val="20"/>
            <w:szCs w:val="20"/>
          </w:rPr>
          <w:instrText>PAGEREF</w:instrText>
        </w:r>
        <w:r w:rsidR="006A6532" w:rsidRPr="00B94AD1">
          <w:rPr>
            <w:rFonts w:ascii="Simplified Arabic" w:hAnsi="Simplified Arabic" w:cs="Simplified Arabic"/>
            <w:noProof/>
            <w:webHidden/>
            <w:sz w:val="20"/>
            <w:szCs w:val="20"/>
            <w:rtl/>
          </w:rPr>
          <w:instrText xml:space="preserve"> _</w:instrText>
        </w:r>
        <w:r w:rsidR="006A6532" w:rsidRPr="00B94AD1">
          <w:rPr>
            <w:rFonts w:ascii="Simplified Arabic" w:hAnsi="Simplified Arabic" w:cs="Simplified Arabic"/>
            <w:noProof/>
            <w:webHidden/>
            <w:sz w:val="20"/>
            <w:szCs w:val="20"/>
          </w:rPr>
          <w:instrText>Toc225991173 \h</w:instrText>
        </w:r>
        <w:r w:rsidR="006A6532" w:rsidRPr="00B94AD1">
          <w:rPr>
            <w:rFonts w:ascii="Simplified Arabic" w:hAnsi="Simplified Arabic" w:cs="Simplified Arabic"/>
            <w:noProof/>
            <w:webHidden/>
            <w:sz w:val="20"/>
            <w:szCs w:val="20"/>
            <w:rtl/>
          </w:rPr>
          <w:instrText xml:space="preserve"> </w:instrText>
        </w:r>
        <w:r w:rsidR="006A6532" w:rsidRPr="00B94AD1">
          <w:rPr>
            <w:rStyle w:val="Hyperlink"/>
            <w:rFonts w:ascii="Simplified Arabic" w:hAnsi="Simplified Arabic" w:cs="Simplified Arabic"/>
            <w:noProof/>
            <w:color w:val="auto"/>
            <w:sz w:val="20"/>
            <w:szCs w:val="20"/>
            <w:rtl/>
          </w:rPr>
        </w:r>
        <w:r w:rsidR="006A6532"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34</w:t>
        </w:r>
        <w:r w:rsidR="006A6532" w:rsidRPr="00B94AD1">
          <w:rPr>
            <w:rStyle w:val="Hyperlink"/>
            <w:rFonts w:ascii="Simplified Arabic" w:hAnsi="Simplified Arabic" w:cs="Simplified Arabic"/>
            <w:noProof/>
            <w:color w:val="auto"/>
            <w:sz w:val="20"/>
            <w:szCs w:val="20"/>
            <w:rtl/>
          </w:rPr>
          <w:fldChar w:fldCharType="end"/>
        </w:r>
      </w:hyperlink>
    </w:p>
    <w:p w14:paraId="61DAD20C" w14:textId="4893EFD6"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4" w:history="1">
        <w:r w:rsidRPr="00B94AD1">
          <w:rPr>
            <w:rStyle w:val="Hyperlink"/>
            <w:rFonts w:ascii="Simplified Arabic" w:hAnsi="Simplified Arabic" w:cs="Simplified Arabic"/>
            <w:noProof/>
            <w:color w:val="auto"/>
            <w:sz w:val="20"/>
            <w:szCs w:val="20"/>
          </w:rPr>
          <w:t>Table 3</w:t>
        </w:r>
        <w:r w:rsidRPr="00B94AD1">
          <w:rPr>
            <w:rStyle w:val="Hyperlink"/>
            <w:rFonts w:ascii="Simplified Arabic" w:hAnsi="Simplified Arabic" w:cs="Simplified Arabic"/>
            <w:noProof/>
            <w:color w:val="auto"/>
            <w:sz w:val="20"/>
            <w:szCs w:val="20"/>
            <w:rtl/>
          </w:rPr>
          <w:t>: الدراسات المرجعية المختارة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Toc225991174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37</w:t>
        </w:r>
        <w:r w:rsidRPr="00B94AD1">
          <w:rPr>
            <w:rStyle w:val="Hyperlink"/>
            <w:rFonts w:ascii="Simplified Arabic" w:hAnsi="Simplified Arabic" w:cs="Simplified Arabic"/>
            <w:noProof/>
            <w:color w:val="auto"/>
            <w:sz w:val="20"/>
            <w:szCs w:val="20"/>
            <w:rtl/>
          </w:rPr>
          <w:fldChar w:fldCharType="end"/>
        </w:r>
      </w:hyperlink>
    </w:p>
    <w:p w14:paraId="22B8FE10" w14:textId="279A46B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5"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4: الجهات التابعة لوزارة البيئة والمياه والزراعة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Toc225991175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84</w:t>
        </w:r>
        <w:r w:rsidRPr="00B94AD1">
          <w:rPr>
            <w:rStyle w:val="Hyperlink"/>
            <w:rFonts w:ascii="Simplified Arabic" w:hAnsi="Simplified Arabic" w:cs="Simplified Arabic"/>
            <w:noProof/>
            <w:color w:val="auto"/>
            <w:sz w:val="20"/>
            <w:szCs w:val="20"/>
            <w:rtl/>
          </w:rPr>
          <w:fldChar w:fldCharType="end"/>
        </w:r>
      </w:hyperlink>
    </w:p>
    <w:p w14:paraId="2DF76E46" w14:textId="15DCF21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6"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5: الجهات البيئية بالمملكة العربية السعودية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Toc225991176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89</w:t>
        </w:r>
        <w:r w:rsidRPr="00B94AD1">
          <w:rPr>
            <w:rStyle w:val="Hyperlink"/>
            <w:rFonts w:ascii="Simplified Arabic" w:hAnsi="Simplified Arabic" w:cs="Simplified Arabic"/>
            <w:noProof/>
            <w:color w:val="auto"/>
            <w:sz w:val="20"/>
            <w:szCs w:val="20"/>
            <w:rtl/>
          </w:rPr>
          <w:fldChar w:fldCharType="end"/>
        </w:r>
      </w:hyperlink>
    </w:p>
    <w:p w14:paraId="084E51B1" w14:textId="1E5E14D0"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7" w:history="1">
        <w:r w:rsidRPr="00B94AD1">
          <w:rPr>
            <w:rStyle w:val="Hyperlink"/>
            <w:rFonts w:ascii="Simplified Arabic" w:hAnsi="Simplified Arabic" w:cs="Simplified Arabic"/>
            <w:noProof/>
            <w:color w:val="auto"/>
            <w:sz w:val="20"/>
            <w:szCs w:val="20"/>
          </w:rPr>
          <w:t>Table</w:t>
        </w:r>
        <w:r w:rsidRPr="00B94AD1">
          <w:rPr>
            <w:rStyle w:val="Hyperlink"/>
            <w:rFonts w:ascii="Simplified Arabic" w:hAnsi="Simplified Arabic" w:cs="Simplified Arabic"/>
            <w:noProof/>
            <w:color w:val="auto"/>
            <w:sz w:val="20"/>
            <w:szCs w:val="20"/>
            <w:rtl/>
          </w:rPr>
          <w:t xml:space="preserve"> 5: تحليل القدرات المختلفة في قطاع البيئة والدروس المستفادة من أفضل الممارسات (الإستراتيجية الوطنية للبيئة)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Toc225991177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99</w:t>
        </w:r>
        <w:r w:rsidRPr="00B94AD1">
          <w:rPr>
            <w:rStyle w:val="Hyperlink"/>
            <w:rFonts w:ascii="Simplified Arabic" w:hAnsi="Simplified Arabic" w:cs="Simplified Arabic"/>
            <w:noProof/>
            <w:color w:val="auto"/>
            <w:sz w:val="20"/>
            <w:szCs w:val="20"/>
            <w:rtl/>
          </w:rPr>
          <w:fldChar w:fldCharType="end"/>
        </w:r>
      </w:hyperlink>
    </w:p>
    <w:p w14:paraId="3E9E65C4" w14:textId="7B28740E" w:rsidR="00714B91" w:rsidRPr="005D59A7" w:rsidRDefault="00FD30BF" w:rsidP="00AA4673">
      <w:pPr>
        <w:bidi/>
        <w:rPr>
          <w:rFonts w:ascii="T" w:hAnsi="T"/>
        </w:rPr>
      </w:pPr>
      <w:r w:rsidRPr="005D59A7">
        <w:rPr>
          <w:rFonts w:ascii="T" w:hAnsi="T"/>
          <w:rtl/>
        </w:rPr>
        <w:fldChar w:fldCharType="end"/>
      </w:r>
    </w:p>
    <w:p w14:paraId="439E7B93" w14:textId="77777777" w:rsidR="00E25EBC" w:rsidRPr="005D59A7" w:rsidRDefault="00E25EBC" w:rsidP="00E25EBC">
      <w:pPr>
        <w:bidi/>
        <w:rPr>
          <w:rFonts w:ascii="T" w:hAnsi="T"/>
          <w:rtl/>
        </w:rPr>
      </w:pPr>
    </w:p>
    <w:p w14:paraId="3C2F3D60" w14:textId="77777777" w:rsidR="00CB09E2" w:rsidRPr="004F16E5" w:rsidRDefault="00CB09E2" w:rsidP="00E234C5">
      <w:pPr>
        <w:pStyle w:val="Heading1"/>
        <w:bidi/>
        <w:rPr>
          <w:rFonts w:ascii="Simplified Arabic" w:hAnsi="Simplified Arabic" w:cs="Simplified Arabic"/>
          <w:b/>
          <w:bCs/>
          <w:color w:val="auto"/>
          <w:sz w:val="24"/>
          <w:szCs w:val="24"/>
        </w:rPr>
      </w:pPr>
      <w:bookmarkStart w:id="2" w:name="_Toc234607842"/>
      <w:r w:rsidRPr="004F16E5">
        <w:rPr>
          <w:rFonts w:ascii="Simplified Arabic" w:hAnsi="Simplified Arabic" w:cs="Simplified Arabic"/>
          <w:b/>
          <w:bCs/>
          <w:color w:val="auto"/>
          <w:sz w:val="24"/>
          <w:szCs w:val="24"/>
          <w:rtl/>
        </w:rPr>
        <w:t>قائمة الرسوم التوضيحية</w:t>
      </w:r>
      <w:bookmarkEnd w:id="2"/>
    </w:p>
    <w:p w14:paraId="7D18DF44" w14:textId="3A93D070" w:rsidR="006A6532" w:rsidRPr="00B94AD1" w:rsidRDefault="00FD30BF">
      <w:pPr>
        <w:pStyle w:val="TableofFigures"/>
        <w:tabs>
          <w:tab w:val="right" w:leader="dot" w:pos="8296"/>
        </w:tabs>
        <w:bidi/>
        <w:rPr>
          <w:rFonts w:ascii="Simplified Arabic" w:eastAsiaTheme="minorEastAsia" w:hAnsi="Simplified Arabic" w:cs="Simplified Arabic"/>
          <w:noProof/>
          <w:sz w:val="20"/>
          <w:szCs w:val="20"/>
          <w:rtl/>
        </w:rPr>
      </w:pPr>
      <w:r w:rsidRPr="005D59A7">
        <w:rPr>
          <w:rFonts w:ascii="T" w:hAnsi="T" w:cstheme="majorBidi"/>
          <w:rtl/>
        </w:rPr>
        <w:fldChar w:fldCharType="begin"/>
      </w:r>
      <w:r w:rsidR="00920785" w:rsidRPr="005D59A7">
        <w:rPr>
          <w:rFonts w:ascii="T" w:hAnsi="T" w:cstheme="majorBidi"/>
          <w:rtl/>
        </w:rPr>
        <w:instrText xml:space="preserve"> </w:instrText>
      </w:r>
      <w:r w:rsidR="00920785" w:rsidRPr="005D59A7">
        <w:rPr>
          <w:rFonts w:ascii="T" w:hAnsi="T" w:cstheme="majorBidi"/>
        </w:rPr>
        <w:instrText>TOC</w:instrText>
      </w:r>
      <w:r w:rsidR="00920785" w:rsidRPr="005D59A7">
        <w:rPr>
          <w:rFonts w:ascii="T" w:hAnsi="T" w:cstheme="majorBidi"/>
          <w:rtl/>
        </w:rPr>
        <w:instrText xml:space="preserve"> \</w:instrText>
      </w:r>
      <w:r w:rsidR="00920785" w:rsidRPr="005D59A7">
        <w:rPr>
          <w:rFonts w:ascii="T" w:hAnsi="T" w:cstheme="majorBidi"/>
        </w:rPr>
        <w:instrText>h \z \c "Figure</w:instrText>
      </w:r>
      <w:r w:rsidR="00920785" w:rsidRPr="005D59A7">
        <w:rPr>
          <w:rFonts w:ascii="T" w:hAnsi="T" w:cstheme="majorBidi"/>
          <w:rtl/>
        </w:rPr>
        <w:instrText xml:space="preserve">" </w:instrText>
      </w:r>
      <w:r w:rsidRPr="005D59A7">
        <w:rPr>
          <w:rFonts w:ascii="T" w:hAnsi="T" w:cstheme="majorBidi"/>
          <w:rtl/>
        </w:rPr>
        <w:fldChar w:fldCharType="separate"/>
      </w:r>
      <w:hyperlink w:anchor="_Toc225991165" w:history="1">
        <w:r w:rsidR="006A6532" w:rsidRPr="00B94AD1">
          <w:rPr>
            <w:rStyle w:val="Hyperlink"/>
            <w:rFonts w:ascii="Simplified Arabic" w:hAnsi="Simplified Arabic" w:cs="Simplified Arabic"/>
            <w:noProof/>
            <w:color w:val="auto"/>
            <w:sz w:val="20"/>
            <w:szCs w:val="20"/>
          </w:rPr>
          <w:t>Figure</w:t>
        </w:r>
        <w:r w:rsidR="006A6532" w:rsidRPr="00B94AD1">
          <w:rPr>
            <w:rStyle w:val="Hyperlink"/>
            <w:rFonts w:ascii="Simplified Arabic" w:hAnsi="Simplified Arabic" w:cs="Simplified Arabic"/>
            <w:noProof/>
            <w:color w:val="auto"/>
            <w:sz w:val="20"/>
            <w:szCs w:val="20"/>
            <w:rtl/>
          </w:rPr>
          <w:t xml:space="preserve"> 1: الإطار الهيكلي لنموذج الدراسة</w:t>
        </w:r>
        <w:r w:rsidR="006A6532" w:rsidRPr="00B94AD1">
          <w:rPr>
            <w:rFonts w:ascii="Simplified Arabic" w:hAnsi="Simplified Arabic" w:cs="Simplified Arabic"/>
            <w:noProof/>
            <w:webHidden/>
            <w:sz w:val="20"/>
            <w:szCs w:val="20"/>
            <w:rtl/>
          </w:rPr>
          <w:tab/>
        </w:r>
        <w:r w:rsidR="006A6532" w:rsidRPr="00B94AD1">
          <w:rPr>
            <w:rStyle w:val="Hyperlink"/>
            <w:rFonts w:ascii="Simplified Arabic" w:hAnsi="Simplified Arabic" w:cs="Simplified Arabic"/>
            <w:noProof/>
            <w:color w:val="auto"/>
            <w:sz w:val="20"/>
            <w:szCs w:val="20"/>
            <w:rtl/>
          </w:rPr>
          <w:fldChar w:fldCharType="begin"/>
        </w:r>
        <w:r w:rsidR="006A6532" w:rsidRPr="00B94AD1">
          <w:rPr>
            <w:rFonts w:ascii="Simplified Arabic" w:hAnsi="Simplified Arabic" w:cs="Simplified Arabic"/>
            <w:noProof/>
            <w:webHidden/>
            <w:sz w:val="20"/>
            <w:szCs w:val="20"/>
            <w:rtl/>
          </w:rPr>
          <w:instrText xml:space="preserve"> </w:instrText>
        </w:r>
        <w:r w:rsidR="006A6532" w:rsidRPr="00B94AD1">
          <w:rPr>
            <w:rFonts w:ascii="Simplified Arabic" w:hAnsi="Simplified Arabic" w:cs="Simplified Arabic"/>
            <w:noProof/>
            <w:webHidden/>
            <w:sz w:val="20"/>
            <w:szCs w:val="20"/>
          </w:rPr>
          <w:instrText>PAGEREF</w:instrText>
        </w:r>
        <w:r w:rsidR="006A6532" w:rsidRPr="00B94AD1">
          <w:rPr>
            <w:rFonts w:ascii="Simplified Arabic" w:hAnsi="Simplified Arabic" w:cs="Simplified Arabic"/>
            <w:noProof/>
            <w:webHidden/>
            <w:sz w:val="20"/>
            <w:szCs w:val="20"/>
            <w:rtl/>
          </w:rPr>
          <w:instrText xml:space="preserve"> _</w:instrText>
        </w:r>
        <w:r w:rsidR="006A6532" w:rsidRPr="00B94AD1">
          <w:rPr>
            <w:rFonts w:ascii="Simplified Arabic" w:hAnsi="Simplified Arabic" w:cs="Simplified Arabic"/>
            <w:noProof/>
            <w:webHidden/>
            <w:sz w:val="20"/>
            <w:szCs w:val="20"/>
          </w:rPr>
          <w:instrText>Toc225991165 \h</w:instrText>
        </w:r>
        <w:r w:rsidR="006A6532" w:rsidRPr="00B94AD1">
          <w:rPr>
            <w:rFonts w:ascii="Simplified Arabic" w:hAnsi="Simplified Arabic" w:cs="Simplified Arabic"/>
            <w:noProof/>
            <w:webHidden/>
            <w:sz w:val="20"/>
            <w:szCs w:val="20"/>
            <w:rtl/>
          </w:rPr>
          <w:instrText xml:space="preserve"> </w:instrText>
        </w:r>
        <w:r w:rsidR="006A6532" w:rsidRPr="00B94AD1">
          <w:rPr>
            <w:rStyle w:val="Hyperlink"/>
            <w:rFonts w:ascii="Simplified Arabic" w:hAnsi="Simplified Arabic" w:cs="Simplified Arabic"/>
            <w:noProof/>
            <w:color w:val="auto"/>
            <w:sz w:val="20"/>
            <w:szCs w:val="20"/>
            <w:rtl/>
          </w:rPr>
        </w:r>
        <w:r w:rsidR="006A6532"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44</w:t>
        </w:r>
        <w:r w:rsidR="006A6532" w:rsidRPr="00B94AD1">
          <w:rPr>
            <w:rStyle w:val="Hyperlink"/>
            <w:rFonts w:ascii="Simplified Arabic" w:hAnsi="Simplified Arabic" w:cs="Simplified Arabic"/>
            <w:noProof/>
            <w:color w:val="auto"/>
            <w:sz w:val="20"/>
            <w:szCs w:val="20"/>
            <w:rtl/>
          </w:rPr>
          <w:fldChar w:fldCharType="end"/>
        </w:r>
      </w:hyperlink>
    </w:p>
    <w:p w14:paraId="3E3A30E9" w14:textId="27281264"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6"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2: أهداف التنمية المستدامة </w:t>
        </w:r>
        <w:r w:rsidRPr="00B94AD1">
          <w:rPr>
            <w:rStyle w:val="Hyperlink"/>
            <w:rFonts w:ascii="Simplified Arabic" w:hAnsi="Simplified Arabic" w:cs="Simplified Arabic"/>
            <w:noProof/>
            <w:color w:val="auto"/>
            <w:sz w:val="20"/>
            <w:szCs w:val="20"/>
          </w:rPr>
          <w:t>UNDP Egypt</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Toc225991166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72</w:t>
        </w:r>
        <w:r w:rsidRPr="00B94AD1">
          <w:rPr>
            <w:rStyle w:val="Hyperlink"/>
            <w:rFonts w:ascii="Simplified Arabic" w:hAnsi="Simplified Arabic" w:cs="Simplified Arabic"/>
            <w:noProof/>
            <w:color w:val="auto"/>
            <w:sz w:val="20"/>
            <w:szCs w:val="20"/>
            <w:rtl/>
          </w:rPr>
          <w:fldChar w:fldCharType="end"/>
        </w:r>
      </w:hyperlink>
    </w:p>
    <w:p w14:paraId="59732233" w14:textId="5791A4D8"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7"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6: الرؤية والرسالة (وزارة البيئة والمياه والزراعة، 2026)</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Toc225991167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80</w:t>
        </w:r>
        <w:r w:rsidRPr="00B94AD1">
          <w:rPr>
            <w:rStyle w:val="Hyperlink"/>
            <w:rFonts w:ascii="Simplified Arabic" w:hAnsi="Simplified Arabic" w:cs="Simplified Arabic"/>
            <w:noProof/>
            <w:color w:val="auto"/>
            <w:sz w:val="20"/>
            <w:szCs w:val="20"/>
            <w:rtl/>
          </w:rPr>
          <w:fldChar w:fldCharType="end"/>
        </w:r>
      </w:hyperlink>
    </w:p>
    <w:p w14:paraId="30F3EA47" w14:textId="55DBF201"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8"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7: أهداف الوزارة (وزارة البيئة والمياه والزراعة، 2026)</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Toc225991168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81</w:t>
        </w:r>
        <w:r w:rsidRPr="00B94AD1">
          <w:rPr>
            <w:rStyle w:val="Hyperlink"/>
            <w:rFonts w:ascii="Simplified Arabic" w:hAnsi="Simplified Arabic" w:cs="Simplified Arabic"/>
            <w:noProof/>
            <w:color w:val="auto"/>
            <w:sz w:val="20"/>
            <w:szCs w:val="20"/>
            <w:rtl/>
          </w:rPr>
          <w:fldChar w:fldCharType="end"/>
        </w:r>
      </w:hyperlink>
    </w:p>
    <w:p w14:paraId="186F60EA" w14:textId="3A616DF0"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69"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8: النمو السكاني خلال الثلاثين عاماً الماضية (بالملايين)</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Toc225991169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90</w:t>
        </w:r>
        <w:r w:rsidRPr="00B94AD1">
          <w:rPr>
            <w:rStyle w:val="Hyperlink"/>
            <w:rFonts w:ascii="Simplified Arabic" w:hAnsi="Simplified Arabic" w:cs="Simplified Arabic"/>
            <w:noProof/>
            <w:color w:val="auto"/>
            <w:sz w:val="20"/>
            <w:szCs w:val="20"/>
            <w:rtl/>
          </w:rPr>
          <w:fldChar w:fldCharType="end"/>
        </w:r>
      </w:hyperlink>
    </w:p>
    <w:p w14:paraId="03E5B08D" w14:textId="4F7CFA99"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0"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9: نمو الناتج المحلي الإجمالي على مدار الثلاثين عاماً الماضية (بالمليارات من الريال السعودي بأسعار ثابتة/سنوياً)</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Toc225991170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90</w:t>
        </w:r>
        <w:r w:rsidRPr="00B94AD1">
          <w:rPr>
            <w:rStyle w:val="Hyperlink"/>
            <w:rFonts w:ascii="Simplified Arabic" w:hAnsi="Simplified Arabic" w:cs="Simplified Arabic"/>
            <w:noProof/>
            <w:color w:val="auto"/>
            <w:sz w:val="20"/>
            <w:szCs w:val="20"/>
            <w:rtl/>
          </w:rPr>
          <w:fldChar w:fldCharType="end"/>
        </w:r>
      </w:hyperlink>
    </w:p>
    <w:p w14:paraId="1DB2C5E6" w14:textId="79C8DC5F"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1"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7: الميزانية السنوية للموارد الطبيعية (الإستراتيجية الوطنية للبيئة)</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Toc225991171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99</w:t>
        </w:r>
        <w:r w:rsidRPr="00B94AD1">
          <w:rPr>
            <w:rStyle w:val="Hyperlink"/>
            <w:rFonts w:ascii="Simplified Arabic" w:hAnsi="Simplified Arabic" w:cs="Simplified Arabic"/>
            <w:noProof/>
            <w:color w:val="auto"/>
            <w:sz w:val="20"/>
            <w:szCs w:val="20"/>
            <w:rtl/>
          </w:rPr>
          <w:fldChar w:fldCharType="end"/>
        </w:r>
      </w:hyperlink>
    </w:p>
    <w:p w14:paraId="6E5ED6A1" w14:textId="0866F0A6" w:rsidR="006A6532" w:rsidRPr="00B94AD1" w:rsidRDefault="006A6532">
      <w:pPr>
        <w:pStyle w:val="TableofFigures"/>
        <w:tabs>
          <w:tab w:val="right" w:leader="dot" w:pos="8296"/>
        </w:tabs>
        <w:bidi/>
        <w:rPr>
          <w:rFonts w:ascii="Simplified Arabic" w:eastAsiaTheme="minorEastAsia" w:hAnsi="Simplified Arabic" w:cs="Simplified Arabic"/>
          <w:noProof/>
          <w:sz w:val="20"/>
          <w:szCs w:val="20"/>
          <w:rtl/>
        </w:rPr>
      </w:pPr>
      <w:hyperlink w:anchor="_Toc225991172" w:history="1">
        <w:r w:rsidRPr="00B94AD1">
          <w:rPr>
            <w:rStyle w:val="Hyperlink"/>
            <w:rFonts w:ascii="Simplified Arabic" w:hAnsi="Simplified Arabic" w:cs="Simplified Arabic"/>
            <w:noProof/>
            <w:color w:val="auto"/>
            <w:sz w:val="20"/>
            <w:szCs w:val="20"/>
          </w:rPr>
          <w:t>Figure</w:t>
        </w:r>
        <w:r w:rsidRPr="00B94AD1">
          <w:rPr>
            <w:rStyle w:val="Hyperlink"/>
            <w:rFonts w:ascii="Simplified Arabic" w:hAnsi="Simplified Arabic" w:cs="Simplified Arabic"/>
            <w:noProof/>
            <w:color w:val="auto"/>
            <w:sz w:val="20"/>
            <w:szCs w:val="20"/>
            <w:rtl/>
          </w:rPr>
          <w:t xml:space="preserve"> 8: تكلفة التدهور البيئي في المملكة (2014)</w:t>
        </w:r>
        <w:r w:rsidRPr="00B94AD1">
          <w:rPr>
            <w:rFonts w:ascii="Simplified Arabic" w:hAnsi="Simplified Arabic" w:cs="Simplified Arabic"/>
            <w:noProof/>
            <w:webHidden/>
            <w:sz w:val="20"/>
            <w:szCs w:val="20"/>
            <w:rtl/>
          </w:rPr>
          <w:tab/>
        </w:r>
        <w:r w:rsidRPr="00B94AD1">
          <w:rPr>
            <w:rStyle w:val="Hyperlink"/>
            <w:rFonts w:ascii="Simplified Arabic" w:hAnsi="Simplified Arabic" w:cs="Simplified Arabic"/>
            <w:noProof/>
            <w:color w:val="auto"/>
            <w:sz w:val="20"/>
            <w:szCs w:val="20"/>
            <w:rtl/>
          </w:rPr>
          <w:fldChar w:fldCharType="begin"/>
        </w:r>
        <w:r w:rsidRPr="00B94AD1">
          <w:rPr>
            <w:rFonts w:ascii="Simplified Arabic" w:hAnsi="Simplified Arabic" w:cs="Simplified Arabic"/>
            <w:noProof/>
            <w:webHidden/>
            <w:sz w:val="20"/>
            <w:szCs w:val="20"/>
            <w:rtl/>
          </w:rPr>
          <w:instrText xml:space="preserve"> </w:instrText>
        </w:r>
        <w:r w:rsidRPr="00B94AD1">
          <w:rPr>
            <w:rFonts w:ascii="Simplified Arabic" w:hAnsi="Simplified Arabic" w:cs="Simplified Arabic"/>
            <w:noProof/>
            <w:webHidden/>
            <w:sz w:val="20"/>
            <w:szCs w:val="20"/>
          </w:rPr>
          <w:instrText>PAGEREF</w:instrText>
        </w:r>
        <w:r w:rsidRPr="00B94AD1">
          <w:rPr>
            <w:rFonts w:ascii="Simplified Arabic" w:hAnsi="Simplified Arabic" w:cs="Simplified Arabic"/>
            <w:noProof/>
            <w:webHidden/>
            <w:sz w:val="20"/>
            <w:szCs w:val="20"/>
            <w:rtl/>
          </w:rPr>
          <w:instrText xml:space="preserve"> _</w:instrText>
        </w:r>
        <w:r w:rsidRPr="00B94AD1">
          <w:rPr>
            <w:rFonts w:ascii="Simplified Arabic" w:hAnsi="Simplified Arabic" w:cs="Simplified Arabic"/>
            <w:noProof/>
            <w:webHidden/>
            <w:sz w:val="20"/>
            <w:szCs w:val="20"/>
          </w:rPr>
          <w:instrText>Toc225991172 \h</w:instrText>
        </w:r>
        <w:r w:rsidRPr="00B94AD1">
          <w:rPr>
            <w:rFonts w:ascii="Simplified Arabic" w:hAnsi="Simplified Arabic" w:cs="Simplified Arabic"/>
            <w:noProof/>
            <w:webHidden/>
            <w:sz w:val="20"/>
            <w:szCs w:val="20"/>
            <w:rtl/>
          </w:rPr>
          <w:instrText xml:space="preserve"> </w:instrText>
        </w:r>
        <w:r w:rsidRPr="00B94AD1">
          <w:rPr>
            <w:rStyle w:val="Hyperlink"/>
            <w:rFonts w:ascii="Simplified Arabic" w:hAnsi="Simplified Arabic" w:cs="Simplified Arabic"/>
            <w:noProof/>
            <w:color w:val="auto"/>
            <w:sz w:val="20"/>
            <w:szCs w:val="20"/>
            <w:rtl/>
          </w:rPr>
        </w:r>
        <w:r w:rsidRPr="00B94AD1">
          <w:rPr>
            <w:rStyle w:val="Hyperlink"/>
            <w:rFonts w:ascii="Simplified Arabic" w:hAnsi="Simplified Arabic" w:cs="Simplified Arabic"/>
            <w:noProof/>
            <w:color w:val="auto"/>
            <w:sz w:val="20"/>
            <w:szCs w:val="20"/>
            <w:rtl/>
          </w:rPr>
          <w:fldChar w:fldCharType="separate"/>
        </w:r>
        <w:r w:rsidR="00E86871" w:rsidRPr="00B94AD1">
          <w:rPr>
            <w:rFonts w:ascii="Simplified Arabic" w:hAnsi="Simplified Arabic" w:cs="Simplified Arabic"/>
            <w:noProof/>
            <w:webHidden/>
            <w:sz w:val="20"/>
            <w:szCs w:val="20"/>
            <w:rtl/>
          </w:rPr>
          <w:t>100</w:t>
        </w:r>
        <w:r w:rsidRPr="00B94AD1">
          <w:rPr>
            <w:rStyle w:val="Hyperlink"/>
            <w:rFonts w:ascii="Simplified Arabic" w:hAnsi="Simplified Arabic" w:cs="Simplified Arabic"/>
            <w:noProof/>
            <w:color w:val="auto"/>
            <w:sz w:val="20"/>
            <w:szCs w:val="20"/>
            <w:rtl/>
          </w:rPr>
          <w:fldChar w:fldCharType="end"/>
        </w:r>
      </w:hyperlink>
    </w:p>
    <w:p w14:paraId="5139627F" w14:textId="475CC2AB" w:rsidR="00EA21E0" w:rsidRPr="005D59A7" w:rsidRDefault="00FD30BF" w:rsidP="00BD507A">
      <w:pPr>
        <w:bidi/>
        <w:rPr>
          <w:rFonts w:ascii="T" w:hAnsi="T" w:cstheme="majorBidi"/>
          <w:rtl/>
        </w:rPr>
      </w:pPr>
      <w:r w:rsidRPr="005D59A7">
        <w:rPr>
          <w:rFonts w:ascii="T" w:hAnsi="T" w:cstheme="majorBidi"/>
          <w:rtl/>
        </w:rPr>
        <w:fldChar w:fldCharType="end"/>
      </w:r>
    </w:p>
    <w:p w14:paraId="21848CD6" w14:textId="77777777" w:rsidR="000D1D88" w:rsidRPr="005D59A7" w:rsidRDefault="000D1D88" w:rsidP="000D1D88">
      <w:pPr>
        <w:bidi/>
        <w:rPr>
          <w:rFonts w:ascii="T" w:hAnsi="T" w:cstheme="majorBidi"/>
          <w:rtl/>
        </w:rPr>
      </w:pPr>
    </w:p>
    <w:p w14:paraId="751BBA64" w14:textId="77777777" w:rsidR="000D1D88" w:rsidRPr="005D59A7" w:rsidRDefault="000D1D88" w:rsidP="000D1D88">
      <w:pPr>
        <w:bidi/>
        <w:rPr>
          <w:rFonts w:ascii="T" w:hAnsi="T" w:cstheme="majorBidi"/>
          <w:rtl/>
        </w:rPr>
      </w:pPr>
    </w:p>
    <w:p w14:paraId="43CA8790" w14:textId="77777777" w:rsidR="000D1D88" w:rsidRPr="005D59A7" w:rsidRDefault="000D1D88" w:rsidP="000D1D88">
      <w:pPr>
        <w:bidi/>
        <w:rPr>
          <w:rFonts w:ascii="T" w:hAnsi="T" w:cstheme="majorBidi"/>
          <w:rtl/>
        </w:rPr>
      </w:pPr>
    </w:p>
    <w:p w14:paraId="4BBF7541" w14:textId="77777777" w:rsidR="000D1D88" w:rsidRPr="005D59A7" w:rsidRDefault="000D1D88" w:rsidP="000D1D88">
      <w:pPr>
        <w:bidi/>
        <w:rPr>
          <w:rFonts w:ascii="T" w:hAnsi="T" w:cstheme="majorBidi"/>
          <w:rtl/>
        </w:rPr>
      </w:pPr>
    </w:p>
    <w:p w14:paraId="0B022591" w14:textId="77777777" w:rsidR="000D1D88" w:rsidRPr="005D59A7" w:rsidRDefault="000D1D88" w:rsidP="000D1D88">
      <w:pPr>
        <w:bidi/>
        <w:rPr>
          <w:rFonts w:ascii="T" w:hAnsi="T" w:cstheme="majorBidi"/>
          <w:rtl/>
        </w:rPr>
      </w:pPr>
    </w:p>
    <w:p w14:paraId="6C67F52E" w14:textId="77777777" w:rsidR="000D1D88" w:rsidRPr="005D59A7" w:rsidRDefault="000D1D88" w:rsidP="000D1D88">
      <w:pPr>
        <w:bidi/>
        <w:rPr>
          <w:rFonts w:ascii="T" w:hAnsi="T" w:cstheme="majorBidi"/>
          <w:rtl/>
        </w:rPr>
      </w:pPr>
    </w:p>
    <w:p w14:paraId="6B35C6D1" w14:textId="3B249CEC" w:rsidR="000D1D88" w:rsidRPr="005D59A7" w:rsidRDefault="000D1D88" w:rsidP="000D1D88">
      <w:pPr>
        <w:bidi/>
        <w:rPr>
          <w:rFonts w:ascii="T" w:hAnsi="T" w:cstheme="majorBidi"/>
          <w:rtl/>
        </w:rPr>
      </w:pPr>
    </w:p>
    <w:p w14:paraId="06A4CDD9" w14:textId="02E6AABF" w:rsidR="00E25EBC" w:rsidRPr="005D59A7" w:rsidRDefault="00E25EBC" w:rsidP="00E25EBC">
      <w:pPr>
        <w:bidi/>
        <w:rPr>
          <w:rFonts w:ascii="T" w:hAnsi="T" w:cstheme="majorBidi"/>
          <w:rtl/>
        </w:rPr>
      </w:pPr>
    </w:p>
    <w:p w14:paraId="66312592" w14:textId="067B3720" w:rsidR="00E25EBC" w:rsidRPr="005D59A7" w:rsidRDefault="00E25EBC" w:rsidP="00E25EBC">
      <w:pPr>
        <w:bidi/>
        <w:rPr>
          <w:rFonts w:ascii="T" w:hAnsi="T" w:cstheme="majorBidi"/>
          <w:rtl/>
        </w:rPr>
      </w:pPr>
    </w:p>
    <w:p w14:paraId="3FFE6C04" w14:textId="1E82A16F" w:rsidR="00E25EBC" w:rsidRPr="005D59A7" w:rsidRDefault="00E25EBC" w:rsidP="00E25EBC">
      <w:pPr>
        <w:bidi/>
        <w:rPr>
          <w:rFonts w:ascii="T" w:hAnsi="T" w:cstheme="majorBidi"/>
          <w:rtl/>
        </w:rPr>
      </w:pPr>
    </w:p>
    <w:p w14:paraId="1477D9D9" w14:textId="54ED07FD" w:rsidR="00E25EBC" w:rsidRPr="005D59A7" w:rsidRDefault="00E25EBC" w:rsidP="00E25EBC">
      <w:pPr>
        <w:bidi/>
        <w:rPr>
          <w:rFonts w:ascii="T" w:hAnsi="T" w:cstheme="majorBidi"/>
          <w:rtl/>
        </w:rPr>
      </w:pPr>
    </w:p>
    <w:p w14:paraId="24584A8E" w14:textId="6A30F4A9" w:rsidR="00E25EBC" w:rsidRDefault="00E25EBC" w:rsidP="00E25EBC">
      <w:pPr>
        <w:bidi/>
        <w:rPr>
          <w:rFonts w:ascii="T" w:hAnsi="T" w:cstheme="majorBidi"/>
        </w:rPr>
      </w:pPr>
    </w:p>
    <w:p w14:paraId="3DC0136E" w14:textId="77777777" w:rsidR="00233335" w:rsidRDefault="00233335" w:rsidP="00233335">
      <w:pPr>
        <w:bidi/>
        <w:rPr>
          <w:rFonts w:ascii="T" w:hAnsi="T" w:cstheme="majorBidi"/>
        </w:rPr>
      </w:pPr>
    </w:p>
    <w:p w14:paraId="44A0C928" w14:textId="77777777" w:rsidR="00233335" w:rsidRPr="005D59A7" w:rsidRDefault="00233335" w:rsidP="00233335">
      <w:pPr>
        <w:bidi/>
        <w:rPr>
          <w:rFonts w:ascii="T" w:hAnsi="T" w:cstheme="majorBidi"/>
          <w:rtl/>
        </w:rPr>
      </w:pPr>
    </w:p>
    <w:p w14:paraId="289F707F" w14:textId="77777777" w:rsidR="000D1D88" w:rsidRPr="005D59A7" w:rsidRDefault="000D1D88" w:rsidP="000D1D88">
      <w:pPr>
        <w:bidi/>
        <w:rPr>
          <w:rFonts w:ascii="T" w:hAnsi="T" w:cstheme="majorBidi"/>
          <w:rtl/>
        </w:rPr>
      </w:pPr>
    </w:p>
    <w:p w14:paraId="082E2259" w14:textId="19064185" w:rsidR="00C43A02" w:rsidRDefault="00C43A02" w:rsidP="008769F3">
      <w:pPr>
        <w:bidi/>
        <w:spacing w:line="360" w:lineRule="auto"/>
        <w:rPr>
          <w:rFonts w:ascii="T" w:hAnsi="T" w:cs="Simplified Arabic"/>
          <w:sz w:val="24"/>
          <w:szCs w:val="24"/>
        </w:rPr>
      </w:pPr>
      <w:bookmarkStart w:id="3" w:name="_Hlk225713754"/>
    </w:p>
    <w:p w14:paraId="595A76A8" w14:textId="5B0EA462" w:rsidR="00C43A02" w:rsidRPr="008769F3" w:rsidRDefault="00C43A02" w:rsidP="002C6EAC">
      <w:pPr>
        <w:pStyle w:val="Heading1"/>
        <w:bidi/>
        <w:jc w:val="center"/>
        <w:rPr>
          <w:rFonts w:ascii="Simplified Arabic" w:hAnsi="Simplified Arabic" w:cs="Simplified Arabic"/>
          <w:b/>
          <w:bCs/>
          <w:color w:val="000000" w:themeColor="text1"/>
          <w:sz w:val="28"/>
          <w:szCs w:val="28"/>
          <w:u w:val="single"/>
          <w:rtl/>
          <w:lang w:bidi="ar-EG"/>
        </w:rPr>
      </w:pPr>
      <w:bookmarkStart w:id="4" w:name="_Toc234607897"/>
      <w:r w:rsidRPr="00693289">
        <w:rPr>
          <w:rFonts w:ascii="Simplified Arabic" w:hAnsi="Simplified Arabic" w:cs="Simplified Arabic"/>
          <w:b/>
          <w:bCs/>
          <w:color w:val="000000" w:themeColor="text1"/>
          <w:sz w:val="28"/>
          <w:szCs w:val="28"/>
          <w:highlight w:val="yellow"/>
          <w:u w:val="single"/>
          <w:rtl/>
          <w:lang w:bidi="ar-EG"/>
        </w:rPr>
        <w:lastRenderedPageBreak/>
        <w:t>الفصل الثالث: منهجية الدراسة</w:t>
      </w:r>
      <w:bookmarkEnd w:id="4"/>
    </w:p>
    <w:p w14:paraId="383F2A75" w14:textId="77777777" w:rsidR="003E5809" w:rsidRDefault="003E5809" w:rsidP="003E5809">
      <w:pPr>
        <w:bidi/>
        <w:spacing w:before="100" w:beforeAutospacing="1" w:after="100" w:afterAutospacing="1" w:line="240" w:lineRule="auto"/>
        <w:jc w:val="lowKashida"/>
        <w:outlineLvl w:val="1"/>
        <w:rPr>
          <w:rFonts w:ascii="Simplified Arabic" w:eastAsia="Times New Roman" w:hAnsi="Simplified Arabic" w:cs="Simplified Arabic"/>
          <w:b/>
          <w:bCs/>
          <w:sz w:val="24"/>
          <w:szCs w:val="24"/>
        </w:rPr>
      </w:pPr>
      <w:bookmarkStart w:id="5" w:name="_Toc234607898"/>
    </w:p>
    <w:p w14:paraId="3EF12D78" w14:textId="77777777" w:rsidR="003E5809" w:rsidRDefault="003E5809" w:rsidP="003E5809">
      <w:pPr>
        <w:bidi/>
        <w:spacing w:before="100" w:beforeAutospacing="1" w:after="100" w:afterAutospacing="1" w:line="240" w:lineRule="auto"/>
        <w:jc w:val="lowKashida"/>
        <w:outlineLvl w:val="1"/>
        <w:rPr>
          <w:rFonts w:ascii="Simplified Arabic" w:eastAsia="Times New Roman" w:hAnsi="Simplified Arabic" w:cs="Simplified Arabic"/>
          <w:b/>
          <w:bCs/>
          <w:sz w:val="24"/>
          <w:szCs w:val="24"/>
        </w:rPr>
      </w:pPr>
    </w:p>
    <w:p w14:paraId="463CF450" w14:textId="0DA97020" w:rsidR="001A3ABE" w:rsidRPr="003C40F2" w:rsidRDefault="001A3ABE" w:rsidP="003E5809">
      <w:pPr>
        <w:bidi/>
        <w:spacing w:before="100" w:beforeAutospacing="1" w:after="100" w:afterAutospacing="1" w:line="240" w:lineRule="auto"/>
        <w:jc w:val="lowKashida"/>
        <w:outlineLvl w:val="1"/>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تمهيد</w:t>
      </w:r>
      <w:bookmarkEnd w:id="5"/>
    </w:p>
    <w:p w14:paraId="2B756ACB"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يتناول هذا الفصل المنهجية العلمية التي اعتمدت عليها الدراسة لتحقيق أهدافها والإجابة عن تساؤلاتها واختبار فرضياتها، وذلك من خلال توضيح منهج البحث وتصميم الدراسة، ومجتمع الدراسة وعينتها، ومصادر البيانات، وأدوات جمع البيانات، ومتغيرات الدراسة، وإجراءات تنفيذها، بالإضافة إلى الأساليب الإحصائية المستخدمة في تحليل البيانات، وإجراءات التحقق من صدق الأداة وثباتها، والاعتبارات الأخلاقية التي روعيت أثناء تنفيذ الدراسة. ويهدف هذا الفصل إلى بيان الإجراءات العلمية التي اتبعها الباحث بما يضمن الوصول إلى نتائج دقيقة وموضوعية يمكن الاستفادة منها في تطوير نموذج مقترح للحوكمة البيئية وإدارة الأداء في مجال التفتيش البيئي بالمملكة العربية السعودية</w:t>
      </w:r>
      <w:r w:rsidRPr="003C40F2">
        <w:rPr>
          <w:rFonts w:ascii="Simplified Arabic" w:eastAsia="Times New Roman" w:hAnsi="Simplified Arabic" w:cs="Simplified Arabic"/>
          <w:sz w:val="24"/>
          <w:szCs w:val="24"/>
        </w:rPr>
        <w:t>.</w:t>
      </w:r>
    </w:p>
    <w:p w14:paraId="528EBD65"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6" w:name="_Toc234607899"/>
      <w:r w:rsidRPr="003C40F2">
        <w:rPr>
          <w:rFonts w:ascii="Simplified Arabic" w:eastAsia="Times New Roman" w:hAnsi="Simplified Arabic" w:cs="Simplified Arabic"/>
          <w:b/>
          <w:bCs/>
          <w:kern w:val="36"/>
          <w:sz w:val="24"/>
          <w:szCs w:val="24"/>
        </w:rPr>
        <w:t xml:space="preserve">3.1 </w:t>
      </w:r>
      <w:r w:rsidRPr="003C40F2">
        <w:rPr>
          <w:rFonts w:ascii="Simplified Arabic" w:eastAsia="Times New Roman" w:hAnsi="Simplified Arabic" w:cs="Simplified Arabic"/>
          <w:b/>
          <w:bCs/>
          <w:kern w:val="36"/>
          <w:sz w:val="24"/>
          <w:szCs w:val="24"/>
          <w:rtl/>
        </w:rPr>
        <w:t>منهج البحث</w:t>
      </w:r>
      <w:bookmarkEnd w:id="6"/>
    </w:p>
    <w:p w14:paraId="4904A8C1"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المنهج الوصفي التحليلي؛ لملاءمته لدراسة الظواهر الإدارية والتنظيمية وتحليل العلاقات بين متغيراتها، حيث يسهم في وصف واقع الشراكات بين القطاعين العام والخاص في قطاع البيئة، وتحليل أثرها في الحوكمة البيئية وإدارة الأداء في مجال التفتيش البيئي بالمملكة العربية السعودية. كما استفادت الدراسة من المنهج الاستنباطي من خلال مراجعة الأدبيات العلمية والدراسات السابقة والنماذج العالمية ذات العلاقة، بهدف بناء الإطار النظري للدراسة وتطوير النموذج المقترح</w:t>
      </w:r>
      <w:r w:rsidRPr="003C40F2">
        <w:rPr>
          <w:rFonts w:ascii="Simplified Arabic" w:eastAsia="Times New Roman" w:hAnsi="Simplified Arabic" w:cs="Simplified Arabic"/>
          <w:sz w:val="24"/>
          <w:szCs w:val="24"/>
        </w:rPr>
        <w:t>.</w:t>
      </w:r>
    </w:p>
    <w:p w14:paraId="52CABE84"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7" w:name="_Toc234607900"/>
      <w:r w:rsidRPr="002A54A2">
        <w:rPr>
          <w:rFonts w:ascii="Simplified Arabic" w:eastAsia="Times New Roman" w:hAnsi="Simplified Arabic" w:cs="Simplified Arabic"/>
          <w:b/>
          <w:bCs/>
          <w:kern w:val="36"/>
          <w:sz w:val="24"/>
          <w:szCs w:val="24"/>
          <w:highlight w:val="yellow"/>
        </w:rPr>
        <w:t xml:space="preserve">3.2 </w:t>
      </w:r>
      <w:r w:rsidRPr="002A54A2">
        <w:rPr>
          <w:rFonts w:ascii="Simplified Arabic" w:eastAsia="Times New Roman" w:hAnsi="Simplified Arabic" w:cs="Simplified Arabic"/>
          <w:b/>
          <w:bCs/>
          <w:kern w:val="36"/>
          <w:sz w:val="24"/>
          <w:szCs w:val="24"/>
          <w:highlight w:val="yellow"/>
          <w:rtl/>
        </w:rPr>
        <w:t>تصميم الدراسة</w:t>
      </w:r>
      <w:bookmarkEnd w:id="7"/>
    </w:p>
    <w:p w14:paraId="7AD1032C" w14:textId="3A643EEA" w:rsidR="005E33E6" w:rsidRDefault="00791F76"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r w:rsidRPr="00791F76">
        <w:rPr>
          <w:rFonts w:ascii="Simplified Arabic" w:eastAsia="Times New Roman" w:hAnsi="Simplified Arabic" w:cs="Simplified Arabic"/>
          <w:sz w:val="24"/>
          <w:szCs w:val="24"/>
          <w:rtl/>
        </w:rPr>
        <w:t>تعتمد الدراسة على تصميم بحثي كمي مقطعي (</w:t>
      </w:r>
      <w:r w:rsidRPr="00791F76">
        <w:rPr>
          <w:rFonts w:ascii="Simplified Arabic" w:eastAsia="Times New Roman" w:hAnsi="Simplified Arabic" w:cs="Simplified Arabic"/>
          <w:sz w:val="24"/>
          <w:szCs w:val="24"/>
        </w:rPr>
        <w:t>Quantitative Cross-sectional Survey Design</w:t>
      </w:r>
      <w:r w:rsidRPr="00791F76">
        <w:rPr>
          <w:rFonts w:ascii="Simplified Arabic" w:eastAsia="Times New Roman" w:hAnsi="Simplified Arabic" w:cs="Simplified Arabic"/>
          <w:sz w:val="24"/>
          <w:szCs w:val="24"/>
          <w:rtl/>
        </w:rPr>
        <w:t>) قائم على دمج مصادر البيانات (</w:t>
      </w:r>
      <w:r w:rsidRPr="00791F76">
        <w:rPr>
          <w:rFonts w:ascii="Simplified Arabic" w:eastAsia="Times New Roman" w:hAnsi="Simplified Arabic" w:cs="Simplified Arabic"/>
          <w:sz w:val="24"/>
          <w:szCs w:val="24"/>
        </w:rPr>
        <w:t>Multi-source Research Design</w:t>
      </w:r>
      <w:r w:rsidRPr="00791F76">
        <w:rPr>
          <w:rFonts w:ascii="Simplified Arabic" w:eastAsia="Times New Roman" w:hAnsi="Simplified Arabic" w:cs="Simplified Arabic"/>
          <w:sz w:val="24"/>
          <w:szCs w:val="24"/>
          <w:rtl/>
        </w:rPr>
        <w:t>)، حيث تمثل الاستبانة المصدر الرئيس للبيانات الأولية المستخدمة في اختبار فرضيات الدراسة وتحليل العلاقات بين متغيراتها، بينما تمثل الوثائق والتقارير الرسمية والأنظمة ذات العلاقة المصدر الرئيس للبيانات الثانوية التي تسهم في تفسير النتائج، ودعم التحليل، والتحقق من اتساق النتائج مع الواقع التنظيمي. كما تتخذ الدراسة من قطاع التفتيش البيئي في المملكة العربية السعودية دراسة حالة تطبيقية يتم من خلالها تفسير نتائج الدراسة وربطها بالسياق العملي، وصولًا إلى تطوير نموذج مقترح للحوكمة البيئية وإدارة الأداء. وتعد الدراسة من الدراسات المقطعية؛ إذ يتم جمع البيانات خلال فترة زمنية واحدة دون تتبع أفراد الدراسة عبر فترات زمنية متعددة.</w:t>
      </w:r>
    </w:p>
    <w:p w14:paraId="32D7F403" w14:textId="77777777"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p>
    <w:p w14:paraId="1CE2CEA2" w14:textId="2ED71034"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r>
        <w:rPr>
          <w:rFonts w:ascii="Sakkal Majalla" w:eastAsia="Times New Roman" w:hAnsi="Sakkal Majalla" w:cs="Sakkal Majalla"/>
          <w:noProof/>
          <w:sz w:val="32"/>
          <w:szCs w:val="32"/>
          <w:rtl/>
        </w:rPr>
        <w:lastRenderedPageBreak/>
        <mc:AlternateContent>
          <mc:Choice Requires="wpg">
            <w:drawing>
              <wp:anchor distT="0" distB="0" distL="114300" distR="114300" simplePos="0" relativeHeight="251659776" behindDoc="0" locked="0" layoutInCell="1" allowOverlap="1" wp14:anchorId="0B957628" wp14:editId="5735FA6D">
                <wp:simplePos x="0" y="0"/>
                <wp:positionH relativeFrom="margin">
                  <wp:posOffset>-221566</wp:posOffset>
                </wp:positionH>
                <wp:positionV relativeFrom="paragraph">
                  <wp:posOffset>0</wp:posOffset>
                </wp:positionV>
                <wp:extent cx="5857875" cy="2876550"/>
                <wp:effectExtent l="0" t="0" r="28575" b="19050"/>
                <wp:wrapNone/>
                <wp:docPr id="1573053063" name="Group 1573053063"/>
                <wp:cNvGraphicFramePr/>
                <a:graphic xmlns:a="http://schemas.openxmlformats.org/drawingml/2006/main">
                  <a:graphicData uri="http://schemas.microsoft.com/office/word/2010/wordprocessingGroup">
                    <wpg:wgp>
                      <wpg:cNvGrpSpPr/>
                      <wpg:grpSpPr>
                        <a:xfrm>
                          <a:off x="0" y="0"/>
                          <a:ext cx="5857875" cy="2876550"/>
                          <a:chOff x="0" y="0"/>
                          <a:chExt cx="5857875" cy="2876550"/>
                        </a:xfrm>
                      </wpg:grpSpPr>
                      <wps:wsp>
                        <wps:cNvPr id="142626617" name="Rectangle 142626617"/>
                        <wps:cNvSpPr/>
                        <wps:spPr>
                          <a:xfrm>
                            <a:off x="3638550" y="104775"/>
                            <a:ext cx="1866900" cy="2152650"/>
                          </a:xfrm>
                          <a:prstGeom prst="rect">
                            <a:avLst/>
                          </a:prstGeom>
                          <a:solidFill>
                            <a:srgbClr val="5B9BD5"/>
                          </a:solidFill>
                          <a:ln w="12700" cap="flat" cmpd="sng" algn="ctr">
                            <a:solidFill>
                              <a:srgbClr val="5B9BD5">
                                <a:shade val="50000"/>
                              </a:srgbClr>
                            </a:solidFill>
                            <a:prstDash val="solid"/>
                            <a:miter lim="800000"/>
                          </a:ln>
                          <a:effectLst/>
                        </wps:spPr>
                        <wps:txbx>
                          <w:txbxContent>
                            <w:p w14:paraId="0269695A" w14:textId="77777777" w:rsidR="003E5809" w:rsidRPr="005C14A7" w:rsidRDefault="003E5809" w:rsidP="003E5809">
                              <w:pPr>
                                <w:bidi/>
                                <w:jc w:val="center"/>
                                <w:rPr>
                                  <w:rFonts w:ascii="Sakkal Majalla" w:eastAsia="Times New Roman" w:hAnsi="Sakkal Majalla" w:cs="Sakkal Majalla"/>
                                  <w:sz w:val="32"/>
                                  <w:szCs w:val="32"/>
                                </w:rPr>
                              </w:pPr>
                              <w:r w:rsidRPr="005C14A7">
                                <w:rPr>
                                  <w:rFonts w:ascii="Sakkal Majalla" w:eastAsia="Times New Roman" w:hAnsi="Sakkal Majalla" w:cs="Sakkal Majalla"/>
                                  <w:b/>
                                  <w:bCs/>
                                  <w:sz w:val="32"/>
                                  <w:szCs w:val="32"/>
                                  <w:rtl/>
                                </w:rPr>
                                <w:t>المتغير المستقل</w:t>
                              </w:r>
                            </w:p>
                            <w:tbl>
                              <w:tblPr>
                                <w:tblStyle w:val="TableGridLight"/>
                                <w:bidiVisual/>
                                <w:tblW w:w="0" w:type="auto"/>
                                <w:jc w:val="center"/>
                                <w:tblLook w:val="04A0" w:firstRow="1" w:lastRow="0" w:firstColumn="1" w:lastColumn="0" w:noHBand="0" w:noVBand="1"/>
                              </w:tblPr>
                              <w:tblGrid>
                                <w:gridCol w:w="2122"/>
                              </w:tblGrid>
                              <w:tr w:rsidR="003E5809" w:rsidRPr="00B4512A" w14:paraId="64F98AEA" w14:textId="77777777" w:rsidTr="00BD14DE">
                                <w:trPr>
                                  <w:jc w:val="center"/>
                                </w:trPr>
                                <w:tc>
                                  <w:tcPr>
                                    <w:tcW w:w="0" w:type="auto"/>
                                    <w:vAlign w:val="center"/>
                                    <w:hideMark/>
                                  </w:tcPr>
                                  <w:p w14:paraId="20FB5506" w14:textId="77777777" w:rsidR="003E5809" w:rsidRPr="00B4512A" w:rsidRDefault="003E5809" w:rsidP="00B4512A">
                                    <w:pPr>
                                      <w:jc w:val="center"/>
                                      <w:rPr>
                                        <w:lang w:bidi="ar-EG"/>
                                      </w:rPr>
                                    </w:pPr>
                                    <w:r w:rsidRPr="00B4512A">
                                      <w:rPr>
                                        <w:rtl/>
                                      </w:rPr>
                                      <w:t>الإطار التشريعي والتنظيمي</w:t>
                                    </w:r>
                                  </w:p>
                                </w:tc>
                              </w:tr>
                              <w:tr w:rsidR="003E5809" w:rsidRPr="00B4512A" w14:paraId="15BE1D5B" w14:textId="77777777" w:rsidTr="00BD14DE">
                                <w:trPr>
                                  <w:jc w:val="center"/>
                                </w:trPr>
                                <w:tc>
                                  <w:tcPr>
                                    <w:tcW w:w="0" w:type="auto"/>
                                    <w:vAlign w:val="center"/>
                                    <w:hideMark/>
                                  </w:tcPr>
                                  <w:p w14:paraId="54532BA4" w14:textId="77777777" w:rsidR="003E5809" w:rsidRPr="00B4512A" w:rsidRDefault="003E5809" w:rsidP="00B4512A">
                                    <w:pPr>
                                      <w:jc w:val="center"/>
                                      <w:rPr>
                                        <w:lang w:bidi="ar-EG"/>
                                      </w:rPr>
                                    </w:pPr>
                                    <w:r w:rsidRPr="00B4512A">
                                      <w:rPr>
                                        <w:rtl/>
                                      </w:rPr>
                                      <w:t>توزيع الأدوار والمسؤوليات</w:t>
                                    </w:r>
                                  </w:p>
                                </w:tc>
                              </w:tr>
                              <w:tr w:rsidR="003E5809" w:rsidRPr="00B4512A" w14:paraId="6C35C72C" w14:textId="77777777" w:rsidTr="00BD14DE">
                                <w:trPr>
                                  <w:jc w:val="center"/>
                                </w:trPr>
                                <w:tc>
                                  <w:tcPr>
                                    <w:tcW w:w="0" w:type="auto"/>
                                    <w:vAlign w:val="center"/>
                                    <w:hideMark/>
                                  </w:tcPr>
                                  <w:p w14:paraId="3978D951" w14:textId="77777777" w:rsidR="003E5809" w:rsidRPr="00B4512A" w:rsidRDefault="003E5809" w:rsidP="00B4512A">
                                    <w:pPr>
                                      <w:jc w:val="center"/>
                                      <w:rPr>
                                        <w:lang w:bidi="ar-EG"/>
                                      </w:rPr>
                                    </w:pPr>
                                    <w:r w:rsidRPr="00B4512A">
                                      <w:rPr>
                                        <w:rtl/>
                                      </w:rPr>
                                      <w:t>التنسيق وتبادل المعلومات</w:t>
                                    </w:r>
                                  </w:p>
                                </w:tc>
                              </w:tr>
                              <w:tr w:rsidR="003E5809" w:rsidRPr="00B4512A" w14:paraId="7C59A098" w14:textId="77777777" w:rsidTr="00BD14DE">
                                <w:trPr>
                                  <w:jc w:val="center"/>
                                </w:trPr>
                                <w:tc>
                                  <w:tcPr>
                                    <w:tcW w:w="0" w:type="auto"/>
                                    <w:vAlign w:val="center"/>
                                    <w:hideMark/>
                                  </w:tcPr>
                                  <w:p w14:paraId="6626DF83" w14:textId="77777777" w:rsidR="003E5809" w:rsidRPr="00B4512A" w:rsidRDefault="003E5809" w:rsidP="00B4512A">
                                    <w:pPr>
                                      <w:jc w:val="center"/>
                                      <w:rPr>
                                        <w:lang w:bidi="ar-EG"/>
                                      </w:rPr>
                                    </w:pPr>
                                    <w:r w:rsidRPr="00B4512A">
                                      <w:rPr>
                                        <w:rtl/>
                                      </w:rPr>
                                      <w:t>إدارة الموارد والتمويل</w:t>
                                    </w:r>
                                  </w:p>
                                </w:tc>
                              </w:tr>
                              <w:tr w:rsidR="003E5809" w:rsidRPr="00B4512A" w14:paraId="71EEA588" w14:textId="77777777" w:rsidTr="00BD14DE">
                                <w:trPr>
                                  <w:jc w:val="center"/>
                                </w:trPr>
                                <w:tc>
                                  <w:tcPr>
                                    <w:tcW w:w="0" w:type="auto"/>
                                    <w:vAlign w:val="center"/>
                                    <w:hideMark/>
                                  </w:tcPr>
                                  <w:p w14:paraId="1572D8AA" w14:textId="77777777" w:rsidR="003E5809" w:rsidRPr="00B4512A" w:rsidRDefault="003E5809" w:rsidP="00B4512A">
                                    <w:pPr>
                                      <w:jc w:val="center"/>
                                      <w:rPr>
                                        <w:lang w:bidi="ar-EG"/>
                                      </w:rPr>
                                    </w:pPr>
                                    <w:r w:rsidRPr="00B4512A">
                                      <w:rPr>
                                        <w:rtl/>
                                      </w:rPr>
                                      <w:t>الرقابة وإدارة المخاطر</w:t>
                                    </w:r>
                                  </w:p>
                                </w:tc>
                              </w:tr>
                            </w:tbl>
                            <w:p w14:paraId="6B513FF3" w14:textId="77777777" w:rsidR="003E5809" w:rsidRDefault="003E5809" w:rsidP="003E5809">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4599752" name="Rectangle 1814599752"/>
                        <wps:cNvSpPr/>
                        <wps:spPr>
                          <a:xfrm>
                            <a:off x="371475" y="66675"/>
                            <a:ext cx="1819275" cy="2124075"/>
                          </a:xfrm>
                          <a:prstGeom prst="rect">
                            <a:avLst/>
                          </a:prstGeom>
                          <a:solidFill>
                            <a:srgbClr val="5B9BD5"/>
                          </a:solidFill>
                          <a:ln w="12700" cap="flat" cmpd="sng" algn="ctr">
                            <a:solidFill>
                              <a:srgbClr val="5B9BD5">
                                <a:shade val="50000"/>
                              </a:srgbClr>
                            </a:solidFill>
                            <a:prstDash val="solid"/>
                            <a:miter lim="800000"/>
                          </a:ln>
                          <a:effectLst/>
                        </wps:spPr>
                        <wps:txbx>
                          <w:txbxContent>
                            <w:p w14:paraId="270F3CB3" w14:textId="77777777" w:rsidR="003E5809" w:rsidRPr="00F30986" w:rsidRDefault="003E5809" w:rsidP="003E5809">
                              <w:pPr>
                                <w:bidi/>
                                <w:jc w:val="center"/>
                                <w:rPr>
                                  <w:rFonts w:ascii="Sakkal Majalla" w:eastAsia="Times New Roman" w:hAnsi="Sakkal Majalla" w:cs="Sakkal Majalla"/>
                                  <w:b/>
                                  <w:bCs/>
                                  <w:sz w:val="32"/>
                                  <w:szCs w:val="32"/>
                                  <w:rtl/>
                                </w:rPr>
                              </w:pPr>
                              <w:r w:rsidRPr="00F30986">
                                <w:rPr>
                                  <w:rFonts w:ascii="Sakkal Majalla" w:eastAsia="Times New Roman" w:hAnsi="Sakkal Majalla" w:cs="Sakkal Majalla"/>
                                  <w:b/>
                                  <w:bCs/>
                                  <w:sz w:val="32"/>
                                  <w:szCs w:val="32"/>
                                  <w:rtl/>
                                </w:rPr>
                                <w:t>المتغير التابع</w:t>
                              </w:r>
                            </w:p>
                            <w:tbl>
                              <w:tblPr>
                                <w:tblStyle w:val="TableGridLight"/>
                                <w:bidiVisual/>
                                <w:tblW w:w="0" w:type="auto"/>
                                <w:jc w:val="center"/>
                                <w:tblLook w:val="04A0" w:firstRow="1" w:lastRow="0" w:firstColumn="1" w:lastColumn="0" w:noHBand="0" w:noVBand="1"/>
                              </w:tblPr>
                              <w:tblGrid>
                                <w:gridCol w:w="2192"/>
                              </w:tblGrid>
                              <w:tr w:rsidR="003E5809" w:rsidRPr="005C14A7" w14:paraId="053769D0" w14:textId="77777777" w:rsidTr="00BD14DE">
                                <w:trPr>
                                  <w:jc w:val="center"/>
                                </w:trPr>
                                <w:tc>
                                  <w:tcPr>
                                    <w:tcW w:w="0" w:type="auto"/>
                                    <w:vAlign w:val="center"/>
                                    <w:hideMark/>
                                  </w:tcPr>
                                  <w:p w14:paraId="0E985667"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الكفاءة التشغيلية</w:t>
                                    </w:r>
                                  </w:p>
                                </w:tc>
                              </w:tr>
                              <w:tr w:rsidR="003E5809" w:rsidRPr="005C14A7" w14:paraId="576EEAAA" w14:textId="77777777" w:rsidTr="00BD14DE">
                                <w:trPr>
                                  <w:jc w:val="center"/>
                                </w:trPr>
                                <w:tc>
                                  <w:tcPr>
                                    <w:tcW w:w="0" w:type="auto"/>
                                    <w:vAlign w:val="center"/>
                                    <w:hideMark/>
                                  </w:tcPr>
                                  <w:p w14:paraId="39E31379"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جودة الرقابة والامتثال</w:t>
                                    </w:r>
                                  </w:p>
                                </w:tc>
                              </w:tr>
                              <w:tr w:rsidR="003E5809" w:rsidRPr="005C14A7" w14:paraId="466AA991" w14:textId="77777777" w:rsidTr="00BD14DE">
                                <w:trPr>
                                  <w:jc w:val="center"/>
                                </w:trPr>
                                <w:tc>
                                  <w:tcPr>
                                    <w:tcW w:w="0" w:type="auto"/>
                                    <w:vAlign w:val="center"/>
                                    <w:hideMark/>
                                  </w:tcPr>
                                  <w:p w14:paraId="552D5033"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الشفافية والمساءلة</w:t>
                                    </w:r>
                                  </w:p>
                                </w:tc>
                              </w:tr>
                              <w:tr w:rsidR="003E5809" w:rsidRPr="005C14A7" w14:paraId="3693E0FD" w14:textId="77777777" w:rsidTr="00BD14DE">
                                <w:trPr>
                                  <w:jc w:val="center"/>
                                </w:trPr>
                                <w:tc>
                                  <w:tcPr>
                                    <w:tcW w:w="0" w:type="auto"/>
                                    <w:vAlign w:val="center"/>
                                    <w:hideMark/>
                                  </w:tcPr>
                                  <w:p w14:paraId="04F7EEE1"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تحسين الأداء البيئي</w:t>
                                    </w:r>
                                  </w:p>
                                </w:tc>
                              </w:tr>
                              <w:tr w:rsidR="003E5809" w:rsidRPr="005C14A7" w14:paraId="2D6BBE63" w14:textId="77777777" w:rsidTr="00BD14DE">
                                <w:trPr>
                                  <w:jc w:val="center"/>
                                </w:trPr>
                                <w:tc>
                                  <w:tcPr>
                                    <w:tcW w:w="0" w:type="auto"/>
                                    <w:vAlign w:val="center"/>
                                    <w:hideMark/>
                                  </w:tcPr>
                                  <w:p w14:paraId="622B2D0A"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الاستدامة المؤسسية</w:t>
                                    </w:r>
                                  </w:p>
                                </w:tc>
                              </w:tr>
                            </w:tbl>
                            <w:p w14:paraId="1973A912" w14:textId="77777777" w:rsidR="003E5809" w:rsidRDefault="003E5809" w:rsidP="003E5809">
                              <w:pPr>
                                <w:bidi/>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9311023" name="Rectangle 1759311023"/>
                        <wps:cNvSpPr/>
                        <wps:spPr>
                          <a:xfrm>
                            <a:off x="0" y="0"/>
                            <a:ext cx="5857875" cy="236220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2685973" name="Rectangle 2012685973"/>
                        <wps:cNvSpPr/>
                        <wps:spPr>
                          <a:xfrm>
                            <a:off x="942975" y="2543175"/>
                            <a:ext cx="4181475" cy="333375"/>
                          </a:xfrm>
                          <a:prstGeom prst="rect">
                            <a:avLst/>
                          </a:prstGeom>
                          <a:solidFill>
                            <a:srgbClr val="5B9BD5"/>
                          </a:solidFill>
                          <a:ln w="12700" cap="flat" cmpd="sng" algn="ctr">
                            <a:solidFill>
                              <a:srgbClr val="5B9BD5">
                                <a:shade val="50000"/>
                              </a:srgbClr>
                            </a:solidFill>
                            <a:prstDash val="solid"/>
                            <a:miter lim="800000"/>
                          </a:ln>
                          <a:effectLst/>
                        </wps:spPr>
                        <wps:txbx>
                          <w:txbxContent>
                            <w:p w14:paraId="0529C77F" w14:textId="77777777" w:rsidR="003E5809" w:rsidRPr="00B4512A" w:rsidRDefault="003E5809" w:rsidP="003E5809">
                              <w:pPr>
                                <w:jc w:val="center"/>
                                <w:rPr>
                                  <w:rFonts w:ascii="Sakkal Majalla" w:hAnsi="Sakkal Majalla" w:cs="Sakkal Majalla"/>
                                  <w:b/>
                                  <w:bCs/>
                                  <w:sz w:val="32"/>
                                  <w:szCs w:val="32"/>
                                  <w:lang w:bidi="ar-EG"/>
                                </w:rPr>
                              </w:pPr>
                              <w:r w:rsidRPr="00B4512A">
                                <w:rPr>
                                  <w:rFonts w:ascii="Sakkal Majalla" w:hAnsi="Sakkal Majalla" w:cs="Sakkal Majalla"/>
                                  <w:b/>
                                  <w:bCs/>
                                  <w:sz w:val="32"/>
                                  <w:szCs w:val="32"/>
                                  <w:rtl/>
                                  <w:lang w:bidi="ar-EG"/>
                                </w:rPr>
                                <w:t xml:space="preserve">البيانات الديموغرافية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9903374" name="Straight Arrow Connector 529903374"/>
                        <wps:cNvCnPr/>
                        <wps:spPr>
                          <a:xfrm flipH="1">
                            <a:off x="2250831" y="1217294"/>
                            <a:ext cx="1340094" cy="0"/>
                          </a:xfrm>
                          <a:prstGeom prst="straightConnector1">
                            <a:avLst/>
                          </a:prstGeom>
                          <a:noFill/>
                          <a:ln w="19050" cap="flat" cmpd="sng" algn="ctr">
                            <a:solidFill>
                              <a:srgbClr val="5B9BD5"/>
                            </a:solidFill>
                            <a:prstDash val="solid"/>
                            <a:miter lim="800000"/>
                            <a:tailEnd type="triangle"/>
                          </a:ln>
                          <a:effectLst/>
                        </wps:spPr>
                        <wps:bodyPr/>
                      </wps:wsp>
                    </wpg:wgp>
                  </a:graphicData>
                </a:graphic>
              </wp:anchor>
            </w:drawing>
          </mc:Choice>
          <mc:Fallback>
            <w:pict>
              <v:group w14:anchorId="0B957628" id="Group 1573053063" o:spid="_x0000_s1026" style="position:absolute;left:0;text-align:left;margin-left:-17.45pt;margin-top:0;width:461.25pt;height:226.5pt;z-index:251659776;mso-position-horizontal-relative:margin" coordsize="58578,28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">
                <v:rect id="Rectangle 142626617" o:spid="_x0000_s1027" style="position:absolute;left:36385;top:1047;width:18669;height:21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" fillcolor="#5b9bd5" strokecolor="#41719c" strokeweight="1pt">
                  <v:textbox>
                    <w:txbxContent>
                      <w:p w14:paraId="0269695A" w14:textId="77777777" w:rsidR="003E5809" w:rsidRPr="005C14A7" w:rsidRDefault="003E5809" w:rsidP="003E5809">
                        <w:pPr>
                          <w:bidi/>
                          <w:jc w:val="center"/>
                          <w:rPr>
                            <w:rFonts w:ascii="Sakkal Majalla" w:eastAsia="Times New Roman" w:hAnsi="Sakkal Majalla" w:cs="Sakkal Majalla"/>
                            <w:sz w:val="32"/>
                            <w:szCs w:val="32"/>
                          </w:rPr>
                        </w:pPr>
                        <w:r w:rsidRPr="005C14A7">
                          <w:rPr>
                            <w:rFonts w:ascii="Sakkal Majalla" w:eastAsia="Times New Roman" w:hAnsi="Sakkal Majalla" w:cs="Sakkal Majalla"/>
                            <w:b/>
                            <w:bCs/>
                            <w:sz w:val="32"/>
                            <w:szCs w:val="32"/>
                            <w:rtl/>
                          </w:rPr>
                          <w:t>المتغير المستقل</w:t>
                        </w:r>
                      </w:p>
                      <w:tbl>
                        <w:tblPr>
                          <w:tblStyle w:val="TableGridLight"/>
                          <w:bidiVisual/>
                          <w:tblW w:w="0" w:type="auto"/>
                          <w:jc w:val="center"/>
                          <w:tblLook w:val="04A0" w:firstRow="1" w:lastRow="0" w:firstColumn="1" w:lastColumn="0" w:noHBand="0" w:noVBand="1"/>
                        </w:tblPr>
                        <w:tblGrid>
                          <w:gridCol w:w="2122"/>
                        </w:tblGrid>
                        <w:tr w:rsidR="003E5809" w:rsidRPr="00B4512A" w14:paraId="64F98AEA" w14:textId="77777777" w:rsidTr="00BD14DE">
                          <w:trPr>
                            <w:jc w:val="center"/>
                          </w:trPr>
                          <w:tc>
                            <w:tcPr>
                              <w:tcW w:w="0" w:type="auto"/>
                              <w:vAlign w:val="center"/>
                              <w:hideMark/>
                            </w:tcPr>
                            <w:p w14:paraId="20FB5506" w14:textId="77777777" w:rsidR="003E5809" w:rsidRPr="00B4512A" w:rsidRDefault="003E5809" w:rsidP="00B4512A">
                              <w:pPr>
                                <w:jc w:val="center"/>
                                <w:rPr>
                                  <w:lang w:bidi="ar-EG"/>
                                </w:rPr>
                              </w:pPr>
                              <w:r w:rsidRPr="00B4512A">
                                <w:rPr>
                                  <w:rtl/>
                                </w:rPr>
                                <w:t>الإطار التشريعي والتنظيمي</w:t>
                              </w:r>
                            </w:p>
                          </w:tc>
                        </w:tr>
                        <w:tr w:rsidR="003E5809" w:rsidRPr="00B4512A" w14:paraId="15BE1D5B" w14:textId="77777777" w:rsidTr="00BD14DE">
                          <w:trPr>
                            <w:jc w:val="center"/>
                          </w:trPr>
                          <w:tc>
                            <w:tcPr>
                              <w:tcW w:w="0" w:type="auto"/>
                              <w:vAlign w:val="center"/>
                              <w:hideMark/>
                            </w:tcPr>
                            <w:p w14:paraId="54532BA4" w14:textId="77777777" w:rsidR="003E5809" w:rsidRPr="00B4512A" w:rsidRDefault="003E5809" w:rsidP="00B4512A">
                              <w:pPr>
                                <w:jc w:val="center"/>
                                <w:rPr>
                                  <w:lang w:bidi="ar-EG"/>
                                </w:rPr>
                              </w:pPr>
                              <w:r w:rsidRPr="00B4512A">
                                <w:rPr>
                                  <w:rtl/>
                                </w:rPr>
                                <w:t>توزيع الأدوار والمسؤوليات</w:t>
                              </w:r>
                            </w:p>
                          </w:tc>
                        </w:tr>
                        <w:tr w:rsidR="003E5809" w:rsidRPr="00B4512A" w14:paraId="6C35C72C" w14:textId="77777777" w:rsidTr="00BD14DE">
                          <w:trPr>
                            <w:jc w:val="center"/>
                          </w:trPr>
                          <w:tc>
                            <w:tcPr>
                              <w:tcW w:w="0" w:type="auto"/>
                              <w:vAlign w:val="center"/>
                              <w:hideMark/>
                            </w:tcPr>
                            <w:p w14:paraId="3978D951" w14:textId="77777777" w:rsidR="003E5809" w:rsidRPr="00B4512A" w:rsidRDefault="003E5809" w:rsidP="00B4512A">
                              <w:pPr>
                                <w:jc w:val="center"/>
                                <w:rPr>
                                  <w:lang w:bidi="ar-EG"/>
                                </w:rPr>
                              </w:pPr>
                              <w:r w:rsidRPr="00B4512A">
                                <w:rPr>
                                  <w:rtl/>
                                </w:rPr>
                                <w:t>التنسيق وتبادل المعلومات</w:t>
                              </w:r>
                            </w:p>
                          </w:tc>
                        </w:tr>
                        <w:tr w:rsidR="003E5809" w:rsidRPr="00B4512A" w14:paraId="7C59A098" w14:textId="77777777" w:rsidTr="00BD14DE">
                          <w:trPr>
                            <w:jc w:val="center"/>
                          </w:trPr>
                          <w:tc>
                            <w:tcPr>
                              <w:tcW w:w="0" w:type="auto"/>
                              <w:vAlign w:val="center"/>
                              <w:hideMark/>
                            </w:tcPr>
                            <w:p w14:paraId="6626DF83" w14:textId="77777777" w:rsidR="003E5809" w:rsidRPr="00B4512A" w:rsidRDefault="003E5809" w:rsidP="00B4512A">
                              <w:pPr>
                                <w:jc w:val="center"/>
                                <w:rPr>
                                  <w:lang w:bidi="ar-EG"/>
                                </w:rPr>
                              </w:pPr>
                              <w:r w:rsidRPr="00B4512A">
                                <w:rPr>
                                  <w:rtl/>
                                </w:rPr>
                                <w:t>إدارة الموارد والتمويل</w:t>
                              </w:r>
                            </w:p>
                          </w:tc>
                        </w:tr>
                        <w:tr w:rsidR="003E5809" w:rsidRPr="00B4512A" w14:paraId="71EEA588" w14:textId="77777777" w:rsidTr="00BD14DE">
                          <w:trPr>
                            <w:jc w:val="center"/>
                          </w:trPr>
                          <w:tc>
                            <w:tcPr>
                              <w:tcW w:w="0" w:type="auto"/>
                              <w:vAlign w:val="center"/>
                              <w:hideMark/>
                            </w:tcPr>
                            <w:p w14:paraId="1572D8AA" w14:textId="77777777" w:rsidR="003E5809" w:rsidRPr="00B4512A" w:rsidRDefault="003E5809" w:rsidP="00B4512A">
                              <w:pPr>
                                <w:jc w:val="center"/>
                                <w:rPr>
                                  <w:lang w:bidi="ar-EG"/>
                                </w:rPr>
                              </w:pPr>
                              <w:r w:rsidRPr="00B4512A">
                                <w:rPr>
                                  <w:rtl/>
                                </w:rPr>
                                <w:t>الرقابة وإدارة المخاطر</w:t>
                              </w:r>
                            </w:p>
                          </w:tc>
                        </w:tr>
                      </w:tbl>
                      <w:p w14:paraId="6B513FF3" w14:textId="77777777" w:rsidR="003E5809" w:rsidRDefault="003E5809" w:rsidP="003E5809">
                        <w:pPr>
                          <w:jc w:val="center"/>
                          <w:rPr>
                            <w:lang w:bidi="ar-EG"/>
                          </w:rPr>
                        </w:pPr>
                      </w:p>
                    </w:txbxContent>
                  </v:textbox>
                </v:rect>
                <v:rect id="Rectangle 1814599752" o:spid="_x0000_s1028" style="position:absolute;left:3714;top:666;width:18193;height:21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" fillcolor="#5b9bd5" strokecolor="#41719c" strokeweight="1pt">
                  <v:textbox>
                    <w:txbxContent>
                      <w:p w14:paraId="270F3CB3" w14:textId="77777777" w:rsidR="003E5809" w:rsidRPr="00F30986" w:rsidRDefault="003E5809" w:rsidP="003E5809">
                        <w:pPr>
                          <w:bidi/>
                          <w:jc w:val="center"/>
                          <w:rPr>
                            <w:rFonts w:ascii="Sakkal Majalla" w:eastAsia="Times New Roman" w:hAnsi="Sakkal Majalla" w:cs="Sakkal Majalla"/>
                            <w:b/>
                            <w:bCs/>
                            <w:sz w:val="32"/>
                            <w:szCs w:val="32"/>
                            <w:rtl/>
                          </w:rPr>
                        </w:pPr>
                        <w:r w:rsidRPr="00F30986">
                          <w:rPr>
                            <w:rFonts w:ascii="Sakkal Majalla" w:eastAsia="Times New Roman" w:hAnsi="Sakkal Majalla" w:cs="Sakkal Majalla"/>
                            <w:b/>
                            <w:bCs/>
                            <w:sz w:val="32"/>
                            <w:szCs w:val="32"/>
                            <w:rtl/>
                          </w:rPr>
                          <w:t>المتغير التابع</w:t>
                        </w:r>
                      </w:p>
                      <w:tbl>
                        <w:tblPr>
                          <w:tblStyle w:val="TableGridLight"/>
                          <w:bidiVisual/>
                          <w:tblW w:w="0" w:type="auto"/>
                          <w:jc w:val="center"/>
                          <w:tblLook w:val="04A0" w:firstRow="1" w:lastRow="0" w:firstColumn="1" w:lastColumn="0" w:noHBand="0" w:noVBand="1"/>
                        </w:tblPr>
                        <w:tblGrid>
                          <w:gridCol w:w="2192"/>
                        </w:tblGrid>
                        <w:tr w:rsidR="003E5809" w:rsidRPr="005C14A7" w14:paraId="053769D0" w14:textId="77777777" w:rsidTr="00BD14DE">
                          <w:trPr>
                            <w:jc w:val="center"/>
                          </w:trPr>
                          <w:tc>
                            <w:tcPr>
                              <w:tcW w:w="0" w:type="auto"/>
                              <w:vAlign w:val="center"/>
                              <w:hideMark/>
                            </w:tcPr>
                            <w:p w14:paraId="0E985667"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الكفاءة التشغيلية</w:t>
                              </w:r>
                            </w:p>
                          </w:tc>
                        </w:tr>
                        <w:tr w:rsidR="003E5809" w:rsidRPr="005C14A7" w14:paraId="576EEAAA" w14:textId="77777777" w:rsidTr="00BD14DE">
                          <w:trPr>
                            <w:jc w:val="center"/>
                          </w:trPr>
                          <w:tc>
                            <w:tcPr>
                              <w:tcW w:w="0" w:type="auto"/>
                              <w:vAlign w:val="center"/>
                              <w:hideMark/>
                            </w:tcPr>
                            <w:p w14:paraId="39E31379"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جودة الرقابة والامتثال</w:t>
                              </w:r>
                            </w:p>
                          </w:tc>
                        </w:tr>
                        <w:tr w:rsidR="003E5809" w:rsidRPr="005C14A7" w14:paraId="466AA991" w14:textId="77777777" w:rsidTr="00BD14DE">
                          <w:trPr>
                            <w:jc w:val="center"/>
                          </w:trPr>
                          <w:tc>
                            <w:tcPr>
                              <w:tcW w:w="0" w:type="auto"/>
                              <w:vAlign w:val="center"/>
                              <w:hideMark/>
                            </w:tcPr>
                            <w:p w14:paraId="552D5033"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الشفافية والمساءلة</w:t>
                              </w:r>
                            </w:p>
                          </w:tc>
                        </w:tr>
                        <w:tr w:rsidR="003E5809" w:rsidRPr="005C14A7" w14:paraId="3693E0FD" w14:textId="77777777" w:rsidTr="00BD14DE">
                          <w:trPr>
                            <w:jc w:val="center"/>
                          </w:trPr>
                          <w:tc>
                            <w:tcPr>
                              <w:tcW w:w="0" w:type="auto"/>
                              <w:vAlign w:val="center"/>
                              <w:hideMark/>
                            </w:tcPr>
                            <w:p w14:paraId="04F7EEE1"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تحسين الأداء البيئي</w:t>
                              </w:r>
                            </w:p>
                          </w:tc>
                        </w:tr>
                        <w:tr w:rsidR="003E5809" w:rsidRPr="005C14A7" w14:paraId="2D6BBE63" w14:textId="77777777" w:rsidTr="00BD14DE">
                          <w:trPr>
                            <w:jc w:val="center"/>
                          </w:trPr>
                          <w:tc>
                            <w:tcPr>
                              <w:tcW w:w="0" w:type="auto"/>
                              <w:vAlign w:val="center"/>
                              <w:hideMark/>
                            </w:tcPr>
                            <w:p w14:paraId="622B2D0A" w14:textId="77777777" w:rsidR="003E5809" w:rsidRPr="005C14A7" w:rsidRDefault="003E5809" w:rsidP="00B4512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الاستدامة المؤسسية</w:t>
                              </w:r>
                            </w:p>
                          </w:tc>
                        </w:tr>
                      </w:tbl>
                      <w:p w14:paraId="1973A912" w14:textId="77777777" w:rsidR="003E5809" w:rsidRDefault="003E5809" w:rsidP="003E5809">
                        <w:pPr>
                          <w:bidi/>
                          <w:jc w:val="center"/>
                          <w:rPr>
                            <w:lang w:bidi="ar-EG"/>
                          </w:rPr>
                        </w:pPr>
                      </w:p>
                    </w:txbxContent>
                  </v:textbox>
                </v:rect>
                <v:rect id="Rectangle 1759311023" o:spid="_x0000_s1029" style="position:absolute;width:58578;height:23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" filled="f" strokecolor="#41719c" strokeweight="1pt"/>
                <v:rect id="Rectangle 2012685973" o:spid="_x0000_s1030" style="position:absolute;left:9429;top:25431;width:41815;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" fillcolor="#5b9bd5" strokecolor="#41719c" strokeweight="1pt">
                  <v:textbox>
                    <w:txbxContent>
                      <w:p w14:paraId="0529C77F" w14:textId="77777777" w:rsidR="003E5809" w:rsidRPr="00B4512A" w:rsidRDefault="003E5809" w:rsidP="003E5809">
                        <w:pPr>
                          <w:jc w:val="center"/>
                          <w:rPr>
                            <w:rFonts w:ascii="Sakkal Majalla" w:hAnsi="Sakkal Majalla" w:cs="Sakkal Majalla"/>
                            <w:b/>
                            <w:bCs/>
                            <w:sz w:val="32"/>
                            <w:szCs w:val="32"/>
                            <w:lang w:bidi="ar-EG"/>
                          </w:rPr>
                        </w:pPr>
                        <w:r w:rsidRPr="00B4512A">
                          <w:rPr>
                            <w:rFonts w:ascii="Sakkal Majalla" w:hAnsi="Sakkal Majalla" w:cs="Sakkal Majalla"/>
                            <w:b/>
                            <w:bCs/>
                            <w:sz w:val="32"/>
                            <w:szCs w:val="32"/>
                            <w:rtl/>
                            <w:lang w:bidi="ar-EG"/>
                          </w:rPr>
                          <w:t xml:space="preserve">البيانات الديموغرافية </w:t>
                        </w:r>
                      </w:p>
                    </w:txbxContent>
                  </v:textbox>
                </v:rect>
                <v:shapetype id="_x0000_t32" coordsize="21600,21600" o:spt="32" o:oned="t" path="m,l21600,21600e" filled="f">
                  <v:path arrowok="t" fillok="f" o:connecttype="none"/>
                  <o:lock v:ext="edit" shapetype="t"/>
                </v:shapetype>
                <v:shape id="Straight Arrow Connector 529903374" o:spid="_x0000_s1031" type="#_x0000_t32" style="position:absolute;left:22508;top:12172;width:1340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" strokecolor="#5b9bd5" strokeweight="1.5pt">
                  <v:stroke endarrow="block" joinstyle="miter"/>
                </v:shape>
                <w10:wrap anchorx="margin"/>
              </v:group>
            </w:pict>
          </mc:Fallback>
        </mc:AlternateContent>
      </w:r>
    </w:p>
    <w:p w14:paraId="46947AC6" w14:textId="77777777"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p>
    <w:p w14:paraId="58C9A92F" w14:textId="77777777"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p>
    <w:p w14:paraId="170E48A5" w14:textId="77777777"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p>
    <w:p w14:paraId="4BD0FFCA" w14:textId="77777777"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p>
    <w:p w14:paraId="7694E0C7" w14:textId="77777777"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p>
    <w:p w14:paraId="4D42454D" w14:textId="77777777"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p>
    <w:p w14:paraId="13D443E1" w14:textId="77777777" w:rsidR="006C40E1" w:rsidRPr="00791F76" w:rsidRDefault="006C40E1" w:rsidP="006C40E1">
      <w:pPr>
        <w:bidi/>
        <w:spacing w:before="100" w:beforeAutospacing="1" w:after="100" w:afterAutospacing="1" w:line="240" w:lineRule="auto"/>
        <w:jc w:val="lowKashida"/>
        <w:rPr>
          <w:rFonts w:ascii="Simplified Arabic" w:eastAsia="Times New Roman" w:hAnsi="Simplified Arabic" w:cs="Simplified Arabic"/>
          <w:sz w:val="24"/>
          <w:szCs w:val="24"/>
          <w:rtl/>
        </w:rPr>
      </w:pPr>
    </w:p>
    <w:p w14:paraId="6DBD5798" w14:textId="2F9B8B5C"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8" w:name="_Toc234607901"/>
      <w:r w:rsidRPr="003C40F2">
        <w:rPr>
          <w:rFonts w:ascii="Simplified Arabic" w:eastAsia="Times New Roman" w:hAnsi="Simplified Arabic" w:cs="Simplified Arabic"/>
          <w:b/>
          <w:bCs/>
          <w:kern w:val="36"/>
          <w:sz w:val="24"/>
          <w:szCs w:val="24"/>
        </w:rPr>
        <w:t xml:space="preserve">3.3 </w:t>
      </w:r>
      <w:r w:rsidRPr="003C40F2">
        <w:rPr>
          <w:rFonts w:ascii="Simplified Arabic" w:eastAsia="Times New Roman" w:hAnsi="Simplified Arabic" w:cs="Simplified Arabic"/>
          <w:b/>
          <w:bCs/>
          <w:kern w:val="36"/>
          <w:sz w:val="24"/>
          <w:szCs w:val="24"/>
          <w:rtl/>
        </w:rPr>
        <w:t>النموذج المفاهيمي للدراسة</w:t>
      </w:r>
      <w:bookmarkEnd w:id="8"/>
    </w:p>
    <w:p w14:paraId="6FABA816" w14:textId="22D129A9" w:rsidR="00FD5A98" w:rsidRPr="003C40F2" w:rsidRDefault="001A3ABE" w:rsidP="006C40E1">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يرتكز النموذج المفاهيمي للدراسة على قياس أثر الشراكات بين القطاعين العام والخاص في قطاع البيئة على فاعلية الحوكمة البيئية وإدارة الأداء في مجال التفتيش البيئي، وذلك من خلال مجموعة من الأبعاد التي تم استخلاصها من الأدبيات العلمية والدراسات السابقة</w:t>
      </w:r>
      <w:r w:rsidRPr="003C40F2">
        <w:rPr>
          <w:rFonts w:ascii="Simplified Arabic" w:eastAsia="Times New Roman" w:hAnsi="Simplified Arabic" w:cs="Simplified Arabic"/>
          <w:sz w:val="24"/>
          <w:szCs w:val="24"/>
        </w:rPr>
        <w:t>.</w:t>
      </w:r>
    </w:p>
    <w:p w14:paraId="1FE9F93F"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9" w:name="_Toc234607902"/>
      <w:r w:rsidRPr="003C40F2">
        <w:rPr>
          <w:rFonts w:ascii="Simplified Arabic" w:eastAsia="Times New Roman" w:hAnsi="Simplified Arabic" w:cs="Simplified Arabic"/>
          <w:b/>
          <w:bCs/>
          <w:sz w:val="24"/>
          <w:szCs w:val="24"/>
          <w:rtl/>
        </w:rPr>
        <w:t>جدول</w:t>
      </w:r>
      <w:r>
        <w:rPr>
          <w:rFonts w:ascii="Simplified Arabic" w:eastAsia="Times New Roman" w:hAnsi="Simplified Arabic" w:cs="Simplified Arabic"/>
          <w:b/>
          <w:bCs/>
          <w:sz w:val="24"/>
          <w:szCs w:val="24"/>
        </w:rPr>
        <w:t xml:space="preserve"> </w:t>
      </w:r>
      <w:r w:rsidRPr="003C40F2">
        <w:rPr>
          <w:rFonts w:ascii="Simplified Arabic" w:eastAsia="Times New Roman" w:hAnsi="Simplified Arabic" w:cs="Simplified Arabic"/>
          <w:b/>
          <w:bCs/>
          <w:sz w:val="24"/>
          <w:szCs w:val="24"/>
        </w:rPr>
        <w:t xml:space="preserve"> (3-1)</w:t>
      </w:r>
      <w:bookmarkEnd w:id="9"/>
    </w:p>
    <w:p w14:paraId="6E0BA520"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0" w:name="_Toc234607903"/>
      <w:r w:rsidRPr="003C40F2">
        <w:rPr>
          <w:rFonts w:ascii="Simplified Arabic" w:eastAsia="Times New Roman" w:hAnsi="Simplified Arabic" w:cs="Simplified Arabic"/>
          <w:b/>
          <w:bCs/>
          <w:sz w:val="24"/>
          <w:szCs w:val="24"/>
          <w:rtl/>
        </w:rPr>
        <w:t>النموذج المفاهيمي للدراسة</w:t>
      </w:r>
      <w:bookmarkEnd w:id="10"/>
    </w:p>
    <w:tbl>
      <w:tblPr>
        <w:tblStyle w:val="TableGridLight"/>
        <w:bidiVisual/>
        <w:tblW w:w="0" w:type="auto"/>
        <w:jc w:val="center"/>
        <w:tblLook w:val="04A0" w:firstRow="1" w:lastRow="0" w:firstColumn="1" w:lastColumn="0" w:noHBand="0" w:noVBand="1"/>
      </w:tblPr>
      <w:tblGrid>
        <w:gridCol w:w="1426"/>
        <w:gridCol w:w="2237"/>
        <w:gridCol w:w="2315"/>
      </w:tblGrid>
      <w:tr w:rsidR="001A3ABE" w:rsidRPr="003C40F2" w14:paraId="338B6D73" w14:textId="77777777" w:rsidTr="002A28C6">
        <w:trPr>
          <w:jc w:val="center"/>
        </w:trPr>
        <w:tc>
          <w:tcPr>
            <w:tcW w:w="0" w:type="auto"/>
            <w:vAlign w:val="center"/>
            <w:hideMark/>
          </w:tcPr>
          <w:p w14:paraId="4FCAA227"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المتغير</w:t>
            </w:r>
          </w:p>
        </w:tc>
        <w:tc>
          <w:tcPr>
            <w:tcW w:w="0" w:type="auto"/>
            <w:vAlign w:val="center"/>
            <w:hideMark/>
          </w:tcPr>
          <w:p w14:paraId="2BBB90CE"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الأبعاد</w:t>
            </w:r>
          </w:p>
        </w:tc>
        <w:tc>
          <w:tcPr>
            <w:tcW w:w="0" w:type="auto"/>
            <w:vAlign w:val="center"/>
            <w:hideMark/>
          </w:tcPr>
          <w:p w14:paraId="55AEF21F"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المؤشرات</w:t>
            </w:r>
          </w:p>
        </w:tc>
      </w:tr>
      <w:tr w:rsidR="001A3ABE" w:rsidRPr="003C40F2" w14:paraId="6D1F5E53" w14:textId="77777777" w:rsidTr="002A28C6">
        <w:trPr>
          <w:jc w:val="center"/>
        </w:trPr>
        <w:tc>
          <w:tcPr>
            <w:tcW w:w="0" w:type="auto"/>
            <w:vMerge w:val="restart"/>
            <w:vAlign w:val="center"/>
            <w:hideMark/>
          </w:tcPr>
          <w:p w14:paraId="06F2949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المتغير المستقل</w:t>
            </w:r>
          </w:p>
        </w:tc>
        <w:tc>
          <w:tcPr>
            <w:tcW w:w="0" w:type="auto"/>
            <w:vAlign w:val="center"/>
            <w:hideMark/>
          </w:tcPr>
          <w:p w14:paraId="233C41F3"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الإطار التشريعي والتنظيمي</w:t>
            </w:r>
          </w:p>
        </w:tc>
        <w:tc>
          <w:tcPr>
            <w:tcW w:w="0" w:type="auto"/>
            <w:vAlign w:val="center"/>
            <w:hideMark/>
          </w:tcPr>
          <w:p w14:paraId="59BAC4DE"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الأنظمة واللوائح</w:t>
            </w:r>
          </w:p>
        </w:tc>
      </w:tr>
      <w:tr w:rsidR="001A3ABE" w:rsidRPr="003C40F2" w14:paraId="2E7BDE0D" w14:textId="77777777" w:rsidTr="002A28C6">
        <w:trPr>
          <w:jc w:val="center"/>
        </w:trPr>
        <w:tc>
          <w:tcPr>
            <w:tcW w:w="0" w:type="auto"/>
            <w:vMerge/>
            <w:vAlign w:val="center"/>
            <w:hideMark/>
          </w:tcPr>
          <w:p w14:paraId="677282A5"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2F0AF4B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توزيع الأدوار والمسؤوليات</w:t>
            </w:r>
          </w:p>
        </w:tc>
        <w:tc>
          <w:tcPr>
            <w:tcW w:w="0" w:type="auto"/>
            <w:vAlign w:val="center"/>
            <w:hideMark/>
          </w:tcPr>
          <w:p w14:paraId="525C0014"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المسؤوليات</w:t>
            </w:r>
          </w:p>
        </w:tc>
      </w:tr>
      <w:tr w:rsidR="001A3ABE" w:rsidRPr="003C40F2" w14:paraId="5621F118" w14:textId="77777777" w:rsidTr="002A28C6">
        <w:trPr>
          <w:jc w:val="center"/>
        </w:trPr>
        <w:tc>
          <w:tcPr>
            <w:tcW w:w="0" w:type="auto"/>
            <w:vMerge/>
            <w:vAlign w:val="center"/>
            <w:hideMark/>
          </w:tcPr>
          <w:p w14:paraId="610269F1"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34A73EDC"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التنسيق وتبادل المعلومات</w:t>
            </w:r>
          </w:p>
        </w:tc>
        <w:tc>
          <w:tcPr>
            <w:tcW w:w="0" w:type="auto"/>
            <w:vAlign w:val="center"/>
            <w:hideMark/>
          </w:tcPr>
          <w:p w14:paraId="0F233E83"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سرعة تبادل المعلومات</w:t>
            </w:r>
          </w:p>
        </w:tc>
      </w:tr>
      <w:tr w:rsidR="001A3ABE" w:rsidRPr="003C40F2" w14:paraId="307634EF" w14:textId="77777777" w:rsidTr="002A28C6">
        <w:trPr>
          <w:jc w:val="center"/>
        </w:trPr>
        <w:tc>
          <w:tcPr>
            <w:tcW w:w="0" w:type="auto"/>
            <w:vMerge/>
            <w:vAlign w:val="center"/>
            <w:hideMark/>
          </w:tcPr>
          <w:p w14:paraId="6F2B06D3"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60B1B613"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إدارة الموارد والتمويل</w:t>
            </w:r>
          </w:p>
        </w:tc>
        <w:tc>
          <w:tcPr>
            <w:tcW w:w="0" w:type="auto"/>
            <w:vAlign w:val="center"/>
            <w:hideMark/>
          </w:tcPr>
          <w:p w14:paraId="1CA2E69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كفاءة استغلال الموارد</w:t>
            </w:r>
          </w:p>
        </w:tc>
      </w:tr>
      <w:tr w:rsidR="001A3ABE" w:rsidRPr="003C40F2" w14:paraId="252B0D96" w14:textId="77777777" w:rsidTr="002A28C6">
        <w:trPr>
          <w:jc w:val="center"/>
        </w:trPr>
        <w:tc>
          <w:tcPr>
            <w:tcW w:w="0" w:type="auto"/>
            <w:vMerge/>
            <w:vAlign w:val="center"/>
            <w:hideMark/>
          </w:tcPr>
          <w:p w14:paraId="41D98021"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50153A85"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الرقابة وإدارة المخاطر</w:t>
            </w:r>
          </w:p>
        </w:tc>
        <w:tc>
          <w:tcPr>
            <w:tcW w:w="0" w:type="auto"/>
            <w:vAlign w:val="center"/>
            <w:hideMark/>
          </w:tcPr>
          <w:p w14:paraId="5972D38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متابعة الأداء وإدارة المخاطر</w:t>
            </w:r>
          </w:p>
        </w:tc>
      </w:tr>
      <w:tr w:rsidR="001A3ABE" w:rsidRPr="003C40F2" w14:paraId="10EE4C46" w14:textId="77777777" w:rsidTr="002A28C6">
        <w:trPr>
          <w:jc w:val="center"/>
        </w:trPr>
        <w:tc>
          <w:tcPr>
            <w:tcW w:w="0" w:type="auto"/>
            <w:vMerge w:val="restart"/>
            <w:vAlign w:val="center"/>
            <w:hideMark/>
          </w:tcPr>
          <w:p w14:paraId="7FB4F7E6"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المتغير التابع</w:t>
            </w:r>
          </w:p>
        </w:tc>
        <w:tc>
          <w:tcPr>
            <w:tcW w:w="0" w:type="auto"/>
            <w:vAlign w:val="center"/>
            <w:hideMark/>
          </w:tcPr>
          <w:p w14:paraId="5C972C89"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الكفاءة التشغيلية</w:t>
            </w:r>
          </w:p>
        </w:tc>
        <w:tc>
          <w:tcPr>
            <w:tcW w:w="0" w:type="auto"/>
            <w:vAlign w:val="center"/>
            <w:hideMark/>
          </w:tcPr>
          <w:p w14:paraId="2E9478E2"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سرعة إنجاز أعمال التفتيش</w:t>
            </w:r>
          </w:p>
        </w:tc>
      </w:tr>
      <w:tr w:rsidR="001A3ABE" w:rsidRPr="003C40F2" w14:paraId="1EE45060" w14:textId="77777777" w:rsidTr="002A28C6">
        <w:trPr>
          <w:jc w:val="center"/>
        </w:trPr>
        <w:tc>
          <w:tcPr>
            <w:tcW w:w="0" w:type="auto"/>
            <w:vMerge/>
            <w:vAlign w:val="center"/>
            <w:hideMark/>
          </w:tcPr>
          <w:p w14:paraId="20F0C890"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504AF974"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جودة الرقابة والامتثال</w:t>
            </w:r>
          </w:p>
        </w:tc>
        <w:tc>
          <w:tcPr>
            <w:tcW w:w="0" w:type="auto"/>
            <w:vAlign w:val="center"/>
            <w:hideMark/>
          </w:tcPr>
          <w:p w14:paraId="6750B95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مستوى الالتزام البيئي</w:t>
            </w:r>
          </w:p>
        </w:tc>
      </w:tr>
      <w:tr w:rsidR="001A3ABE" w:rsidRPr="003C40F2" w14:paraId="775F66F8" w14:textId="77777777" w:rsidTr="002A28C6">
        <w:trPr>
          <w:jc w:val="center"/>
        </w:trPr>
        <w:tc>
          <w:tcPr>
            <w:tcW w:w="0" w:type="auto"/>
            <w:vMerge/>
            <w:vAlign w:val="center"/>
            <w:hideMark/>
          </w:tcPr>
          <w:p w14:paraId="37EC24B4"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7948DF36"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الشفافية والمساءلة</w:t>
            </w:r>
          </w:p>
        </w:tc>
        <w:tc>
          <w:tcPr>
            <w:tcW w:w="0" w:type="auto"/>
            <w:vAlign w:val="center"/>
            <w:hideMark/>
          </w:tcPr>
          <w:p w14:paraId="7BA801F1"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الإجراءات والإفصاح</w:t>
            </w:r>
          </w:p>
        </w:tc>
      </w:tr>
      <w:tr w:rsidR="001A3ABE" w:rsidRPr="003C40F2" w14:paraId="6BFFCDF1" w14:textId="77777777" w:rsidTr="002A28C6">
        <w:trPr>
          <w:jc w:val="center"/>
        </w:trPr>
        <w:tc>
          <w:tcPr>
            <w:tcW w:w="0" w:type="auto"/>
            <w:vMerge/>
            <w:vAlign w:val="center"/>
            <w:hideMark/>
          </w:tcPr>
          <w:p w14:paraId="21FE3201"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2FD11839"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تحسين الأداء البيئي</w:t>
            </w:r>
          </w:p>
        </w:tc>
        <w:tc>
          <w:tcPr>
            <w:tcW w:w="0" w:type="auto"/>
            <w:vAlign w:val="center"/>
            <w:hideMark/>
          </w:tcPr>
          <w:p w14:paraId="039AFD9B"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تحسين مؤشرات الأداء</w:t>
            </w:r>
          </w:p>
        </w:tc>
      </w:tr>
      <w:tr w:rsidR="001A3ABE" w:rsidRPr="003C40F2" w14:paraId="431A4241" w14:textId="77777777" w:rsidTr="002A28C6">
        <w:trPr>
          <w:jc w:val="center"/>
        </w:trPr>
        <w:tc>
          <w:tcPr>
            <w:tcW w:w="0" w:type="auto"/>
            <w:vMerge/>
            <w:vAlign w:val="center"/>
            <w:hideMark/>
          </w:tcPr>
          <w:p w14:paraId="4F8C7DF4" w14:textId="77777777" w:rsidR="001A3ABE" w:rsidRPr="003C40F2" w:rsidRDefault="001A3ABE" w:rsidP="002A28C6">
            <w:pPr>
              <w:bidi/>
              <w:jc w:val="center"/>
              <w:rPr>
                <w:rFonts w:ascii="Simplified Arabic" w:eastAsia="Times New Roman" w:hAnsi="Simplified Arabic" w:cs="Simplified Arabic"/>
                <w:sz w:val="24"/>
                <w:szCs w:val="24"/>
              </w:rPr>
            </w:pPr>
          </w:p>
        </w:tc>
        <w:tc>
          <w:tcPr>
            <w:tcW w:w="0" w:type="auto"/>
            <w:vAlign w:val="center"/>
            <w:hideMark/>
          </w:tcPr>
          <w:p w14:paraId="5BC8C697"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الاستدامة المؤسسية</w:t>
            </w:r>
          </w:p>
        </w:tc>
        <w:tc>
          <w:tcPr>
            <w:tcW w:w="0" w:type="auto"/>
            <w:vAlign w:val="center"/>
            <w:hideMark/>
          </w:tcPr>
          <w:p w14:paraId="40777D9A"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استمرارية التطوير والتحسين</w:t>
            </w:r>
          </w:p>
        </w:tc>
      </w:tr>
    </w:tbl>
    <w:p w14:paraId="616C9220"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11" w:name="_Toc234607904"/>
      <w:r w:rsidRPr="003C40F2">
        <w:rPr>
          <w:rFonts w:ascii="Simplified Arabic" w:eastAsia="Times New Roman" w:hAnsi="Simplified Arabic" w:cs="Simplified Arabic"/>
          <w:b/>
          <w:bCs/>
          <w:kern w:val="36"/>
          <w:sz w:val="24"/>
          <w:szCs w:val="24"/>
        </w:rPr>
        <w:t xml:space="preserve">3.4 </w:t>
      </w:r>
      <w:r w:rsidRPr="003C40F2">
        <w:rPr>
          <w:rFonts w:ascii="Simplified Arabic" w:eastAsia="Times New Roman" w:hAnsi="Simplified Arabic" w:cs="Simplified Arabic"/>
          <w:b/>
          <w:bCs/>
          <w:kern w:val="36"/>
          <w:sz w:val="24"/>
          <w:szCs w:val="24"/>
          <w:rtl/>
        </w:rPr>
        <w:t>التعريفات الإجرائية لمتغيرات الدراسة</w:t>
      </w:r>
      <w:bookmarkEnd w:id="11"/>
    </w:p>
    <w:p w14:paraId="5CA44CB8" w14:textId="4FDA80F5" w:rsidR="001A3ABE" w:rsidRPr="003C40F2" w:rsidRDefault="001A3ABE" w:rsidP="00E71187">
      <w:pPr>
        <w:bidi/>
        <w:spacing w:before="100" w:beforeAutospacing="1" w:after="100" w:afterAutospacing="1" w:line="240" w:lineRule="auto"/>
        <w:jc w:val="both"/>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تعتمد الدراسة على تعريف المتغيرات بصورة إجرائية بما يتناسب مع أهداف الدراسة وطبيعة أداة القياس المستخدمة</w:t>
      </w:r>
      <w:r w:rsidRPr="003C40F2">
        <w:rPr>
          <w:rFonts w:ascii="Simplified Arabic" w:eastAsia="Times New Roman" w:hAnsi="Simplified Arabic" w:cs="Simplified Arabic"/>
          <w:sz w:val="24"/>
          <w:szCs w:val="24"/>
        </w:rPr>
        <w:t>.</w:t>
      </w:r>
    </w:p>
    <w:p w14:paraId="2620278E"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2" w:name="_Toc234607905"/>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(3-2)</w:t>
      </w:r>
      <w:bookmarkEnd w:id="12"/>
    </w:p>
    <w:p w14:paraId="3A9A3DF7"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3" w:name="_Toc234607906"/>
      <w:r w:rsidRPr="003C40F2">
        <w:rPr>
          <w:rFonts w:ascii="Simplified Arabic" w:eastAsia="Times New Roman" w:hAnsi="Simplified Arabic" w:cs="Simplified Arabic"/>
          <w:b/>
          <w:bCs/>
          <w:sz w:val="24"/>
          <w:szCs w:val="24"/>
          <w:rtl/>
        </w:rPr>
        <w:t>التعريفات الإجرائية لمتغيرات الدراسة</w:t>
      </w:r>
      <w:bookmarkEnd w:id="13"/>
    </w:p>
    <w:tbl>
      <w:tblPr>
        <w:tblStyle w:val="TableGridLight"/>
        <w:bidiVisual/>
        <w:tblW w:w="0" w:type="auto"/>
        <w:jc w:val="center"/>
        <w:tblLook w:val="04A0" w:firstRow="1" w:lastRow="0" w:firstColumn="1" w:lastColumn="0" w:noHBand="0" w:noVBand="1"/>
      </w:tblPr>
      <w:tblGrid>
        <w:gridCol w:w="2157"/>
        <w:gridCol w:w="3667"/>
        <w:gridCol w:w="1096"/>
        <w:gridCol w:w="1376"/>
      </w:tblGrid>
      <w:tr w:rsidR="001A3ABE" w:rsidRPr="00A204CB" w14:paraId="785250F8" w14:textId="77777777" w:rsidTr="002A28C6">
        <w:trPr>
          <w:jc w:val="center"/>
        </w:trPr>
        <w:tc>
          <w:tcPr>
            <w:tcW w:w="0" w:type="auto"/>
            <w:vAlign w:val="center"/>
            <w:hideMark/>
          </w:tcPr>
          <w:p w14:paraId="4A47FC3B" w14:textId="77777777" w:rsidR="001A3ABE" w:rsidRPr="00A204CB" w:rsidRDefault="001A3ABE" w:rsidP="002A28C6">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المتغير</w:t>
            </w:r>
          </w:p>
        </w:tc>
        <w:tc>
          <w:tcPr>
            <w:tcW w:w="0" w:type="auto"/>
            <w:vAlign w:val="center"/>
            <w:hideMark/>
          </w:tcPr>
          <w:p w14:paraId="46A4328F" w14:textId="77777777" w:rsidR="001A3ABE" w:rsidRPr="00A204CB" w:rsidRDefault="001A3ABE" w:rsidP="002A28C6">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التعريف الإجرائي</w:t>
            </w:r>
          </w:p>
        </w:tc>
        <w:tc>
          <w:tcPr>
            <w:tcW w:w="0" w:type="auto"/>
            <w:vAlign w:val="center"/>
            <w:hideMark/>
          </w:tcPr>
          <w:p w14:paraId="24346A99" w14:textId="77777777" w:rsidR="001A3ABE" w:rsidRPr="00A204CB" w:rsidRDefault="001A3ABE" w:rsidP="002A28C6">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مصدر البيانات</w:t>
            </w:r>
          </w:p>
        </w:tc>
        <w:tc>
          <w:tcPr>
            <w:tcW w:w="0" w:type="auto"/>
            <w:vAlign w:val="center"/>
            <w:hideMark/>
          </w:tcPr>
          <w:p w14:paraId="09EA3079" w14:textId="77777777" w:rsidR="001A3ABE" w:rsidRPr="00A204CB" w:rsidRDefault="001A3ABE" w:rsidP="002A28C6">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وحدة القياس</w:t>
            </w:r>
          </w:p>
        </w:tc>
      </w:tr>
      <w:tr w:rsidR="001A3ABE" w:rsidRPr="00A204CB" w14:paraId="1A7A005C" w14:textId="77777777" w:rsidTr="002A28C6">
        <w:trPr>
          <w:jc w:val="center"/>
        </w:trPr>
        <w:tc>
          <w:tcPr>
            <w:tcW w:w="0" w:type="auto"/>
            <w:vAlign w:val="center"/>
            <w:hideMark/>
          </w:tcPr>
          <w:p w14:paraId="08F93115"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الشراكات بين القطاعين العام والخاص</w:t>
            </w:r>
          </w:p>
        </w:tc>
        <w:tc>
          <w:tcPr>
            <w:tcW w:w="0" w:type="auto"/>
            <w:vAlign w:val="center"/>
            <w:hideMark/>
          </w:tcPr>
          <w:p w14:paraId="5ADCB730"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درجة تطبيق ممارسات الشراكة في قطاع البيئة كما يدركها أفراد الدراسة</w:t>
            </w:r>
          </w:p>
        </w:tc>
        <w:tc>
          <w:tcPr>
            <w:tcW w:w="0" w:type="auto"/>
            <w:vAlign w:val="center"/>
            <w:hideMark/>
          </w:tcPr>
          <w:p w14:paraId="606C8DFE"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الاستبانة</w:t>
            </w:r>
          </w:p>
        </w:tc>
        <w:tc>
          <w:tcPr>
            <w:tcW w:w="0" w:type="auto"/>
            <w:vAlign w:val="center"/>
            <w:hideMark/>
          </w:tcPr>
          <w:p w14:paraId="3F903625"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متوسط درجات ليكرت</w:t>
            </w:r>
          </w:p>
        </w:tc>
      </w:tr>
      <w:tr w:rsidR="001A3ABE" w:rsidRPr="00A204CB" w14:paraId="7615AD4F" w14:textId="77777777" w:rsidTr="002A28C6">
        <w:trPr>
          <w:jc w:val="center"/>
        </w:trPr>
        <w:tc>
          <w:tcPr>
            <w:tcW w:w="0" w:type="auto"/>
            <w:vAlign w:val="center"/>
            <w:hideMark/>
          </w:tcPr>
          <w:p w14:paraId="556C97DF"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الحوكمة البيئية وإدارة الأداء</w:t>
            </w:r>
          </w:p>
        </w:tc>
        <w:tc>
          <w:tcPr>
            <w:tcW w:w="0" w:type="auto"/>
            <w:vAlign w:val="center"/>
            <w:hideMark/>
          </w:tcPr>
          <w:p w14:paraId="420B26AB"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مستوى فاعلية الحوكمة وإدارة الأداء في التفتيش البيئي</w:t>
            </w:r>
          </w:p>
        </w:tc>
        <w:tc>
          <w:tcPr>
            <w:tcW w:w="0" w:type="auto"/>
            <w:vAlign w:val="center"/>
            <w:hideMark/>
          </w:tcPr>
          <w:p w14:paraId="40D75419"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الاستبانة</w:t>
            </w:r>
          </w:p>
        </w:tc>
        <w:tc>
          <w:tcPr>
            <w:tcW w:w="0" w:type="auto"/>
            <w:vAlign w:val="center"/>
            <w:hideMark/>
          </w:tcPr>
          <w:p w14:paraId="1FC22517" w14:textId="77777777" w:rsidR="001A3ABE" w:rsidRPr="00A204CB" w:rsidRDefault="001A3ABE" w:rsidP="002A28C6">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متوسط درجات ليكرت</w:t>
            </w:r>
          </w:p>
        </w:tc>
      </w:tr>
    </w:tbl>
    <w:p w14:paraId="38A69441"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14" w:name="_Toc234607907"/>
      <w:r w:rsidRPr="003C40F2">
        <w:rPr>
          <w:rFonts w:ascii="Simplified Arabic" w:eastAsia="Times New Roman" w:hAnsi="Simplified Arabic" w:cs="Simplified Arabic"/>
          <w:b/>
          <w:bCs/>
          <w:kern w:val="36"/>
          <w:sz w:val="24"/>
          <w:szCs w:val="24"/>
        </w:rPr>
        <w:t xml:space="preserve">3.5 </w:t>
      </w:r>
      <w:r w:rsidRPr="003C40F2">
        <w:rPr>
          <w:rFonts w:ascii="Simplified Arabic" w:eastAsia="Times New Roman" w:hAnsi="Simplified Arabic" w:cs="Simplified Arabic"/>
          <w:b/>
          <w:bCs/>
          <w:kern w:val="36"/>
          <w:sz w:val="24"/>
          <w:szCs w:val="24"/>
          <w:rtl/>
        </w:rPr>
        <w:t>مجتمع الدراسة</w:t>
      </w:r>
      <w:bookmarkEnd w:id="14"/>
    </w:p>
    <w:p w14:paraId="69925275" w14:textId="77777777" w:rsidR="001A3ABE"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يتكون مجتمع الدراسة من جميع العاملين والمسؤولين والخبراء في الجهات الحكومية ذات العلاقة بالبيئة والتفتيش البيئي، إضافة إلى العاملين في الشركات والمؤسسات الخاصة المشاركة في تنفيذ الخدمات البيئية بالمملكة العربية السعودية، ممن لديهم خبرة أو علاقة مباشرة بالشراكات بين القطاعين العام والخاص أما المجتمع المستهدف فيقتصر على العاملين في الجهات الحكومية والقطاع الخاص الذين يشاركون بصورة مباشرة في التخطيط أو التنفيذ أو الإشراف أو الرقابة على أعمال التفتيش البيئي والشراكات البيئية</w:t>
      </w:r>
      <w:r w:rsidRPr="003C40F2">
        <w:rPr>
          <w:rFonts w:ascii="Simplified Arabic" w:eastAsia="Times New Roman" w:hAnsi="Simplified Arabic" w:cs="Simplified Arabic"/>
          <w:sz w:val="24"/>
          <w:szCs w:val="24"/>
        </w:rPr>
        <w:t>.</w:t>
      </w:r>
    </w:p>
    <w:p w14:paraId="02671205" w14:textId="16AADFA6" w:rsidR="009A7534" w:rsidRPr="009A7534" w:rsidRDefault="009A7534" w:rsidP="009A7534">
      <w:pPr>
        <w:bidi/>
        <w:spacing w:before="100" w:beforeAutospacing="1" w:after="100" w:afterAutospacing="1" w:line="240" w:lineRule="auto"/>
        <w:jc w:val="lowKashida"/>
        <w:rPr>
          <w:rFonts w:ascii="Simplified Arabic" w:eastAsia="Times New Roman" w:hAnsi="Simplified Arabic" w:cs="Simplified Arabic"/>
          <w:sz w:val="24"/>
          <w:szCs w:val="24"/>
        </w:rPr>
      </w:pPr>
      <w:r w:rsidRPr="009A7534">
        <w:rPr>
          <w:rFonts w:ascii="Simplified Arabic" w:eastAsia="Times New Roman" w:hAnsi="Simplified Arabic" w:cs="Simplified Arabic"/>
          <w:sz w:val="24"/>
          <w:szCs w:val="24"/>
          <w:rtl/>
        </w:rPr>
        <w:t>ويشمل المجتمع القابل للوصول العاملين في الجهات الحكومية والقطاع الخاص ذات العلاقة بالتفتيش البيئي ممن يشغلون وظائف إشرافية أو تنفيذية أو استشارية، ويتم تحديد حجم المجتمع بالاعتماد على البيانات الرسمية الصادرة عن الجهات المختصة قبل بدء عملية المعاينة</w:t>
      </w:r>
      <w:r w:rsidRPr="009A7534">
        <w:rPr>
          <w:rFonts w:ascii="Simplified Arabic" w:eastAsia="Times New Roman" w:hAnsi="Simplified Arabic" w:cs="Simplified Arabic"/>
          <w:sz w:val="24"/>
          <w:szCs w:val="24"/>
        </w:rPr>
        <w:t>.</w:t>
      </w:r>
    </w:p>
    <w:p w14:paraId="2D725255"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15" w:name="_Toc234607908"/>
      <w:r w:rsidRPr="003C40F2">
        <w:rPr>
          <w:rFonts w:ascii="Simplified Arabic" w:eastAsia="Times New Roman" w:hAnsi="Simplified Arabic" w:cs="Simplified Arabic"/>
          <w:b/>
          <w:bCs/>
          <w:kern w:val="36"/>
          <w:sz w:val="24"/>
          <w:szCs w:val="24"/>
        </w:rPr>
        <w:t xml:space="preserve">3.6 </w:t>
      </w:r>
      <w:r w:rsidRPr="003C40F2">
        <w:rPr>
          <w:rFonts w:ascii="Simplified Arabic" w:eastAsia="Times New Roman" w:hAnsi="Simplified Arabic" w:cs="Simplified Arabic"/>
          <w:b/>
          <w:bCs/>
          <w:kern w:val="36"/>
          <w:sz w:val="24"/>
          <w:szCs w:val="24"/>
          <w:rtl/>
        </w:rPr>
        <w:t>وحدة التحليل</w:t>
      </w:r>
      <w:bookmarkEnd w:id="15"/>
    </w:p>
    <w:p w14:paraId="15CD5C13"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tl/>
        </w:rPr>
      </w:pPr>
      <w:r w:rsidRPr="003C40F2">
        <w:rPr>
          <w:rFonts w:ascii="Simplified Arabic" w:eastAsia="Times New Roman" w:hAnsi="Simplified Arabic" w:cs="Simplified Arabic"/>
          <w:sz w:val="24"/>
          <w:szCs w:val="24"/>
          <w:rtl/>
        </w:rPr>
        <w:t>تتمثل وحدة التحليل في الفرد، حيث تعتمد الدراسة على آراء العاملين والمسؤولين والخبراء بوصفهم المصدر الرئيس للمعلومات المتعلقة بمتغيرات الدراسة، ويتم جمع البيانات من خلال الاستبانة</w:t>
      </w:r>
      <w:r w:rsidRPr="003C40F2">
        <w:rPr>
          <w:rFonts w:ascii="Simplified Arabic" w:eastAsia="Times New Roman" w:hAnsi="Simplified Arabic" w:cs="Simplified Arabic"/>
          <w:sz w:val="24"/>
          <w:szCs w:val="24"/>
        </w:rPr>
        <w:t>.</w:t>
      </w:r>
    </w:p>
    <w:p w14:paraId="02520C8A"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lastRenderedPageBreak/>
        <w:t xml:space="preserve"> </w:t>
      </w:r>
      <w:bookmarkStart w:id="16" w:name="_Toc234607909"/>
      <w:r w:rsidRPr="00781884">
        <w:rPr>
          <w:rFonts w:ascii="Simplified Arabic" w:eastAsia="Times New Roman" w:hAnsi="Simplified Arabic" w:cs="Simplified Arabic"/>
          <w:b/>
          <w:bCs/>
          <w:kern w:val="36"/>
          <w:sz w:val="24"/>
          <w:szCs w:val="24"/>
          <w:highlight w:val="yellow"/>
        </w:rPr>
        <w:t xml:space="preserve">3.7 </w:t>
      </w:r>
      <w:r w:rsidRPr="00781884">
        <w:rPr>
          <w:rFonts w:ascii="Simplified Arabic" w:eastAsia="Times New Roman" w:hAnsi="Simplified Arabic" w:cs="Simplified Arabic"/>
          <w:b/>
          <w:bCs/>
          <w:kern w:val="36"/>
          <w:sz w:val="24"/>
          <w:szCs w:val="24"/>
          <w:highlight w:val="yellow"/>
          <w:rtl/>
        </w:rPr>
        <w:t>عينة الدراسة</w:t>
      </w:r>
      <w:bookmarkEnd w:id="16"/>
    </w:p>
    <w:p w14:paraId="0F26DE71" w14:textId="7B2DF866" w:rsidR="00586366" w:rsidRPr="005D7808" w:rsidRDefault="00586366" w:rsidP="005D7808">
      <w:pPr>
        <w:bidi/>
        <w:spacing w:before="100" w:beforeAutospacing="1" w:after="100" w:afterAutospacing="1" w:line="240" w:lineRule="auto"/>
        <w:jc w:val="lowKashida"/>
        <w:rPr>
          <w:rFonts w:ascii="Simplified Arabic" w:eastAsia="Times New Roman" w:hAnsi="Simplified Arabic" w:cs="Simplified Arabic"/>
          <w:sz w:val="24"/>
          <w:szCs w:val="24"/>
        </w:rPr>
      </w:pPr>
      <w:r w:rsidRPr="005D7808">
        <w:rPr>
          <w:rFonts w:ascii="Simplified Arabic" w:eastAsia="Times New Roman" w:hAnsi="Simplified Arabic" w:cs="Simplified Arabic"/>
          <w:sz w:val="24"/>
          <w:szCs w:val="24"/>
          <w:rtl/>
        </w:rPr>
        <w:t>تم اختيار عينة الدراسة باستخدام العينة الطبقية العشوائية، وذلك لضمان تمثيل الفئات المختلفة داخل المجتمع الأصلي للدراسة.</w:t>
      </w:r>
      <w:r w:rsidR="005D7808" w:rsidRPr="005D7808">
        <w:rPr>
          <w:rFonts w:ascii="Simplified Arabic" w:eastAsia="Times New Roman" w:hAnsi="Simplified Arabic" w:cs="Simplified Arabic"/>
          <w:sz w:val="24"/>
          <w:szCs w:val="24"/>
        </w:rPr>
        <w:t xml:space="preserve"> </w:t>
      </w:r>
      <w:r w:rsidRPr="005D7808">
        <w:rPr>
          <w:rFonts w:ascii="Simplified Arabic" w:eastAsia="Times New Roman" w:hAnsi="Simplified Arabic" w:cs="Simplified Arabic"/>
          <w:sz w:val="24"/>
          <w:szCs w:val="24"/>
          <w:rtl/>
        </w:rPr>
        <w:t xml:space="preserve">وقد تم تحديد حجم العينة بالاعتماد على جدول </w:t>
      </w:r>
      <w:r w:rsidR="005D7808" w:rsidRPr="005D7808">
        <w:rPr>
          <w:rFonts w:ascii="Simplified Arabic" w:eastAsia="Times New Roman" w:hAnsi="Simplified Arabic" w:cs="Simplified Arabic"/>
          <w:sz w:val="24"/>
          <w:szCs w:val="24"/>
        </w:rPr>
        <w:t xml:space="preserve"> </w:t>
      </w:r>
      <w:proofErr w:type="spellStart"/>
      <w:r w:rsidRPr="005D7808">
        <w:rPr>
          <w:rFonts w:ascii="Simplified Arabic" w:eastAsia="Times New Roman" w:hAnsi="Simplified Arabic" w:cs="Simplified Arabic"/>
          <w:b/>
          <w:bCs/>
          <w:sz w:val="24"/>
          <w:szCs w:val="24"/>
        </w:rPr>
        <w:t>Krejcie</w:t>
      </w:r>
      <w:proofErr w:type="spellEnd"/>
      <w:r w:rsidRPr="005D7808">
        <w:rPr>
          <w:rFonts w:ascii="Simplified Arabic" w:eastAsia="Times New Roman" w:hAnsi="Simplified Arabic" w:cs="Simplified Arabic"/>
          <w:b/>
          <w:bCs/>
          <w:sz w:val="24"/>
          <w:szCs w:val="24"/>
        </w:rPr>
        <w:t xml:space="preserve"> and Morgan (1970)</w:t>
      </w:r>
      <w:r w:rsidRPr="005D7808">
        <w:rPr>
          <w:rFonts w:ascii="Simplified Arabic" w:eastAsia="Times New Roman" w:hAnsi="Simplified Arabic" w:cs="Simplified Arabic"/>
          <w:sz w:val="24"/>
          <w:szCs w:val="24"/>
        </w:rPr>
        <w:t xml:space="preserve"> </w:t>
      </w:r>
      <w:r w:rsidRPr="005D7808">
        <w:rPr>
          <w:rFonts w:ascii="Simplified Arabic" w:eastAsia="Times New Roman" w:hAnsi="Simplified Arabic" w:cs="Simplified Arabic"/>
          <w:sz w:val="24"/>
          <w:szCs w:val="24"/>
          <w:rtl/>
        </w:rPr>
        <w:t>في ضوء الحجم التقديري لمجتمع الدراسة، مع الأخذ في الاعتبار مستوى ثقة (95%) وهامش خطأ (5%)، كما روعي توقع نسبة من الاستبانات غير الصالحة عند تحديد العدد النهائي للعينة</w:t>
      </w:r>
      <w:r w:rsidRPr="005D7808">
        <w:rPr>
          <w:rFonts w:ascii="Simplified Arabic" w:eastAsia="Times New Roman" w:hAnsi="Simplified Arabic" w:cs="Simplified Arabic"/>
          <w:sz w:val="24"/>
          <w:szCs w:val="24"/>
        </w:rPr>
        <w:t>.</w:t>
      </w:r>
    </w:p>
    <w:p w14:paraId="61305543" w14:textId="77777777" w:rsidR="00586366" w:rsidRPr="005D7808" w:rsidRDefault="00586366" w:rsidP="00586366">
      <w:pPr>
        <w:bidi/>
        <w:spacing w:before="100" w:beforeAutospacing="1" w:after="100" w:afterAutospacing="1" w:line="240" w:lineRule="auto"/>
        <w:jc w:val="lowKashida"/>
        <w:rPr>
          <w:rFonts w:ascii="Simplified Arabic" w:eastAsia="Times New Roman" w:hAnsi="Simplified Arabic" w:cs="Simplified Arabic"/>
          <w:sz w:val="24"/>
          <w:szCs w:val="24"/>
        </w:rPr>
      </w:pPr>
      <w:r w:rsidRPr="005D7808">
        <w:rPr>
          <w:rFonts w:ascii="Simplified Arabic" w:eastAsia="Times New Roman" w:hAnsi="Simplified Arabic" w:cs="Simplified Arabic"/>
          <w:sz w:val="24"/>
          <w:szCs w:val="24"/>
          <w:rtl/>
        </w:rPr>
        <w:t xml:space="preserve"> وقد بلغ حجم العينة (260) مفردة، وهو حجم مناسب لإجراء التحليلات الإحصائية واختبار فرضيات الدراسة، ويتوافق مع المعايير الإحصائية المقترحة في الأدبيات المنهجية للدراسات المسحية واعتمد الباحث في تحديد حجم العينة على جدول </w:t>
      </w:r>
      <w:proofErr w:type="spellStart"/>
      <w:r w:rsidRPr="005D7808">
        <w:rPr>
          <w:rFonts w:ascii="Simplified Arabic" w:eastAsia="Times New Roman" w:hAnsi="Simplified Arabic" w:cs="Simplified Arabic"/>
          <w:sz w:val="24"/>
          <w:szCs w:val="24"/>
        </w:rPr>
        <w:t>Krejcie</w:t>
      </w:r>
      <w:proofErr w:type="spellEnd"/>
      <w:r w:rsidRPr="005D7808">
        <w:rPr>
          <w:rFonts w:ascii="Simplified Arabic" w:eastAsia="Times New Roman" w:hAnsi="Simplified Arabic" w:cs="Simplified Arabic"/>
          <w:sz w:val="24"/>
          <w:szCs w:val="24"/>
        </w:rPr>
        <w:t xml:space="preserve"> &amp; Morgan (1970)</w:t>
      </w:r>
      <w:r w:rsidRPr="005D7808">
        <w:rPr>
          <w:rFonts w:ascii="Simplified Arabic" w:eastAsia="Times New Roman" w:hAnsi="Simplified Arabic" w:cs="Simplified Arabic"/>
          <w:sz w:val="24"/>
          <w:szCs w:val="24"/>
          <w:rtl/>
        </w:rPr>
        <w:t>، الذي يعد من أكثر المراجع استخداماً في تحديد أحجام العينات في الدراسات الاجتماعية والإدارية</w:t>
      </w:r>
      <w:r w:rsidRPr="005D7808">
        <w:rPr>
          <w:rFonts w:ascii="Simplified Arabic" w:eastAsia="Times New Roman" w:hAnsi="Simplified Arabic" w:cs="Simplified Arabic"/>
          <w:sz w:val="24"/>
          <w:szCs w:val="24"/>
        </w:rPr>
        <w:t>.</w:t>
      </w:r>
    </w:p>
    <w:p w14:paraId="2AB2A239" w14:textId="77777777" w:rsidR="00586366" w:rsidRPr="00586366" w:rsidRDefault="00586366" w:rsidP="00586366">
      <w:pPr>
        <w:bidi/>
        <w:spacing w:before="100" w:beforeAutospacing="1" w:after="100" w:afterAutospacing="1" w:line="240" w:lineRule="auto"/>
        <w:jc w:val="lowKashida"/>
        <w:rPr>
          <w:rFonts w:ascii="Simplified Arabic" w:eastAsia="Times New Roman" w:hAnsi="Simplified Arabic" w:cs="Simplified Arabic"/>
          <w:sz w:val="24"/>
          <w:szCs w:val="24"/>
        </w:rPr>
      </w:pPr>
    </w:p>
    <w:p w14:paraId="41EC72A0"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7" w:name="_Toc234607910"/>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(3-3)</w:t>
      </w:r>
      <w:bookmarkEnd w:id="17"/>
    </w:p>
    <w:p w14:paraId="26F63B0B"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8" w:name="_Toc234607911"/>
      <w:r w:rsidRPr="00781884">
        <w:rPr>
          <w:rFonts w:ascii="Simplified Arabic" w:eastAsia="Times New Roman" w:hAnsi="Simplified Arabic" w:cs="Simplified Arabic"/>
          <w:b/>
          <w:bCs/>
          <w:sz w:val="24"/>
          <w:szCs w:val="24"/>
          <w:highlight w:val="yellow"/>
          <w:rtl/>
        </w:rPr>
        <w:t>التوزيع المقترح لعينة الدراسة</w:t>
      </w:r>
      <w:bookmarkEnd w:id="18"/>
    </w:p>
    <w:tbl>
      <w:tblPr>
        <w:tblStyle w:val="TableGridLight"/>
        <w:bidiVisual/>
        <w:tblW w:w="0" w:type="auto"/>
        <w:jc w:val="center"/>
        <w:tblLook w:val="04A0" w:firstRow="1" w:lastRow="0" w:firstColumn="1" w:lastColumn="0" w:noHBand="0" w:noVBand="1"/>
      </w:tblPr>
      <w:tblGrid>
        <w:gridCol w:w="1491"/>
        <w:gridCol w:w="621"/>
        <w:gridCol w:w="864"/>
      </w:tblGrid>
      <w:tr w:rsidR="001A3ABE" w:rsidRPr="003C40F2" w14:paraId="622A7708" w14:textId="77777777" w:rsidTr="002A28C6">
        <w:trPr>
          <w:jc w:val="center"/>
        </w:trPr>
        <w:tc>
          <w:tcPr>
            <w:tcW w:w="0" w:type="auto"/>
            <w:vAlign w:val="center"/>
            <w:hideMark/>
          </w:tcPr>
          <w:p w14:paraId="4F43E372"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الفئة</w:t>
            </w:r>
          </w:p>
        </w:tc>
        <w:tc>
          <w:tcPr>
            <w:tcW w:w="0" w:type="auto"/>
            <w:vAlign w:val="center"/>
            <w:hideMark/>
          </w:tcPr>
          <w:p w14:paraId="7A796D11"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العدد</w:t>
            </w:r>
          </w:p>
        </w:tc>
        <w:tc>
          <w:tcPr>
            <w:tcW w:w="0" w:type="auto"/>
            <w:vAlign w:val="center"/>
            <w:hideMark/>
          </w:tcPr>
          <w:p w14:paraId="1F5A3185"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النسبة</w:t>
            </w:r>
          </w:p>
        </w:tc>
      </w:tr>
      <w:tr w:rsidR="001A3ABE" w:rsidRPr="003C40F2" w14:paraId="7788FA04" w14:textId="77777777" w:rsidTr="002A28C6">
        <w:trPr>
          <w:jc w:val="center"/>
        </w:trPr>
        <w:tc>
          <w:tcPr>
            <w:tcW w:w="0" w:type="auto"/>
            <w:vAlign w:val="center"/>
            <w:hideMark/>
          </w:tcPr>
          <w:p w14:paraId="12256532"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الجهات الحكومية</w:t>
            </w:r>
          </w:p>
        </w:tc>
        <w:tc>
          <w:tcPr>
            <w:tcW w:w="0" w:type="auto"/>
            <w:vAlign w:val="center"/>
            <w:hideMark/>
          </w:tcPr>
          <w:p w14:paraId="3FA7E93C"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170</w:t>
            </w:r>
          </w:p>
        </w:tc>
        <w:tc>
          <w:tcPr>
            <w:tcW w:w="0" w:type="auto"/>
            <w:vAlign w:val="center"/>
            <w:hideMark/>
          </w:tcPr>
          <w:p w14:paraId="27AB73D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65.4%</w:t>
            </w:r>
          </w:p>
        </w:tc>
      </w:tr>
      <w:tr w:rsidR="001A3ABE" w:rsidRPr="003C40F2" w14:paraId="09B37802" w14:textId="77777777" w:rsidTr="002A28C6">
        <w:trPr>
          <w:jc w:val="center"/>
        </w:trPr>
        <w:tc>
          <w:tcPr>
            <w:tcW w:w="0" w:type="auto"/>
            <w:vAlign w:val="center"/>
            <w:hideMark/>
          </w:tcPr>
          <w:p w14:paraId="5CEC5AA5"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القطاع الخاص</w:t>
            </w:r>
          </w:p>
        </w:tc>
        <w:tc>
          <w:tcPr>
            <w:tcW w:w="0" w:type="auto"/>
            <w:vAlign w:val="center"/>
            <w:hideMark/>
          </w:tcPr>
          <w:p w14:paraId="725E5B0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90</w:t>
            </w:r>
          </w:p>
        </w:tc>
        <w:tc>
          <w:tcPr>
            <w:tcW w:w="0" w:type="auto"/>
            <w:vAlign w:val="center"/>
            <w:hideMark/>
          </w:tcPr>
          <w:p w14:paraId="28D8369A"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34.6%</w:t>
            </w:r>
          </w:p>
        </w:tc>
      </w:tr>
      <w:tr w:rsidR="001A3ABE" w:rsidRPr="003C40F2" w14:paraId="28E93362" w14:textId="77777777" w:rsidTr="002A28C6">
        <w:trPr>
          <w:jc w:val="center"/>
        </w:trPr>
        <w:tc>
          <w:tcPr>
            <w:tcW w:w="0" w:type="auto"/>
            <w:vAlign w:val="center"/>
            <w:hideMark/>
          </w:tcPr>
          <w:p w14:paraId="450F91D5" w14:textId="5A420149" w:rsidR="001A3ABE" w:rsidRPr="003C40F2" w:rsidRDefault="001A3ABE" w:rsidP="00681DDF">
            <w:pPr>
              <w:bidi/>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الإجمالي</w:t>
            </w:r>
          </w:p>
        </w:tc>
        <w:tc>
          <w:tcPr>
            <w:tcW w:w="0" w:type="auto"/>
            <w:vAlign w:val="center"/>
            <w:hideMark/>
          </w:tcPr>
          <w:p w14:paraId="015A7F8F"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Pr>
              <w:t>260</w:t>
            </w:r>
          </w:p>
        </w:tc>
        <w:tc>
          <w:tcPr>
            <w:tcW w:w="0" w:type="auto"/>
            <w:vAlign w:val="center"/>
            <w:hideMark/>
          </w:tcPr>
          <w:p w14:paraId="07DC4900"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Pr>
              <w:t>100%</w:t>
            </w:r>
          </w:p>
        </w:tc>
      </w:tr>
    </w:tbl>
    <w:p w14:paraId="6FA10E73" w14:textId="77777777" w:rsidR="00FD5A98" w:rsidRDefault="00FD5A98" w:rsidP="00FD5A98">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p>
    <w:p w14:paraId="5A8ACE8A" w14:textId="748A1052" w:rsidR="00681DDF" w:rsidRPr="003C40F2" w:rsidRDefault="001A3ABE" w:rsidP="00FD5A98">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19" w:name="_Toc234607912"/>
      <w:r w:rsidRPr="003C40F2">
        <w:rPr>
          <w:rFonts w:ascii="Simplified Arabic" w:eastAsia="Times New Roman" w:hAnsi="Simplified Arabic" w:cs="Simplified Arabic"/>
          <w:b/>
          <w:bCs/>
          <w:kern w:val="36"/>
          <w:sz w:val="24"/>
          <w:szCs w:val="24"/>
        </w:rPr>
        <w:t xml:space="preserve">3.8 </w:t>
      </w:r>
      <w:r w:rsidRPr="003C40F2">
        <w:rPr>
          <w:rFonts w:ascii="Simplified Arabic" w:eastAsia="Times New Roman" w:hAnsi="Simplified Arabic" w:cs="Simplified Arabic"/>
          <w:b/>
          <w:bCs/>
          <w:kern w:val="36"/>
          <w:sz w:val="24"/>
          <w:szCs w:val="24"/>
          <w:rtl/>
        </w:rPr>
        <w:t>مصادر البيانات</w:t>
      </w:r>
      <w:bookmarkEnd w:id="19"/>
    </w:p>
    <w:p w14:paraId="5FAF123F"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781884">
        <w:rPr>
          <w:rFonts w:ascii="Simplified Arabic" w:eastAsia="Times New Roman" w:hAnsi="Simplified Arabic" w:cs="Simplified Arabic"/>
          <w:sz w:val="24"/>
          <w:szCs w:val="24"/>
          <w:highlight w:val="yellow"/>
          <w:rtl/>
        </w:rPr>
        <w:t>اعتمدت الدراسة على مصدرين رئيسين للبيانات هما</w:t>
      </w:r>
      <w:r w:rsidRPr="00781884">
        <w:rPr>
          <w:rFonts w:ascii="Simplified Arabic" w:eastAsia="Times New Roman" w:hAnsi="Simplified Arabic" w:cs="Simplified Arabic"/>
          <w:sz w:val="24"/>
          <w:szCs w:val="24"/>
          <w:highlight w:val="yellow"/>
        </w:rPr>
        <w:t>:</w:t>
      </w:r>
    </w:p>
    <w:p w14:paraId="5A5BD669" w14:textId="77777777" w:rsidR="001A3ABE" w:rsidRPr="003C40F2" w:rsidRDefault="001A3ABE" w:rsidP="001A3ABE">
      <w:pPr>
        <w:numPr>
          <w:ilvl w:val="0"/>
          <w:numId w:val="42"/>
        </w:num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البيانات الأولية</w:t>
      </w:r>
      <w:r w:rsidRPr="003C40F2">
        <w:rPr>
          <w:rFonts w:ascii="Simplified Arabic" w:eastAsia="Times New Roman" w:hAnsi="Simplified Arabic" w:cs="Simplified Arabic"/>
          <w:sz w:val="24"/>
          <w:szCs w:val="24"/>
          <w:rtl/>
        </w:rPr>
        <w:t>، والتي سيتم جمعها من خلال الاستبانة الموجهة إلى أفراد عينة الدراسة</w:t>
      </w:r>
      <w:r w:rsidRPr="003C40F2">
        <w:rPr>
          <w:rFonts w:ascii="Simplified Arabic" w:eastAsia="Times New Roman" w:hAnsi="Simplified Arabic" w:cs="Simplified Arabic"/>
          <w:sz w:val="24"/>
          <w:szCs w:val="24"/>
        </w:rPr>
        <w:t>.</w:t>
      </w:r>
    </w:p>
    <w:p w14:paraId="103D624C" w14:textId="77777777" w:rsidR="001A3ABE" w:rsidRDefault="001A3ABE" w:rsidP="001A3ABE">
      <w:pPr>
        <w:numPr>
          <w:ilvl w:val="0"/>
          <w:numId w:val="42"/>
        </w:num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البيانات الثانوية</w:t>
      </w:r>
      <w:r w:rsidRPr="003C40F2">
        <w:rPr>
          <w:rFonts w:ascii="Simplified Arabic" w:eastAsia="Times New Roman" w:hAnsi="Simplified Arabic" w:cs="Simplified Arabic"/>
          <w:sz w:val="24"/>
          <w:szCs w:val="24"/>
          <w:rtl/>
        </w:rPr>
        <w:t>، والتي تشمل الكتب العلمية، والرسائل الجامعية، والدوريات المحكمة، والتقارير الرسمية، والأنظمة والتشريعات، والوثائق الصادرة عن الجهات الحكومية ذات العلاقة، بهدف بناء الإطار النظري، وتفسير النتائج، ودعم النموذج المقترح</w:t>
      </w:r>
      <w:r w:rsidRPr="003C40F2">
        <w:rPr>
          <w:rFonts w:ascii="Simplified Arabic" w:eastAsia="Times New Roman" w:hAnsi="Simplified Arabic" w:cs="Simplified Arabic"/>
          <w:sz w:val="24"/>
          <w:szCs w:val="24"/>
        </w:rPr>
        <w:t>.</w:t>
      </w:r>
    </w:p>
    <w:p w14:paraId="2E6AD1AE" w14:textId="77777777" w:rsidR="000B6618" w:rsidRPr="003C40F2" w:rsidRDefault="000B6618" w:rsidP="000B6618">
      <w:pPr>
        <w:bidi/>
        <w:spacing w:before="100" w:beforeAutospacing="1" w:after="100" w:afterAutospacing="1" w:line="240" w:lineRule="auto"/>
        <w:jc w:val="lowKashida"/>
        <w:rPr>
          <w:rFonts w:ascii="Simplified Arabic" w:eastAsia="Times New Roman" w:hAnsi="Simplified Arabic" w:cs="Simplified Arabic"/>
          <w:sz w:val="24"/>
          <w:szCs w:val="24"/>
        </w:rPr>
      </w:pPr>
    </w:p>
    <w:p w14:paraId="1DF0C385"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lastRenderedPageBreak/>
        <w:t xml:space="preserve"> </w:t>
      </w:r>
      <w:bookmarkStart w:id="20" w:name="_Toc234607913"/>
      <w:r w:rsidRPr="002A54A2">
        <w:rPr>
          <w:rFonts w:ascii="Simplified Arabic" w:eastAsia="Times New Roman" w:hAnsi="Simplified Arabic" w:cs="Simplified Arabic"/>
          <w:b/>
          <w:bCs/>
          <w:kern w:val="36"/>
          <w:sz w:val="24"/>
          <w:szCs w:val="24"/>
          <w:highlight w:val="yellow"/>
        </w:rPr>
        <w:t xml:space="preserve">3.9 </w:t>
      </w:r>
      <w:r w:rsidRPr="002A54A2">
        <w:rPr>
          <w:rFonts w:ascii="Simplified Arabic" w:eastAsia="Times New Roman" w:hAnsi="Simplified Arabic" w:cs="Simplified Arabic"/>
          <w:b/>
          <w:bCs/>
          <w:kern w:val="36"/>
          <w:sz w:val="24"/>
          <w:szCs w:val="24"/>
          <w:highlight w:val="yellow"/>
          <w:rtl/>
        </w:rPr>
        <w:t>أدوات جمع البيانات</w:t>
      </w:r>
      <w:bookmarkEnd w:id="20"/>
    </w:p>
    <w:p w14:paraId="38898ADA"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الاستبانة باعتبارها الأداة الرئيسة لجمع البيانات، نظراً لقدرتها على جمع البيانات من عدد كبير من المبحوثين بطريقة موحدة ومنظمة، كما اعتمدت على تحليل الوثائق والتقارير الرسمية بوصفها أداة مساندة للاستفادة من البيانات التنظيمية والمؤشرات الرسمية المتعلقة بقطاع البيئة والتفتيش البيئي</w:t>
      </w:r>
      <w:r w:rsidRPr="003C40F2">
        <w:rPr>
          <w:rFonts w:ascii="Simplified Arabic" w:eastAsia="Times New Roman" w:hAnsi="Simplified Arabic" w:cs="Simplified Arabic"/>
          <w:sz w:val="24"/>
          <w:szCs w:val="24"/>
        </w:rPr>
        <w:t>.</w:t>
      </w:r>
    </w:p>
    <w:p w14:paraId="1EB0F2EA" w14:textId="77777777" w:rsidR="001A3ABE"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21" w:name="_Toc234607915"/>
      <w:r w:rsidRPr="003C40F2">
        <w:rPr>
          <w:rFonts w:ascii="Simplified Arabic" w:eastAsia="Times New Roman" w:hAnsi="Simplified Arabic" w:cs="Simplified Arabic"/>
          <w:b/>
          <w:bCs/>
          <w:sz w:val="24"/>
          <w:szCs w:val="24"/>
          <w:rtl/>
        </w:rPr>
        <w:t>أدوات جمع البيانات ودور كل أداة</w:t>
      </w:r>
      <w:bookmarkEnd w:id="21"/>
    </w:p>
    <w:p w14:paraId="10797238" w14:textId="77777777" w:rsidR="00C17E96" w:rsidRPr="00471D96" w:rsidRDefault="00C17E96" w:rsidP="00C17E96">
      <w:pPr>
        <w:bidi/>
        <w:spacing w:line="240" w:lineRule="auto"/>
        <w:jc w:val="lowKashida"/>
        <w:rPr>
          <w:rFonts w:ascii="Simplified Arabic" w:hAnsi="Simplified Arabic" w:cs="Simplified Arabic"/>
          <w:sz w:val="24"/>
          <w:szCs w:val="24"/>
          <w:rtl/>
        </w:rPr>
      </w:pPr>
      <w:r w:rsidRPr="00471D96">
        <w:rPr>
          <w:rFonts w:ascii="Simplified Arabic" w:hAnsi="Simplified Arabic" w:cs="Simplified Arabic"/>
          <w:sz w:val="24"/>
          <w:szCs w:val="24"/>
          <w:rtl/>
        </w:rPr>
        <w:t>اعتمدت الدراسة على أكثر من مصدر لجمع البيانات، حيث استخدمت الاستبانة بوصفها الأداة الرئيسة لقياس متغيرات الدراسة واختبار فرضياتها، في حين استخدم تحليل الوثائق والتقارير الرسمية بوصفه أداة مساندة لتفسير النتائج والتحقق من مدى توافقها مع المؤشرات الرسمية والسياسات البيئية المعمول بها في المملكة العربية السعودية، كما استفيد من الدراسات السابقة في بناء النموذج المفاهيمي وتطوير أداة الدراسة</w:t>
      </w:r>
      <w:r w:rsidRPr="00471D96">
        <w:rPr>
          <w:rFonts w:ascii="Simplified Arabic" w:hAnsi="Simplified Arabic" w:cs="Simplified Arabic"/>
          <w:sz w:val="24"/>
          <w:szCs w:val="24"/>
        </w:rPr>
        <w:t>.</w:t>
      </w:r>
    </w:p>
    <w:p w14:paraId="1E1F8F75" w14:textId="0DCD94F7" w:rsidR="00C17E96" w:rsidRPr="002A54A2" w:rsidRDefault="004B7AF1" w:rsidP="00C17E96">
      <w:pPr>
        <w:bidi/>
        <w:spacing w:line="240" w:lineRule="auto"/>
        <w:jc w:val="lowKashida"/>
        <w:rPr>
          <w:rFonts w:ascii="Simplified Arabic" w:hAnsi="Simplified Arabic" w:cs="Simplified Arabic"/>
          <w:b/>
          <w:bCs/>
          <w:sz w:val="24"/>
          <w:szCs w:val="24"/>
          <w:highlight w:val="yellow"/>
          <w:rtl/>
        </w:rPr>
      </w:pPr>
      <w:r>
        <w:rPr>
          <w:rFonts w:ascii="Simplified Arabic" w:hAnsi="Simplified Arabic" w:cs="Simplified Arabic"/>
          <w:b/>
          <w:bCs/>
          <w:sz w:val="24"/>
          <w:szCs w:val="24"/>
        </w:rPr>
        <w:t xml:space="preserve"> </w:t>
      </w:r>
      <w:r w:rsidR="00C17E96" w:rsidRPr="002A54A2">
        <w:rPr>
          <w:rFonts w:ascii="Simplified Arabic" w:hAnsi="Simplified Arabic" w:cs="Simplified Arabic"/>
          <w:b/>
          <w:bCs/>
          <w:sz w:val="24"/>
          <w:szCs w:val="24"/>
          <w:highlight w:val="yellow"/>
        </w:rPr>
        <w:t xml:space="preserve">3.9.1 </w:t>
      </w:r>
      <w:r w:rsidR="00C17E96" w:rsidRPr="002A54A2">
        <w:rPr>
          <w:rFonts w:ascii="Simplified Arabic" w:hAnsi="Simplified Arabic" w:cs="Simplified Arabic"/>
          <w:b/>
          <w:bCs/>
          <w:sz w:val="24"/>
          <w:szCs w:val="24"/>
          <w:highlight w:val="yellow"/>
          <w:rtl/>
        </w:rPr>
        <w:t>بروتوكول تحليل الوثائق</w:t>
      </w:r>
    </w:p>
    <w:p w14:paraId="7A39A4F0" w14:textId="3BF0384F" w:rsidR="00C17E96" w:rsidRPr="00471D96" w:rsidRDefault="00C17E96" w:rsidP="00C17E96">
      <w:pPr>
        <w:bidi/>
        <w:spacing w:line="240" w:lineRule="auto"/>
        <w:jc w:val="lowKashida"/>
        <w:rPr>
          <w:rFonts w:ascii="Simplified Arabic" w:hAnsi="Simplified Arabic" w:cs="Simplified Arabic"/>
          <w:sz w:val="24"/>
          <w:szCs w:val="24"/>
        </w:rPr>
      </w:pPr>
      <w:r w:rsidRPr="002A54A2">
        <w:rPr>
          <w:rFonts w:ascii="Simplified Arabic" w:hAnsi="Simplified Arabic" w:cs="Simplified Arabic"/>
          <w:sz w:val="24"/>
          <w:szCs w:val="24"/>
          <w:highlight w:val="yellow"/>
          <w:rtl/>
        </w:rPr>
        <w:t>تم تحليل الوثائق الرسمية وفق خطوات منهجية تضمنت تحديد الوثائق ذات الصلة، ومراجعة محتواها، واستخلاص المؤشرات المتعلقة بالشراكات والحوكمة البيئية وإدارة الأداء، ثم مقارنة هذه المؤشرات بنتائج الدراسة الميدانية بهدف تفسير النتائج ودعم النموذج المقترح</w:t>
      </w:r>
      <w:r w:rsidRPr="002A54A2">
        <w:rPr>
          <w:rFonts w:ascii="Simplified Arabic" w:hAnsi="Simplified Arabic" w:cs="Simplified Arabic"/>
          <w:sz w:val="24"/>
          <w:szCs w:val="24"/>
          <w:highlight w:val="yellow"/>
        </w:rPr>
        <w:t>.</w:t>
      </w:r>
    </w:p>
    <w:p w14:paraId="5ED59564" w14:textId="0A7576BD" w:rsidR="00C0182D" w:rsidRPr="00C0182D" w:rsidRDefault="00C0182D" w:rsidP="00C0182D">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22" w:name="_Toc234607914"/>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(3-4)</w:t>
      </w:r>
      <w:bookmarkEnd w:id="22"/>
    </w:p>
    <w:tbl>
      <w:tblPr>
        <w:tblStyle w:val="TableGridLight"/>
        <w:bidiVisual/>
        <w:tblW w:w="0" w:type="auto"/>
        <w:jc w:val="center"/>
        <w:tblLook w:val="04A0" w:firstRow="1" w:lastRow="0" w:firstColumn="1" w:lastColumn="0" w:noHBand="0" w:noVBand="1"/>
      </w:tblPr>
      <w:tblGrid>
        <w:gridCol w:w="1429"/>
        <w:gridCol w:w="3256"/>
      </w:tblGrid>
      <w:tr w:rsidR="001A3ABE" w:rsidRPr="003C40F2" w14:paraId="7694D963" w14:textId="77777777" w:rsidTr="002A28C6">
        <w:trPr>
          <w:jc w:val="center"/>
        </w:trPr>
        <w:tc>
          <w:tcPr>
            <w:tcW w:w="0" w:type="auto"/>
            <w:vAlign w:val="center"/>
            <w:hideMark/>
          </w:tcPr>
          <w:p w14:paraId="0563B070"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الأداة</w:t>
            </w:r>
          </w:p>
        </w:tc>
        <w:tc>
          <w:tcPr>
            <w:tcW w:w="0" w:type="auto"/>
            <w:vAlign w:val="center"/>
            <w:hideMark/>
          </w:tcPr>
          <w:p w14:paraId="5C74595B" w14:textId="77777777" w:rsidR="001A3ABE" w:rsidRPr="003C40F2" w:rsidRDefault="001A3ABE" w:rsidP="002A28C6">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الغرض من استخدامها</w:t>
            </w:r>
          </w:p>
        </w:tc>
      </w:tr>
      <w:tr w:rsidR="001A3ABE" w:rsidRPr="003C40F2" w14:paraId="7D78191B" w14:textId="77777777" w:rsidTr="002A28C6">
        <w:trPr>
          <w:jc w:val="center"/>
        </w:trPr>
        <w:tc>
          <w:tcPr>
            <w:tcW w:w="0" w:type="auto"/>
            <w:vAlign w:val="center"/>
            <w:hideMark/>
          </w:tcPr>
          <w:p w14:paraId="4764A94B"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الاستبانة</w:t>
            </w:r>
          </w:p>
        </w:tc>
        <w:tc>
          <w:tcPr>
            <w:tcW w:w="0" w:type="auto"/>
            <w:vAlign w:val="center"/>
            <w:hideMark/>
          </w:tcPr>
          <w:p w14:paraId="7BBF85AC"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قياس متغيرات الدراسة واختبار الفرضيات</w:t>
            </w:r>
          </w:p>
        </w:tc>
      </w:tr>
      <w:tr w:rsidR="001A3ABE" w:rsidRPr="003C40F2" w14:paraId="7D50D98A" w14:textId="77777777" w:rsidTr="002A28C6">
        <w:trPr>
          <w:jc w:val="center"/>
        </w:trPr>
        <w:tc>
          <w:tcPr>
            <w:tcW w:w="0" w:type="auto"/>
            <w:vAlign w:val="center"/>
            <w:hideMark/>
          </w:tcPr>
          <w:p w14:paraId="03682A4E"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الوثائق الرسمية</w:t>
            </w:r>
          </w:p>
        </w:tc>
        <w:tc>
          <w:tcPr>
            <w:tcW w:w="0" w:type="auto"/>
            <w:vAlign w:val="center"/>
            <w:hideMark/>
          </w:tcPr>
          <w:p w14:paraId="4E2BB1CD"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دعم الإطار النظري وتفسير النتائج</w:t>
            </w:r>
          </w:p>
        </w:tc>
      </w:tr>
      <w:tr w:rsidR="001A3ABE" w:rsidRPr="003C40F2" w14:paraId="4836D86C" w14:textId="77777777" w:rsidTr="002A28C6">
        <w:trPr>
          <w:jc w:val="center"/>
        </w:trPr>
        <w:tc>
          <w:tcPr>
            <w:tcW w:w="0" w:type="auto"/>
            <w:vAlign w:val="center"/>
            <w:hideMark/>
          </w:tcPr>
          <w:p w14:paraId="21B67BB2"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الدراسات السابقة</w:t>
            </w:r>
          </w:p>
        </w:tc>
        <w:tc>
          <w:tcPr>
            <w:tcW w:w="0" w:type="auto"/>
            <w:vAlign w:val="center"/>
            <w:hideMark/>
          </w:tcPr>
          <w:p w14:paraId="70B4192D" w14:textId="77777777" w:rsidR="001A3ABE" w:rsidRPr="003C40F2" w:rsidRDefault="001A3ABE" w:rsidP="002A28C6">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بناء النموذج المفاهيمي وتطوير الأداة</w:t>
            </w:r>
          </w:p>
        </w:tc>
      </w:tr>
    </w:tbl>
    <w:p w14:paraId="30BD79C3" w14:textId="77777777" w:rsidR="007C0ACE" w:rsidRDefault="007C0ACE" w:rsidP="001A3ABE">
      <w:pPr>
        <w:bidi/>
        <w:spacing w:line="240" w:lineRule="auto"/>
        <w:jc w:val="lowKashida"/>
        <w:rPr>
          <w:rFonts w:ascii="Simplified Arabic" w:hAnsi="Simplified Arabic" w:cs="Simplified Arabic"/>
          <w:b/>
          <w:bCs/>
          <w:sz w:val="24"/>
          <w:szCs w:val="24"/>
        </w:rPr>
      </w:pPr>
    </w:p>
    <w:p w14:paraId="7B19717C" w14:textId="383051C3" w:rsidR="001A3ABE" w:rsidRPr="003C40F2" w:rsidRDefault="001A3ABE" w:rsidP="007C0AC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3.10 </w:t>
      </w:r>
      <w:r w:rsidRPr="003C40F2">
        <w:rPr>
          <w:rFonts w:ascii="Simplified Arabic" w:hAnsi="Simplified Arabic" w:cs="Simplified Arabic"/>
          <w:b/>
          <w:bCs/>
          <w:sz w:val="24"/>
          <w:szCs w:val="24"/>
          <w:rtl/>
        </w:rPr>
        <w:t>أداة الدراسة</w:t>
      </w:r>
    </w:p>
    <w:p w14:paraId="1A23A27A" w14:textId="77777777" w:rsidR="001A3ABE"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الاستبانة باعتبارها الأداة الرئيسة لجمع البيانات، وذلك لملاءمتها لطبيعة الدراسة وأهدافها، وقدرتها على جمع البيانات من عدد كبير من المبحوثين بطريقة منظمة وموحدة. وقد تم إعداد الاستبانة بالاعتماد على الأدبيات العلمية والدراسات السابقة ذات العلاقة بالشراكات بين القطاعين العام والخاص والحوكمة البيئية وإدارة الأداء، مع مراعاة ارتباط جميع الفقرات بمتغيرات الدراسة وأبعادها</w:t>
      </w:r>
      <w:r w:rsidRPr="003C40F2">
        <w:rPr>
          <w:rFonts w:ascii="Simplified Arabic" w:eastAsia="Times New Roman" w:hAnsi="Simplified Arabic" w:cs="Simplified Arabic"/>
          <w:sz w:val="24"/>
          <w:szCs w:val="24"/>
        </w:rPr>
        <w:t>.</w:t>
      </w:r>
    </w:p>
    <w:p w14:paraId="75D156A6" w14:textId="77777777" w:rsidR="00644050" w:rsidRDefault="00644050" w:rsidP="00644050">
      <w:pPr>
        <w:bidi/>
        <w:spacing w:before="100" w:beforeAutospacing="1" w:after="100" w:afterAutospacing="1" w:line="240" w:lineRule="auto"/>
        <w:jc w:val="lowKashida"/>
        <w:rPr>
          <w:rFonts w:ascii="Simplified Arabic" w:eastAsia="Times New Roman" w:hAnsi="Simplified Arabic" w:cs="Simplified Arabic"/>
          <w:sz w:val="24"/>
          <w:szCs w:val="24"/>
        </w:rPr>
      </w:pPr>
    </w:p>
    <w:p w14:paraId="6E86E3AA" w14:textId="77777777" w:rsidR="007C0ACE" w:rsidRDefault="007C0ACE" w:rsidP="001A3ABE">
      <w:pPr>
        <w:bidi/>
        <w:spacing w:line="240" w:lineRule="auto"/>
        <w:jc w:val="lowKashida"/>
        <w:rPr>
          <w:rFonts w:ascii="Simplified Arabic" w:eastAsia="Times New Roman" w:hAnsi="Simplified Arabic" w:cs="Simplified Arabic"/>
          <w:sz w:val="24"/>
          <w:szCs w:val="24"/>
        </w:rPr>
      </w:pPr>
    </w:p>
    <w:p w14:paraId="641CE2AF" w14:textId="4EF6D645" w:rsidR="001A3ABE" w:rsidRPr="003C40F2" w:rsidRDefault="001A3ABE" w:rsidP="007C0AC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(3-5)</w:t>
      </w:r>
    </w:p>
    <w:p w14:paraId="43312E8A"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محاور الاستبانة</w:t>
      </w:r>
    </w:p>
    <w:tbl>
      <w:tblPr>
        <w:tblStyle w:val="TableGridLight"/>
        <w:bidiVisual/>
        <w:tblW w:w="0" w:type="auto"/>
        <w:jc w:val="center"/>
        <w:tblLook w:val="04A0" w:firstRow="1" w:lastRow="0" w:firstColumn="1" w:lastColumn="0" w:noHBand="0" w:noVBand="1"/>
      </w:tblPr>
      <w:tblGrid>
        <w:gridCol w:w="1181"/>
        <w:gridCol w:w="2305"/>
        <w:gridCol w:w="1777"/>
        <w:gridCol w:w="1429"/>
      </w:tblGrid>
      <w:tr w:rsidR="001A3ABE" w:rsidRPr="003C40F2" w14:paraId="3546C3BC" w14:textId="77777777" w:rsidTr="002A28C6">
        <w:trPr>
          <w:jc w:val="center"/>
        </w:trPr>
        <w:tc>
          <w:tcPr>
            <w:tcW w:w="0" w:type="auto"/>
            <w:vAlign w:val="center"/>
            <w:hideMark/>
          </w:tcPr>
          <w:p w14:paraId="50D32B3D"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المحور</w:t>
            </w:r>
          </w:p>
        </w:tc>
        <w:tc>
          <w:tcPr>
            <w:tcW w:w="0" w:type="auto"/>
            <w:vAlign w:val="center"/>
            <w:hideMark/>
          </w:tcPr>
          <w:p w14:paraId="502EAB76"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2974A1B7"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عدد الفقرات (مقترح)</w:t>
            </w:r>
          </w:p>
        </w:tc>
        <w:tc>
          <w:tcPr>
            <w:tcW w:w="0" w:type="auto"/>
            <w:vAlign w:val="center"/>
            <w:hideMark/>
          </w:tcPr>
          <w:p w14:paraId="7A6CA6C5"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المصدر</w:t>
            </w:r>
          </w:p>
        </w:tc>
      </w:tr>
      <w:tr w:rsidR="001A3ABE" w:rsidRPr="003C40F2" w14:paraId="297D97C7" w14:textId="77777777" w:rsidTr="002A28C6">
        <w:trPr>
          <w:jc w:val="center"/>
        </w:trPr>
        <w:tc>
          <w:tcPr>
            <w:tcW w:w="0" w:type="auto"/>
            <w:vAlign w:val="center"/>
            <w:hideMark/>
          </w:tcPr>
          <w:p w14:paraId="76CFD9F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الأول</w:t>
            </w:r>
          </w:p>
        </w:tc>
        <w:tc>
          <w:tcPr>
            <w:tcW w:w="0" w:type="auto"/>
            <w:vAlign w:val="center"/>
            <w:hideMark/>
          </w:tcPr>
          <w:p w14:paraId="1EEA9ED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البيانات الديموغرافية</w:t>
            </w:r>
          </w:p>
        </w:tc>
        <w:tc>
          <w:tcPr>
            <w:tcW w:w="0" w:type="auto"/>
            <w:vAlign w:val="center"/>
            <w:hideMark/>
          </w:tcPr>
          <w:p w14:paraId="29DBA4F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6</w:t>
            </w:r>
          </w:p>
        </w:tc>
        <w:tc>
          <w:tcPr>
            <w:tcW w:w="0" w:type="auto"/>
            <w:vAlign w:val="center"/>
            <w:hideMark/>
          </w:tcPr>
          <w:p w14:paraId="6A53BCC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إعداد الباحث</w:t>
            </w:r>
          </w:p>
        </w:tc>
      </w:tr>
      <w:tr w:rsidR="001A3ABE" w:rsidRPr="003C40F2" w14:paraId="609B8ACC" w14:textId="77777777" w:rsidTr="002A28C6">
        <w:trPr>
          <w:jc w:val="center"/>
        </w:trPr>
        <w:tc>
          <w:tcPr>
            <w:tcW w:w="0" w:type="auto"/>
            <w:vAlign w:val="center"/>
            <w:hideMark/>
          </w:tcPr>
          <w:p w14:paraId="5234685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الثاني</w:t>
            </w:r>
          </w:p>
        </w:tc>
        <w:tc>
          <w:tcPr>
            <w:tcW w:w="0" w:type="auto"/>
            <w:vAlign w:val="center"/>
            <w:hideMark/>
          </w:tcPr>
          <w:p w14:paraId="3F938A2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 والتنظيمي</w:t>
            </w:r>
          </w:p>
        </w:tc>
        <w:tc>
          <w:tcPr>
            <w:tcW w:w="0" w:type="auto"/>
            <w:vAlign w:val="center"/>
            <w:hideMark/>
          </w:tcPr>
          <w:p w14:paraId="1A28BF8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847ABEE"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2A1538E3" w14:textId="77777777" w:rsidTr="002A28C6">
        <w:trPr>
          <w:jc w:val="center"/>
        </w:trPr>
        <w:tc>
          <w:tcPr>
            <w:tcW w:w="0" w:type="auto"/>
            <w:vAlign w:val="center"/>
            <w:hideMark/>
          </w:tcPr>
          <w:p w14:paraId="4A289CE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الثالث</w:t>
            </w:r>
          </w:p>
        </w:tc>
        <w:tc>
          <w:tcPr>
            <w:tcW w:w="0" w:type="auto"/>
            <w:vAlign w:val="center"/>
            <w:hideMark/>
          </w:tcPr>
          <w:p w14:paraId="13195B1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 والمسؤوليات</w:t>
            </w:r>
          </w:p>
        </w:tc>
        <w:tc>
          <w:tcPr>
            <w:tcW w:w="0" w:type="auto"/>
            <w:vAlign w:val="center"/>
            <w:hideMark/>
          </w:tcPr>
          <w:p w14:paraId="4EC821C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6EC581E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2D3D82C8" w14:textId="77777777" w:rsidTr="002A28C6">
        <w:trPr>
          <w:jc w:val="center"/>
        </w:trPr>
        <w:tc>
          <w:tcPr>
            <w:tcW w:w="0" w:type="auto"/>
            <w:vAlign w:val="center"/>
            <w:hideMark/>
          </w:tcPr>
          <w:p w14:paraId="0B34185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الرابع</w:t>
            </w:r>
          </w:p>
        </w:tc>
        <w:tc>
          <w:tcPr>
            <w:tcW w:w="0" w:type="auto"/>
            <w:vAlign w:val="center"/>
            <w:hideMark/>
          </w:tcPr>
          <w:p w14:paraId="689653B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 وتبادل المعلومات</w:t>
            </w:r>
          </w:p>
        </w:tc>
        <w:tc>
          <w:tcPr>
            <w:tcW w:w="0" w:type="auto"/>
            <w:vAlign w:val="center"/>
            <w:hideMark/>
          </w:tcPr>
          <w:p w14:paraId="6A1751D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BABEA0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0D45AA9A" w14:textId="77777777" w:rsidTr="002A28C6">
        <w:trPr>
          <w:jc w:val="center"/>
        </w:trPr>
        <w:tc>
          <w:tcPr>
            <w:tcW w:w="0" w:type="auto"/>
            <w:vAlign w:val="center"/>
            <w:hideMark/>
          </w:tcPr>
          <w:p w14:paraId="2BCEF8A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الخامس</w:t>
            </w:r>
          </w:p>
        </w:tc>
        <w:tc>
          <w:tcPr>
            <w:tcW w:w="0" w:type="auto"/>
            <w:vAlign w:val="center"/>
            <w:hideMark/>
          </w:tcPr>
          <w:p w14:paraId="3E25781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 والتمويل</w:t>
            </w:r>
          </w:p>
        </w:tc>
        <w:tc>
          <w:tcPr>
            <w:tcW w:w="0" w:type="auto"/>
            <w:vAlign w:val="center"/>
            <w:hideMark/>
          </w:tcPr>
          <w:p w14:paraId="3E7C829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49A9AC5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12D40C94" w14:textId="77777777" w:rsidTr="002A28C6">
        <w:trPr>
          <w:jc w:val="center"/>
        </w:trPr>
        <w:tc>
          <w:tcPr>
            <w:tcW w:w="0" w:type="auto"/>
            <w:vAlign w:val="center"/>
            <w:hideMark/>
          </w:tcPr>
          <w:p w14:paraId="44AE885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السادس</w:t>
            </w:r>
          </w:p>
        </w:tc>
        <w:tc>
          <w:tcPr>
            <w:tcW w:w="0" w:type="auto"/>
            <w:vAlign w:val="center"/>
            <w:hideMark/>
          </w:tcPr>
          <w:p w14:paraId="76B287B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الرقابة وإدارة المخاطر</w:t>
            </w:r>
          </w:p>
        </w:tc>
        <w:tc>
          <w:tcPr>
            <w:tcW w:w="0" w:type="auto"/>
            <w:vAlign w:val="center"/>
            <w:hideMark/>
          </w:tcPr>
          <w:p w14:paraId="3A0D643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EC9E7F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62A5FFC7" w14:textId="77777777" w:rsidTr="002A28C6">
        <w:trPr>
          <w:jc w:val="center"/>
        </w:trPr>
        <w:tc>
          <w:tcPr>
            <w:tcW w:w="0" w:type="auto"/>
            <w:vAlign w:val="center"/>
            <w:hideMark/>
          </w:tcPr>
          <w:p w14:paraId="6BF33F3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السابع</w:t>
            </w:r>
          </w:p>
        </w:tc>
        <w:tc>
          <w:tcPr>
            <w:tcW w:w="0" w:type="auto"/>
            <w:vAlign w:val="center"/>
            <w:hideMark/>
          </w:tcPr>
          <w:p w14:paraId="6DCC01D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466F29B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31A0032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4DD1909D" w14:textId="77777777" w:rsidTr="002A28C6">
        <w:trPr>
          <w:jc w:val="center"/>
        </w:trPr>
        <w:tc>
          <w:tcPr>
            <w:tcW w:w="0" w:type="auto"/>
            <w:vAlign w:val="center"/>
            <w:hideMark/>
          </w:tcPr>
          <w:p w14:paraId="155264D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الثامن</w:t>
            </w:r>
          </w:p>
        </w:tc>
        <w:tc>
          <w:tcPr>
            <w:tcW w:w="0" w:type="auto"/>
            <w:vAlign w:val="center"/>
            <w:hideMark/>
          </w:tcPr>
          <w:p w14:paraId="14F4378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 والامتثال البيئي</w:t>
            </w:r>
          </w:p>
        </w:tc>
        <w:tc>
          <w:tcPr>
            <w:tcW w:w="0" w:type="auto"/>
            <w:vAlign w:val="center"/>
            <w:hideMark/>
          </w:tcPr>
          <w:p w14:paraId="7802BCD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C14321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6651B9D9" w14:textId="77777777" w:rsidTr="002A28C6">
        <w:trPr>
          <w:jc w:val="center"/>
        </w:trPr>
        <w:tc>
          <w:tcPr>
            <w:tcW w:w="0" w:type="auto"/>
            <w:vAlign w:val="center"/>
            <w:hideMark/>
          </w:tcPr>
          <w:p w14:paraId="7BA5BA1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التاسع</w:t>
            </w:r>
          </w:p>
        </w:tc>
        <w:tc>
          <w:tcPr>
            <w:tcW w:w="0" w:type="auto"/>
            <w:vAlign w:val="center"/>
            <w:hideMark/>
          </w:tcPr>
          <w:p w14:paraId="1FE0E32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 والمساءلة</w:t>
            </w:r>
          </w:p>
        </w:tc>
        <w:tc>
          <w:tcPr>
            <w:tcW w:w="0" w:type="auto"/>
            <w:vAlign w:val="center"/>
            <w:hideMark/>
          </w:tcPr>
          <w:p w14:paraId="1176AD6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0E618CA"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16559D74" w14:textId="77777777" w:rsidTr="002A28C6">
        <w:trPr>
          <w:jc w:val="center"/>
        </w:trPr>
        <w:tc>
          <w:tcPr>
            <w:tcW w:w="0" w:type="auto"/>
            <w:vAlign w:val="center"/>
            <w:hideMark/>
          </w:tcPr>
          <w:p w14:paraId="6853AA1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العاشر</w:t>
            </w:r>
          </w:p>
        </w:tc>
        <w:tc>
          <w:tcPr>
            <w:tcW w:w="0" w:type="auto"/>
            <w:vAlign w:val="center"/>
            <w:hideMark/>
          </w:tcPr>
          <w:p w14:paraId="6CB0787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 البيئي</w:t>
            </w:r>
          </w:p>
        </w:tc>
        <w:tc>
          <w:tcPr>
            <w:tcW w:w="0" w:type="auto"/>
            <w:vAlign w:val="center"/>
            <w:hideMark/>
          </w:tcPr>
          <w:p w14:paraId="490B283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4C132A9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05B761D0" w14:textId="77777777" w:rsidTr="002A28C6">
        <w:trPr>
          <w:jc w:val="center"/>
        </w:trPr>
        <w:tc>
          <w:tcPr>
            <w:tcW w:w="0" w:type="auto"/>
            <w:vAlign w:val="center"/>
            <w:hideMark/>
          </w:tcPr>
          <w:p w14:paraId="6D86204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الحادي عشر</w:t>
            </w:r>
          </w:p>
        </w:tc>
        <w:tc>
          <w:tcPr>
            <w:tcW w:w="0" w:type="auto"/>
            <w:vAlign w:val="center"/>
            <w:hideMark/>
          </w:tcPr>
          <w:p w14:paraId="4D90A23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 المؤسسية</w:t>
            </w:r>
          </w:p>
        </w:tc>
        <w:tc>
          <w:tcPr>
            <w:tcW w:w="0" w:type="auto"/>
            <w:vAlign w:val="center"/>
            <w:hideMark/>
          </w:tcPr>
          <w:p w14:paraId="40AC568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E80292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bl>
    <w:p w14:paraId="3AAAE913" w14:textId="77777777" w:rsidR="001A3ABE" w:rsidRPr="003C40F2" w:rsidRDefault="001A3ABE" w:rsidP="001A3ABE">
      <w:pPr>
        <w:bidi/>
        <w:spacing w:line="240" w:lineRule="auto"/>
        <w:jc w:val="lowKashida"/>
        <w:rPr>
          <w:rFonts w:ascii="Simplified Arabic" w:hAnsi="Simplified Arabic" w:cs="Simplified Arabic"/>
          <w:b/>
          <w:bCs/>
          <w:sz w:val="24"/>
          <w:szCs w:val="24"/>
        </w:rPr>
      </w:pPr>
    </w:p>
    <w:p w14:paraId="49BC4EAD"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b/>
          <w:bCs/>
          <w:sz w:val="24"/>
          <w:szCs w:val="24"/>
          <w:rtl/>
        </w:rPr>
      </w:pPr>
      <w:r>
        <w:rPr>
          <w:rFonts w:ascii="Simplified Arabic" w:eastAsia="Times New Roman" w:hAnsi="Simplified Arabic" w:cs="Simplified Arabic"/>
          <w:b/>
          <w:bCs/>
          <w:sz w:val="24"/>
          <w:szCs w:val="24"/>
        </w:rPr>
        <w:t xml:space="preserve"> </w:t>
      </w:r>
      <w:r w:rsidRPr="003C40F2">
        <w:rPr>
          <w:rFonts w:ascii="Simplified Arabic" w:eastAsia="Times New Roman" w:hAnsi="Simplified Arabic" w:cs="Simplified Arabic"/>
          <w:b/>
          <w:bCs/>
          <w:sz w:val="24"/>
          <w:szCs w:val="24"/>
        </w:rPr>
        <w:t xml:space="preserve">3.11 </w:t>
      </w:r>
      <w:r w:rsidRPr="003C40F2">
        <w:rPr>
          <w:rFonts w:ascii="Simplified Arabic" w:eastAsia="Times New Roman" w:hAnsi="Simplified Arabic" w:cs="Simplified Arabic"/>
          <w:b/>
          <w:bCs/>
          <w:sz w:val="24"/>
          <w:szCs w:val="24"/>
          <w:rtl/>
        </w:rPr>
        <w:t>مقياس الدراسة</w:t>
      </w:r>
    </w:p>
    <w:p w14:paraId="58231558" w14:textId="77777777" w:rsidR="001A3ABE"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استخدمت الدراسة مقياس ليكرت الخماسي</w:t>
      </w:r>
      <w:r w:rsidRPr="003C40F2">
        <w:rPr>
          <w:rFonts w:ascii="Simplified Arabic" w:eastAsia="Times New Roman" w:hAnsi="Simplified Arabic" w:cs="Simplified Arabic"/>
          <w:sz w:val="24"/>
          <w:szCs w:val="24"/>
        </w:rPr>
        <w:t xml:space="preserve"> (Five-Point Likert Scale) </w:t>
      </w:r>
      <w:r w:rsidRPr="003C40F2">
        <w:rPr>
          <w:rFonts w:ascii="Simplified Arabic" w:eastAsia="Times New Roman" w:hAnsi="Simplified Arabic" w:cs="Simplified Arabic"/>
          <w:sz w:val="24"/>
          <w:szCs w:val="24"/>
          <w:rtl/>
        </w:rPr>
        <w:t>لقياس درجة استجابة أفراد العينة، حيث يُعد من أكثر المقاييس استخدامًا في الدراسات الإدارية لما يتميز به من سهولة التطبيق والتحليل الإحصائي</w:t>
      </w:r>
      <w:r w:rsidRPr="003C40F2">
        <w:rPr>
          <w:rFonts w:ascii="Simplified Arabic" w:eastAsia="Times New Roman" w:hAnsi="Simplified Arabic" w:cs="Simplified Arabic"/>
          <w:sz w:val="24"/>
          <w:szCs w:val="24"/>
        </w:rPr>
        <w:t>.</w:t>
      </w:r>
    </w:p>
    <w:p w14:paraId="707418E6" w14:textId="77777777" w:rsidR="00A204CB"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6CE31A66" w14:textId="77777777" w:rsidR="00A204CB"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3230ED47" w14:textId="77777777" w:rsidR="00A204CB"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49793834" w14:textId="77777777" w:rsidR="00A204CB" w:rsidRPr="003C40F2"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54F6AA4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(3-6)</w:t>
      </w:r>
    </w:p>
    <w:p w14:paraId="15EF79C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ترميز مقياس ليكرت الخماسي</w:t>
      </w:r>
    </w:p>
    <w:tbl>
      <w:tblPr>
        <w:tblStyle w:val="TableGridLight"/>
        <w:bidiVisual/>
        <w:tblW w:w="0" w:type="auto"/>
        <w:jc w:val="center"/>
        <w:tblLook w:val="04A0" w:firstRow="1" w:lastRow="0" w:firstColumn="1" w:lastColumn="0" w:noHBand="0" w:noVBand="1"/>
      </w:tblPr>
      <w:tblGrid>
        <w:gridCol w:w="5214"/>
        <w:gridCol w:w="599"/>
        <w:gridCol w:w="701"/>
      </w:tblGrid>
      <w:tr w:rsidR="001A3ABE" w:rsidRPr="003C40F2" w14:paraId="580E464C" w14:textId="77777777" w:rsidTr="002A28C6">
        <w:trPr>
          <w:jc w:val="center"/>
        </w:trPr>
        <w:tc>
          <w:tcPr>
            <w:tcW w:w="5214" w:type="dxa"/>
            <w:vAlign w:val="center"/>
            <w:hideMark/>
          </w:tcPr>
          <w:p w14:paraId="1F1F972B"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درجة الموافقة</w:t>
            </w:r>
          </w:p>
        </w:tc>
        <w:tc>
          <w:tcPr>
            <w:tcW w:w="0" w:type="auto"/>
            <w:vAlign w:val="center"/>
            <w:hideMark/>
          </w:tcPr>
          <w:p w14:paraId="19F7183A"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الرمز</w:t>
            </w:r>
          </w:p>
        </w:tc>
        <w:tc>
          <w:tcPr>
            <w:tcW w:w="0" w:type="auto"/>
            <w:vAlign w:val="center"/>
            <w:hideMark/>
          </w:tcPr>
          <w:p w14:paraId="3769271D"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الدرجة</w:t>
            </w:r>
          </w:p>
        </w:tc>
      </w:tr>
      <w:tr w:rsidR="001A3ABE" w:rsidRPr="003C40F2" w14:paraId="2E1D0C6C" w14:textId="77777777" w:rsidTr="002A28C6">
        <w:trPr>
          <w:jc w:val="center"/>
        </w:trPr>
        <w:tc>
          <w:tcPr>
            <w:tcW w:w="5214" w:type="dxa"/>
            <w:vAlign w:val="center"/>
            <w:hideMark/>
          </w:tcPr>
          <w:p w14:paraId="36ABA56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غير موافق بشدة</w:t>
            </w:r>
          </w:p>
        </w:tc>
        <w:tc>
          <w:tcPr>
            <w:tcW w:w="0" w:type="auto"/>
            <w:vAlign w:val="center"/>
            <w:hideMark/>
          </w:tcPr>
          <w:p w14:paraId="71F456E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SD</w:t>
            </w:r>
          </w:p>
        </w:tc>
        <w:tc>
          <w:tcPr>
            <w:tcW w:w="0" w:type="auto"/>
            <w:vAlign w:val="center"/>
            <w:hideMark/>
          </w:tcPr>
          <w:p w14:paraId="45B7900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w:t>
            </w:r>
          </w:p>
        </w:tc>
      </w:tr>
      <w:tr w:rsidR="001A3ABE" w:rsidRPr="003C40F2" w14:paraId="34780412" w14:textId="77777777" w:rsidTr="002A28C6">
        <w:trPr>
          <w:jc w:val="center"/>
        </w:trPr>
        <w:tc>
          <w:tcPr>
            <w:tcW w:w="5214" w:type="dxa"/>
            <w:vAlign w:val="center"/>
            <w:hideMark/>
          </w:tcPr>
          <w:p w14:paraId="2B7267B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غير موافق</w:t>
            </w:r>
          </w:p>
        </w:tc>
        <w:tc>
          <w:tcPr>
            <w:tcW w:w="0" w:type="auto"/>
            <w:vAlign w:val="center"/>
            <w:hideMark/>
          </w:tcPr>
          <w:p w14:paraId="5F00F70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D</w:t>
            </w:r>
          </w:p>
        </w:tc>
        <w:tc>
          <w:tcPr>
            <w:tcW w:w="0" w:type="auto"/>
            <w:vAlign w:val="center"/>
            <w:hideMark/>
          </w:tcPr>
          <w:p w14:paraId="431269F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2</w:t>
            </w:r>
          </w:p>
        </w:tc>
      </w:tr>
      <w:tr w:rsidR="001A3ABE" w:rsidRPr="003C40F2" w14:paraId="0F2AD926" w14:textId="77777777" w:rsidTr="002A28C6">
        <w:trPr>
          <w:jc w:val="center"/>
        </w:trPr>
        <w:tc>
          <w:tcPr>
            <w:tcW w:w="5214" w:type="dxa"/>
            <w:vAlign w:val="center"/>
            <w:hideMark/>
          </w:tcPr>
          <w:p w14:paraId="7B40EA1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محايد</w:t>
            </w:r>
          </w:p>
        </w:tc>
        <w:tc>
          <w:tcPr>
            <w:tcW w:w="0" w:type="auto"/>
            <w:vAlign w:val="center"/>
            <w:hideMark/>
          </w:tcPr>
          <w:p w14:paraId="0462A15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N</w:t>
            </w:r>
          </w:p>
        </w:tc>
        <w:tc>
          <w:tcPr>
            <w:tcW w:w="0" w:type="auto"/>
            <w:vAlign w:val="center"/>
            <w:hideMark/>
          </w:tcPr>
          <w:p w14:paraId="56D39C9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3</w:t>
            </w:r>
          </w:p>
        </w:tc>
      </w:tr>
      <w:tr w:rsidR="001A3ABE" w:rsidRPr="003C40F2" w14:paraId="721F88D9" w14:textId="77777777" w:rsidTr="002A28C6">
        <w:trPr>
          <w:jc w:val="center"/>
        </w:trPr>
        <w:tc>
          <w:tcPr>
            <w:tcW w:w="5214" w:type="dxa"/>
            <w:vAlign w:val="center"/>
            <w:hideMark/>
          </w:tcPr>
          <w:p w14:paraId="79D9322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موافق</w:t>
            </w:r>
          </w:p>
        </w:tc>
        <w:tc>
          <w:tcPr>
            <w:tcW w:w="0" w:type="auto"/>
            <w:vAlign w:val="center"/>
            <w:hideMark/>
          </w:tcPr>
          <w:p w14:paraId="1C673BC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A</w:t>
            </w:r>
          </w:p>
        </w:tc>
        <w:tc>
          <w:tcPr>
            <w:tcW w:w="0" w:type="auto"/>
            <w:vAlign w:val="center"/>
            <w:hideMark/>
          </w:tcPr>
          <w:p w14:paraId="3F6DCB5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4</w:t>
            </w:r>
          </w:p>
        </w:tc>
      </w:tr>
      <w:tr w:rsidR="001A3ABE" w:rsidRPr="003C40F2" w14:paraId="62342952" w14:textId="77777777" w:rsidTr="002A28C6">
        <w:trPr>
          <w:jc w:val="center"/>
        </w:trPr>
        <w:tc>
          <w:tcPr>
            <w:tcW w:w="5214" w:type="dxa"/>
            <w:vAlign w:val="center"/>
            <w:hideMark/>
          </w:tcPr>
          <w:p w14:paraId="3ED1D36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موافق بشدة</w:t>
            </w:r>
          </w:p>
        </w:tc>
        <w:tc>
          <w:tcPr>
            <w:tcW w:w="0" w:type="auto"/>
            <w:vAlign w:val="center"/>
            <w:hideMark/>
          </w:tcPr>
          <w:p w14:paraId="12A8304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SA</w:t>
            </w:r>
          </w:p>
        </w:tc>
        <w:tc>
          <w:tcPr>
            <w:tcW w:w="0" w:type="auto"/>
            <w:vAlign w:val="center"/>
            <w:hideMark/>
          </w:tcPr>
          <w:p w14:paraId="594FB73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r>
    </w:tbl>
    <w:p w14:paraId="4EACB698" w14:textId="77777777" w:rsidR="00644050" w:rsidRDefault="00644050" w:rsidP="001A3ABE">
      <w:pPr>
        <w:bidi/>
        <w:spacing w:line="240" w:lineRule="auto"/>
        <w:jc w:val="lowKashida"/>
        <w:rPr>
          <w:rFonts w:ascii="Simplified Arabic" w:hAnsi="Simplified Arabic" w:cs="Simplified Arabic"/>
          <w:sz w:val="24"/>
          <w:szCs w:val="24"/>
        </w:rPr>
      </w:pPr>
    </w:p>
    <w:p w14:paraId="06220A0E" w14:textId="7AF61C68" w:rsidR="001A3ABE" w:rsidRPr="003C40F2" w:rsidRDefault="001A3ABE" w:rsidP="00644050">
      <w:pPr>
        <w:bidi/>
        <w:spacing w:line="240" w:lineRule="auto"/>
        <w:jc w:val="lowKashida"/>
        <w:rPr>
          <w:rFonts w:ascii="Simplified Arabic" w:hAnsi="Simplified Arabic" w:cs="Simplified Arabic"/>
          <w:sz w:val="24"/>
          <w:szCs w:val="24"/>
          <w:rtl/>
        </w:rPr>
      </w:pPr>
      <w:r w:rsidRPr="003C40F2">
        <w:rPr>
          <w:rFonts w:ascii="Simplified Arabic" w:hAnsi="Simplified Arabic" w:cs="Simplified Arabic"/>
          <w:sz w:val="24"/>
          <w:szCs w:val="24"/>
          <w:rtl/>
        </w:rPr>
        <w:t>وسيتم تفسير المتوسطات الحسابية وفقًا للجدول الآتي</w:t>
      </w:r>
      <w:r w:rsidRPr="003C40F2">
        <w:rPr>
          <w:rFonts w:ascii="Simplified Arabic" w:hAnsi="Simplified Arabic" w:cs="Simplified Arabic"/>
          <w:sz w:val="24"/>
          <w:szCs w:val="24"/>
        </w:rPr>
        <w:t>:</w:t>
      </w:r>
    </w:p>
    <w:p w14:paraId="62E877B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(3-7)</w:t>
      </w:r>
    </w:p>
    <w:p w14:paraId="0B450C36"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تفسير المتوسطات الحسابية</w:t>
      </w:r>
    </w:p>
    <w:tbl>
      <w:tblPr>
        <w:tblStyle w:val="TableGridLight"/>
        <w:bidiVisual/>
        <w:tblW w:w="0" w:type="auto"/>
        <w:jc w:val="center"/>
        <w:tblLook w:val="04A0" w:firstRow="1" w:lastRow="0" w:firstColumn="1" w:lastColumn="0" w:noHBand="0" w:noVBand="1"/>
      </w:tblPr>
      <w:tblGrid>
        <w:gridCol w:w="1568"/>
        <w:gridCol w:w="1558"/>
      </w:tblGrid>
      <w:tr w:rsidR="001A3ABE" w:rsidRPr="003C40F2" w14:paraId="2739256E" w14:textId="77777777" w:rsidTr="002A28C6">
        <w:trPr>
          <w:jc w:val="center"/>
        </w:trPr>
        <w:tc>
          <w:tcPr>
            <w:tcW w:w="0" w:type="auto"/>
            <w:vAlign w:val="center"/>
            <w:hideMark/>
          </w:tcPr>
          <w:p w14:paraId="72F22298"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المتوسط الحسابي</w:t>
            </w:r>
          </w:p>
        </w:tc>
        <w:tc>
          <w:tcPr>
            <w:tcW w:w="0" w:type="auto"/>
            <w:vAlign w:val="center"/>
            <w:hideMark/>
          </w:tcPr>
          <w:p w14:paraId="4E261D26"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مستوى الاستجابة</w:t>
            </w:r>
          </w:p>
        </w:tc>
      </w:tr>
      <w:tr w:rsidR="001A3ABE" w:rsidRPr="003C40F2" w14:paraId="5530B83E" w14:textId="77777777" w:rsidTr="002A28C6">
        <w:trPr>
          <w:jc w:val="center"/>
        </w:trPr>
        <w:tc>
          <w:tcPr>
            <w:tcW w:w="0" w:type="auto"/>
            <w:vAlign w:val="center"/>
            <w:hideMark/>
          </w:tcPr>
          <w:p w14:paraId="565DB2A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1.00 – 1.80</w:t>
            </w:r>
          </w:p>
        </w:tc>
        <w:tc>
          <w:tcPr>
            <w:tcW w:w="0" w:type="auto"/>
            <w:vAlign w:val="center"/>
            <w:hideMark/>
          </w:tcPr>
          <w:p w14:paraId="639B3AEE"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منخفض جدًا</w:t>
            </w:r>
          </w:p>
        </w:tc>
      </w:tr>
      <w:tr w:rsidR="001A3ABE" w:rsidRPr="003C40F2" w14:paraId="490D3EF5" w14:textId="77777777" w:rsidTr="002A28C6">
        <w:trPr>
          <w:jc w:val="center"/>
        </w:trPr>
        <w:tc>
          <w:tcPr>
            <w:tcW w:w="0" w:type="auto"/>
            <w:vAlign w:val="center"/>
            <w:hideMark/>
          </w:tcPr>
          <w:p w14:paraId="4918FF0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1.81 – 2.60</w:t>
            </w:r>
          </w:p>
        </w:tc>
        <w:tc>
          <w:tcPr>
            <w:tcW w:w="0" w:type="auto"/>
            <w:vAlign w:val="center"/>
            <w:hideMark/>
          </w:tcPr>
          <w:p w14:paraId="5EFDC8C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منخفض</w:t>
            </w:r>
          </w:p>
        </w:tc>
      </w:tr>
      <w:tr w:rsidR="001A3ABE" w:rsidRPr="003C40F2" w14:paraId="35694BBC" w14:textId="77777777" w:rsidTr="002A28C6">
        <w:trPr>
          <w:jc w:val="center"/>
        </w:trPr>
        <w:tc>
          <w:tcPr>
            <w:tcW w:w="0" w:type="auto"/>
            <w:vAlign w:val="center"/>
            <w:hideMark/>
          </w:tcPr>
          <w:p w14:paraId="1C3518B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2.61 – 3.40</w:t>
            </w:r>
          </w:p>
        </w:tc>
        <w:tc>
          <w:tcPr>
            <w:tcW w:w="0" w:type="auto"/>
            <w:vAlign w:val="center"/>
            <w:hideMark/>
          </w:tcPr>
          <w:p w14:paraId="3C020AE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متوسط</w:t>
            </w:r>
          </w:p>
        </w:tc>
      </w:tr>
      <w:tr w:rsidR="001A3ABE" w:rsidRPr="003C40F2" w14:paraId="681543A2" w14:textId="77777777" w:rsidTr="002A28C6">
        <w:trPr>
          <w:jc w:val="center"/>
        </w:trPr>
        <w:tc>
          <w:tcPr>
            <w:tcW w:w="0" w:type="auto"/>
            <w:vAlign w:val="center"/>
            <w:hideMark/>
          </w:tcPr>
          <w:p w14:paraId="238B42E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3.41 – 4.20</w:t>
            </w:r>
          </w:p>
        </w:tc>
        <w:tc>
          <w:tcPr>
            <w:tcW w:w="0" w:type="auto"/>
            <w:vAlign w:val="center"/>
            <w:hideMark/>
          </w:tcPr>
          <w:p w14:paraId="3091E54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مرتفع</w:t>
            </w:r>
          </w:p>
        </w:tc>
      </w:tr>
      <w:tr w:rsidR="001A3ABE" w:rsidRPr="003C40F2" w14:paraId="70DED336" w14:textId="77777777" w:rsidTr="002A28C6">
        <w:trPr>
          <w:jc w:val="center"/>
        </w:trPr>
        <w:tc>
          <w:tcPr>
            <w:tcW w:w="0" w:type="auto"/>
            <w:vAlign w:val="center"/>
            <w:hideMark/>
          </w:tcPr>
          <w:p w14:paraId="12D0873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4.21 – 5.00</w:t>
            </w:r>
          </w:p>
        </w:tc>
        <w:tc>
          <w:tcPr>
            <w:tcW w:w="0" w:type="auto"/>
            <w:vAlign w:val="center"/>
            <w:hideMark/>
          </w:tcPr>
          <w:p w14:paraId="64DF983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مرتفع جدًا</w:t>
            </w:r>
          </w:p>
        </w:tc>
      </w:tr>
    </w:tbl>
    <w:p w14:paraId="70BA441B" w14:textId="77777777" w:rsidR="00B457C6" w:rsidRDefault="00B457C6" w:rsidP="001A3ABE">
      <w:pPr>
        <w:bidi/>
        <w:spacing w:line="240" w:lineRule="auto"/>
        <w:jc w:val="lowKashida"/>
        <w:rPr>
          <w:rFonts w:ascii="Simplified Arabic" w:hAnsi="Simplified Arabic" w:cs="Simplified Arabic"/>
          <w:b/>
          <w:bCs/>
          <w:sz w:val="24"/>
          <w:szCs w:val="24"/>
        </w:rPr>
      </w:pPr>
    </w:p>
    <w:p w14:paraId="2F59B408" w14:textId="68A08279" w:rsidR="001A3ABE" w:rsidRPr="003C40F2" w:rsidRDefault="001A3ABE" w:rsidP="00B457C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3.12 </w:t>
      </w:r>
      <w:r w:rsidRPr="003C40F2">
        <w:rPr>
          <w:rFonts w:ascii="Simplified Arabic" w:hAnsi="Simplified Arabic" w:cs="Simplified Arabic"/>
          <w:b/>
          <w:bCs/>
          <w:sz w:val="24"/>
          <w:szCs w:val="24"/>
          <w:rtl/>
        </w:rPr>
        <w:t>صدق أداة الدراسة</w:t>
      </w:r>
    </w:p>
    <w:p w14:paraId="6E50764F" w14:textId="77777777" w:rsidR="00786132" w:rsidRDefault="001A3ABE" w:rsidP="00B457C6">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 xml:space="preserve">سيتم التحقق من صدق أداة الدراسة من خلال عرضها على مجموعة من المحكمين المتخصصين في الإدارة العامة، والإدارة البيئية، والإدارة الاستراتيجية، ومناهج البحث العلمي، والإحصاء، وذلك للتأكد من سلامة الصياغة اللغوية، ووضوح الفقرات، ومدى ارتباطها بمتغيرات الدراسة، وشمولها لجميع الأبعاد المطلوب قياسها. وسيتم إجراء التعديلات اللازمة في ضوء ملاحظات المحكمين قبل اعتماد الصورة النهائية للاستبانة ومن المقترح عرض الأداة على </w:t>
      </w:r>
      <w:r w:rsidRPr="003C40F2">
        <w:rPr>
          <w:rFonts w:ascii="Simplified Arabic" w:hAnsi="Simplified Arabic" w:cs="Simplified Arabic"/>
          <w:sz w:val="24"/>
          <w:szCs w:val="24"/>
        </w:rPr>
        <w:t xml:space="preserve">(7–10) </w:t>
      </w:r>
      <w:r w:rsidRPr="003C40F2">
        <w:rPr>
          <w:rFonts w:ascii="Simplified Arabic" w:hAnsi="Simplified Arabic" w:cs="Simplified Arabic"/>
          <w:sz w:val="24"/>
          <w:szCs w:val="24"/>
          <w:rtl/>
        </w:rPr>
        <w:t>محكمين من أعضاء هيئة التدريس والمتخصصين في المجالات ذات العلاقة</w:t>
      </w:r>
      <w:r w:rsidRPr="003C40F2">
        <w:rPr>
          <w:rFonts w:ascii="Simplified Arabic" w:hAnsi="Simplified Arabic" w:cs="Simplified Arabic"/>
          <w:sz w:val="24"/>
          <w:szCs w:val="24"/>
        </w:rPr>
        <w:t>.</w:t>
      </w:r>
    </w:p>
    <w:p w14:paraId="539FFB59" w14:textId="062FAEC5" w:rsidR="00A204CB" w:rsidRPr="00E36E7C" w:rsidRDefault="009942B7" w:rsidP="00786132">
      <w:pPr>
        <w:bidi/>
        <w:spacing w:line="240" w:lineRule="auto"/>
        <w:jc w:val="lowKashida"/>
        <w:rPr>
          <w:rFonts w:ascii="Simplified Arabic" w:hAnsi="Simplified Arabic" w:cs="Simplified Arabic"/>
          <w:sz w:val="24"/>
          <w:szCs w:val="24"/>
        </w:rPr>
      </w:pPr>
      <w:r w:rsidRPr="00E36E7C">
        <w:rPr>
          <w:rFonts w:ascii="Simplified Arabic" w:hAnsi="Simplified Arabic" w:cs="Simplified Arabic"/>
          <w:sz w:val="24"/>
          <w:szCs w:val="24"/>
          <w:rtl/>
        </w:rPr>
        <w:lastRenderedPageBreak/>
        <w:t>وتم اعتماد الفقرات التي حظيت بنسبة اتفاق مرتفعة بين المحكمين، مع إعادة صياغة أو حذف الفقرات التي أشار المحكمون إلى ضعف وضوحها أو عدم ملاءمتها لمتغيرات الدراسة</w:t>
      </w:r>
      <w:r w:rsidRPr="00E36E7C">
        <w:rPr>
          <w:rFonts w:ascii="Simplified Arabic" w:hAnsi="Simplified Arabic" w:cs="Simplified Arabic"/>
          <w:sz w:val="24"/>
          <w:szCs w:val="24"/>
        </w:rPr>
        <w:t>.</w:t>
      </w:r>
    </w:p>
    <w:p w14:paraId="3641B95F"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(3-8)</w:t>
      </w:r>
    </w:p>
    <w:p w14:paraId="12715266"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مصفوفة صدق المحتوى</w:t>
      </w:r>
    </w:p>
    <w:tbl>
      <w:tblPr>
        <w:tblStyle w:val="TableGridLight"/>
        <w:bidiVisual/>
        <w:tblW w:w="0" w:type="auto"/>
        <w:jc w:val="center"/>
        <w:tblLook w:val="04A0" w:firstRow="1" w:lastRow="0" w:firstColumn="1" w:lastColumn="0" w:noHBand="0" w:noVBand="1"/>
      </w:tblPr>
      <w:tblGrid>
        <w:gridCol w:w="2237"/>
        <w:gridCol w:w="1153"/>
      </w:tblGrid>
      <w:tr w:rsidR="001A3ABE" w:rsidRPr="003C40F2" w14:paraId="3E75776B" w14:textId="77777777" w:rsidTr="002A28C6">
        <w:trPr>
          <w:jc w:val="center"/>
        </w:trPr>
        <w:tc>
          <w:tcPr>
            <w:tcW w:w="0" w:type="auto"/>
            <w:vAlign w:val="center"/>
            <w:hideMark/>
          </w:tcPr>
          <w:p w14:paraId="2072C136"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6D6B0A42"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أرقام الفقرات</w:t>
            </w:r>
          </w:p>
        </w:tc>
      </w:tr>
      <w:tr w:rsidR="001A3ABE" w:rsidRPr="003C40F2" w14:paraId="7209E655" w14:textId="77777777" w:rsidTr="002A28C6">
        <w:trPr>
          <w:jc w:val="center"/>
        </w:trPr>
        <w:tc>
          <w:tcPr>
            <w:tcW w:w="0" w:type="auto"/>
            <w:vAlign w:val="center"/>
            <w:hideMark/>
          </w:tcPr>
          <w:p w14:paraId="3B731E0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 والتنظيمي</w:t>
            </w:r>
          </w:p>
        </w:tc>
        <w:tc>
          <w:tcPr>
            <w:tcW w:w="0" w:type="auto"/>
            <w:vAlign w:val="center"/>
            <w:hideMark/>
          </w:tcPr>
          <w:p w14:paraId="4A53204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1–5</w:t>
            </w:r>
          </w:p>
        </w:tc>
      </w:tr>
      <w:tr w:rsidR="001A3ABE" w:rsidRPr="003C40F2" w14:paraId="7A0D2A1F" w14:textId="77777777" w:rsidTr="002A28C6">
        <w:trPr>
          <w:jc w:val="center"/>
        </w:trPr>
        <w:tc>
          <w:tcPr>
            <w:tcW w:w="0" w:type="auto"/>
            <w:vAlign w:val="center"/>
            <w:hideMark/>
          </w:tcPr>
          <w:p w14:paraId="00D640F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 والمسؤوليات</w:t>
            </w:r>
          </w:p>
        </w:tc>
        <w:tc>
          <w:tcPr>
            <w:tcW w:w="0" w:type="auto"/>
            <w:vAlign w:val="center"/>
            <w:hideMark/>
          </w:tcPr>
          <w:p w14:paraId="368727C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6–10</w:t>
            </w:r>
          </w:p>
        </w:tc>
      </w:tr>
      <w:tr w:rsidR="001A3ABE" w:rsidRPr="003C40F2" w14:paraId="1A56A418" w14:textId="77777777" w:rsidTr="002A28C6">
        <w:trPr>
          <w:jc w:val="center"/>
        </w:trPr>
        <w:tc>
          <w:tcPr>
            <w:tcW w:w="0" w:type="auto"/>
            <w:vAlign w:val="center"/>
            <w:hideMark/>
          </w:tcPr>
          <w:p w14:paraId="6615DB1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 وتبادل المعلومات</w:t>
            </w:r>
          </w:p>
        </w:tc>
        <w:tc>
          <w:tcPr>
            <w:tcW w:w="0" w:type="auto"/>
            <w:vAlign w:val="center"/>
            <w:hideMark/>
          </w:tcPr>
          <w:p w14:paraId="6F83476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11–15</w:t>
            </w:r>
          </w:p>
        </w:tc>
      </w:tr>
      <w:tr w:rsidR="001A3ABE" w:rsidRPr="003C40F2" w14:paraId="3F660521" w14:textId="77777777" w:rsidTr="002A28C6">
        <w:trPr>
          <w:jc w:val="center"/>
        </w:trPr>
        <w:tc>
          <w:tcPr>
            <w:tcW w:w="0" w:type="auto"/>
            <w:vAlign w:val="center"/>
            <w:hideMark/>
          </w:tcPr>
          <w:p w14:paraId="08E1DB6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 والتمويل</w:t>
            </w:r>
          </w:p>
        </w:tc>
        <w:tc>
          <w:tcPr>
            <w:tcW w:w="0" w:type="auto"/>
            <w:vAlign w:val="center"/>
            <w:hideMark/>
          </w:tcPr>
          <w:p w14:paraId="5BAAB81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16–20</w:t>
            </w:r>
          </w:p>
        </w:tc>
      </w:tr>
      <w:tr w:rsidR="001A3ABE" w:rsidRPr="003C40F2" w14:paraId="71888147" w14:textId="77777777" w:rsidTr="002A28C6">
        <w:trPr>
          <w:jc w:val="center"/>
        </w:trPr>
        <w:tc>
          <w:tcPr>
            <w:tcW w:w="0" w:type="auto"/>
            <w:vAlign w:val="center"/>
            <w:hideMark/>
          </w:tcPr>
          <w:p w14:paraId="47DF9F9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الرقابة وإدارة المخاطر</w:t>
            </w:r>
          </w:p>
        </w:tc>
        <w:tc>
          <w:tcPr>
            <w:tcW w:w="0" w:type="auto"/>
            <w:vAlign w:val="center"/>
            <w:hideMark/>
          </w:tcPr>
          <w:p w14:paraId="68FA9DE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21–25</w:t>
            </w:r>
          </w:p>
        </w:tc>
      </w:tr>
      <w:tr w:rsidR="001A3ABE" w:rsidRPr="003C40F2" w14:paraId="016E60AF" w14:textId="77777777" w:rsidTr="002A28C6">
        <w:trPr>
          <w:jc w:val="center"/>
        </w:trPr>
        <w:tc>
          <w:tcPr>
            <w:tcW w:w="0" w:type="auto"/>
            <w:vAlign w:val="center"/>
            <w:hideMark/>
          </w:tcPr>
          <w:p w14:paraId="1CD4833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1FBBC48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26–30</w:t>
            </w:r>
          </w:p>
        </w:tc>
      </w:tr>
      <w:tr w:rsidR="001A3ABE" w:rsidRPr="003C40F2" w14:paraId="0BC15F25" w14:textId="77777777" w:rsidTr="002A28C6">
        <w:trPr>
          <w:jc w:val="center"/>
        </w:trPr>
        <w:tc>
          <w:tcPr>
            <w:tcW w:w="0" w:type="auto"/>
            <w:vAlign w:val="center"/>
            <w:hideMark/>
          </w:tcPr>
          <w:p w14:paraId="027FC88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 والامتثال</w:t>
            </w:r>
          </w:p>
        </w:tc>
        <w:tc>
          <w:tcPr>
            <w:tcW w:w="0" w:type="auto"/>
            <w:vAlign w:val="center"/>
            <w:hideMark/>
          </w:tcPr>
          <w:p w14:paraId="7B3DC52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31–35</w:t>
            </w:r>
          </w:p>
        </w:tc>
      </w:tr>
      <w:tr w:rsidR="001A3ABE" w:rsidRPr="003C40F2" w14:paraId="6F14F74A" w14:textId="77777777" w:rsidTr="002A28C6">
        <w:trPr>
          <w:jc w:val="center"/>
        </w:trPr>
        <w:tc>
          <w:tcPr>
            <w:tcW w:w="0" w:type="auto"/>
            <w:vAlign w:val="center"/>
            <w:hideMark/>
          </w:tcPr>
          <w:p w14:paraId="146BBDE0"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 والمساءلة</w:t>
            </w:r>
          </w:p>
        </w:tc>
        <w:tc>
          <w:tcPr>
            <w:tcW w:w="0" w:type="auto"/>
            <w:vAlign w:val="center"/>
            <w:hideMark/>
          </w:tcPr>
          <w:p w14:paraId="045FED0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36–40</w:t>
            </w:r>
          </w:p>
        </w:tc>
      </w:tr>
      <w:tr w:rsidR="001A3ABE" w:rsidRPr="003C40F2" w14:paraId="1AB4B25C" w14:textId="77777777" w:rsidTr="002A28C6">
        <w:trPr>
          <w:jc w:val="center"/>
        </w:trPr>
        <w:tc>
          <w:tcPr>
            <w:tcW w:w="0" w:type="auto"/>
            <w:vAlign w:val="center"/>
            <w:hideMark/>
          </w:tcPr>
          <w:p w14:paraId="125FB23E"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 البيئي</w:t>
            </w:r>
          </w:p>
        </w:tc>
        <w:tc>
          <w:tcPr>
            <w:tcW w:w="0" w:type="auto"/>
            <w:vAlign w:val="center"/>
            <w:hideMark/>
          </w:tcPr>
          <w:p w14:paraId="7C45BEC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41–45</w:t>
            </w:r>
          </w:p>
        </w:tc>
      </w:tr>
      <w:tr w:rsidR="001A3ABE" w:rsidRPr="003C40F2" w14:paraId="57570AA7" w14:textId="77777777" w:rsidTr="002A28C6">
        <w:trPr>
          <w:jc w:val="center"/>
        </w:trPr>
        <w:tc>
          <w:tcPr>
            <w:tcW w:w="0" w:type="auto"/>
            <w:vAlign w:val="center"/>
            <w:hideMark/>
          </w:tcPr>
          <w:p w14:paraId="212B33CA"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 المؤسسية</w:t>
            </w:r>
          </w:p>
        </w:tc>
        <w:tc>
          <w:tcPr>
            <w:tcW w:w="0" w:type="auto"/>
            <w:vAlign w:val="center"/>
            <w:hideMark/>
          </w:tcPr>
          <w:p w14:paraId="116E80FC"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Pr>
              <w:t>46–50</w:t>
            </w:r>
          </w:p>
        </w:tc>
      </w:tr>
    </w:tbl>
    <w:p w14:paraId="65064DF0" w14:textId="77777777" w:rsidR="001A3ABE" w:rsidRPr="003C40F2" w:rsidRDefault="001A3ABE" w:rsidP="001A3ABE">
      <w:pPr>
        <w:bidi/>
        <w:spacing w:line="240" w:lineRule="auto"/>
        <w:jc w:val="lowKashida"/>
        <w:rPr>
          <w:rFonts w:ascii="Simplified Arabic" w:hAnsi="Simplified Arabic" w:cs="Simplified Arabic"/>
          <w:sz w:val="24"/>
          <w:szCs w:val="24"/>
        </w:rPr>
      </w:pPr>
    </w:p>
    <w:p w14:paraId="3DE8D3D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3.13 </w:t>
      </w:r>
      <w:r w:rsidRPr="003C40F2">
        <w:rPr>
          <w:rFonts w:ascii="Simplified Arabic" w:hAnsi="Simplified Arabic" w:cs="Simplified Arabic"/>
          <w:b/>
          <w:bCs/>
          <w:sz w:val="24"/>
          <w:szCs w:val="24"/>
          <w:rtl/>
        </w:rPr>
        <w:t>ثبات أداة الدراسة</w:t>
      </w:r>
    </w:p>
    <w:p w14:paraId="2813CF46"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التحقق من ثبات أداة الدراسة باستخدام معامل ألفا كرونباخ</w:t>
      </w:r>
      <w:r w:rsidRPr="003C40F2">
        <w:rPr>
          <w:rFonts w:ascii="Simplified Arabic" w:hAnsi="Simplified Arabic" w:cs="Simplified Arabic"/>
          <w:sz w:val="24"/>
          <w:szCs w:val="24"/>
        </w:rPr>
        <w:t xml:space="preserve"> (Cronbach's Alpha) </w:t>
      </w:r>
      <w:r w:rsidRPr="003C40F2">
        <w:rPr>
          <w:rFonts w:ascii="Simplified Arabic" w:hAnsi="Simplified Arabic" w:cs="Simplified Arabic"/>
          <w:sz w:val="24"/>
          <w:szCs w:val="24"/>
          <w:rtl/>
        </w:rPr>
        <w:t>لقياس الاتساق الداخلي لفقرات الاستبانة، ويعد من أكثر الأساليب استخدامًا في الدراسات الإدارية. وسيتم قبول قيم الثبات التي لا تقل عن (0.70) باعتبارها مؤشرًا على تمتع الأداة بدرجة مناسبة من الثبات</w:t>
      </w:r>
      <w:r w:rsidRPr="003C40F2">
        <w:rPr>
          <w:rFonts w:ascii="Simplified Arabic" w:hAnsi="Simplified Arabic" w:cs="Simplified Arabic"/>
          <w:sz w:val="24"/>
          <w:szCs w:val="24"/>
        </w:rPr>
        <w:t>.</w:t>
      </w:r>
    </w:p>
    <w:p w14:paraId="60209279" w14:textId="77777777" w:rsidR="00A204CB" w:rsidRPr="003C40F2" w:rsidRDefault="00A204CB" w:rsidP="00A204CB">
      <w:pPr>
        <w:bidi/>
        <w:spacing w:line="240" w:lineRule="auto"/>
        <w:jc w:val="lowKashida"/>
        <w:rPr>
          <w:rFonts w:ascii="Simplified Arabic" w:hAnsi="Simplified Arabic" w:cs="Simplified Arabic"/>
          <w:sz w:val="24"/>
          <w:szCs w:val="24"/>
        </w:rPr>
      </w:pPr>
    </w:p>
    <w:p w14:paraId="1B03870D"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3.14 </w:t>
      </w:r>
      <w:r w:rsidRPr="003C40F2">
        <w:rPr>
          <w:rFonts w:ascii="Simplified Arabic" w:hAnsi="Simplified Arabic" w:cs="Simplified Arabic"/>
          <w:b/>
          <w:bCs/>
          <w:sz w:val="24"/>
          <w:szCs w:val="24"/>
          <w:rtl/>
        </w:rPr>
        <w:t>الدراسة الاستطلاعية</w:t>
      </w:r>
      <w:r w:rsidRPr="003C40F2">
        <w:rPr>
          <w:rFonts w:ascii="Simplified Arabic" w:hAnsi="Simplified Arabic" w:cs="Simplified Arabic"/>
          <w:b/>
          <w:bCs/>
          <w:sz w:val="24"/>
          <w:szCs w:val="24"/>
        </w:rPr>
        <w:t xml:space="preserve"> (Pilot Study)</w:t>
      </w:r>
    </w:p>
    <w:p w14:paraId="7160B04C"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 xml:space="preserve">قبل التطبيق الفعلي للاستبانة، سيتم تنفيذ دراسة استطلاعية على عينة تتراوح بين </w:t>
      </w:r>
      <w:r w:rsidRPr="003C40F2">
        <w:rPr>
          <w:rFonts w:ascii="Simplified Arabic" w:hAnsi="Simplified Arabic" w:cs="Simplified Arabic"/>
          <w:sz w:val="24"/>
          <w:szCs w:val="24"/>
        </w:rPr>
        <w:t xml:space="preserve">20–30 </w:t>
      </w:r>
      <w:r w:rsidRPr="003C40F2">
        <w:rPr>
          <w:rFonts w:ascii="Simplified Arabic" w:hAnsi="Simplified Arabic" w:cs="Simplified Arabic"/>
          <w:sz w:val="24"/>
          <w:szCs w:val="24"/>
          <w:rtl/>
        </w:rPr>
        <w:t>مفردة من مجتمع الدراسة، بهدف التأكد من وضوح الفقرات، وسهولة الإجابة عنها، وقياس الزمن اللازم للإجابة، واكتشاف أي ملاحظات قد تؤثر في جودة البيانات. كما سيتم استخدام نتائج الدراسة الاستطلاعية في حساب معامل الثبات وإجراء التعديلات اللازمة قبل التطبيق النهائي</w:t>
      </w:r>
      <w:r w:rsidRPr="003C40F2">
        <w:rPr>
          <w:rFonts w:ascii="Simplified Arabic" w:hAnsi="Simplified Arabic" w:cs="Simplified Arabic"/>
          <w:sz w:val="24"/>
          <w:szCs w:val="24"/>
        </w:rPr>
        <w:t>.</w:t>
      </w:r>
    </w:p>
    <w:p w14:paraId="34D46AF0" w14:textId="00EF42AD" w:rsidR="00E36E7C" w:rsidRPr="00E36E7C" w:rsidRDefault="00E36E7C" w:rsidP="00E36E7C">
      <w:pPr>
        <w:bidi/>
        <w:spacing w:line="240" w:lineRule="auto"/>
        <w:jc w:val="lowKashida"/>
        <w:rPr>
          <w:rFonts w:ascii="Simplified Arabic" w:hAnsi="Simplified Arabic" w:cs="Simplified Arabic"/>
          <w:sz w:val="24"/>
          <w:szCs w:val="24"/>
        </w:rPr>
      </w:pPr>
      <w:r w:rsidRPr="00E36E7C">
        <w:rPr>
          <w:rFonts w:ascii="Simplified Arabic" w:hAnsi="Simplified Arabic" w:cs="Simplified Arabic"/>
          <w:sz w:val="24"/>
          <w:szCs w:val="24"/>
          <w:rtl/>
        </w:rPr>
        <w:lastRenderedPageBreak/>
        <w:t>وتم اختيار أفراد الدراسة الاستطلاعية بطريقة قصدية من مجتمع الدراسة، على ألا يكونوا ضمن العينة الأساسية للدراسة</w:t>
      </w:r>
      <w:r w:rsidRPr="00E36E7C">
        <w:rPr>
          <w:rFonts w:ascii="Simplified Arabic" w:hAnsi="Simplified Arabic" w:cs="Simplified Arabic"/>
          <w:sz w:val="24"/>
          <w:szCs w:val="24"/>
        </w:rPr>
        <w:t>.</w:t>
      </w:r>
    </w:p>
    <w:p w14:paraId="255844C1"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3.15 </w:t>
      </w:r>
      <w:r w:rsidRPr="003C40F2">
        <w:rPr>
          <w:rFonts w:ascii="Simplified Arabic" w:hAnsi="Simplified Arabic" w:cs="Simplified Arabic"/>
          <w:b/>
          <w:bCs/>
          <w:sz w:val="24"/>
          <w:szCs w:val="24"/>
          <w:rtl/>
        </w:rPr>
        <w:t>إجراءات جمع البيانات</w:t>
      </w:r>
    </w:p>
    <w:p w14:paraId="06C55E57" w14:textId="7C14928D" w:rsidR="00A204CB" w:rsidRPr="00D7605F" w:rsidRDefault="00D7605F" w:rsidP="001E2677">
      <w:pPr>
        <w:bidi/>
        <w:spacing w:line="240" w:lineRule="auto"/>
        <w:jc w:val="lowKashida"/>
        <w:rPr>
          <w:rFonts w:ascii="Simplified Arabic" w:hAnsi="Simplified Arabic" w:cs="Simplified Arabic"/>
          <w:sz w:val="24"/>
          <w:szCs w:val="24"/>
        </w:rPr>
      </w:pPr>
      <w:r w:rsidRPr="00D7605F">
        <w:rPr>
          <w:rFonts w:ascii="Simplified Arabic" w:hAnsi="Simplified Arabic" w:cs="Simplified Arabic"/>
          <w:sz w:val="24"/>
          <w:szCs w:val="24"/>
          <w:rtl/>
        </w:rPr>
        <w:t>سيتم الحصول على الموافقات الرسمية من الجهات ذات العلاقة قبل البدء في جمع البيانات، ثم توزيع الاستبانة إلكترونيًا وورقيًا – حسب ما تتيحه الجهات المشاركة – على أفراد العينة خلال فترة تتراوح بين أربعة وستة أسابيع، مع متابعة المشاركين وتقديم التذكيرات اللازمة لزيادة معدل الاستجابة. وبعد استلام الاستبانات، سيتم مراجعتها واستبعاد الاستبانات غير المكتملة أو التي تحتوي على نمط إجابة غير منطقي، كما سيتم إرسال تذكيرين للمشاركين خلال فترة جمع البيانات بهدف رفع معدل الاستجابة، مع متابعة الاستبانات المستلمة والتأكد من اكتمالها قبل إدخالها للتحليل الإحصائي،ثم ترميز البيانات وإدخالها إلى برنامج التحليل الإحصائي</w:t>
      </w:r>
      <w:r w:rsidRPr="00D7605F">
        <w:rPr>
          <w:rFonts w:ascii="Simplified Arabic" w:hAnsi="Simplified Arabic" w:cs="Simplified Arabic"/>
          <w:sz w:val="24"/>
          <w:szCs w:val="24"/>
        </w:rPr>
        <w:t>.</w:t>
      </w:r>
    </w:p>
    <w:p w14:paraId="60FB86E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3.16 </w:t>
      </w:r>
      <w:r w:rsidRPr="003C40F2">
        <w:rPr>
          <w:rFonts w:ascii="Simplified Arabic" w:hAnsi="Simplified Arabic" w:cs="Simplified Arabic"/>
          <w:b/>
          <w:bCs/>
          <w:sz w:val="24"/>
          <w:szCs w:val="24"/>
          <w:rtl/>
        </w:rPr>
        <w:t>معالجة البيانات المفقودة وحدود تعميم النتائج</w:t>
      </w:r>
    </w:p>
    <w:p w14:paraId="2C7339B0" w14:textId="77777777" w:rsidR="001A3ABE" w:rsidRPr="003C40F2"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فحص البيانات بعد إدخالها إلى البرنامج الإحصائي للتأكد من خلوها من الأخطاء والقيم المتطرفة والبيانات المفقودة. وسيتم استبعاد الاستبانات التي تتضمن نسبة مرتفعة من البيانات غير المكتملة، في حين ستتم معالجة الحالات البسيطة وفق الإجراءات الإحصائية المناسبة</w:t>
      </w:r>
      <w:r w:rsidRPr="003C40F2">
        <w:rPr>
          <w:rFonts w:ascii="Simplified Arabic" w:hAnsi="Simplified Arabic" w:cs="Simplified Arabic"/>
          <w:sz w:val="24"/>
          <w:szCs w:val="24"/>
        </w:rPr>
        <w:t>.</w:t>
      </w:r>
    </w:p>
    <w:p w14:paraId="137539CA" w14:textId="77777777" w:rsidR="006F0344" w:rsidRPr="006F0344" w:rsidRDefault="006F0344" w:rsidP="006F0344">
      <w:pPr>
        <w:bidi/>
        <w:spacing w:line="240" w:lineRule="auto"/>
        <w:jc w:val="lowKashida"/>
        <w:rPr>
          <w:rFonts w:ascii="Simplified Arabic" w:hAnsi="Simplified Arabic" w:cs="Simplified Arabic"/>
          <w:sz w:val="24"/>
          <w:szCs w:val="24"/>
        </w:rPr>
      </w:pPr>
      <w:r w:rsidRPr="006F0344">
        <w:rPr>
          <w:rFonts w:ascii="Simplified Arabic" w:hAnsi="Simplified Arabic" w:cs="Simplified Arabic"/>
          <w:sz w:val="24"/>
          <w:szCs w:val="24"/>
          <w:rtl/>
        </w:rPr>
        <w:t>كما سيتم فحص الاستجابات النمطية</w:t>
      </w:r>
      <w:r w:rsidRPr="006F0344">
        <w:rPr>
          <w:rFonts w:ascii="Simplified Arabic" w:hAnsi="Simplified Arabic" w:cs="Simplified Arabic"/>
          <w:sz w:val="24"/>
          <w:szCs w:val="24"/>
        </w:rPr>
        <w:t xml:space="preserve"> (Straight-lining) </w:t>
      </w:r>
      <w:r w:rsidRPr="006F0344">
        <w:rPr>
          <w:rFonts w:ascii="Simplified Arabic" w:hAnsi="Simplified Arabic" w:cs="Simplified Arabic"/>
          <w:sz w:val="24"/>
          <w:szCs w:val="24"/>
          <w:rtl/>
        </w:rPr>
        <w:t>والقيم المتطرفة</w:t>
      </w:r>
      <w:r w:rsidRPr="006F0344">
        <w:rPr>
          <w:rFonts w:ascii="Simplified Arabic" w:hAnsi="Simplified Arabic" w:cs="Simplified Arabic"/>
          <w:sz w:val="24"/>
          <w:szCs w:val="24"/>
        </w:rPr>
        <w:t xml:space="preserve"> (Outliers)</w:t>
      </w:r>
      <w:r w:rsidRPr="006F0344">
        <w:rPr>
          <w:rFonts w:ascii="Simplified Arabic" w:hAnsi="Simplified Arabic" w:cs="Simplified Arabic"/>
          <w:sz w:val="24"/>
          <w:szCs w:val="24"/>
          <w:rtl/>
        </w:rPr>
        <w:t>، واستبعاد الحالات التي تؤثر في جودة البيانات قبل بدء التحليل الإحصائي</w:t>
      </w:r>
      <w:r w:rsidRPr="006F0344">
        <w:rPr>
          <w:rFonts w:ascii="Simplified Arabic" w:hAnsi="Simplified Arabic" w:cs="Simplified Arabic"/>
          <w:sz w:val="24"/>
          <w:szCs w:val="24"/>
        </w:rPr>
        <w:t>.</w:t>
      </w:r>
    </w:p>
    <w:p w14:paraId="6AE6F83B" w14:textId="17F7B2EB" w:rsidR="001A3ABE" w:rsidRPr="006F0344" w:rsidRDefault="006F0344" w:rsidP="001E2677">
      <w:pPr>
        <w:bidi/>
        <w:spacing w:line="240" w:lineRule="auto"/>
        <w:jc w:val="lowKashida"/>
        <w:rPr>
          <w:rFonts w:ascii="Simplified Arabic" w:hAnsi="Simplified Arabic" w:cs="Simplified Arabic"/>
          <w:sz w:val="24"/>
          <w:szCs w:val="24"/>
        </w:rPr>
      </w:pPr>
      <w:r w:rsidRPr="006F0344">
        <w:rPr>
          <w:rFonts w:ascii="Simplified Arabic" w:hAnsi="Simplified Arabic" w:cs="Simplified Arabic"/>
          <w:sz w:val="24"/>
          <w:szCs w:val="24"/>
          <w:rtl/>
        </w:rPr>
        <w:t>وتقتصر إمكانية تعميم نتائج الدراسة على الجهات الحكومية والقطاع الخاص العاملة في مجال البيئة والتفتيش البيئي بالمملكة العربية السعودية، وفي حدود خصائص العينة وأسلوب المعاينة المستخدم، مع مراعاة أن النتائج تعكس الفترة الزمنية التي تم خلالها جمع البيانات</w:t>
      </w:r>
      <w:r w:rsidRPr="006F0344">
        <w:rPr>
          <w:rFonts w:ascii="Simplified Arabic" w:hAnsi="Simplified Arabic" w:cs="Simplified Arabic"/>
          <w:sz w:val="24"/>
          <w:szCs w:val="24"/>
        </w:rPr>
        <w:t>.</w:t>
      </w:r>
    </w:p>
    <w:p w14:paraId="39CDE6B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3.17 </w:t>
      </w:r>
      <w:r w:rsidRPr="003C40F2">
        <w:rPr>
          <w:rFonts w:ascii="Simplified Arabic" w:hAnsi="Simplified Arabic" w:cs="Simplified Arabic"/>
          <w:b/>
          <w:bCs/>
          <w:sz w:val="24"/>
          <w:szCs w:val="24"/>
          <w:rtl/>
        </w:rPr>
        <w:t>متغيرات الدراسة</w:t>
      </w:r>
    </w:p>
    <w:p w14:paraId="2B190147" w14:textId="77777777" w:rsidR="001A3ABE" w:rsidRPr="003C40F2" w:rsidRDefault="001A3ABE" w:rsidP="001A3ABE">
      <w:pPr>
        <w:bidi/>
        <w:spacing w:line="240" w:lineRule="auto"/>
        <w:jc w:val="lowKashida"/>
        <w:rPr>
          <w:rFonts w:ascii="Simplified Arabic" w:hAnsi="Simplified Arabic" w:cs="Simplified Arabic"/>
          <w:sz w:val="24"/>
          <w:szCs w:val="24"/>
          <w:rtl/>
        </w:rPr>
      </w:pPr>
      <w:r w:rsidRPr="003C40F2">
        <w:rPr>
          <w:rFonts w:ascii="Simplified Arabic" w:hAnsi="Simplified Arabic" w:cs="Simplified Arabic"/>
          <w:sz w:val="24"/>
          <w:szCs w:val="24"/>
          <w:rtl/>
        </w:rPr>
        <w:t>تشتمل الدراسة على متغير مستقل يتمثل في الشراكات بين القطاعين العام والخاص في قطاع البيئة، ومتغير تابع يتمثل في فاعلية الحوكمة البيئية وإدارة الأداء في مجال التفتيش البيئي</w:t>
      </w:r>
      <w:r w:rsidRPr="003C40F2">
        <w:rPr>
          <w:rFonts w:ascii="Simplified Arabic" w:hAnsi="Simplified Arabic" w:cs="Simplified Arabic"/>
          <w:sz w:val="24"/>
          <w:szCs w:val="24"/>
        </w:rPr>
        <w:t xml:space="preserve">. </w:t>
      </w:r>
      <w:r w:rsidRPr="003C40F2">
        <w:rPr>
          <w:rFonts w:ascii="Simplified Arabic" w:hAnsi="Simplified Arabic" w:cs="Simplified Arabic"/>
          <w:sz w:val="24"/>
          <w:szCs w:val="24"/>
          <w:rtl/>
        </w:rPr>
        <w:t>وقد تم تحديد أبعاد كل متغير بالاستناد إلى الأدبيات العلمية والدراسات السابقة، بما يتوافق مع أهداف الدراسة وفرضياتها</w:t>
      </w:r>
    </w:p>
    <w:p w14:paraId="7952D1DD"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(3-9)</w:t>
      </w:r>
    </w:p>
    <w:p w14:paraId="7949F9A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متغيرات الدراسة وأبعادها</w:t>
      </w:r>
    </w:p>
    <w:tbl>
      <w:tblPr>
        <w:tblStyle w:val="TableGridLight"/>
        <w:bidiVisual/>
        <w:tblW w:w="0" w:type="auto"/>
        <w:jc w:val="center"/>
        <w:tblLook w:val="04A0" w:firstRow="1" w:lastRow="0" w:firstColumn="1" w:lastColumn="0" w:noHBand="0" w:noVBand="1"/>
      </w:tblPr>
      <w:tblGrid>
        <w:gridCol w:w="2665"/>
        <w:gridCol w:w="5631"/>
      </w:tblGrid>
      <w:tr w:rsidR="001A3ABE" w:rsidRPr="006210C5" w14:paraId="3EF6D68B" w14:textId="77777777" w:rsidTr="002A28C6">
        <w:trPr>
          <w:jc w:val="center"/>
        </w:trPr>
        <w:tc>
          <w:tcPr>
            <w:tcW w:w="0" w:type="auto"/>
            <w:vAlign w:val="center"/>
            <w:hideMark/>
          </w:tcPr>
          <w:p w14:paraId="25FB6AF0" w14:textId="77777777" w:rsidR="001A3ABE" w:rsidRPr="006210C5" w:rsidRDefault="001A3ABE" w:rsidP="002A28C6">
            <w:pPr>
              <w:bidi/>
              <w:jc w:val="center"/>
              <w:rPr>
                <w:rFonts w:ascii="Simplified Arabic" w:hAnsi="Simplified Arabic" w:cs="Simplified Arabic"/>
              </w:rPr>
            </w:pPr>
            <w:r w:rsidRPr="006210C5">
              <w:rPr>
                <w:rFonts w:ascii="Simplified Arabic" w:hAnsi="Simplified Arabic" w:cs="Simplified Arabic"/>
                <w:rtl/>
              </w:rPr>
              <w:t>المتغير</w:t>
            </w:r>
          </w:p>
        </w:tc>
        <w:tc>
          <w:tcPr>
            <w:tcW w:w="0" w:type="auto"/>
            <w:vAlign w:val="center"/>
            <w:hideMark/>
          </w:tcPr>
          <w:p w14:paraId="394248FD" w14:textId="77777777" w:rsidR="001A3ABE" w:rsidRPr="006210C5" w:rsidRDefault="001A3ABE" w:rsidP="002A28C6">
            <w:pPr>
              <w:bidi/>
              <w:jc w:val="center"/>
              <w:rPr>
                <w:rFonts w:ascii="Simplified Arabic" w:hAnsi="Simplified Arabic" w:cs="Simplified Arabic"/>
              </w:rPr>
            </w:pPr>
            <w:r w:rsidRPr="006210C5">
              <w:rPr>
                <w:rFonts w:ascii="Simplified Arabic" w:hAnsi="Simplified Arabic" w:cs="Simplified Arabic"/>
                <w:rtl/>
              </w:rPr>
              <w:t>الأبعاد</w:t>
            </w:r>
          </w:p>
        </w:tc>
      </w:tr>
      <w:tr w:rsidR="001A3ABE" w:rsidRPr="006210C5" w14:paraId="23112CF8" w14:textId="77777777" w:rsidTr="002A28C6">
        <w:trPr>
          <w:jc w:val="center"/>
        </w:trPr>
        <w:tc>
          <w:tcPr>
            <w:tcW w:w="0" w:type="auto"/>
            <w:vAlign w:val="center"/>
            <w:hideMark/>
          </w:tcPr>
          <w:p w14:paraId="1E917B06" w14:textId="077B8211" w:rsidR="001A3ABE" w:rsidRPr="006210C5" w:rsidRDefault="001A3ABE" w:rsidP="002A28C6">
            <w:pPr>
              <w:bidi/>
              <w:jc w:val="center"/>
              <w:rPr>
                <w:rFonts w:ascii="Simplified Arabic" w:hAnsi="Simplified Arabic" w:cs="Simplified Arabic"/>
              </w:rPr>
            </w:pPr>
            <w:r w:rsidRPr="006210C5">
              <w:rPr>
                <w:rFonts w:ascii="Simplified Arabic" w:hAnsi="Simplified Arabic" w:cs="Simplified Arabic"/>
                <w:rtl/>
              </w:rPr>
              <w:t>المتغير المستقل</w:t>
            </w:r>
            <w:r w:rsidR="00C37266" w:rsidRPr="006210C5">
              <w:rPr>
                <w:rFonts w:ascii="Simplified Arabic" w:hAnsi="Simplified Arabic" w:cs="Simplified Arabic"/>
              </w:rPr>
              <w:t xml:space="preserve"> </w:t>
            </w:r>
            <w:r w:rsidRPr="006210C5">
              <w:rPr>
                <w:rFonts w:ascii="Simplified Arabic" w:hAnsi="Simplified Arabic" w:cs="Simplified Arabic"/>
                <w:rtl/>
              </w:rPr>
              <w:t>الشراكات بين القطاعين العام والخاص</w:t>
            </w:r>
          </w:p>
        </w:tc>
        <w:tc>
          <w:tcPr>
            <w:tcW w:w="0" w:type="auto"/>
            <w:vAlign w:val="center"/>
            <w:hideMark/>
          </w:tcPr>
          <w:p w14:paraId="4E295791" w14:textId="77777777" w:rsidR="001A3ABE" w:rsidRPr="006210C5" w:rsidRDefault="001A3ABE" w:rsidP="002A28C6">
            <w:pPr>
              <w:bidi/>
              <w:jc w:val="center"/>
              <w:rPr>
                <w:rFonts w:ascii="Simplified Arabic" w:hAnsi="Simplified Arabic" w:cs="Simplified Arabic"/>
              </w:rPr>
            </w:pPr>
            <w:r w:rsidRPr="006210C5">
              <w:rPr>
                <w:rFonts w:ascii="Simplified Arabic" w:hAnsi="Simplified Arabic" w:cs="Simplified Arabic"/>
                <w:rtl/>
              </w:rPr>
              <w:t>الإطار التشريعي والتنظيمي، توزيع الأدوار والمسؤوليات، التنسيق وتبادل المعلومات، إدارة الموارد والتمويل، الرقابة وإدارة المخاطر</w:t>
            </w:r>
          </w:p>
        </w:tc>
      </w:tr>
      <w:tr w:rsidR="001A3ABE" w:rsidRPr="006210C5" w14:paraId="5C4BA248" w14:textId="77777777" w:rsidTr="002A28C6">
        <w:trPr>
          <w:jc w:val="center"/>
        </w:trPr>
        <w:tc>
          <w:tcPr>
            <w:tcW w:w="0" w:type="auto"/>
            <w:vAlign w:val="center"/>
            <w:hideMark/>
          </w:tcPr>
          <w:p w14:paraId="64F6F105" w14:textId="77777777" w:rsidR="001A3ABE" w:rsidRPr="006210C5" w:rsidRDefault="001A3ABE" w:rsidP="002A28C6">
            <w:pPr>
              <w:bidi/>
              <w:jc w:val="center"/>
              <w:rPr>
                <w:rFonts w:ascii="Simplified Arabic" w:hAnsi="Simplified Arabic" w:cs="Simplified Arabic"/>
              </w:rPr>
            </w:pPr>
            <w:r w:rsidRPr="006210C5">
              <w:rPr>
                <w:rFonts w:ascii="Simplified Arabic" w:hAnsi="Simplified Arabic" w:cs="Simplified Arabic"/>
                <w:rtl/>
              </w:rPr>
              <w:t>المتغير التابعفاعلية الحوكمة البيئية وإدارة الأداء</w:t>
            </w:r>
          </w:p>
        </w:tc>
        <w:tc>
          <w:tcPr>
            <w:tcW w:w="0" w:type="auto"/>
            <w:vAlign w:val="center"/>
            <w:hideMark/>
          </w:tcPr>
          <w:p w14:paraId="70893F3B" w14:textId="77777777" w:rsidR="001A3ABE" w:rsidRPr="006210C5" w:rsidRDefault="001A3ABE" w:rsidP="002A28C6">
            <w:pPr>
              <w:bidi/>
              <w:jc w:val="center"/>
              <w:rPr>
                <w:rFonts w:ascii="Simplified Arabic" w:hAnsi="Simplified Arabic" w:cs="Simplified Arabic"/>
              </w:rPr>
            </w:pPr>
            <w:r w:rsidRPr="006210C5">
              <w:rPr>
                <w:rFonts w:ascii="Simplified Arabic" w:hAnsi="Simplified Arabic" w:cs="Simplified Arabic"/>
                <w:rtl/>
              </w:rPr>
              <w:t>الكفاءة التشغيلية، جودة الرقابة والامتثال البيئي، الشفافية والمساءلة، تحسين الأداء البيئي، الاستدامة المؤسسية</w:t>
            </w:r>
          </w:p>
        </w:tc>
      </w:tr>
    </w:tbl>
    <w:p w14:paraId="5C9D9B11" w14:textId="3C4727D4" w:rsidR="001A3ABE" w:rsidRPr="003C40F2" w:rsidRDefault="001A3ABE" w:rsidP="001E2677">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(3-10)</w:t>
      </w:r>
    </w:p>
    <w:p w14:paraId="2552BF22"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مؤشرات قياس متغيرات الدراسة</w:t>
      </w:r>
    </w:p>
    <w:tbl>
      <w:tblPr>
        <w:tblStyle w:val="TableGridLight"/>
        <w:bidiVisual/>
        <w:tblW w:w="0" w:type="auto"/>
        <w:jc w:val="center"/>
        <w:tblLook w:val="04A0" w:firstRow="1" w:lastRow="0" w:firstColumn="1" w:lastColumn="0" w:noHBand="0" w:noVBand="1"/>
      </w:tblPr>
      <w:tblGrid>
        <w:gridCol w:w="2970"/>
        <w:gridCol w:w="1794"/>
        <w:gridCol w:w="3532"/>
      </w:tblGrid>
      <w:tr w:rsidR="001A3ABE" w:rsidRPr="003C40F2" w14:paraId="610045DA" w14:textId="77777777" w:rsidTr="002A28C6">
        <w:trPr>
          <w:jc w:val="center"/>
        </w:trPr>
        <w:tc>
          <w:tcPr>
            <w:tcW w:w="0" w:type="auto"/>
            <w:vAlign w:val="center"/>
            <w:hideMark/>
          </w:tcPr>
          <w:p w14:paraId="727B3AAA"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المتغير</w:t>
            </w:r>
          </w:p>
        </w:tc>
        <w:tc>
          <w:tcPr>
            <w:tcW w:w="0" w:type="auto"/>
            <w:vAlign w:val="center"/>
            <w:hideMark/>
          </w:tcPr>
          <w:p w14:paraId="7C867840"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4DC0300D"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أمثلة على مؤشرات القياس</w:t>
            </w:r>
          </w:p>
        </w:tc>
      </w:tr>
      <w:tr w:rsidR="001A3ABE" w:rsidRPr="003C40F2" w14:paraId="79CC0203" w14:textId="77777777" w:rsidTr="002A28C6">
        <w:trPr>
          <w:jc w:val="center"/>
        </w:trPr>
        <w:tc>
          <w:tcPr>
            <w:tcW w:w="0" w:type="auto"/>
            <w:vMerge w:val="restart"/>
            <w:vAlign w:val="center"/>
            <w:hideMark/>
          </w:tcPr>
          <w:p w14:paraId="6284A1F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الشراكات بين القطاعين العام والخاص</w:t>
            </w:r>
          </w:p>
        </w:tc>
        <w:tc>
          <w:tcPr>
            <w:tcW w:w="0" w:type="auto"/>
            <w:vAlign w:val="center"/>
            <w:hideMark/>
          </w:tcPr>
          <w:p w14:paraId="1545B46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w:t>
            </w:r>
          </w:p>
        </w:tc>
        <w:tc>
          <w:tcPr>
            <w:tcW w:w="0" w:type="auto"/>
            <w:vAlign w:val="center"/>
            <w:hideMark/>
          </w:tcPr>
          <w:p w14:paraId="2E25C38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الأنظمة والتشريعات المنظمة للشراكات</w:t>
            </w:r>
          </w:p>
        </w:tc>
      </w:tr>
      <w:tr w:rsidR="001A3ABE" w:rsidRPr="003C40F2" w14:paraId="49E67DB3" w14:textId="77777777" w:rsidTr="002A28C6">
        <w:trPr>
          <w:jc w:val="center"/>
        </w:trPr>
        <w:tc>
          <w:tcPr>
            <w:tcW w:w="0" w:type="auto"/>
            <w:vMerge/>
            <w:vAlign w:val="center"/>
            <w:hideMark/>
          </w:tcPr>
          <w:p w14:paraId="22762EB8"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2AEB059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w:t>
            </w:r>
          </w:p>
        </w:tc>
        <w:tc>
          <w:tcPr>
            <w:tcW w:w="0" w:type="auto"/>
            <w:vAlign w:val="center"/>
            <w:hideMark/>
          </w:tcPr>
          <w:p w14:paraId="1543176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المسؤوليات بين الشركاء</w:t>
            </w:r>
          </w:p>
        </w:tc>
      </w:tr>
      <w:tr w:rsidR="001A3ABE" w:rsidRPr="003C40F2" w14:paraId="566F5F68" w14:textId="77777777" w:rsidTr="002A28C6">
        <w:trPr>
          <w:jc w:val="center"/>
        </w:trPr>
        <w:tc>
          <w:tcPr>
            <w:tcW w:w="0" w:type="auto"/>
            <w:vMerge/>
            <w:vAlign w:val="center"/>
            <w:hideMark/>
          </w:tcPr>
          <w:p w14:paraId="2A711259"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4ED99D6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w:t>
            </w:r>
          </w:p>
        </w:tc>
        <w:tc>
          <w:tcPr>
            <w:tcW w:w="0" w:type="auto"/>
            <w:vAlign w:val="center"/>
            <w:hideMark/>
          </w:tcPr>
          <w:p w14:paraId="0D782D5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سرعة تبادل المعلومات بين الجهات</w:t>
            </w:r>
          </w:p>
        </w:tc>
      </w:tr>
      <w:tr w:rsidR="001A3ABE" w:rsidRPr="003C40F2" w14:paraId="7015BB3A" w14:textId="77777777" w:rsidTr="002A28C6">
        <w:trPr>
          <w:jc w:val="center"/>
        </w:trPr>
        <w:tc>
          <w:tcPr>
            <w:tcW w:w="0" w:type="auto"/>
            <w:vMerge/>
            <w:vAlign w:val="center"/>
            <w:hideMark/>
          </w:tcPr>
          <w:p w14:paraId="09ABF09A"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2439F2E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w:t>
            </w:r>
          </w:p>
        </w:tc>
        <w:tc>
          <w:tcPr>
            <w:tcW w:w="0" w:type="auto"/>
            <w:vAlign w:val="center"/>
            <w:hideMark/>
          </w:tcPr>
          <w:p w14:paraId="5E2943AA"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كفاءة استغلال الموارد المالية والبشرية</w:t>
            </w:r>
          </w:p>
        </w:tc>
      </w:tr>
      <w:tr w:rsidR="001A3ABE" w:rsidRPr="003C40F2" w14:paraId="10C2E887" w14:textId="77777777" w:rsidTr="002A28C6">
        <w:trPr>
          <w:jc w:val="center"/>
        </w:trPr>
        <w:tc>
          <w:tcPr>
            <w:tcW w:w="0" w:type="auto"/>
            <w:vMerge/>
            <w:vAlign w:val="center"/>
            <w:hideMark/>
          </w:tcPr>
          <w:p w14:paraId="0CBCA48C"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3C0147B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الرقابة وإدارة المخاطر</w:t>
            </w:r>
          </w:p>
        </w:tc>
        <w:tc>
          <w:tcPr>
            <w:tcW w:w="0" w:type="auto"/>
            <w:vAlign w:val="center"/>
            <w:hideMark/>
          </w:tcPr>
          <w:p w14:paraId="1829A59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فعالية الرقابة وإدارة المخاطر المشتركة</w:t>
            </w:r>
          </w:p>
        </w:tc>
      </w:tr>
      <w:tr w:rsidR="001A3ABE" w:rsidRPr="003C40F2" w14:paraId="2A5C6DC5" w14:textId="77777777" w:rsidTr="002A28C6">
        <w:trPr>
          <w:jc w:val="center"/>
        </w:trPr>
        <w:tc>
          <w:tcPr>
            <w:tcW w:w="0" w:type="auto"/>
            <w:vMerge w:val="restart"/>
            <w:vAlign w:val="center"/>
            <w:hideMark/>
          </w:tcPr>
          <w:p w14:paraId="205F45E2"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الحوكمة البيئية وإدارة الأداء</w:t>
            </w:r>
          </w:p>
        </w:tc>
        <w:tc>
          <w:tcPr>
            <w:tcW w:w="0" w:type="auto"/>
            <w:vAlign w:val="center"/>
            <w:hideMark/>
          </w:tcPr>
          <w:p w14:paraId="0208A37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207457E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سرعة تنفيذ أعمال التفتيش البيئي</w:t>
            </w:r>
          </w:p>
        </w:tc>
      </w:tr>
      <w:tr w:rsidR="001A3ABE" w:rsidRPr="003C40F2" w14:paraId="032458CE" w14:textId="77777777" w:rsidTr="002A28C6">
        <w:trPr>
          <w:jc w:val="center"/>
        </w:trPr>
        <w:tc>
          <w:tcPr>
            <w:tcW w:w="0" w:type="auto"/>
            <w:vMerge/>
            <w:vAlign w:val="center"/>
            <w:hideMark/>
          </w:tcPr>
          <w:p w14:paraId="36EBE1EE"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1247264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w:t>
            </w:r>
          </w:p>
        </w:tc>
        <w:tc>
          <w:tcPr>
            <w:tcW w:w="0" w:type="auto"/>
            <w:vAlign w:val="center"/>
            <w:hideMark/>
          </w:tcPr>
          <w:p w14:paraId="4E93475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الالتزام بالاشتراطات البيئية</w:t>
            </w:r>
          </w:p>
        </w:tc>
      </w:tr>
      <w:tr w:rsidR="001A3ABE" w:rsidRPr="003C40F2" w14:paraId="1607794E" w14:textId="77777777" w:rsidTr="002A28C6">
        <w:trPr>
          <w:jc w:val="center"/>
        </w:trPr>
        <w:tc>
          <w:tcPr>
            <w:tcW w:w="0" w:type="auto"/>
            <w:vMerge/>
            <w:vAlign w:val="center"/>
            <w:hideMark/>
          </w:tcPr>
          <w:p w14:paraId="246F90E8"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6716E55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w:t>
            </w:r>
          </w:p>
        </w:tc>
        <w:tc>
          <w:tcPr>
            <w:tcW w:w="0" w:type="auto"/>
            <w:vAlign w:val="center"/>
            <w:hideMark/>
          </w:tcPr>
          <w:p w14:paraId="7469B31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إجراءات التفتيش والإفصاح</w:t>
            </w:r>
          </w:p>
        </w:tc>
      </w:tr>
      <w:tr w:rsidR="001A3ABE" w:rsidRPr="003C40F2" w14:paraId="5E1733AE" w14:textId="77777777" w:rsidTr="002A28C6">
        <w:trPr>
          <w:jc w:val="center"/>
        </w:trPr>
        <w:tc>
          <w:tcPr>
            <w:tcW w:w="0" w:type="auto"/>
            <w:vMerge/>
            <w:vAlign w:val="center"/>
            <w:hideMark/>
          </w:tcPr>
          <w:p w14:paraId="37C56EFE"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2C3FCEF5"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w:t>
            </w:r>
          </w:p>
        </w:tc>
        <w:tc>
          <w:tcPr>
            <w:tcW w:w="0" w:type="auto"/>
            <w:vAlign w:val="center"/>
            <w:hideMark/>
          </w:tcPr>
          <w:p w14:paraId="26F347D3"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التحسين المستمر للأداء البيئي</w:t>
            </w:r>
          </w:p>
        </w:tc>
      </w:tr>
      <w:tr w:rsidR="001A3ABE" w:rsidRPr="003C40F2" w14:paraId="55A897B5" w14:textId="77777777" w:rsidTr="002A28C6">
        <w:trPr>
          <w:jc w:val="center"/>
        </w:trPr>
        <w:tc>
          <w:tcPr>
            <w:tcW w:w="0" w:type="auto"/>
            <w:vMerge/>
            <w:vAlign w:val="center"/>
            <w:hideMark/>
          </w:tcPr>
          <w:p w14:paraId="3B2685BC" w14:textId="77777777" w:rsidR="001A3ABE" w:rsidRPr="003C40F2" w:rsidRDefault="001A3ABE" w:rsidP="002A28C6">
            <w:pPr>
              <w:bidi/>
              <w:jc w:val="center"/>
              <w:rPr>
                <w:rFonts w:ascii="Simplified Arabic" w:hAnsi="Simplified Arabic" w:cs="Simplified Arabic"/>
                <w:sz w:val="24"/>
                <w:szCs w:val="24"/>
              </w:rPr>
            </w:pPr>
          </w:p>
        </w:tc>
        <w:tc>
          <w:tcPr>
            <w:tcW w:w="0" w:type="auto"/>
            <w:vAlign w:val="center"/>
            <w:hideMark/>
          </w:tcPr>
          <w:p w14:paraId="4FE549D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w:t>
            </w:r>
          </w:p>
        </w:tc>
        <w:tc>
          <w:tcPr>
            <w:tcW w:w="0" w:type="auto"/>
            <w:vAlign w:val="center"/>
            <w:hideMark/>
          </w:tcPr>
          <w:p w14:paraId="2A4FE247"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استدامة عمليات التطوير والتحسين</w:t>
            </w:r>
          </w:p>
        </w:tc>
      </w:tr>
    </w:tbl>
    <w:p w14:paraId="0B06ED1A" w14:textId="0CA6914E" w:rsidR="00434F06" w:rsidRDefault="001A3ABE"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p>
    <w:p w14:paraId="1A1E9772" w14:textId="54A7E7D0" w:rsidR="00A204CB" w:rsidRPr="003C40F2" w:rsidRDefault="00434F06"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001A3ABE" w:rsidRPr="00781884">
        <w:rPr>
          <w:rFonts w:ascii="Simplified Arabic" w:hAnsi="Simplified Arabic" w:cs="Simplified Arabic"/>
          <w:b/>
          <w:bCs/>
          <w:sz w:val="24"/>
          <w:szCs w:val="24"/>
          <w:highlight w:val="yellow"/>
        </w:rPr>
        <w:t xml:space="preserve">3.18 </w:t>
      </w:r>
      <w:r w:rsidR="001A3ABE" w:rsidRPr="00781884">
        <w:rPr>
          <w:rFonts w:ascii="Simplified Arabic" w:hAnsi="Simplified Arabic" w:cs="Simplified Arabic"/>
          <w:b/>
          <w:bCs/>
          <w:sz w:val="24"/>
          <w:szCs w:val="24"/>
          <w:highlight w:val="yellow"/>
          <w:rtl/>
        </w:rPr>
        <w:t>خطة تحليل البيانات</w:t>
      </w:r>
    </w:p>
    <w:p w14:paraId="5BFA138D" w14:textId="77777777" w:rsidR="0056167C" w:rsidRPr="0056167C" w:rsidRDefault="0056167C" w:rsidP="0056167C">
      <w:pPr>
        <w:bidi/>
        <w:spacing w:line="240" w:lineRule="auto"/>
        <w:jc w:val="lowKashida"/>
        <w:rPr>
          <w:rFonts w:ascii="Simplified Arabic" w:hAnsi="Simplified Arabic" w:cs="Simplified Arabic"/>
          <w:sz w:val="24"/>
          <w:szCs w:val="24"/>
          <w:rtl/>
        </w:rPr>
      </w:pPr>
      <w:r w:rsidRPr="0056167C">
        <w:rPr>
          <w:rFonts w:ascii="Simplified Arabic" w:hAnsi="Simplified Arabic" w:cs="Simplified Arabic"/>
          <w:sz w:val="24"/>
          <w:szCs w:val="24"/>
          <w:rtl/>
        </w:rPr>
        <w:t>بعد الانتهاء من جمع البيانات، سيتم مراجعة الاستبانات وترميزها وإدخالها إلى برنامج التحليل الإحصائي، ثم إجراء التحليلات المناسبة للإجابة عن أسئلة الدراسة واختبار فرضياتها. كما سيتم تحليل البيانات الثانوية الواردة في التقارير والوثائق الرسمية من خلال التحليل الوصفي والمقارنة بينها وبين نتائج الدراسة الميدانية، بما يسهم في تفسير النتائج وبناء النموذج المقترح</w:t>
      </w:r>
      <w:r w:rsidRPr="0056167C">
        <w:rPr>
          <w:rFonts w:ascii="Simplified Arabic" w:hAnsi="Simplified Arabic" w:cs="Simplified Arabic"/>
          <w:sz w:val="24"/>
          <w:szCs w:val="24"/>
        </w:rPr>
        <w:t>.</w:t>
      </w:r>
    </w:p>
    <w:p w14:paraId="23CCF71E" w14:textId="77777777" w:rsidR="0056167C" w:rsidRPr="0056167C" w:rsidRDefault="0056167C" w:rsidP="0056167C">
      <w:pPr>
        <w:bidi/>
        <w:spacing w:line="240" w:lineRule="auto"/>
        <w:jc w:val="lowKashida"/>
        <w:rPr>
          <w:rFonts w:ascii="Simplified Arabic" w:hAnsi="Simplified Arabic" w:cs="Simplified Arabic"/>
          <w:sz w:val="24"/>
          <w:szCs w:val="24"/>
          <w:rtl/>
        </w:rPr>
      </w:pPr>
      <w:r w:rsidRPr="0056167C">
        <w:rPr>
          <w:rFonts w:ascii="Simplified Arabic" w:hAnsi="Simplified Arabic" w:cs="Simplified Arabic"/>
          <w:sz w:val="24"/>
          <w:szCs w:val="24"/>
          <w:rtl/>
        </w:rPr>
        <w:t>تنقسم خطة تحليل البيانات إلى ثلاث مراحل رئيسة، تتمثل في تحليل بيانات الاستبانة باستخدام الأساليب الإحصائية المناسبة، وتحليل الوثائق والبيانات الرسمية باستخدام التحليل الوصفي والمقارن، ثم دمج نتائج المرحلتين في بناء النموذج المقترح والتحقق من اتساقه مع أهداف الدراسة</w:t>
      </w:r>
      <w:r w:rsidRPr="0056167C">
        <w:rPr>
          <w:rFonts w:ascii="Simplified Arabic" w:hAnsi="Simplified Arabic" w:cs="Simplified Arabic"/>
          <w:sz w:val="24"/>
          <w:szCs w:val="24"/>
        </w:rPr>
        <w:t>.</w:t>
      </w:r>
    </w:p>
    <w:p w14:paraId="42D6C68B" w14:textId="7398AA73" w:rsidR="00460F48" w:rsidRPr="003C40F2" w:rsidRDefault="0056167C" w:rsidP="00BB5279">
      <w:pPr>
        <w:bidi/>
        <w:spacing w:line="240" w:lineRule="auto"/>
        <w:jc w:val="lowKashida"/>
        <w:rPr>
          <w:rFonts w:ascii="Simplified Arabic" w:hAnsi="Simplified Arabic" w:cs="Simplified Arabic"/>
          <w:sz w:val="24"/>
          <w:szCs w:val="24"/>
        </w:rPr>
      </w:pPr>
      <w:r w:rsidRPr="0056167C">
        <w:rPr>
          <w:rFonts w:ascii="Simplified Arabic" w:hAnsi="Simplified Arabic" w:cs="Simplified Arabic"/>
          <w:sz w:val="24"/>
          <w:szCs w:val="24"/>
          <w:rtl/>
        </w:rPr>
        <w:t>وقبل إجراء تحليل الانحدار المتعدد سيتم التحقق من تحقق افتراضاته الأساسية، وذلك من خلال فحص القيم المتطرفة</w:t>
      </w:r>
      <w:r w:rsidRPr="0056167C">
        <w:rPr>
          <w:rFonts w:ascii="Simplified Arabic" w:hAnsi="Simplified Arabic" w:cs="Simplified Arabic"/>
          <w:sz w:val="24"/>
          <w:szCs w:val="24"/>
        </w:rPr>
        <w:t xml:space="preserve"> (Outliers)</w:t>
      </w:r>
      <w:r w:rsidRPr="0056167C">
        <w:rPr>
          <w:rFonts w:ascii="Simplified Arabic" w:hAnsi="Simplified Arabic" w:cs="Simplified Arabic"/>
          <w:sz w:val="24"/>
          <w:szCs w:val="24"/>
          <w:rtl/>
        </w:rPr>
        <w:t>، واختبار تعدد الارتباط الخطي</w:t>
      </w:r>
      <w:r w:rsidRPr="0056167C">
        <w:rPr>
          <w:rFonts w:ascii="Simplified Arabic" w:hAnsi="Simplified Arabic" w:cs="Simplified Arabic"/>
          <w:sz w:val="24"/>
          <w:szCs w:val="24"/>
        </w:rPr>
        <w:t xml:space="preserve"> (Multicollinearity) </w:t>
      </w:r>
      <w:r w:rsidRPr="0056167C">
        <w:rPr>
          <w:rFonts w:ascii="Simplified Arabic" w:hAnsi="Simplified Arabic" w:cs="Simplified Arabic"/>
          <w:sz w:val="24"/>
          <w:szCs w:val="24"/>
          <w:rtl/>
        </w:rPr>
        <w:t>باستخدام معاملات</w:t>
      </w:r>
      <w:r w:rsidRPr="0056167C">
        <w:rPr>
          <w:rFonts w:ascii="Simplified Arabic" w:hAnsi="Simplified Arabic" w:cs="Simplified Arabic"/>
          <w:sz w:val="24"/>
          <w:szCs w:val="24"/>
        </w:rPr>
        <w:t xml:space="preserve"> Tolerance </w:t>
      </w:r>
      <w:r w:rsidRPr="0056167C">
        <w:rPr>
          <w:rFonts w:ascii="Simplified Arabic" w:hAnsi="Simplified Arabic" w:cs="Simplified Arabic"/>
          <w:sz w:val="24"/>
          <w:szCs w:val="24"/>
          <w:rtl/>
        </w:rPr>
        <w:lastRenderedPageBreak/>
        <w:t>و</w:t>
      </w:r>
      <w:r w:rsidRPr="0056167C">
        <w:rPr>
          <w:rFonts w:ascii="Simplified Arabic" w:hAnsi="Simplified Arabic" w:cs="Simplified Arabic"/>
          <w:sz w:val="24"/>
          <w:szCs w:val="24"/>
        </w:rPr>
        <w:t>VIF</w:t>
      </w:r>
      <w:r w:rsidRPr="0056167C">
        <w:rPr>
          <w:rFonts w:ascii="Simplified Arabic" w:hAnsi="Simplified Arabic" w:cs="Simplified Arabic"/>
          <w:sz w:val="24"/>
          <w:szCs w:val="24"/>
          <w:rtl/>
        </w:rPr>
        <w:t>، واختبار التوزيع الطبيعي للبيانات</w:t>
      </w:r>
      <w:r w:rsidRPr="0056167C">
        <w:rPr>
          <w:rFonts w:ascii="Simplified Arabic" w:hAnsi="Simplified Arabic" w:cs="Simplified Arabic"/>
          <w:sz w:val="24"/>
          <w:szCs w:val="24"/>
        </w:rPr>
        <w:t xml:space="preserve"> (Normality) </w:t>
      </w:r>
      <w:r w:rsidRPr="0056167C">
        <w:rPr>
          <w:rFonts w:ascii="Simplified Arabic" w:hAnsi="Simplified Arabic" w:cs="Simplified Arabic"/>
          <w:sz w:val="24"/>
          <w:szCs w:val="24"/>
          <w:rtl/>
        </w:rPr>
        <w:t>باستخدام مؤشرات الالتواء والتفلطح</w:t>
      </w:r>
      <w:r w:rsidRPr="0056167C">
        <w:rPr>
          <w:rFonts w:ascii="Simplified Arabic" w:hAnsi="Simplified Arabic" w:cs="Simplified Arabic"/>
          <w:sz w:val="24"/>
          <w:szCs w:val="24"/>
        </w:rPr>
        <w:t xml:space="preserve"> (Skewness &amp; Kurtosis)</w:t>
      </w:r>
      <w:r w:rsidRPr="0056167C">
        <w:rPr>
          <w:rFonts w:ascii="Simplified Arabic" w:hAnsi="Simplified Arabic" w:cs="Simplified Arabic"/>
          <w:sz w:val="24"/>
          <w:szCs w:val="24"/>
          <w:rtl/>
        </w:rPr>
        <w:t>، بالإضافة إلى الرسوم البيانية المناسبة، وذلك لضمان صلاحية البيانات لإجراء تحليل الانحدار وتحقيق دقة النتائج</w:t>
      </w:r>
      <w:r w:rsidRPr="0056167C">
        <w:rPr>
          <w:rFonts w:ascii="Simplified Arabic" w:hAnsi="Simplified Arabic" w:cs="Simplified Arabic"/>
          <w:sz w:val="24"/>
          <w:szCs w:val="24"/>
        </w:rPr>
        <w:t>.</w:t>
      </w:r>
    </w:p>
    <w:p w14:paraId="4EC111F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(3-11)</w:t>
      </w:r>
    </w:p>
    <w:p w14:paraId="5FDB1F5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781884">
        <w:rPr>
          <w:rFonts w:ascii="Simplified Arabic" w:hAnsi="Simplified Arabic" w:cs="Simplified Arabic"/>
          <w:b/>
          <w:bCs/>
          <w:sz w:val="24"/>
          <w:szCs w:val="24"/>
          <w:highlight w:val="yellow"/>
          <w:rtl/>
        </w:rPr>
        <w:t>خطة تحليل البيانات</w:t>
      </w:r>
    </w:p>
    <w:tbl>
      <w:tblPr>
        <w:tblStyle w:val="TableGridLight"/>
        <w:bidiVisual/>
        <w:tblW w:w="0" w:type="auto"/>
        <w:jc w:val="center"/>
        <w:tblLook w:val="04A0" w:firstRow="1" w:lastRow="0" w:firstColumn="1" w:lastColumn="0" w:noHBand="0" w:noVBand="1"/>
      </w:tblPr>
      <w:tblGrid>
        <w:gridCol w:w="3561"/>
        <w:gridCol w:w="4361"/>
      </w:tblGrid>
      <w:tr w:rsidR="001A3ABE" w:rsidRPr="003C40F2" w14:paraId="759F48C4" w14:textId="77777777" w:rsidTr="002A28C6">
        <w:trPr>
          <w:jc w:val="center"/>
        </w:trPr>
        <w:tc>
          <w:tcPr>
            <w:tcW w:w="0" w:type="auto"/>
            <w:vAlign w:val="center"/>
            <w:hideMark/>
          </w:tcPr>
          <w:p w14:paraId="744D90E3"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الهدف أو الفرضية</w:t>
            </w:r>
          </w:p>
        </w:tc>
        <w:tc>
          <w:tcPr>
            <w:tcW w:w="0" w:type="auto"/>
            <w:vAlign w:val="center"/>
            <w:hideMark/>
          </w:tcPr>
          <w:p w14:paraId="5EBC3738" w14:textId="77777777" w:rsidR="001A3ABE" w:rsidRPr="003C40F2" w:rsidRDefault="001A3ABE" w:rsidP="002A28C6">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الأسلوب الإحصائي</w:t>
            </w:r>
          </w:p>
        </w:tc>
      </w:tr>
      <w:tr w:rsidR="001A3ABE" w:rsidRPr="003C40F2" w14:paraId="0AB9FB83" w14:textId="77777777" w:rsidTr="002A28C6">
        <w:trPr>
          <w:jc w:val="center"/>
        </w:trPr>
        <w:tc>
          <w:tcPr>
            <w:tcW w:w="0" w:type="auto"/>
            <w:vAlign w:val="center"/>
            <w:hideMark/>
          </w:tcPr>
          <w:p w14:paraId="7AB776D8"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وصف خصائص أفراد العينة</w:t>
            </w:r>
          </w:p>
        </w:tc>
        <w:tc>
          <w:tcPr>
            <w:tcW w:w="0" w:type="auto"/>
            <w:vAlign w:val="center"/>
            <w:hideMark/>
          </w:tcPr>
          <w:p w14:paraId="6B572F2F"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التكرارات والنسب المئوية</w:t>
            </w:r>
          </w:p>
        </w:tc>
      </w:tr>
      <w:tr w:rsidR="001A3ABE" w:rsidRPr="003C40F2" w14:paraId="2FF156CC" w14:textId="77777777" w:rsidTr="002A28C6">
        <w:trPr>
          <w:jc w:val="center"/>
        </w:trPr>
        <w:tc>
          <w:tcPr>
            <w:tcW w:w="0" w:type="auto"/>
            <w:vAlign w:val="center"/>
            <w:hideMark/>
          </w:tcPr>
          <w:p w14:paraId="1BF2978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تحديد مستوى استجابات أفراد العينة</w:t>
            </w:r>
          </w:p>
        </w:tc>
        <w:tc>
          <w:tcPr>
            <w:tcW w:w="0" w:type="auto"/>
            <w:vAlign w:val="center"/>
            <w:hideMark/>
          </w:tcPr>
          <w:p w14:paraId="44ACB039"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المتوسطات الحسابية والانحرافات المعيارية</w:t>
            </w:r>
          </w:p>
        </w:tc>
      </w:tr>
      <w:tr w:rsidR="001A3ABE" w:rsidRPr="003C40F2" w14:paraId="7246A86A" w14:textId="77777777" w:rsidTr="002A28C6">
        <w:trPr>
          <w:jc w:val="center"/>
        </w:trPr>
        <w:tc>
          <w:tcPr>
            <w:tcW w:w="0" w:type="auto"/>
            <w:vAlign w:val="center"/>
            <w:hideMark/>
          </w:tcPr>
          <w:p w14:paraId="589B8CA6"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التحقق من ثبات الأداة</w:t>
            </w:r>
          </w:p>
        </w:tc>
        <w:tc>
          <w:tcPr>
            <w:tcW w:w="0" w:type="auto"/>
            <w:vAlign w:val="center"/>
            <w:hideMark/>
          </w:tcPr>
          <w:p w14:paraId="626FB384"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معامل ألفا كرونباخ</w:t>
            </w:r>
          </w:p>
        </w:tc>
      </w:tr>
      <w:tr w:rsidR="001A3ABE" w:rsidRPr="003C40F2" w14:paraId="58436E6C" w14:textId="77777777" w:rsidTr="002A28C6">
        <w:trPr>
          <w:jc w:val="center"/>
        </w:trPr>
        <w:tc>
          <w:tcPr>
            <w:tcW w:w="0" w:type="auto"/>
            <w:vAlign w:val="center"/>
            <w:hideMark/>
          </w:tcPr>
          <w:p w14:paraId="1BB7E61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دراسة العلاقة بين المتغيرات</w:t>
            </w:r>
          </w:p>
        </w:tc>
        <w:tc>
          <w:tcPr>
            <w:tcW w:w="0" w:type="auto"/>
            <w:vAlign w:val="center"/>
            <w:hideMark/>
          </w:tcPr>
          <w:p w14:paraId="7901E1E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معامل ارتباط بيرسون</w:t>
            </w:r>
          </w:p>
        </w:tc>
      </w:tr>
      <w:tr w:rsidR="001A3ABE" w:rsidRPr="003C40F2" w14:paraId="528E8AAA" w14:textId="77777777" w:rsidTr="002A28C6">
        <w:trPr>
          <w:jc w:val="center"/>
        </w:trPr>
        <w:tc>
          <w:tcPr>
            <w:tcW w:w="0" w:type="auto"/>
            <w:vAlign w:val="center"/>
            <w:hideMark/>
          </w:tcPr>
          <w:p w14:paraId="2DEFFE7A"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اختبار أثر المتغير المستقل في المتغير التابع</w:t>
            </w:r>
          </w:p>
        </w:tc>
        <w:tc>
          <w:tcPr>
            <w:tcW w:w="0" w:type="auto"/>
            <w:vAlign w:val="center"/>
            <w:hideMark/>
          </w:tcPr>
          <w:p w14:paraId="6B024E9B"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تحليل الانحدار المتعدد</w:t>
            </w:r>
          </w:p>
        </w:tc>
      </w:tr>
      <w:tr w:rsidR="001A3ABE" w:rsidRPr="003C40F2" w14:paraId="00DB603D" w14:textId="77777777" w:rsidTr="002A28C6">
        <w:trPr>
          <w:jc w:val="center"/>
        </w:trPr>
        <w:tc>
          <w:tcPr>
            <w:tcW w:w="0" w:type="auto"/>
            <w:vAlign w:val="center"/>
            <w:hideMark/>
          </w:tcPr>
          <w:p w14:paraId="416A8D6D"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دراسة الفروق بين أفراد العينة</w:t>
            </w:r>
          </w:p>
        </w:tc>
        <w:tc>
          <w:tcPr>
            <w:tcW w:w="0" w:type="auto"/>
            <w:vAlign w:val="center"/>
            <w:hideMark/>
          </w:tcPr>
          <w:p w14:paraId="2FC0572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اختبار</w:t>
            </w:r>
            <w:r w:rsidRPr="003C40F2">
              <w:rPr>
                <w:rFonts w:ascii="Simplified Arabic" w:hAnsi="Simplified Arabic" w:cs="Simplified Arabic"/>
                <w:sz w:val="24"/>
                <w:szCs w:val="24"/>
              </w:rPr>
              <w:t xml:space="preserve"> (T-Test) </w:t>
            </w:r>
            <w:r w:rsidRPr="003C40F2">
              <w:rPr>
                <w:rFonts w:ascii="Simplified Arabic" w:hAnsi="Simplified Arabic" w:cs="Simplified Arabic"/>
                <w:sz w:val="24"/>
                <w:szCs w:val="24"/>
                <w:rtl/>
              </w:rPr>
              <w:t>وتحليل التباين الأحادي</w:t>
            </w:r>
            <w:r w:rsidRPr="003C40F2">
              <w:rPr>
                <w:rFonts w:ascii="Simplified Arabic" w:hAnsi="Simplified Arabic" w:cs="Simplified Arabic"/>
                <w:sz w:val="24"/>
                <w:szCs w:val="24"/>
              </w:rPr>
              <w:t xml:space="preserve"> (ANOVA)</w:t>
            </w:r>
          </w:p>
        </w:tc>
      </w:tr>
      <w:tr w:rsidR="001A3ABE" w:rsidRPr="003C40F2" w14:paraId="514C5783" w14:textId="77777777" w:rsidTr="002A28C6">
        <w:trPr>
          <w:jc w:val="center"/>
        </w:trPr>
        <w:tc>
          <w:tcPr>
            <w:tcW w:w="0" w:type="auto"/>
            <w:vAlign w:val="center"/>
            <w:hideMark/>
          </w:tcPr>
          <w:p w14:paraId="7B07B011" w14:textId="77777777" w:rsidR="001A3ABE" w:rsidRPr="003C40F2" w:rsidRDefault="001A3ABE" w:rsidP="002A28C6">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تفسير البيانات الثانوية</w:t>
            </w:r>
          </w:p>
        </w:tc>
        <w:tc>
          <w:tcPr>
            <w:tcW w:w="0" w:type="auto"/>
            <w:vAlign w:val="center"/>
            <w:hideMark/>
          </w:tcPr>
          <w:p w14:paraId="70FA66F2" w14:textId="69E12236" w:rsidR="00E51D73" w:rsidRPr="003C40F2" w:rsidRDefault="001A3ABE" w:rsidP="00E51D73">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التحليل الوصفي والمقارنة</w:t>
            </w:r>
          </w:p>
        </w:tc>
      </w:tr>
      <w:tr w:rsidR="00A36608" w:rsidRPr="003C40F2" w14:paraId="29647AAA" w14:textId="77777777" w:rsidTr="00EC3D15">
        <w:trPr>
          <w:jc w:val="center"/>
        </w:trPr>
        <w:tc>
          <w:tcPr>
            <w:tcW w:w="0" w:type="auto"/>
          </w:tcPr>
          <w:p w14:paraId="0250FF6E" w14:textId="1300F15D" w:rsidR="00A36608" w:rsidRPr="00C81641" w:rsidRDefault="00A36608" w:rsidP="00A36608">
            <w:pPr>
              <w:bidi/>
              <w:jc w:val="center"/>
              <w:rPr>
                <w:rFonts w:ascii="Simplified Arabic" w:hAnsi="Simplified Arabic" w:cs="Simplified Arabic"/>
                <w:sz w:val="28"/>
                <w:szCs w:val="28"/>
                <w:rtl/>
              </w:rPr>
            </w:pPr>
            <w:r w:rsidRPr="00C81641">
              <w:rPr>
                <w:rFonts w:ascii="Simplified Arabic" w:hAnsi="Simplified Arabic" w:cs="Simplified Arabic"/>
                <w:sz w:val="24"/>
                <w:szCs w:val="24"/>
                <w:rtl/>
              </w:rPr>
              <w:t>اختبار أثر المتغير المستقل</w:t>
            </w:r>
          </w:p>
        </w:tc>
        <w:tc>
          <w:tcPr>
            <w:tcW w:w="0" w:type="auto"/>
          </w:tcPr>
          <w:p w14:paraId="7863D80E" w14:textId="2638483D" w:rsidR="00A36608" w:rsidRPr="00C81641" w:rsidRDefault="00A36608" w:rsidP="00A36608">
            <w:pPr>
              <w:bidi/>
              <w:jc w:val="center"/>
              <w:rPr>
                <w:rFonts w:ascii="Simplified Arabic" w:hAnsi="Simplified Arabic" w:cs="Simplified Arabic"/>
                <w:sz w:val="28"/>
                <w:szCs w:val="28"/>
                <w:rtl/>
              </w:rPr>
            </w:pPr>
            <w:r w:rsidRPr="00C81641">
              <w:rPr>
                <w:rFonts w:ascii="Simplified Arabic" w:hAnsi="Simplified Arabic" w:cs="Simplified Arabic"/>
                <w:sz w:val="24"/>
                <w:szCs w:val="24"/>
                <w:rtl/>
              </w:rPr>
              <w:t>تحليل الانحدار المتعدد</w:t>
            </w:r>
          </w:p>
        </w:tc>
      </w:tr>
    </w:tbl>
    <w:p w14:paraId="741B0EB1" w14:textId="77777777" w:rsidR="007C442D" w:rsidRPr="003C40F2" w:rsidRDefault="007C442D" w:rsidP="007C442D">
      <w:pPr>
        <w:bidi/>
        <w:spacing w:line="240" w:lineRule="auto"/>
        <w:jc w:val="lowKashida"/>
        <w:rPr>
          <w:rFonts w:ascii="Simplified Arabic" w:hAnsi="Simplified Arabic" w:cs="Simplified Arabic"/>
          <w:sz w:val="24"/>
          <w:szCs w:val="24"/>
        </w:rPr>
      </w:pPr>
    </w:p>
    <w:p w14:paraId="37FC0DB4"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(3-12)</w:t>
      </w:r>
    </w:p>
    <w:p w14:paraId="5BA67F5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مصفوفة الفرضيات والاختبارات الإحصائية</w:t>
      </w:r>
    </w:p>
    <w:tbl>
      <w:tblPr>
        <w:tblStyle w:val="TableGridLight"/>
        <w:tblW w:w="0" w:type="auto"/>
        <w:jc w:val="center"/>
        <w:tblLook w:val="04A0" w:firstRow="1" w:lastRow="0" w:firstColumn="1" w:lastColumn="0" w:noHBand="0" w:noVBand="1"/>
      </w:tblPr>
      <w:tblGrid>
        <w:gridCol w:w="1904"/>
        <w:gridCol w:w="2798"/>
        <w:gridCol w:w="2077"/>
        <w:gridCol w:w="1500"/>
      </w:tblGrid>
      <w:tr w:rsidR="001A3ABE" w:rsidRPr="00434F06" w14:paraId="2BEC27B8" w14:textId="77777777" w:rsidTr="002A28C6">
        <w:trPr>
          <w:jc w:val="center"/>
        </w:trPr>
        <w:tc>
          <w:tcPr>
            <w:tcW w:w="0" w:type="auto"/>
            <w:vAlign w:val="center"/>
            <w:hideMark/>
          </w:tcPr>
          <w:p w14:paraId="1D701B5A" w14:textId="77777777" w:rsidR="001A3ABE" w:rsidRPr="00434F06" w:rsidRDefault="001A3ABE" w:rsidP="002A28C6">
            <w:pPr>
              <w:bidi/>
              <w:jc w:val="center"/>
              <w:rPr>
                <w:rFonts w:ascii="Simplified Arabic" w:hAnsi="Simplified Arabic" w:cs="Simplified Arabic"/>
                <w:b/>
                <w:bCs/>
              </w:rPr>
            </w:pPr>
            <w:r w:rsidRPr="00434F06">
              <w:rPr>
                <w:rFonts w:ascii="Simplified Arabic" w:hAnsi="Simplified Arabic" w:cs="Simplified Arabic"/>
                <w:b/>
                <w:bCs/>
                <w:rtl/>
              </w:rPr>
              <w:t>الفرضية</w:t>
            </w:r>
          </w:p>
        </w:tc>
        <w:tc>
          <w:tcPr>
            <w:tcW w:w="0" w:type="auto"/>
            <w:vAlign w:val="center"/>
            <w:hideMark/>
          </w:tcPr>
          <w:p w14:paraId="70D61100" w14:textId="77777777" w:rsidR="001A3ABE" w:rsidRPr="00434F06" w:rsidRDefault="001A3ABE" w:rsidP="002A28C6">
            <w:pPr>
              <w:bidi/>
              <w:jc w:val="center"/>
              <w:rPr>
                <w:rFonts w:ascii="Simplified Arabic" w:hAnsi="Simplified Arabic" w:cs="Simplified Arabic"/>
                <w:b/>
                <w:bCs/>
              </w:rPr>
            </w:pPr>
            <w:r w:rsidRPr="00434F06">
              <w:rPr>
                <w:rFonts w:ascii="Simplified Arabic" w:hAnsi="Simplified Arabic" w:cs="Simplified Arabic"/>
                <w:b/>
                <w:bCs/>
                <w:rtl/>
              </w:rPr>
              <w:t>المتغير المستقل</w:t>
            </w:r>
          </w:p>
        </w:tc>
        <w:tc>
          <w:tcPr>
            <w:tcW w:w="0" w:type="auto"/>
            <w:vAlign w:val="center"/>
            <w:hideMark/>
          </w:tcPr>
          <w:p w14:paraId="5F572DE0" w14:textId="77777777" w:rsidR="001A3ABE" w:rsidRPr="00434F06" w:rsidRDefault="001A3ABE" w:rsidP="002A28C6">
            <w:pPr>
              <w:bidi/>
              <w:jc w:val="center"/>
              <w:rPr>
                <w:rFonts w:ascii="Simplified Arabic" w:hAnsi="Simplified Arabic" w:cs="Simplified Arabic"/>
                <w:b/>
                <w:bCs/>
              </w:rPr>
            </w:pPr>
            <w:r w:rsidRPr="00434F06">
              <w:rPr>
                <w:rFonts w:ascii="Simplified Arabic" w:hAnsi="Simplified Arabic" w:cs="Simplified Arabic"/>
                <w:b/>
                <w:bCs/>
                <w:rtl/>
              </w:rPr>
              <w:t>المتغير التابع</w:t>
            </w:r>
          </w:p>
        </w:tc>
        <w:tc>
          <w:tcPr>
            <w:tcW w:w="0" w:type="auto"/>
            <w:vAlign w:val="center"/>
            <w:hideMark/>
          </w:tcPr>
          <w:p w14:paraId="2E87D466" w14:textId="77777777" w:rsidR="001A3ABE" w:rsidRPr="00434F06" w:rsidRDefault="001A3ABE" w:rsidP="002A28C6">
            <w:pPr>
              <w:bidi/>
              <w:jc w:val="center"/>
              <w:rPr>
                <w:rFonts w:ascii="Simplified Arabic" w:hAnsi="Simplified Arabic" w:cs="Simplified Arabic"/>
                <w:b/>
                <w:bCs/>
              </w:rPr>
            </w:pPr>
            <w:r w:rsidRPr="00434F06">
              <w:rPr>
                <w:rFonts w:ascii="Simplified Arabic" w:hAnsi="Simplified Arabic" w:cs="Simplified Arabic"/>
                <w:b/>
                <w:bCs/>
                <w:rtl/>
              </w:rPr>
              <w:t>الاختبار الإحصائي</w:t>
            </w:r>
          </w:p>
        </w:tc>
      </w:tr>
      <w:tr w:rsidR="001A3ABE" w:rsidRPr="00434F06" w14:paraId="249702FB" w14:textId="77777777" w:rsidTr="002A28C6">
        <w:trPr>
          <w:jc w:val="center"/>
        </w:trPr>
        <w:tc>
          <w:tcPr>
            <w:tcW w:w="0" w:type="auto"/>
            <w:vAlign w:val="center"/>
            <w:hideMark/>
          </w:tcPr>
          <w:p w14:paraId="1DBC8F71"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الرئيسة</w:t>
            </w:r>
          </w:p>
        </w:tc>
        <w:tc>
          <w:tcPr>
            <w:tcW w:w="0" w:type="auto"/>
            <w:vAlign w:val="center"/>
            <w:hideMark/>
          </w:tcPr>
          <w:p w14:paraId="65D7B478"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الشراكات بين القطاعين العام والخاص</w:t>
            </w:r>
          </w:p>
        </w:tc>
        <w:tc>
          <w:tcPr>
            <w:tcW w:w="0" w:type="auto"/>
            <w:vAlign w:val="center"/>
            <w:hideMark/>
          </w:tcPr>
          <w:p w14:paraId="1F33584E"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0FCF73B8"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039770D5" w14:textId="77777777" w:rsidTr="002A28C6">
        <w:trPr>
          <w:jc w:val="center"/>
        </w:trPr>
        <w:tc>
          <w:tcPr>
            <w:tcW w:w="0" w:type="auto"/>
            <w:vAlign w:val="center"/>
            <w:hideMark/>
          </w:tcPr>
          <w:p w14:paraId="505A264F"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الأولى</w:t>
            </w:r>
          </w:p>
        </w:tc>
        <w:tc>
          <w:tcPr>
            <w:tcW w:w="0" w:type="auto"/>
            <w:vAlign w:val="center"/>
            <w:hideMark/>
          </w:tcPr>
          <w:p w14:paraId="2D7C775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الإطار التشريعي</w:t>
            </w:r>
          </w:p>
        </w:tc>
        <w:tc>
          <w:tcPr>
            <w:tcW w:w="0" w:type="auto"/>
            <w:vAlign w:val="center"/>
            <w:hideMark/>
          </w:tcPr>
          <w:p w14:paraId="1AFB523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368E13B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253E9CA0" w14:textId="77777777" w:rsidTr="002A28C6">
        <w:trPr>
          <w:jc w:val="center"/>
        </w:trPr>
        <w:tc>
          <w:tcPr>
            <w:tcW w:w="0" w:type="auto"/>
            <w:vAlign w:val="center"/>
            <w:hideMark/>
          </w:tcPr>
          <w:p w14:paraId="63D05FF0"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الثانية</w:t>
            </w:r>
          </w:p>
        </w:tc>
        <w:tc>
          <w:tcPr>
            <w:tcW w:w="0" w:type="auto"/>
            <w:vAlign w:val="center"/>
            <w:hideMark/>
          </w:tcPr>
          <w:p w14:paraId="4BFD5BBE"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توزيع الأدوار</w:t>
            </w:r>
          </w:p>
        </w:tc>
        <w:tc>
          <w:tcPr>
            <w:tcW w:w="0" w:type="auto"/>
            <w:vAlign w:val="center"/>
            <w:hideMark/>
          </w:tcPr>
          <w:p w14:paraId="51B574E5"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39524C1C"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425863E5" w14:textId="77777777" w:rsidTr="002A28C6">
        <w:trPr>
          <w:jc w:val="center"/>
        </w:trPr>
        <w:tc>
          <w:tcPr>
            <w:tcW w:w="0" w:type="auto"/>
            <w:vAlign w:val="center"/>
            <w:hideMark/>
          </w:tcPr>
          <w:p w14:paraId="6E0B606B"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الثالثة</w:t>
            </w:r>
          </w:p>
        </w:tc>
        <w:tc>
          <w:tcPr>
            <w:tcW w:w="0" w:type="auto"/>
            <w:vAlign w:val="center"/>
            <w:hideMark/>
          </w:tcPr>
          <w:p w14:paraId="457ECED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التنسيق وتبادل المعلومات</w:t>
            </w:r>
          </w:p>
        </w:tc>
        <w:tc>
          <w:tcPr>
            <w:tcW w:w="0" w:type="auto"/>
            <w:vAlign w:val="center"/>
            <w:hideMark/>
          </w:tcPr>
          <w:p w14:paraId="2CD23CEA"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1877ADEF"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082BE10F" w14:textId="77777777" w:rsidTr="002A28C6">
        <w:trPr>
          <w:jc w:val="center"/>
        </w:trPr>
        <w:tc>
          <w:tcPr>
            <w:tcW w:w="0" w:type="auto"/>
            <w:vAlign w:val="center"/>
            <w:hideMark/>
          </w:tcPr>
          <w:p w14:paraId="53FD1943"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الرابعة</w:t>
            </w:r>
          </w:p>
        </w:tc>
        <w:tc>
          <w:tcPr>
            <w:tcW w:w="0" w:type="auto"/>
            <w:vAlign w:val="center"/>
            <w:hideMark/>
          </w:tcPr>
          <w:p w14:paraId="2FBF0DB6"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إدارة الموارد والتمويل</w:t>
            </w:r>
          </w:p>
        </w:tc>
        <w:tc>
          <w:tcPr>
            <w:tcW w:w="0" w:type="auto"/>
            <w:vAlign w:val="center"/>
            <w:hideMark/>
          </w:tcPr>
          <w:p w14:paraId="4F7DC7F2"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276C7E09"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5DD03EF5" w14:textId="77777777" w:rsidTr="002A28C6">
        <w:trPr>
          <w:jc w:val="center"/>
        </w:trPr>
        <w:tc>
          <w:tcPr>
            <w:tcW w:w="0" w:type="auto"/>
            <w:vAlign w:val="center"/>
            <w:hideMark/>
          </w:tcPr>
          <w:p w14:paraId="1665C25C"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الفرضية الفرعية الخامسة</w:t>
            </w:r>
          </w:p>
        </w:tc>
        <w:tc>
          <w:tcPr>
            <w:tcW w:w="0" w:type="auto"/>
            <w:vAlign w:val="center"/>
            <w:hideMark/>
          </w:tcPr>
          <w:p w14:paraId="58DE08F4"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الرقابة وإدارة المخاطر</w:t>
            </w:r>
          </w:p>
        </w:tc>
        <w:tc>
          <w:tcPr>
            <w:tcW w:w="0" w:type="auto"/>
            <w:vAlign w:val="center"/>
            <w:hideMark/>
          </w:tcPr>
          <w:p w14:paraId="590A680F"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7F46E51B" w14:textId="77777777" w:rsidR="001A3ABE" w:rsidRPr="00434F06" w:rsidRDefault="001A3ABE" w:rsidP="002A28C6">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bl>
    <w:p w14:paraId="6A0B9782" w14:textId="77777777" w:rsidR="00434F06" w:rsidRDefault="00434F06" w:rsidP="00434F06">
      <w:pPr>
        <w:bidi/>
        <w:spacing w:line="240" w:lineRule="auto"/>
        <w:jc w:val="lowKashida"/>
        <w:rPr>
          <w:rFonts w:ascii="Simplified Arabic" w:hAnsi="Simplified Arabic" w:cs="Simplified Arabic"/>
          <w:b/>
          <w:bCs/>
          <w:sz w:val="24"/>
          <w:szCs w:val="24"/>
        </w:rPr>
      </w:pPr>
    </w:p>
    <w:p w14:paraId="3865EAFF" w14:textId="05D37E43" w:rsidR="005755B5" w:rsidRPr="005755B5" w:rsidRDefault="00BB5279" w:rsidP="005755B5">
      <w:pPr>
        <w:bidi/>
        <w:spacing w:line="240" w:lineRule="auto"/>
        <w:jc w:val="lowKashida"/>
        <w:rPr>
          <w:rFonts w:ascii="Simplified Arabic" w:hAnsi="Simplified Arabic" w:cs="Simplified Arabic"/>
          <w:b/>
          <w:bCs/>
          <w:sz w:val="24"/>
          <w:szCs w:val="24"/>
          <w:rtl/>
        </w:rPr>
      </w:pPr>
      <w:r>
        <w:rPr>
          <w:rFonts w:ascii="Simplified Arabic" w:hAnsi="Simplified Arabic" w:cs="Simplified Arabic"/>
          <w:b/>
          <w:bCs/>
          <w:sz w:val="24"/>
          <w:szCs w:val="24"/>
        </w:rPr>
        <w:lastRenderedPageBreak/>
        <w:t xml:space="preserve"> </w:t>
      </w:r>
      <w:r w:rsidR="005755B5" w:rsidRPr="00781884">
        <w:rPr>
          <w:rFonts w:ascii="Simplified Arabic" w:hAnsi="Simplified Arabic" w:cs="Simplified Arabic"/>
          <w:b/>
          <w:bCs/>
          <w:sz w:val="24"/>
          <w:szCs w:val="24"/>
          <w:highlight w:val="yellow"/>
        </w:rPr>
        <w:t xml:space="preserve">3.18.1 </w:t>
      </w:r>
      <w:r w:rsidR="005755B5" w:rsidRPr="00781884">
        <w:rPr>
          <w:rFonts w:ascii="Simplified Arabic" w:hAnsi="Simplified Arabic" w:cs="Simplified Arabic"/>
          <w:b/>
          <w:bCs/>
          <w:sz w:val="24"/>
          <w:szCs w:val="24"/>
          <w:highlight w:val="yellow"/>
          <w:rtl/>
        </w:rPr>
        <w:t>خطوات بناء النموذج المقترح</w:t>
      </w:r>
    </w:p>
    <w:p w14:paraId="38F4F973" w14:textId="77777777" w:rsidR="005755B5" w:rsidRPr="005755B5" w:rsidRDefault="005755B5" w:rsidP="005755B5">
      <w:pPr>
        <w:bidi/>
        <w:spacing w:line="240" w:lineRule="auto"/>
        <w:jc w:val="lowKashida"/>
        <w:rPr>
          <w:rFonts w:ascii="Simplified Arabic" w:hAnsi="Simplified Arabic" w:cs="Simplified Arabic"/>
          <w:sz w:val="24"/>
          <w:szCs w:val="24"/>
          <w:rtl/>
        </w:rPr>
      </w:pPr>
      <w:r w:rsidRPr="005755B5">
        <w:rPr>
          <w:rFonts w:ascii="Simplified Arabic" w:hAnsi="Simplified Arabic" w:cs="Simplified Arabic"/>
          <w:sz w:val="24"/>
          <w:szCs w:val="24"/>
          <w:rtl/>
        </w:rPr>
        <w:t>سيتم بناء النموذج المقترح وفق أربع مراحل متتابعة، تبدأ بتحليل نتائج الاستبانة واختبار الفرضيات، ثم تحليل الوثائق والمؤشرات الرسمية، يلي ذلك دمج النتائج الكمية والوثائقية لاستخلاص عناصر النموذج المقترح، وأخيرًا عرض النموذج على عدد من الخبراء والمتخصصين لتحكيمه وإبداء الملاحظات اللازمة قبل اعتماده بصورته النهائية</w:t>
      </w:r>
      <w:r w:rsidRPr="005755B5">
        <w:rPr>
          <w:rFonts w:ascii="Simplified Arabic" w:hAnsi="Simplified Arabic" w:cs="Simplified Arabic"/>
          <w:sz w:val="24"/>
          <w:szCs w:val="24"/>
        </w:rPr>
        <w:t>.</w:t>
      </w:r>
    </w:p>
    <w:p w14:paraId="7B2E404E" w14:textId="77777777" w:rsidR="005755B5" w:rsidRDefault="005755B5" w:rsidP="005755B5">
      <w:pPr>
        <w:bidi/>
        <w:spacing w:line="240" w:lineRule="auto"/>
        <w:jc w:val="lowKashida"/>
        <w:rPr>
          <w:rFonts w:ascii="Simplified Arabic" w:hAnsi="Simplified Arabic" w:cs="Simplified Arabic"/>
          <w:b/>
          <w:bCs/>
          <w:sz w:val="24"/>
          <w:szCs w:val="24"/>
        </w:rPr>
      </w:pPr>
    </w:p>
    <w:p w14:paraId="190C2A7A" w14:textId="0E54E616" w:rsidR="001A3ABE" w:rsidRPr="003C40F2" w:rsidRDefault="001A3ABE"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3.19 </w:t>
      </w:r>
      <w:r w:rsidRPr="003C40F2">
        <w:rPr>
          <w:rFonts w:ascii="Simplified Arabic" w:hAnsi="Simplified Arabic" w:cs="Simplified Arabic"/>
          <w:b/>
          <w:bCs/>
          <w:sz w:val="24"/>
          <w:szCs w:val="24"/>
          <w:rtl/>
        </w:rPr>
        <w:t>البرامج الإحصائية المستخدمة</w:t>
      </w:r>
    </w:p>
    <w:p w14:paraId="02C64C43" w14:textId="2C7F13FF"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استخدام برنامج الحزم الإحصائية للعلوم الاجتماعية</w:t>
      </w:r>
      <w:r w:rsidRPr="003C40F2">
        <w:rPr>
          <w:rFonts w:ascii="Simplified Arabic" w:hAnsi="Simplified Arabic" w:cs="Simplified Arabic"/>
          <w:sz w:val="24"/>
          <w:szCs w:val="24"/>
        </w:rPr>
        <w:t xml:space="preserve"> (SPSS) </w:t>
      </w:r>
      <w:r w:rsidRPr="003C40F2">
        <w:rPr>
          <w:rFonts w:ascii="Simplified Arabic" w:hAnsi="Simplified Arabic" w:cs="Simplified Arabic"/>
          <w:sz w:val="24"/>
          <w:szCs w:val="24"/>
          <w:rtl/>
        </w:rPr>
        <w:t xml:space="preserve">لإجراء جميع التحليلات الإحصائية الخاصة بالدراسة، بما يشمل الإحصاء الوصفي، واختبارات الثبات، وتحليل الارتباط، وتحليل الانحدار، واختبارات الفروق. كما سيتم استخدام برنامج </w:t>
      </w:r>
      <w:r w:rsidRPr="003C40F2">
        <w:rPr>
          <w:rFonts w:ascii="Simplified Arabic" w:hAnsi="Simplified Arabic" w:cs="Simplified Arabic"/>
          <w:sz w:val="24"/>
          <w:szCs w:val="24"/>
        </w:rPr>
        <w:t>Microsoft Excel</w:t>
      </w:r>
      <w:r w:rsidR="006066E7">
        <w:rPr>
          <w:rFonts w:ascii="Simplified Arabic" w:hAnsi="Simplified Arabic" w:cs="Simplified Arabic" w:hint="cs"/>
          <w:sz w:val="24"/>
          <w:szCs w:val="24"/>
          <w:rtl/>
        </w:rPr>
        <w:t xml:space="preserve"> </w:t>
      </w:r>
      <w:r w:rsidRPr="003C40F2">
        <w:rPr>
          <w:rFonts w:ascii="Simplified Arabic" w:hAnsi="Simplified Arabic" w:cs="Simplified Arabic"/>
          <w:sz w:val="24"/>
          <w:szCs w:val="24"/>
          <w:rtl/>
        </w:rPr>
        <w:t>في تنظيم البيانات الأولية وإعداد الجداول والرسوم البيانية المساندة عند الحاجة</w:t>
      </w:r>
      <w:r w:rsidRPr="003C40F2">
        <w:rPr>
          <w:rFonts w:ascii="Simplified Arabic" w:hAnsi="Simplified Arabic" w:cs="Simplified Arabic"/>
          <w:sz w:val="24"/>
          <w:szCs w:val="24"/>
        </w:rPr>
        <w:t>.</w:t>
      </w:r>
    </w:p>
    <w:p w14:paraId="3A527103" w14:textId="77777777" w:rsidR="001C485C" w:rsidRPr="003C40F2" w:rsidRDefault="001C485C" w:rsidP="001C485C">
      <w:pPr>
        <w:bidi/>
        <w:spacing w:line="240" w:lineRule="auto"/>
        <w:jc w:val="lowKashida"/>
        <w:rPr>
          <w:rFonts w:ascii="Simplified Arabic" w:hAnsi="Simplified Arabic" w:cs="Simplified Arabic"/>
          <w:sz w:val="24"/>
          <w:szCs w:val="24"/>
        </w:rPr>
      </w:pPr>
    </w:p>
    <w:p w14:paraId="0C6853D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3.20 </w:t>
      </w:r>
      <w:r w:rsidRPr="003C40F2">
        <w:rPr>
          <w:rFonts w:ascii="Simplified Arabic" w:hAnsi="Simplified Arabic" w:cs="Simplified Arabic"/>
          <w:b/>
          <w:bCs/>
          <w:sz w:val="24"/>
          <w:szCs w:val="24"/>
          <w:rtl/>
        </w:rPr>
        <w:t>الاعتبارات الأخلاقية للدراسة</w:t>
      </w:r>
    </w:p>
    <w:p w14:paraId="196482F3" w14:textId="77777777" w:rsidR="001A3ABE" w:rsidRPr="003C40F2"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التزم الباحث بمجموعة من المبادئ الأخلاقية التي تحكم البحوث العلمية، وذلك لضمان حماية المشاركين والحفاظ على جودة البحث. وسيتم الحصول على الموافقة المستنيرة من جميع المشاركين بعد توضيح أهداف الدراسة وطبيعة المشاركة، مع التأكيد على أن المشاركة اختيارية، وأن للمشارك الحق في الانسحاب في أي وقت دون أي تبعات</w:t>
      </w:r>
      <w:r w:rsidRPr="003C40F2">
        <w:rPr>
          <w:rFonts w:ascii="Simplified Arabic" w:hAnsi="Simplified Arabic" w:cs="Simplified Arabic"/>
          <w:sz w:val="24"/>
          <w:szCs w:val="24"/>
        </w:rPr>
        <w:t>.</w:t>
      </w:r>
    </w:p>
    <w:p w14:paraId="40005EB6"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كما سيتم الحفاظ على سرية البيانات وعدم استخدامها إلا لأغراض البحث العلمي، مع عدم الإفصاح عن أسماء المشاركين أو الجهات التي يعملون بها، واستخدام البيانات في صورة مجمعة فقط. وسيتم اتخاذ الإجراءات اللازمة لحماية خصوصية المشاركين وإخفاء أي بيانات حساسة قد تؤدي إلى التعرف عليهم أو على الجهات المشاركة، مع الالتزام بالحصول على الموافقات الرسمية اللازمة من الجهات المختصة قبل البدء في جمع البيانات</w:t>
      </w:r>
      <w:r w:rsidRPr="003C40F2">
        <w:rPr>
          <w:rFonts w:ascii="Simplified Arabic" w:hAnsi="Simplified Arabic" w:cs="Simplified Arabic"/>
          <w:sz w:val="24"/>
          <w:szCs w:val="24"/>
        </w:rPr>
        <w:t>.</w:t>
      </w:r>
    </w:p>
    <w:p w14:paraId="1A57EF69" w14:textId="77777777" w:rsidR="001C485C" w:rsidRPr="003C40F2" w:rsidRDefault="001C485C" w:rsidP="001C485C">
      <w:pPr>
        <w:bidi/>
        <w:spacing w:line="240" w:lineRule="auto"/>
        <w:jc w:val="lowKashida"/>
        <w:rPr>
          <w:rFonts w:ascii="Simplified Arabic" w:hAnsi="Simplified Arabic" w:cs="Simplified Arabic"/>
          <w:sz w:val="24"/>
          <w:szCs w:val="24"/>
        </w:rPr>
      </w:pPr>
    </w:p>
    <w:p w14:paraId="5F60B209" w14:textId="1DCC986C" w:rsidR="001C485C" w:rsidRPr="003C40F2" w:rsidRDefault="001A3ABE" w:rsidP="001C485C">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3.21 </w:t>
      </w:r>
      <w:r w:rsidRPr="003C40F2">
        <w:rPr>
          <w:rFonts w:ascii="Simplified Arabic" w:hAnsi="Simplified Arabic" w:cs="Simplified Arabic"/>
          <w:b/>
          <w:bCs/>
          <w:sz w:val="24"/>
          <w:szCs w:val="24"/>
          <w:rtl/>
        </w:rPr>
        <w:t>ملخص الفصل</w:t>
      </w:r>
    </w:p>
    <w:p w14:paraId="2E88110B" w14:textId="77777777" w:rsidR="00605FB9" w:rsidRDefault="001A3ABE" w:rsidP="00605FB9">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تناول هذا الفصل المنهجية العلمية التي اعتمدت عليها الدراسة، حيث تم توضيح منهج البحث وتصميم الدراسة، ومجتمع الدراسة وعينتها، ومصادر البيانات، وأداة الدراسة، وإجراءات التحقق من صدقها وثباتها، وإجراءات جمع البيانات، ومتغيرات الدراسة، وخطة التحليل الإحصائي، والاعتبارات الأخلاقية. وتمثل هذه الإجراءات الأساس العلمي الذي سيتم الاعتماد عليه في تحليل البيانات واختبار فرضيات الدراسة في الفصل الرابع، وصولًا إلى بناء نموذج مقترح يسهم في تعزيز الحوكمة البيئية وإدارة الأداء في مجال التفتيش البيئي بالمملكة العربية السعودية</w:t>
      </w:r>
      <w:r w:rsidRPr="003C40F2">
        <w:rPr>
          <w:rFonts w:ascii="Simplified Arabic" w:hAnsi="Simplified Arabic" w:cs="Simplified Arabic"/>
          <w:sz w:val="24"/>
          <w:szCs w:val="24"/>
        </w:rPr>
        <w:t>.</w:t>
      </w:r>
      <w:bookmarkStart w:id="23" w:name="_Toc234607916"/>
      <w:bookmarkStart w:id="24" w:name="_Hlk225644657"/>
      <w:bookmarkEnd w:id="0"/>
      <w:bookmarkEnd w:id="3"/>
    </w:p>
    <w:p w14:paraId="40549A72" w14:textId="77777777" w:rsidR="00605FB9" w:rsidRDefault="00605FB9" w:rsidP="00605FB9">
      <w:pPr>
        <w:bidi/>
        <w:spacing w:line="240" w:lineRule="auto"/>
        <w:jc w:val="lowKashida"/>
        <w:rPr>
          <w:rFonts w:ascii="Simplified Arabic" w:hAnsi="Simplified Arabic" w:cs="Simplified Arabic"/>
          <w:sz w:val="24"/>
          <w:szCs w:val="24"/>
        </w:rPr>
      </w:pPr>
    </w:p>
    <w:p w14:paraId="2F850BC5" w14:textId="35029D2D" w:rsidR="00A63F47" w:rsidRPr="00605FB9" w:rsidRDefault="00A63F47" w:rsidP="00605FB9">
      <w:pPr>
        <w:bidi/>
        <w:spacing w:line="240" w:lineRule="auto"/>
        <w:jc w:val="lowKashida"/>
        <w:rPr>
          <w:rFonts w:ascii="Simplified Arabic" w:hAnsi="Simplified Arabic" w:cs="Simplified Arabic"/>
          <w:sz w:val="24"/>
          <w:szCs w:val="24"/>
          <w:rtl/>
        </w:rPr>
      </w:pPr>
      <w:r w:rsidRPr="002D33E8">
        <w:rPr>
          <w:rFonts w:ascii="T" w:eastAsia="Calibri" w:hAnsi="T" w:cs="Simplified Arabic"/>
          <w:b/>
          <w:bCs/>
          <w:sz w:val="24"/>
          <w:szCs w:val="24"/>
          <w:rtl/>
          <w:lang w:bidi="ar-EG"/>
        </w:rPr>
        <w:lastRenderedPageBreak/>
        <w:t>قائمة المراجع</w:t>
      </w:r>
      <w:bookmarkEnd w:id="23"/>
    </w:p>
    <w:p w14:paraId="1E2141A3"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t>أولا :المراجع العربية</w:t>
      </w:r>
    </w:p>
    <w:p w14:paraId="7CDFBF1C"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ابراهيم عبد الله التويجري. (2024). المستحدث في نظام البيئة السعودي 2020. المجلة الأردنية في القانون والعلوم السياسية, 16</w:t>
      </w:r>
      <w:r w:rsidRPr="005D59A7">
        <w:rPr>
          <w:rFonts w:ascii="T" w:eastAsia="Calibri" w:hAnsi="T" w:cs="Simplified Arabic"/>
          <w:sz w:val="24"/>
          <w:szCs w:val="24"/>
          <w:lang w:bidi="ar-EG"/>
        </w:rPr>
        <w:t>(1).</w:t>
      </w:r>
    </w:p>
    <w:p w14:paraId="2EB39E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شيماء عادل فاضل. (2024). الجهود الدولية الخضراء تجاه التلوث البيئي في بلدان الخليج العربي–الانجازات وضرورات التفعيل-السعودية وقطر أنموذجا</w:t>
      </w:r>
      <w:r w:rsidRPr="005D59A7">
        <w:rPr>
          <w:rFonts w:ascii="T" w:eastAsia="Calibri" w:hAnsi="T" w:cs="Simplified Arabic"/>
          <w:sz w:val="24"/>
          <w:szCs w:val="24"/>
          <w:lang w:bidi="ar-EG"/>
        </w:rPr>
        <w:t>. Political Issues, (79), 1-26.</w:t>
      </w:r>
      <w:r w:rsidRPr="005D59A7">
        <w:rPr>
          <w:rFonts w:ascii="T" w:eastAsia="Calibri" w:hAnsi="T" w:cs="Simplified Arabic"/>
          <w:sz w:val="24"/>
          <w:szCs w:val="24"/>
          <w:rtl/>
          <w:lang w:bidi="ar-EG"/>
        </w:rPr>
        <w:t>‏</w:t>
      </w:r>
    </w:p>
    <w:p w14:paraId="3BD505D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(2022). دليل تخطيط وتطوير قطاع الشراكة بين القطاعين العام والخاص</w:t>
      </w:r>
      <w:r w:rsidRPr="005D59A7">
        <w:rPr>
          <w:rFonts w:ascii="T" w:eastAsia="Calibri" w:hAnsi="T" w:cs="Simplified Arabic"/>
          <w:sz w:val="24"/>
          <w:szCs w:val="24"/>
          <w:lang w:bidi="ar-EG"/>
        </w:rPr>
        <w:t>. https://www.ncp.gov.sa</w:t>
      </w:r>
    </w:p>
    <w:p w14:paraId="764E0BC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(2025). المركز الوطني للرقابة على الالتزام البيئي يطلق مشروع التفتيش البيئي بالتعاون مع وزارة البيئة والمياه والزراعة والمركز الوطني للتخصيص</w:t>
      </w:r>
      <w:r w:rsidRPr="005D59A7">
        <w:rPr>
          <w:rFonts w:ascii="T" w:eastAsia="Calibri" w:hAnsi="T" w:cs="Simplified Arabic"/>
          <w:sz w:val="24"/>
          <w:szCs w:val="24"/>
          <w:lang w:bidi="ar-EG"/>
        </w:rPr>
        <w:t>. https://www.ncp.gov.sa</w:t>
      </w:r>
    </w:p>
    <w:p w14:paraId="2B26C9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للرقابة على الالتزام البيئي. (2020). بيانات خدمة التفتيش البيئي 2017-2019</w:t>
      </w:r>
      <w:r w:rsidRPr="005D59A7">
        <w:rPr>
          <w:rFonts w:ascii="T" w:eastAsia="Calibri" w:hAnsi="T" w:cs="Simplified Arabic"/>
          <w:sz w:val="24"/>
          <w:szCs w:val="24"/>
          <w:lang w:bidi="ar-EG"/>
        </w:rPr>
        <w:t xml:space="preserve"> https://www.ncec.gov.sa</w:t>
      </w:r>
    </w:p>
    <w:p w14:paraId="09FDD5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الحياة الفطرية. (2020). عن المركز</w:t>
      </w:r>
      <w:r w:rsidRPr="005D59A7">
        <w:rPr>
          <w:rFonts w:ascii="T" w:eastAsia="Calibri" w:hAnsi="T" w:cs="Simplified Arabic"/>
          <w:sz w:val="24"/>
          <w:szCs w:val="24"/>
          <w:lang w:bidi="ar-EG"/>
        </w:rPr>
        <w:t>. https://www.ncw.gov.sa</w:t>
      </w:r>
    </w:p>
    <w:p w14:paraId="69EF58B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الغطاء النباتي ومكافحة التصحر. (2020). عن المركز</w:t>
      </w:r>
      <w:r w:rsidRPr="005D59A7">
        <w:rPr>
          <w:rFonts w:ascii="T" w:eastAsia="Calibri" w:hAnsi="T" w:cs="Simplified Arabic"/>
          <w:sz w:val="24"/>
          <w:szCs w:val="24"/>
          <w:lang w:bidi="ar-EG"/>
        </w:rPr>
        <w:t>. https://www.ncvc.gov.sa</w:t>
      </w:r>
    </w:p>
    <w:p w14:paraId="1E2ADE4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لإدارة النفايات. (2020). عن المركز</w:t>
      </w:r>
      <w:r w:rsidRPr="005D59A7">
        <w:rPr>
          <w:rFonts w:ascii="T" w:eastAsia="Calibri" w:hAnsi="T" w:cs="Simplified Arabic"/>
          <w:sz w:val="24"/>
          <w:szCs w:val="24"/>
          <w:lang w:bidi="ar-EG"/>
        </w:rPr>
        <w:t>. https://www.mwan.gov.sa</w:t>
      </w:r>
    </w:p>
    <w:p w14:paraId="6D9D874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للأرصاد. (2020). عن المركز</w:t>
      </w:r>
      <w:r w:rsidRPr="005D59A7">
        <w:rPr>
          <w:rFonts w:ascii="T" w:eastAsia="Calibri" w:hAnsi="T" w:cs="Simplified Arabic"/>
          <w:sz w:val="24"/>
          <w:szCs w:val="24"/>
          <w:lang w:bidi="ar-EG"/>
        </w:rPr>
        <w:t>. https://www.ncm.gov.sa</w:t>
      </w:r>
    </w:p>
    <w:p w14:paraId="4F5ABD6D"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رؤية السعودية 2030. (2025). مبادرات الاستدامة البيئية</w:t>
      </w:r>
      <w:r w:rsidRPr="005D59A7">
        <w:rPr>
          <w:rFonts w:ascii="T" w:eastAsia="Calibri" w:hAnsi="T" w:cs="Simplified Arabic"/>
          <w:sz w:val="24"/>
          <w:szCs w:val="24"/>
          <w:lang w:bidi="ar-EG"/>
        </w:rPr>
        <w:t xml:space="preserve">. </w:t>
      </w:r>
      <w:hyperlink r:id="rId10" w:history="1">
        <w:r w:rsidRPr="005D59A7">
          <w:rPr>
            <w:rFonts w:ascii="T" w:eastAsia="Calibri" w:hAnsi="T" w:cs="Simplified Arabic"/>
            <w:sz w:val="24"/>
            <w:szCs w:val="24"/>
            <w:u w:val="single"/>
            <w:lang w:bidi="ar-EG"/>
          </w:rPr>
          <w:t>https://www.vision2030.gov.sa</w:t>
        </w:r>
      </w:hyperlink>
    </w:p>
    <w:p w14:paraId="6721DF5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بتول، محمد نوري، علي، &amp; خلف سلمان. (2011). حوكمة الشركات ودورها في تخفيض مشاكل نظرية الوكالة. مجلة الاقتصاد و التنمية البشرية, 2(2), 25-51.</w:t>
      </w:r>
    </w:p>
    <w:p w14:paraId="1981867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خيري، محمد علي، &amp; يسري. (2022). أثر التحصين الإداري على السلوك غير المتماثل للتكلفة في إطار نظرية الوكالة: دراسة تطبيقية. المجلة المصرية للدراسات التجارية, 46(4), 336-396.</w:t>
      </w:r>
    </w:p>
    <w:p w14:paraId="19103AC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سالم، نبيل جعفر، زبين، حيدر عبد، &amp; عبدالله، نضال هاشم. (2021). استعمال آليات حوكمة الشركات للحد من ادارة الارباح في ظل نظرية الوكالة. </w:t>
      </w:r>
      <w:r w:rsidRPr="005D59A7">
        <w:rPr>
          <w:rFonts w:ascii="T" w:eastAsia="Calibri" w:hAnsi="T" w:cs="Simplified Arabic"/>
          <w:sz w:val="24"/>
          <w:szCs w:val="24"/>
          <w:lang w:bidi="ar-EG"/>
        </w:rPr>
        <w:t xml:space="preserve">Journal of </w:t>
      </w:r>
      <w:proofErr w:type="spellStart"/>
      <w:r w:rsidRPr="005D59A7">
        <w:rPr>
          <w:rFonts w:ascii="T" w:eastAsia="Calibri" w:hAnsi="T" w:cs="Simplified Arabic"/>
          <w:sz w:val="24"/>
          <w:szCs w:val="24"/>
          <w:lang w:bidi="ar-EG"/>
        </w:rPr>
        <w:t>Madenat</w:t>
      </w:r>
      <w:proofErr w:type="spellEnd"/>
      <w:r w:rsidRPr="005D59A7">
        <w:rPr>
          <w:rFonts w:ascii="T" w:eastAsia="Calibri" w:hAnsi="T" w:cs="Simplified Arabic"/>
          <w:sz w:val="24"/>
          <w:szCs w:val="24"/>
          <w:lang w:bidi="ar-EG"/>
        </w:rPr>
        <w:t xml:space="preserve"> </w:t>
      </w:r>
      <w:proofErr w:type="spellStart"/>
      <w:r w:rsidRPr="005D59A7">
        <w:rPr>
          <w:rFonts w:ascii="T" w:eastAsia="Calibri" w:hAnsi="T" w:cs="Simplified Arabic"/>
          <w:sz w:val="24"/>
          <w:szCs w:val="24"/>
          <w:lang w:bidi="ar-EG"/>
        </w:rPr>
        <w:t>Alelem</w:t>
      </w:r>
      <w:proofErr w:type="spellEnd"/>
      <w:r w:rsidRPr="005D59A7">
        <w:rPr>
          <w:rFonts w:ascii="T" w:eastAsia="Calibri" w:hAnsi="T" w:cs="Simplified Arabic"/>
          <w:sz w:val="24"/>
          <w:szCs w:val="24"/>
          <w:lang w:bidi="ar-EG"/>
        </w:rPr>
        <w:t xml:space="preserve"> University College, 13(1), 202-218</w:t>
      </w:r>
      <w:r w:rsidRPr="005D59A7">
        <w:rPr>
          <w:rFonts w:ascii="T" w:eastAsia="Calibri" w:hAnsi="T" w:cs="Simplified Arabic"/>
          <w:sz w:val="24"/>
          <w:szCs w:val="24"/>
          <w:rtl/>
          <w:lang w:bidi="ar-EG"/>
        </w:rPr>
        <w:t>.</w:t>
      </w:r>
    </w:p>
    <w:p w14:paraId="1EAAC872"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 xml:space="preserve">عبدالرزاق محمد عثمان، أسامه عبدالمنعم علي، &amp; احمد يوسف دودين. (2015). نظام الحاكمية المؤسسية الحل السليم للأطراف المتعارضة في ظل نظريه الوكالة. </w:t>
      </w:r>
      <w:r w:rsidRPr="005D59A7">
        <w:rPr>
          <w:rFonts w:ascii="T" w:eastAsia="Calibri" w:hAnsi="T" w:cs="Simplified Arabic"/>
          <w:sz w:val="24"/>
          <w:szCs w:val="24"/>
          <w:lang w:bidi="ar-EG"/>
        </w:rPr>
        <w:t>Queen Arwa University Journal, 14(14), 209-234</w:t>
      </w:r>
      <w:r w:rsidRPr="005D59A7">
        <w:rPr>
          <w:rFonts w:ascii="T" w:eastAsia="Calibri" w:hAnsi="T" w:cs="Simplified Arabic"/>
          <w:sz w:val="24"/>
          <w:szCs w:val="24"/>
          <w:rtl/>
          <w:lang w:bidi="ar-EG"/>
        </w:rPr>
        <w:t>.</w:t>
      </w:r>
    </w:p>
    <w:p w14:paraId="18D878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عبدو، مجدي عبد اللطيف. (2024). نظريــة الوكالة الرابعة (تضارب المصالح بين العاملين بالشركة كأصحاب مصالح والشركة). مجلة الاصالة, 1(10).</w:t>
      </w:r>
    </w:p>
    <w:p w14:paraId="4383A0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عفيفى، أشرف السعيد أحمد السيد، عبدالرحمن، &amp; وليد محمد محمد السيد. (2023). العلاقة بين آليات التحصين الإداري وكفاءة الاستثمار في إطار نظرية الوكالة: دراسة اختبارية على الشركات المساهمة المصرية. مجلة البحوث الإدارية, 41(3).</w:t>
      </w:r>
    </w:p>
    <w:p w14:paraId="2BA13965"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احمد كحيط, علي علوان, البتول عبد المهدي, &amp; سما موسى. (2025). الشراكات بين القطاعين العام والخاص من أجل التنمية المستدامة: دراسة ميدانية في جامعة المستقبل. </w:t>
      </w:r>
      <w:proofErr w:type="spellStart"/>
      <w:r w:rsidRPr="005D59A7">
        <w:rPr>
          <w:rFonts w:ascii="T" w:eastAsia="Calibri" w:hAnsi="T" w:cs="Simplified Arabic"/>
          <w:sz w:val="24"/>
          <w:szCs w:val="24"/>
          <w:lang w:bidi="ar-EG"/>
        </w:rPr>
        <w:t>Enterprenuership</w:t>
      </w:r>
      <w:proofErr w:type="spellEnd"/>
      <w:r w:rsidRPr="005D59A7">
        <w:rPr>
          <w:rFonts w:ascii="T" w:eastAsia="Calibri" w:hAnsi="T" w:cs="Simplified Arabic"/>
          <w:sz w:val="24"/>
          <w:szCs w:val="24"/>
          <w:lang w:bidi="ar-EG"/>
        </w:rPr>
        <w:t xml:space="preserve"> Journal </w:t>
      </w:r>
      <w:proofErr w:type="gramStart"/>
      <w:r w:rsidRPr="005D59A7">
        <w:rPr>
          <w:rFonts w:ascii="T" w:eastAsia="Calibri" w:hAnsi="T" w:cs="Simplified Arabic"/>
          <w:sz w:val="24"/>
          <w:szCs w:val="24"/>
          <w:lang w:bidi="ar-EG"/>
        </w:rPr>
        <w:t>For</w:t>
      </w:r>
      <w:proofErr w:type="gramEnd"/>
      <w:r w:rsidRPr="005D59A7">
        <w:rPr>
          <w:rFonts w:ascii="T" w:eastAsia="Calibri" w:hAnsi="T" w:cs="Simplified Arabic"/>
          <w:sz w:val="24"/>
          <w:szCs w:val="24"/>
          <w:lang w:bidi="ar-EG"/>
        </w:rPr>
        <w:t xml:space="preserve"> Finance and </w:t>
      </w:r>
      <w:proofErr w:type="spellStart"/>
      <w:r w:rsidRPr="005D59A7">
        <w:rPr>
          <w:rFonts w:ascii="T" w:eastAsia="Calibri" w:hAnsi="T" w:cs="Simplified Arabic"/>
          <w:sz w:val="24"/>
          <w:szCs w:val="24"/>
          <w:lang w:bidi="ar-EG"/>
        </w:rPr>
        <w:t>Bussiness</w:t>
      </w:r>
      <w:proofErr w:type="spellEnd"/>
      <w:r w:rsidRPr="005D59A7">
        <w:rPr>
          <w:rFonts w:ascii="T" w:eastAsia="Calibri" w:hAnsi="T" w:cs="Simplified Arabic"/>
          <w:sz w:val="24"/>
          <w:szCs w:val="24"/>
          <w:lang w:bidi="ar-EG"/>
        </w:rPr>
        <w:t>, 140-147</w:t>
      </w:r>
      <w:r w:rsidRPr="005D59A7">
        <w:rPr>
          <w:rFonts w:ascii="T" w:eastAsia="Calibri" w:hAnsi="T" w:cs="Simplified Arabic"/>
          <w:sz w:val="24"/>
          <w:szCs w:val="24"/>
          <w:rtl/>
          <w:lang w:bidi="ar-EG"/>
        </w:rPr>
        <w:t>.‏</w:t>
      </w:r>
    </w:p>
    <w:p w14:paraId="6323A3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جراح, &amp; محمد شريف علي محمد. (2025). تسوية منازعات عقود الشراكة بين القطاعين العام والخاص من خلال التحكيم في القانون الأردني. مجلة البحوث القانونية والإقتصادية (المنصورة), 15(94.), 1-42.</w:t>
      </w:r>
    </w:p>
    <w:p w14:paraId="6944F84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عصام عبد الرحمن الجعافره. (2023). التحصيل الضريبي في البلديات وواقع الشراكات بين القطاعين العام والخاص. مجلة العلوم الإنسانية والطبيعية, 4(12), 465-479.</w:t>
      </w:r>
    </w:p>
    <w:p w14:paraId="15F4FF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بوعنان, &amp; ليندة. (2025). الشراكة بين القطاعين العام والخاص كآلية لدفع عملية الاستثمار. مجلة الاستاذ الباحث للدراسات القانونية والسياسية, 10(2), 547-572.</w:t>
      </w:r>
    </w:p>
    <w:p w14:paraId="72EB5D5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القطان, إسراء عبد العزيز خليل, أمين, محمد سعيد حسين, سليم, &amp; محمد محمود. (2026). المبادئ الحاكمة لفكرة التوازن المالي في عقود الشراكة بين القطاعين العام والخاص (دراسة تطبيقية مقارنة في مصر والكويت). المجلة القانونية, 27(3), 1115-1140.</w:t>
      </w:r>
    </w:p>
    <w:p w14:paraId="4A68A4BA"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شاهين, &amp; وحيد. (2025). جدوى الشراكة بين القطاعين العام والخاص في تعزيز استدامة مشروعات الهيدروجين الأخضر بالمواني البحرية: دراسة حالة مقترحة للمنطقة الاقتصادية لقناة السويس. افاق الطاقة, 3(7), 113-148.</w:t>
      </w:r>
    </w:p>
    <w:p w14:paraId="2B84506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منار, &amp; جمال الدين حافظ. (2024). دور الحوكمة البيئية لنشر الوعى وتعزيز ثقافة الاستدامة البيئية في القطاعات الصناعية. آفاق آسيوية, 9(15), 65-78.</w:t>
      </w:r>
    </w:p>
    <w:p w14:paraId="0E0D81A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قراس, مرزاقة, &amp; دمدوم. (2024). الحوكمة البيئية في السياسات الدولية (</w:t>
      </w:r>
      <w:r w:rsidRPr="005D59A7">
        <w:rPr>
          <w:rFonts w:ascii="T" w:eastAsia="Calibri" w:hAnsi="T" w:cs="Simplified Arabic"/>
          <w:sz w:val="24"/>
          <w:szCs w:val="24"/>
          <w:lang w:bidi="ar-EG"/>
        </w:rPr>
        <w:t>Doctoral dissertation</w:t>
      </w:r>
      <w:r w:rsidRPr="005D59A7">
        <w:rPr>
          <w:rFonts w:ascii="T" w:eastAsia="Calibri" w:hAnsi="T" w:cs="Simplified Arabic"/>
          <w:sz w:val="24"/>
          <w:szCs w:val="24"/>
          <w:rtl/>
          <w:lang w:bidi="ar-EG"/>
        </w:rPr>
        <w:t>, جامعة قسنطينة 3 صالح بوبنيدر، كلية العلوم السياسية).</w:t>
      </w:r>
    </w:p>
    <w:p w14:paraId="373364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صالح, ه. ع. ا. إ., &amp; هدى عبد الغفار إبراهيم. (2024). دور الحوكمة البيئية فى التصدي للتغير المناخي. المجلة المصرية لبحوث الأعلام, 2024(89), 1393-1425.</w:t>
      </w:r>
    </w:p>
    <w:p w14:paraId="49B44EC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مرزاق, &amp; فايزة. (2023). مفهوم الحوكمة البيئية ومبادئها. مجلة البيئة والتنمية المستدامة وصحة الإنسان, 1(2), 255-266.</w:t>
      </w:r>
    </w:p>
    <w:p w14:paraId="253E672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بن نواعي, هواري, لواتي, خاتمة, منقوري, &amp; منال ابتسام. (2025). الحوكمة البيئية في الجزائر–تحديات وآفاق. المشكاة في الاقتصاد التنمية و القانون, 8(1), 63-78.</w:t>
      </w:r>
    </w:p>
    <w:p w14:paraId="66092F7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القروى, ش. إ. ع., &amp; شذى إسماعيل عبده. (2024). دور الحوكمة البيئية فى تعزيز تبنى إستراتيجية التحول للإبتكار الأخضر وخلق قيمة للمنشآت المصرية (دراسة تطبيقية). المجلة العلمية للبحوث التجارية (جامعة المنوفية), 55(4), 743-784.</w:t>
      </w:r>
    </w:p>
    <w:p w14:paraId="096EEDAE"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علاء الدين, يوسفي, هني, &amp; عامر. (2024). الحوكمة البيئية ودورها في تعزيز التنمية الزراعية المستدامة. مجلة الدراسات القانونية والاقتصادية, 6(2), 649-668.</w:t>
      </w:r>
    </w:p>
    <w:p w14:paraId="7FA0F2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اعبيد, زينب, الهيري, &amp; عبد الرزاق. (2025). إعادة ابتكار نماذج تقييم الأداء في المؤسسات العامة: استراتيجيات مبتكرة لتعزيز الفاعلية المؤسسية من خلال الحوكمة والإدارة الحديثة. المجلة العربية للإدارة, 81-96.</w:t>
      </w:r>
    </w:p>
    <w:p w14:paraId="5C94F3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صلاح عزمى, &amp; سعد. (2025). أثر تطبيق مبادئ الحوكمة فى تحسين الأداء الوظيفى للعاملين بالمنظمات: الدور الوسيط لأنماط القيادة. المجلة العلمية للدراسات التجارية والبيئية, 16(3), 2178-2214.</w:t>
      </w:r>
    </w:p>
    <w:p w14:paraId="59496C09" w14:textId="5A7188C1"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حسان حسين محضر, أحمد سيد بدوي, إيمان, فؤاد سليمان, &amp; أمل. (2024). أثر تطبيق الحوكمة على كفاءة الأداء المؤسسي في مستشفيات القطاع الحكومي بمكة المكرمة. المجلة العلمية للدراسات التجارية والبيئية, 15(4), 3925-3955.</w:t>
      </w:r>
    </w:p>
    <w:p w14:paraId="50982DA7" w14:textId="41CF08E3" w:rsidR="00C476D6" w:rsidRDefault="00C476D6" w:rsidP="00C476D6">
      <w:pPr>
        <w:bidi/>
        <w:jc w:val="both"/>
        <w:rPr>
          <w:rFonts w:ascii="T" w:eastAsia="Calibri" w:hAnsi="T" w:cs="Simplified Arabic"/>
          <w:sz w:val="24"/>
          <w:szCs w:val="24"/>
          <w:lang w:bidi="ar-EG"/>
        </w:rPr>
      </w:pPr>
      <w:r w:rsidRPr="005D59A7">
        <w:rPr>
          <w:rFonts w:ascii="T" w:eastAsia="Calibri" w:hAnsi="T" w:cs="Simplified Arabic"/>
          <w:sz w:val="24"/>
          <w:szCs w:val="24"/>
          <w:rtl/>
          <w:lang w:bidi="ar-EG"/>
        </w:rPr>
        <w:t>امتنان حسن النعمي. (2022). دور ريادة الأعمال في تحقيق أهداف التنمية المستدامة في ضوء رؤية المملكة 2030: دراسة تطبيقية على أمانة منطقة عسير. مجلة العلوم الإقتصادية و الإدارية و القانونية, 6(25), 71-93.</w:t>
      </w:r>
    </w:p>
    <w:p w14:paraId="5F94A259" w14:textId="77777777" w:rsidR="002D33E8" w:rsidRDefault="002D33E8" w:rsidP="002D33E8">
      <w:pPr>
        <w:bidi/>
        <w:jc w:val="both"/>
        <w:rPr>
          <w:rFonts w:ascii="T" w:eastAsia="Calibri" w:hAnsi="T" w:cs="Simplified Arabic"/>
          <w:sz w:val="24"/>
          <w:szCs w:val="24"/>
          <w:lang w:bidi="ar-EG"/>
        </w:rPr>
      </w:pPr>
    </w:p>
    <w:p w14:paraId="1CAABC35" w14:textId="77777777" w:rsidR="002D33E8" w:rsidRDefault="002D33E8" w:rsidP="002D33E8">
      <w:pPr>
        <w:bidi/>
        <w:jc w:val="both"/>
        <w:rPr>
          <w:rFonts w:ascii="T" w:eastAsia="Calibri" w:hAnsi="T" w:cs="Simplified Arabic"/>
          <w:sz w:val="24"/>
          <w:szCs w:val="24"/>
          <w:lang w:bidi="ar-EG"/>
        </w:rPr>
      </w:pPr>
    </w:p>
    <w:p w14:paraId="5607DA06" w14:textId="77777777" w:rsidR="002D33E8" w:rsidRDefault="002D33E8" w:rsidP="002D33E8">
      <w:pPr>
        <w:bidi/>
        <w:jc w:val="both"/>
        <w:rPr>
          <w:rFonts w:ascii="T" w:eastAsia="Calibri" w:hAnsi="T" w:cs="Simplified Arabic"/>
          <w:sz w:val="24"/>
          <w:szCs w:val="24"/>
          <w:lang w:bidi="ar-EG"/>
        </w:rPr>
      </w:pPr>
    </w:p>
    <w:p w14:paraId="7BBBEC8A" w14:textId="77777777" w:rsidR="002D33E8" w:rsidRDefault="002D33E8" w:rsidP="002D33E8">
      <w:pPr>
        <w:bidi/>
        <w:jc w:val="both"/>
        <w:rPr>
          <w:rFonts w:ascii="T" w:eastAsia="Calibri" w:hAnsi="T" w:cs="Simplified Arabic"/>
          <w:sz w:val="24"/>
          <w:szCs w:val="24"/>
          <w:lang w:bidi="ar-EG"/>
        </w:rPr>
      </w:pPr>
    </w:p>
    <w:p w14:paraId="6DE9974D" w14:textId="77777777" w:rsidR="002D33E8" w:rsidRDefault="002D33E8" w:rsidP="002D33E8">
      <w:pPr>
        <w:bidi/>
        <w:jc w:val="both"/>
        <w:rPr>
          <w:rFonts w:ascii="T" w:eastAsia="Calibri" w:hAnsi="T" w:cs="Simplified Arabic"/>
          <w:sz w:val="24"/>
          <w:szCs w:val="24"/>
          <w:lang w:bidi="ar-EG"/>
        </w:rPr>
      </w:pPr>
    </w:p>
    <w:p w14:paraId="7D686E9D" w14:textId="77777777" w:rsidR="002D33E8" w:rsidRDefault="002D33E8" w:rsidP="002D33E8">
      <w:pPr>
        <w:bidi/>
        <w:jc w:val="both"/>
        <w:rPr>
          <w:rFonts w:ascii="T" w:eastAsia="Calibri" w:hAnsi="T" w:cs="Simplified Arabic"/>
          <w:sz w:val="24"/>
          <w:szCs w:val="24"/>
          <w:lang w:bidi="ar-EG"/>
        </w:rPr>
      </w:pPr>
    </w:p>
    <w:p w14:paraId="6A88E20D" w14:textId="77777777" w:rsidR="00097C13" w:rsidRDefault="00097C13" w:rsidP="00097C13">
      <w:pPr>
        <w:bidi/>
        <w:jc w:val="both"/>
        <w:rPr>
          <w:rFonts w:ascii="T" w:eastAsia="Calibri" w:hAnsi="T" w:cs="Simplified Arabic"/>
          <w:sz w:val="24"/>
          <w:szCs w:val="24"/>
          <w:lang w:bidi="ar-EG"/>
        </w:rPr>
      </w:pPr>
    </w:p>
    <w:p w14:paraId="7F9F565B" w14:textId="77777777" w:rsidR="001C485C" w:rsidRDefault="001C485C" w:rsidP="001C485C">
      <w:pPr>
        <w:bidi/>
        <w:jc w:val="both"/>
        <w:rPr>
          <w:rFonts w:ascii="T" w:eastAsia="Calibri" w:hAnsi="T" w:cs="Simplified Arabic"/>
          <w:sz w:val="24"/>
          <w:szCs w:val="24"/>
          <w:lang w:bidi="ar-EG"/>
        </w:rPr>
      </w:pPr>
    </w:p>
    <w:p w14:paraId="242F88E9" w14:textId="77777777" w:rsidR="001C485C" w:rsidRDefault="001C485C" w:rsidP="001C485C">
      <w:pPr>
        <w:bidi/>
        <w:jc w:val="both"/>
        <w:rPr>
          <w:rFonts w:ascii="T" w:eastAsia="Calibri" w:hAnsi="T" w:cs="Simplified Arabic"/>
          <w:sz w:val="24"/>
          <w:szCs w:val="24"/>
          <w:lang w:bidi="ar-EG"/>
        </w:rPr>
      </w:pPr>
    </w:p>
    <w:p w14:paraId="0ACA088B" w14:textId="77777777" w:rsidR="001C485C" w:rsidRDefault="001C485C" w:rsidP="001C485C">
      <w:pPr>
        <w:bidi/>
        <w:jc w:val="both"/>
        <w:rPr>
          <w:rFonts w:ascii="T" w:eastAsia="Calibri" w:hAnsi="T" w:cs="Simplified Arabic"/>
          <w:sz w:val="24"/>
          <w:szCs w:val="24"/>
          <w:lang w:bidi="ar-EG"/>
        </w:rPr>
      </w:pPr>
    </w:p>
    <w:p w14:paraId="07ECE0E7" w14:textId="77777777" w:rsidR="001C485C" w:rsidRPr="005D59A7" w:rsidRDefault="001C485C" w:rsidP="001C485C">
      <w:pPr>
        <w:bidi/>
        <w:jc w:val="both"/>
        <w:rPr>
          <w:rFonts w:ascii="T" w:eastAsia="Calibri" w:hAnsi="T" w:cs="Simplified Arabic"/>
          <w:sz w:val="24"/>
          <w:szCs w:val="24"/>
          <w:rtl/>
          <w:lang w:bidi="ar-EG"/>
        </w:rPr>
      </w:pPr>
    </w:p>
    <w:p w14:paraId="70C27E04"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t>ثانيا المراجع الأجنبية</w:t>
      </w:r>
    </w:p>
    <w:p w14:paraId="70695D1B" w14:textId="77777777" w:rsidR="00A63F47" w:rsidRPr="005D59A7" w:rsidRDefault="00A63F47" w:rsidP="00A63F47">
      <w:pPr>
        <w:rPr>
          <w:rFonts w:ascii="T" w:eastAsia="Calibri" w:hAnsi="T" w:cs="Arial"/>
          <w:lang w:bidi="ar-EG"/>
        </w:rPr>
      </w:pPr>
      <w:hyperlink r:id="rId11" w:history="1">
        <w:r w:rsidRPr="005D59A7">
          <w:rPr>
            <w:rFonts w:ascii="T" w:eastAsia="Calibri" w:hAnsi="T" w:cs="Arial"/>
            <w:u w:val="single"/>
            <w:lang w:bidi="ar-EG"/>
          </w:rPr>
          <w:t>https://documents1.worldbank.org/curated/en/381221644297502516/pdf/Overview.pdf</w:t>
        </w:r>
      </w:hyperlink>
    </w:p>
    <w:p w14:paraId="1525C62E"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Tahat</w:t>
      </w:r>
      <w:proofErr w:type="spellEnd"/>
      <w:r w:rsidRPr="005D59A7">
        <w:rPr>
          <w:rFonts w:ascii="T" w:eastAsia="Calibri" w:hAnsi="T" w:cs="Arial"/>
          <w:lang w:bidi="ar-EG"/>
        </w:rPr>
        <w:t>, K. (2014). Knowledge management: public private participation (</w:t>
      </w:r>
      <w:proofErr w:type="spellStart"/>
      <w:r w:rsidRPr="005D59A7">
        <w:rPr>
          <w:rFonts w:ascii="T" w:eastAsia="Calibri" w:hAnsi="T" w:cs="Arial"/>
          <w:lang w:bidi="ar-EG"/>
        </w:rPr>
        <w:t>Ppps</w:t>
      </w:r>
      <w:proofErr w:type="spellEnd"/>
      <w:r w:rsidRPr="005D59A7">
        <w:rPr>
          <w:rFonts w:ascii="T" w:eastAsia="Calibri" w:hAnsi="T" w:cs="Arial"/>
          <w:lang w:bidi="ar-EG"/>
        </w:rPr>
        <w:t xml:space="preserve">) in the Kingdom of Saudi </w:t>
      </w:r>
      <w:proofErr w:type="spellStart"/>
      <w:proofErr w:type="gramStart"/>
      <w:r w:rsidRPr="005D59A7">
        <w:rPr>
          <w:rFonts w:ascii="T" w:eastAsia="Calibri" w:hAnsi="T" w:cs="Arial"/>
          <w:lang w:bidi="ar-EG"/>
        </w:rPr>
        <w:t>Arabia:“</w:t>
      </w:r>
      <w:proofErr w:type="gramEnd"/>
      <w:r w:rsidRPr="005D59A7">
        <w:rPr>
          <w:rFonts w:ascii="T" w:eastAsia="Calibri" w:hAnsi="T" w:cs="Arial"/>
          <w:lang w:bidi="ar-EG"/>
        </w:rPr>
        <w:t>a</w:t>
      </w:r>
      <w:proofErr w:type="spellEnd"/>
      <w:r w:rsidRPr="005D59A7">
        <w:rPr>
          <w:rFonts w:ascii="T" w:eastAsia="Calibri" w:hAnsi="T" w:cs="Arial"/>
          <w:lang w:bidi="ar-EG"/>
        </w:rPr>
        <w:t xml:space="preserve"> case study in water sector”. Procedia-Social and Behavioral Sciences, 147, 527-534.</w:t>
      </w:r>
      <w:r w:rsidRPr="005D59A7">
        <w:rPr>
          <w:rFonts w:ascii="T" w:eastAsia="Calibri" w:hAnsi="T" w:cs="Arial"/>
          <w:rtl/>
          <w:lang w:bidi="ar-EG"/>
        </w:rPr>
        <w:t>‏</w:t>
      </w:r>
    </w:p>
    <w:p w14:paraId="65307F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Alomari, M. A. N. (2018). Applying Good Governance Practices in the Middle East in the Case of Environmental Protection: A Saudi Arabian Case Study (Doctoral dissertation, University of Leeds).</w:t>
      </w:r>
      <w:r w:rsidRPr="005D59A7">
        <w:rPr>
          <w:rFonts w:ascii="T" w:eastAsia="Calibri" w:hAnsi="T" w:cs="Arial"/>
          <w:rtl/>
          <w:lang w:bidi="ar-EG"/>
        </w:rPr>
        <w:t>‏</w:t>
      </w:r>
    </w:p>
    <w:p w14:paraId="1095FCC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T., Mostafa, S., Mohamed, S., &amp; Nguyen, T. S. (2021). Emerging themes of public-private partnership application in developing smart city projects: a conceptual framework. Built Environment Project and Asset Management, 11(1), 138-156.</w:t>
      </w:r>
      <w:r w:rsidRPr="005D59A7">
        <w:rPr>
          <w:rFonts w:ascii="T" w:eastAsia="Calibri" w:hAnsi="T" w:cs="Arial"/>
          <w:rtl/>
          <w:lang w:bidi="ar-EG"/>
        </w:rPr>
        <w:t>‏</w:t>
      </w:r>
    </w:p>
    <w:p w14:paraId="650E1E6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Dawoud, M. A., Ewea, H. A., &amp; </w:t>
      </w:r>
      <w:proofErr w:type="spellStart"/>
      <w:r w:rsidRPr="005D59A7">
        <w:rPr>
          <w:rFonts w:ascii="T" w:eastAsia="Calibri" w:hAnsi="T" w:cs="Arial"/>
          <w:lang w:bidi="ar-EG"/>
        </w:rPr>
        <w:t>Alaswad</w:t>
      </w:r>
      <w:proofErr w:type="spellEnd"/>
      <w:r w:rsidRPr="005D59A7">
        <w:rPr>
          <w:rFonts w:ascii="T" w:eastAsia="Calibri" w:hAnsi="T" w:cs="Arial"/>
          <w:lang w:bidi="ar-EG"/>
        </w:rPr>
        <w:t>, S. O. (2022). The future of wastewater treatment and reuse in Kingdom of Saudi Arabia. Desalination and Water Treatment, 263, 127-138.</w:t>
      </w:r>
      <w:r w:rsidRPr="005D59A7">
        <w:rPr>
          <w:rFonts w:ascii="T" w:eastAsia="Calibri" w:hAnsi="T" w:cs="Arial"/>
          <w:rtl/>
          <w:lang w:bidi="ar-EG"/>
        </w:rPr>
        <w:t>‏</w:t>
      </w:r>
    </w:p>
    <w:p w14:paraId="69B1284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Alkhurayji, K., Alzahrani, H. A., Alotaibi, A. S., Alharbi, A. G., </w:t>
      </w:r>
      <w:proofErr w:type="spellStart"/>
      <w:r w:rsidRPr="005D59A7">
        <w:rPr>
          <w:rFonts w:ascii="T" w:eastAsia="Calibri" w:hAnsi="T" w:cs="Arial"/>
          <w:lang w:bidi="ar-EG"/>
        </w:rPr>
        <w:t>Zandan</w:t>
      </w:r>
      <w:proofErr w:type="spellEnd"/>
      <w:r w:rsidRPr="005D59A7">
        <w:rPr>
          <w:rFonts w:ascii="T" w:eastAsia="Calibri" w:hAnsi="T" w:cs="Arial"/>
          <w:lang w:bidi="ar-EG"/>
        </w:rPr>
        <w:t xml:space="preserve">, A. A., </w:t>
      </w:r>
      <w:proofErr w:type="spellStart"/>
      <w:r w:rsidRPr="005D59A7">
        <w:rPr>
          <w:rFonts w:ascii="T" w:eastAsia="Calibri" w:hAnsi="T" w:cs="Arial"/>
          <w:lang w:bidi="ar-EG"/>
        </w:rPr>
        <w:t>Alsheikhi</w:t>
      </w:r>
      <w:proofErr w:type="spellEnd"/>
      <w:r w:rsidRPr="005D59A7">
        <w:rPr>
          <w:rFonts w:ascii="T" w:eastAsia="Calibri" w:hAnsi="T" w:cs="Arial"/>
          <w:lang w:bidi="ar-EG"/>
        </w:rPr>
        <w:t xml:space="preserve">, H., ... &amp; </w:t>
      </w:r>
      <w:proofErr w:type="spellStart"/>
      <w:r w:rsidRPr="005D59A7">
        <w:rPr>
          <w:rFonts w:ascii="T" w:eastAsia="Calibri" w:hAnsi="T" w:cs="Arial"/>
          <w:lang w:bidi="ar-EG"/>
        </w:rPr>
        <w:t>Alsheikhi</w:t>
      </w:r>
      <w:proofErr w:type="spellEnd"/>
      <w:r w:rsidRPr="005D59A7">
        <w:rPr>
          <w:rFonts w:ascii="T" w:eastAsia="Calibri" w:hAnsi="T" w:cs="Arial"/>
          <w:lang w:bidi="ar-EG"/>
        </w:rPr>
        <w:t>, H. (2024). Potential and risks behind the national transformation program in Saudi Arabia. Cureus, 16(7).</w:t>
      </w:r>
      <w:r w:rsidRPr="005D59A7">
        <w:rPr>
          <w:rFonts w:ascii="T" w:eastAsia="Calibri" w:hAnsi="T" w:cs="Arial"/>
          <w:rtl/>
          <w:lang w:bidi="ar-EG"/>
        </w:rPr>
        <w:t>‏</w:t>
      </w:r>
    </w:p>
    <w:p w14:paraId="4C6374A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Alshuwaikhat</w:t>
      </w:r>
      <w:proofErr w:type="spellEnd"/>
      <w:r w:rsidRPr="005D59A7">
        <w:rPr>
          <w:rFonts w:ascii="T" w:eastAsia="Calibri" w:hAnsi="T" w:cs="Arial"/>
          <w:lang w:bidi="ar-EG"/>
        </w:rPr>
        <w:t xml:space="preserve">, H. M., Adenle, Y. A., &amp; </w:t>
      </w:r>
      <w:proofErr w:type="spellStart"/>
      <w:r w:rsidRPr="005D59A7">
        <w:rPr>
          <w:rFonts w:ascii="T" w:eastAsia="Calibri" w:hAnsi="T" w:cs="Arial"/>
          <w:lang w:bidi="ar-EG"/>
        </w:rPr>
        <w:t>Alotaishan</w:t>
      </w:r>
      <w:proofErr w:type="spellEnd"/>
      <w:r w:rsidRPr="005D59A7">
        <w:rPr>
          <w:rFonts w:ascii="T" w:eastAsia="Calibri" w:hAnsi="T" w:cs="Arial"/>
          <w:lang w:bidi="ar-EG"/>
        </w:rPr>
        <w:t xml:space="preserve">, T. N. (2023). The development of a grey relational analysis-based composite index for environmental sustainability assessment: Towards a net-zero emissions strategy in Saudi Arabia. </w:t>
      </w:r>
      <w:proofErr w:type="spellStart"/>
      <w:r w:rsidRPr="005D59A7">
        <w:rPr>
          <w:rFonts w:ascii="T" w:eastAsia="Calibri" w:hAnsi="T" w:cs="Arial"/>
          <w:lang w:bidi="ar-EG"/>
        </w:rPr>
        <w:t>Heliyon</w:t>
      </w:r>
      <w:proofErr w:type="spellEnd"/>
      <w:r w:rsidRPr="005D59A7">
        <w:rPr>
          <w:rFonts w:ascii="T" w:eastAsia="Calibri" w:hAnsi="T" w:cs="Arial"/>
          <w:lang w:bidi="ar-EG"/>
        </w:rPr>
        <w:t>, 9(7).</w:t>
      </w:r>
    </w:p>
    <w:p w14:paraId="1E7FE9D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Odnoletkova</w:t>
      </w:r>
      <w:proofErr w:type="spellEnd"/>
      <w:r w:rsidRPr="005D59A7">
        <w:rPr>
          <w:rFonts w:ascii="T" w:eastAsia="Calibri" w:hAnsi="T" w:cs="Arial"/>
          <w:lang w:bidi="ar-EG"/>
        </w:rPr>
        <w:t xml:space="preserve">, N., &amp; </w:t>
      </w:r>
      <w:proofErr w:type="spellStart"/>
      <w:r w:rsidRPr="005D59A7">
        <w:rPr>
          <w:rFonts w:ascii="T" w:eastAsia="Calibri" w:hAnsi="T" w:cs="Arial"/>
          <w:lang w:bidi="ar-EG"/>
        </w:rPr>
        <w:t>Patzek</w:t>
      </w:r>
      <w:proofErr w:type="spellEnd"/>
      <w:r w:rsidRPr="005D59A7">
        <w:rPr>
          <w:rFonts w:ascii="T" w:eastAsia="Calibri" w:hAnsi="T" w:cs="Arial"/>
          <w:lang w:bidi="ar-EG"/>
        </w:rPr>
        <w:t xml:space="preserve">, T. W. (2023). Water resources in Saudi Arabia: trends in rainfall, water consumption, and analysis of agricultural water footprint. </w:t>
      </w:r>
      <w:proofErr w:type="spellStart"/>
      <w:r w:rsidRPr="005D59A7">
        <w:rPr>
          <w:rFonts w:ascii="T" w:eastAsia="Calibri" w:hAnsi="T" w:cs="Arial"/>
          <w:lang w:bidi="ar-EG"/>
        </w:rPr>
        <w:t>npj</w:t>
      </w:r>
      <w:proofErr w:type="spellEnd"/>
      <w:r w:rsidRPr="005D59A7">
        <w:rPr>
          <w:rFonts w:ascii="T" w:eastAsia="Calibri" w:hAnsi="T" w:cs="Arial"/>
          <w:lang w:bidi="ar-EG"/>
        </w:rPr>
        <w:t xml:space="preserve"> Sustainable Agriculture, 1(1), 7.</w:t>
      </w:r>
      <w:r w:rsidRPr="005D59A7">
        <w:rPr>
          <w:rFonts w:ascii="T" w:eastAsia="Calibri" w:hAnsi="T" w:cs="Arial"/>
          <w:rtl/>
          <w:lang w:bidi="ar-EG"/>
        </w:rPr>
        <w:t>‏</w:t>
      </w:r>
    </w:p>
    <w:p w14:paraId="2C3B950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Algamdy</w:t>
      </w:r>
      <w:proofErr w:type="spellEnd"/>
      <w:r w:rsidRPr="005D59A7">
        <w:rPr>
          <w:rFonts w:ascii="T" w:eastAsia="Calibri" w:hAnsi="T" w:cs="Arial"/>
          <w:lang w:bidi="ar-EG"/>
        </w:rPr>
        <w:t xml:space="preserve">, N. G. (2022). Regulation weakness and lack of public awareness </w:t>
      </w:r>
      <w:proofErr w:type="gramStart"/>
      <w:r w:rsidRPr="005D59A7">
        <w:rPr>
          <w:rFonts w:ascii="T" w:eastAsia="Calibri" w:hAnsi="T" w:cs="Arial"/>
          <w:lang w:bidi="ar-EG"/>
        </w:rPr>
        <w:t>has</w:t>
      </w:r>
      <w:proofErr w:type="gramEnd"/>
      <w:r w:rsidRPr="005D59A7">
        <w:rPr>
          <w:rFonts w:ascii="T" w:eastAsia="Calibri" w:hAnsi="T" w:cs="Arial"/>
          <w:lang w:bidi="ar-EG"/>
        </w:rPr>
        <w:t xml:space="preserve"> impeded the implementation of environmental policies in Saudi Arabia</w:t>
      </w:r>
      <w:bookmarkEnd w:id="24"/>
    </w:p>
    <w:p w14:paraId="04D1344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Eisenhardt, K. M. (1989). Agency theory: An assessment and review. Academy of Management Review, 14(1), 57-74.</w:t>
      </w:r>
    </w:p>
    <w:p w14:paraId="68CEDECE"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Jensen, M. C., &amp; Meckling, W. H. (1976). Theory of the firm: Managerial behavior, agency costs and ownership structure. Journal of Financial Economics, 3(4), 305-360.</w:t>
      </w:r>
    </w:p>
    <w:p w14:paraId="63467753"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Ross, S. A. (1973). The economic theory of agency: The principal's problem. The American Economic Review, 63(2), 134-139.</w:t>
      </w:r>
    </w:p>
    <w:p w14:paraId="215C9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(1975). Markets and hierarchies: Analysis and antitrust implications. Free Press.</w:t>
      </w:r>
    </w:p>
    <w:p w14:paraId="788BB1B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(1985). The economic institutions of capitalism. Free Press.</w:t>
      </w:r>
    </w:p>
    <w:p w14:paraId="222E4FB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65B3FD6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Quan, X., &amp; Solheim, M. C. (2023). Public-private partnerships in smart cities: A critical survey and research agenda. City, Culture and Society, 32, 100491.</w:t>
      </w:r>
      <w:r w:rsidRPr="005D59A7">
        <w:rPr>
          <w:rFonts w:ascii="T" w:eastAsia="Calibri" w:hAnsi="T" w:cs="Arial"/>
          <w:rtl/>
          <w:lang w:bidi="ar-EG"/>
        </w:rPr>
        <w:t>‏</w:t>
      </w:r>
    </w:p>
    <w:p w14:paraId="450D8341"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27133D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Abdul, S., </w:t>
      </w:r>
      <w:proofErr w:type="spellStart"/>
      <w:r w:rsidRPr="005D59A7">
        <w:rPr>
          <w:rFonts w:ascii="T" w:eastAsia="Calibri" w:hAnsi="T" w:cs="Arial"/>
          <w:lang w:bidi="ar-EG"/>
        </w:rPr>
        <w:t>Adeghe</w:t>
      </w:r>
      <w:proofErr w:type="spellEnd"/>
      <w:r w:rsidRPr="005D59A7">
        <w:rPr>
          <w:rFonts w:ascii="T" w:eastAsia="Calibri" w:hAnsi="T" w:cs="Arial"/>
          <w:lang w:bidi="ar-EG"/>
        </w:rPr>
        <w:t>, E. P., Adegoke, B. O., Adegoke, A. A., &amp; Udedeh, E. H. (2024). Public-private partnerships in health sector innovation: Lessons from around the world. Magna Scientia Advanced Biology and Pharmacy, 12(1), 045-059.</w:t>
      </w:r>
      <w:r w:rsidRPr="005D59A7">
        <w:rPr>
          <w:rFonts w:ascii="T" w:eastAsia="Calibri" w:hAnsi="T" w:cs="Arial"/>
          <w:rtl/>
          <w:lang w:bidi="ar-EG"/>
        </w:rPr>
        <w:t>‏</w:t>
      </w:r>
    </w:p>
    <w:p w14:paraId="3BDEE08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L. X., Clegg, S., &amp; Pollack, J. (2024). The effect of public–private partnerships on innovation in infrastructure delivery. Project Management Journal, 55(1), 31-49.</w:t>
      </w:r>
      <w:r w:rsidRPr="005D59A7">
        <w:rPr>
          <w:rFonts w:ascii="T" w:eastAsia="Calibri" w:hAnsi="T" w:cs="Arial"/>
          <w:rtl/>
          <w:lang w:bidi="ar-EG"/>
        </w:rPr>
        <w:t>‏</w:t>
      </w:r>
    </w:p>
    <w:p w14:paraId="70577214"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5C05277"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Ogunode</w:t>
      </w:r>
      <w:proofErr w:type="spellEnd"/>
      <w:r w:rsidRPr="005D59A7">
        <w:rPr>
          <w:rFonts w:ascii="T" w:eastAsia="Calibri" w:hAnsi="T" w:cs="Arial"/>
          <w:lang w:bidi="ar-EG"/>
        </w:rPr>
        <w:t xml:space="preserve">, N. J., </w:t>
      </w:r>
      <w:proofErr w:type="spellStart"/>
      <w:r w:rsidRPr="005D59A7">
        <w:rPr>
          <w:rFonts w:ascii="T" w:eastAsia="Calibri" w:hAnsi="T" w:cs="Arial"/>
          <w:lang w:bidi="ar-EG"/>
        </w:rPr>
        <w:t>Edinoh</w:t>
      </w:r>
      <w:proofErr w:type="spellEnd"/>
      <w:r w:rsidRPr="005D59A7">
        <w:rPr>
          <w:rFonts w:ascii="T" w:eastAsia="Calibri" w:hAnsi="T" w:cs="Arial"/>
          <w:lang w:bidi="ar-EG"/>
        </w:rPr>
        <w:t>, K., &amp; Okolie, R. C. (2023). Public private partnership model and implementation of tertiary education program in Nigeria. AMERICAN Journal of Science on Integration and Human Development, 1(06), 1-12.</w:t>
      </w:r>
      <w:r w:rsidRPr="005D59A7">
        <w:rPr>
          <w:rFonts w:ascii="T" w:eastAsia="Calibri" w:hAnsi="T" w:cs="Arial"/>
          <w:rtl/>
          <w:lang w:bidi="ar-EG"/>
        </w:rPr>
        <w:t>‏</w:t>
      </w:r>
    </w:p>
    <w:p w14:paraId="1E287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Agrawal, A., Brandhorst, S., Jain, M., Liao, C., Pradhan, N., &amp; Solomon, D. (2022). From environmental governance to governance for sustainability. One Earth, 5(6), 615-621.</w:t>
      </w:r>
      <w:r w:rsidRPr="005D59A7">
        <w:rPr>
          <w:rFonts w:ascii="T" w:eastAsia="Calibri" w:hAnsi="T" w:cs="Arial"/>
          <w:rtl/>
          <w:lang w:bidi="ar-EG"/>
        </w:rPr>
        <w:t>‏</w:t>
      </w:r>
    </w:p>
    <w:p w14:paraId="11DBF7AA"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Newig</w:t>
      </w:r>
      <w:proofErr w:type="spellEnd"/>
      <w:r w:rsidRPr="005D59A7">
        <w:rPr>
          <w:rFonts w:ascii="T" w:eastAsia="Calibri" w:hAnsi="T" w:cs="Arial"/>
          <w:lang w:bidi="ar-EG"/>
        </w:rPr>
        <w:t xml:space="preserve">, J., Jager, N. W., </w:t>
      </w:r>
      <w:proofErr w:type="spellStart"/>
      <w:r w:rsidRPr="005D59A7">
        <w:rPr>
          <w:rFonts w:ascii="T" w:eastAsia="Calibri" w:hAnsi="T" w:cs="Arial"/>
          <w:lang w:bidi="ar-EG"/>
        </w:rPr>
        <w:t>Challies</w:t>
      </w:r>
      <w:proofErr w:type="spellEnd"/>
      <w:r w:rsidRPr="005D59A7">
        <w:rPr>
          <w:rFonts w:ascii="T" w:eastAsia="Calibri" w:hAnsi="T" w:cs="Arial"/>
          <w:lang w:bidi="ar-EG"/>
        </w:rPr>
        <w:t xml:space="preserve">, E., &amp; </w:t>
      </w:r>
      <w:proofErr w:type="spellStart"/>
      <w:r w:rsidRPr="005D59A7">
        <w:rPr>
          <w:rFonts w:ascii="T" w:eastAsia="Calibri" w:hAnsi="T" w:cs="Arial"/>
          <w:lang w:bidi="ar-EG"/>
        </w:rPr>
        <w:t>Kochskämper</w:t>
      </w:r>
      <w:proofErr w:type="spellEnd"/>
      <w:r w:rsidRPr="005D59A7">
        <w:rPr>
          <w:rFonts w:ascii="T" w:eastAsia="Calibri" w:hAnsi="T" w:cs="Arial"/>
          <w:lang w:bidi="ar-EG"/>
        </w:rPr>
        <w:t>, E. (2023). Does stakeholder participation improve environmental governance? Evidence from a meta-analysis of 305 case studies. Global Environmental Change, 82, 102705.</w:t>
      </w:r>
      <w:r w:rsidRPr="005D59A7">
        <w:rPr>
          <w:rFonts w:ascii="T" w:eastAsia="Calibri" w:hAnsi="T" w:cs="Arial"/>
          <w:rtl/>
          <w:lang w:bidi="ar-EG"/>
        </w:rPr>
        <w:t>‏</w:t>
      </w:r>
    </w:p>
    <w:p w14:paraId="3EB8DCB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Sörlin</w:t>
      </w:r>
      <w:proofErr w:type="spellEnd"/>
      <w:r w:rsidRPr="005D59A7">
        <w:rPr>
          <w:rFonts w:ascii="T" w:eastAsia="Calibri" w:hAnsi="T" w:cs="Arial"/>
          <w:lang w:bidi="ar-EG"/>
        </w:rPr>
        <w:t xml:space="preserve">, S., Warde, P., Akerman, I., Höglund Hellgren, J., </w:t>
      </w:r>
      <w:proofErr w:type="spellStart"/>
      <w:r w:rsidRPr="005D59A7">
        <w:rPr>
          <w:rFonts w:ascii="T" w:eastAsia="Calibri" w:hAnsi="T" w:cs="Arial"/>
          <w:lang w:bidi="ar-EG"/>
        </w:rPr>
        <w:t>Höhler</w:t>
      </w:r>
      <w:proofErr w:type="spellEnd"/>
      <w:r w:rsidRPr="005D59A7">
        <w:rPr>
          <w:rFonts w:ascii="T" w:eastAsia="Calibri" w:hAnsi="T" w:cs="Arial"/>
          <w:lang w:bidi="ar-EG"/>
        </w:rPr>
        <w:t xml:space="preserve">, S., Isberg, E., ... &amp; Schrøder, T. H. (2025). The great dispersal: The fall and rise of global environmental governance. </w:t>
      </w:r>
      <w:proofErr w:type="spellStart"/>
      <w:r w:rsidRPr="005D59A7">
        <w:rPr>
          <w:rFonts w:ascii="T" w:eastAsia="Calibri" w:hAnsi="T" w:cs="Arial"/>
          <w:lang w:bidi="ar-EG"/>
        </w:rPr>
        <w:t>Ambio</w:t>
      </w:r>
      <w:proofErr w:type="spellEnd"/>
      <w:r w:rsidRPr="005D59A7">
        <w:rPr>
          <w:rFonts w:ascii="T" w:eastAsia="Calibri" w:hAnsi="T" w:cs="Arial"/>
          <w:lang w:bidi="ar-EG"/>
        </w:rPr>
        <w:t>, 54(8), 1267-1288.</w:t>
      </w:r>
      <w:r w:rsidRPr="005D59A7">
        <w:rPr>
          <w:rFonts w:ascii="T" w:eastAsia="Calibri" w:hAnsi="T" w:cs="Arial"/>
          <w:rtl/>
          <w:lang w:bidi="ar-EG"/>
        </w:rPr>
        <w:t>‏</w:t>
      </w:r>
    </w:p>
    <w:p w14:paraId="54F76B6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Bibri</w:t>
      </w:r>
      <w:proofErr w:type="spellEnd"/>
      <w:r w:rsidRPr="005D59A7">
        <w:rPr>
          <w:rFonts w:ascii="T" w:eastAsia="Calibri" w:hAnsi="T" w:cs="Arial"/>
          <w:lang w:bidi="ar-EG"/>
        </w:rPr>
        <w:t xml:space="preserve">, S. E., Huang, J., &amp; </w:t>
      </w:r>
      <w:proofErr w:type="spellStart"/>
      <w:r w:rsidRPr="005D59A7">
        <w:rPr>
          <w:rFonts w:ascii="T" w:eastAsia="Calibri" w:hAnsi="T" w:cs="Arial"/>
          <w:lang w:bidi="ar-EG"/>
        </w:rPr>
        <w:t>Krogstie</w:t>
      </w:r>
      <w:proofErr w:type="spellEnd"/>
      <w:r w:rsidRPr="005D59A7">
        <w:rPr>
          <w:rFonts w:ascii="T" w:eastAsia="Calibri" w:hAnsi="T" w:cs="Arial"/>
          <w:lang w:bidi="ar-EG"/>
        </w:rPr>
        <w:t>, J. (2024). Artificial intelligence of things for synergizing smarter eco-city brain, metabolism, and platform: Pioneering data-driven environmental governance. Sustainable Cities and Society, 108, 105516.</w:t>
      </w:r>
      <w:r w:rsidRPr="005D59A7">
        <w:rPr>
          <w:rFonts w:ascii="T" w:eastAsia="Calibri" w:hAnsi="T" w:cs="Arial"/>
          <w:rtl/>
          <w:lang w:bidi="ar-EG"/>
        </w:rPr>
        <w:t>‏</w:t>
      </w:r>
    </w:p>
    <w:p w14:paraId="32DF7CD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Bakhsh, S., Zhang, W., Ali, K., &amp; Oláh, J. (2024). Strategy towards sustainable energy transition: The effect of environmental governance, economic complexity and geopolitics. Energy Strategy Reviews, 52, 101330.</w:t>
      </w:r>
      <w:r w:rsidRPr="005D59A7">
        <w:rPr>
          <w:rFonts w:ascii="T" w:eastAsia="Calibri" w:hAnsi="T" w:cs="Arial"/>
          <w:rtl/>
          <w:lang w:bidi="ar-EG"/>
        </w:rPr>
        <w:t>‏</w:t>
      </w:r>
    </w:p>
    <w:p w14:paraId="42C4658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Albitar</w:t>
      </w:r>
      <w:proofErr w:type="spellEnd"/>
      <w:r w:rsidRPr="005D59A7">
        <w:rPr>
          <w:rFonts w:ascii="T" w:eastAsia="Calibri" w:hAnsi="T" w:cs="Arial"/>
          <w:lang w:bidi="ar-EG"/>
        </w:rPr>
        <w:t>, K., Borgi, H., Khan, M., &amp; Zahra, A. (2023). Business environmental innovation and CO2 emissions: The moderating role of environmental governance. Business strategy and the environment, 32(4), 1996-2007.</w:t>
      </w:r>
      <w:r w:rsidRPr="005D59A7">
        <w:rPr>
          <w:rFonts w:ascii="T" w:eastAsia="Calibri" w:hAnsi="T" w:cs="Arial"/>
          <w:rtl/>
          <w:lang w:bidi="ar-EG"/>
        </w:rPr>
        <w:t>‏</w:t>
      </w:r>
    </w:p>
    <w:p w14:paraId="03787CD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Kloppenburg, S., Gupta, A., Kruk, S. R., Makris, S., Bergsvik, R., </w:t>
      </w:r>
      <w:proofErr w:type="spellStart"/>
      <w:r w:rsidRPr="005D59A7">
        <w:rPr>
          <w:rFonts w:ascii="T" w:eastAsia="Calibri" w:hAnsi="T" w:cs="Arial"/>
          <w:lang w:bidi="ar-EG"/>
        </w:rPr>
        <w:t>Korenhof</w:t>
      </w:r>
      <w:proofErr w:type="spellEnd"/>
      <w:r w:rsidRPr="005D59A7">
        <w:rPr>
          <w:rFonts w:ascii="T" w:eastAsia="Calibri" w:hAnsi="T" w:cs="Arial"/>
          <w:lang w:bidi="ar-EG"/>
        </w:rPr>
        <w:t xml:space="preserve">, P., ... &amp; Toonen, H. M. (2022). Scrutinizing environmental governance in a digital age: </w:t>
      </w:r>
      <w:proofErr w:type="gramStart"/>
      <w:r w:rsidRPr="005D59A7">
        <w:rPr>
          <w:rFonts w:ascii="T" w:eastAsia="Calibri" w:hAnsi="T" w:cs="Arial"/>
          <w:lang w:bidi="ar-EG"/>
        </w:rPr>
        <w:t>New</w:t>
      </w:r>
      <w:proofErr w:type="gramEnd"/>
      <w:r w:rsidRPr="005D59A7">
        <w:rPr>
          <w:rFonts w:ascii="T" w:eastAsia="Calibri" w:hAnsi="T" w:cs="Arial"/>
          <w:lang w:bidi="ar-EG"/>
        </w:rPr>
        <w:t xml:space="preserve"> ways of seeing, participating, and intervening. One Earth, 5(3), 232-241.</w:t>
      </w:r>
      <w:r w:rsidRPr="005D59A7">
        <w:rPr>
          <w:rFonts w:ascii="T" w:eastAsia="Calibri" w:hAnsi="T" w:cs="Arial"/>
          <w:rtl/>
          <w:lang w:bidi="ar-EG"/>
        </w:rPr>
        <w:t>‏</w:t>
      </w:r>
    </w:p>
    <w:p w14:paraId="405AC4F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Mehta, L., Leach, M., &amp; Scoones, I. (2025). Environmental governance in an uncertain world. IDS bulletin, 56(1A).</w:t>
      </w:r>
      <w:r w:rsidRPr="005D59A7">
        <w:rPr>
          <w:rFonts w:ascii="T" w:eastAsia="Calibri" w:hAnsi="T" w:cs="Arial"/>
          <w:rtl/>
          <w:lang w:bidi="ar-EG"/>
        </w:rPr>
        <w:t>‏</w:t>
      </w:r>
    </w:p>
    <w:p w14:paraId="7542DE5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Flyvbjerg, B. (2014). What you should know about megaprojects and why: An overview.</w:t>
      </w:r>
    </w:p>
    <w:p w14:paraId="2157B82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Hodge, G. A., &amp; Greve, C. (2018). Contemporary public-private partnership: Towards a global research agenda.</w:t>
      </w:r>
    </w:p>
    <w:p w14:paraId="3D413572" w14:textId="77777777" w:rsidR="00A63F47" w:rsidRPr="005D59A7" w:rsidRDefault="00A63F47" w:rsidP="00A63F47">
      <w:pPr>
        <w:jc w:val="both"/>
        <w:rPr>
          <w:rFonts w:ascii="T" w:eastAsia="Calibri" w:hAnsi="T" w:cs="Arial"/>
          <w:rtl/>
          <w:lang w:bidi="ar-EG"/>
        </w:rPr>
      </w:pPr>
    </w:p>
    <w:p w14:paraId="09AC188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Hodge, G. A., Greve, C., &amp; </w:t>
      </w:r>
      <w:proofErr w:type="spellStart"/>
      <w:r w:rsidRPr="005D59A7">
        <w:rPr>
          <w:rFonts w:ascii="T" w:eastAsia="Calibri" w:hAnsi="T" w:cs="Arial"/>
          <w:lang w:bidi="ar-EG"/>
        </w:rPr>
        <w:t>Biygautane</w:t>
      </w:r>
      <w:proofErr w:type="spellEnd"/>
      <w:r w:rsidRPr="005D59A7">
        <w:rPr>
          <w:rFonts w:ascii="T" w:eastAsia="Calibri" w:hAnsi="T" w:cs="Arial"/>
          <w:lang w:bidi="ar-EG"/>
        </w:rPr>
        <w:t>, M. (2018). Do public–private partnerships work? What and how have we been learning so far?</w:t>
      </w:r>
    </w:p>
    <w:p w14:paraId="2A34C848"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Roehrich, J. K., Lewis, M. A., &amp; George, G. (2014). Are public–private partnerships a healthy option? A systematic literature review.</w:t>
      </w:r>
    </w:p>
    <w:p w14:paraId="45F44D9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Song, Y., &amp; Hao, S. (2023). Influence of project governance mechanisms on the sustainable development of public-private partnership projects.</w:t>
      </w:r>
    </w:p>
    <w:p w14:paraId="4850A498" w14:textId="77777777" w:rsidR="00A63F47" w:rsidRPr="005D59A7" w:rsidRDefault="00A63F47" w:rsidP="00A63F47">
      <w:pPr>
        <w:jc w:val="both"/>
        <w:rPr>
          <w:rFonts w:ascii="T" w:eastAsia="Calibri" w:hAnsi="T" w:cs="Arial"/>
          <w:rtl/>
          <w:lang w:bidi="ar-EG"/>
        </w:rPr>
      </w:pPr>
    </w:p>
    <w:p w14:paraId="58C72AC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Wang, Y., et al. (2020). The influence of governance on the implementation of public–private partnerships in the United Kingdom and China: A systematic comparison.</w:t>
      </w:r>
    </w:p>
    <w:p w14:paraId="6BC183D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Xiong, W., Chen, B., Wang, H., &amp; Zhu, D. (2019). Governing public–private partnerships: A systematic review of case study literature.</w:t>
      </w:r>
    </w:p>
    <w:p w14:paraId="79EB9DA1" w14:textId="77777777" w:rsidR="00A63F47" w:rsidRPr="005D59A7" w:rsidRDefault="00A63F47" w:rsidP="00A63F47">
      <w:pPr>
        <w:jc w:val="both"/>
        <w:rPr>
          <w:rFonts w:ascii="T" w:eastAsia="Calibri" w:hAnsi="T" w:cs="Arial"/>
          <w:rtl/>
          <w:lang w:bidi="ar-EG"/>
        </w:rPr>
      </w:pPr>
    </w:p>
    <w:p w14:paraId="5F0B111D"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Zhang, X., et al. (2020). Public–private partnerships as a governance response to sustainable urbanization: Lessons from China.</w:t>
      </w:r>
    </w:p>
    <w:p w14:paraId="469C6777"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Waardenburg, M., </w:t>
      </w:r>
      <w:proofErr w:type="spellStart"/>
      <w:r w:rsidRPr="005D59A7">
        <w:rPr>
          <w:rFonts w:ascii="T" w:eastAsia="Calibri" w:hAnsi="T" w:cs="Arial"/>
          <w:lang w:bidi="ar-EG"/>
        </w:rPr>
        <w:t>Groenleer</w:t>
      </w:r>
      <w:proofErr w:type="spellEnd"/>
      <w:r w:rsidRPr="005D59A7">
        <w:rPr>
          <w:rFonts w:ascii="T" w:eastAsia="Calibri" w:hAnsi="T" w:cs="Arial"/>
          <w:lang w:bidi="ar-EG"/>
        </w:rPr>
        <w:t>, M., &amp; de Jong, J. (2025). Performance management in collaborative governance: a review of the literature and synthesis of the challenges. Public Performance &amp; Management Review, 48(4), 735-767.</w:t>
      </w:r>
      <w:r w:rsidRPr="005D59A7">
        <w:rPr>
          <w:rFonts w:ascii="T" w:eastAsia="Calibri" w:hAnsi="T" w:cs="Arial"/>
          <w:rtl/>
          <w:lang w:bidi="ar-EG"/>
        </w:rPr>
        <w:t>‏</w:t>
      </w:r>
    </w:p>
    <w:p w14:paraId="793A299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Atmaja, D. S., </w:t>
      </w:r>
      <w:proofErr w:type="spellStart"/>
      <w:r w:rsidRPr="005D59A7">
        <w:rPr>
          <w:rFonts w:ascii="T" w:eastAsia="Calibri" w:hAnsi="T" w:cs="Arial"/>
          <w:lang w:bidi="ar-EG"/>
        </w:rPr>
        <w:t>Fachrurazi</w:t>
      </w:r>
      <w:proofErr w:type="spellEnd"/>
      <w:r w:rsidRPr="005D59A7">
        <w:rPr>
          <w:rFonts w:ascii="T" w:eastAsia="Calibri" w:hAnsi="T" w:cs="Arial"/>
          <w:lang w:bidi="ar-EG"/>
        </w:rPr>
        <w:t>, F., Abdullah, A., Fauziah, F., Zaroni, A. N., &amp; Yusuf, M. (2022). Actualization of performance management models for the development of human resources quality, economic potential, and financial governance policy in Indonesia Ministry of Education.</w:t>
      </w:r>
      <w:r w:rsidRPr="005D59A7">
        <w:rPr>
          <w:rFonts w:ascii="T" w:eastAsia="Calibri" w:hAnsi="T" w:cs="Arial"/>
          <w:rtl/>
          <w:lang w:bidi="ar-EG"/>
        </w:rPr>
        <w:t>‏</w:t>
      </w:r>
    </w:p>
    <w:p w14:paraId="4759FB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Biondi, L., &amp; Russo, S. (2022). Integrating strategic planning and performance management in universities: a multiple case-study analysis. journal of management and governance, 26(2), 417-448.</w:t>
      </w:r>
      <w:r w:rsidRPr="005D59A7">
        <w:rPr>
          <w:rFonts w:ascii="T" w:eastAsia="Calibri" w:hAnsi="T" w:cs="Arial"/>
          <w:rtl/>
          <w:lang w:bidi="ar-EG"/>
        </w:rPr>
        <w:t>‏</w:t>
      </w:r>
    </w:p>
    <w:p w14:paraId="620FEE7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Yadav, P., &amp; Prashar, A. (2023). Board gender diversity: implications for environment, social, and governance (ESG) performance of Indian firms. International Journal of Productivity and Performance Management, 72(9), 2654-2673.</w:t>
      </w:r>
      <w:r w:rsidRPr="005D59A7">
        <w:rPr>
          <w:rFonts w:ascii="T" w:eastAsia="Calibri" w:hAnsi="T" w:cs="Arial"/>
          <w:rtl/>
          <w:lang w:bidi="ar-EG"/>
        </w:rPr>
        <w:t>‏</w:t>
      </w:r>
    </w:p>
    <w:p w14:paraId="183B87C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Martiny, A., Taglialatela, J., Testa, F., &amp; </w:t>
      </w:r>
      <w:proofErr w:type="spellStart"/>
      <w:r w:rsidRPr="005D59A7">
        <w:rPr>
          <w:rFonts w:ascii="T" w:eastAsia="Calibri" w:hAnsi="T" w:cs="Arial"/>
          <w:lang w:bidi="ar-EG"/>
        </w:rPr>
        <w:t>Iraldo</w:t>
      </w:r>
      <w:proofErr w:type="spellEnd"/>
      <w:r w:rsidRPr="005D59A7">
        <w:rPr>
          <w:rFonts w:ascii="T" w:eastAsia="Calibri" w:hAnsi="T" w:cs="Arial"/>
          <w:lang w:bidi="ar-EG"/>
        </w:rPr>
        <w:t>, F. (2024). Determinants of environmental social and governance (ESG) performance: A systematic literature review. Journal of Cleaner Production, 456, 142213.</w:t>
      </w:r>
      <w:r w:rsidRPr="005D59A7">
        <w:rPr>
          <w:rFonts w:ascii="T" w:eastAsia="Calibri" w:hAnsi="T" w:cs="Arial"/>
          <w:rtl/>
          <w:lang w:bidi="ar-EG"/>
        </w:rPr>
        <w:t>‏</w:t>
      </w:r>
    </w:p>
    <w:p w14:paraId="3ED564A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Kaunda, E., &amp; Pelser, T. (2023). Corporate governance and performance of state-owned enterprises in a least developed economy. South African Journal of Business Management, 54(1), 3827.</w:t>
      </w:r>
      <w:r w:rsidRPr="005D59A7">
        <w:rPr>
          <w:rFonts w:ascii="T" w:eastAsia="Calibri" w:hAnsi="T" w:cs="Arial"/>
          <w:rtl/>
          <w:lang w:bidi="ar-EG"/>
        </w:rPr>
        <w:t>‏</w:t>
      </w:r>
    </w:p>
    <w:p w14:paraId="1B83B98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Jubair, S. M. B., &amp; Singh, J. S. K. (2022). Critical success factors of Public-private Partnership (PPP) projects in the Kingdom of Saudi Arabia. </w:t>
      </w:r>
      <w:proofErr w:type="spellStart"/>
      <w:r w:rsidRPr="005D59A7">
        <w:rPr>
          <w:rFonts w:ascii="T" w:eastAsia="Calibri" w:hAnsi="T" w:cs="Arial"/>
          <w:lang w:bidi="ar-EG"/>
        </w:rPr>
        <w:t>Webology</w:t>
      </w:r>
      <w:proofErr w:type="spellEnd"/>
      <w:r w:rsidRPr="005D59A7">
        <w:rPr>
          <w:rFonts w:ascii="T" w:eastAsia="Calibri" w:hAnsi="T" w:cs="Arial"/>
          <w:lang w:bidi="ar-EG"/>
        </w:rPr>
        <w:t>, 19(1), 1521-1540.</w:t>
      </w:r>
      <w:r w:rsidRPr="005D59A7">
        <w:rPr>
          <w:rFonts w:ascii="T" w:eastAsia="Calibri" w:hAnsi="T" w:cs="Arial"/>
          <w:rtl/>
          <w:lang w:bidi="ar-EG"/>
        </w:rPr>
        <w:t>‏</w:t>
      </w:r>
    </w:p>
    <w:p w14:paraId="27706B5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Hidalgo, A. J. G. (2024). Infrastructure Development in Saudi Arabia Through the Public-Private Partnership Scheme Within the Saudi Vision 2030 (Doctoral dissertation, Doctoral dissertation, UNIVERSIDAD POLITÉCNICA DE MADRID).</w:t>
      </w:r>
      <w:r w:rsidRPr="005D59A7">
        <w:rPr>
          <w:rFonts w:ascii="T" w:eastAsia="Calibri" w:hAnsi="T" w:cs="Arial"/>
          <w:rtl/>
          <w:lang w:bidi="ar-EG"/>
        </w:rPr>
        <w:t>‏</w:t>
      </w:r>
    </w:p>
    <w:p w14:paraId="1ED2F4E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Guerrero, A., Lara-Galera, A., Alcaraz Carrillo de Albornoz, V., &amp; Arévalo </w:t>
      </w:r>
      <w:proofErr w:type="spellStart"/>
      <w:r w:rsidRPr="005D59A7">
        <w:rPr>
          <w:rFonts w:ascii="T" w:eastAsia="Calibri" w:hAnsi="T" w:cs="Arial"/>
          <w:lang w:bidi="ar-EG"/>
        </w:rPr>
        <w:t>Sarrate</w:t>
      </w:r>
      <w:proofErr w:type="spellEnd"/>
      <w:r w:rsidRPr="005D59A7">
        <w:rPr>
          <w:rFonts w:ascii="T" w:eastAsia="Calibri" w:hAnsi="T" w:cs="Arial"/>
          <w:lang w:bidi="ar-EG"/>
        </w:rPr>
        <w:t>, C. (2024). Determinant features to reduce the infrastructure gap in Saudi Arabia under a public–private partnership scheme. Buildings, 14(3), 699.</w:t>
      </w:r>
      <w:r w:rsidRPr="005D59A7">
        <w:rPr>
          <w:rFonts w:ascii="T" w:eastAsia="Calibri" w:hAnsi="T" w:cs="Arial"/>
          <w:rtl/>
          <w:lang w:bidi="ar-EG"/>
        </w:rPr>
        <w:t>‏</w:t>
      </w:r>
    </w:p>
    <w:p w14:paraId="1E08EA0D" w14:textId="77777777" w:rsidR="00A63F47" w:rsidRPr="005D59A7" w:rsidRDefault="00A63F47" w:rsidP="00A63F47">
      <w:pPr>
        <w:jc w:val="both"/>
        <w:rPr>
          <w:rFonts w:ascii="T" w:eastAsia="Calibri" w:hAnsi="T" w:cs="Arial"/>
          <w:rtl/>
          <w:lang w:bidi="ar-EG"/>
        </w:rPr>
      </w:pPr>
    </w:p>
    <w:p w14:paraId="5707C2C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Alruwaili</w:t>
      </w:r>
      <w:proofErr w:type="spellEnd"/>
      <w:r w:rsidRPr="005D59A7">
        <w:rPr>
          <w:rFonts w:ascii="T" w:eastAsia="Calibri" w:hAnsi="T" w:cs="Arial"/>
          <w:lang w:bidi="ar-EG"/>
        </w:rPr>
        <w:t xml:space="preserve">, R., Al-Anzi, S., </w:t>
      </w:r>
      <w:proofErr w:type="spellStart"/>
      <w:r w:rsidRPr="005D59A7">
        <w:rPr>
          <w:rFonts w:ascii="T" w:eastAsia="Calibri" w:hAnsi="T" w:cs="Arial"/>
          <w:lang w:bidi="ar-EG"/>
        </w:rPr>
        <w:t>Alkhasha</w:t>
      </w:r>
      <w:proofErr w:type="spellEnd"/>
      <w:r w:rsidRPr="005D59A7">
        <w:rPr>
          <w:rFonts w:ascii="T" w:eastAsia="Calibri" w:hAnsi="T" w:cs="Arial"/>
          <w:lang w:bidi="ar-EG"/>
        </w:rPr>
        <w:t xml:space="preserve">, A., &amp; </w:t>
      </w:r>
      <w:proofErr w:type="spellStart"/>
      <w:r w:rsidRPr="005D59A7">
        <w:rPr>
          <w:rFonts w:ascii="T" w:eastAsia="Calibri" w:hAnsi="T" w:cs="Arial"/>
          <w:lang w:bidi="ar-EG"/>
        </w:rPr>
        <w:t>Benlaria</w:t>
      </w:r>
      <w:proofErr w:type="spellEnd"/>
      <w:r w:rsidRPr="005D59A7">
        <w:rPr>
          <w:rFonts w:ascii="T" w:eastAsia="Calibri" w:hAnsi="T" w:cs="Arial"/>
          <w:lang w:bidi="ar-EG"/>
        </w:rPr>
        <w:t>, H. O. U. C. I. N. E. (2024). The Interplay of Knowledge Management, E-Governance, and Business Performance Efficiency: Insights from Saudi Public Sector Institutions. WSEAS Transactions on Business and Economics, 21, 2026-2041.</w:t>
      </w:r>
      <w:r w:rsidRPr="005D59A7">
        <w:rPr>
          <w:rFonts w:ascii="T" w:eastAsia="Calibri" w:hAnsi="T" w:cs="Arial"/>
          <w:rtl/>
          <w:lang w:bidi="ar-EG"/>
        </w:rPr>
        <w:t>‏</w:t>
      </w:r>
    </w:p>
    <w:p w14:paraId="5FC8F04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Bendary</w:t>
      </w:r>
      <w:proofErr w:type="spellEnd"/>
      <w:r w:rsidRPr="005D59A7">
        <w:rPr>
          <w:rFonts w:ascii="T" w:eastAsia="Calibri" w:hAnsi="T" w:cs="Arial"/>
          <w:lang w:bidi="ar-EG"/>
        </w:rPr>
        <w:t>, M. G., &amp; Rajadurai, J. (2024). Emerging Technologies and Public Innovation in the Saudi Public Sector: an analysis of Adoption and challenges amidst Vision 2030. The Innovation Journal, 29(1), 1-42.</w:t>
      </w:r>
      <w:r w:rsidRPr="005D59A7">
        <w:rPr>
          <w:rFonts w:ascii="T" w:eastAsia="Calibri" w:hAnsi="T" w:cs="Arial"/>
          <w:rtl/>
          <w:lang w:bidi="ar-EG"/>
        </w:rPr>
        <w:t>‏</w:t>
      </w:r>
    </w:p>
    <w:p w14:paraId="3AB71B1A"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Bodrick, M. M., Alkindi, E. T., </w:t>
      </w:r>
      <w:proofErr w:type="spellStart"/>
      <w:r w:rsidRPr="005D59A7">
        <w:rPr>
          <w:rFonts w:ascii="T" w:eastAsia="Calibri" w:hAnsi="T" w:cs="Arial"/>
          <w:lang w:bidi="ar-EG"/>
        </w:rPr>
        <w:t>Alassaf</w:t>
      </w:r>
      <w:proofErr w:type="spellEnd"/>
      <w:r w:rsidRPr="005D59A7">
        <w:rPr>
          <w:rFonts w:ascii="T" w:eastAsia="Calibri" w:hAnsi="T" w:cs="Arial"/>
          <w:lang w:bidi="ar-EG"/>
        </w:rPr>
        <w:t xml:space="preserve">, M. I., </w:t>
      </w:r>
      <w:proofErr w:type="spellStart"/>
      <w:r w:rsidRPr="005D59A7">
        <w:rPr>
          <w:rFonts w:ascii="T" w:eastAsia="Calibri" w:hAnsi="T" w:cs="Arial"/>
          <w:lang w:bidi="ar-EG"/>
        </w:rPr>
        <w:t>Alrasi</w:t>
      </w:r>
      <w:proofErr w:type="spellEnd"/>
      <w:r w:rsidRPr="005D59A7">
        <w:rPr>
          <w:rFonts w:ascii="T" w:eastAsia="Calibri" w:hAnsi="T" w:cs="Arial"/>
          <w:lang w:bidi="ar-EG"/>
        </w:rPr>
        <w:t xml:space="preserve">, M. Y., </w:t>
      </w:r>
      <w:proofErr w:type="spellStart"/>
      <w:r w:rsidRPr="005D59A7">
        <w:rPr>
          <w:rFonts w:ascii="T" w:eastAsia="Calibri" w:hAnsi="T" w:cs="Arial"/>
          <w:lang w:bidi="ar-EG"/>
        </w:rPr>
        <w:t>Aljuffali</w:t>
      </w:r>
      <w:proofErr w:type="spellEnd"/>
      <w:r w:rsidRPr="005D59A7">
        <w:rPr>
          <w:rFonts w:ascii="T" w:eastAsia="Calibri" w:hAnsi="T" w:cs="Arial"/>
          <w:lang w:bidi="ar-EG"/>
        </w:rPr>
        <w:t xml:space="preserve">, L., </w:t>
      </w:r>
      <w:proofErr w:type="spellStart"/>
      <w:r w:rsidRPr="005D59A7">
        <w:rPr>
          <w:rFonts w:ascii="T" w:eastAsia="Calibri" w:hAnsi="T" w:cs="Arial"/>
          <w:lang w:bidi="ar-EG"/>
        </w:rPr>
        <w:t>Alhawas</w:t>
      </w:r>
      <w:proofErr w:type="spellEnd"/>
      <w:r w:rsidRPr="005D59A7">
        <w:rPr>
          <w:rFonts w:ascii="T" w:eastAsia="Calibri" w:hAnsi="T" w:cs="Arial"/>
          <w:lang w:bidi="ar-EG"/>
        </w:rPr>
        <w:t xml:space="preserve">, A. A., ... &amp; Alsuhaim, M. I. (2025). The Contextual Dynamism of Organizational Leadership in Saudi Arabia: What is Next After Change, Transition, and Transformation-Is it </w:t>
      </w:r>
      <w:proofErr w:type="gramStart"/>
      <w:r w:rsidRPr="005D59A7">
        <w:rPr>
          <w:rFonts w:ascii="T" w:eastAsia="Calibri" w:hAnsi="T" w:cs="Arial"/>
          <w:lang w:bidi="ar-EG"/>
        </w:rPr>
        <w:t>Transmogrification?.</w:t>
      </w:r>
      <w:proofErr w:type="gramEnd"/>
      <w:r w:rsidRPr="005D59A7">
        <w:rPr>
          <w:rFonts w:ascii="T" w:eastAsia="Calibri" w:hAnsi="T" w:cs="Arial"/>
          <w:lang w:bidi="ar-EG"/>
        </w:rPr>
        <w:t xml:space="preserve"> Journal of Business and Management Studies, 7(3), 355-363.</w:t>
      </w:r>
      <w:r w:rsidRPr="005D59A7">
        <w:rPr>
          <w:rFonts w:ascii="T" w:eastAsia="Calibri" w:hAnsi="T" w:cs="Arial"/>
          <w:rtl/>
          <w:lang w:bidi="ar-EG"/>
        </w:rPr>
        <w:t>‏</w:t>
      </w:r>
    </w:p>
    <w:p w14:paraId="1D97949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Elkebti, O. A. M., &amp; Khalifa, W. M. (2025). Assessing the </w:t>
      </w:r>
      <w:proofErr w:type="spellStart"/>
      <w:r w:rsidRPr="005D59A7">
        <w:rPr>
          <w:rFonts w:ascii="T" w:eastAsia="Calibri" w:hAnsi="T" w:cs="Arial"/>
          <w:lang w:bidi="ar-EG"/>
        </w:rPr>
        <w:t>saudi</w:t>
      </w:r>
      <w:proofErr w:type="spellEnd"/>
      <w:r w:rsidRPr="005D59A7">
        <w:rPr>
          <w:rFonts w:ascii="T" w:eastAsia="Calibri" w:hAnsi="T" w:cs="Arial"/>
          <w:lang w:bidi="ar-EG"/>
        </w:rPr>
        <w:t xml:space="preserve"> and middle east green initiatives: the role of environmental governance, renewable energy transition, and innovation in achieving a regional green future. Sustainability, 17(12), 5307.</w:t>
      </w:r>
      <w:r w:rsidRPr="005D59A7">
        <w:rPr>
          <w:rFonts w:ascii="T" w:eastAsia="Calibri" w:hAnsi="T" w:cs="Arial"/>
          <w:rtl/>
          <w:lang w:bidi="ar-EG"/>
        </w:rPr>
        <w:t>‏</w:t>
      </w:r>
    </w:p>
    <w:p w14:paraId="5B2BCD5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Almeflh, A. A., &amp; </w:t>
      </w:r>
      <w:proofErr w:type="spellStart"/>
      <w:r w:rsidRPr="005D59A7">
        <w:rPr>
          <w:rFonts w:ascii="T" w:eastAsia="Calibri" w:hAnsi="T" w:cs="Arial"/>
          <w:lang w:bidi="ar-EG"/>
        </w:rPr>
        <w:t>Almofleh</w:t>
      </w:r>
      <w:proofErr w:type="spellEnd"/>
      <w:r w:rsidRPr="005D59A7">
        <w:rPr>
          <w:rFonts w:ascii="T" w:eastAsia="Calibri" w:hAnsi="T" w:cs="Arial"/>
          <w:lang w:bidi="ar-EG"/>
        </w:rPr>
        <w:t>, M. I. (2025). Institutional drivers of environmental accounting and responses of organizations. Discover Sustainability.</w:t>
      </w:r>
      <w:r w:rsidRPr="005D59A7">
        <w:rPr>
          <w:rFonts w:ascii="T" w:eastAsia="Calibri" w:hAnsi="T" w:cs="Arial"/>
          <w:rtl/>
          <w:lang w:bidi="ar-EG"/>
        </w:rPr>
        <w:t>‏</w:t>
      </w:r>
    </w:p>
    <w:p w14:paraId="3A70E80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Jan, D., Nigar, M., Ullah, F., Nizar, A., Fatima, N., Hussain, I., &amp; Rahman, S. U. (2025). Impact of public-private partnership and technology transfer on environmental sustainability. Social Science Review Archives, 3(1), 2569-2589.</w:t>
      </w:r>
      <w:r w:rsidRPr="005D59A7">
        <w:rPr>
          <w:rFonts w:ascii="T" w:eastAsia="Calibri" w:hAnsi="T" w:cs="Arial"/>
          <w:rtl/>
          <w:lang w:bidi="ar-EG"/>
        </w:rPr>
        <w:t>‏</w:t>
      </w:r>
    </w:p>
    <w:p w14:paraId="18815C1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Alhosani, K. (2025). Leveraging public–private partnerships for a circular industry economy: Advancing economic sustainability in industrial waste management in the Emirate of Ajman, UAE. Challenges, 16(3), 31.</w:t>
      </w:r>
      <w:r w:rsidRPr="005D59A7">
        <w:rPr>
          <w:rFonts w:ascii="T" w:eastAsia="Calibri" w:hAnsi="T" w:cs="Arial"/>
          <w:rtl/>
          <w:lang w:bidi="ar-EG"/>
        </w:rPr>
        <w:t>‏</w:t>
      </w:r>
    </w:p>
    <w:p w14:paraId="35B5824B" w14:textId="3E94D404"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Sampieri, S., &amp; </w:t>
      </w:r>
      <w:proofErr w:type="spellStart"/>
      <w:r w:rsidRPr="005D59A7">
        <w:rPr>
          <w:rFonts w:ascii="T" w:eastAsia="Calibri" w:hAnsi="T" w:cs="Arial"/>
          <w:lang w:bidi="ar-EG"/>
        </w:rPr>
        <w:t>Mazzetto</w:t>
      </w:r>
      <w:proofErr w:type="spellEnd"/>
      <w:r w:rsidRPr="005D59A7">
        <w:rPr>
          <w:rFonts w:ascii="T" w:eastAsia="Calibri" w:hAnsi="T" w:cs="Arial"/>
          <w:lang w:bidi="ar-EG"/>
        </w:rPr>
        <w:t>, S. (2025). Public–Private Partnership for the Sustainable Development of Tourism Hospitality: Comparisons Between Italy and Saudi Arabia. Sustainability, 17(15), 6662.</w:t>
      </w:r>
      <w:r w:rsidRPr="005D59A7">
        <w:rPr>
          <w:rFonts w:ascii="T" w:eastAsia="Calibri" w:hAnsi="T" w:cs="Arial"/>
          <w:rtl/>
          <w:lang w:bidi="ar-EG"/>
        </w:rPr>
        <w:t>‏</w:t>
      </w:r>
    </w:p>
    <w:p w14:paraId="074B6D6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73AFE0C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D501784"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Azarian, M., Shiferaw, A. T., Stevik, T. K., </w:t>
      </w:r>
      <w:proofErr w:type="spellStart"/>
      <w:r w:rsidRPr="005D59A7">
        <w:rPr>
          <w:rFonts w:ascii="T" w:eastAsia="Calibri" w:hAnsi="T" w:cs="Arial"/>
          <w:lang w:bidi="ar-EG"/>
        </w:rPr>
        <w:t>Lædre</w:t>
      </w:r>
      <w:proofErr w:type="spellEnd"/>
      <w:r w:rsidRPr="005D59A7">
        <w:rPr>
          <w:rFonts w:ascii="T" w:eastAsia="Calibri" w:hAnsi="T" w:cs="Arial"/>
          <w:lang w:bidi="ar-EG"/>
        </w:rPr>
        <w:t>, O., &amp; Wondimu, P. A. (2023). Public-private partnership: A bibliometric analysis and historical evolution. Buildings, 13(8), 2035.</w:t>
      </w:r>
      <w:r w:rsidRPr="005D59A7">
        <w:rPr>
          <w:rFonts w:ascii="T" w:eastAsia="Calibri" w:hAnsi="T" w:cs="Arial"/>
          <w:rtl/>
          <w:lang w:bidi="ar-EG"/>
        </w:rPr>
        <w:t>‏</w:t>
      </w:r>
    </w:p>
    <w:p w14:paraId="44A2E890"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lastRenderedPageBreak/>
        <w:t>Oyegbade</w:t>
      </w:r>
      <w:proofErr w:type="spellEnd"/>
      <w:r w:rsidRPr="005D59A7">
        <w:rPr>
          <w:rFonts w:ascii="T" w:eastAsia="Calibri" w:hAnsi="T" w:cs="Arial"/>
          <w:lang w:bidi="ar-EG"/>
        </w:rPr>
        <w:t xml:space="preserve">, I. K., Igwe, A. N., </w:t>
      </w:r>
      <w:proofErr w:type="spellStart"/>
      <w:r w:rsidRPr="005D59A7">
        <w:rPr>
          <w:rFonts w:ascii="T" w:eastAsia="Calibri" w:hAnsi="T" w:cs="Arial"/>
          <w:lang w:bidi="ar-EG"/>
        </w:rPr>
        <w:t>Ofodile</w:t>
      </w:r>
      <w:proofErr w:type="spellEnd"/>
      <w:r w:rsidRPr="005D59A7">
        <w:rPr>
          <w:rFonts w:ascii="T" w:eastAsia="Calibri" w:hAnsi="T" w:cs="Arial"/>
          <w:lang w:bidi="ar-EG"/>
        </w:rPr>
        <w:t>, O. C., &amp; Azubuike, C. (2022). Advancing SME financing through public-private partnerships and low-cost lending: A framework for inclusive growth. Iconic Research and Engineering Journals, 6(2), 289-302.</w:t>
      </w:r>
      <w:r w:rsidRPr="005D59A7">
        <w:rPr>
          <w:rFonts w:ascii="T" w:eastAsia="Calibri" w:hAnsi="T" w:cs="Arial"/>
          <w:rtl/>
          <w:lang w:bidi="ar-EG"/>
        </w:rPr>
        <w:t>‏</w:t>
      </w:r>
    </w:p>
    <w:p w14:paraId="38C0AC56"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Verweij, S., van </w:t>
      </w:r>
      <w:proofErr w:type="spellStart"/>
      <w:r w:rsidRPr="005D59A7">
        <w:rPr>
          <w:rFonts w:ascii="T" w:eastAsia="Calibri" w:hAnsi="T" w:cs="Arial"/>
          <w:lang w:bidi="ar-EG"/>
        </w:rPr>
        <w:t>Meerkerk</w:t>
      </w:r>
      <w:proofErr w:type="spellEnd"/>
      <w:r w:rsidRPr="005D59A7">
        <w:rPr>
          <w:rFonts w:ascii="T" w:eastAsia="Calibri" w:hAnsi="T" w:cs="Arial"/>
          <w:lang w:bidi="ar-EG"/>
        </w:rPr>
        <w:t xml:space="preserve">, I., &amp; Casady, C. B. (2022). The performance advantage of public-private partnerships: does it exist or </w:t>
      </w:r>
      <w:proofErr w:type="gramStart"/>
      <w:r w:rsidRPr="005D59A7">
        <w:rPr>
          <w:rFonts w:ascii="T" w:eastAsia="Calibri" w:hAnsi="T" w:cs="Arial"/>
          <w:lang w:bidi="ar-EG"/>
        </w:rPr>
        <w:t>not?.</w:t>
      </w:r>
      <w:proofErr w:type="gramEnd"/>
      <w:r w:rsidRPr="005D59A7">
        <w:rPr>
          <w:rFonts w:ascii="T" w:eastAsia="Calibri" w:hAnsi="T" w:cs="Arial"/>
          <w:lang w:bidi="ar-EG"/>
        </w:rPr>
        <w:t xml:space="preserve"> In Assessing the Performance Advantage of Public-Private Partnerships (pp. 1-26). Edward Elgar Publishing.</w:t>
      </w:r>
      <w:r w:rsidRPr="005D59A7">
        <w:rPr>
          <w:rFonts w:ascii="T" w:eastAsia="Calibri" w:hAnsi="T" w:cs="Arial"/>
          <w:rtl/>
          <w:lang w:bidi="ar-EG"/>
        </w:rPr>
        <w:t>‏</w:t>
      </w:r>
    </w:p>
    <w:p w14:paraId="52A038C8"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Verweij, S., &amp; Satheesh, S. A. (2023). In search of the collaborative advantage of public‐private partnerships: A comparative analysis of Dutch transport infrastructure projects. Public Administration Review, 83(3), 679-690.</w:t>
      </w:r>
      <w:r w:rsidRPr="005D59A7">
        <w:rPr>
          <w:rFonts w:ascii="T" w:eastAsia="Calibri" w:hAnsi="T" w:cs="Arial"/>
          <w:rtl/>
          <w:lang w:bidi="ar-EG"/>
        </w:rPr>
        <w:t>‏</w:t>
      </w:r>
    </w:p>
    <w:p w14:paraId="67AF2CD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Rodrigues, N. J. (2023, June). Public–private partnerships model applied to hospitals—a critical review. In Healthcare (Vol. 11, No. 12, p. 1723). MDPI.</w:t>
      </w:r>
      <w:r w:rsidRPr="005D59A7">
        <w:rPr>
          <w:rFonts w:ascii="T" w:eastAsia="Calibri" w:hAnsi="T" w:cs="Arial"/>
          <w:rtl/>
          <w:lang w:bidi="ar-EG"/>
        </w:rPr>
        <w:t>‏</w:t>
      </w:r>
    </w:p>
    <w:p w14:paraId="465737CD"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Batjargal, T., &amp; Zhang, M. (2022). Review on the public-private partnership. Management Studies, 10(1), 1-11.</w:t>
      </w:r>
      <w:r w:rsidRPr="005D59A7">
        <w:rPr>
          <w:rFonts w:ascii="T" w:eastAsia="Calibri" w:hAnsi="T" w:cs="Arial"/>
          <w:rtl/>
          <w:lang w:bidi="ar-EG"/>
        </w:rPr>
        <w:t>‏</w:t>
      </w:r>
    </w:p>
    <w:p w14:paraId="1B048034"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Aboelazm</w:t>
      </w:r>
      <w:proofErr w:type="spellEnd"/>
      <w:r w:rsidRPr="005D59A7">
        <w:rPr>
          <w:rFonts w:ascii="T" w:eastAsia="Calibri" w:hAnsi="T" w:cs="Arial"/>
          <w:lang w:bidi="ar-EG"/>
        </w:rPr>
        <w:t xml:space="preserve">, K. S., </w:t>
      </w:r>
      <w:proofErr w:type="spellStart"/>
      <w:r w:rsidRPr="005D59A7">
        <w:rPr>
          <w:rFonts w:ascii="T" w:eastAsia="Calibri" w:hAnsi="T" w:cs="Arial"/>
          <w:lang w:bidi="ar-EG"/>
        </w:rPr>
        <w:t>Tawakol</w:t>
      </w:r>
      <w:proofErr w:type="spellEnd"/>
      <w:r w:rsidRPr="005D59A7">
        <w:rPr>
          <w:rFonts w:ascii="T" w:eastAsia="Calibri" w:hAnsi="T" w:cs="Arial"/>
          <w:lang w:bidi="ar-EG"/>
        </w:rPr>
        <w:t>, F., Ibrahim, E., &amp; Ramadan, S. A. (2025). The legal framework for BOT contracts in Egypt and the United Arab Emirates. Journal of Lifestyle and SDGs Review, 5(2), e03286-e03286.</w:t>
      </w:r>
      <w:r w:rsidRPr="005D59A7">
        <w:rPr>
          <w:rFonts w:ascii="T" w:eastAsia="Calibri" w:hAnsi="T" w:cs="Arial"/>
          <w:rtl/>
          <w:lang w:bidi="ar-EG"/>
        </w:rPr>
        <w:t>‏</w:t>
      </w:r>
    </w:p>
    <w:p w14:paraId="16B6FE5F"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Raina, N., Zavalloni, M., &amp; </w:t>
      </w:r>
      <w:proofErr w:type="spellStart"/>
      <w:r w:rsidRPr="005D59A7">
        <w:rPr>
          <w:rFonts w:ascii="T" w:eastAsia="Calibri" w:hAnsi="T" w:cs="Arial"/>
          <w:lang w:bidi="ar-EG"/>
        </w:rPr>
        <w:t>Viaggi</w:t>
      </w:r>
      <w:proofErr w:type="spellEnd"/>
      <w:r w:rsidRPr="005D59A7">
        <w:rPr>
          <w:rFonts w:ascii="T" w:eastAsia="Calibri" w:hAnsi="T" w:cs="Arial"/>
          <w:lang w:bidi="ar-EG"/>
        </w:rPr>
        <w:t>, D. (2024). Incentive mechanisms of carbon farming contracts: A systematic mapping study. Journal of Environmental Management, 352, 120126.</w:t>
      </w:r>
      <w:r w:rsidRPr="005D59A7">
        <w:rPr>
          <w:rFonts w:ascii="T" w:eastAsia="Calibri" w:hAnsi="T" w:cs="Arial"/>
          <w:rtl/>
          <w:lang w:bidi="ar-EG"/>
        </w:rPr>
        <w:t>‏</w:t>
      </w:r>
    </w:p>
    <w:p w14:paraId="05492DD3"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36FAAA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Alshboul</w:t>
      </w:r>
      <w:proofErr w:type="spellEnd"/>
      <w:r w:rsidRPr="005D59A7">
        <w:rPr>
          <w:rFonts w:ascii="T" w:eastAsia="Calibri" w:hAnsi="T" w:cs="Arial"/>
          <w:lang w:bidi="ar-EG"/>
        </w:rPr>
        <w:t>, O., &amp; Shehadeh, A. (2026). Enhancing infrastructure project outcomes through optimized contractual structures and long-term warranties. Engineering, Construction and Architectural Management, 33(3), 2220-2242.</w:t>
      </w:r>
      <w:r w:rsidRPr="005D59A7">
        <w:rPr>
          <w:rFonts w:ascii="T" w:eastAsia="Calibri" w:hAnsi="T" w:cs="Arial"/>
          <w:rtl/>
          <w:lang w:bidi="ar-EG"/>
        </w:rPr>
        <w:t>‏</w:t>
      </w:r>
    </w:p>
    <w:p w14:paraId="4DF3A370"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Ghanem, A. M., &amp; Alamri, Y. A. (2023). The impact of the green Middle East initiative on sustainable development in the Kingdom of Saudi Arabia. Journal of the Saudi Society of Agricultural Sciences, 22(1), 35-46.</w:t>
      </w:r>
      <w:r w:rsidRPr="005D59A7">
        <w:rPr>
          <w:rFonts w:ascii="T" w:eastAsia="Calibri" w:hAnsi="T" w:cs="Arial"/>
          <w:rtl/>
          <w:lang w:bidi="ar-EG"/>
        </w:rPr>
        <w:t>‏</w:t>
      </w:r>
    </w:p>
    <w:p w14:paraId="16D1CB7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Al-Otaibi, A., &amp; </w:t>
      </w:r>
      <w:proofErr w:type="spellStart"/>
      <w:r w:rsidRPr="005D59A7">
        <w:rPr>
          <w:rFonts w:ascii="T" w:eastAsia="Calibri" w:hAnsi="T" w:cs="Arial"/>
          <w:lang w:bidi="ar-EG"/>
        </w:rPr>
        <w:t>Elimam</w:t>
      </w:r>
      <w:proofErr w:type="spellEnd"/>
      <w:r w:rsidRPr="005D59A7">
        <w:rPr>
          <w:rFonts w:ascii="T" w:eastAsia="Calibri" w:hAnsi="T" w:cs="Arial"/>
          <w:lang w:bidi="ar-EG"/>
        </w:rPr>
        <w:t>, H. (2024). Impact of Interrelationships among the Economic Sectors on Achieving Sustainable Development in the Kingdom of Saudi Arabia. European Journal of Sustainable Development, 13(1), 87-87.</w:t>
      </w:r>
      <w:r w:rsidRPr="005D59A7">
        <w:rPr>
          <w:rFonts w:ascii="T" w:eastAsia="Calibri" w:hAnsi="T" w:cs="Arial"/>
          <w:rtl/>
          <w:lang w:bidi="ar-EG"/>
        </w:rPr>
        <w:t>‏</w:t>
      </w:r>
    </w:p>
    <w:p w14:paraId="6E967857" w14:textId="09767A08"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Emam, A. (2022). Present and future: Does agriculture affect economic growth and the environment in the Kingdom of Saudi </w:t>
      </w:r>
      <w:proofErr w:type="gramStart"/>
      <w:r w:rsidRPr="005D59A7">
        <w:rPr>
          <w:rFonts w:ascii="T" w:eastAsia="Calibri" w:hAnsi="T" w:cs="Arial"/>
          <w:lang w:bidi="ar-EG"/>
        </w:rPr>
        <w:t>Arabia?.</w:t>
      </w:r>
      <w:proofErr w:type="gramEnd"/>
      <w:r w:rsidRPr="005D59A7">
        <w:rPr>
          <w:rFonts w:ascii="T" w:eastAsia="Calibri" w:hAnsi="T" w:cs="Arial"/>
          <w:lang w:bidi="ar-EG"/>
        </w:rPr>
        <w:t xml:space="preserve"> Agricultural Economics/</w:t>
      </w:r>
      <w:proofErr w:type="spellStart"/>
      <w:r w:rsidRPr="005D59A7">
        <w:rPr>
          <w:rFonts w:ascii="T" w:eastAsia="Calibri" w:hAnsi="T" w:cs="Arial"/>
          <w:lang w:bidi="ar-EG"/>
        </w:rPr>
        <w:t>Zemědělská</w:t>
      </w:r>
      <w:proofErr w:type="spellEnd"/>
      <w:r w:rsidRPr="005D59A7">
        <w:rPr>
          <w:rFonts w:ascii="T" w:eastAsia="Calibri" w:hAnsi="T" w:cs="Arial"/>
          <w:lang w:bidi="ar-EG"/>
        </w:rPr>
        <w:t xml:space="preserve"> </w:t>
      </w:r>
      <w:proofErr w:type="spellStart"/>
      <w:r w:rsidRPr="005D59A7">
        <w:rPr>
          <w:rFonts w:ascii="T" w:eastAsia="Calibri" w:hAnsi="T" w:cs="Arial"/>
          <w:lang w:bidi="ar-EG"/>
        </w:rPr>
        <w:t>Ekonomika</w:t>
      </w:r>
      <w:proofErr w:type="spellEnd"/>
      <w:r w:rsidRPr="005D59A7">
        <w:rPr>
          <w:rFonts w:ascii="T" w:eastAsia="Calibri" w:hAnsi="T" w:cs="Arial"/>
          <w:lang w:bidi="ar-EG"/>
        </w:rPr>
        <w:t>, 68(10).</w:t>
      </w:r>
      <w:r w:rsidRPr="005D59A7">
        <w:rPr>
          <w:rFonts w:ascii="T" w:eastAsia="Calibri" w:hAnsi="T" w:cs="Arial"/>
          <w:rtl/>
          <w:lang w:bidi="ar-EG"/>
        </w:rPr>
        <w:t>‏</w:t>
      </w:r>
    </w:p>
    <w:p w14:paraId="4304B7F3" w14:textId="7D187D1F" w:rsidR="003F5C18" w:rsidRPr="005D59A7" w:rsidRDefault="003F5C18" w:rsidP="00C476D6">
      <w:pPr>
        <w:jc w:val="both"/>
        <w:rPr>
          <w:rFonts w:ascii="T" w:eastAsia="Calibri" w:hAnsi="T" w:cs="Arial"/>
          <w:lang w:bidi="ar-EG"/>
        </w:rPr>
      </w:pPr>
    </w:p>
    <w:sectPr w:rsidR="003F5C18" w:rsidRPr="005D59A7" w:rsidSect="00395E1F">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EEC2C" w14:textId="77777777" w:rsidR="00076EA8" w:rsidRDefault="00076EA8" w:rsidP="00F628F0">
      <w:pPr>
        <w:spacing w:after="0" w:line="240" w:lineRule="auto"/>
      </w:pPr>
      <w:r>
        <w:separator/>
      </w:r>
    </w:p>
  </w:endnote>
  <w:endnote w:type="continuationSeparator" w:id="0">
    <w:p w14:paraId="4F1BB8FA" w14:textId="77777777" w:rsidR="00076EA8" w:rsidRDefault="00076EA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T">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1DDEAF7B" w14:textId="65439C84" w:rsidR="004B53E2" w:rsidRDefault="00EE7CFA">
        <w:pPr>
          <w:pStyle w:val="Footer"/>
          <w:jc w:val="center"/>
        </w:pPr>
        <w:r>
          <w:fldChar w:fldCharType="begin"/>
        </w:r>
        <w:r>
          <w:instrText xml:space="preserve"> PAGE   \* MERGEFORMAT </w:instrText>
        </w:r>
        <w:r>
          <w:fldChar w:fldCharType="separate"/>
        </w:r>
        <w:r w:rsidR="007E2852">
          <w:rPr>
            <w:noProof/>
          </w:rPr>
          <w:t>13</w:t>
        </w:r>
        <w:r>
          <w:rPr>
            <w:noProof/>
          </w:rPr>
          <w:fldChar w:fldCharType="end"/>
        </w:r>
      </w:p>
    </w:sdtContent>
  </w:sdt>
  <w:p w14:paraId="02FECB92" w14:textId="77777777" w:rsidR="004B53E2" w:rsidRDefault="004B5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82BF" w14:textId="77777777" w:rsidR="004B53E2" w:rsidRPr="00883E09" w:rsidRDefault="004B53E2"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10ED3024" wp14:editId="765C8F72">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sidRPr="004B1E9E">
      <w:rPr>
        <w:rFonts w:hint="cs"/>
        <w:b/>
        <w:bCs/>
        <w:color w:val="C45911"/>
        <w:sz w:val="24"/>
        <w:szCs w:val="24"/>
        <w:rtl/>
        <w:lang w:bidi="ar-EG"/>
      </w:rPr>
      <w:t>مشروع خطة بحث علمى لتسجيل درجة الدكتوراه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81D07" w14:textId="77777777" w:rsidR="00076EA8" w:rsidRDefault="00076EA8" w:rsidP="00F628F0">
      <w:pPr>
        <w:spacing w:after="0" w:line="240" w:lineRule="auto"/>
      </w:pPr>
      <w:r>
        <w:separator/>
      </w:r>
    </w:p>
  </w:footnote>
  <w:footnote w:type="continuationSeparator" w:id="0">
    <w:p w14:paraId="5533F9B5" w14:textId="77777777" w:rsidR="00076EA8" w:rsidRDefault="00076EA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9FD7" w14:textId="77777777" w:rsidR="004B53E2" w:rsidRDefault="00076EA8">
    <w:pPr>
      <w:pStyle w:val="Header"/>
    </w:pPr>
    <w:r>
      <w:rPr>
        <w:noProof/>
      </w:rPr>
      <w:pict w14:anchorId="122CA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3279" w14:textId="77777777" w:rsidR="004B53E2" w:rsidRDefault="00076EA8">
    <w:pPr>
      <w:pStyle w:val="Header"/>
    </w:pPr>
    <w:r>
      <w:rPr>
        <w:noProof/>
      </w:rPr>
      <w:pict w14:anchorId="57026B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008CA38D" w14:textId="77777777" w:rsidR="004B53E2" w:rsidRDefault="00076EA8">
        <w:pPr>
          <w:pStyle w:val="Header"/>
        </w:pPr>
        <w:r>
          <w:rPr>
            <w:noProof/>
          </w:rPr>
          <w:pict w14:anchorId="12EC5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721"/>
    <w:multiLevelType w:val="hybridMultilevel"/>
    <w:tmpl w:val="D1927EFE"/>
    <w:lvl w:ilvl="0" w:tplc="04090001">
      <w:start w:val="1"/>
      <w:numFmt w:val="bullet"/>
      <w:lvlText w:val=""/>
      <w:lvlJc w:val="left"/>
      <w:pPr>
        <w:ind w:left="1440" w:hanging="360"/>
      </w:pPr>
      <w:rPr>
        <w:rFonts w:ascii="Symbol" w:hAnsi="Symbol" w:hint="default"/>
        <w:b/>
        <w:bCs/>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 w15:restartNumberingAfterBreak="0">
    <w:nsid w:val="01902BED"/>
    <w:multiLevelType w:val="hybridMultilevel"/>
    <w:tmpl w:val="D2464B22"/>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 w15:restartNumberingAfterBreak="0">
    <w:nsid w:val="06CD1AF4"/>
    <w:multiLevelType w:val="hybridMultilevel"/>
    <w:tmpl w:val="55366C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460252"/>
    <w:multiLevelType w:val="hybridMultilevel"/>
    <w:tmpl w:val="62BE7F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A36A07"/>
    <w:multiLevelType w:val="hybridMultilevel"/>
    <w:tmpl w:val="AD7CDC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A1C99"/>
    <w:multiLevelType w:val="hybridMultilevel"/>
    <w:tmpl w:val="620E2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E8201B"/>
    <w:multiLevelType w:val="hybridMultilevel"/>
    <w:tmpl w:val="A664B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5319AD"/>
    <w:multiLevelType w:val="hybridMultilevel"/>
    <w:tmpl w:val="799492A0"/>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0A3693"/>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2705ED"/>
    <w:multiLevelType w:val="hybridMultilevel"/>
    <w:tmpl w:val="17404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DF7FB5"/>
    <w:multiLevelType w:val="hybridMultilevel"/>
    <w:tmpl w:val="D6D2C710"/>
    <w:lvl w:ilvl="0" w:tplc="70840F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33FD9"/>
    <w:multiLevelType w:val="hybridMultilevel"/>
    <w:tmpl w:val="4E2E9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C471018"/>
    <w:multiLevelType w:val="hybridMultilevel"/>
    <w:tmpl w:val="5D169F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D7E1E76"/>
    <w:multiLevelType w:val="multilevel"/>
    <w:tmpl w:val="8FDED1D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221C3706"/>
    <w:multiLevelType w:val="hybridMultilevel"/>
    <w:tmpl w:val="508A1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A97696"/>
    <w:multiLevelType w:val="hybridMultilevel"/>
    <w:tmpl w:val="0B9A97CA"/>
    <w:lvl w:ilvl="0" w:tplc="4EE89E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87236C"/>
    <w:multiLevelType w:val="hybridMultilevel"/>
    <w:tmpl w:val="D42EA8C8"/>
    <w:lvl w:ilvl="0" w:tplc="5C082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361DFF"/>
    <w:multiLevelType w:val="hybridMultilevel"/>
    <w:tmpl w:val="A906C3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2D194B17"/>
    <w:multiLevelType w:val="multilevel"/>
    <w:tmpl w:val="D28E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D3AD2"/>
    <w:multiLevelType w:val="hybridMultilevel"/>
    <w:tmpl w:val="7AD6C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0FB5883"/>
    <w:multiLevelType w:val="hybridMultilevel"/>
    <w:tmpl w:val="E44E0AC4"/>
    <w:lvl w:ilvl="0" w:tplc="231A24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B01568"/>
    <w:multiLevelType w:val="hybridMultilevel"/>
    <w:tmpl w:val="494EA5F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FFA2455"/>
    <w:multiLevelType w:val="hybridMultilevel"/>
    <w:tmpl w:val="3760B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552321"/>
    <w:multiLevelType w:val="hybridMultilevel"/>
    <w:tmpl w:val="CF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601EFA"/>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C03B0B"/>
    <w:multiLevelType w:val="hybridMultilevel"/>
    <w:tmpl w:val="A14C67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500353E"/>
    <w:multiLevelType w:val="hybridMultilevel"/>
    <w:tmpl w:val="9F9483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65677BD"/>
    <w:multiLevelType w:val="hybridMultilevel"/>
    <w:tmpl w:val="D2883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BF31AA"/>
    <w:multiLevelType w:val="hybridMultilevel"/>
    <w:tmpl w:val="F516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CAE4284"/>
    <w:multiLevelType w:val="hybridMultilevel"/>
    <w:tmpl w:val="1134729E"/>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0" w15:restartNumberingAfterBreak="0">
    <w:nsid w:val="5F0D4A18"/>
    <w:multiLevelType w:val="hybridMultilevel"/>
    <w:tmpl w:val="263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FF1234"/>
    <w:multiLevelType w:val="hybridMultilevel"/>
    <w:tmpl w:val="CACED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224D8A"/>
    <w:multiLevelType w:val="hybridMultilevel"/>
    <w:tmpl w:val="EFFE8A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B660426"/>
    <w:multiLevelType w:val="hybridMultilevel"/>
    <w:tmpl w:val="94B094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FC5A3F"/>
    <w:multiLevelType w:val="hybridMultilevel"/>
    <w:tmpl w:val="A2285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745FCE"/>
    <w:multiLevelType w:val="hybridMultilevel"/>
    <w:tmpl w:val="3AE4BA0A"/>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6" w15:restartNumberingAfterBreak="0">
    <w:nsid w:val="74E96EE0"/>
    <w:multiLevelType w:val="hybridMultilevel"/>
    <w:tmpl w:val="A162A4F2"/>
    <w:lvl w:ilvl="0" w:tplc="0604119C">
      <w:start w:val="1"/>
      <w:numFmt w:val="arabicAlpha"/>
      <w:lvlText w:val="%1."/>
      <w:lvlJc w:val="left"/>
      <w:pPr>
        <w:ind w:left="1500" w:hanging="360"/>
      </w:pPr>
      <w:rPr>
        <w:rFonts w:asciiTheme="majorHAnsi" w:eastAsiaTheme="majorEastAsia" w:hAnsiTheme="majorHAnsi" w:cstheme="majorBidi"/>
        <w:sz w:val="24"/>
        <w:szCs w:val="24"/>
      </w:rPr>
    </w:lvl>
    <w:lvl w:ilvl="1" w:tplc="A4F020F4">
      <w:start w:val="1"/>
      <w:numFmt w:val="arabicAlpha"/>
      <w:lvlText w:val="%2."/>
      <w:lvlJc w:val="left"/>
      <w:pPr>
        <w:ind w:left="2220" w:hanging="360"/>
      </w:pPr>
      <w:rPr>
        <w:rFonts w:asciiTheme="majorBidi" w:eastAsiaTheme="minorHAnsi" w:hAnsiTheme="majorBidi" w:cstheme="majorBidi"/>
        <w:sz w:val="24"/>
        <w:szCs w:val="24"/>
      </w:rPr>
    </w:lvl>
    <w:lvl w:ilvl="2" w:tplc="781424A4">
      <w:start w:val="1"/>
      <w:numFmt w:val="decimal"/>
      <w:lvlText w:val="%3."/>
      <w:lvlJc w:val="left"/>
      <w:pPr>
        <w:ind w:left="360" w:hanging="360"/>
      </w:pPr>
      <w:rPr>
        <w:rFonts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7" w15:restartNumberingAfterBreak="0">
    <w:nsid w:val="75690AFB"/>
    <w:multiLevelType w:val="hybridMultilevel"/>
    <w:tmpl w:val="DEE6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C263C8"/>
    <w:multiLevelType w:val="hybridMultilevel"/>
    <w:tmpl w:val="65B8A5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77AB1F4F"/>
    <w:multiLevelType w:val="hybridMultilevel"/>
    <w:tmpl w:val="B87600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B262C5E"/>
    <w:multiLevelType w:val="hybridMultilevel"/>
    <w:tmpl w:val="5840F7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0E65C1"/>
    <w:multiLevelType w:val="hybridMultilevel"/>
    <w:tmpl w:val="C76AA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33739297">
    <w:abstractNumId w:val="0"/>
  </w:num>
  <w:num w:numId="2" w16cid:durableId="1325430988">
    <w:abstractNumId w:val="26"/>
  </w:num>
  <w:num w:numId="3" w16cid:durableId="787163584">
    <w:abstractNumId w:val="36"/>
  </w:num>
  <w:num w:numId="4" w16cid:durableId="1521579129">
    <w:abstractNumId w:val="10"/>
  </w:num>
  <w:num w:numId="5" w16cid:durableId="1572041592">
    <w:abstractNumId w:val="41"/>
  </w:num>
  <w:num w:numId="6" w16cid:durableId="10035481">
    <w:abstractNumId w:val="38"/>
  </w:num>
  <w:num w:numId="7" w16cid:durableId="240063526">
    <w:abstractNumId w:val="15"/>
  </w:num>
  <w:num w:numId="8" w16cid:durableId="1233419838">
    <w:abstractNumId w:val="5"/>
  </w:num>
  <w:num w:numId="9" w16cid:durableId="681785210">
    <w:abstractNumId w:val="20"/>
  </w:num>
  <w:num w:numId="10" w16cid:durableId="935526687">
    <w:abstractNumId w:val="17"/>
  </w:num>
  <w:num w:numId="11" w16cid:durableId="137965743">
    <w:abstractNumId w:val="13"/>
  </w:num>
  <w:num w:numId="12" w16cid:durableId="1753818434">
    <w:abstractNumId w:val="16"/>
  </w:num>
  <w:num w:numId="13" w16cid:durableId="1508448776">
    <w:abstractNumId w:val="14"/>
  </w:num>
  <w:num w:numId="14" w16cid:durableId="338429430">
    <w:abstractNumId w:val="3"/>
  </w:num>
  <w:num w:numId="15" w16cid:durableId="138617301">
    <w:abstractNumId w:val="28"/>
  </w:num>
  <w:num w:numId="16" w16cid:durableId="1868593171">
    <w:abstractNumId w:val="12"/>
  </w:num>
  <w:num w:numId="17" w16cid:durableId="1755664628">
    <w:abstractNumId w:val="25"/>
  </w:num>
  <w:num w:numId="18" w16cid:durableId="1048916747">
    <w:abstractNumId w:val="2"/>
  </w:num>
  <w:num w:numId="19" w16cid:durableId="1605769565">
    <w:abstractNumId w:val="11"/>
  </w:num>
  <w:num w:numId="20" w16cid:durableId="109130372">
    <w:abstractNumId w:val="23"/>
  </w:num>
  <w:num w:numId="21" w16cid:durableId="1715537981">
    <w:abstractNumId w:val="34"/>
  </w:num>
  <w:num w:numId="22" w16cid:durableId="1460764604">
    <w:abstractNumId w:val="40"/>
  </w:num>
  <w:num w:numId="23" w16cid:durableId="1729304421">
    <w:abstractNumId w:val="33"/>
  </w:num>
  <w:num w:numId="24" w16cid:durableId="884218011">
    <w:abstractNumId w:val="37"/>
  </w:num>
  <w:num w:numId="25" w16cid:durableId="1952544025">
    <w:abstractNumId w:val="30"/>
  </w:num>
  <w:num w:numId="26" w16cid:durableId="467170326">
    <w:abstractNumId w:val="27"/>
  </w:num>
  <w:num w:numId="27" w16cid:durableId="1854568358">
    <w:abstractNumId w:val="24"/>
  </w:num>
  <w:num w:numId="28" w16cid:durableId="1505625112">
    <w:abstractNumId w:val="6"/>
  </w:num>
  <w:num w:numId="29" w16cid:durableId="1873230796">
    <w:abstractNumId w:val="31"/>
  </w:num>
  <w:num w:numId="30" w16cid:durableId="15540632">
    <w:abstractNumId w:val="9"/>
  </w:num>
  <w:num w:numId="31" w16cid:durableId="1066761895">
    <w:abstractNumId w:val="8"/>
  </w:num>
  <w:num w:numId="32" w16cid:durableId="1909263081">
    <w:abstractNumId w:val="1"/>
  </w:num>
  <w:num w:numId="33" w16cid:durableId="719399887">
    <w:abstractNumId w:val="4"/>
  </w:num>
  <w:num w:numId="34" w16cid:durableId="1370302828">
    <w:abstractNumId w:val="29"/>
  </w:num>
  <w:num w:numId="35" w16cid:durableId="873926646">
    <w:abstractNumId w:val="35"/>
  </w:num>
  <w:num w:numId="36" w16cid:durableId="576986223">
    <w:abstractNumId w:val="21"/>
  </w:num>
  <w:num w:numId="37" w16cid:durableId="725959339">
    <w:abstractNumId w:val="19"/>
  </w:num>
  <w:num w:numId="38" w16cid:durableId="682518316">
    <w:abstractNumId w:val="32"/>
  </w:num>
  <w:num w:numId="39" w16cid:durableId="1228108988">
    <w:abstractNumId w:val="7"/>
  </w:num>
  <w:num w:numId="40" w16cid:durableId="915015270">
    <w:abstractNumId w:val="22"/>
  </w:num>
  <w:num w:numId="41" w16cid:durableId="18169604">
    <w:abstractNumId w:val="39"/>
  </w:num>
  <w:num w:numId="42" w16cid:durableId="1997806141">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5A5"/>
    <w:rsid w:val="000073C4"/>
    <w:rsid w:val="00012C1E"/>
    <w:rsid w:val="000136AC"/>
    <w:rsid w:val="00015F0D"/>
    <w:rsid w:val="00017326"/>
    <w:rsid w:val="00020023"/>
    <w:rsid w:val="00027A34"/>
    <w:rsid w:val="00031138"/>
    <w:rsid w:val="000322E7"/>
    <w:rsid w:val="000322FF"/>
    <w:rsid w:val="00036454"/>
    <w:rsid w:val="00040783"/>
    <w:rsid w:val="00044CFD"/>
    <w:rsid w:val="00045246"/>
    <w:rsid w:val="00050B89"/>
    <w:rsid w:val="000536A3"/>
    <w:rsid w:val="00057791"/>
    <w:rsid w:val="000577B4"/>
    <w:rsid w:val="00057CFC"/>
    <w:rsid w:val="00057D71"/>
    <w:rsid w:val="00060EF4"/>
    <w:rsid w:val="00061A09"/>
    <w:rsid w:val="0007466E"/>
    <w:rsid w:val="00074A1B"/>
    <w:rsid w:val="00075095"/>
    <w:rsid w:val="00076EA8"/>
    <w:rsid w:val="00077001"/>
    <w:rsid w:val="0008247C"/>
    <w:rsid w:val="000824DD"/>
    <w:rsid w:val="000832EB"/>
    <w:rsid w:val="00083409"/>
    <w:rsid w:val="00083C08"/>
    <w:rsid w:val="00085801"/>
    <w:rsid w:val="00086462"/>
    <w:rsid w:val="00087E4F"/>
    <w:rsid w:val="00090A9C"/>
    <w:rsid w:val="000914EC"/>
    <w:rsid w:val="0009151C"/>
    <w:rsid w:val="00092C24"/>
    <w:rsid w:val="00093DC3"/>
    <w:rsid w:val="000940A0"/>
    <w:rsid w:val="00097C13"/>
    <w:rsid w:val="00097FAE"/>
    <w:rsid w:val="000A1D3E"/>
    <w:rsid w:val="000A1E46"/>
    <w:rsid w:val="000A310D"/>
    <w:rsid w:val="000A3759"/>
    <w:rsid w:val="000A49ED"/>
    <w:rsid w:val="000A6578"/>
    <w:rsid w:val="000A749C"/>
    <w:rsid w:val="000B0864"/>
    <w:rsid w:val="000B0B32"/>
    <w:rsid w:val="000B0E21"/>
    <w:rsid w:val="000B18BD"/>
    <w:rsid w:val="000B480B"/>
    <w:rsid w:val="000B4A59"/>
    <w:rsid w:val="000B6618"/>
    <w:rsid w:val="000B706D"/>
    <w:rsid w:val="000B7FF8"/>
    <w:rsid w:val="000C616D"/>
    <w:rsid w:val="000C6F91"/>
    <w:rsid w:val="000C74D1"/>
    <w:rsid w:val="000C7BC3"/>
    <w:rsid w:val="000D0869"/>
    <w:rsid w:val="000D16AD"/>
    <w:rsid w:val="000D1D88"/>
    <w:rsid w:val="000D35AF"/>
    <w:rsid w:val="000D3EAE"/>
    <w:rsid w:val="000D4BE5"/>
    <w:rsid w:val="000D5131"/>
    <w:rsid w:val="000D6FF2"/>
    <w:rsid w:val="000E23AB"/>
    <w:rsid w:val="000E5E9A"/>
    <w:rsid w:val="000E6887"/>
    <w:rsid w:val="000F0A0D"/>
    <w:rsid w:val="000F1437"/>
    <w:rsid w:val="000F25C9"/>
    <w:rsid w:val="000F2BFC"/>
    <w:rsid w:val="000F797A"/>
    <w:rsid w:val="000F7F04"/>
    <w:rsid w:val="0010375B"/>
    <w:rsid w:val="001041E7"/>
    <w:rsid w:val="00110419"/>
    <w:rsid w:val="00110665"/>
    <w:rsid w:val="0011126E"/>
    <w:rsid w:val="00116AE4"/>
    <w:rsid w:val="00117CA1"/>
    <w:rsid w:val="00124F46"/>
    <w:rsid w:val="00125FDB"/>
    <w:rsid w:val="00134C25"/>
    <w:rsid w:val="0013659B"/>
    <w:rsid w:val="001378AD"/>
    <w:rsid w:val="001418CD"/>
    <w:rsid w:val="001421FE"/>
    <w:rsid w:val="00143906"/>
    <w:rsid w:val="00152104"/>
    <w:rsid w:val="0015279C"/>
    <w:rsid w:val="00152B1C"/>
    <w:rsid w:val="00160349"/>
    <w:rsid w:val="001603EF"/>
    <w:rsid w:val="001618EF"/>
    <w:rsid w:val="001624C4"/>
    <w:rsid w:val="001625B8"/>
    <w:rsid w:val="001641DC"/>
    <w:rsid w:val="00164370"/>
    <w:rsid w:val="001654CD"/>
    <w:rsid w:val="001656CC"/>
    <w:rsid w:val="00167548"/>
    <w:rsid w:val="00167E73"/>
    <w:rsid w:val="00171756"/>
    <w:rsid w:val="001723AA"/>
    <w:rsid w:val="00172951"/>
    <w:rsid w:val="00172A48"/>
    <w:rsid w:val="00175636"/>
    <w:rsid w:val="001760D9"/>
    <w:rsid w:val="001762F4"/>
    <w:rsid w:val="00177E64"/>
    <w:rsid w:val="00180799"/>
    <w:rsid w:val="00180A9B"/>
    <w:rsid w:val="001846BB"/>
    <w:rsid w:val="00185F71"/>
    <w:rsid w:val="00194D56"/>
    <w:rsid w:val="00195226"/>
    <w:rsid w:val="001A3911"/>
    <w:rsid w:val="001A3ABE"/>
    <w:rsid w:val="001A5804"/>
    <w:rsid w:val="001A680C"/>
    <w:rsid w:val="001A7C13"/>
    <w:rsid w:val="001B5421"/>
    <w:rsid w:val="001B5B53"/>
    <w:rsid w:val="001B7B64"/>
    <w:rsid w:val="001C01BE"/>
    <w:rsid w:val="001C1B15"/>
    <w:rsid w:val="001C2D09"/>
    <w:rsid w:val="001C2E98"/>
    <w:rsid w:val="001C2FF0"/>
    <w:rsid w:val="001C3DA0"/>
    <w:rsid w:val="001C426A"/>
    <w:rsid w:val="001C482F"/>
    <w:rsid w:val="001C485C"/>
    <w:rsid w:val="001C7DB2"/>
    <w:rsid w:val="001D038E"/>
    <w:rsid w:val="001D47AD"/>
    <w:rsid w:val="001D55C5"/>
    <w:rsid w:val="001D5668"/>
    <w:rsid w:val="001E252D"/>
    <w:rsid w:val="001E2677"/>
    <w:rsid w:val="001E2F2A"/>
    <w:rsid w:val="001E32DF"/>
    <w:rsid w:val="001E3406"/>
    <w:rsid w:val="001F38D7"/>
    <w:rsid w:val="001F3B56"/>
    <w:rsid w:val="001F441A"/>
    <w:rsid w:val="0020239B"/>
    <w:rsid w:val="002059BA"/>
    <w:rsid w:val="00205F80"/>
    <w:rsid w:val="00210FA3"/>
    <w:rsid w:val="0021305C"/>
    <w:rsid w:val="00213EAB"/>
    <w:rsid w:val="00217271"/>
    <w:rsid w:val="0022051E"/>
    <w:rsid w:val="00220CE6"/>
    <w:rsid w:val="00222118"/>
    <w:rsid w:val="00222468"/>
    <w:rsid w:val="002267E3"/>
    <w:rsid w:val="00231AB1"/>
    <w:rsid w:val="00232A16"/>
    <w:rsid w:val="00233335"/>
    <w:rsid w:val="00240338"/>
    <w:rsid w:val="0024045F"/>
    <w:rsid w:val="00240A75"/>
    <w:rsid w:val="0024189A"/>
    <w:rsid w:val="00242A04"/>
    <w:rsid w:val="00247876"/>
    <w:rsid w:val="00247FF4"/>
    <w:rsid w:val="00250CC6"/>
    <w:rsid w:val="00251580"/>
    <w:rsid w:val="00257F01"/>
    <w:rsid w:val="002616CF"/>
    <w:rsid w:val="00263733"/>
    <w:rsid w:val="00264677"/>
    <w:rsid w:val="00265C31"/>
    <w:rsid w:val="002664D5"/>
    <w:rsid w:val="002668D8"/>
    <w:rsid w:val="00266F9C"/>
    <w:rsid w:val="00271AB6"/>
    <w:rsid w:val="00274C5B"/>
    <w:rsid w:val="002752CD"/>
    <w:rsid w:val="00280FF6"/>
    <w:rsid w:val="00285330"/>
    <w:rsid w:val="00286DE0"/>
    <w:rsid w:val="00291499"/>
    <w:rsid w:val="002917E3"/>
    <w:rsid w:val="00291C72"/>
    <w:rsid w:val="00292D05"/>
    <w:rsid w:val="00294C02"/>
    <w:rsid w:val="00297342"/>
    <w:rsid w:val="002A06BA"/>
    <w:rsid w:val="002A113E"/>
    <w:rsid w:val="002A2235"/>
    <w:rsid w:val="002A54A2"/>
    <w:rsid w:val="002A64F2"/>
    <w:rsid w:val="002B25AB"/>
    <w:rsid w:val="002B338E"/>
    <w:rsid w:val="002B6766"/>
    <w:rsid w:val="002C0B71"/>
    <w:rsid w:val="002C2285"/>
    <w:rsid w:val="002C3A90"/>
    <w:rsid w:val="002C6EAC"/>
    <w:rsid w:val="002D019D"/>
    <w:rsid w:val="002D11A9"/>
    <w:rsid w:val="002D1A48"/>
    <w:rsid w:val="002D1C95"/>
    <w:rsid w:val="002D3349"/>
    <w:rsid w:val="002D33E8"/>
    <w:rsid w:val="002D4E65"/>
    <w:rsid w:val="002D638C"/>
    <w:rsid w:val="002D6703"/>
    <w:rsid w:val="002D68BB"/>
    <w:rsid w:val="002E03CF"/>
    <w:rsid w:val="002E0EA6"/>
    <w:rsid w:val="002E38A7"/>
    <w:rsid w:val="002E539B"/>
    <w:rsid w:val="002E59F5"/>
    <w:rsid w:val="002F0EEA"/>
    <w:rsid w:val="002F1419"/>
    <w:rsid w:val="002F1457"/>
    <w:rsid w:val="002F20A7"/>
    <w:rsid w:val="002F20B5"/>
    <w:rsid w:val="002F608A"/>
    <w:rsid w:val="003004F3"/>
    <w:rsid w:val="00313D83"/>
    <w:rsid w:val="00316776"/>
    <w:rsid w:val="003223F2"/>
    <w:rsid w:val="00322A0D"/>
    <w:rsid w:val="00322CDE"/>
    <w:rsid w:val="003235C8"/>
    <w:rsid w:val="00327C8D"/>
    <w:rsid w:val="00333980"/>
    <w:rsid w:val="00333C4D"/>
    <w:rsid w:val="00333FF1"/>
    <w:rsid w:val="00334002"/>
    <w:rsid w:val="00335E83"/>
    <w:rsid w:val="00343773"/>
    <w:rsid w:val="00344BDC"/>
    <w:rsid w:val="00344EDD"/>
    <w:rsid w:val="00345A4A"/>
    <w:rsid w:val="00345D80"/>
    <w:rsid w:val="00351607"/>
    <w:rsid w:val="003530A3"/>
    <w:rsid w:val="003543E8"/>
    <w:rsid w:val="00354F1D"/>
    <w:rsid w:val="00355B45"/>
    <w:rsid w:val="00356156"/>
    <w:rsid w:val="00360A3F"/>
    <w:rsid w:val="00362333"/>
    <w:rsid w:val="00362920"/>
    <w:rsid w:val="0036440D"/>
    <w:rsid w:val="00364C07"/>
    <w:rsid w:val="00364FDC"/>
    <w:rsid w:val="0036731C"/>
    <w:rsid w:val="003709B2"/>
    <w:rsid w:val="00372E00"/>
    <w:rsid w:val="00377C52"/>
    <w:rsid w:val="00377CB0"/>
    <w:rsid w:val="00381E03"/>
    <w:rsid w:val="00381E67"/>
    <w:rsid w:val="00382750"/>
    <w:rsid w:val="00384B6D"/>
    <w:rsid w:val="0038743B"/>
    <w:rsid w:val="003924E8"/>
    <w:rsid w:val="00395E1F"/>
    <w:rsid w:val="00395EA1"/>
    <w:rsid w:val="0039652C"/>
    <w:rsid w:val="00397058"/>
    <w:rsid w:val="003A34C1"/>
    <w:rsid w:val="003A4334"/>
    <w:rsid w:val="003A7450"/>
    <w:rsid w:val="003A7CBD"/>
    <w:rsid w:val="003B0F00"/>
    <w:rsid w:val="003B1418"/>
    <w:rsid w:val="003B2291"/>
    <w:rsid w:val="003B3599"/>
    <w:rsid w:val="003B4A9A"/>
    <w:rsid w:val="003B6969"/>
    <w:rsid w:val="003C05E1"/>
    <w:rsid w:val="003C54ED"/>
    <w:rsid w:val="003C5564"/>
    <w:rsid w:val="003D1456"/>
    <w:rsid w:val="003D3563"/>
    <w:rsid w:val="003D5F89"/>
    <w:rsid w:val="003D6483"/>
    <w:rsid w:val="003D7E7F"/>
    <w:rsid w:val="003E1E60"/>
    <w:rsid w:val="003E5809"/>
    <w:rsid w:val="003E7520"/>
    <w:rsid w:val="003F5C18"/>
    <w:rsid w:val="003F6189"/>
    <w:rsid w:val="003F69BC"/>
    <w:rsid w:val="003F7572"/>
    <w:rsid w:val="00402760"/>
    <w:rsid w:val="00403930"/>
    <w:rsid w:val="004040B9"/>
    <w:rsid w:val="0040510D"/>
    <w:rsid w:val="00410D73"/>
    <w:rsid w:val="004121EE"/>
    <w:rsid w:val="0041471D"/>
    <w:rsid w:val="004158D6"/>
    <w:rsid w:val="0042564C"/>
    <w:rsid w:val="004277F3"/>
    <w:rsid w:val="0043343C"/>
    <w:rsid w:val="0043372F"/>
    <w:rsid w:val="0043449E"/>
    <w:rsid w:val="00434F06"/>
    <w:rsid w:val="004352D2"/>
    <w:rsid w:val="00436B59"/>
    <w:rsid w:val="00436F3A"/>
    <w:rsid w:val="00440E40"/>
    <w:rsid w:val="004413CD"/>
    <w:rsid w:val="0044258D"/>
    <w:rsid w:val="00443A60"/>
    <w:rsid w:val="00444B1D"/>
    <w:rsid w:val="00444B3C"/>
    <w:rsid w:val="00444E8E"/>
    <w:rsid w:val="00450B96"/>
    <w:rsid w:val="0045350D"/>
    <w:rsid w:val="00453B38"/>
    <w:rsid w:val="00454201"/>
    <w:rsid w:val="0045581D"/>
    <w:rsid w:val="00457F37"/>
    <w:rsid w:val="00460F48"/>
    <w:rsid w:val="00463130"/>
    <w:rsid w:val="00464365"/>
    <w:rsid w:val="004655B7"/>
    <w:rsid w:val="00466097"/>
    <w:rsid w:val="00466C60"/>
    <w:rsid w:val="0046701C"/>
    <w:rsid w:val="004670FD"/>
    <w:rsid w:val="00471D96"/>
    <w:rsid w:val="0047238C"/>
    <w:rsid w:val="00473F99"/>
    <w:rsid w:val="0047515D"/>
    <w:rsid w:val="0048002A"/>
    <w:rsid w:val="00481A79"/>
    <w:rsid w:val="0048364F"/>
    <w:rsid w:val="0048465E"/>
    <w:rsid w:val="004848D1"/>
    <w:rsid w:val="00485BD0"/>
    <w:rsid w:val="004862B9"/>
    <w:rsid w:val="00486B51"/>
    <w:rsid w:val="00487152"/>
    <w:rsid w:val="00487A44"/>
    <w:rsid w:val="0049045F"/>
    <w:rsid w:val="004908D6"/>
    <w:rsid w:val="00491DEB"/>
    <w:rsid w:val="00492E40"/>
    <w:rsid w:val="00493731"/>
    <w:rsid w:val="00497758"/>
    <w:rsid w:val="004A10BC"/>
    <w:rsid w:val="004B0549"/>
    <w:rsid w:val="004B1E9E"/>
    <w:rsid w:val="004B250F"/>
    <w:rsid w:val="004B28F9"/>
    <w:rsid w:val="004B484B"/>
    <w:rsid w:val="004B4D60"/>
    <w:rsid w:val="004B53E2"/>
    <w:rsid w:val="004B59DA"/>
    <w:rsid w:val="004B78C6"/>
    <w:rsid w:val="004B7AF1"/>
    <w:rsid w:val="004B7E79"/>
    <w:rsid w:val="004C0C16"/>
    <w:rsid w:val="004C0D1E"/>
    <w:rsid w:val="004C1CC5"/>
    <w:rsid w:val="004C27F9"/>
    <w:rsid w:val="004C6B2B"/>
    <w:rsid w:val="004C7503"/>
    <w:rsid w:val="004C7B52"/>
    <w:rsid w:val="004C7E01"/>
    <w:rsid w:val="004D075E"/>
    <w:rsid w:val="004D0A3E"/>
    <w:rsid w:val="004D2A39"/>
    <w:rsid w:val="004D3152"/>
    <w:rsid w:val="004D5AC1"/>
    <w:rsid w:val="004D5CF5"/>
    <w:rsid w:val="004D6DB2"/>
    <w:rsid w:val="004D7783"/>
    <w:rsid w:val="004D7E25"/>
    <w:rsid w:val="004D7F28"/>
    <w:rsid w:val="004E01F6"/>
    <w:rsid w:val="004E0E5B"/>
    <w:rsid w:val="004E29E3"/>
    <w:rsid w:val="004E7BDE"/>
    <w:rsid w:val="004F154C"/>
    <w:rsid w:val="004F1607"/>
    <w:rsid w:val="004F16E5"/>
    <w:rsid w:val="004F1964"/>
    <w:rsid w:val="004F1CF1"/>
    <w:rsid w:val="004F25C0"/>
    <w:rsid w:val="004F7270"/>
    <w:rsid w:val="004F7ABA"/>
    <w:rsid w:val="0050023D"/>
    <w:rsid w:val="0050288C"/>
    <w:rsid w:val="0050451B"/>
    <w:rsid w:val="0050470E"/>
    <w:rsid w:val="00506D21"/>
    <w:rsid w:val="0050709D"/>
    <w:rsid w:val="005144E3"/>
    <w:rsid w:val="00515088"/>
    <w:rsid w:val="0052019E"/>
    <w:rsid w:val="005206BA"/>
    <w:rsid w:val="00520EA9"/>
    <w:rsid w:val="0053336F"/>
    <w:rsid w:val="00533AA9"/>
    <w:rsid w:val="005346ED"/>
    <w:rsid w:val="00534C6E"/>
    <w:rsid w:val="00535ED5"/>
    <w:rsid w:val="0053681E"/>
    <w:rsid w:val="005426F5"/>
    <w:rsid w:val="005433BE"/>
    <w:rsid w:val="00545742"/>
    <w:rsid w:val="00545FDC"/>
    <w:rsid w:val="00546BB3"/>
    <w:rsid w:val="005532E5"/>
    <w:rsid w:val="00555689"/>
    <w:rsid w:val="00556639"/>
    <w:rsid w:val="00560CC1"/>
    <w:rsid w:val="0056155E"/>
    <w:rsid w:val="0056167C"/>
    <w:rsid w:val="00563091"/>
    <w:rsid w:val="00570C03"/>
    <w:rsid w:val="00574384"/>
    <w:rsid w:val="005755B5"/>
    <w:rsid w:val="00581170"/>
    <w:rsid w:val="00581D5D"/>
    <w:rsid w:val="00584C41"/>
    <w:rsid w:val="00584F2C"/>
    <w:rsid w:val="00586366"/>
    <w:rsid w:val="0059257E"/>
    <w:rsid w:val="00594D10"/>
    <w:rsid w:val="00595574"/>
    <w:rsid w:val="005956AA"/>
    <w:rsid w:val="00597208"/>
    <w:rsid w:val="005A249E"/>
    <w:rsid w:val="005A3266"/>
    <w:rsid w:val="005A3959"/>
    <w:rsid w:val="005A3D0B"/>
    <w:rsid w:val="005A400D"/>
    <w:rsid w:val="005A4F66"/>
    <w:rsid w:val="005A5496"/>
    <w:rsid w:val="005A76D0"/>
    <w:rsid w:val="005A7EB2"/>
    <w:rsid w:val="005B076E"/>
    <w:rsid w:val="005B19BB"/>
    <w:rsid w:val="005B1B89"/>
    <w:rsid w:val="005B2344"/>
    <w:rsid w:val="005B25B6"/>
    <w:rsid w:val="005B2E32"/>
    <w:rsid w:val="005B51DA"/>
    <w:rsid w:val="005B65AE"/>
    <w:rsid w:val="005B7779"/>
    <w:rsid w:val="005C1223"/>
    <w:rsid w:val="005C13D3"/>
    <w:rsid w:val="005C3DA2"/>
    <w:rsid w:val="005C4EB2"/>
    <w:rsid w:val="005C6A15"/>
    <w:rsid w:val="005D1768"/>
    <w:rsid w:val="005D2492"/>
    <w:rsid w:val="005D3D19"/>
    <w:rsid w:val="005D59A7"/>
    <w:rsid w:val="005D7808"/>
    <w:rsid w:val="005E1B7D"/>
    <w:rsid w:val="005E24FB"/>
    <w:rsid w:val="005E33E6"/>
    <w:rsid w:val="005E3641"/>
    <w:rsid w:val="005E42AD"/>
    <w:rsid w:val="005E4CDF"/>
    <w:rsid w:val="005E5F72"/>
    <w:rsid w:val="005E6A87"/>
    <w:rsid w:val="005F2661"/>
    <w:rsid w:val="005F4381"/>
    <w:rsid w:val="005F48DB"/>
    <w:rsid w:val="005F5AF5"/>
    <w:rsid w:val="005F70FC"/>
    <w:rsid w:val="005F7345"/>
    <w:rsid w:val="00601B8A"/>
    <w:rsid w:val="00602907"/>
    <w:rsid w:val="00602C77"/>
    <w:rsid w:val="006052B6"/>
    <w:rsid w:val="00605FB9"/>
    <w:rsid w:val="006066E7"/>
    <w:rsid w:val="0061026F"/>
    <w:rsid w:val="00616CCD"/>
    <w:rsid w:val="006210C5"/>
    <w:rsid w:val="00621F2E"/>
    <w:rsid w:val="0062589E"/>
    <w:rsid w:val="00625A3C"/>
    <w:rsid w:val="00625E98"/>
    <w:rsid w:val="00626E7A"/>
    <w:rsid w:val="006272BA"/>
    <w:rsid w:val="00633F98"/>
    <w:rsid w:val="00634932"/>
    <w:rsid w:val="0063758C"/>
    <w:rsid w:val="00644050"/>
    <w:rsid w:val="006447D8"/>
    <w:rsid w:val="00644F28"/>
    <w:rsid w:val="00646FBB"/>
    <w:rsid w:val="0065187E"/>
    <w:rsid w:val="00655684"/>
    <w:rsid w:val="00655E8D"/>
    <w:rsid w:val="00660743"/>
    <w:rsid w:val="00661A1D"/>
    <w:rsid w:val="00663189"/>
    <w:rsid w:val="00664639"/>
    <w:rsid w:val="00665475"/>
    <w:rsid w:val="00667BBF"/>
    <w:rsid w:val="006731F3"/>
    <w:rsid w:val="00676B85"/>
    <w:rsid w:val="006770DE"/>
    <w:rsid w:val="0068067D"/>
    <w:rsid w:val="00681DDF"/>
    <w:rsid w:val="00681E12"/>
    <w:rsid w:val="00685A20"/>
    <w:rsid w:val="00686195"/>
    <w:rsid w:val="00687F77"/>
    <w:rsid w:val="00687FAF"/>
    <w:rsid w:val="00693289"/>
    <w:rsid w:val="00694E3F"/>
    <w:rsid w:val="0069634B"/>
    <w:rsid w:val="0069637E"/>
    <w:rsid w:val="006A1FAE"/>
    <w:rsid w:val="006A2752"/>
    <w:rsid w:val="006A2AF0"/>
    <w:rsid w:val="006A6532"/>
    <w:rsid w:val="006A7DC3"/>
    <w:rsid w:val="006B1075"/>
    <w:rsid w:val="006B366F"/>
    <w:rsid w:val="006B4D08"/>
    <w:rsid w:val="006B51C2"/>
    <w:rsid w:val="006C0B2D"/>
    <w:rsid w:val="006C10F3"/>
    <w:rsid w:val="006C2E76"/>
    <w:rsid w:val="006C40E1"/>
    <w:rsid w:val="006C41A4"/>
    <w:rsid w:val="006C4D98"/>
    <w:rsid w:val="006C54C9"/>
    <w:rsid w:val="006C74C3"/>
    <w:rsid w:val="006C74D7"/>
    <w:rsid w:val="006D2973"/>
    <w:rsid w:val="006D38FF"/>
    <w:rsid w:val="006D5422"/>
    <w:rsid w:val="006E35DF"/>
    <w:rsid w:val="006E5511"/>
    <w:rsid w:val="006E6AA3"/>
    <w:rsid w:val="006E7C5B"/>
    <w:rsid w:val="006F0344"/>
    <w:rsid w:val="006F1837"/>
    <w:rsid w:val="006F3CD1"/>
    <w:rsid w:val="006F4E00"/>
    <w:rsid w:val="00701E8F"/>
    <w:rsid w:val="0070272D"/>
    <w:rsid w:val="00703A9A"/>
    <w:rsid w:val="00703D81"/>
    <w:rsid w:val="00704C25"/>
    <w:rsid w:val="00705F1D"/>
    <w:rsid w:val="00706AC7"/>
    <w:rsid w:val="00707214"/>
    <w:rsid w:val="00711248"/>
    <w:rsid w:val="00713A6D"/>
    <w:rsid w:val="00714B91"/>
    <w:rsid w:val="0071759B"/>
    <w:rsid w:val="00717602"/>
    <w:rsid w:val="00717B72"/>
    <w:rsid w:val="007203EA"/>
    <w:rsid w:val="007239AC"/>
    <w:rsid w:val="00723E95"/>
    <w:rsid w:val="0072501F"/>
    <w:rsid w:val="00725275"/>
    <w:rsid w:val="00725411"/>
    <w:rsid w:val="007270C8"/>
    <w:rsid w:val="00730F61"/>
    <w:rsid w:val="00733953"/>
    <w:rsid w:val="00736364"/>
    <w:rsid w:val="0073642B"/>
    <w:rsid w:val="007365C5"/>
    <w:rsid w:val="0073682E"/>
    <w:rsid w:val="00740AB1"/>
    <w:rsid w:val="00745357"/>
    <w:rsid w:val="0074573E"/>
    <w:rsid w:val="00745C19"/>
    <w:rsid w:val="00747729"/>
    <w:rsid w:val="007507AF"/>
    <w:rsid w:val="00750F2F"/>
    <w:rsid w:val="007534F0"/>
    <w:rsid w:val="00754496"/>
    <w:rsid w:val="00764F11"/>
    <w:rsid w:val="00765675"/>
    <w:rsid w:val="0076684E"/>
    <w:rsid w:val="00766937"/>
    <w:rsid w:val="00766A58"/>
    <w:rsid w:val="00773957"/>
    <w:rsid w:val="00773B98"/>
    <w:rsid w:val="007745B7"/>
    <w:rsid w:val="007764F4"/>
    <w:rsid w:val="00776AB8"/>
    <w:rsid w:val="00781550"/>
    <w:rsid w:val="00781884"/>
    <w:rsid w:val="007822A3"/>
    <w:rsid w:val="0078346F"/>
    <w:rsid w:val="00784FE2"/>
    <w:rsid w:val="00785011"/>
    <w:rsid w:val="00785B37"/>
    <w:rsid w:val="00786132"/>
    <w:rsid w:val="00790119"/>
    <w:rsid w:val="007905CF"/>
    <w:rsid w:val="00790B4E"/>
    <w:rsid w:val="00791F76"/>
    <w:rsid w:val="00793616"/>
    <w:rsid w:val="00794183"/>
    <w:rsid w:val="00795AA3"/>
    <w:rsid w:val="007969DC"/>
    <w:rsid w:val="00797AF9"/>
    <w:rsid w:val="00797DEA"/>
    <w:rsid w:val="007A0C68"/>
    <w:rsid w:val="007A31DC"/>
    <w:rsid w:val="007A55D4"/>
    <w:rsid w:val="007B0E69"/>
    <w:rsid w:val="007B1E8D"/>
    <w:rsid w:val="007B29E4"/>
    <w:rsid w:val="007B3A5C"/>
    <w:rsid w:val="007B5C56"/>
    <w:rsid w:val="007C0ACE"/>
    <w:rsid w:val="007C1F01"/>
    <w:rsid w:val="007C22B7"/>
    <w:rsid w:val="007C29B8"/>
    <w:rsid w:val="007C428F"/>
    <w:rsid w:val="007C442D"/>
    <w:rsid w:val="007C62EE"/>
    <w:rsid w:val="007D39B9"/>
    <w:rsid w:val="007D58CE"/>
    <w:rsid w:val="007D7D94"/>
    <w:rsid w:val="007E2852"/>
    <w:rsid w:val="007E3985"/>
    <w:rsid w:val="007E4447"/>
    <w:rsid w:val="007F4183"/>
    <w:rsid w:val="007F4785"/>
    <w:rsid w:val="007F604F"/>
    <w:rsid w:val="007F7F8F"/>
    <w:rsid w:val="007F7FF6"/>
    <w:rsid w:val="008022F1"/>
    <w:rsid w:val="00802902"/>
    <w:rsid w:val="00802EEF"/>
    <w:rsid w:val="00806D31"/>
    <w:rsid w:val="00810AE7"/>
    <w:rsid w:val="008120F4"/>
    <w:rsid w:val="00812521"/>
    <w:rsid w:val="00816A01"/>
    <w:rsid w:val="008173B3"/>
    <w:rsid w:val="00817E2A"/>
    <w:rsid w:val="008200D7"/>
    <w:rsid w:val="008239B0"/>
    <w:rsid w:val="00824BD7"/>
    <w:rsid w:val="00831B04"/>
    <w:rsid w:val="008323F4"/>
    <w:rsid w:val="008357E5"/>
    <w:rsid w:val="008364C6"/>
    <w:rsid w:val="00836D37"/>
    <w:rsid w:val="0083758C"/>
    <w:rsid w:val="00837A68"/>
    <w:rsid w:val="00840269"/>
    <w:rsid w:val="00840C1E"/>
    <w:rsid w:val="008432FD"/>
    <w:rsid w:val="00843CD6"/>
    <w:rsid w:val="00844D37"/>
    <w:rsid w:val="00847EE2"/>
    <w:rsid w:val="00852494"/>
    <w:rsid w:val="00854E14"/>
    <w:rsid w:val="00855C53"/>
    <w:rsid w:val="00856201"/>
    <w:rsid w:val="00861DC2"/>
    <w:rsid w:val="0086333D"/>
    <w:rsid w:val="00863EE1"/>
    <w:rsid w:val="00864B2B"/>
    <w:rsid w:val="00866982"/>
    <w:rsid w:val="00875A9F"/>
    <w:rsid w:val="00875CA4"/>
    <w:rsid w:val="00875D32"/>
    <w:rsid w:val="00875F77"/>
    <w:rsid w:val="008769F3"/>
    <w:rsid w:val="008804AB"/>
    <w:rsid w:val="008806D9"/>
    <w:rsid w:val="0088301D"/>
    <w:rsid w:val="00883E09"/>
    <w:rsid w:val="008849D8"/>
    <w:rsid w:val="00886510"/>
    <w:rsid w:val="00887763"/>
    <w:rsid w:val="00890400"/>
    <w:rsid w:val="0089176E"/>
    <w:rsid w:val="00892D95"/>
    <w:rsid w:val="00894F92"/>
    <w:rsid w:val="0089666A"/>
    <w:rsid w:val="008A09DC"/>
    <w:rsid w:val="008A2025"/>
    <w:rsid w:val="008A2744"/>
    <w:rsid w:val="008A2AD6"/>
    <w:rsid w:val="008A2AF8"/>
    <w:rsid w:val="008A3CF5"/>
    <w:rsid w:val="008A4734"/>
    <w:rsid w:val="008A5ED9"/>
    <w:rsid w:val="008A6100"/>
    <w:rsid w:val="008A69EA"/>
    <w:rsid w:val="008A7D25"/>
    <w:rsid w:val="008B04DC"/>
    <w:rsid w:val="008B0F36"/>
    <w:rsid w:val="008B2727"/>
    <w:rsid w:val="008B4C77"/>
    <w:rsid w:val="008B5953"/>
    <w:rsid w:val="008C140C"/>
    <w:rsid w:val="008C2AA8"/>
    <w:rsid w:val="008C391A"/>
    <w:rsid w:val="008D036F"/>
    <w:rsid w:val="008D1B67"/>
    <w:rsid w:val="008D26C5"/>
    <w:rsid w:val="008D5F2C"/>
    <w:rsid w:val="008D6BF2"/>
    <w:rsid w:val="008D7382"/>
    <w:rsid w:val="008E18C4"/>
    <w:rsid w:val="008E1DF8"/>
    <w:rsid w:val="008E25FD"/>
    <w:rsid w:val="008E2625"/>
    <w:rsid w:val="008E342C"/>
    <w:rsid w:val="008E7947"/>
    <w:rsid w:val="008F160E"/>
    <w:rsid w:val="008F16AD"/>
    <w:rsid w:val="008F2772"/>
    <w:rsid w:val="008F29D2"/>
    <w:rsid w:val="008F4D56"/>
    <w:rsid w:val="0090098E"/>
    <w:rsid w:val="0090102E"/>
    <w:rsid w:val="009031D3"/>
    <w:rsid w:val="00905EA2"/>
    <w:rsid w:val="009071FF"/>
    <w:rsid w:val="00910B36"/>
    <w:rsid w:val="00911494"/>
    <w:rsid w:val="0091232D"/>
    <w:rsid w:val="00912E0A"/>
    <w:rsid w:val="009139AE"/>
    <w:rsid w:val="00914DEE"/>
    <w:rsid w:val="009157BC"/>
    <w:rsid w:val="00916122"/>
    <w:rsid w:val="00916986"/>
    <w:rsid w:val="00917142"/>
    <w:rsid w:val="0091720A"/>
    <w:rsid w:val="009173BC"/>
    <w:rsid w:val="00917C97"/>
    <w:rsid w:val="00920785"/>
    <w:rsid w:val="00921E2A"/>
    <w:rsid w:val="00922314"/>
    <w:rsid w:val="00922FF0"/>
    <w:rsid w:val="00931406"/>
    <w:rsid w:val="0093756B"/>
    <w:rsid w:val="009400C2"/>
    <w:rsid w:val="009434F8"/>
    <w:rsid w:val="009438BE"/>
    <w:rsid w:val="009462FA"/>
    <w:rsid w:val="009505DD"/>
    <w:rsid w:val="009554E8"/>
    <w:rsid w:val="00955905"/>
    <w:rsid w:val="00955EBF"/>
    <w:rsid w:val="00957F3D"/>
    <w:rsid w:val="00962E14"/>
    <w:rsid w:val="0096761A"/>
    <w:rsid w:val="009705B3"/>
    <w:rsid w:val="00971016"/>
    <w:rsid w:val="00972BEC"/>
    <w:rsid w:val="009737DA"/>
    <w:rsid w:val="009748C1"/>
    <w:rsid w:val="00975E1E"/>
    <w:rsid w:val="00977E98"/>
    <w:rsid w:val="0098045D"/>
    <w:rsid w:val="009813A6"/>
    <w:rsid w:val="00985460"/>
    <w:rsid w:val="00986198"/>
    <w:rsid w:val="0099046D"/>
    <w:rsid w:val="009942B7"/>
    <w:rsid w:val="00996AB0"/>
    <w:rsid w:val="009A3B11"/>
    <w:rsid w:val="009A6165"/>
    <w:rsid w:val="009A7534"/>
    <w:rsid w:val="009B170B"/>
    <w:rsid w:val="009B52FF"/>
    <w:rsid w:val="009B69C0"/>
    <w:rsid w:val="009B7B1F"/>
    <w:rsid w:val="009C1F6C"/>
    <w:rsid w:val="009C2244"/>
    <w:rsid w:val="009C3C7B"/>
    <w:rsid w:val="009C43E5"/>
    <w:rsid w:val="009D1181"/>
    <w:rsid w:val="009D1585"/>
    <w:rsid w:val="009D1C20"/>
    <w:rsid w:val="009D1D31"/>
    <w:rsid w:val="009D6C7E"/>
    <w:rsid w:val="009E0C57"/>
    <w:rsid w:val="009E1886"/>
    <w:rsid w:val="009E2CE9"/>
    <w:rsid w:val="009E4604"/>
    <w:rsid w:val="009E468F"/>
    <w:rsid w:val="009F1183"/>
    <w:rsid w:val="009F1514"/>
    <w:rsid w:val="009F2AB3"/>
    <w:rsid w:val="009F2F7B"/>
    <w:rsid w:val="009F44B4"/>
    <w:rsid w:val="009F4758"/>
    <w:rsid w:val="009F535E"/>
    <w:rsid w:val="009F589F"/>
    <w:rsid w:val="009F7119"/>
    <w:rsid w:val="009F73D2"/>
    <w:rsid w:val="009F7C4D"/>
    <w:rsid w:val="00A002E4"/>
    <w:rsid w:val="00A00401"/>
    <w:rsid w:val="00A043DE"/>
    <w:rsid w:val="00A05BAE"/>
    <w:rsid w:val="00A11618"/>
    <w:rsid w:val="00A12ADA"/>
    <w:rsid w:val="00A1327B"/>
    <w:rsid w:val="00A1431A"/>
    <w:rsid w:val="00A145E1"/>
    <w:rsid w:val="00A14CF4"/>
    <w:rsid w:val="00A1570C"/>
    <w:rsid w:val="00A15C4F"/>
    <w:rsid w:val="00A16E60"/>
    <w:rsid w:val="00A204CB"/>
    <w:rsid w:val="00A23560"/>
    <w:rsid w:val="00A23D85"/>
    <w:rsid w:val="00A2674F"/>
    <w:rsid w:val="00A2724A"/>
    <w:rsid w:val="00A27924"/>
    <w:rsid w:val="00A36121"/>
    <w:rsid w:val="00A36608"/>
    <w:rsid w:val="00A37197"/>
    <w:rsid w:val="00A37539"/>
    <w:rsid w:val="00A40353"/>
    <w:rsid w:val="00A40B26"/>
    <w:rsid w:val="00A40B4C"/>
    <w:rsid w:val="00A40E05"/>
    <w:rsid w:val="00A41647"/>
    <w:rsid w:val="00A42286"/>
    <w:rsid w:val="00A42786"/>
    <w:rsid w:val="00A432F8"/>
    <w:rsid w:val="00A45E81"/>
    <w:rsid w:val="00A51842"/>
    <w:rsid w:val="00A52B66"/>
    <w:rsid w:val="00A564F0"/>
    <w:rsid w:val="00A60347"/>
    <w:rsid w:val="00A6181A"/>
    <w:rsid w:val="00A62487"/>
    <w:rsid w:val="00A63AF0"/>
    <w:rsid w:val="00A63F47"/>
    <w:rsid w:val="00A646EC"/>
    <w:rsid w:val="00A65000"/>
    <w:rsid w:val="00A66488"/>
    <w:rsid w:val="00A67E70"/>
    <w:rsid w:val="00A70534"/>
    <w:rsid w:val="00A71888"/>
    <w:rsid w:val="00A73A46"/>
    <w:rsid w:val="00A74A2B"/>
    <w:rsid w:val="00A7525C"/>
    <w:rsid w:val="00A76C20"/>
    <w:rsid w:val="00A77B25"/>
    <w:rsid w:val="00A82431"/>
    <w:rsid w:val="00A83153"/>
    <w:rsid w:val="00A8785A"/>
    <w:rsid w:val="00A90432"/>
    <w:rsid w:val="00A90611"/>
    <w:rsid w:val="00A9090D"/>
    <w:rsid w:val="00A91782"/>
    <w:rsid w:val="00A92D32"/>
    <w:rsid w:val="00A92EC2"/>
    <w:rsid w:val="00AA10FE"/>
    <w:rsid w:val="00AA4673"/>
    <w:rsid w:val="00AA4970"/>
    <w:rsid w:val="00AA6140"/>
    <w:rsid w:val="00AA6E91"/>
    <w:rsid w:val="00AA774F"/>
    <w:rsid w:val="00AB045E"/>
    <w:rsid w:val="00AB0DB7"/>
    <w:rsid w:val="00AB0E27"/>
    <w:rsid w:val="00AB2EFD"/>
    <w:rsid w:val="00AB3EFD"/>
    <w:rsid w:val="00AB4755"/>
    <w:rsid w:val="00AB4F83"/>
    <w:rsid w:val="00AB7439"/>
    <w:rsid w:val="00AC0351"/>
    <w:rsid w:val="00AC24D4"/>
    <w:rsid w:val="00AC3C9E"/>
    <w:rsid w:val="00AC3F5D"/>
    <w:rsid w:val="00AC44CC"/>
    <w:rsid w:val="00AC46F5"/>
    <w:rsid w:val="00AC4F32"/>
    <w:rsid w:val="00AC74FF"/>
    <w:rsid w:val="00AC7D37"/>
    <w:rsid w:val="00AD0603"/>
    <w:rsid w:val="00AD11DA"/>
    <w:rsid w:val="00AD191A"/>
    <w:rsid w:val="00AD2996"/>
    <w:rsid w:val="00AD4B04"/>
    <w:rsid w:val="00AD5DDB"/>
    <w:rsid w:val="00AD71FF"/>
    <w:rsid w:val="00AD783C"/>
    <w:rsid w:val="00AD7BAB"/>
    <w:rsid w:val="00AE0CA0"/>
    <w:rsid w:val="00AE1FA7"/>
    <w:rsid w:val="00AE6B9C"/>
    <w:rsid w:val="00AF62C2"/>
    <w:rsid w:val="00AF6F2B"/>
    <w:rsid w:val="00B00D76"/>
    <w:rsid w:val="00B0235B"/>
    <w:rsid w:val="00B03D10"/>
    <w:rsid w:val="00B0496C"/>
    <w:rsid w:val="00B05050"/>
    <w:rsid w:val="00B05FDA"/>
    <w:rsid w:val="00B102D0"/>
    <w:rsid w:val="00B10506"/>
    <w:rsid w:val="00B146C0"/>
    <w:rsid w:val="00B15810"/>
    <w:rsid w:val="00B16420"/>
    <w:rsid w:val="00B2410B"/>
    <w:rsid w:val="00B254CA"/>
    <w:rsid w:val="00B32BC6"/>
    <w:rsid w:val="00B32E4E"/>
    <w:rsid w:val="00B3377E"/>
    <w:rsid w:val="00B34014"/>
    <w:rsid w:val="00B344E2"/>
    <w:rsid w:val="00B4152E"/>
    <w:rsid w:val="00B43F32"/>
    <w:rsid w:val="00B4456F"/>
    <w:rsid w:val="00B457C6"/>
    <w:rsid w:val="00B477A9"/>
    <w:rsid w:val="00B53190"/>
    <w:rsid w:val="00B5432A"/>
    <w:rsid w:val="00B554E2"/>
    <w:rsid w:val="00B601A0"/>
    <w:rsid w:val="00B60659"/>
    <w:rsid w:val="00B61F61"/>
    <w:rsid w:val="00B627EA"/>
    <w:rsid w:val="00B62EC9"/>
    <w:rsid w:val="00B63BBC"/>
    <w:rsid w:val="00B64D6C"/>
    <w:rsid w:val="00B71861"/>
    <w:rsid w:val="00B74CCD"/>
    <w:rsid w:val="00B802A8"/>
    <w:rsid w:val="00B828C8"/>
    <w:rsid w:val="00B90CF8"/>
    <w:rsid w:val="00B91290"/>
    <w:rsid w:val="00B91986"/>
    <w:rsid w:val="00B91DC7"/>
    <w:rsid w:val="00B94AD1"/>
    <w:rsid w:val="00B96E4F"/>
    <w:rsid w:val="00BA6451"/>
    <w:rsid w:val="00BA688E"/>
    <w:rsid w:val="00BA68CA"/>
    <w:rsid w:val="00BB3408"/>
    <w:rsid w:val="00BB4052"/>
    <w:rsid w:val="00BB46BB"/>
    <w:rsid w:val="00BB5045"/>
    <w:rsid w:val="00BB5279"/>
    <w:rsid w:val="00BB5DCC"/>
    <w:rsid w:val="00BB7979"/>
    <w:rsid w:val="00BB7B8C"/>
    <w:rsid w:val="00BC5AEB"/>
    <w:rsid w:val="00BC6A9A"/>
    <w:rsid w:val="00BC7341"/>
    <w:rsid w:val="00BC78DA"/>
    <w:rsid w:val="00BD0DA0"/>
    <w:rsid w:val="00BD17E4"/>
    <w:rsid w:val="00BD4333"/>
    <w:rsid w:val="00BD507A"/>
    <w:rsid w:val="00BD624D"/>
    <w:rsid w:val="00BE07E2"/>
    <w:rsid w:val="00BE0E69"/>
    <w:rsid w:val="00BE2447"/>
    <w:rsid w:val="00BE2AD6"/>
    <w:rsid w:val="00BE5146"/>
    <w:rsid w:val="00BE609B"/>
    <w:rsid w:val="00BE6123"/>
    <w:rsid w:val="00BF00BC"/>
    <w:rsid w:val="00BF0DB3"/>
    <w:rsid w:val="00BF10E4"/>
    <w:rsid w:val="00BF1C82"/>
    <w:rsid w:val="00BF20DB"/>
    <w:rsid w:val="00BF2A76"/>
    <w:rsid w:val="00BF2F3B"/>
    <w:rsid w:val="00BF4225"/>
    <w:rsid w:val="00BF5F2F"/>
    <w:rsid w:val="00C00BB4"/>
    <w:rsid w:val="00C0182D"/>
    <w:rsid w:val="00C05DEE"/>
    <w:rsid w:val="00C11026"/>
    <w:rsid w:val="00C1168C"/>
    <w:rsid w:val="00C11E95"/>
    <w:rsid w:val="00C1324B"/>
    <w:rsid w:val="00C144E4"/>
    <w:rsid w:val="00C146B6"/>
    <w:rsid w:val="00C14A6F"/>
    <w:rsid w:val="00C15312"/>
    <w:rsid w:val="00C17E96"/>
    <w:rsid w:val="00C20C02"/>
    <w:rsid w:val="00C2122A"/>
    <w:rsid w:val="00C2376A"/>
    <w:rsid w:val="00C23A5B"/>
    <w:rsid w:val="00C25807"/>
    <w:rsid w:val="00C26FE5"/>
    <w:rsid w:val="00C31B82"/>
    <w:rsid w:val="00C335F7"/>
    <w:rsid w:val="00C343A2"/>
    <w:rsid w:val="00C34D41"/>
    <w:rsid w:val="00C35EB8"/>
    <w:rsid w:val="00C37266"/>
    <w:rsid w:val="00C37D5D"/>
    <w:rsid w:val="00C41994"/>
    <w:rsid w:val="00C42F03"/>
    <w:rsid w:val="00C43A02"/>
    <w:rsid w:val="00C44E75"/>
    <w:rsid w:val="00C44F90"/>
    <w:rsid w:val="00C45804"/>
    <w:rsid w:val="00C472D8"/>
    <w:rsid w:val="00C476D6"/>
    <w:rsid w:val="00C476E1"/>
    <w:rsid w:val="00C47CF9"/>
    <w:rsid w:val="00C54779"/>
    <w:rsid w:val="00C5525B"/>
    <w:rsid w:val="00C56B6D"/>
    <w:rsid w:val="00C57CC8"/>
    <w:rsid w:val="00C61182"/>
    <w:rsid w:val="00C61A9B"/>
    <w:rsid w:val="00C62DC1"/>
    <w:rsid w:val="00C63E7E"/>
    <w:rsid w:val="00C64343"/>
    <w:rsid w:val="00C711EB"/>
    <w:rsid w:val="00C74AAF"/>
    <w:rsid w:val="00C74C76"/>
    <w:rsid w:val="00C761FF"/>
    <w:rsid w:val="00C76706"/>
    <w:rsid w:val="00C76A6D"/>
    <w:rsid w:val="00C7708D"/>
    <w:rsid w:val="00C77C57"/>
    <w:rsid w:val="00C80BC2"/>
    <w:rsid w:val="00C81641"/>
    <w:rsid w:val="00C81765"/>
    <w:rsid w:val="00C83842"/>
    <w:rsid w:val="00C838F5"/>
    <w:rsid w:val="00C83C24"/>
    <w:rsid w:val="00C84462"/>
    <w:rsid w:val="00C84FED"/>
    <w:rsid w:val="00C8560F"/>
    <w:rsid w:val="00C859D7"/>
    <w:rsid w:val="00C8705F"/>
    <w:rsid w:val="00C87AB5"/>
    <w:rsid w:val="00C93ED6"/>
    <w:rsid w:val="00C9578D"/>
    <w:rsid w:val="00C974FB"/>
    <w:rsid w:val="00CA1B14"/>
    <w:rsid w:val="00CA1F19"/>
    <w:rsid w:val="00CA2707"/>
    <w:rsid w:val="00CA3B5F"/>
    <w:rsid w:val="00CA5042"/>
    <w:rsid w:val="00CA5CF6"/>
    <w:rsid w:val="00CB09E2"/>
    <w:rsid w:val="00CB0A76"/>
    <w:rsid w:val="00CB0E67"/>
    <w:rsid w:val="00CB0EF4"/>
    <w:rsid w:val="00CB3FA0"/>
    <w:rsid w:val="00CC081F"/>
    <w:rsid w:val="00CC208F"/>
    <w:rsid w:val="00CC365B"/>
    <w:rsid w:val="00CC3C32"/>
    <w:rsid w:val="00CC7BCA"/>
    <w:rsid w:val="00CD67C0"/>
    <w:rsid w:val="00CD7C8F"/>
    <w:rsid w:val="00CE13A5"/>
    <w:rsid w:val="00CE39F0"/>
    <w:rsid w:val="00CE45FE"/>
    <w:rsid w:val="00CF0EE2"/>
    <w:rsid w:val="00CF3854"/>
    <w:rsid w:val="00CF38E8"/>
    <w:rsid w:val="00CF6A3F"/>
    <w:rsid w:val="00CF782C"/>
    <w:rsid w:val="00D0035F"/>
    <w:rsid w:val="00D012B5"/>
    <w:rsid w:val="00D046CC"/>
    <w:rsid w:val="00D05EDF"/>
    <w:rsid w:val="00D068B9"/>
    <w:rsid w:val="00D07515"/>
    <w:rsid w:val="00D11980"/>
    <w:rsid w:val="00D1286C"/>
    <w:rsid w:val="00D20E96"/>
    <w:rsid w:val="00D235C5"/>
    <w:rsid w:val="00D23CA7"/>
    <w:rsid w:val="00D2769A"/>
    <w:rsid w:val="00D27F89"/>
    <w:rsid w:val="00D31072"/>
    <w:rsid w:val="00D31D7E"/>
    <w:rsid w:val="00D35465"/>
    <w:rsid w:val="00D41982"/>
    <w:rsid w:val="00D42EAD"/>
    <w:rsid w:val="00D454FB"/>
    <w:rsid w:val="00D47F4C"/>
    <w:rsid w:val="00D50377"/>
    <w:rsid w:val="00D52BB9"/>
    <w:rsid w:val="00D52E56"/>
    <w:rsid w:val="00D550B1"/>
    <w:rsid w:val="00D56B5E"/>
    <w:rsid w:val="00D635F7"/>
    <w:rsid w:val="00D64645"/>
    <w:rsid w:val="00D65A22"/>
    <w:rsid w:val="00D66F8C"/>
    <w:rsid w:val="00D67D0F"/>
    <w:rsid w:val="00D70797"/>
    <w:rsid w:val="00D725A6"/>
    <w:rsid w:val="00D73094"/>
    <w:rsid w:val="00D734B0"/>
    <w:rsid w:val="00D73F64"/>
    <w:rsid w:val="00D7605F"/>
    <w:rsid w:val="00D76071"/>
    <w:rsid w:val="00D826CC"/>
    <w:rsid w:val="00D82B05"/>
    <w:rsid w:val="00D83327"/>
    <w:rsid w:val="00D83A0C"/>
    <w:rsid w:val="00D9144F"/>
    <w:rsid w:val="00D91DE7"/>
    <w:rsid w:val="00D91ED1"/>
    <w:rsid w:val="00D9445D"/>
    <w:rsid w:val="00D97C4E"/>
    <w:rsid w:val="00DA01BA"/>
    <w:rsid w:val="00DA1963"/>
    <w:rsid w:val="00DA2BD7"/>
    <w:rsid w:val="00DA33BD"/>
    <w:rsid w:val="00DA4ACF"/>
    <w:rsid w:val="00DA5FAE"/>
    <w:rsid w:val="00DA6097"/>
    <w:rsid w:val="00DA624F"/>
    <w:rsid w:val="00DA6668"/>
    <w:rsid w:val="00DA70E5"/>
    <w:rsid w:val="00DA7252"/>
    <w:rsid w:val="00DB04FA"/>
    <w:rsid w:val="00DB05E2"/>
    <w:rsid w:val="00DB16F3"/>
    <w:rsid w:val="00DB67ED"/>
    <w:rsid w:val="00DB7493"/>
    <w:rsid w:val="00DC034B"/>
    <w:rsid w:val="00DC1CF7"/>
    <w:rsid w:val="00DC2C32"/>
    <w:rsid w:val="00DC7903"/>
    <w:rsid w:val="00DD48D8"/>
    <w:rsid w:val="00DD4E9D"/>
    <w:rsid w:val="00DE47EC"/>
    <w:rsid w:val="00DE4849"/>
    <w:rsid w:val="00DF083A"/>
    <w:rsid w:val="00DF0990"/>
    <w:rsid w:val="00DF0F3B"/>
    <w:rsid w:val="00DF131B"/>
    <w:rsid w:val="00DF30DF"/>
    <w:rsid w:val="00DF3BE2"/>
    <w:rsid w:val="00DF4B01"/>
    <w:rsid w:val="00DF4B48"/>
    <w:rsid w:val="00DF52A6"/>
    <w:rsid w:val="00DF6065"/>
    <w:rsid w:val="00DF6DD4"/>
    <w:rsid w:val="00E01563"/>
    <w:rsid w:val="00E01A48"/>
    <w:rsid w:val="00E02281"/>
    <w:rsid w:val="00E02D99"/>
    <w:rsid w:val="00E031FB"/>
    <w:rsid w:val="00E05C68"/>
    <w:rsid w:val="00E110F9"/>
    <w:rsid w:val="00E1181E"/>
    <w:rsid w:val="00E11EF3"/>
    <w:rsid w:val="00E12EB0"/>
    <w:rsid w:val="00E132BC"/>
    <w:rsid w:val="00E1626D"/>
    <w:rsid w:val="00E1712F"/>
    <w:rsid w:val="00E20214"/>
    <w:rsid w:val="00E234C5"/>
    <w:rsid w:val="00E25EBC"/>
    <w:rsid w:val="00E26F2B"/>
    <w:rsid w:val="00E31E98"/>
    <w:rsid w:val="00E3299D"/>
    <w:rsid w:val="00E34F6D"/>
    <w:rsid w:val="00E3576C"/>
    <w:rsid w:val="00E36535"/>
    <w:rsid w:val="00E36E7C"/>
    <w:rsid w:val="00E37AA8"/>
    <w:rsid w:val="00E4150D"/>
    <w:rsid w:val="00E415CF"/>
    <w:rsid w:val="00E424FA"/>
    <w:rsid w:val="00E45FD8"/>
    <w:rsid w:val="00E501DC"/>
    <w:rsid w:val="00E51D73"/>
    <w:rsid w:val="00E51F55"/>
    <w:rsid w:val="00E54263"/>
    <w:rsid w:val="00E57E7F"/>
    <w:rsid w:val="00E6041B"/>
    <w:rsid w:val="00E6351B"/>
    <w:rsid w:val="00E638A6"/>
    <w:rsid w:val="00E667FB"/>
    <w:rsid w:val="00E70A28"/>
    <w:rsid w:val="00E70BD4"/>
    <w:rsid w:val="00E70E4C"/>
    <w:rsid w:val="00E71187"/>
    <w:rsid w:val="00E71504"/>
    <w:rsid w:val="00E73C9E"/>
    <w:rsid w:val="00E74D61"/>
    <w:rsid w:val="00E77C52"/>
    <w:rsid w:val="00E8068C"/>
    <w:rsid w:val="00E84470"/>
    <w:rsid w:val="00E85F1D"/>
    <w:rsid w:val="00E86871"/>
    <w:rsid w:val="00E872CF"/>
    <w:rsid w:val="00E932FF"/>
    <w:rsid w:val="00E954F5"/>
    <w:rsid w:val="00E95A7C"/>
    <w:rsid w:val="00E9655D"/>
    <w:rsid w:val="00E965A0"/>
    <w:rsid w:val="00E96C3E"/>
    <w:rsid w:val="00EA0044"/>
    <w:rsid w:val="00EA0711"/>
    <w:rsid w:val="00EA12C8"/>
    <w:rsid w:val="00EA148A"/>
    <w:rsid w:val="00EA1DF9"/>
    <w:rsid w:val="00EA21E0"/>
    <w:rsid w:val="00EA2B10"/>
    <w:rsid w:val="00EA2C08"/>
    <w:rsid w:val="00EA3D95"/>
    <w:rsid w:val="00EA4291"/>
    <w:rsid w:val="00EA69AC"/>
    <w:rsid w:val="00EA6F99"/>
    <w:rsid w:val="00EB0482"/>
    <w:rsid w:val="00EB1549"/>
    <w:rsid w:val="00EB4354"/>
    <w:rsid w:val="00EB684E"/>
    <w:rsid w:val="00EB726A"/>
    <w:rsid w:val="00EB7436"/>
    <w:rsid w:val="00EC1B1C"/>
    <w:rsid w:val="00EC25CF"/>
    <w:rsid w:val="00EC4694"/>
    <w:rsid w:val="00ED0828"/>
    <w:rsid w:val="00ED0BDF"/>
    <w:rsid w:val="00ED35FF"/>
    <w:rsid w:val="00ED6028"/>
    <w:rsid w:val="00ED77A3"/>
    <w:rsid w:val="00EE25C0"/>
    <w:rsid w:val="00EE7CFA"/>
    <w:rsid w:val="00EE7D55"/>
    <w:rsid w:val="00EF040F"/>
    <w:rsid w:val="00EF1678"/>
    <w:rsid w:val="00EF1685"/>
    <w:rsid w:val="00EF1DEE"/>
    <w:rsid w:val="00EF3337"/>
    <w:rsid w:val="00F0083C"/>
    <w:rsid w:val="00F014A5"/>
    <w:rsid w:val="00F05002"/>
    <w:rsid w:val="00F053D4"/>
    <w:rsid w:val="00F07039"/>
    <w:rsid w:val="00F11C14"/>
    <w:rsid w:val="00F1353B"/>
    <w:rsid w:val="00F1481D"/>
    <w:rsid w:val="00F1554E"/>
    <w:rsid w:val="00F16AB7"/>
    <w:rsid w:val="00F17A30"/>
    <w:rsid w:val="00F20D35"/>
    <w:rsid w:val="00F23CD5"/>
    <w:rsid w:val="00F24293"/>
    <w:rsid w:val="00F24CAC"/>
    <w:rsid w:val="00F26752"/>
    <w:rsid w:val="00F27D48"/>
    <w:rsid w:val="00F31D55"/>
    <w:rsid w:val="00F32247"/>
    <w:rsid w:val="00F32504"/>
    <w:rsid w:val="00F32747"/>
    <w:rsid w:val="00F336DC"/>
    <w:rsid w:val="00F33CA6"/>
    <w:rsid w:val="00F37362"/>
    <w:rsid w:val="00F41E95"/>
    <w:rsid w:val="00F43227"/>
    <w:rsid w:val="00F43BA7"/>
    <w:rsid w:val="00F4536C"/>
    <w:rsid w:val="00F45432"/>
    <w:rsid w:val="00F4693E"/>
    <w:rsid w:val="00F46A8B"/>
    <w:rsid w:val="00F522E0"/>
    <w:rsid w:val="00F55531"/>
    <w:rsid w:val="00F5781A"/>
    <w:rsid w:val="00F6047E"/>
    <w:rsid w:val="00F60886"/>
    <w:rsid w:val="00F624E5"/>
    <w:rsid w:val="00F628F0"/>
    <w:rsid w:val="00F635B4"/>
    <w:rsid w:val="00F63970"/>
    <w:rsid w:val="00F64E3B"/>
    <w:rsid w:val="00F71C4B"/>
    <w:rsid w:val="00F73EE4"/>
    <w:rsid w:val="00F74068"/>
    <w:rsid w:val="00F77CC4"/>
    <w:rsid w:val="00F77E17"/>
    <w:rsid w:val="00F800B0"/>
    <w:rsid w:val="00F81045"/>
    <w:rsid w:val="00F81CEC"/>
    <w:rsid w:val="00F85E9A"/>
    <w:rsid w:val="00F86AAD"/>
    <w:rsid w:val="00F873FA"/>
    <w:rsid w:val="00F87DA7"/>
    <w:rsid w:val="00F909EF"/>
    <w:rsid w:val="00F92126"/>
    <w:rsid w:val="00F92EA4"/>
    <w:rsid w:val="00F93DE0"/>
    <w:rsid w:val="00F97E66"/>
    <w:rsid w:val="00FA28F4"/>
    <w:rsid w:val="00FA2BA7"/>
    <w:rsid w:val="00FA2E9F"/>
    <w:rsid w:val="00FA4160"/>
    <w:rsid w:val="00FA7C41"/>
    <w:rsid w:val="00FA7D4D"/>
    <w:rsid w:val="00FB1A85"/>
    <w:rsid w:val="00FB340F"/>
    <w:rsid w:val="00FB3FFD"/>
    <w:rsid w:val="00FB40CE"/>
    <w:rsid w:val="00FB4EC1"/>
    <w:rsid w:val="00FB5943"/>
    <w:rsid w:val="00FB599B"/>
    <w:rsid w:val="00FB67F2"/>
    <w:rsid w:val="00FB7749"/>
    <w:rsid w:val="00FB7B59"/>
    <w:rsid w:val="00FC1345"/>
    <w:rsid w:val="00FC38DA"/>
    <w:rsid w:val="00FC3BCE"/>
    <w:rsid w:val="00FC4060"/>
    <w:rsid w:val="00FC4679"/>
    <w:rsid w:val="00FC55F4"/>
    <w:rsid w:val="00FC5AB7"/>
    <w:rsid w:val="00FC6C09"/>
    <w:rsid w:val="00FC7BDD"/>
    <w:rsid w:val="00FD0199"/>
    <w:rsid w:val="00FD131E"/>
    <w:rsid w:val="00FD224B"/>
    <w:rsid w:val="00FD30BF"/>
    <w:rsid w:val="00FD53D0"/>
    <w:rsid w:val="00FD5A98"/>
    <w:rsid w:val="00FD6092"/>
    <w:rsid w:val="00FD65D4"/>
    <w:rsid w:val="00FD7DB5"/>
    <w:rsid w:val="00FE497A"/>
    <w:rsid w:val="00FE4B4E"/>
    <w:rsid w:val="00FE5AC1"/>
    <w:rsid w:val="00FE6577"/>
    <w:rsid w:val="00FE78E3"/>
    <w:rsid w:val="00FF0AED"/>
    <w:rsid w:val="00FF1690"/>
    <w:rsid w:val="00FF2D1F"/>
    <w:rsid w:val="00FF79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CA875"/>
  <w15:docId w15:val="{73C3A9DC-B64B-4185-B8C3-F1BC158B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A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A21E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C3A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citation-32">
    <w:name w:val="citation-32"/>
    <w:basedOn w:val="DefaultParagraphFont"/>
    <w:rsid w:val="00914DEE"/>
  </w:style>
  <w:style w:type="character" w:customStyle="1" w:styleId="citation-31">
    <w:name w:val="citation-31"/>
    <w:basedOn w:val="DefaultParagraphFont"/>
    <w:rsid w:val="00914DEE"/>
  </w:style>
  <w:style w:type="character" w:customStyle="1" w:styleId="citation-30">
    <w:name w:val="citation-30"/>
    <w:basedOn w:val="DefaultParagraphFont"/>
    <w:rsid w:val="00914DEE"/>
  </w:style>
  <w:style w:type="character" w:customStyle="1" w:styleId="citation-29">
    <w:name w:val="citation-29"/>
    <w:basedOn w:val="DefaultParagraphFont"/>
    <w:rsid w:val="00914DEE"/>
  </w:style>
  <w:style w:type="character" w:customStyle="1" w:styleId="citation-28">
    <w:name w:val="citation-28"/>
    <w:basedOn w:val="DefaultParagraphFont"/>
    <w:rsid w:val="00914DEE"/>
  </w:style>
  <w:style w:type="character" w:customStyle="1" w:styleId="citation-27">
    <w:name w:val="citation-27"/>
    <w:basedOn w:val="DefaultParagraphFont"/>
    <w:rsid w:val="00914DEE"/>
  </w:style>
  <w:style w:type="character" w:customStyle="1" w:styleId="citation-26">
    <w:name w:val="citation-26"/>
    <w:basedOn w:val="DefaultParagraphFont"/>
    <w:rsid w:val="00914DEE"/>
  </w:style>
  <w:style w:type="character" w:customStyle="1" w:styleId="citation-25">
    <w:name w:val="citation-25"/>
    <w:basedOn w:val="DefaultParagraphFont"/>
    <w:rsid w:val="00914DEE"/>
  </w:style>
  <w:style w:type="character" w:customStyle="1" w:styleId="citation-24">
    <w:name w:val="citation-24"/>
    <w:basedOn w:val="DefaultParagraphFont"/>
    <w:rsid w:val="00914DEE"/>
  </w:style>
  <w:style w:type="character" w:customStyle="1" w:styleId="citation-23">
    <w:name w:val="citation-23"/>
    <w:basedOn w:val="DefaultParagraphFont"/>
    <w:rsid w:val="00914DEE"/>
  </w:style>
  <w:style w:type="character" w:customStyle="1" w:styleId="citation-22">
    <w:name w:val="citation-22"/>
    <w:basedOn w:val="DefaultParagraphFont"/>
    <w:rsid w:val="00914DEE"/>
  </w:style>
  <w:style w:type="character" w:customStyle="1" w:styleId="citation-21">
    <w:name w:val="citation-21"/>
    <w:basedOn w:val="DefaultParagraphFont"/>
    <w:rsid w:val="00914DEE"/>
  </w:style>
  <w:style w:type="character" w:customStyle="1" w:styleId="citation-20">
    <w:name w:val="citation-20"/>
    <w:basedOn w:val="DefaultParagraphFont"/>
    <w:rsid w:val="00914DEE"/>
  </w:style>
  <w:style w:type="character" w:customStyle="1" w:styleId="citation-19">
    <w:name w:val="citation-19"/>
    <w:basedOn w:val="DefaultParagraphFont"/>
    <w:rsid w:val="00914DEE"/>
  </w:style>
  <w:style w:type="character" w:customStyle="1" w:styleId="citation-18">
    <w:name w:val="citation-18"/>
    <w:basedOn w:val="DefaultParagraphFont"/>
    <w:rsid w:val="00914DEE"/>
  </w:style>
  <w:style w:type="character" w:customStyle="1" w:styleId="citation-17">
    <w:name w:val="citation-17"/>
    <w:basedOn w:val="DefaultParagraphFont"/>
    <w:rsid w:val="00914DEE"/>
  </w:style>
  <w:style w:type="character" w:customStyle="1" w:styleId="citation-16">
    <w:name w:val="citation-16"/>
    <w:basedOn w:val="DefaultParagraphFont"/>
    <w:rsid w:val="00914DEE"/>
  </w:style>
  <w:style w:type="character" w:customStyle="1" w:styleId="citation-15">
    <w:name w:val="citation-15"/>
    <w:basedOn w:val="DefaultParagraphFont"/>
    <w:rsid w:val="00914DEE"/>
  </w:style>
  <w:style w:type="character" w:customStyle="1" w:styleId="citation-14">
    <w:name w:val="citation-14"/>
    <w:basedOn w:val="DefaultParagraphFont"/>
    <w:rsid w:val="00914DEE"/>
  </w:style>
  <w:style w:type="character" w:customStyle="1" w:styleId="citation-13">
    <w:name w:val="citation-13"/>
    <w:basedOn w:val="DefaultParagraphFont"/>
    <w:rsid w:val="00914DEE"/>
  </w:style>
  <w:style w:type="character" w:customStyle="1" w:styleId="citation-12">
    <w:name w:val="citation-12"/>
    <w:basedOn w:val="DefaultParagraphFont"/>
    <w:rsid w:val="00914DEE"/>
  </w:style>
  <w:style w:type="character" w:customStyle="1" w:styleId="citation-11">
    <w:name w:val="citation-11"/>
    <w:basedOn w:val="DefaultParagraphFont"/>
    <w:rsid w:val="00914DEE"/>
  </w:style>
  <w:style w:type="character" w:customStyle="1" w:styleId="citation-10">
    <w:name w:val="citation-10"/>
    <w:basedOn w:val="DefaultParagraphFont"/>
    <w:rsid w:val="00914DEE"/>
  </w:style>
  <w:style w:type="character" w:customStyle="1" w:styleId="citation-9">
    <w:name w:val="citation-9"/>
    <w:basedOn w:val="DefaultParagraphFont"/>
    <w:rsid w:val="00914DEE"/>
  </w:style>
  <w:style w:type="character" w:customStyle="1" w:styleId="citation-8">
    <w:name w:val="citation-8"/>
    <w:basedOn w:val="DefaultParagraphFont"/>
    <w:rsid w:val="00914DEE"/>
  </w:style>
  <w:style w:type="character" w:customStyle="1" w:styleId="citation-7">
    <w:name w:val="citation-7"/>
    <w:basedOn w:val="DefaultParagraphFont"/>
    <w:rsid w:val="00914DEE"/>
  </w:style>
  <w:style w:type="character" w:customStyle="1" w:styleId="citation-6">
    <w:name w:val="citation-6"/>
    <w:basedOn w:val="DefaultParagraphFont"/>
    <w:rsid w:val="00914DEE"/>
  </w:style>
  <w:style w:type="character" w:customStyle="1" w:styleId="citation-5">
    <w:name w:val="citation-5"/>
    <w:basedOn w:val="DefaultParagraphFont"/>
    <w:rsid w:val="00914DEE"/>
  </w:style>
  <w:style w:type="character" w:customStyle="1" w:styleId="citation-4">
    <w:name w:val="citation-4"/>
    <w:basedOn w:val="DefaultParagraphFont"/>
    <w:rsid w:val="00914DEE"/>
  </w:style>
  <w:style w:type="character" w:customStyle="1" w:styleId="citation-3">
    <w:name w:val="citation-3"/>
    <w:basedOn w:val="DefaultParagraphFont"/>
    <w:rsid w:val="00914DEE"/>
  </w:style>
  <w:style w:type="character" w:customStyle="1" w:styleId="citation-2">
    <w:name w:val="citation-2"/>
    <w:basedOn w:val="DefaultParagraphFont"/>
    <w:rsid w:val="00914DEE"/>
  </w:style>
  <w:style w:type="character" w:customStyle="1" w:styleId="citation-1">
    <w:name w:val="citation-1"/>
    <w:basedOn w:val="DefaultParagraphFont"/>
    <w:rsid w:val="00914DEE"/>
  </w:style>
  <w:style w:type="character" w:customStyle="1" w:styleId="citation-0">
    <w:name w:val="citation-0"/>
    <w:basedOn w:val="DefaultParagraphFont"/>
    <w:rsid w:val="00D41982"/>
  </w:style>
  <w:style w:type="character" w:customStyle="1" w:styleId="uv3um">
    <w:name w:val="uv3um"/>
    <w:basedOn w:val="DefaultParagraphFont"/>
    <w:rsid w:val="00210FA3"/>
  </w:style>
  <w:style w:type="character" w:styleId="Hyperlink">
    <w:name w:val="Hyperlink"/>
    <w:basedOn w:val="DefaultParagraphFont"/>
    <w:uiPriority w:val="99"/>
    <w:unhideWhenUsed/>
    <w:rsid w:val="00210FA3"/>
    <w:rPr>
      <w:color w:val="0000FF" w:themeColor="hyperlink"/>
      <w:u w:val="single"/>
    </w:rPr>
  </w:style>
  <w:style w:type="character" w:customStyle="1" w:styleId="Heading3Char">
    <w:name w:val="Heading 3 Char"/>
    <w:basedOn w:val="DefaultParagraphFont"/>
    <w:link w:val="Heading3"/>
    <w:uiPriority w:val="9"/>
    <w:rsid w:val="00EA21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EA21E0"/>
    <w:pPr>
      <w:spacing w:before="480" w:line="276" w:lineRule="auto"/>
      <w:outlineLvl w:val="9"/>
    </w:pPr>
    <w:rPr>
      <w:b/>
      <w:bCs/>
      <w:sz w:val="28"/>
      <w:szCs w:val="28"/>
    </w:rPr>
  </w:style>
  <w:style w:type="paragraph" w:styleId="TOC1">
    <w:name w:val="toc 1"/>
    <w:basedOn w:val="Normal"/>
    <w:next w:val="Normal"/>
    <w:autoRedefine/>
    <w:uiPriority w:val="39"/>
    <w:unhideWhenUsed/>
    <w:rsid w:val="00B53190"/>
    <w:pPr>
      <w:tabs>
        <w:tab w:val="right" w:leader="dot" w:pos="8296"/>
      </w:tabs>
      <w:bidi/>
      <w:spacing w:after="100"/>
    </w:pPr>
  </w:style>
  <w:style w:type="paragraph" w:styleId="TOC2">
    <w:name w:val="toc 2"/>
    <w:basedOn w:val="Normal"/>
    <w:next w:val="Normal"/>
    <w:autoRedefine/>
    <w:uiPriority w:val="39"/>
    <w:unhideWhenUsed/>
    <w:rsid w:val="00685A20"/>
    <w:pPr>
      <w:tabs>
        <w:tab w:val="left" w:pos="440"/>
        <w:tab w:val="right" w:leader="dot" w:pos="8296"/>
      </w:tabs>
      <w:bidi/>
      <w:spacing w:after="100"/>
      <w:ind w:left="220"/>
    </w:pPr>
  </w:style>
  <w:style w:type="paragraph" w:styleId="TOC3">
    <w:name w:val="toc 3"/>
    <w:basedOn w:val="Normal"/>
    <w:next w:val="Normal"/>
    <w:autoRedefine/>
    <w:uiPriority w:val="39"/>
    <w:unhideWhenUsed/>
    <w:rsid w:val="004908D6"/>
    <w:pPr>
      <w:tabs>
        <w:tab w:val="left" w:pos="440"/>
        <w:tab w:val="right" w:leader="dot" w:pos="8296"/>
      </w:tabs>
      <w:bidi/>
      <w:spacing w:after="100"/>
      <w:ind w:left="440"/>
    </w:pPr>
  </w:style>
  <w:style w:type="paragraph" w:styleId="Quote">
    <w:name w:val="Quote"/>
    <w:basedOn w:val="Normal"/>
    <w:next w:val="Normal"/>
    <w:link w:val="QuoteChar"/>
    <w:uiPriority w:val="29"/>
    <w:qFormat/>
    <w:rsid w:val="00C8560F"/>
    <w:rPr>
      <w:i/>
      <w:iCs/>
      <w:color w:val="000000" w:themeColor="text1"/>
    </w:rPr>
  </w:style>
  <w:style w:type="character" w:customStyle="1" w:styleId="QuoteChar">
    <w:name w:val="Quote Char"/>
    <w:basedOn w:val="DefaultParagraphFont"/>
    <w:link w:val="Quote"/>
    <w:uiPriority w:val="29"/>
    <w:rsid w:val="00C8560F"/>
    <w:rPr>
      <w:i/>
      <w:iCs/>
      <w:color w:val="000000" w:themeColor="text1"/>
    </w:rPr>
  </w:style>
  <w:style w:type="paragraph" w:styleId="IntenseQuote">
    <w:name w:val="Intense Quote"/>
    <w:basedOn w:val="Normal"/>
    <w:next w:val="Normal"/>
    <w:link w:val="IntenseQuoteChar"/>
    <w:uiPriority w:val="30"/>
    <w:qFormat/>
    <w:rsid w:val="00C8560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560F"/>
    <w:rPr>
      <w:b/>
      <w:bCs/>
      <w:i/>
      <w:iCs/>
      <w:color w:val="4F81BD" w:themeColor="accent1"/>
    </w:rPr>
  </w:style>
  <w:style w:type="character" w:customStyle="1" w:styleId="fontstyle01">
    <w:name w:val="fontstyle01"/>
    <w:basedOn w:val="DefaultParagraphFont"/>
    <w:rsid w:val="0013659B"/>
    <w:rPr>
      <w:rFonts w:ascii="ArialMT" w:hAnsi="ArialMT" w:hint="default"/>
      <w:b w:val="0"/>
      <w:bCs w:val="0"/>
      <w:i w:val="0"/>
      <w:iCs w:val="0"/>
      <w:color w:val="000000"/>
      <w:sz w:val="24"/>
      <w:szCs w:val="24"/>
    </w:rPr>
  </w:style>
  <w:style w:type="character" w:customStyle="1" w:styleId="fontstyle21">
    <w:name w:val="fontstyle21"/>
    <w:basedOn w:val="DefaultParagraphFont"/>
    <w:rsid w:val="0013659B"/>
    <w:rPr>
      <w:rFonts w:ascii="Wingdings-Regular" w:hAnsi="Wingdings-Regular" w:hint="default"/>
      <w:b w:val="0"/>
      <w:bCs w:val="0"/>
      <w:i w:val="0"/>
      <w:iCs w:val="0"/>
      <w:color w:val="000000"/>
      <w:sz w:val="24"/>
      <w:szCs w:val="24"/>
    </w:rPr>
  </w:style>
  <w:style w:type="character" w:customStyle="1" w:styleId="Heading4Char">
    <w:name w:val="Heading 4 Char"/>
    <w:basedOn w:val="DefaultParagraphFont"/>
    <w:link w:val="Heading4"/>
    <w:uiPriority w:val="9"/>
    <w:rsid w:val="002C3A90"/>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F81045"/>
    <w:rPr>
      <w:i/>
      <w:iCs/>
    </w:rPr>
  </w:style>
  <w:style w:type="paragraph" w:styleId="Caption">
    <w:name w:val="caption"/>
    <w:basedOn w:val="Normal"/>
    <w:next w:val="Normal"/>
    <w:uiPriority w:val="35"/>
    <w:unhideWhenUsed/>
    <w:qFormat/>
    <w:rsid w:val="00E234C5"/>
    <w:pPr>
      <w:spacing w:after="200"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7F47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785"/>
    <w:rPr>
      <w:sz w:val="20"/>
      <w:szCs w:val="20"/>
    </w:rPr>
  </w:style>
  <w:style w:type="character" w:styleId="FootnoteReference">
    <w:name w:val="footnote reference"/>
    <w:basedOn w:val="DefaultParagraphFont"/>
    <w:uiPriority w:val="99"/>
    <w:semiHidden/>
    <w:unhideWhenUsed/>
    <w:rsid w:val="007F4785"/>
    <w:rPr>
      <w:vertAlign w:val="superscript"/>
    </w:rPr>
  </w:style>
  <w:style w:type="paragraph" w:styleId="TableofFigures">
    <w:name w:val="table of figures"/>
    <w:basedOn w:val="Normal"/>
    <w:next w:val="Normal"/>
    <w:uiPriority w:val="99"/>
    <w:unhideWhenUsed/>
    <w:rsid w:val="00920785"/>
    <w:pPr>
      <w:spacing w:after="0"/>
    </w:pPr>
  </w:style>
  <w:style w:type="character" w:customStyle="1" w:styleId="sar-symbol">
    <w:name w:val="sar-symbol"/>
    <w:basedOn w:val="DefaultParagraphFont"/>
    <w:rsid w:val="00EB7436"/>
  </w:style>
  <w:style w:type="character" w:customStyle="1" w:styleId="UnresolvedMention1">
    <w:name w:val="Unresolved Mention1"/>
    <w:basedOn w:val="DefaultParagraphFont"/>
    <w:uiPriority w:val="99"/>
    <w:semiHidden/>
    <w:unhideWhenUsed/>
    <w:rsid w:val="003F5C18"/>
    <w:rPr>
      <w:color w:val="605E5C"/>
      <w:shd w:val="clear" w:color="auto" w:fill="E1DFDD"/>
    </w:rPr>
  </w:style>
  <w:style w:type="paragraph" w:customStyle="1" w:styleId="ds-markdown-paragraph">
    <w:name w:val="ds-markdown-paragraph"/>
    <w:basedOn w:val="Normal"/>
    <w:rsid w:val="00843CD6"/>
    <w:pPr>
      <w:spacing w:before="100" w:beforeAutospacing="1" w:after="100" w:afterAutospacing="1" w:line="240" w:lineRule="auto"/>
    </w:pPr>
    <w:rPr>
      <w:rFonts w:ascii="Times New Roman" w:eastAsia="Times New Roman" w:hAnsi="Times New Roman" w:cs="Times New Roman"/>
      <w:sz w:val="24"/>
      <w:szCs w:val="24"/>
    </w:rPr>
  </w:style>
  <w:style w:type="table" w:styleId="TableGridLight">
    <w:name w:val="Grid Table Light"/>
    <w:basedOn w:val="TableNormal"/>
    <w:uiPriority w:val="40"/>
    <w:rsid w:val="001A3A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unhideWhenUsed/>
    <w:rsid w:val="00977E98"/>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977E98"/>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977E98"/>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977E98"/>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977E98"/>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977E98"/>
    <w:pPr>
      <w:spacing w:after="100" w:line="278" w:lineRule="auto"/>
      <w:ind w:left="1920"/>
    </w:pPr>
    <w:rPr>
      <w:rFonts w:eastAsiaTheme="minorEastAsia"/>
      <w:kern w:val="2"/>
      <w:sz w:val="24"/>
      <w:szCs w:val="24"/>
      <w14:ligatures w14:val="standardContextual"/>
    </w:rPr>
  </w:style>
  <w:style w:type="character" w:styleId="UnresolvedMention">
    <w:name w:val="Unresolved Mention"/>
    <w:basedOn w:val="DefaultParagraphFont"/>
    <w:uiPriority w:val="99"/>
    <w:semiHidden/>
    <w:unhideWhenUsed/>
    <w:rsid w:val="00977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4769">
      <w:bodyDiv w:val="1"/>
      <w:marLeft w:val="0"/>
      <w:marRight w:val="0"/>
      <w:marTop w:val="0"/>
      <w:marBottom w:val="0"/>
      <w:divBdr>
        <w:top w:val="none" w:sz="0" w:space="0" w:color="auto"/>
        <w:left w:val="none" w:sz="0" w:space="0" w:color="auto"/>
        <w:bottom w:val="none" w:sz="0" w:space="0" w:color="auto"/>
        <w:right w:val="none" w:sz="0" w:space="0" w:color="auto"/>
      </w:divBdr>
    </w:div>
    <w:div w:id="56710726">
      <w:bodyDiv w:val="1"/>
      <w:marLeft w:val="0"/>
      <w:marRight w:val="0"/>
      <w:marTop w:val="0"/>
      <w:marBottom w:val="0"/>
      <w:divBdr>
        <w:top w:val="none" w:sz="0" w:space="0" w:color="auto"/>
        <w:left w:val="none" w:sz="0" w:space="0" w:color="auto"/>
        <w:bottom w:val="none" w:sz="0" w:space="0" w:color="auto"/>
        <w:right w:val="none" w:sz="0" w:space="0" w:color="auto"/>
      </w:divBdr>
    </w:div>
    <w:div w:id="63333577">
      <w:bodyDiv w:val="1"/>
      <w:marLeft w:val="0"/>
      <w:marRight w:val="0"/>
      <w:marTop w:val="0"/>
      <w:marBottom w:val="0"/>
      <w:divBdr>
        <w:top w:val="none" w:sz="0" w:space="0" w:color="auto"/>
        <w:left w:val="none" w:sz="0" w:space="0" w:color="auto"/>
        <w:bottom w:val="none" w:sz="0" w:space="0" w:color="auto"/>
        <w:right w:val="none" w:sz="0" w:space="0" w:color="auto"/>
      </w:divBdr>
    </w:div>
    <w:div w:id="109931733">
      <w:bodyDiv w:val="1"/>
      <w:marLeft w:val="0"/>
      <w:marRight w:val="0"/>
      <w:marTop w:val="0"/>
      <w:marBottom w:val="0"/>
      <w:divBdr>
        <w:top w:val="none" w:sz="0" w:space="0" w:color="auto"/>
        <w:left w:val="none" w:sz="0" w:space="0" w:color="auto"/>
        <w:bottom w:val="none" w:sz="0" w:space="0" w:color="auto"/>
        <w:right w:val="none" w:sz="0" w:space="0" w:color="auto"/>
      </w:divBdr>
    </w:div>
    <w:div w:id="119149211">
      <w:bodyDiv w:val="1"/>
      <w:marLeft w:val="0"/>
      <w:marRight w:val="0"/>
      <w:marTop w:val="0"/>
      <w:marBottom w:val="0"/>
      <w:divBdr>
        <w:top w:val="none" w:sz="0" w:space="0" w:color="auto"/>
        <w:left w:val="none" w:sz="0" w:space="0" w:color="auto"/>
        <w:bottom w:val="none" w:sz="0" w:space="0" w:color="auto"/>
        <w:right w:val="none" w:sz="0" w:space="0" w:color="auto"/>
      </w:divBdr>
    </w:div>
    <w:div w:id="120653279">
      <w:bodyDiv w:val="1"/>
      <w:marLeft w:val="0"/>
      <w:marRight w:val="0"/>
      <w:marTop w:val="0"/>
      <w:marBottom w:val="0"/>
      <w:divBdr>
        <w:top w:val="none" w:sz="0" w:space="0" w:color="auto"/>
        <w:left w:val="none" w:sz="0" w:space="0" w:color="auto"/>
        <w:bottom w:val="none" w:sz="0" w:space="0" w:color="auto"/>
        <w:right w:val="none" w:sz="0" w:space="0" w:color="auto"/>
      </w:divBdr>
    </w:div>
    <w:div w:id="122886512">
      <w:bodyDiv w:val="1"/>
      <w:marLeft w:val="0"/>
      <w:marRight w:val="0"/>
      <w:marTop w:val="0"/>
      <w:marBottom w:val="0"/>
      <w:divBdr>
        <w:top w:val="none" w:sz="0" w:space="0" w:color="auto"/>
        <w:left w:val="none" w:sz="0" w:space="0" w:color="auto"/>
        <w:bottom w:val="none" w:sz="0" w:space="0" w:color="auto"/>
        <w:right w:val="none" w:sz="0" w:space="0" w:color="auto"/>
      </w:divBdr>
    </w:div>
    <w:div w:id="139156907">
      <w:bodyDiv w:val="1"/>
      <w:marLeft w:val="0"/>
      <w:marRight w:val="0"/>
      <w:marTop w:val="0"/>
      <w:marBottom w:val="0"/>
      <w:divBdr>
        <w:top w:val="none" w:sz="0" w:space="0" w:color="auto"/>
        <w:left w:val="none" w:sz="0" w:space="0" w:color="auto"/>
        <w:bottom w:val="none" w:sz="0" w:space="0" w:color="auto"/>
        <w:right w:val="none" w:sz="0" w:space="0" w:color="auto"/>
      </w:divBdr>
      <w:divsChild>
        <w:div w:id="1707482685">
          <w:marLeft w:val="0"/>
          <w:marRight w:val="0"/>
          <w:marTop w:val="0"/>
          <w:marBottom w:val="0"/>
          <w:divBdr>
            <w:top w:val="none" w:sz="0" w:space="0" w:color="auto"/>
            <w:left w:val="none" w:sz="0" w:space="0" w:color="auto"/>
            <w:bottom w:val="none" w:sz="0" w:space="0" w:color="auto"/>
            <w:right w:val="none" w:sz="0" w:space="0" w:color="auto"/>
          </w:divBdr>
          <w:divsChild>
            <w:div w:id="749546311">
              <w:marLeft w:val="0"/>
              <w:marRight w:val="0"/>
              <w:marTop w:val="0"/>
              <w:marBottom w:val="0"/>
              <w:divBdr>
                <w:top w:val="none" w:sz="0" w:space="0" w:color="auto"/>
                <w:left w:val="none" w:sz="0" w:space="0" w:color="auto"/>
                <w:bottom w:val="none" w:sz="0" w:space="0" w:color="auto"/>
                <w:right w:val="none" w:sz="0" w:space="0" w:color="auto"/>
              </w:divBdr>
              <w:divsChild>
                <w:div w:id="926500199">
                  <w:marLeft w:val="0"/>
                  <w:marRight w:val="0"/>
                  <w:marTop w:val="0"/>
                  <w:marBottom w:val="0"/>
                  <w:divBdr>
                    <w:top w:val="none" w:sz="0" w:space="0" w:color="auto"/>
                    <w:left w:val="none" w:sz="0" w:space="0" w:color="auto"/>
                    <w:bottom w:val="none" w:sz="0" w:space="0" w:color="auto"/>
                    <w:right w:val="none" w:sz="0" w:space="0" w:color="auto"/>
                  </w:divBdr>
                  <w:divsChild>
                    <w:div w:id="367612258">
                      <w:marLeft w:val="0"/>
                      <w:marRight w:val="0"/>
                      <w:marTop w:val="0"/>
                      <w:marBottom w:val="0"/>
                      <w:divBdr>
                        <w:top w:val="none" w:sz="0" w:space="0" w:color="auto"/>
                        <w:left w:val="none" w:sz="0" w:space="0" w:color="auto"/>
                        <w:bottom w:val="none" w:sz="0" w:space="0" w:color="auto"/>
                        <w:right w:val="none" w:sz="0" w:space="0" w:color="auto"/>
                      </w:divBdr>
                      <w:divsChild>
                        <w:div w:id="800030349">
                          <w:marLeft w:val="0"/>
                          <w:marRight w:val="0"/>
                          <w:marTop w:val="0"/>
                          <w:marBottom w:val="0"/>
                          <w:divBdr>
                            <w:top w:val="none" w:sz="0" w:space="0" w:color="auto"/>
                            <w:left w:val="none" w:sz="0" w:space="0" w:color="auto"/>
                            <w:bottom w:val="none" w:sz="0" w:space="0" w:color="auto"/>
                            <w:right w:val="none" w:sz="0" w:space="0" w:color="auto"/>
                          </w:divBdr>
                          <w:divsChild>
                            <w:div w:id="1742174398">
                              <w:marLeft w:val="0"/>
                              <w:marRight w:val="0"/>
                              <w:marTop w:val="0"/>
                              <w:marBottom w:val="0"/>
                              <w:divBdr>
                                <w:top w:val="none" w:sz="0" w:space="0" w:color="auto"/>
                                <w:left w:val="none" w:sz="0" w:space="0" w:color="auto"/>
                                <w:bottom w:val="none" w:sz="0" w:space="0" w:color="auto"/>
                                <w:right w:val="none" w:sz="0" w:space="0" w:color="auto"/>
                              </w:divBdr>
                              <w:divsChild>
                                <w:div w:id="17914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4589">
      <w:bodyDiv w:val="1"/>
      <w:marLeft w:val="0"/>
      <w:marRight w:val="0"/>
      <w:marTop w:val="0"/>
      <w:marBottom w:val="0"/>
      <w:divBdr>
        <w:top w:val="none" w:sz="0" w:space="0" w:color="auto"/>
        <w:left w:val="none" w:sz="0" w:space="0" w:color="auto"/>
        <w:bottom w:val="none" w:sz="0" w:space="0" w:color="auto"/>
        <w:right w:val="none" w:sz="0" w:space="0" w:color="auto"/>
      </w:divBdr>
    </w:div>
    <w:div w:id="153299848">
      <w:bodyDiv w:val="1"/>
      <w:marLeft w:val="0"/>
      <w:marRight w:val="0"/>
      <w:marTop w:val="0"/>
      <w:marBottom w:val="0"/>
      <w:divBdr>
        <w:top w:val="none" w:sz="0" w:space="0" w:color="auto"/>
        <w:left w:val="none" w:sz="0" w:space="0" w:color="auto"/>
        <w:bottom w:val="none" w:sz="0" w:space="0" w:color="auto"/>
        <w:right w:val="none" w:sz="0" w:space="0" w:color="auto"/>
      </w:divBdr>
    </w:div>
    <w:div w:id="162088229">
      <w:bodyDiv w:val="1"/>
      <w:marLeft w:val="0"/>
      <w:marRight w:val="0"/>
      <w:marTop w:val="0"/>
      <w:marBottom w:val="0"/>
      <w:divBdr>
        <w:top w:val="none" w:sz="0" w:space="0" w:color="auto"/>
        <w:left w:val="none" w:sz="0" w:space="0" w:color="auto"/>
        <w:bottom w:val="none" w:sz="0" w:space="0" w:color="auto"/>
        <w:right w:val="none" w:sz="0" w:space="0" w:color="auto"/>
      </w:divBdr>
    </w:div>
    <w:div w:id="170607193">
      <w:bodyDiv w:val="1"/>
      <w:marLeft w:val="0"/>
      <w:marRight w:val="0"/>
      <w:marTop w:val="0"/>
      <w:marBottom w:val="0"/>
      <w:divBdr>
        <w:top w:val="none" w:sz="0" w:space="0" w:color="auto"/>
        <w:left w:val="none" w:sz="0" w:space="0" w:color="auto"/>
        <w:bottom w:val="none" w:sz="0" w:space="0" w:color="auto"/>
        <w:right w:val="none" w:sz="0" w:space="0" w:color="auto"/>
      </w:divBdr>
      <w:divsChild>
        <w:div w:id="570849225">
          <w:marLeft w:val="0"/>
          <w:marRight w:val="720"/>
          <w:marTop w:val="0"/>
          <w:marBottom w:val="0"/>
          <w:divBdr>
            <w:top w:val="none" w:sz="0" w:space="0" w:color="auto"/>
            <w:left w:val="none" w:sz="0" w:space="0" w:color="auto"/>
            <w:bottom w:val="none" w:sz="0" w:space="0" w:color="auto"/>
            <w:right w:val="none" w:sz="0" w:space="0" w:color="auto"/>
          </w:divBdr>
        </w:div>
      </w:divsChild>
    </w:div>
    <w:div w:id="177550312">
      <w:bodyDiv w:val="1"/>
      <w:marLeft w:val="0"/>
      <w:marRight w:val="0"/>
      <w:marTop w:val="0"/>
      <w:marBottom w:val="0"/>
      <w:divBdr>
        <w:top w:val="none" w:sz="0" w:space="0" w:color="auto"/>
        <w:left w:val="none" w:sz="0" w:space="0" w:color="auto"/>
        <w:bottom w:val="none" w:sz="0" w:space="0" w:color="auto"/>
        <w:right w:val="none" w:sz="0" w:space="0" w:color="auto"/>
      </w:divBdr>
      <w:divsChild>
        <w:div w:id="2015183839">
          <w:marLeft w:val="0"/>
          <w:marRight w:val="0"/>
          <w:marTop w:val="0"/>
          <w:marBottom w:val="0"/>
          <w:divBdr>
            <w:top w:val="none" w:sz="0" w:space="0" w:color="auto"/>
            <w:left w:val="none" w:sz="0" w:space="0" w:color="auto"/>
            <w:bottom w:val="none" w:sz="0" w:space="0" w:color="auto"/>
            <w:right w:val="none" w:sz="0" w:space="0" w:color="auto"/>
          </w:divBdr>
        </w:div>
      </w:divsChild>
    </w:div>
    <w:div w:id="200360377">
      <w:bodyDiv w:val="1"/>
      <w:marLeft w:val="0"/>
      <w:marRight w:val="0"/>
      <w:marTop w:val="0"/>
      <w:marBottom w:val="0"/>
      <w:divBdr>
        <w:top w:val="none" w:sz="0" w:space="0" w:color="auto"/>
        <w:left w:val="none" w:sz="0" w:space="0" w:color="auto"/>
        <w:bottom w:val="none" w:sz="0" w:space="0" w:color="auto"/>
        <w:right w:val="none" w:sz="0" w:space="0" w:color="auto"/>
      </w:divBdr>
    </w:div>
    <w:div w:id="204685130">
      <w:bodyDiv w:val="1"/>
      <w:marLeft w:val="0"/>
      <w:marRight w:val="0"/>
      <w:marTop w:val="0"/>
      <w:marBottom w:val="0"/>
      <w:divBdr>
        <w:top w:val="none" w:sz="0" w:space="0" w:color="auto"/>
        <w:left w:val="none" w:sz="0" w:space="0" w:color="auto"/>
        <w:bottom w:val="none" w:sz="0" w:space="0" w:color="auto"/>
        <w:right w:val="none" w:sz="0" w:space="0" w:color="auto"/>
      </w:divBdr>
    </w:div>
    <w:div w:id="226117153">
      <w:bodyDiv w:val="1"/>
      <w:marLeft w:val="0"/>
      <w:marRight w:val="0"/>
      <w:marTop w:val="0"/>
      <w:marBottom w:val="0"/>
      <w:divBdr>
        <w:top w:val="none" w:sz="0" w:space="0" w:color="auto"/>
        <w:left w:val="none" w:sz="0" w:space="0" w:color="auto"/>
        <w:bottom w:val="none" w:sz="0" w:space="0" w:color="auto"/>
        <w:right w:val="none" w:sz="0" w:space="0" w:color="auto"/>
      </w:divBdr>
    </w:div>
    <w:div w:id="233275003">
      <w:bodyDiv w:val="1"/>
      <w:marLeft w:val="0"/>
      <w:marRight w:val="0"/>
      <w:marTop w:val="0"/>
      <w:marBottom w:val="0"/>
      <w:divBdr>
        <w:top w:val="none" w:sz="0" w:space="0" w:color="auto"/>
        <w:left w:val="none" w:sz="0" w:space="0" w:color="auto"/>
        <w:bottom w:val="none" w:sz="0" w:space="0" w:color="auto"/>
        <w:right w:val="none" w:sz="0" w:space="0" w:color="auto"/>
      </w:divBdr>
    </w:div>
    <w:div w:id="237251979">
      <w:bodyDiv w:val="1"/>
      <w:marLeft w:val="0"/>
      <w:marRight w:val="0"/>
      <w:marTop w:val="0"/>
      <w:marBottom w:val="0"/>
      <w:divBdr>
        <w:top w:val="none" w:sz="0" w:space="0" w:color="auto"/>
        <w:left w:val="none" w:sz="0" w:space="0" w:color="auto"/>
        <w:bottom w:val="none" w:sz="0" w:space="0" w:color="auto"/>
        <w:right w:val="none" w:sz="0" w:space="0" w:color="auto"/>
      </w:divBdr>
    </w:div>
    <w:div w:id="240062365">
      <w:bodyDiv w:val="1"/>
      <w:marLeft w:val="0"/>
      <w:marRight w:val="0"/>
      <w:marTop w:val="0"/>
      <w:marBottom w:val="0"/>
      <w:divBdr>
        <w:top w:val="none" w:sz="0" w:space="0" w:color="auto"/>
        <w:left w:val="none" w:sz="0" w:space="0" w:color="auto"/>
        <w:bottom w:val="none" w:sz="0" w:space="0" w:color="auto"/>
        <w:right w:val="none" w:sz="0" w:space="0" w:color="auto"/>
      </w:divBdr>
    </w:div>
    <w:div w:id="246311375">
      <w:bodyDiv w:val="1"/>
      <w:marLeft w:val="0"/>
      <w:marRight w:val="0"/>
      <w:marTop w:val="0"/>
      <w:marBottom w:val="0"/>
      <w:divBdr>
        <w:top w:val="none" w:sz="0" w:space="0" w:color="auto"/>
        <w:left w:val="none" w:sz="0" w:space="0" w:color="auto"/>
        <w:bottom w:val="none" w:sz="0" w:space="0" w:color="auto"/>
        <w:right w:val="none" w:sz="0" w:space="0" w:color="auto"/>
      </w:divBdr>
    </w:div>
    <w:div w:id="255402438">
      <w:bodyDiv w:val="1"/>
      <w:marLeft w:val="0"/>
      <w:marRight w:val="0"/>
      <w:marTop w:val="0"/>
      <w:marBottom w:val="0"/>
      <w:divBdr>
        <w:top w:val="none" w:sz="0" w:space="0" w:color="auto"/>
        <w:left w:val="none" w:sz="0" w:space="0" w:color="auto"/>
        <w:bottom w:val="none" w:sz="0" w:space="0" w:color="auto"/>
        <w:right w:val="none" w:sz="0" w:space="0" w:color="auto"/>
      </w:divBdr>
    </w:div>
    <w:div w:id="271865022">
      <w:bodyDiv w:val="1"/>
      <w:marLeft w:val="0"/>
      <w:marRight w:val="0"/>
      <w:marTop w:val="0"/>
      <w:marBottom w:val="0"/>
      <w:divBdr>
        <w:top w:val="none" w:sz="0" w:space="0" w:color="auto"/>
        <w:left w:val="none" w:sz="0" w:space="0" w:color="auto"/>
        <w:bottom w:val="none" w:sz="0" w:space="0" w:color="auto"/>
        <w:right w:val="none" w:sz="0" w:space="0" w:color="auto"/>
      </w:divBdr>
    </w:div>
    <w:div w:id="293489229">
      <w:bodyDiv w:val="1"/>
      <w:marLeft w:val="0"/>
      <w:marRight w:val="0"/>
      <w:marTop w:val="0"/>
      <w:marBottom w:val="0"/>
      <w:divBdr>
        <w:top w:val="none" w:sz="0" w:space="0" w:color="auto"/>
        <w:left w:val="none" w:sz="0" w:space="0" w:color="auto"/>
        <w:bottom w:val="none" w:sz="0" w:space="0" w:color="auto"/>
        <w:right w:val="none" w:sz="0" w:space="0" w:color="auto"/>
      </w:divBdr>
    </w:div>
    <w:div w:id="324866508">
      <w:bodyDiv w:val="1"/>
      <w:marLeft w:val="0"/>
      <w:marRight w:val="0"/>
      <w:marTop w:val="0"/>
      <w:marBottom w:val="0"/>
      <w:divBdr>
        <w:top w:val="none" w:sz="0" w:space="0" w:color="auto"/>
        <w:left w:val="none" w:sz="0" w:space="0" w:color="auto"/>
        <w:bottom w:val="none" w:sz="0" w:space="0" w:color="auto"/>
        <w:right w:val="none" w:sz="0" w:space="0" w:color="auto"/>
      </w:divBdr>
    </w:div>
    <w:div w:id="327682731">
      <w:bodyDiv w:val="1"/>
      <w:marLeft w:val="0"/>
      <w:marRight w:val="0"/>
      <w:marTop w:val="0"/>
      <w:marBottom w:val="0"/>
      <w:divBdr>
        <w:top w:val="none" w:sz="0" w:space="0" w:color="auto"/>
        <w:left w:val="none" w:sz="0" w:space="0" w:color="auto"/>
        <w:bottom w:val="none" w:sz="0" w:space="0" w:color="auto"/>
        <w:right w:val="none" w:sz="0" w:space="0" w:color="auto"/>
      </w:divBdr>
    </w:div>
    <w:div w:id="336661074">
      <w:bodyDiv w:val="1"/>
      <w:marLeft w:val="0"/>
      <w:marRight w:val="0"/>
      <w:marTop w:val="0"/>
      <w:marBottom w:val="0"/>
      <w:divBdr>
        <w:top w:val="none" w:sz="0" w:space="0" w:color="auto"/>
        <w:left w:val="none" w:sz="0" w:space="0" w:color="auto"/>
        <w:bottom w:val="none" w:sz="0" w:space="0" w:color="auto"/>
        <w:right w:val="none" w:sz="0" w:space="0" w:color="auto"/>
      </w:divBdr>
    </w:div>
    <w:div w:id="352999222">
      <w:bodyDiv w:val="1"/>
      <w:marLeft w:val="0"/>
      <w:marRight w:val="0"/>
      <w:marTop w:val="0"/>
      <w:marBottom w:val="0"/>
      <w:divBdr>
        <w:top w:val="none" w:sz="0" w:space="0" w:color="auto"/>
        <w:left w:val="none" w:sz="0" w:space="0" w:color="auto"/>
        <w:bottom w:val="none" w:sz="0" w:space="0" w:color="auto"/>
        <w:right w:val="none" w:sz="0" w:space="0" w:color="auto"/>
      </w:divBdr>
    </w:div>
    <w:div w:id="365906174">
      <w:bodyDiv w:val="1"/>
      <w:marLeft w:val="0"/>
      <w:marRight w:val="0"/>
      <w:marTop w:val="0"/>
      <w:marBottom w:val="0"/>
      <w:divBdr>
        <w:top w:val="none" w:sz="0" w:space="0" w:color="auto"/>
        <w:left w:val="none" w:sz="0" w:space="0" w:color="auto"/>
        <w:bottom w:val="none" w:sz="0" w:space="0" w:color="auto"/>
        <w:right w:val="none" w:sz="0" w:space="0" w:color="auto"/>
      </w:divBdr>
    </w:div>
    <w:div w:id="372273725">
      <w:bodyDiv w:val="1"/>
      <w:marLeft w:val="0"/>
      <w:marRight w:val="0"/>
      <w:marTop w:val="0"/>
      <w:marBottom w:val="0"/>
      <w:divBdr>
        <w:top w:val="none" w:sz="0" w:space="0" w:color="auto"/>
        <w:left w:val="none" w:sz="0" w:space="0" w:color="auto"/>
        <w:bottom w:val="none" w:sz="0" w:space="0" w:color="auto"/>
        <w:right w:val="none" w:sz="0" w:space="0" w:color="auto"/>
      </w:divBdr>
    </w:div>
    <w:div w:id="374165390">
      <w:bodyDiv w:val="1"/>
      <w:marLeft w:val="0"/>
      <w:marRight w:val="0"/>
      <w:marTop w:val="0"/>
      <w:marBottom w:val="0"/>
      <w:divBdr>
        <w:top w:val="none" w:sz="0" w:space="0" w:color="auto"/>
        <w:left w:val="none" w:sz="0" w:space="0" w:color="auto"/>
        <w:bottom w:val="none" w:sz="0" w:space="0" w:color="auto"/>
        <w:right w:val="none" w:sz="0" w:space="0" w:color="auto"/>
      </w:divBdr>
    </w:div>
    <w:div w:id="380054508">
      <w:bodyDiv w:val="1"/>
      <w:marLeft w:val="0"/>
      <w:marRight w:val="0"/>
      <w:marTop w:val="0"/>
      <w:marBottom w:val="0"/>
      <w:divBdr>
        <w:top w:val="none" w:sz="0" w:space="0" w:color="auto"/>
        <w:left w:val="none" w:sz="0" w:space="0" w:color="auto"/>
        <w:bottom w:val="none" w:sz="0" w:space="0" w:color="auto"/>
        <w:right w:val="none" w:sz="0" w:space="0" w:color="auto"/>
      </w:divBdr>
      <w:divsChild>
        <w:div w:id="817385328">
          <w:marLeft w:val="0"/>
          <w:marRight w:val="547"/>
          <w:marTop w:val="0"/>
          <w:marBottom w:val="0"/>
          <w:divBdr>
            <w:top w:val="none" w:sz="0" w:space="0" w:color="auto"/>
            <w:left w:val="none" w:sz="0" w:space="0" w:color="auto"/>
            <w:bottom w:val="none" w:sz="0" w:space="0" w:color="auto"/>
            <w:right w:val="none" w:sz="0" w:space="0" w:color="auto"/>
          </w:divBdr>
        </w:div>
      </w:divsChild>
    </w:div>
    <w:div w:id="380986454">
      <w:bodyDiv w:val="1"/>
      <w:marLeft w:val="0"/>
      <w:marRight w:val="0"/>
      <w:marTop w:val="0"/>
      <w:marBottom w:val="0"/>
      <w:divBdr>
        <w:top w:val="none" w:sz="0" w:space="0" w:color="auto"/>
        <w:left w:val="none" w:sz="0" w:space="0" w:color="auto"/>
        <w:bottom w:val="none" w:sz="0" w:space="0" w:color="auto"/>
        <w:right w:val="none" w:sz="0" w:space="0" w:color="auto"/>
      </w:divBdr>
    </w:div>
    <w:div w:id="400181198">
      <w:bodyDiv w:val="1"/>
      <w:marLeft w:val="0"/>
      <w:marRight w:val="0"/>
      <w:marTop w:val="0"/>
      <w:marBottom w:val="0"/>
      <w:divBdr>
        <w:top w:val="none" w:sz="0" w:space="0" w:color="auto"/>
        <w:left w:val="none" w:sz="0" w:space="0" w:color="auto"/>
        <w:bottom w:val="none" w:sz="0" w:space="0" w:color="auto"/>
        <w:right w:val="none" w:sz="0" w:space="0" w:color="auto"/>
      </w:divBdr>
    </w:div>
    <w:div w:id="407187887">
      <w:bodyDiv w:val="1"/>
      <w:marLeft w:val="0"/>
      <w:marRight w:val="0"/>
      <w:marTop w:val="0"/>
      <w:marBottom w:val="0"/>
      <w:divBdr>
        <w:top w:val="none" w:sz="0" w:space="0" w:color="auto"/>
        <w:left w:val="none" w:sz="0" w:space="0" w:color="auto"/>
        <w:bottom w:val="none" w:sz="0" w:space="0" w:color="auto"/>
        <w:right w:val="none" w:sz="0" w:space="0" w:color="auto"/>
      </w:divBdr>
    </w:div>
    <w:div w:id="411464374">
      <w:bodyDiv w:val="1"/>
      <w:marLeft w:val="0"/>
      <w:marRight w:val="0"/>
      <w:marTop w:val="0"/>
      <w:marBottom w:val="0"/>
      <w:divBdr>
        <w:top w:val="none" w:sz="0" w:space="0" w:color="auto"/>
        <w:left w:val="none" w:sz="0" w:space="0" w:color="auto"/>
        <w:bottom w:val="none" w:sz="0" w:space="0" w:color="auto"/>
        <w:right w:val="none" w:sz="0" w:space="0" w:color="auto"/>
      </w:divBdr>
    </w:div>
    <w:div w:id="411900596">
      <w:bodyDiv w:val="1"/>
      <w:marLeft w:val="0"/>
      <w:marRight w:val="0"/>
      <w:marTop w:val="0"/>
      <w:marBottom w:val="0"/>
      <w:divBdr>
        <w:top w:val="none" w:sz="0" w:space="0" w:color="auto"/>
        <w:left w:val="none" w:sz="0" w:space="0" w:color="auto"/>
        <w:bottom w:val="none" w:sz="0" w:space="0" w:color="auto"/>
        <w:right w:val="none" w:sz="0" w:space="0" w:color="auto"/>
      </w:divBdr>
    </w:div>
    <w:div w:id="460341830">
      <w:bodyDiv w:val="1"/>
      <w:marLeft w:val="0"/>
      <w:marRight w:val="0"/>
      <w:marTop w:val="0"/>
      <w:marBottom w:val="0"/>
      <w:divBdr>
        <w:top w:val="none" w:sz="0" w:space="0" w:color="auto"/>
        <w:left w:val="none" w:sz="0" w:space="0" w:color="auto"/>
        <w:bottom w:val="none" w:sz="0" w:space="0" w:color="auto"/>
        <w:right w:val="none" w:sz="0" w:space="0" w:color="auto"/>
      </w:divBdr>
      <w:divsChild>
        <w:div w:id="1091199734">
          <w:marLeft w:val="0"/>
          <w:marRight w:val="547"/>
          <w:marTop w:val="0"/>
          <w:marBottom w:val="0"/>
          <w:divBdr>
            <w:top w:val="none" w:sz="0" w:space="0" w:color="auto"/>
            <w:left w:val="none" w:sz="0" w:space="0" w:color="auto"/>
            <w:bottom w:val="none" w:sz="0" w:space="0" w:color="auto"/>
            <w:right w:val="none" w:sz="0" w:space="0" w:color="auto"/>
          </w:divBdr>
        </w:div>
      </w:divsChild>
    </w:div>
    <w:div w:id="471554954">
      <w:bodyDiv w:val="1"/>
      <w:marLeft w:val="0"/>
      <w:marRight w:val="0"/>
      <w:marTop w:val="0"/>
      <w:marBottom w:val="0"/>
      <w:divBdr>
        <w:top w:val="none" w:sz="0" w:space="0" w:color="auto"/>
        <w:left w:val="none" w:sz="0" w:space="0" w:color="auto"/>
        <w:bottom w:val="none" w:sz="0" w:space="0" w:color="auto"/>
        <w:right w:val="none" w:sz="0" w:space="0" w:color="auto"/>
      </w:divBdr>
      <w:divsChild>
        <w:div w:id="945775323">
          <w:marLeft w:val="0"/>
          <w:marRight w:val="0"/>
          <w:marTop w:val="0"/>
          <w:marBottom w:val="0"/>
          <w:divBdr>
            <w:top w:val="none" w:sz="0" w:space="0" w:color="auto"/>
            <w:left w:val="none" w:sz="0" w:space="0" w:color="auto"/>
            <w:bottom w:val="none" w:sz="0" w:space="0" w:color="auto"/>
            <w:right w:val="none" w:sz="0" w:space="0" w:color="auto"/>
          </w:divBdr>
        </w:div>
      </w:divsChild>
    </w:div>
    <w:div w:id="508059909">
      <w:bodyDiv w:val="1"/>
      <w:marLeft w:val="0"/>
      <w:marRight w:val="0"/>
      <w:marTop w:val="0"/>
      <w:marBottom w:val="0"/>
      <w:divBdr>
        <w:top w:val="none" w:sz="0" w:space="0" w:color="auto"/>
        <w:left w:val="none" w:sz="0" w:space="0" w:color="auto"/>
        <w:bottom w:val="none" w:sz="0" w:space="0" w:color="auto"/>
        <w:right w:val="none" w:sz="0" w:space="0" w:color="auto"/>
      </w:divBdr>
    </w:div>
    <w:div w:id="512574127">
      <w:bodyDiv w:val="1"/>
      <w:marLeft w:val="0"/>
      <w:marRight w:val="0"/>
      <w:marTop w:val="0"/>
      <w:marBottom w:val="0"/>
      <w:divBdr>
        <w:top w:val="none" w:sz="0" w:space="0" w:color="auto"/>
        <w:left w:val="none" w:sz="0" w:space="0" w:color="auto"/>
        <w:bottom w:val="none" w:sz="0" w:space="0" w:color="auto"/>
        <w:right w:val="none" w:sz="0" w:space="0" w:color="auto"/>
      </w:divBdr>
    </w:div>
    <w:div w:id="522784424">
      <w:bodyDiv w:val="1"/>
      <w:marLeft w:val="0"/>
      <w:marRight w:val="0"/>
      <w:marTop w:val="0"/>
      <w:marBottom w:val="0"/>
      <w:divBdr>
        <w:top w:val="none" w:sz="0" w:space="0" w:color="auto"/>
        <w:left w:val="none" w:sz="0" w:space="0" w:color="auto"/>
        <w:bottom w:val="none" w:sz="0" w:space="0" w:color="auto"/>
        <w:right w:val="none" w:sz="0" w:space="0" w:color="auto"/>
      </w:divBdr>
    </w:div>
    <w:div w:id="553658070">
      <w:bodyDiv w:val="1"/>
      <w:marLeft w:val="0"/>
      <w:marRight w:val="0"/>
      <w:marTop w:val="0"/>
      <w:marBottom w:val="0"/>
      <w:divBdr>
        <w:top w:val="none" w:sz="0" w:space="0" w:color="auto"/>
        <w:left w:val="none" w:sz="0" w:space="0" w:color="auto"/>
        <w:bottom w:val="none" w:sz="0" w:space="0" w:color="auto"/>
        <w:right w:val="none" w:sz="0" w:space="0" w:color="auto"/>
      </w:divBdr>
    </w:div>
    <w:div w:id="560556903">
      <w:bodyDiv w:val="1"/>
      <w:marLeft w:val="0"/>
      <w:marRight w:val="0"/>
      <w:marTop w:val="0"/>
      <w:marBottom w:val="0"/>
      <w:divBdr>
        <w:top w:val="none" w:sz="0" w:space="0" w:color="auto"/>
        <w:left w:val="none" w:sz="0" w:space="0" w:color="auto"/>
        <w:bottom w:val="none" w:sz="0" w:space="0" w:color="auto"/>
        <w:right w:val="none" w:sz="0" w:space="0" w:color="auto"/>
      </w:divBdr>
    </w:div>
    <w:div w:id="623077945">
      <w:bodyDiv w:val="1"/>
      <w:marLeft w:val="0"/>
      <w:marRight w:val="0"/>
      <w:marTop w:val="0"/>
      <w:marBottom w:val="0"/>
      <w:divBdr>
        <w:top w:val="none" w:sz="0" w:space="0" w:color="auto"/>
        <w:left w:val="none" w:sz="0" w:space="0" w:color="auto"/>
        <w:bottom w:val="none" w:sz="0" w:space="0" w:color="auto"/>
        <w:right w:val="none" w:sz="0" w:space="0" w:color="auto"/>
      </w:divBdr>
    </w:div>
    <w:div w:id="623803896">
      <w:bodyDiv w:val="1"/>
      <w:marLeft w:val="0"/>
      <w:marRight w:val="0"/>
      <w:marTop w:val="0"/>
      <w:marBottom w:val="0"/>
      <w:divBdr>
        <w:top w:val="none" w:sz="0" w:space="0" w:color="auto"/>
        <w:left w:val="none" w:sz="0" w:space="0" w:color="auto"/>
        <w:bottom w:val="none" w:sz="0" w:space="0" w:color="auto"/>
        <w:right w:val="none" w:sz="0" w:space="0" w:color="auto"/>
      </w:divBdr>
    </w:div>
    <w:div w:id="637108109">
      <w:bodyDiv w:val="1"/>
      <w:marLeft w:val="0"/>
      <w:marRight w:val="0"/>
      <w:marTop w:val="0"/>
      <w:marBottom w:val="0"/>
      <w:divBdr>
        <w:top w:val="none" w:sz="0" w:space="0" w:color="auto"/>
        <w:left w:val="none" w:sz="0" w:space="0" w:color="auto"/>
        <w:bottom w:val="none" w:sz="0" w:space="0" w:color="auto"/>
        <w:right w:val="none" w:sz="0" w:space="0" w:color="auto"/>
      </w:divBdr>
    </w:div>
    <w:div w:id="651522120">
      <w:bodyDiv w:val="1"/>
      <w:marLeft w:val="0"/>
      <w:marRight w:val="0"/>
      <w:marTop w:val="0"/>
      <w:marBottom w:val="0"/>
      <w:divBdr>
        <w:top w:val="none" w:sz="0" w:space="0" w:color="auto"/>
        <w:left w:val="none" w:sz="0" w:space="0" w:color="auto"/>
        <w:bottom w:val="none" w:sz="0" w:space="0" w:color="auto"/>
        <w:right w:val="none" w:sz="0" w:space="0" w:color="auto"/>
      </w:divBdr>
    </w:div>
    <w:div w:id="673605005">
      <w:bodyDiv w:val="1"/>
      <w:marLeft w:val="0"/>
      <w:marRight w:val="0"/>
      <w:marTop w:val="0"/>
      <w:marBottom w:val="0"/>
      <w:divBdr>
        <w:top w:val="none" w:sz="0" w:space="0" w:color="auto"/>
        <w:left w:val="none" w:sz="0" w:space="0" w:color="auto"/>
        <w:bottom w:val="none" w:sz="0" w:space="0" w:color="auto"/>
        <w:right w:val="none" w:sz="0" w:space="0" w:color="auto"/>
      </w:divBdr>
    </w:div>
    <w:div w:id="703023930">
      <w:bodyDiv w:val="1"/>
      <w:marLeft w:val="0"/>
      <w:marRight w:val="0"/>
      <w:marTop w:val="0"/>
      <w:marBottom w:val="0"/>
      <w:divBdr>
        <w:top w:val="none" w:sz="0" w:space="0" w:color="auto"/>
        <w:left w:val="none" w:sz="0" w:space="0" w:color="auto"/>
        <w:bottom w:val="none" w:sz="0" w:space="0" w:color="auto"/>
        <w:right w:val="none" w:sz="0" w:space="0" w:color="auto"/>
      </w:divBdr>
    </w:div>
    <w:div w:id="722754180">
      <w:bodyDiv w:val="1"/>
      <w:marLeft w:val="0"/>
      <w:marRight w:val="0"/>
      <w:marTop w:val="0"/>
      <w:marBottom w:val="0"/>
      <w:divBdr>
        <w:top w:val="none" w:sz="0" w:space="0" w:color="auto"/>
        <w:left w:val="none" w:sz="0" w:space="0" w:color="auto"/>
        <w:bottom w:val="none" w:sz="0" w:space="0" w:color="auto"/>
        <w:right w:val="none" w:sz="0" w:space="0" w:color="auto"/>
      </w:divBdr>
    </w:div>
    <w:div w:id="764424719">
      <w:bodyDiv w:val="1"/>
      <w:marLeft w:val="0"/>
      <w:marRight w:val="0"/>
      <w:marTop w:val="0"/>
      <w:marBottom w:val="0"/>
      <w:divBdr>
        <w:top w:val="none" w:sz="0" w:space="0" w:color="auto"/>
        <w:left w:val="none" w:sz="0" w:space="0" w:color="auto"/>
        <w:bottom w:val="none" w:sz="0" w:space="0" w:color="auto"/>
        <w:right w:val="none" w:sz="0" w:space="0" w:color="auto"/>
      </w:divBdr>
      <w:divsChild>
        <w:div w:id="965697934">
          <w:marLeft w:val="0"/>
          <w:marRight w:val="0"/>
          <w:marTop w:val="0"/>
          <w:marBottom w:val="0"/>
          <w:divBdr>
            <w:top w:val="none" w:sz="0" w:space="0" w:color="auto"/>
            <w:left w:val="none" w:sz="0" w:space="0" w:color="auto"/>
            <w:bottom w:val="none" w:sz="0" w:space="0" w:color="auto"/>
            <w:right w:val="none" w:sz="0" w:space="0" w:color="auto"/>
          </w:divBdr>
        </w:div>
        <w:div w:id="420495679">
          <w:marLeft w:val="0"/>
          <w:marRight w:val="0"/>
          <w:marTop w:val="0"/>
          <w:marBottom w:val="0"/>
          <w:divBdr>
            <w:top w:val="none" w:sz="0" w:space="0" w:color="auto"/>
            <w:left w:val="none" w:sz="0" w:space="0" w:color="auto"/>
            <w:bottom w:val="none" w:sz="0" w:space="0" w:color="auto"/>
            <w:right w:val="none" w:sz="0" w:space="0" w:color="auto"/>
          </w:divBdr>
        </w:div>
      </w:divsChild>
    </w:div>
    <w:div w:id="767694286">
      <w:bodyDiv w:val="1"/>
      <w:marLeft w:val="0"/>
      <w:marRight w:val="0"/>
      <w:marTop w:val="0"/>
      <w:marBottom w:val="0"/>
      <w:divBdr>
        <w:top w:val="none" w:sz="0" w:space="0" w:color="auto"/>
        <w:left w:val="none" w:sz="0" w:space="0" w:color="auto"/>
        <w:bottom w:val="none" w:sz="0" w:space="0" w:color="auto"/>
        <w:right w:val="none" w:sz="0" w:space="0" w:color="auto"/>
      </w:divBdr>
    </w:div>
    <w:div w:id="771586378">
      <w:bodyDiv w:val="1"/>
      <w:marLeft w:val="0"/>
      <w:marRight w:val="0"/>
      <w:marTop w:val="0"/>
      <w:marBottom w:val="0"/>
      <w:divBdr>
        <w:top w:val="none" w:sz="0" w:space="0" w:color="auto"/>
        <w:left w:val="none" w:sz="0" w:space="0" w:color="auto"/>
        <w:bottom w:val="none" w:sz="0" w:space="0" w:color="auto"/>
        <w:right w:val="none" w:sz="0" w:space="0" w:color="auto"/>
      </w:divBdr>
    </w:div>
    <w:div w:id="792675640">
      <w:bodyDiv w:val="1"/>
      <w:marLeft w:val="0"/>
      <w:marRight w:val="0"/>
      <w:marTop w:val="0"/>
      <w:marBottom w:val="0"/>
      <w:divBdr>
        <w:top w:val="none" w:sz="0" w:space="0" w:color="auto"/>
        <w:left w:val="none" w:sz="0" w:space="0" w:color="auto"/>
        <w:bottom w:val="none" w:sz="0" w:space="0" w:color="auto"/>
        <w:right w:val="none" w:sz="0" w:space="0" w:color="auto"/>
      </w:divBdr>
    </w:div>
    <w:div w:id="805657432">
      <w:bodyDiv w:val="1"/>
      <w:marLeft w:val="0"/>
      <w:marRight w:val="0"/>
      <w:marTop w:val="0"/>
      <w:marBottom w:val="0"/>
      <w:divBdr>
        <w:top w:val="none" w:sz="0" w:space="0" w:color="auto"/>
        <w:left w:val="none" w:sz="0" w:space="0" w:color="auto"/>
        <w:bottom w:val="none" w:sz="0" w:space="0" w:color="auto"/>
        <w:right w:val="none" w:sz="0" w:space="0" w:color="auto"/>
      </w:divBdr>
    </w:div>
    <w:div w:id="807480344">
      <w:bodyDiv w:val="1"/>
      <w:marLeft w:val="0"/>
      <w:marRight w:val="0"/>
      <w:marTop w:val="0"/>
      <w:marBottom w:val="0"/>
      <w:divBdr>
        <w:top w:val="none" w:sz="0" w:space="0" w:color="auto"/>
        <w:left w:val="none" w:sz="0" w:space="0" w:color="auto"/>
        <w:bottom w:val="none" w:sz="0" w:space="0" w:color="auto"/>
        <w:right w:val="none" w:sz="0" w:space="0" w:color="auto"/>
      </w:divBdr>
    </w:div>
    <w:div w:id="842474991">
      <w:bodyDiv w:val="1"/>
      <w:marLeft w:val="0"/>
      <w:marRight w:val="0"/>
      <w:marTop w:val="0"/>
      <w:marBottom w:val="0"/>
      <w:divBdr>
        <w:top w:val="none" w:sz="0" w:space="0" w:color="auto"/>
        <w:left w:val="none" w:sz="0" w:space="0" w:color="auto"/>
        <w:bottom w:val="none" w:sz="0" w:space="0" w:color="auto"/>
        <w:right w:val="none" w:sz="0" w:space="0" w:color="auto"/>
      </w:divBdr>
    </w:div>
    <w:div w:id="857037508">
      <w:bodyDiv w:val="1"/>
      <w:marLeft w:val="0"/>
      <w:marRight w:val="0"/>
      <w:marTop w:val="0"/>
      <w:marBottom w:val="0"/>
      <w:divBdr>
        <w:top w:val="none" w:sz="0" w:space="0" w:color="auto"/>
        <w:left w:val="none" w:sz="0" w:space="0" w:color="auto"/>
        <w:bottom w:val="none" w:sz="0" w:space="0" w:color="auto"/>
        <w:right w:val="none" w:sz="0" w:space="0" w:color="auto"/>
      </w:divBdr>
    </w:div>
    <w:div w:id="859129332">
      <w:bodyDiv w:val="1"/>
      <w:marLeft w:val="0"/>
      <w:marRight w:val="0"/>
      <w:marTop w:val="0"/>
      <w:marBottom w:val="0"/>
      <w:divBdr>
        <w:top w:val="none" w:sz="0" w:space="0" w:color="auto"/>
        <w:left w:val="none" w:sz="0" w:space="0" w:color="auto"/>
        <w:bottom w:val="none" w:sz="0" w:space="0" w:color="auto"/>
        <w:right w:val="none" w:sz="0" w:space="0" w:color="auto"/>
      </w:divBdr>
    </w:div>
    <w:div w:id="893270413">
      <w:bodyDiv w:val="1"/>
      <w:marLeft w:val="0"/>
      <w:marRight w:val="0"/>
      <w:marTop w:val="0"/>
      <w:marBottom w:val="0"/>
      <w:divBdr>
        <w:top w:val="none" w:sz="0" w:space="0" w:color="auto"/>
        <w:left w:val="none" w:sz="0" w:space="0" w:color="auto"/>
        <w:bottom w:val="none" w:sz="0" w:space="0" w:color="auto"/>
        <w:right w:val="none" w:sz="0" w:space="0" w:color="auto"/>
      </w:divBdr>
      <w:divsChild>
        <w:div w:id="279843399">
          <w:marLeft w:val="0"/>
          <w:marRight w:val="0"/>
          <w:marTop w:val="0"/>
          <w:marBottom w:val="0"/>
          <w:divBdr>
            <w:top w:val="none" w:sz="0" w:space="0" w:color="auto"/>
            <w:left w:val="none" w:sz="0" w:space="0" w:color="auto"/>
            <w:bottom w:val="none" w:sz="0" w:space="0" w:color="auto"/>
            <w:right w:val="none" w:sz="0" w:space="0" w:color="auto"/>
          </w:divBdr>
        </w:div>
      </w:divsChild>
    </w:div>
    <w:div w:id="913321488">
      <w:bodyDiv w:val="1"/>
      <w:marLeft w:val="0"/>
      <w:marRight w:val="0"/>
      <w:marTop w:val="0"/>
      <w:marBottom w:val="0"/>
      <w:divBdr>
        <w:top w:val="none" w:sz="0" w:space="0" w:color="auto"/>
        <w:left w:val="none" w:sz="0" w:space="0" w:color="auto"/>
        <w:bottom w:val="none" w:sz="0" w:space="0" w:color="auto"/>
        <w:right w:val="none" w:sz="0" w:space="0" w:color="auto"/>
      </w:divBdr>
    </w:div>
    <w:div w:id="920522837">
      <w:bodyDiv w:val="1"/>
      <w:marLeft w:val="0"/>
      <w:marRight w:val="0"/>
      <w:marTop w:val="0"/>
      <w:marBottom w:val="0"/>
      <w:divBdr>
        <w:top w:val="none" w:sz="0" w:space="0" w:color="auto"/>
        <w:left w:val="none" w:sz="0" w:space="0" w:color="auto"/>
        <w:bottom w:val="none" w:sz="0" w:space="0" w:color="auto"/>
        <w:right w:val="none" w:sz="0" w:space="0" w:color="auto"/>
      </w:divBdr>
      <w:divsChild>
        <w:div w:id="1324117882">
          <w:marLeft w:val="0"/>
          <w:marRight w:val="720"/>
          <w:marTop w:val="0"/>
          <w:marBottom w:val="0"/>
          <w:divBdr>
            <w:top w:val="none" w:sz="0" w:space="0" w:color="auto"/>
            <w:left w:val="none" w:sz="0" w:space="0" w:color="auto"/>
            <w:bottom w:val="none" w:sz="0" w:space="0" w:color="auto"/>
            <w:right w:val="none" w:sz="0" w:space="0" w:color="auto"/>
          </w:divBdr>
        </w:div>
      </w:divsChild>
    </w:div>
    <w:div w:id="937175215">
      <w:bodyDiv w:val="1"/>
      <w:marLeft w:val="0"/>
      <w:marRight w:val="0"/>
      <w:marTop w:val="0"/>
      <w:marBottom w:val="0"/>
      <w:divBdr>
        <w:top w:val="none" w:sz="0" w:space="0" w:color="auto"/>
        <w:left w:val="none" w:sz="0" w:space="0" w:color="auto"/>
        <w:bottom w:val="none" w:sz="0" w:space="0" w:color="auto"/>
        <w:right w:val="none" w:sz="0" w:space="0" w:color="auto"/>
      </w:divBdr>
    </w:div>
    <w:div w:id="95632855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669573">
      <w:bodyDiv w:val="1"/>
      <w:marLeft w:val="0"/>
      <w:marRight w:val="0"/>
      <w:marTop w:val="0"/>
      <w:marBottom w:val="0"/>
      <w:divBdr>
        <w:top w:val="none" w:sz="0" w:space="0" w:color="auto"/>
        <w:left w:val="none" w:sz="0" w:space="0" w:color="auto"/>
        <w:bottom w:val="none" w:sz="0" w:space="0" w:color="auto"/>
        <w:right w:val="none" w:sz="0" w:space="0" w:color="auto"/>
      </w:divBdr>
    </w:div>
    <w:div w:id="993264728">
      <w:bodyDiv w:val="1"/>
      <w:marLeft w:val="0"/>
      <w:marRight w:val="0"/>
      <w:marTop w:val="0"/>
      <w:marBottom w:val="0"/>
      <w:divBdr>
        <w:top w:val="none" w:sz="0" w:space="0" w:color="auto"/>
        <w:left w:val="none" w:sz="0" w:space="0" w:color="auto"/>
        <w:bottom w:val="none" w:sz="0" w:space="0" w:color="auto"/>
        <w:right w:val="none" w:sz="0" w:space="0" w:color="auto"/>
      </w:divBdr>
    </w:div>
    <w:div w:id="993491249">
      <w:bodyDiv w:val="1"/>
      <w:marLeft w:val="0"/>
      <w:marRight w:val="0"/>
      <w:marTop w:val="0"/>
      <w:marBottom w:val="0"/>
      <w:divBdr>
        <w:top w:val="none" w:sz="0" w:space="0" w:color="auto"/>
        <w:left w:val="none" w:sz="0" w:space="0" w:color="auto"/>
        <w:bottom w:val="none" w:sz="0" w:space="0" w:color="auto"/>
        <w:right w:val="none" w:sz="0" w:space="0" w:color="auto"/>
      </w:divBdr>
    </w:div>
    <w:div w:id="1003165299">
      <w:bodyDiv w:val="1"/>
      <w:marLeft w:val="0"/>
      <w:marRight w:val="0"/>
      <w:marTop w:val="0"/>
      <w:marBottom w:val="0"/>
      <w:divBdr>
        <w:top w:val="none" w:sz="0" w:space="0" w:color="auto"/>
        <w:left w:val="none" w:sz="0" w:space="0" w:color="auto"/>
        <w:bottom w:val="none" w:sz="0" w:space="0" w:color="auto"/>
        <w:right w:val="none" w:sz="0" w:space="0" w:color="auto"/>
      </w:divBdr>
    </w:div>
    <w:div w:id="1037047281">
      <w:bodyDiv w:val="1"/>
      <w:marLeft w:val="0"/>
      <w:marRight w:val="0"/>
      <w:marTop w:val="0"/>
      <w:marBottom w:val="0"/>
      <w:divBdr>
        <w:top w:val="none" w:sz="0" w:space="0" w:color="auto"/>
        <w:left w:val="none" w:sz="0" w:space="0" w:color="auto"/>
        <w:bottom w:val="none" w:sz="0" w:space="0" w:color="auto"/>
        <w:right w:val="none" w:sz="0" w:space="0" w:color="auto"/>
      </w:divBdr>
    </w:div>
    <w:div w:id="1039159699">
      <w:bodyDiv w:val="1"/>
      <w:marLeft w:val="0"/>
      <w:marRight w:val="0"/>
      <w:marTop w:val="0"/>
      <w:marBottom w:val="0"/>
      <w:divBdr>
        <w:top w:val="none" w:sz="0" w:space="0" w:color="auto"/>
        <w:left w:val="none" w:sz="0" w:space="0" w:color="auto"/>
        <w:bottom w:val="none" w:sz="0" w:space="0" w:color="auto"/>
        <w:right w:val="none" w:sz="0" w:space="0" w:color="auto"/>
      </w:divBdr>
    </w:div>
    <w:div w:id="1076898509">
      <w:bodyDiv w:val="1"/>
      <w:marLeft w:val="0"/>
      <w:marRight w:val="0"/>
      <w:marTop w:val="0"/>
      <w:marBottom w:val="0"/>
      <w:divBdr>
        <w:top w:val="none" w:sz="0" w:space="0" w:color="auto"/>
        <w:left w:val="none" w:sz="0" w:space="0" w:color="auto"/>
        <w:bottom w:val="none" w:sz="0" w:space="0" w:color="auto"/>
        <w:right w:val="none" w:sz="0" w:space="0" w:color="auto"/>
      </w:divBdr>
    </w:div>
    <w:div w:id="1095899796">
      <w:bodyDiv w:val="1"/>
      <w:marLeft w:val="0"/>
      <w:marRight w:val="0"/>
      <w:marTop w:val="0"/>
      <w:marBottom w:val="0"/>
      <w:divBdr>
        <w:top w:val="none" w:sz="0" w:space="0" w:color="auto"/>
        <w:left w:val="none" w:sz="0" w:space="0" w:color="auto"/>
        <w:bottom w:val="none" w:sz="0" w:space="0" w:color="auto"/>
        <w:right w:val="none" w:sz="0" w:space="0" w:color="auto"/>
      </w:divBdr>
    </w:div>
    <w:div w:id="1104157494">
      <w:bodyDiv w:val="1"/>
      <w:marLeft w:val="0"/>
      <w:marRight w:val="0"/>
      <w:marTop w:val="0"/>
      <w:marBottom w:val="0"/>
      <w:divBdr>
        <w:top w:val="none" w:sz="0" w:space="0" w:color="auto"/>
        <w:left w:val="none" w:sz="0" w:space="0" w:color="auto"/>
        <w:bottom w:val="none" w:sz="0" w:space="0" w:color="auto"/>
        <w:right w:val="none" w:sz="0" w:space="0" w:color="auto"/>
      </w:divBdr>
      <w:divsChild>
        <w:div w:id="1246495576">
          <w:marLeft w:val="0"/>
          <w:marRight w:val="0"/>
          <w:marTop w:val="0"/>
          <w:marBottom w:val="0"/>
          <w:divBdr>
            <w:top w:val="none" w:sz="0" w:space="0" w:color="auto"/>
            <w:left w:val="none" w:sz="0" w:space="0" w:color="auto"/>
            <w:bottom w:val="none" w:sz="0" w:space="0" w:color="auto"/>
            <w:right w:val="none" w:sz="0" w:space="0" w:color="auto"/>
          </w:divBdr>
          <w:divsChild>
            <w:div w:id="1043168213">
              <w:marLeft w:val="0"/>
              <w:marRight w:val="0"/>
              <w:marTop w:val="0"/>
              <w:marBottom w:val="0"/>
              <w:divBdr>
                <w:top w:val="none" w:sz="0" w:space="0" w:color="auto"/>
                <w:left w:val="none" w:sz="0" w:space="0" w:color="auto"/>
                <w:bottom w:val="none" w:sz="0" w:space="0" w:color="auto"/>
                <w:right w:val="none" w:sz="0" w:space="0" w:color="auto"/>
              </w:divBdr>
              <w:divsChild>
                <w:div w:id="401830788">
                  <w:marLeft w:val="0"/>
                  <w:marRight w:val="0"/>
                  <w:marTop w:val="0"/>
                  <w:marBottom w:val="0"/>
                  <w:divBdr>
                    <w:top w:val="none" w:sz="0" w:space="0" w:color="auto"/>
                    <w:left w:val="none" w:sz="0" w:space="0" w:color="auto"/>
                    <w:bottom w:val="none" w:sz="0" w:space="0" w:color="auto"/>
                    <w:right w:val="none" w:sz="0" w:space="0" w:color="auto"/>
                  </w:divBdr>
                  <w:divsChild>
                    <w:div w:id="268970628">
                      <w:marLeft w:val="0"/>
                      <w:marRight w:val="0"/>
                      <w:marTop w:val="0"/>
                      <w:marBottom w:val="0"/>
                      <w:divBdr>
                        <w:top w:val="none" w:sz="0" w:space="0" w:color="auto"/>
                        <w:left w:val="none" w:sz="0" w:space="0" w:color="auto"/>
                        <w:bottom w:val="none" w:sz="0" w:space="0" w:color="auto"/>
                        <w:right w:val="none" w:sz="0" w:space="0" w:color="auto"/>
                      </w:divBdr>
                    </w:div>
                    <w:div w:id="336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8548">
      <w:bodyDiv w:val="1"/>
      <w:marLeft w:val="0"/>
      <w:marRight w:val="0"/>
      <w:marTop w:val="0"/>
      <w:marBottom w:val="0"/>
      <w:divBdr>
        <w:top w:val="none" w:sz="0" w:space="0" w:color="auto"/>
        <w:left w:val="none" w:sz="0" w:space="0" w:color="auto"/>
        <w:bottom w:val="none" w:sz="0" w:space="0" w:color="auto"/>
        <w:right w:val="none" w:sz="0" w:space="0" w:color="auto"/>
      </w:divBdr>
    </w:div>
    <w:div w:id="1118599713">
      <w:bodyDiv w:val="1"/>
      <w:marLeft w:val="0"/>
      <w:marRight w:val="0"/>
      <w:marTop w:val="0"/>
      <w:marBottom w:val="0"/>
      <w:divBdr>
        <w:top w:val="none" w:sz="0" w:space="0" w:color="auto"/>
        <w:left w:val="none" w:sz="0" w:space="0" w:color="auto"/>
        <w:bottom w:val="none" w:sz="0" w:space="0" w:color="auto"/>
        <w:right w:val="none" w:sz="0" w:space="0" w:color="auto"/>
      </w:divBdr>
    </w:div>
    <w:div w:id="1122574519">
      <w:bodyDiv w:val="1"/>
      <w:marLeft w:val="0"/>
      <w:marRight w:val="0"/>
      <w:marTop w:val="0"/>
      <w:marBottom w:val="0"/>
      <w:divBdr>
        <w:top w:val="none" w:sz="0" w:space="0" w:color="auto"/>
        <w:left w:val="none" w:sz="0" w:space="0" w:color="auto"/>
        <w:bottom w:val="none" w:sz="0" w:space="0" w:color="auto"/>
        <w:right w:val="none" w:sz="0" w:space="0" w:color="auto"/>
      </w:divBdr>
    </w:div>
    <w:div w:id="1139179059">
      <w:bodyDiv w:val="1"/>
      <w:marLeft w:val="0"/>
      <w:marRight w:val="0"/>
      <w:marTop w:val="0"/>
      <w:marBottom w:val="0"/>
      <w:divBdr>
        <w:top w:val="none" w:sz="0" w:space="0" w:color="auto"/>
        <w:left w:val="none" w:sz="0" w:space="0" w:color="auto"/>
        <w:bottom w:val="none" w:sz="0" w:space="0" w:color="auto"/>
        <w:right w:val="none" w:sz="0" w:space="0" w:color="auto"/>
      </w:divBdr>
    </w:div>
    <w:div w:id="1141729716">
      <w:bodyDiv w:val="1"/>
      <w:marLeft w:val="0"/>
      <w:marRight w:val="0"/>
      <w:marTop w:val="0"/>
      <w:marBottom w:val="0"/>
      <w:divBdr>
        <w:top w:val="none" w:sz="0" w:space="0" w:color="auto"/>
        <w:left w:val="none" w:sz="0" w:space="0" w:color="auto"/>
        <w:bottom w:val="none" w:sz="0" w:space="0" w:color="auto"/>
        <w:right w:val="none" w:sz="0" w:space="0" w:color="auto"/>
      </w:divBdr>
    </w:div>
    <w:div w:id="1145123691">
      <w:bodyDiv w:val="1"/>
      <w:marLeft w:val="0"/>
      <w:marRight w:val="0"/>
      <w:marTop w:val="0"/>
      <w:marBottom w:val="0"/>
      <w:divBdr>
        <w:top w:val="none" w:sz="0" w:space="0" w:color="auto"/>
        <w:left w:val="none" w:sz="0" w:space="0" w:color="auto"/>
        <w:bottom w:val="none" w:sz="0" w:space="0" w:color="auto"/>
        <w:right w:val="none" w:sz="0" w:space="0" w:color="auto"/>
      </w:divBdr>
    </w:div>
    <w:div w:id="1161577779">
      <w:bodyDiv w:val="1"/>
      <w:marLeft w:val="0"/>
      <w:marRight w:val="0"/>
      <w:marTop w:val="0"/>
      <w:marBottom w:val="0"/>
      <w:divBdr>
        <w:top w:val="none" w:sz="0" w:space="0" w:color="auto"/>
        <w:left w:val="none" w:sz="0" w:space="0" w:color="auto"/>
        <w:bottom w:val="none" w:sz="0" w:space="0" w:color="auto"/>
        <w:right w:val="none" w:sz="0" w:space="0" w:color="auto"/>
      </w:divBdr>
    </w:div>
    <w:div w:id="1180966922">
      <w:bodyDiv w:val="1"/>
      <w:marLeft w:val="0"/>
      <w:marRight w:val="0"/>
      <w:marTop w:val="0"/>
      <w:marBottom w:val="0"/>
      <w:divBdr>
        <w:top w:val="none" w:sz="0" w:space="0" w:color="auto"/>
        <w:left w:val="none" w:sz="0" w:space="0" w:color="auto"/>
        <w:bottom w:val="none" w:sz="0" w:space="0" w:color="auto"/>
        <w:right w:val="none" w:sz="0" w:space="0" w:color="auto"/>
      </w:divBdr>
    </w:div>
    <w:div w:id="1218130255">
      <w:bodyDiv w:val="1"/>
      <w:marLeft w:val="0"/>
      <w:marRight w:val="0"/>
      <w:marTop w:val="0"/>
      <w:marBottom w:val="0"/>
      <w:divBdr>
        <w:top w:val="none" w:sz="0" w:space="0" w:color="auto"/>
        <w:left w:val="none" w:sz="0" w:space="0" w:color="auto"/>
        <w:bottom w:val="none" w:sz="0" w:space="0" w:color="auto"/>
        <w:right w:val="none" w:sz="0" w:space="0" w:color="auto"/>
      </w:divBdr>
    </w:div>
    <w:div w:id="1230076165">
      <w:bodyDiv w:val="1"/>
      <w:marLeft w:val="0"/>
      <w:marRight w:val="0"/>
      <w:marTop w:val="0"/>
      <w:marBottom w:val="0"/>
      <w:divBdr>
        <w:top w:val="none" w:sz="0" w:space="0" w:color="auto"/>
        <w:left w:val="none" w:sz="0" w:space="0" w:color="auto"/>
        <w:bottom w:val="none" w:sz="0" w:space="0" w:color="auto"/>
        <w:right w:val="none" w:sz="0" w:space="0" w:color="auto"/>
      </w:divBdr>
      <w:divsChild>
        <w:div w:id="2126146950">
          <w:marLeft w:val="0"/>
          <w:marRight w:val="547"/>
          <w:marTop w:val="0"/>
          <w:marBottom w:val="0"/>
          <w:divBdr>
            <w:top w:val="none" w:sz="0" w:space="0" w:color="auto"/>
            <w:left w:val="none" w:sz="0" w:space="0" w:color="auto"/>
            <w:bottom w:val="none" w:sz="0" w:space="0" w:color="auto"/>
            <w:right w:val="none" w:sz="0" w:space="0" w:color="auto"/>
          </w:divBdr>
        </w:div>
      </w:divsChild>
    </w:div>
    <w:div w:id="1239823348">
      <w:bodyDiv w:val="1"/>
      <w:marLeft w:val="0"/>
      <w:marRight w:val="0"/>
      <w:marTop w:val="0"/>
      <w:marBottom w:val="0"/>
      <w:divBdr>
        <w:top w:val="none" w:sz="0" w:space="0" w:color="auto"/>
        <w:left w:val="none" w:sz="0" w:space="0" w:color="auto"/>
        <w:bottom w:val="none" w:sz="0" w:space="0" w:color="auto"/>
        <w:right w:val="none" w:sz="0" w:space="0" w:color="auto"/>
      </w:divBdr>
    </w:div>
    <w:div w:id="1282297420">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295604616">
      <w:bodyDiv w:val="1"/>
      <w:marLeft w:val="0"/>
      <w:marRight w:val="0"/>
      <w:marTop w:val="0"/>
      <w:marBottom w:val="0"/>
      <w:divBdr>
        <w:top w:val="none" w:sz="0" w:space="0" w:color="auto"/>
        <w:left w:val="none" w:sz="0" w:space="0" w:color="auto"/>
        <w:bottom w:val="none" w:sz="0" w:space="0" w:color="auto"/>
        <w:right w:val="none" w:sz="0" w:space="0" w:color="auto"/>
      </w:divBdr>
    </w:div>
    <w:div w:id="1306281441">
      <w:bodyDiv w:val="1"/>
      <w:marLeft w:val="0"/>
      <w:marRight w:val="0"/>
      <w:marTop w:val="0"/>
      <w:marBottom w:val="0"/>
      <w:divBdr>
        <w:top w:val="none" w:sz="0" w:space="0" w:color="auto"/>
        <w:left w:val="none" w:sz="0" w:space="0" w:color="auto"/>
        <w:bottom w:val="none" w:sz="0" w:space="0" w:color="auto"/>
        <w:right w:val="none" w:sz="0" w:space="0" w:color="auto"/>
      </w:divBdr>
      <w:divsChild>
        <w:div w:id="1283993989">
          <w:marLeft w:val="-225"/>
          <w:marRight w:val="-225"/>
          <w:marTop w:val="0"/>
          <w:marBottom w:val="0"/>
          <w:divBdr>
            <w:top w:val="none" w:sz="0" w:space="0" w:color="auto"/>
            <w:left w:val="none" w:sz="0" w:space="0" w:color="auto"/>
            <w:bottom w:val="none" w:sz="0" w:space="0" w:color="auto"/>
            <w:right w:val="none" w:sz="0" w:space="0" w:color="auto"/>
          </w:divBdr>
          <w:divsChild>
            <w:div w:id="1564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833">
      <w:bodyDiv w:val="1"/>
      <w:marLeft w:val="0"/>
      <w:marRight w:val="0"/>
      <w:marTop w:val="0"/>
      <w:marBottom w:val="0"/>
      <w:divBdr>
        <w:top w:val="none" w:sz="0" w:space="0" w:color="auto"/>
        <w:left w:val="none" w:sz="0" w:space="0" w:color="auto"/>
        <w:bottom w:val="none" w:sz="0" w:space="0" w:color="auto"/>
        <w:right w:val="none" w:sz="0" w:space="0" w:color="auto"/>
      </w:divBdr>
      <w:divsChild>
        <w:div w:id="1107627765">
          <w:marLeft w:val="0"/>
          <w:marRight w:val="720"/>
          <w:marTop w:val="0"/>
          <w:marBottom w:val="0"/>
          <w:divBdr>
            <w:top w:val="none" w:sz="0" w:space="0" w:color="auto"/>
            <w:left w:val="none" w:sz="0" w:space="0" w:color="auto"/>
            <w:bottom w:val="none" w:sz="0" w:space="0" w:color="auto"/>
            <w:right w:val="none" w:sz="0" w:space="0" w:color="auto"/>
          </w:divBdr>
        </w:div>
      </w:divsChild>
    </w:div>
    <w:div w:id="1312446948">
      <w:bodyDiv w:val="1"/>
      <w:marLeft w:val="0"/>
      <w:marRight w:val="0"/>
      <w:marTop w:val="0"/>
      <w:marBottom w:val="0"/>
      <w:divBdr>
        <w:top w:val="none" w:sz="0" w:space="0" w:color="auto"/>
        <w:left w:val="none" w:sz="0" w:space="0" w:color="auto"/>
        <w:bottom w:val="none" w:sz="0" w:space="0" w:color="auto"/>
        <w:right w:val="none" w:sz="0" w:space="0" w:color="auto"/>
      </w:divBdr>
    </w:div>
    <w:div w:id="1385328423">
      <w:bodyDiv w:val="1"/>
      <w:marLeft w:val="0"/>
      <w:marRight w:val="0"/>
      <w:marTop w:val="0"/>
      <w:marBottom w:val="0"/>
      <w:divBdr>
        <w:top w:val="none" w:sz="0" w:space="0" w:color="auto"/>
        <w:left w:val="none" w:sz="0" w:space="0" w:color="auto"/>
        <w:bottom w:val="none" w:sz="0" w:space="0" w:color="auto"/>
        <w:right w:val="none" w:sz="0" w:space="0" w:color="auto"/>
      </w:divBdr>
    </w:div>
    <w:div w:id="1426924425">
      <w:bodyDiv w:val="1"/>
      <w:marLeft w:val="0"/>
      <w:marRight w:val="0"/>
      <w:marTop w:val="0"/>
      <w:marBottom w:val="0"/>
      <w:divBdr>
        <w:top w:val="none" w:sz="0" w:space="0" w:color="auto"/>
        <w:left w:val="none" w:sz="0" w:space="0" w:color="auto"/>
        <w:bottom w:val="none" w:sz="0" w:space="0" w:color="auto"/>
        <w:right w:val="none" w:sz="0" w:space="0" w:color="auto"/>
      </w:divBdr>
    </w:div>
    <w:div w:id="1429734549">
      <w:bodyDiv w:val="1"/>
      <w:marLeft w:val="0"/>
      <w:marRight w:val="0"/>
      <w:marTop w:val="0"/>
      <w:marBottom w:val="0"/>
      <w:divBdr>
        <w:top w:val="none" w:sz="0" w:space="0" w:color="auto"/>
        <w:left w:val="none" w:sz="0" w:space="0" w:color="auto"/>
        <w:bottom w:val="none" w:sz="0" w:space="0" w:color="auto"/>
        <w:right w:val="none" w:sz="0" w:space="0" w:color="auto"/>
      </w:divBdr>
    </w:div>
    <w:div w:id="1493333630">
      <w:bodyDiv w:val="1"/>
      <w:marLeft w:val="0"/>
      <w:marRight w:val="0"/>
      <w:marTop w:val="0"/>
      <w:marBottom w:val="0"/>
      <w:divBdr>
        <w:top w:val="none" w:sz="0" w:space="0" w:color="auto"/>
        <w:left w:val="none" w:sz="0" w:space="0" w:color="auto"/>
        <w:bottom w:val="none" w:sz="0" w:space="0" w:color="auto"/>
        <w:right w:val="none" w:sz="0" w:space="0" w:color="auto"/>
      </w:divBdr>
    </w:div>
    <w:div w:id="1506431123">
      <w:bodyDiv w:val="1"/>
      <w:marLeft w:val="0"/>
      <w:marRight w:val="0"/>
      <w:marTop w:val="0"/>
      <w:marBottom w:val="0"/>
      <w:divBdr>
        <w:top w:val="none" w:sz="0" w:space="0" w:color="auto"/>
        <w:left w:val="none" w:sz="0" w:space="0" w:color="auto"/>
        <w:bottom w:val="none" w:sz="0" w:space="0" w:color="auto"/>
        <w:right w:val="none" w:sz="0" w:space="0" w:color="auto"/>
      </w:divBdr>
    </w:div>
    <w:div w:id="1550071826">
      <w:bodyDiv w:val="1"/>
      <w:marLeft w:val="0"/>
      <w:marRight w:val="0"/>
      <w:marTop w:val="0"/>
      <w:marBottom w:val="0"/>
      <w:divBdr>
        <w:top w:val="none" w:sz="0" w:space="0" w:color="auto"/>
        <w:left w:val="none" w:sz="0" w:space="0" w:color="auto"/>
        <w:bottom w:val="none" w:sz="0" w:space="0" w:color="auto"/>
        <w:right w:val="none" w:sz="0" w:space="0" w:color="auto"/>
      </w:divBdr>
    </w:div>
    <w:div w:id="1582132423">
      <w:bodyDiv w:val="1"/>
      <w:marLeft w:val="0"/>
      <w:marRight w:val="0"/>
      <w:marTop w:val="0"/>
      <w:marBottom w:val="0"/>
      <w:divBdr>
        <w:top w:val="none" w:sz="0" w:space="0" w:color="auto"/>
        <w:left w:val="none" w:sz="0" w:space="0" w:color="auto"/>
        <w:bottom w:val="none" w:sz="0" w:space="0" w:color="auto"/>
        <w:right w:val="none" w:sz="0" w:space="0" w:color="auto"/>
      </w:divBdr>
    </w:div>
    <w:div w:id="1611278792">
      <w:bodyDiv w:val="1"/>
      <w:marLeft w:val="0"/>
      <w:marRight w:val="0"/>
      <w:marTop w:val="0"/>
      <w:marBottom w:val="0"/>
      <w:divBdr>
        <w:top w:val="none" w:sz="0" w:space="0" w:color="auto"/>
        <w:left w:val="none" w:sz="0" w:space="0" w:color="auto"/>
        <w:bottom w:val="none" w:sz="0" w:space="0" w:color="auto"/>
        <w:right w:val="none" w:sz="0" w:space="0" w:color="auto"/>
      </w:divBdr>
    </w:div>
    <w:div w:id="1628730823">
      <w:bodyDiv w:val="1"/>
      <w:marLeft w:val="0"/>
      <w:marRight w:val="0"/>
      <w:marTop w:val="0"/>
      <w:marBottom w:val="0"/>
      <w:divBdr>
        <w:top w:val="none" w:sz="0" w:space="0" w:color="auto"/>
        <w:left w:val="none" w:sz="0" w:space="0" w:color="auto"/>
        <w:bottom w:val="none" w:sz="0" w:space="0" w:color="auto"/>
        <w:right w:val="none" w:sz="0" w:space="0" w:color="auto"/>
      </w:divBdr>
      <w:divsChild>
        <w:div w:id="1197887748">
          <w:marLeft w:val="0"/>
          <w:marRight w:val="0"/>
          <w:marTop w:val="0"/>
          <w:marBottom w:val="0"/>
          <w:divBdr>
            <w:top w:val="none" w:sz="0" w:space="0" w:color="auto"/>
            <w:left w:val="none" w:sz="0" w:space="0" w:color="auto"/>
            <w:bottom w:val="none" w:sz="0" w:space="0" w:color="auto"/>
            <w:right w:val="none" w:sz="0" w:space="0" w:color="auto"/>
          </w:divBdr>
        </w:div>
        <w:div w:id="287324189">
          <w:marLeft w:val="0"/>
          <w:marRight w:val="0"/>
          <w:marTop w:val="0"/>
          <w:marBottom w:val="0"/>
          <w:divBdr>
            <w:top w:val="none" w:sz="0" w:space="0" w:color="auto"/>
            <w:left w:val="none" w:sz="0" w:space="0" w:color="auto"/>
            <w:bottom w:val="none" w:sz="0" w:space="0" w:color="auto"/>
            <w:right w:val="none" w:sz="0" w:space="0" w:color="auto"/>
          </w:divBdr>
        </w:div>
        <w:div w:id="653878299">
          <w:marLeft w:val="0"/>
          <w:marRight w:val="0"/>
          <w:marTop w:val="0"/>
          <w:marBottom w:val="0"/>
          <w:divBdr>
            <w:top w:val="none" w:sz="0" w:space="0" w:color="auto"/>
            <w:left w:val="none" w:sz="0" w:space="0" w:color="auto"/>
            <w:bottom w:val="none" w:sz="0" w:space="0" w:color="auto"/>
            <w:right w:val="none" w:sz="0" w:space="0" w:color="auto"/>
          </w:divBdr>
        </w:div>
        <w:div w:id="1066150090">
          <w:marLeft w:val="0"/>
          <w:marRight w:val="0"/>
          <w:marTop w:val="0"/>
          <w:marBottom w:val="0"/>
          <w:divBdr>
            <w:top w:val="none" w:sz="0" w:space="0" w:color="auto"/>
            <w:left w:val="none" w:sz="0" w:space="0" w:color="auto"/>
            <w:bottom w:val="none" w:sz="0" w:space="0" w:color="auto"/>
            <w:right w:val="none" w:sz="0" w:space="0" w:color="auto"/>
          </w:divBdr>
        </w:div>
      </w:divsChild>
    </w:div>
    <w:div w:id="1641422676">
      <w:bodyDiv w:val="1"/>
      <w:marLeft w:val="0"/>
      <w:marRight w:val="0"/>
      <w:marTop w:val="0"/>
      <w:marBottom w:val="0"/>
      <w:divBdr>
        <w:top w:val="none" w:sz="0" w:space="0" w:color="auto"/>
        <w:left w:val="none" w:sz="0" w:space="0" w:color="auto"/>
        <w:bottom w:val="none" w:sz="0" w:space="0" w:color="auto"/>
        <w:right w:val="none" w:sz="0" w:space="0" w:color="auto"/>
      </w:divBdr>
    </w:div>
    <w:div w:id="1681159667">
      <w:bodyDiv w:val="1"/>
      <w:marLeft w:val="0"/>
      <w:marRight w:val="0"/>
      <w:marTop w:val="0"/>
      <w:marBottom w:val="0"/>
      <w:divBdr>
        <w:top w:val="none" w:sz="0" w:space="0" w:color="auto"/>
        <w:left w:val="none" w:sz="0" w:space="0" w:color="auto"/>
        <w:bottom w:val="none" w:sz="0" w:space="0" w:color="auto"/>
        <w:right w:val="none" w:sz="0" w:space="0" w:color="auto"/>
      </w:divBdr>
    </w:div>
    <w:div w:id="1684435156">
      <w:bodyDiv w:val="1"/>
      <w:marLeft w:val="0"/>
      <w:marRight w:val="0"/>
      <w:marTop w:val="0"/>
      <w:marBottom w:val="0"/>
      <w:divBdr>
        <w:top w:val="none" w:sz="0" w:space="0" w:color="auto"/>
        <w:left w:val="none" w:sz="0" w:space="0" w:color="auto"/>
        <w:bottom w:val="none" w:sz="0" w:space="0" w:color="auto"/>
        <w:right w:val="none" w:sz="0" w:space="0" w:color="auto"/>
      </w:divBdr>
    </w:div>
    <w:div w:id="1700475045">
      <w:bodyDiv w:val="1"/>
      <w:marLeft w:val="0"/>
      <w:marRight w:val="0"/>
      <w:marTop w:val="0"/>
      <w:marBottom w:val="0"/>
      <w:divBdr>
        <w:top w:val="none" w:sz="0" w:space="0" w:color="auto"/>
        <w:left w:val="none" w:sz="0" w:space="0" w:color="auto"/>
        <w:bottom w:val="none" w:sz="0" w:space="0" w:color="auto"/>
        <w:right w:val="none" w:sz="0" w:space="0" w:color="auto"/>
      </w:divBdr>
    </w:div>
    <w:div w:id="1704868986">
      <w:bodyDiv w:val="1"/>
      <w:marLeft w:val="0"/>
      <w:marRight w:val="0"/>
      <w:marTop w:val="0"/>
      <w:marBottom w:val="0"/>
      <w:divBdr>
        <w:top w:val="none" w:sz="0" w:space="0" w:color="auto"/>
        <w:left w:val="none" w:sz="0" w:space="0" w:color="auto"/>
        <w:bottom w:val="none" w:sz="0" w:space="0" w:color="auto"/>
        <w:right w:val="none" w:sz="0" w:space="0" w:color="auto"/>
      </w:divBdr>
      <w:divsChild>
        <w:div w:id="502089213">
          <w:marLeft w:val="0"/>
          <w:marRight w:val="403"/>
          <w:marTop w:val="0"/>
          <w:marBottom w:val="0"/>
          <w:divBdr>
            <w:top w:val="none" w:sz="0" w:space="0" w:color="auto"/>
            <w:left w:val="none" w:sz="0" w:space="0" w:color="auto"/>
            <w:bottom w:val="none" w:sz="0" w:space="0" w:color="auto"/>
            <w:right w:val="none" w:sz="0" w:space="0" w:color="auto"/>
          </w:divBdr>
        </w:div>
        <w:div w:id="531302810">
          <w:marLeft w:val="0"/>
          <w:marRight w:val="403"/>
          <w:marTop w:val="0"/>
          <w:marBottom w:val="0"/>
          <w:divBdr>
            <w:top w:val="none" w:sz="0" w:space="0" w:color="auto"/>
            <w:left w:val="none" w:sz="0" w:space="0" w:color="auto"/>
            <w:bottom w:val="none" w:sz="0" w:space="0" w:color="auto"/>
            <w:right w:val="none" w:sz="0" w:space="0" w:color="auto"/>
          </w:divBdr>
        </w:div>
        <w:div w:id="851264786">
          <w:marLeft w:val="0"/>
          <w:marRight w:val="403"/>
          <w:marTop w:val="0"/>
          <w:marBottom w:val="0"/>
          <w:divBdr>
            <w:top w:val="none" w:sz="0" w:space="0" w:color="auto"/>
            <w:left w:val="none" w:sz="0" w:space="0" w:color="auto"/>
            <w:bottom w:val="none" w:sz="0" w:space="0" w:color="auto"/>
            <w:right w:val="none" w:sz="0" w:space="0" w:color="auto"/>
          </w:divBdr>
        </w:div>
        <w:div w:id="1699045056">
          <w:marLeft w:val="0"/>
          <w:marRight w:val="403"/>
          <w:marTop w:val="0"/>
          <w:marBottom w:val="0"/>
          <w:divBdr>
            <w:top w:val="none" w:sz="0" w:space="0" w:color="auto"/>
            <w:left w:val="none" w:sz="0" w:space="0" w:color="auto"/>
            <w:bottom w:val="none" w:sz="0" w:space="0" w:color="auto"/>
            <w:right w:val="none" w:sz="0" w:space="0" w:color="auto"/>
          </w:divBdr>
        </w:div>
      </w:divsChild>
    </w:div>
    <w:div w:id="1714957922">
      <w:bodyDiv w:val="1"/>
      <w:marLeft w:val="0"/>
      <w:marRight w:val="0"/>
      <w:marTop w:val="0"/>
      <w:marBottom w:val="0"/>
      <w:divBdr>
        <w:top w:val="none" w:sz="0" w:space="0" w:color="auto"/>
        <w:left w:val="none" w:sz="0" w:space="0" w:color="auto"/>
        <w:bottom w:val="none" w:sz="0" w:space="0" w:color="auto"/>
        <w:right w:val="none" w:sz="0" w:space="0" w:color="auto"/>
      </w:divBdr>
    </w:div>
    <w:div w:id="1732579539">
      <w:bodyDiv w:val="1"/>
      <w:marLeft w:val="0"/>
      <w:marRight w:val="0"/>
      <w:marTop w:val="0"/>
      <w:marBottom w:val="0"/>
      <w:divBdr>
        <w:top w:val="none" w:sz="0" w:space="0" w:color="auto"/>
        <w:left w:val="none" w:sz="0" w:space="0" w:color="auto"/>
        <w:bottom w:val="none" w:sz="0" w:space="0" w:color="auto"/>
        <w:right w:val="none" w:sz="0" w:space="0" w:color="auto"/>
      </w:divBdr>
    </w:div>
    <w:div w:id="1748646997">
      <w:bodyDiv w:val="1"/>
      <w:marLeft w:val="0"/>
      <w:marRight w:val="0"/>
      <w:marTop w:val="0"/>
      <w:marBottom w:val="0"/>
      <w:divBdr>
        <w:top w:val="none" w:sz="0" w:space="0" w:color="auto"/>
        <w:left w:val="none" w:sz="0" w:space="0" w:color="auto"/>
        <w:bottom w:val="none" w:sz="0" w:space="0" w:color="auto"/>
        <w:right w:val="none" w:sz="0" w:space="0" w:color="auto"/>
      </w:divBdr>
    </w:div>
    <w:div w:id="1766530959">
      <w:bodyDiv w:val="1"/>
      <w:marLeft w:val="0"/>
      <w:marRight w:val="0"/>
      <w:marTop w:val="0"/>
      <w:marBottom w:val="0"/>
      <w:divBdr>
        <w:top w:val="none" w:sz="0" w:space="0" w:color="auto"/>
        <w:left w:val="none" w:sz="0" w:space="0" w:color="auto"/>
        <w:bottom w:val="none" w:sz="0" w:space="0" w:color="auto"/>
        <w:right w:val="none" w:sz="0" w:space="0" w:color="auto"/>
      </w:divBdr>
    </w:div>
    <w:div w:id="1774980434">
      <w:bodyDiv w:val="1"/>
      <w:marLeft w:val="0"/>
      <w:marRight w:val="0"/>
      <w:marTop w:val="0"/>
      <w:marBottom w:val="0"/>
      <w:divBdr>
        <w:top w:val="none" w:sz="0" w:space="0" w:color="auto"/>
        <w:left w:val="none" w:sz="0" w:space="0" w:color="auto"/>
        <w:bottom w:val="none" w:sz="0" w:space="0" w:color="auto"/>
        <w:right w:val="none" w:sz="0" w:space="0" w:color="auto"/>
      </w:divBdr>
    </w:div>
    <w:div w:id="1789395433">
      <w:bodyDiv w:val="1"/>
      <w:marLeft w:val="0"/>
      <w:marRight w:val="0"/>
      <w:marTop w:val="0"/>
      <w:marBottom w:val="0"/>
      <w:divBdr>
        <w:top w:val="none" w:sz="0" w:space="0" w:color="auto"/>
        <w:left w:val="none" w:sz="0" w:space="0" w:color="auto"/>
        <w:bottom w:val="none" w:sz="0" w:space="0" w:color="auto"/>
        <w:right w:val="none" w:sz="0" w:space="0" w:color="auto"/>
      </w:divBdr>
    </w:div>
    <w:div w:id="1842771944">
      <w:bodyDiv w:val="1"/>
      <w:marLeft w:val="0"/>
      <w:marRight w:val="0"/>
      <w:marTop w:val="0"/>
      <w:marBottom w:val="0"/>
      <w:divBdr>
        <w:top w:val="none" w:sz="0" w:space="0" w:color="auto"/>
        <w:left w:val="none" w:sz="0" w:space="0" w:color="auto"/>
        <w:bottom w:val="none" w:sz="0" w:space="0" w:color="auto"/>
        <w:right w:val="none" w:sz="0" w:space="0" w:color="auto"/>
      </w:divBdr>
    </w:div>
    <w:div w:id="1863203193">
      <w:bodyDiv w:val="1"/>
      <w:marLeft w:val="0"/>
      <w:marRight w:val="0"/>
      <w:marTop w:val="0"/>
      <w:marBottom w:val="0"/>
      <w:divBdr>
        <w:top w:val="none" w:sz="0" w:space="0" w:color="auto"/>
        <w:left w:val="none" w:sz="0" w:space="0" w:color="auto"/>
        <w:bottom w:val="none" w:sz="0" w:space="0" w:color="auto"/>
        <w:right w:val="none" w:sz="0" w:space="0" w:color="auto"/>
      </w:divBdr>
    </w:div>
    <w:div w:id="1876381238">
      <w:bodyDiv w:val="1"/>
      <w:marLeft w:val="0"/>
      <w:marRight w:val="0"/>
      <w:marTop w:val="0"/>
      <w:marBottom w:val="0"/>
      <w:divBdr>
        <w:top w:val="none" w:sz="0" w:space="0" w:color="auto"/>
        <w:left w:val="none" w:sz="0" w:space="0" w:color="auto"/>
        <w:bottom w:val="none" w:sz="0" w:space="0" w:color="auto"/>
        <w:right w:val="none" w:sz="0" w:space="0" w:color="auto"/>
      </w:divBdr>
    </w:div>
    <w:div w:id="1935363078">
      <w:bodyDiv w:val="1"/>
      <w:marLeft w:val="0"/>
      <w:marRight w:val="0"/>
      <w:marTop w:val="0"/>
      <w:marBottom w:val="0"/>
      <w:divBdr>
        <w:top w:val="none" w:sz="0" w:space="0" w:color="auto"/>
        <w:left w:val="none" w:sz="0" w:space="0" w:color="auto"/>
        <w:bottom w:val="none" w:sz="0" w:space="0" w:color="auto"/>
        <w:right w:val="none" w:sz="0" w:space="0" w:color="auto"/>
      </w:divBdr>
    </w:div>
    <w:div w:id="1947687298">
      <w:bodyDiv w:val="1"/>
      <w:marLeft w:val="0"/>
      <w:marRight w:val="0"/>
      <w:marTop w:val="0"/>
      <w:marBottom w:val="0"/>
      <w:divBdr>
        <w:top w:val="none" w:sz="0" w:space="0" w:color="auto"/>
        <w:left w:val="none" w:sz="0" w:space="0" w:color="auto"/>
        <w:bottom w:val="none" w:sz="0" w:space="0" w:color="auto"/>
        <w:right w:val="none" w:sz="0" w:space="0" w:color="auto"/>
      </w:divBdr>
      <w:divsChild>
        <w:div w:id="2137720609">
          <w:marLeft w:val="0"/>
          <w:marRight w:val="547"/>
          <w:marTop w:val="0"/>
          <w:marBottom w:val="0"/>
          <w:divBdr>
            <w:top w:val="none" w:sz="0" w:space="0" w:color="auto"/>
            <w:left w:val="none" w:sz="0" w:space="0" w:color="auto"/>
            <w:bottom w:val="none" w:sz="0" w:space="0" w:color="auto"/>
            <w:right w:val="none" w:sz="0" w:space="0" w:color="auto"/>
          </w:divBdr>
        </w:div>
      </w:divsChild>
    </w:div>
    <w:div w:id="1997492819">
      <w:bodyDiv w:val="1"/>
      <w:marLeft w:val="0"/>
      <w:marRight w:val="0"/>
      <w:marTop w:val="0"/>
      <w:marBottom w:val="0"/>
      <w:divBdr>
        <w:top w:val="none" w:sz="0" w:space="0" w:color="auto"/>
        <w:left w:val="none" w:sz="0" w:space="0" w:color="auto"/>
        <w:bottom w:val="none" w:sz="0" w:space="0" w:color="auto"/>
        <w:right w:val="none" w:sz="0" w:space="0" w:color="auto"/>
      </w:divBdr>
    </w:div>
    <w:div w:id="2022855473">
      <w:bodyDiv w:val="1"/>
      <w:marLeft w:val="0"/>
      <w:marRight w:val="0"/>
      <w:marTop w:val="0"/>
      <w:marBottom w:val="0"/>
      <w:divBdr>
        <w:top w:val="none" w:sz="0" w:space="0" w:color="auto"/>
        <w:left w:val="none" w:sz="0" w:space="0" w:color="auto"/>
        <w:bottom w:val="none" w:sz="0" w:space="0" w:color="auto"/>
        <w:right w:val="none" w:sz="0" w:space="0" w:color="auto"/>
      </w:divBdr>
    </w:div>
    <w:div w:id="2040009240">
      <w:bodyDiv w:val="1"/>
      <w:marLeft w:val="0"/>
      <w:marRight w:val="0"/>
      <w:marTop w:val="0"/>
      <w:marBottom w:val="0"/>
      <w:divBdr>
        <w:top w:val="none" w:sz="0" w:space="0" w:color="auto"/>
        <w:left w:val="none" w:sz="0" w:space="0" w:color="auto"/>
        <w:bottom w:val="none" w:sz="0" w:space="0" w:color="auto"/>
        <w:right w:val="none" w:sz="0" w:space="0" w:color="auto"/>
      </w:divBdr>
    </w:div>
    <w:div w:id="2051876496">
      <w:bodyDiv w:val="1"/>
      <w:marLeft w:val="0"/>
      <w:marRight w:val="0"/>
      <w:marTop w:val="0"/>
      <w:marBottom w:val="0"/>
      <w:divBdr>
        <w:top w:val="none" w:sz="0" w:space="0" w:color="auto"/>
        <w:left w:val="none" w:sz="0" w:space="0" w:color="auto"/>
        <w:bottom w:val="none" w:sz="0" w:space="0" w:color="auto"/>
        <w:right w:val="none" w:sz="0" w:space="0" w:color="auto"/>
      </w:divBdr>
    </w:div>
    <w:div w:id="2061248570">
      <w:bodyDiv w:val="1"/>
      <w:marLeft w:val="0"/>
      <w:marRight w:val="0"/>
      <w:marTop w:val="0"/>
      <w:marBottom w:val="0"/>
      <w:divBdr>
        <w:top w:val="none" w:sz="0" w:space="0" w:color="auto"/>
        <w:left w:val="none" w:sz="0" w:space="0" w:color="auto"/>
        <w:bottom w:val="none" w:sz="0" w:space="0" w:color="auto"/>
        <w:right w:val="none" w:sz="0" w:space="0" w:color="auto"/>
      </w:divBdr>
    </w:div>
    <w:div w:id="20653286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02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uments1.worldbank.org/curated/en/381221644297502516/pdf/Overview.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vision2030.gov.s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56EF6-6A6A-4E60-B143-1D30A09B4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33</Pages>
  <Words>8406</Words>
  <Characters>47919</Characters>
  <Application>Microsoft Office Word</Application>
  <DocSecurity>0</DocSecurity>
  <Lines>399</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Grizli777</Company>
  <LinksUpToDate>false</LinksUpToDate>
  <CharactersWithSpaces>56213</CharactersWithSpaces>
  <SharedDoc>false</SharedDoc>
  <HLinks>
    <vt:vector size="204" baseType="variant">
      <vt:variant>
        <vt:i4>1900614</vt:i4>
      </vt:variant>
      <vt:variant>
        <vt:i4>273</vt:i4>
      </vt:variant>
      <vt:variant>
        <vt:i4>0</vt:i4>
      </vt:variant>
      <vt:variant>
        <vt:i4>5</vt:i4>
      </vt:variant>
      <vt:variant>
        <vt:lpwstr>https://www.redseaglobal.com/ar/</vt:lpwstr>
      </vt:variant>
      <vt:variant>
        <vt:lpwstr/>
      </vt:variant>
      <vt:variant>
        <vt:i4>1966136</vt:i4>
      </vt:variant>
      <vt:variant>
        <vt:i4>200</vt:i4>
      </vt:variant>
      <vt:variant>
        <vt:i4>0</vt:i4>
      </vt:variant>
      <vt:variant>
        <vt:i4>5</vt:i4>
      </vt:variant>
      <vt:variant>
        <vt:lpwstr/>
      </vt:variant>
      <vt:variant>
        <vt:lpwstr>_Toc216252988</vt:lpwstr>
      </vt:variant>
      <vt:variant>
        <vt:i4>1966136</vt:i4>
      </vt:variant>
      <vt:variant>
        <vt:i4>194</vt:i4>
      </vt:variant>
      <vt:variant>
        <vt:i4>0</vt:i4>
      </vt:variant>
      <vt:variant>
        <vt:i4>5</vt:i4>
      </vt:variant>
      <vt:variant>
        <vt:lpwstr/>
      </vt:variant>
      <vt:variant>
        <vt:lpwstr>_Toc216252987</vt:lpwstr>
      </vt:variant>
      <vt:variant>
        <vt:i4>1966136</vt:i4>
      </vt:variant>
      <vt:variant>
        <vt:i4>188</vt:i4>
      </vt:variant>
      <vt:variant>
        <vt:i4>0</vt:i4>
      </vt:variant>
      <vt:variant>
        <vt:i4>5</vt:i4>
      </vt:variant>
      <vt:variant>
        <vt:lpwstr/>
      </vt:variant>
      <vt:variant>
        <vt:lpwstr>_Toc216252986</vt:lpwstr>
      </vt:variant>
      <vt:variant>
        <vt:i4>2031672</vt:i4>
      </vt:variant>
      <vt:variant>
        <vt:i4>179</vt:i4>
      </vt:variant>
      <vt:variant>
        <vt:i4>0</vt:i4>
      </vt:variant>
      <vt:variant>
        <vt:i4>5</vt:i4>
      </vt:variant>
      <vt:variant>
        <vt:lpwstr/>
      </vt:variant>
      <vt:variant>
        <vt:lpwstr>_Toc216252996</vt:lpwstr>
      </vt:variant>
      <vt:variant>
        <vt:i4>2031672</vt:i4>
      </vt:variant>
      <vt:variant>
        <vt:i4>173</vt:i4>
      </vt:variant>
      <vt:variant>
        <vt:i4>0</vt:i4>
      </vt:variant>
      <vt:variant>
        <vt:i4>5</vt:i4>
      </vt:variant>
      <vt:variant>
        <vt:lpwstr/>
      </vt:variant>
      <vt:variant>
        <vt:lpwstr>_Toc216252995</vt:lpwstr>
      </vt:variant>
      <vt:variant>
        <vt:i4>2031672</vt:i4>
      </vt:variant>
      <vt:variant>
        <vt:i4>167</vt:i4>
      </vt:variant>
      <vt:variant>
        <vt:i4>0</vt:i4>
      </vt:variant>
      <vt:variant>
        <vt:i4>5</vt:i4>
      </vt:variant>
      <vt:variant>
        <vt:lpwstr/>
      </vt:variant>
      <vt:variant>
        <vt:lpwstr>_Toc216252994</vt:lpwstr>
      </vt:variant>
      <vt:variant>
        <vt:i4>1376312</vt:i4>
      </vt:variant>
      <vt:variant>
        <vt:i4>158</vt:i4>
      </vt:variant>
      <vt:variant>
        <vt:i4>0</vt:i4>
      </vt:variant>
      <vt:variant>
        <vt:i4>5</vt:i4>
      </vt:variant>
      <vt:variant>
        <vt:lpwstr/>
      </vt:variant>
      <vt:variant>
        <vt:lpwstr>_Toc216252934</vt:lpwstr>
      </vt:variant>
      <vt:variant>
        <vt:i4>1376312</vt:i4>
      </vt:variant>
      <vt:variant>
        <vt:i4>152</vt:i4>
      </vt:variant>
      <vt:variant>
        <vt:i4>0</vt:i4>
      </vt:variant>
      <vt:variant>
        <vt:i4>5</vt:i4>
      </vt:variant>
      <vt:variant>
        <vt:lpwstr/>
      </vt:variant>
      <vt:variant>
        <vt:lpwstr>_Toc216252933</vt:lpwstr>
      </vt:variant>
      <vt:variant>
        <vt:i4>1376312</vt:i4>
      </vt:variant>
      <vt:variant>
        <vt:i4>146</vt:i4>
      </vt:variant>
      <vt:variant>
        <vt:i4>0</vt:i4>
      </vt:variant>
      <vt:variant>
        <vt:i4>5</vt:i4>
      </vt:variant>
      <vt:variant>
        <vt:lpwstr/>
      </vt:variant>
      <vt:variant>
        <vt:lpwstr>_Toc216252932</vt:lpwstr>
      </vt:variant>
      <vt:variant>
        <vt:i4>1376312</vt:i4>
      </vt:variant>
      <vt:variant>
        <vt:i4>140</vt:i4>
      </vt:variant>
      <vt:variant>
        <vt:i4>0</vt:i4>
      </vt:variant>
      <vt:variant>
        <vt:i4>5</vt:i4>
      </vt:variant>
      <vt:variant>
        <vt:lpwstr/>
      </vt:variant>
      <vt:variant>
        <vt:lpwstr>_Toc216252931</vt:lpwstr>
      </vt:variant>
      <vt:variant>
        <vt:i4>1376312</vt:i4>
      </vt:variant>
      <vt:variant>
        <vt:i4>134</vt:i4>
      </vt:variant>
      <vt:variant>
        <vt:i4>0</vt:i4>
      </vt:variant>
      <vt:variant>
        <vt:i4>5</vt:i4>
      </vt:variant>
      <vt:variant>
        <vt:lpwstr/>
      </vt:variant>
      <vt:variant>
        <vt:lpwstr>_Toc216252930</vt:lpwstr>
      </vt:variant>
      <vt:variant>
        <vt:i4>1310776</vt:i4>
      </vt:variant>
      <vt:variant>
        <vt:i4>128</vt:i4>
      </vt:variant>
      <vt:variant>
        <vt:i4>0</vt:i4>
      </vt:variant>
      <vt:variant>
        <vt:i4>5</vt:i4>
      </vt:variant>
      <vt:variant>
        <vt:lpwstr/>
      </vt:variant>
      <vt:variant>
        <vt:lpwstr>_Toc216252929</vt:lpwstr>
      </vt:variant>
      <vt:variant>
        <vt:i4>1310776</vt:i4>
      </vt:variant>
      <vt:variant>
        <vt:i4>122</vt:i4>
      </vt:variant>
      <vt:variant>
        <vt:i4>0</vt:i4>
      </vt:variant>
      <vt:variant>
        <vt:i4>5</vt:i4>
      </vt:variant>
      <vt:variant>
        <vt:lpwstr/>
      </vt:variant>
      <vt:variant>
        <vt:lpwstr>_Toc216252928</vt:lpwstr>
      </vt:variant>
      <vt:variant>
        <vt:i4>1310776</vt:i4>
      </vt:variant>
      <vt:variant>
        <vt:i4>116</vt:i4>
      </vt:variant>
      <vt:variant>
        <vt:i4>0</vt:i4>
      </vt:variant>
      <vt:variant>
        <vt:i4>5</vt:i4>
      </vt:variant>
      <vt:variant>
        <vt:lpwstr/>
      </vt:variant>
      <vt:variant>
        <vt:lpwstr>_Toc216252927</vt:lpwstr>
      </vt:variant>
      <vt:variant>
        <vt:i4>1310776</vt:i4>
      </vt:variant>
      <vt:variant>
        <vt:i4>110</vt:i4>
      </vt:variant>
      <vt:variant>
        <vt:i4>0</vt:i4>
      </vt:variant>
      <vt:variant>
        <vt:i4>5</vt:i4>
      </vt:variant>
      <vt:variant>
        <vt:lpwstr/>
      </vt:variant>
      <vt:variant>
        <vt:lpwstr>_Toc216252926</vt:lpwstr>
      </vt:variant>
      <vt:variant>
        <vt:i4>1310776</vt:i4>
      </vt:variant>
      <vt:variant>
        <vt:i4>104</vt:i4>
      </vt:variant>
      <vt:variant>
        <vt:i4>0</vt:i4>
      </vt:variant>
      <vt:variant>
        <vt:i4>5</vt:i4>
      </vt:variant>
      <vt:variant>
        <vt:lpwstr/>
      </vt:variant>
      <vt:variant>
        <vt:lpwstr>_Toc216252925</vt:lpwstr>
      </vt:variant>
      <vt:variant>
        <vt:i4>1310776</vt:i4>
      </vt:variant>
      <vt:variant>
        <vt:i4>98</vt:i4>
      </vt:variant>
      <vt:variant>
        <vt:i4>0</vt:i4>
      </vt:variant>
      <vt:variant>
        <vt:i4>5</vt:i4>
      </vt:variant>
      <vt:variant>
        <vt:lpwstr/>
      </vt:variant>
      <vt:variant>
        <vt:lpwstr>_Toc216252924</vt:lpwstr>
      </vt:variant>
      <vt:variant>
        <vt:i4>1310776</vt:i4>
      </vt:variant>
      <vt:variant>
        <vt:i4>92</vt:i4>
      </vt:variant>
      <vt:variant>
        <vt:i4>0</vt:i4>
      </vt:variant>
      <vt:variant>
        <vt:i4>5</vt:i4>
      </vt:variant>
      <vt:variant>
        <vt:lpwstr/>
      </vt:variant>
      <vt:variant>
        <vt:lpwstr>_Toc216252923</vt:lpwstr>
      </vt:variant>
      <vt:variant>
        <vt:i4>1310776</vt:i4>
      </vt:variant>
      <vt:variant>
        <vt:i4>86</vt:i4>
      </vt:variant>
      <vt:variant>
        <vt:i4>0</vt:i4>
      </vt:variant>
      <vt:variant>
        <vt:i4>5</vt:i4>
      </vt:variant>
      <vt:variant>
        <vt:lpwstr/>
      </vt:variant>
      <vt:variant>
        <vt:lpwstr>_Toc216252922</vt:lpwstr>
      </vt:variant>
      <vt:variant>
        <vt:i4>1310776</vt:i4>
      </vt:variant>
      <vt:variant>
        <vt:i4>80</vt:i4>
      </vt:variant>
      <vt:variant>
        <vt:i4>0</vt:i4>
      </vt:variant>
      <vt:variant>
        <vt:i4>5</vt:i4>
      </vt:variant>
      <vt:variant>
        <vt:lpwstr/>
      </vt:variant>
      <vt:variant>
        <vt:lpwstr>_Toc216252921</vt:lpwstr>
      </vt:variant>
      <vt:variant>
        <vt:i4>1310776</vt:i4>
      </vt:variant>
      <vt:variant>
        <vt:i4>74</vt:i4>
      </vt:variant>
      <vt:variant>
        <vt:i4>0</vt:i4>
      </vt:variant>
      <vt:variant>
        <vt:i4>5</vt:i4>
      </vt:variant>
      <vt:variant>
        <vt:lpwstr/>
      </vt:variant>
      <vt:variant>
        <vt:lpwstr>_Toc216252920</vt:lpwstr>
      </vt:variant>
      <vt:variant>
        <vt:i4>1507384</vt:i4>
      </vt:variant>
      <vt:variant>
        <vt:i4>68</vt:i4>
      </vt:variant>
      <vt:variant>
        <vt:i4>0</vt:i4>
      </vt:variant>
      <vt:variant>
        <vt:i4>5</vt:i4>
      </vt:variant>
      <vt:variant>
        <vt:lpwstr/>
      </vt:variant>
      <vt:variant>
        <vt:lpwstr>_Toc216252919</vt:lpwstr>
      </vt:variant>
      <vt:variant>
        <vt:i4>1507384</vt:i4>
      </vt:variant>
      <vt:variant>
        <vt:i4>62</vt:i4>
      </vt:variant>
      <vt:variant>
        <vt:i4>0</vt:i4>
      </vt:variant>
      <vt:variant>
        <vt:i4>5</vt:i4>
      </vt:variant>
      <vt:variant>
        <vt:lpwstr/>
      </vt:variant>
      <vt:variant>
        <vt:lpwstr>_Toc216252918</vt:lpwstr>
      </vt:variant>
      <vt:variant>
        <vt:i4>1507384</vt:i4>
      </vt:variant>
      <vt:variant>
        <vt:i4>56</vt:i4>
      </vt:variant>
      <vt:variant>
        <vt:i4>0</vt:i4>
      </vt:variant>
      <vt:variant>
        <vt:i4>5</vt:i4>
      </vt:variant>
      <vt:variant>
        <vt:lpwstr/>
      </vt:variant>
      <vt:variant>
        <vt:lpwstr>_Toc216252917</vt:lpwstr>
      </vt:variant>
      <vt:variant>
        <vt:i4>1507384</vt:i4>
      </vt:variant>
      <vt:variant>
        <vt:i4>50</vt:i4>
      </vt:variant>
      <vt:variant>
        <vt:i4>0</vt:i4>
      </vt:variant>
      <vt:variant>
        <vt:i4>5</vt:i4>
      </vt:variant>
      <vt:variant>
        <vt:lpwstr/>
      </vt:variant>
      <vt:variant>
        <vt:lpwstr>_Toc216252916</vt:lpwstr>
      </vt:variant>
      <vt:variant>
        <vt:i4>1507384</vt:i4>
      </vt:variant>
      <vt:variant>
        <vt:i4>44</vt:i4>
      </vt:variant>
      <vt:variant>
        <vt:i4>0</vt:i4>
      </vt:variant>
      <vt:variant>
        <vt:i4>5</vt:i4>
      </vt:variant>
      <vt:variant>
        <vt:lpwstr/>
      </vt:variant>
      <vt:variant>
        <vt:lpwstr>_Toc216252915</vt:lpwstr>
      </vt:variant>
      <vt:variant>
        <vt:i4>1507384</vt:i4>
      </vt:variant>
      <vt:variant>
        <vt:i4>38</vt:i4>
      </vt:variant>
      <vt:variant>
        <vt:i4>0</vt:i4>
      </vt:variant>
      <vt:variant>
        <vt:i4>5</vt:i4>
      </vt:variant>
      <vt:variant>
        <vt:lpwstr/>
      </vt:variant>
      <vt:variant>
        <vt:lpwstr>_Toc216252914</vt:lpwstr>
      </vt:variant>
      <vt:variant>
        <vt:i4>1507384</vt:i4>
      </vt:variant>
      <vt:variant>
        <vt:i4>32</vt:i4>
      </vt:variant>
      <vt:variant>
        <vt:i4>0</vt:i4>
      </vt:variant>
      <vt:variant>
        <vt:i4>5</vt:i4>
      </vt:variant>
      <vt:variant>
        <vt:lpwstr/>
      </vt:variant>
      <vt:variant>
        <vt:lpwstr>_Toc216252913</vt:lpwstr>
      </vt:variant>
      <vt:variant>
        <vt:i4>1507384</vt:i4>
      </vt:variant>
      <vt:variant>
        <vt:i4>26</vt:i4>
      </vt:variant>
      <vt:variant>
        <vt:i4>0</vt:i4>
      </vt:variant>
      <vt:variant>
        <vt:i4>5</vt:i4>
      </vt:variant>
      <vt:variant>
        <vt:lpwstr/>
      </vt:variant>
      <vt:variant>
        <vt:lpwstr>_Toc216252912</vt:lpwstr>
      </vt:variant>
      <vt:variant>
        <vt:i4>1507384</vt:i4>
      </vt:variant>
      <vt:variant>
        <vt:i4>20</vt:i4>
      </vt:variant>
      <vt:variant>
        <vt:i4>0</vt:i4>
      </vt:variant>
      <vt:variant>
        <vt:i4>5</vt:i4>
      </vt:variant>
      <vt:variant>
        <vt:lpwstr/>
      </vt:variant>
      <vt:variant>
        <vt:lpwstr>_Toc216252911</vt:lpwstr>
      </vt:variant>
      <vt:variant>
        <vt:i4>1507384</vt:i4>
      </vt:variant>
      <vt:variant>
        <vt:i4>14</vt:i4>
      </vt:variant>
      <vt:variant>
        <vt:i4>0</vt:i4>
      </vt:variant>
      <vt:variant>
        <vt:i4>5</vt:i4>
      </vt:variant>
      <vt:variant>
        <vt:lpwstr/>
      </vt:variant>
      <vt:variant>
        <vt:lpwstr>_Toc216252910</vt:lpwstr>
      </vt:variant>
      <vt:variant>
        <vt:i4>1441848</vt:i4>
      </vt:variant>
      <vt:variant>
        <vt:i4>8</vt:i4>
      </vt:variant>
      <vt:variant>
        <vt:i4>0</vt:i4>
      </vt:variant>
      <vt:variant>
        <vt:i4>5</vt:i4>
      </vt:variant>
      <vt:variant>
        <vt:lpwstr/>
      </vt:variant>
      <vt:variant>
        <vt:lpwstr>_Toc216252909</vt:lpwstr>
      </vt:variant>
      <vt:variant>
        <vt:i4>1441848</vt:i4>
      </vt:variant>
      <vt:variant>
        <vt:i4>2</vt:i4>
      </vt:variant>
      <vt:variant>
        <vt:i4>0</vt:i4>
      </vt:variant>
      <vt:variant>
        <vt:i4>5</vt:i4>
      </vt:variant>
      <vt:variant>
        <vt:lpwstr/>
      </vt:variant>
      <vt:variant>
        <vt:lpwstr>_Toc216252908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Adel Hammas</cp:lastModifiedBy>
  <cp:revision>6</cp:revision>
  <cp:lastPrinted>2026-06-24T11:05:00Z</cp:lastPrinted>
  <dcterms:created xsi:type="dcterms:W3CDTF">2026-07-27T18:35:00Z</dcterms:created>
  <dcterms:modified xsi:type="dcterms:W3CDTF">2026-08-08T11:01:00Z</dcterms:modified>
</cp:coreProperties>
</file>