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DD70943" w:rsidR="009125CE" w:rsidRPr="001902DB" w:rsidRDefault="006B6A72" w:rsidP="00A57553">
      <w:pPr>
        <w:jc w:val="lowKashida"/>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8DCED20">
            <wp:simplePos x="0" y="0"/>
            <wp:positionH relativeFrom="margin">
              <wp:posOffset>-512445</wp:posOffset>
            </wp:positionH>
            <wp:positionV relativeFrom="margin">
              <wp:posOffset>-791614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0674E738" w:rsidR="00F546CE" w:rsidRPr="001902DB" w:rsidRDefault="009125CE" w:rsidP="00A57553">
      <w:pPr>
        <w:jc w:val="lowKashida"/>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rsidP="00A57553">
      <w:pPr>
        <w:jc w:val="lowKashida"/>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rsidP="00A57553">
      <w:pPr>
        <w:jc w:val="lowKashida"/>
        <w:rPr>
          <w:rFonts w:ascii="Sakkal Majalla" w:hAnsi="Sakkal Majalla" w:cs="Sakkal Majalla"/>
          <w:sz w:val="28"/>
          <w:szCs w:val="28"/>
          <w:rtl/>
          <w:lang w:bidi="ar-EG"/>
        </w:rPr>
      </w:pPr>
    </w:p>
    <w:p w14:paraId="3A7BF367" w14:textId="77777777" w:rsidR="009125CE" w:rsidRPr="009125CE" w:rsidRDefault="009125CE" w:rsidP="00A57553">
      <w:pPr>
        <w:jc w:val="lowKashida"/>
        <w:rPr>
          <w:rFonts w:ascii="Sakkal Majalla" w:hAnsi="Sakkal Majalla" w:cs="Sakkal Majalla"/>
          <w:sz w:val="28"/>
          <w:szCs w:val="28"/>
          <w:rtl/>
          <w:lang w:bidi="ar-EG"/>
        </w:rPr>
      </w:pPr>
    </w:p>
    <w:p w14:paraId="5F6542BF" w14:textId="77777777" w:rsidR="009125CE" w:rsidRPr="009125CE" w:rsidRDefault="009125CE" w:rsidP="00A57553">
      <w:pPr>
        <w:jc w:val="lowKashida"/>
        <w:rPr>
          <w:rFonts w:ascii="Sakkal Majalla" w:hAnsi="Sakkal Majalla" w:cs="Sakkal Majalla"/>
          <w:sz w:val="28"/>
          <w:szCs w:val="28"/>
          <w:rtl/>
          <w:lang w:bidi="ar-EG"/>
        </w:rPr>
      </w:pPr>
    </w:p>
    <w:p w14:paraId="08401F45" w14:textId="68A2D4DF" w:rsidR="009125CE" w:rsidRPr="001902DB" w:rsidRDefault="00A74F76" w:rsidP="00A71B2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3E3A2E8A" w:rsidR="009125CE" w:rsidRPr="00B879DE" w:rsidRDefault="00B879DE" w:rsidP="00A71B2E">
      <w:pPr>
        <w:jc w:val="center"/>
        <w:rPr>
          <w:rFonts w:ascii="Simplified Arabic" w:hAnsi="Simplified Arabic" w:cs="Simplified Arabic"/>
          <w:b/>
          <w:bCs/>
          <w:sz w:val="50"/>
          <w:szCs w:val="50"/>
          <w:rtl/>
          <w:lang w:bidi="ar-EG"/>
        </w:rPr>
      </w:pPr>
      <w:r w:rsidRPr="00B879DE">
        <w:rPr>
          <w:rFonts w:ascii="Simplified Arabic" w:hAnsi="Simplified Arabic" w:cs="Simplified Arabic"/>
          <w:b/>
          <w:bCs/>
          <w:sz w:val="50"/>
          <w:szCs w:val="50"/>
          <w:rtl/>
          <w:lang w:bidi="ar-EG"/>
        </w:rPr>
        <w:t>تأثير التحول الرقمي على قطاع التأمين في المملكة العربية السعودية</w:t>
      </w:r>
    </w:p>
    <w:p w14:paraId="1AA4343F" w14:textId="161A4F08" w:rsidR="009125CE" w:rsidRPr="00A71B2E" w:rsidRDefault="00B879DE" w:rsidP="00A71B2E">
      <w:pPr>
        <w:jc w:val="center"/>
        <w:rPr>
          <w:rFonts w:asciiTheme="majorBidi" w:hAnsiTheme="majorBidi" w:cstheme="majorBidi"/>
          <w:b/>
          <w:bCs/>
          <w:sz w:val="48"/>
          <w:szCs w:val="48"/>
          <w:rtl/>
          <w:lang w:bidi="ar-EG"/>
        </w:rPr>
      </w:pPr>
      <w:r w:rsidRPr="00B879DE">
        <w:rPr>
          <w:rFonts w:asciiTheme="majorBidi" w:hAnsiTheme="majorBidi" w:cs="Times New Roman"/>
          <w:b/>
          <w:sz w:val="48"/>
          <w:szCs w:val="48"/>
        </w:rPr>
        <w:t>The Impact of Digital Transformation on the Insurance Sector in Saudi Arabia</w:t>
      </w:r>
    </w:p>
    <w:p w14:paraId="232F19A4" w14:textId="77777777" w:rsidR="009125CE" w:rsidRPr="009125CE" w:rsidRDefault="009125CE" w:rsidP="00A57553">
      <w:pPr>
        <w:jc w:val="lowKashida"/>
        <w:rPr>
          <w:rFonts w:ascii="Sakkal Majalla" w:hAnsi="Sakkal Majalla" w:cs="Sakkal Majalla"/>
          <w:sz w:val="28"/>
          <w:szCs w:val="28"/>
          <w:rtl/>
          <w:lang w:bidi="ar-EG"/>
        </w:rPr>
      </w:pPr>
    </w:p>
    <w:p w14:paraId="0EB57E30" w14:textId="77777777" w:rsidR="009125CE" w:rsidRPr="001902DB" w:rsidRDefault="009125CE" w:rsidP="00A57553">
      <w:pPr>
        <w:jc w:val="lowKashida"/>
        <w:rPr>
          <w:rFonts w:ascii="Sakkal Majalla" w:hAnsi="Sakkal Majalla" w:cs="Sakkal Majalla"/>
          <w:b/>
          <w:bCs/>
          <w:sz w:val="28"/>
          <w:szCs w:val="28"/>
          <w:rtl/>
          <w:lang w:bidi="ar-EG"/>
        </w:rPr>
      </w:pPr>
    </w:p>
    <w:p w14:paraId="3D3CBDF8" w14:textId="06EA067E" w:rsidR="009125CE" w:rsidRDefault="009125CE" w:rsidP="00A71B2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359C9C1B" w14:textId="77777777" w:rsidR="00B879DE" w:rsidRPr="00B879DE" w:rsidRDefault="00B879DE" w:rsidP="00B879DE">
      <w:pPr>
        <w:jc w:val="center"/>
        <w:rPr>
          <w:rFonts w:ascii="Sakkal Majalla" w:eastAsia="Calibri" w:hAnsi="Sakkal Majalla" w:cs="Sakkal Majalla"/>
          <w:b/>
          <w:bCs/>
          <w:sz w:val="28"/>
          <w:szCs w:val="28"/>
          <w:lang w:bidi="ar-EG"/>
        </w:rPr>
      </w:pPr>
      <w:r w:rsidRPr="00B879DE">
        <w:rPr>
          <w:rFonts w:ascii="Sakkal Majalla" w:eastAsia="Calibri" w:hAnsi="Sakkal Majalla" w:cs="Sakkal Majalla"/>
          <w:b/>
          <w:bCs/>
          <w:sz w:val="28"/>
          <w:szCs w:val="28"/>
          <w:rtl/>
          <w:lang w:bidi="ar-EG"/>
        </w:rPr>
        <w:t>فراس عبدالله السحيباني</w:t>
      </w:r>
    </w:p>
    <w:p w14:paraId="3EF84B11" w14:textId="77777777" w:rsidR="00B879DE" w:rsidRDefault="00B879DE" w:rsidP="00A71B2E">
      <w:pPr>
        <w:jc w:val="center"/>
        <w:rPr>
          <w:rFonts w:ascii="Sakkal Majalla" w:hAnsi="Sakkal Majalla" w:cs="Sakkal Majalla"/>
          <w:b/>
          <w:bCs/>
          <w:sz w:val="28"/>
          <w:szCs w:val="28"/>
          <w:rtl/>
          <w:lang w:bidi="ar-EG"/>
        </w:rPr>
      </w:pPr>
    </w:p>
    <w:p w14:paraId="5F4EE2DE" w14:textId="5AE9308C" w:rsidR="009125CE" w:rsidRPr="001902DB" w:rsidRDefault="009125CE" w:rsidP="00A71B2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738CC6" w14:textId="52E3EEBA" w:rsidR="009125CE" w:rsidRPr="001902DB" w:rsidRDefault="00B55620" w:rsidP="00A71B2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4480418" w14:textId="78A6C3AC" w:rsidR="009125CE" w:rsidRPr="001902DB" w:rsidRDefault="009125CE" w:rsidP="00A71B2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BF3CFA8" w:rsidR="009125CE" w:rsidRPr="001902DB" w:rsidRDefault="00A00825" w:rsidP="00A71B2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2026</w:t>
      </w:r>
    </w:p>
    <w:p w14:paraId="5DBA947E" w14:textId="77777777" w:rsidR="009125CE" w:rsidRPr="001902DB" w:rsidRDefault="009125CE" w:rsidP="00A57553">
      <w:pPr>
        <w:jc w:val="lowKashida"/>
        <w:rPr>
          <w:rFonts w:ascii="Sakkal Majalla" w:hAnsi="Sakkal Majalla" w:cs="Sakkal Majalla"/>
          <w:b/>
          <w:bCs/>
          <w:sz w:val="28"/>
          <w:szCs w:val="28"/>
          <w:rtl/>
          <w:lang w:bidi="ar-EG"/>
        </w:rPr>
      </w:pPr>
    </w:p>
    <w:p w14:paraId="71099ADB" w14:textId="77777777" w:rsidR="009125CE" w:rsidRDefault="009125CE" w:rsidP="00A57553">
      <w:pPr>
        <w:jc w:val="lowKashida"/>
        <w:rPr>
          <w:rFonts w:ascii="Sakkal Majalla" w:hAnsi="Sakkal Majalla" w:cs="Sakkal Majalla"/>
          <w:b/>
          <w:bCs/>
          <w:sz w:val="28"/>
          <w:szCs w:val="28"/>
          <w:rtl/>
          <w:lang w:bidi="ar-EG"/>
        </w:rPr>
      </w:pPr>
    </w:p>
    <w:p w14:paraId="4760D920" w14:textId="77777777" w:rsidR="007662EA" w:rsidRDefault="007662EA" w:rsidP="00A57553">
      <w:pPr>
        <w:jc w:val="lowKashida"/>
        <w:rPr>
          <w:rFonts w:ascii="Sakkal Majalla" w:hAnsi="Sakkal Majalla" w:cs="Sakkal Majalla"/>
          <w:b/>
          <w:bCs/>
          <w:sz w:val="28"/>
          <w:szCs w:val="28"/>
          <w:u w:val="single"/>
          <w:rtl/>
        </w:rPr>
      </w:pPr>
    </w:p>
    <w:p w14:paraId="492ADC45" w14:textId="77777777" w:rsidR="006D63AA" w:rsidRDefault="006D63AA" w:rsidP="00A57553">
      <w:pPr>
        <w:jc w:val="lowKashida"/>
        <w:rPr>
          <w:rFonts w:ascii="Simplified Arabic" w:hAnsi="Simplified Arabic" w:cs="Simplified Arabic"/>
          <w:b/>
          <w:bCs/>
          <w:sz w:val="32"/>
          <w:szCs w:val="32"/>
          <w:u w:val="single"/>
          <w:rtl/>
        </w:rPr>
      </w:pPr>
    </w:p>
    <w:p w14:paraId="0C510CF3" w14:textId="77777777" w:rsidR="006D63AA" w:rsidRDefault="006D63AA" w:rsidP="00A57553">
      <w:pPr>
        <w:jc w:val="lowKashida"/>
        <w:rPr>
          <w:rFonts w:ascii="Simplified Arabic" w:hAnsi="Simplified Arabic" w:cs="Simplified Arabic"/>
          <w:b/>
          <w:bCs/>
          <w:sz w:val="32"/>
          <w:szCs w:val="32"/>
          <w:u w:val="single"/>
          <w:rtl/>
        </w:rPr>
      </w:pPr>
    </w:p>
    <w:p w14:paraId="1C6A7D81" w14:textId="77777777" w:rsidR="006D63AA" w:rsidRDefault="006D63AA" w:rsidP="00A57553">
      <w:pPr>
        <w:jc w:val="lowKashida"/>
        <w:rPr>
          <w:rFonts w:ascii="Simplified Arabic" w:hAnsi="Simplified Arabic" w:cs="Simplified Arabic"/>
          <w:b/>
          <w:bCs/>
          <w:sz w:val="32"/>
          <w:szCs w:val="32"/>
          <w:u w:val="single"/>
          <w:rtl/>
        </w:rPr>
      </w:pPr>
    </w:p>
    <w:p w14:paraId="3C5D6C52" w14:textId="77777777" w:rsidR="006D63AA" w:rsidRDefault="006D63AA" w:rsidP="00A57553">
      <w:pPr>
        <w:jc w:val="lowKashida"/>
        <w:rPr>
          <w:rFonts w:ascii="Simplified Arabic" w:hAnsi="Simplified Arabic" w:cs="Simplified Arabic"/>
          <w:b/>
          <w:bCs/>
          <w:sz w:val="32"/>
          <w:szCs w:val="32"/>
          <w:u w:val="single"/>
          <w:rtl/>
        </w:rPr>
      </w:pPr>
    </w:p>
    <w:p w14:paraId="671150F1" w14:textId="77777777" w:rsidR="006D63AA" w:rsidRDefault="006D63AA" w:rsidP="00A57553">
      <w:pPr>
        <w:jc w:val="lowKashida"/>
        <w:rPr>
          <w:rFonts w:ascii="Simplified Arabic" w:hAnsi="Simplified Arabic" w:cs="Simplified Arabic"/>
          <w:b/>
          <w:bCs/>
          <w:sz w:val="32"/>
          <w:szCs w:val="32"/>
          <w:u w:val="single"/>
          <w:rtl/>
        </w:rPr>
      </w:pPr>
    </w:p>
    <w:p w14:paraId="1E5B0E83" w14:textId="77777777" w:rsidR="006D63AA" w:rsidRDefault="006D63AA" w:rsidP="00A57553">
      <w:pPr>
        <w:jc w:val="lowKashida"/>
        <w:rPr>
          <w:rFonts w:ascii="Simplified Arabic" w:hAnsi="Simplified Arabic" w:cs="Simplified Arabic"/>
          <w:b/>
          <w:bCs/>
          <w:sz w:val="32"/>
          <w:szCs w:val="32"/>
          <w:u w:val="single"/>
          <w:rtl/>
        </w:rPr>
      </w:pPr>
    </w:p>
    <w:p w14:paraId="26486CB7" w14:textId="4FCC6F3F" w:rsidR="006D63AA" w:rsidRDefault="00B260C1" w:rsidP="00A57553">
      <w:pPr>
        <w:jc w:val="lowKashida"/>
        <w:rPr>
          <w:rFonts w:ascii="Simplified Arabic" w:hAnsi="Simplified Arabic" w:cs="Simplified Arabic"/>
          <w:b/>
          <w:bCs/>
          <w:sz w:val="32"/>
          <w:szCs w:val="32"/>
          <w:u w:val="single"/>
          <w:rtl/>
        </w:rPr>
      </w:pPr>
      <w:r>
        <w:rPr>
          <w:rFonts w:ascii="Simplified Arabic" w:hAnsi="Simplified Arabic" w:cs="Simplified Arabic"/>
          <w:b/>
          <w:bCs/>
          <w:noProof/>
          <w:sz w:val="32"/>
          <w:szCs w:val="32"/>
          <w:u w:val="single"/>
        </w:rPr>
        <w:drawing>
          <wp:anchor distT="0" distB="0" distL="114300" distR="114300" simplePos="0" relativeHeight="251659264" behindDoc="0" locked="0" layoutInCell="1" allowOverlap="1" wp14:anchorId="61EB898B" wp14:editId="449A27D3">
            <wp:simplePos x="0" y="0"/>
            <wp:positionH relativeFrom="margin">
              <wp:align>center</wp:align>
            </wp:positionH>
            <wp:positionV relativeFrom="margin">
              <wp:align>center</wp:align>
            </wp:positionV>
            <wp:extent cx="4712335" cy="25812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a:stretch/>
                  </pic:blipFill>
                  <pic:spPr bwMode="auto">
                    <a:xfrm>
                      <a:off x="0" y="0"/>
                      <a:ext cx="4712335" cy="2581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63AA">
        <w:rPr>
          <w:noProof/>
        </w:rPr>
        <mc:AlternateContent>
          <mc:Choice Requires="wps">
            <w:drawing>
              <wp:inline distT="0" distB="0" distL="0" distR="0" wp14:anchorId="0639B2EF" wp14:editId="70BF2E29">
                <wp:extent cx="304800" cy="304800"/>
                <wp:effectExtent l="0" t="0" r="0" b="0"/>
                <wp:docPr id="3" name="AutoShape 3" descr="البسملة - الخطوط الإسلامية مجانا"/>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65D4E0" id="AutoShape 3" o:spid="_x0000_s1026" alt="البسملة - الخطوط الإسلامية مجانا"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ExzK9XzAgAA+wUA&#10;AA4AAAAAAAAAAAAAAAAALgIAAGRycy9lMm9Eb2MueG1sUEsBAi0AFAAGAAgAAAAhAEyg6SzYAAAA&#10;AwEAAA8AAAAAAAAAAAAAAAAATQUAAGRycy9kb3ducmV2LnhtbFBLBQYAAAAABAAEAPMAAABSBgAA&#10;AAA=&#10;" filled="f" stroked="f">
                <o:lock v:ext="edit" aspectratio="t"/>
                <w10:anchorlock/>
              </v:rect>
            </w:pict>
          </mc:Fallback>
        </mc:AlternateContent>
      </w:r>
    </w:p>
    <w:p w14:paraId="437F7A01" w14:textId="488C7760" w:rsidR="006D63AA" w:rsidRDefault="006D63AA" w:rsidP="00A57553">
      <w:pPr>
        <w:jc w:val="lowKashida"/>
        <w:rPr>
          <w:rFonts w:ascii="Simplified Arabic" w:hAnsi="Simplified Arabic" w:cs="Simplified Arabic"/>
          <w:b/>
          <w:bCs/>
          <w:sz w:val="32"/>
          <w:szCs w:val="32"/>
          <w:u w:val="single"/>
          <w:rtl/>
        </w:rPr>
      </w:pPr>
    </w:p>
    <w:p w14:paraId="0C7843D2" w14:textId="1E60B1A4" w:rsidR="006D63AA" w:rsidRDefault="006D63AA" w:rsidP="00A57553">
      <w:pPr>
        <w:jc w:val="lowKashida"/>
        <w:rPr>
          <w:rFonts w:ascii="Simplified Arabic" w:hAnsi="Simplified Arabic" w:cs="Simplified Arabic"/>
          <w:b/>
          <w:bCs/>
          <w:sz w:val="32"/>
          <w:szCs w:val="32"/>
          <w:u w:val="single"/>
          <w:rtl/>
        </w:rPr>
      </w:pPr>
    </w:p>
    <w:p w14:paraId="7CCE7F64" w14:textId="77777777" w:rsidR="006D63AA" w:rsidRDefault="006D63AA" w:rsidP="00A57553">
      <w:pPr>
        <w:jc w:val="lowKashida"/>
        <w:rPr>
          <w:rFonts w:ascii="Simplified Arabic" w:hAnsi="Simplified Arabic" w:cs="Simplified Arabic"/>
          <w:b/>
          <w:bCs/>
          <w:sz w:val="32"/>
          <w:szCs w:val="32"/>
          <w:u w:val="single"/>
          <w:rtl/>
        </w:rPr>
      </w:pPr>
    </w:p>
    <w:p w14:paraId="18FA10B3" w14:textId="77777777" w:rsidR="006D63AA" w:rsidRDefault="006D63AA" w:rsidP="00A57553">
      <w:pPr>
        <w:jc w:val="lowKashida"/>
        <w:rPr>
          <w:rFonts w:ascii="Simplified Arabic" w:hAnsi="Simplified Arabic" w:cs="Simplified Arabic"/>
          <w:b/>
          <w:bCs/>
          <w:sz w:val="32"/>
          <w:szCs w:val="32"/>
          <w:u w:val="single"/>
          <w:rtl/>
        </w:rPr>
      </w:pPr>
    </w:p>
    <w:p w14:paraId="4C5F4FC2" w14:textId="77777777" w:rsidR="006D63AA" w:rsidRDefault="006D63AA" w:rsidP="00A57553">
      <w:pPr>
        <w:jc w:val="lowKashida"/>
        <w:rPr>
          <w:rFonts w:ascii="Simplified Arabic" w:hAnsi="Simplified Arabic" w:cs="Simplified Arabic"/>
          <w:b/>
          <w:bCs/>
          <w:sz w:val="32"/>
          <w:szCs w:val="32"/>
          <w:u w:val="single"/>
          <w:rtl/>
        </w:rPr>
      </w:pPr>
    </w:p>
    <w:p w14:paraId="7F83B02C" w14:textId="77777777" w:rsidR="006D63AA" w:rsidRDefault="006D63AA" w:rsidP="00A57553">
      <w:pPr>
        <w:jc w:val="lowKashida"/>
        <w:rPr>
          <w:rFonts w:ascii="Simplified Arabic" w:hAnsi="Simplified Arabic" w:cs="Simplified Arabic"/>
          <w:b/>
          <w:bCs/>
          <w:sz w:val="32"/>
          <w:szCs w:val="32"/>
          <w:u w:val="single"/>
          <w:rtl/>
        </w:rPr>
      </w:pPr>
    </w:p>
    <w:p w14:paraId="7A0A7AFF" w14:textId="77777777" w:rsidR="006D63AA" w:rsidRDefault="006D63AA" w:rsidP="00A57553">
      <w:pPr>
        <w:jc w:val="lowKashida"/>
        <w:rPr>
          <w:rFonts w:ascii="Simplified Arabic" w:hAnsi="Simplified Arabic" w:cs="Simplified Arabic"/>
          <w:b/>
          <w:bCs/>
          <w:sz w:val="32"/>
          <w:szCs w:val="32"/>
          <w:u w:val="single"/>
          <w:rtl/>
        </w:rPr>
      </w:pPr>
    </w:p>
    <w:p w14:paraId="7F1D81F1" w14:textId="77777777" w:rsidR="006D63AA" w:rsidRDefault="006D63AA" w:rsidP="00A57553">
      <w:pPr>
        <w:jc w:val="lowKashida"/>
        <w:rPr>
          <w:rFonts w:ascii="Simplified Arabic" w:hAnsi="Simplified Arabic" w:cs="Simplified Arabic"/>
          <w:b/>
          <w:bCs/>
          <w:sz w:val="32"/>
          <w:szCs w:val="32"/>
          <w:u w:val="single"/>
          <w:rtl/>
        </w:rPr>
      </w:pPr>
    </w:p>
    <w:p w14:paraId="2A0EFDC0" w14:textId="77777777" w:rsidR="006D63AA" w:rsidRDefault="006D63AA" w:rsidP="00A57553">
      <w:pPr>
        <w:jc w:val="lowKashida"/>
        <w:rPr>
          <w:rFonts w:ascii="Simplified Arabic" w:hAnsi="Simplified Arabic" w:cs="Simplified Arabic"/>
          <w:b/>
          <w:bCs/>
          <w:sz w:val="32"/>
          <w:szCs w:val="32"/>
          <w:u w:val="single"/>
          <w:rtl/>
        </w:rPr>
      </w:pPr>
    </w:p>
    <w:p w14:paraId="1C298AB1" w14:textId="77777777" w:rsidR="006D63AA" w:rsidRDefault="006D63AA" w:rsidP="00A57553">
      <w:pPr>
        <w:jc w:val="lowKashida"/>
        <w:rPr>
          <w:rFonts w:ascii="Simplified Arabic" w:hAnsi="Simplified Arabic" w:cs="Simplified Arabic"/>
          <w:b/>
          <w:bCs/>
          <w:sz w:val="32"/>
          <w:szCs w:val="32"/>
          <w:u w:val="single"/>
          <w:rtl/>
        </w:rPr>
      </w:pPr>
    </w:p>
    <w:p w14:paraId="34F330F2" w14:textId="77777777" w:rsidR="006B6A72" w:rsidRDefault="006B6A72" w:rsidP="00A57553">
      <w:pPr>
        <w:jc w:val="lowKashida"/>
        <w:rPr>
          <w:rFonts w:ascii="Simplified Arabic" w:hAnsi="Simplified Arabic" w:cs="Simplified Arabic"/>
          <w:b/>
          <w:bCs/>
          <w:sz w:val="32"/>
          <w:szCs w:val="32"/>
          <w:u w:val="single"/>
          <w:rtl/>
        </w:rPr>
      </w:pPr>
    </w:p>
    <w:p w14:paraId="7F17605B" w14:textId="77777777" w:rsidR="00A1293A" w:rsidRDefault="00A1293A" w:rsidP="00A57553">
      <w:pPr>
        <w:jc w:val="lowKashida"/>
        <w:rPr>
          <w:rFonts w:ascii="Simplified Arabic" w:hAnsi="Simplified Arabic" w:cs="Simplified Arabic"/>
          <w:b/>
          <w:bCs/>
          <w:sz w:val="28"/>
          <w:szCs w:val="28"/>
          <w:u w:val="single"/>
          <w:rtl/>
        </w:rPr>
      </w:pPr>
    </w:p>
    <w:p w14:paraId="798165AD" w14:textId="77777777" w:rsidR="00A1293A" w:rsidRDefault="00A1293A" w:rsidP="00A57553">
      <w:pPr>
        <w:jc w:val="lowKashida"/>
        <w:rPr>
          <w:rFonts w:ascii="Simplified Arabic" w:hAnsi="Simplified Arabic" w:cs="Simplified Arabic"/>
          <w:b/>
          <w:bCs/>
          <w:sz w:val="28"/>
          <w:szCs w:val="28"/>
          <w:u w:val="single"/>
          <w:rtl/>
        </w:rPr>
      </w:pPr>
    </w:p>
    <w:p w14:paraId="41B64939" w14:textId="77777777" w:rsidR="00A1293A" w:rsidRDefault="00A1293A" w:rsidP="00A57553">
      <w:pPr>
        <w:jc w:val="lowKashida"/>
        <w:rPr>
          <w:rFonts w:ascii="Simplified Arabic" w:hAnsi="Simplified Arabic" w:cs="Simplified Arabic"/>
          <w:b/>
          <w:bCs/>
          <w:sz w:val="28"/>
          <w:szCs w:val="28"/>
          <w:u w:val="single"/>
          <w:rtl/>
        </w:rPr>
      </w:pPr>
    </w:p>
    <w:p w14:paraId="2C065C78" w14:textId="77777777" w:rsidR="00A1293A" w:rsidRDefault="00A1293A" w:rsidP="00A57553">
      <w:pPr>
        <w:jc w:val="lowKashida"/>
        <w:rPr>
          <w:rFonts w:ascii="Simplified Arabic" w:hAnsi="Simplified Arabic" w:cs="Simplified Arabic"/>
          <w:b/>
          <w:bCs/>
          <w:sz w:val="28"/>
          <w:szCs w:val="28"/>
          <w:u w:val="single"/>
          <w:rtl/>
        </w:rPr>
      </w:pPr>
    </w:p>
    <w:p w14:paraId="3110A7B3" w14:textId="77777777" w:rsidR="00A1293A" w:rsidRDefault="00A1293A" w:rsidP="00A57553">
      <w:pPr>
        <w:jc w:val="lowKashida"/>
        <w:rPr>
          <w:rFonts w:ascii="Simplified Arabic" w:hAnsi="Simplified Arabic" w:cs="Simplified Arabic"/>
          <w:b/>
          <w:bCs/>
          <w:sz w:val="28"/>
          <w:szCs w:val="28"/>
          <w:u w:val="single"/>
          <w:rtl/>
        </w:rPr>
      </w:pPr>
    </w:p>
    <w:p w14:paraId="51959D9B" w14:textId="77777777" w:rsidR="00A1293A" w:rsidRDefault="00A1293A" w:rsidP="00A57553">
      <w:pPr>
        <w:jc w:val="lowKashida"/>
        <w:rPr>
          <w:rFonts w:ascii="Simplified Arabic" w:hAnsi="Simplified Arabic" w:cs="Simplified Arabic"/>
          <w:b/>
          <w:bCs/>
          <w:sz w:val="28"/>
          <w:szCs w:val="28"/>
          <w:u w:val="single"/>
          <w:rtl/>
        </w:rPr>
      </w:pPr>
    </w:p>
    <w:p w14:paraId="7BC592F9" w14:textId="77777777" w:rsidR="00A1293A" w:rsidRDefault="00A1293A" w:rsidP="00A57553">
      <w:pPr>
        <w:jc w:val="lowKashida"/>
        <w:rPr>
          <w:rFonts w:ascii="Simplified Arabic" w:hAnsi="Simplified Arabic" w:cs="Simplified Arabic"/>
          <w:b/>
          <w:bCs/>
          <w:sz w:val="28"/>
          <w:szCs w:val="28"/>
          <w:u w:val="single"/>
          <w:rtl/>
        </w:rPr>
      </w:pPr>
    </w:p>
    <w:p w14:paraId="2962DAA2" w14:textId="77777777" w:rsidR="00A1293A" w:rsidRDefault="00A1293A" w:rsidP="00A57553">
      <w:pPr>
        <w:jc w:val="lowKashida"/>
        <w:rPr>
          <w:rFonts w:ascii="Simplified Arabic" w:hAnsi="Simplified Arabic" w:cs="Simplified Arabic"/>
          <w:b/>
          <w:bCs/>
          <w:sz w:val="28"/>
          <w:szCs w:val="28"/>
          <w:u w:val="single"/>
          <w:rtl/>
        </w:rPr>
      </w:pPr>
    </w:p>
    <w:p w14:paraId="69F23D15" w14:textId="77777777" w:rsidR="00A1293A" w:rsidRDefault="00A1293A" w:rsidP="00A57553">
      <w:pPr>
        <w:jc w:val="lowKashida"/>
        <w:rPr>
          <w:rFonts w:ascii="Simplified Arabic" w:hAnsi="Simplified Arabic" w:cs="Simplified Arabic"/>
          <w:b/>
          <w:bCs/>
          <w:sz w:val="28"/>
          <w:szCs w:val="28"/>
          <w:u w:val="single"/>
        </w:rPr>
      </w:pPr>
    </w:p>
    <w:p w14:paraId="040053C9" w14:textId="183504DA" w:rsidR="006B0BBF" w:rsidRPr="00A57553" w:rsidRDefault="00A57553" w:rsidP="005C3639">
      <w:pPr>
        <w:pStyle w:val="Heading1"/>
        <w:rPr>
          <w:rtl/>
        </w:rPr>
      </w:pPr>
      <w:bookmarkStart w:id="0" w:name="_Toc234430594"/>
      <w:r w:rsidRPr="00A57553">
        <w:rPr>
          <w:rtl/>
        </w:rPr>
        <w:t>الفصل الأول: الإطار العام للدراسة</w:t>
      </w:r>
      <w:bookmarkEnd w:id="0"/>
    </w:p>
    <w:p w14:paraId="6130AE30" w14:textId="77777777" w:rsidR="006B0BBF" w:rsidRDefault="006B0BBF" w:rsidP="00A57553">
      <w:pPr>
        <w:jc w:val="lowKashida"/>
        <w:rPr>
          <w:rFonts w:ascii="Simplified Arabic" w:hAnsi="Simplified Arabic" w:cs="Simplified Arabic"/>
          <w:b/>
          <w:bCs/>
          <w:sz w:val="72"/>
          <w:szCs w:val="72"/>
          <w:u w:val="single"/>
          <w:rtl/>
          <w:lang w:bidi="ar-EG"/>
        </w:rPr>
      </w:pPr>
    </w:p>
    <w:p w14:paraId="000B8BCD" w14:textId="77777777" w:rsidR="006B0BBF" w:rsidRDefault="006B0BBF" w:rsidP="00A57553">
      <w:pPr>
        <w:jc w:val="lowKashida"/>
        <w:rPr>
          <w:rFonts w:ascii="Simplified Arabic" w:hAnsi="Simplified Arabic" w:cs="Simplified Arabic"/>
          <w:b/>
          <w:bCs/>
          <w:sz w:val="72"/>
          <w:szCs w:val="72"/>
          <w:u w:val="single"/>
          <w:lang w:bidi="ar-EG"/>
        </w:rPr>
      </w:pPr>
    </w:p>
    <w:p w14:paraId="756CB5C0" w14:textId="77777777" w:rsidR="00A57553" w:rsidRDefault="00A57553" w:rsidP="00A57553">
      <w:pPr>
        <w:jc w:val="lowKashida"/>
        <w:rPr>
          <w:rFonts w:ascii="Simplified Arabic" w:hAnsi="Simplified Arabic" w:cs="Simplified Arabic"/>
          <w:b/>
          <w:bCs/>
          <w:sz w:val="72"/>
          <w:szCs w:val="72"/>
          <w:u w:val="single"/>
          <w:rtl/>
          <w:lang w:bidi="ar-EG"/>
        </w:rPr>
      </w:pPr>
    </w:p>
    <w:p w14:paraId="4A73BF77" w14:textId="77777777" w:rsidR="006B0BBF" w:rsidRDefault="006B0BBF" w:rsidP="00A57553">
      <w:pPr>
        <w:jc w:val="lowKashida"/>
        <w:rPr>
          <w:rFonts w:ascii="Simplified Arabic" w:hAnsi="Simplified Arabic" w:cs="Simplified Arabic"/>
          <w:b/>
          <w:bCs/>
          <w:sz w:val="72"/>
          <w:szCs w:val="72"/>
          <w:u w:val="single"/>
          <w:rtl/>
          <w:lang w:bidi="ar-EG"/>
        </w:rPr>
      </w:pPr>
    </w:p>
    <w:p w14:paraId="294E9157" w14:textId="77777777" w:rsidR="006B0BBF" w:rsidRDefault="006B0BBF" w:rsidP="00A57553">
      <w:pPr>
        <w:jc w:val="lowKashida"/>
        <w:rPr>
          <w:rFonts w:ascii="Simplified Arabic" w:hAnsi="Simplified Arabic" w:cs="Simplified Arabic"/>
          <w:b/>
          <w:bCs/>
          <w:sz w:val="72"/>
          <w:szCs w:val="72"/>
          <w:u w:val="single"/>
          <w:rtl/>
          <w:lang w:bidi="ar-EG"/>
        </w:rPr>
      </w:pPr>
    </w:p>
    <w:p w14:paraId="00AFF253" w14:textId="1A272373" w:rsidR="007662EA" w:rsidRPr="00A57553" w:rsidRDefault="007662EA" w:rsidP="00A57553">
      <w:pPr>
        <w:pStyle w:val="Heading2"/>
        <w:jc w:val="lowKashida"/>
        <w:rPr>
          <w:rtl/>
        </w:rPr>
      </w:pPr>
      <w:bookmarkStart w:id="1" w:name="_Toc234430595"/>
      <w:r w:rsidRPr="00A57553">
        <w:rPr>
          <w:rtl/>
        </w:rPr>
        <w:lastRenderedPageBreak/>
        <w:t>ال</w:t>
      </w:r>
      <w:r w:rsidR="00A74F76" w:rsidRPr="00A57553">
        <w:rPr>
          <w:rtl/>
        </w:rPr>
        <w:t>مقدمة</w:t>
      </w:r>
      <w:bookmarkEnd w:id="1"/>
    </w:p>
    <w:p w14:paraId="327DC427" w14:textId="1FDB4B00"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يمثّل التحول الرقمي في عصرنا الراهن أحد أبرز المحاور الاستراتيجية التي باتت تشكّل هوية الاقتصادات الحديثة وتعيد رسم ملامح القطاعات الخدمية على اختلافها. فقد انتقلت المؤسسات من نماذج العمل التقليدية القائمة على الإجراءات الورقية وعمليات التفاعل المادي المباشر، إلى نماذج رقمية متكاملة تعتمد على البنى التحتية الإلكترونية والتطبيقات الذكية والمنصات الرقمية المتطورة. وقد أفضى ذلك إلى تحولات جوهرية في طبيعة العلاقة بين المؤسسات وعملائها، فضلاً عن إحداث انعكاسات واسعة على أنماط الأداء المؤسسي والكفاءة التشغيلية. وفي هذا السياق، تعدّ رقمنة الخدمات المالية والتأمينية من أكثر الملفات إلحاحاً وحضوراً على أجندات صانعي القرار والباحثين الأكاديميين على حدٍّ سواء (بن عبدالرحمان وآخرون، 2024)</w:t>
      </w:r>
      <w:r w:rsidRPr="00C16EB9">
        <w:rPr>
          <w:rFonts w:ascii="Simplified Arabic" w:hAnsi="Simplified Arabic" w:cs="Simplified Arabic"/>
          <w:sz w:val="28"/>
          <w:szCs w:val="28"/>
        </w:rPr>
        <w:t>.</w:t>
      </w:r>
    </w:p>
    <w:p w14:paraId="1DDAED5A" w14:textId="5A2041BD"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ومن المنظور المفاهيمي، يقصد بالتحول الرقمي عملية دمج التقنيات الرقمية في مجمل أنشطة المؤسسة، بما يحدث تغييراً جذرياً في طريقة تقديم خدماتها وخلق قيمتها للعملاء والمساهمين. ويشمل هذا التحول منظومة واسعة من التقنيات، في مقدمتها الذكاء الاصطناعي وتحليلات البيانات الضخمة والحوسبة السحابية وتطبيقات الهاتف الذكي وتقنيات إنترنت الأشياء، وهي تقنيات تتشابك وتتكامل لتنتج بيئة عمل أكثر مرونة وسرعة وقدرة على الاستجابة للمتطلبات المتجددة. ولا يقتصر هذا التحول على الجانب التقني وحده، بل يمتد ليطال الثقافة المؤسسية وأنماط التفكير الاستراتيجي وهياكل القيادة وعمليات إدارة التغيير (الغامدي وآخرون، 2024)</w:t>
      </w:r>
      <w:r w:rsidRPr="00C16EB9">
        <w:rPr>
          <w:rFonts w:ascii="Simplified Arabic" w:hAnsi="Simplified Arabic" w:cs="Simplified Arabic"/>
          <w:sz w:val="28"/>
          <w:szCs w:val="28"/>
        </w:rPr>
        <w:t>.</w:t>
      </w:r>
    </w:p>
    <w:p w14:paraId="3817611D" w14:textId="77777777" w:rsidR="0036009C" w:rsidRDefault="0036009C" w:rsidP="00C16EB9">
      <w:pPr>
        <w:spacing w:line="360" w:lineRule="auto"/>
        <w:jc w:val="lowKashida"/>
        <w:rPr>
          <w:rFonts w:ascii="Simplified Arabic" w:hAnsi="Simplified Arabic" w:cs="Simplified Arabic"/>
          <w:sz w:val="28"/>
          <w:szCs w:val="28"/>
          <w:rtl/>
        </w:rPr>
      </w:pPr>
    </w:p>
    <w:p w14:paraId="25DBF44C" w14:textId="77777777" w:rsidR="0036009C" w:rsidRDefault="0036009C" w:rsidP="00C16EB9">
      <w:pPr>
        <w:spacing w:line="360" w:lineRule="auto"/>
        <w:jc w:val="lowKashida"/>
        <w:rPr>
          <w:rFonts w:ascii="Simplified Arabic" w:hAnsi="Simplified Arabic" w:cs="Simplified Arabic"/>
          <w:sz w:val="28"/>
          <w:szCs w:val="28"/>
          <w:rtl/>
        </w:rPr>
      </w:pPr>
    </w:p>
    <w:p w14:paraId="72D05FB9" w14:textId="216712A5"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أما قطاع التأمين فقد كان تاريخياً من أكثر القطاعات محافظةً على أنماطه التقليدية واعتماداً على الإجراءات المعقدة والوثائق الورقية وشبكات الوسطاء البشريين. غير أن موجة الرقمنة التي اجتاحت الاقتصادات العالمية أحدثت زلزالاً حقيقياً في بنية هذا القطاع، إذ أخذت شركات التأمين تسارع إلى إعادة تصميم نماذج أعمالها، وتطوير منصاتها الإلكترونية، وتبسيط إجراءاتها بما يلبّي التوقعات المتصاعدة للعملاء في زمن أصبحت فيه السرعة والسهولة والشفافية مطالب لا تقبل التفاوت. وقد كشفت الأدبيات العلمية المعاصرة أن التحول الرقمي في قطاع التأمين يولّد موجة من الفرص التنافسية في مقدمتها تقليص التكاليف التشغيلية وتسريع معالجة المطالبات وتحسين تجربة المستخدم (بصاص وعدة، 2024؛ حمودة وعواودة، 2021)</w:t>
      </w:r>
      <w:r w:rsidRPr="00C16EB9">
        <w:rPr>
          <w:rFonts w:ascii="Simplified Arabic" w:hAnsi="Simplified Arabic" w:cs="Simplified Arabic"/>
          <w:sz w:val="28"/>
          <w:szCs w:val="28"/>
        </w:rPr>
        <w:t>.</w:t>
      </w:r>
    </w:p>
    <w:p w14:paraId="3EF527BB" w14:textId="495C300A"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وفي المملكة العربية السعودية تحديداً، يحتل التحول الرقمي مكانة محورية ضمن رؤية المملكة 2030، تلك الاستراتيجية الوطنية الطموحة التي ترسم ملامح مستقبل الاقتصاد السعودي وتولي أهمية قصوى لبناء اقتصاد رقمي متنوع ومستدام. وقد انعكس ذلك على قطاع التأمين من خلال حزمة من المبادرات التنظيمية والتشريعية التي تدفع شركات القطاع نحو تبني الحلول الرقمية وتطوير خدماتها الإلكترونية. ويشير الجوهري وآخرون (2022) إلى أن المملكة قد حقّقت قفزات نوعية ملموسة في مؤشرات الاقتصاد الرقمي، وإن كان مستوى هذا التحول لا يزال يتفاوت بحسب طبيعة القطاع ومستوى جاهزيته التقنية والتنظيمية</w:t>
      </w:r>
      <w:r w:rsidRPr="00C16EB9">
        <w:rPr>
          <w:rFonts w:ascii="Simplified Arabic" w:hAnsi="Simplified Arabic" w:cs="Simplified Arabic"/>
          <w:sz w:val="28"/>
          <w:szCs w:val="28"/>
        </w:rPr>
        <w:t>.</w:t>
      </w:r>
    </w:p>
    <w:p w14:paraId="0D6A365E" w14:textId="1FA05337" w:rsidR="00C16EB9" w:rsidRPr="00C16EB9" w:rsidRDefault="00C16EB9" w:rsidP="0036009C">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 xml:space="preserve">وعلى الرغم من هذا الزخم التحولي، تظل ثمة تساؤلات جوهرية قائمة حول مدى انعكاس التحول الرقمي فعلياً على الأداء المؤسسي لشركات التأمين السعودية، وعلى جودة خدماتها، وعلى مستوى رضا عملائها. وتنبع هذه التساؤلات من ندرة الدراسات التطبيقية التي تناولت هذا الموضوع بمنهجية علمية دقيقة في السياق السعودي، مما يجسّد فجوة بحثية تستدعي المعالجة والتحقيق. وعليه، جاءت هذه الدراسة لتسدّ </w:t>
      </w:r>
      <w:r w:rsidRPr="00C16EB9">
        <w:rPr>
          <w:rFonts w:ascii="Simplified Arabic" w:hAnsi="Simplified Arabic" w:cs="Simplified Arabic"/>
          <w:sz w:val="28"/>
          <w:szCs w:val="28"/>
          <w:rtl/>
        </w:rPr>
        <w:lastRenderedPageBreak/>
        <w:t>هذه الفجوة وتقدّم تحليلاً علمياً متكاملاً يلقي الضوء على طبيعة هذا التأثير وأبعاده في البيئة السعودية (بن عبدالرحمان وآخرون، 2024)</w:t>
      </w:r>
      <w:r w:rsidRPr="00C16EB9">
        <w:rPr>
          <w:rFonts w:ascii="Simplified Arabic" w:hAnsi="Simplified Arabic" w:cs="Simplified Arabic"/>
          <w:sz w:val="28"/>
          <w:szCs w:val="28"/>
        </w:rPr>
        <w:t>.</w:t>
      </w:r>
      <w:r w:rsidR="0036009C" w:rsidRPr="00C16EB9">
        <w:rPr>
          <w:rFonts w:ascii="Simplified Arabic" w:hAnsi="Simplified Arabic" w:cs="Simplified Arabic"/>
          <w:sz w:val="28"/>
          <w:szCs w:val="28"/>
        </w:rPr>
        <w:t xml:space="preserve"> </w:t>
      </w:r>
    </w:p>
    <w:p w14:paraId="3EB46394" w14:textId="77777777" w:rsidR="00C16EB9" w:rsidRPr="00C16EB9" w:rsidRDefault="00C16EB9" w:rsidP="0036009C">
      <w:pPr>
        <w:pStyle w:val="Heading2"/>
      </w:pPr>
      <w:bookmarkStart w:id="2" w:name="_Toc234430596"/>
      <w:r w:rsidRPr="00C16EB9">
        <w:rPr>
          <w:rtl/>
        </w:rPr>
        <w:t>مشكلة الدراسة</w:t>
      </w:r>
      <w:bookmarkEnd w:id="2"/>
    </w:p>
    <w:p w14:paraId="295CFDC8" w14:textId="42A3024A"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يعاني قطاع التأمين في المملكة العربية السعودية من تفاوت واضح في مستويات تبني التحول الرقمي بين شركاته المختلفة، فرغم ما تعلنه كثير من الشركات عن مبادراتها الرقمية وخططها التحديثية، يبقى السؤال مطروحاً بجدية حول مدى أثر هذا التحول على واقع الأداء التشغيلي وجودة الخدمة المقدمة فعلياً للعملاء. وقد كشفت دراسة الجوهري وآخرون (2022) أن ثمة هوة ملموسة بين حجم الاستثمار المعلن في التقنيات الرقمية وبين مؤشرات الأداء الفعلي في عدد من المؤسسات الخدمية، وهو ما قد ينطبق كذلك على قطاع التأمين</w:t>
      </w:r>
      <w:r w:rsidR="0036009C" w:rsidRPr="00C16EB9">
        <w:rPr>
          <w:rFonts w:ascii="Simplified Arabic" w:hAnsi="Simplified Arabic" w:cs="Simplified Arabic"/>
          <w:sz w:val="28"/>
          <w:szCs w:val="28"/>
        </w:rPr>
        <w:t xml:space="preserve"> </w:t>
      </w:r>
    </w:p>
    <w:p w14:paraId="6F80B367" w14:textId="285BD39B"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ويضاف إلى ذلك أن التحول الرقمي قد يصطدم بعقبات بنيوية متعددة تتعلق بضعف البنية التحتية التقنية في بعض الشركات، أو نقص الكفاءات البشرية المؤهلة للتعامل مع الأدوات الرقمية الحديثة، أو بمقاومة التغيير داخل الثقافة المؤسسية، مما يحدّ من قدرة هذه الشركات على استيعاب فوائد التحول الرقمي وترجمته إلى قيمة حقيقية مضافة للعملاء. وقد أشارت دراسة العنزي وآخرون (2026) إلى أن جملة من التحديات التنظيمية والتقنية تحول دون تحقيق الأثر المأمول للتحول الرقمي في المؤسسات المالية السعودية، بما فيها شركات التأمين</w:t>
      </w:r>
      <w:r w:rsidRPr="00C16EB9">
        <w:rPr>
          <w:rFonts w:ascii="Simplified Arabic" w:hAnsi="Simplified Arabic" w:cs="Simplified Arabic"/>
          <w:sz w:val="28"/>
          <w:szCs w:val="28"/>
        </w:rPr>
        <w:t>.</w:t>
      </w:r>
    </w:p>
    <w:p w14:paraId="5A7EC7FC" w14:textId="65D1AAD0" w:rsidR="0036009C"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 xml:space="preserve">كما يلاحَظ أن التوجه نحو الرقمنة في قطاع التأمين السعودي لم يترافق بعد مع منظومة بحثية تقييمية كافية تقيس أثره على جودة الخدمة ورضا العملاء بمنهجية علمية صارمة. </w:t>
      </w:r>
    </w:p>
    <w:p w14:paraId="2016BD12" w14:textId="77777777" w:rsidR="0036009C" w:rsidRDefault="0036009C" w:rsidP="00C16EB9">
      <w:pPr>
        <w:spacing w:line="360" w:lineRule="auto"/>
        <w:jc w:val="lowKashida"/>
        <w:rPr>
          <w:rFonts w:ascii="Simplified Arabic" w:hAnsi="Simplified Arabic" w:cs="Simplified Arabic"/>
          <w:sz w:val="28"/>
          <w:szCs w:val="28"/>
          <w:rtl/>
        </w:rPr>
      </w:pPr>
    </w:p>
    <w:p w14:paraId="4560DA8C" w14:textId="211F89B4" w:rsidR="00C16EB9" w:rsidRPr="00C16EB9" w:rsidRDefault="00C16EB9" w:rsidP="0036009C">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فقد كشف الشريف (2019) في دراسته التطبيقية على قطاع التأمين السعودي أن هذا التحول لا يزال في حاجة إلى تطوير واسع من حيث شمولية الخدمات وتنوعها، وأن معظم الشركات لا تزال في مراحل مبكرة من مسيرتها الرقمية. ومن هنا تتبلور مشكلة هذه الدراسة في السؤال المحوري التالي: ما مدى تأثير التحول الرقمي على الكفاءة التشغيلية وجودة الخدمات ورضا العملاء في شركات التأمين بالمملكة العربية السعودية، وكيف يتجلى هذا التأثير في ظل المتغيرات البيئية والتنظيمية الراهنة؟ (بصاص وعدة، 2024؛ حمادي، 2019)</w:t>
      </w:r>
      <w:r w:rsidRPr="00C16EB9">
        <w:rPr>
          <w:rFonts w:ascii="Simplified Arabic" w:hAnsi="Simplified Arabic" w:cs="Simplified Arabic"/>
          <w:sz w:val="28"/>
          <w:szCs w:val="28"/>
        </w:rPr>
        <w:t>.</w:t>
      </w:r>
    </w:p>
    <w:p w14:paraId="2FAD06ED" w14:textId="77777777" w:rsidR="00C16EB9" w:rsidRPr="00C16EB9" w:rsidRDefault="00C16EB9" w:rsidP="0036009C">
      <w:pPr>
        <w:pStyle w:val="Heading2"/>
      </w:pPr>
      <w:bookmarkStart w:id="3" w:name="_Toc234430597"/>
      <w:r w:rsidRPr="00C16EB9">
        <w:rPr>
          <w:rtl/>
        </w:rPr>
        <w:t>أهداف الدراسة</w:t>
      </w:r>
      <w:bookmarkEnd w:id="3"/>
    </w:p>
    <w:p w14:paraId="1BEF7250" w14:textId="4EC3F908"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تسعى هذه الدراسة بصورة رئيسية إلى تحليل تأثير التحول الرقمي على قطاع التأمين في المملكة العربية السعودية عبر أبعاد متعددة ومتكاملة، وذلك انطلاقاً من الإطار المعرفي المتراكم في الأدبيات العربية والدولية المتعلقة بهذا الموضوع (الغامدي وآخرون، 2024)</w:t>
      </w:r>
      <w:r w:rsidRPr="00C16EB9">
        <w:rPr>
          <w:rFonts w:ascii="Simplified Arabic" w:hAnsi="Simplified Arabic" w:cs="Simplified Arabic"/>
          <w:sz w:val="28"/>
          <w:szCs w:val="28"/>
        </w:rPr>
        <w:t>.</w:t>
      </w:r>
      <w:r w:rsidR="0036009C" w:rsidRPr="00C16EB9">
        <w:rPr>
          <w:rFonts w:ascii="Simplified Arabic" w:hAnsi="Simplified Arabic" w:cs="Simplified Arabic"/>
          <w:sz w:val="28"/>
          <w:szCs w:val="28"/>
        </w:rPr>
        <w:t xml:space="preserve"> </w:t>
      </w:r>
    </w:p>
    <w:p w14:paraId="4C013417" w14:textId="77777777"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وتتوزع الأهداف الفرعية للدراسة على النحو الآتي</w:t>
      </w:r>
      <w:r w:rsidRPr="00C16EB9">
        <w:rPr>
          <w:rFonts w:ascii="Simplified Arabic" w:hAnsi="Simplified Arabic" w:cs="Simplified Arabic"/>
          <w:sz w:val="28"/>
          <w:szCs w:val="28"/>
        </w:rPr>
        <w:t>:</w:t>
      </w:r>
    </w:p>
    <w:p w14:paraId="653825B4" w14:textId="77777777" w:rsidR="00C16EB9" w:rsidRPr="00C16EB9" w:rsidRDefault="00C16EB9">
      <w:pPr>
        <w:numPr>
          <w:ilvl w:val="0"/>
          <w:numId w:val="1"/>
        </w:num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t>قياس مستوى تطبيق التحول الرقمي</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رصد مستوى تبني شركات التأمين السعودية للتقنيات الرقمية الحديثة وتحديد درجة جاهزيتها للتعامل مع متطلبات البيئة الرقمية المتطورة</w:t>
      </w:r>
      <w:r w:rsidRPr="00C16EB9">
        <w:rPr>
          <w:rFonts w:ascii="Simplified Arabic" w:hAnsi="Simplified Arabic" w:cs="Simplified Arabic"/>
          <w:sz w:val="28"/>
          <w:szCs w:val="28"/>
        </w:rPr>
        <w:t>.</w:t>
      </w:r>
    </w:p>
    <w:p w14:paraId="360B51F1" w14:textId="77777777" w:rsidR="00C16EB9" w:rsidRPr="00C16EB9" w:rsidRDefault="00C16EB9">
      <w:pPr>
        <w:numPr>
          <w:ilvl w:val="0"/>
          <w:numId w:val="1"/>
        </w:num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t>تقييم الأثر على الكفاءة التشغيلية</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قياس مدى إسهام التقنيات الرقمية في خفض التكاليف التشغيلية، وتسريع إجراءات التسوية والاكتتاب، وتحسين دقة العمليات الداخلية، وفق ما أشارت إليه دراسة سالمي</w:t>
      </w:r>
      <w:r w:rsidRPr="00C16EB9">
        <w:rPr>
          <w:rFonts w:ascii="Simplified Arabic" w:hAnsi="Simplified Arabic" w:cs="Simplified Arabic"/>
          <w:sz w:val="28"/>
          <w:szCs w:val="28"/>
        </w:rPr>
        <w:t xml:space="preserve"> (2022).</w:t>
      </w:r>
    </w:p>
    <w:p w14:paraId="6B536570" w14:textId="77777777" w:rsidR="00C16EB9" w:rsidRPr="00C16EB9" w:rsidRDefault="00C16EB9">
      <w:pPr>
        <w:numPr>
          <w:ilvl w:val="0"/>
          <w:numId w:val="1"/>
        </w:num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t>تحليل الأثر على جودة الخدمات</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دراسة مدى تحسّن سرعة تقديم الخدمات وسهولة الوصول إليها ومستوى الدقة في تنفيذها في ظل التحول الرقمي، استناداً إلى ما توصلت إليه دراسة حمادي (2019) وزيدان وبوجلال</w:t>
      </w:r>
      <w:r w:rsidRPr="00C16EB9">
        <w:rPr>
          <w:rFonts w:ascii="Simplified Arabic" w:hAnsi="Simplified Arabic" w:cs="Simplified Arabic"/>
          <w:sz w:val="28"/>
          <w:szCs w:val="28"/>
        </w:rPr>
        <w:t xml:space="preserve"> (2020).</w:t>
      </w:r>
    </w:p>
    <w:p w14:paraId="79676030" w14:textId="77777777" w:rsidR="00C16EB9" w:rsidRPr="00C16EB9" w:rsidRDefault="00C16EB9">
      <w:pPr>
        <w:numPr>
          <w:ilvl w:val="0"/>
          <w:numId w:val="1"/>
        </w:num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lastRenderedPageBreak/>
        <w:t>دراسة الأثر على رضا العملاء</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استكشاف مدى تقبّل العملاء للخدمات التأمينية الرقمية ومستوى رضاهم عنها وأثر ذلك على ولائهم وثقتهم في الشركات، على نحو ما أكدته دراسة حمودة وعواودة</w:t>
      </w:r>
      <w:r w:rsidRPr="00C16EB9">
        <w:rPr>
          <w:rFonts w:ascii="Simplified Arabic" w:hAnsi="Simplified Arabic" w:cs="Simplified Arabic"/>
          <w:sz w:val="28"/>
          <w:szCs w:val="28"/>
        </w:rPr>
        <w:t xml:space="preserve"> (2021).</w:t>
      </w:r>
    </w:p>
    <w:p w14:paraId="0DE1FDDD" w14:textId="3792E5AC" w:rsidR="00C16EB9" w:rsidRPr="00C16EB9" w:rsidRDefault="00C16EB9">
      <w:pPr>
        <w:numPr>
          <w:ilvl w:val="0"/>
          <w:numId w:val="1"/>
        </w:num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t>تحديد التحديات والعوائق</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الكشف عن أبرز العوائق التقنية والتنظيمية والبشرية التي تقيّد تطبيق التحول الرقمي داخل شركات التأمين السعودية، استناداً إلى نتائج العنزي وآخرون</w:t>
      </w:r>
      <w:r w:rsidRPr="00C16EB9">
        <w:rPr>
          <w:rFonts w:ascii="Simplified Arabic" w:hAnsi="Simplified Arabic" w:cs="Simplified Arabic"/>
          <w:sz w:val="28"/>
          <w:szCs w:val="28"/>
        </w:rPr>
        <w:t xml:space="preserve"> (2026).</w:t>
      </w:r>
    </w:p>
    <w:p w14:paraId="481C2760" w14:textId="1981D7D8" w:rsidR="00C16EB9" w:rsidRPr="0036009C" w:rsidRDefault="00C16EB9">
      <w:pPr>
        <w:numPr>
          <w:ilvl w:val="0"/>
          <w:numId w:val="1"/>
        </w:num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t>تقديم توصيات استراتيجية</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صياغة توصيات علمية مستندة إلى نتائج الدراسة تساعد شركات التأمين على تطوير استراتيجياتها الرقمية وتحقيق تحول مستدام يعزز قدرتها التنافسية</w:t>
      </w:r>
      <w:r w:rsidRPr="00C16EB9">
        <w:rPr>
          <w:rFonts w:ascii="Simplified Arabic" w:hAnsi="Simplified Arabic" w:cs="Simplified Arabic"/>
          <w:sz w:val="28"/>
          <w:szCs w:val="28"/>
        </w:rPr>
        <w:t>.</w:t>
      </w:r>
    </w:p>
    <w:p w14:paraId="7B1F6829" w14:textId="77777777" w:rsidR="00C16EB9" w:rsidRPr="00C16EB9" w:rsidRDefault="00C16EB9" w:rsidP="0036009C">
      <w:pPr>
        <w:pStyle w:val="Heading2"/>
      </w:pPr>
      <w:bookmarkStart w:id="4" w:name="_Toc234430598"/>
      <w:r w:rsidRPr="00C16EB9">
        <w:rPr>
          <w:rtl/>
        </w:rPr>
        <w:t>أهمية الدراسة</w:t>
      </w:r>
      <w:bookmarkEnd w:id="4"/>
    </w:p>
    <w:p w14:paraId="7EEBE85F" w14:textId="77777777" w:rsidR="00C16EB9" w:rsidRPr="00C16EB9" w:rsidRDefault="00C16EB9" w:rsidP="0036009C">
      <w:pPr>
        <w:pStyle w:val="Heading2"/>
      </w:pPr>
      <w:bookmarkStart w:id="5" w:name="_Toc234430599"/>
      <w:r w:rsidRPr="00C16EB9">
        <w:rPr>
          <w:rtl/>
        </w:rPr>
        <w:t>الأهمية العلمية</w:t>
      </w:r>
      <w:bookmarkEnd w:id="5"/>
    </w:p>
    <w:p w14:paraId="3B3E91E7" w14:textId="0B11C9A4" w:rsidR="00C16EB9" w:rsidRDefault="00C16EB9" w:rsidP="0036009C">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تسهم هذه الدراسة في إثراء المعرفة الأكاديمية في مجال التحول الرقمي بقطاع التأمين من زاوية البيئة السعودية التي ظلت غائبة إلى حد بعيد عن الاهتمام البحثي المنهجي. فقد أجمعت الدراسات السابقة على ندرة البحوث التطبيقية التي تناولت هذا التقاطع بين التحول الرقمي وأداء قطاع التأمين في سياق عربي بوجه عام، وسعودي على وجه الخصوص. وقد نبّه بن عبدالرحمان وآخرون (2024) صراحةً إلى هذه الفجوة البحثية معتبرين إياها أحد الدوافع الجوهرية للنظر في هذا الملف بجدية أكاديمية أعمق. كما تقدّم الدراسة الحالية إطاراً نظرياً متكاملاً يجمع بين نظريات تبني التكنولوجيا ونظريات جودة الخدمة ورضا العملاء في سياق تكاملي، مما يمثّل إضافة منهجية للأدبيات ذات الصلة (الجنيد وآخرون، 2025)</w:t>
      </w:r>
      <w:r w:rsidRPr="00C16EB9">
        <w:rPr>
          <w:rFonts w:ascii="Simplified Arabic" w:hAnsi="Simplified Arabic" w:cs="Simplified Arabic"/>
          <w:sz w:val="28"/>
          <w:szCs w:val="28"/>
        </w:rPr>
        <w:t>.</w:t>
      </w:r>
    </w:p>
    <w:p w14:paraId="19808766" w14:textId="77777777" w:rsidR="0036009C" w:rsidRPr="00C16EB9" w:rsidRDefault="0036009C" w:rsidP="0036009C">
      <w:pPr>
        <w:spacing w:line="360" w:lineRule="auto"/>
        <w:jc w:val="lowKashida"/>
        <w:rPr>
          <w:rFonts w:ascii="Simplified Arabic" w:hAnsi="Simplified Arabic" w:cs="Simplified Arabic"/>
          <w:sz w:val="28"/>
          <w:szCs w:val="28"/>
        </w:rPr>
      </w:pPr>
    </w:p>
    <w:p w14:paraId="6A701B77" w14:textId="3E571D6F"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كذلك تفتح هذه الدراسة أفقاً بحثياً جديداً لدراسات مستقبلية تتمحور حول العلاقة بين التحول الرقمي وإدارة المخاطر التأمينية والامتثال التنظيمي، وهو ما أشارت إليه دراسة العنزي وآخرون (2026) بوصفه مجالاً بحثياً واعداً يتسم بالندرة في الأدبيات العربية. وبالتالي يمكن اعتبار هذه الدراسة حجر أساس في بناء منظومة معرفية أكثر نضجاً وتراكماً حول التحول الرقمي في المؤسسات التأمينية بمنطقة الخليج العربي</w:t>
      </w:r>
      <w:r w:rsidRPr="00C16EB9">
        <w:rPr>
          <w:rFonts w:ascii="Simplified Arabic" w:hAnsi="Simplified Arabic" w:cs="Simplified Arabic"/>
          <w:sz w:val="28"/>
          <w:szCs w:val="28"/>
        </w:rPr>
        <w:t>.</w:t>
      </w:r>
      <w:r w:rsidR="0036009C" w:rsidRPr="00C16EB9">
        <w:rPr>
          <w:rFonts w:ascii="Simplified Arabic" w:hAnsi="Simplified Arabic" w:cs="Simplified Arabic"/>
          <w:sz w:val="28"/>
          <w:szCs w:val="28"/>
        </w:rPr>
        <w:t xml:space="preserve"> </w:t>
      </w:r>
    </w:p>
    <w:p w14:paraId="69DA882F" w14:textId="77777777" w:rsidR="00C16EB9" w:rsidRPr="00C16EB9" w:rsidRDefault="00C16EB9" w:rsidP="0036009C">
      <w:pPr>
        <w:pStyle w:val="Heading2"/>
      </w:pPr>
      <w:bookmarkStart w:id="6" w:name="_Toc234430600"/>
      <w:r w:rsidRPr="00C16EB9">
        <w:rPr>
          <w:rtl/>
        </w:rPr>
        <w:t>الأهمية التطبيقية</w:t>
      </w:r>
      <w:bookmarkEnd w:id="6"/>
    </w:p>
    <w:p w14:paraId="7FA758C0" w14:textId="7B4F0AB9"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على الصعيد التطبيقي، تقدّم هذه الدراسة رصيداً من المعلومات العلمية الموثوقة التي يمكن لشركات التأمين الاستناد إليها في صياغة خططها التطويرية ومراجعة استراتيجياتها الرقمية. فنتائج الدراسة ستسلّط الضوء على الجوانب التي تحتاج إلى تعزيز أو معالجة، مما يمكّن مديري هذه الشركات من اتخاذ قرارات مبنية على بيانات وأدلة علمية موثوقة بدلاً من الاستناد إلى التقديرات الذاتية أو المعطيات غير المنهجية، وهو ما أكدته دراسة الغامدي وآخرون (2024) في سياق مؤسسات الخدمات السعودية</w:t>
      </w:r>
    </w:p>
    <w:p w14:paraId="18040D54" w14:textId="1B0A86C4" w:rsidR="00C16EB9" w:rsidRPr="00C16EB9" w:rsidRDefault="00C16EB9" w:rsidP="0036009C">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كما تشكّل نتائج هذه الدراسة مرجعاً مفيداً لصانعي السياسات والجهات التنظيمية كمؤسسة النقد العربي السعودي (ساما) في وضع سياسات محفِّزة للتحول الرقمي في قطاع التأمين تراعي التوازن بين الإبداع التقني ومتطلبات الامتثال التنظيمي والاستقرار المالي. وبالمثل، تتجلى الأهمية التطبيقية في البعد المتعلق بتجربة العملاء، إذ ستتيح نتائجها للشركات تفهم احتياجات عملائها وتوقعاتهم من الخدمات الرقمية بصورة أكثر دقة، مما ينعكس إيجاباً على مستوى رضاهم وتعزيز ولائهم للشركة (حمودة وعواودة، 2021؛ الجنيد وآخرون، 2025)</w:t>
      </w:r>
      <w:r w:rsidRPr="00C16EB9">
        <w:rPr>
          <w:rFonts w:ascii="Simplified Arabic" w:hAnsi="Simplified Arabic" w:cs="Simplified Arabic"/>
          <w:sz w:val="28"/>
          <w:szCs w:val="28"/>
        </w:rPr>
        <w:t>.</w:t>
      </w:r>
      <w:r w:rsidR="0036009C" w:rsidRPr="00C16EB9">
        <w:rPr>
          <w:rFonts w:ascii="Simplified Arabic" w:hAnsi="Simplified Arabic" w:cs="Simplified Arabic"/>
          <w:sz w:val="28"/>
          <w:szCs w:val="28"/>
        </w:rPr>
        <w:t xml:space="preserve"> </w:t>
      </w:r>
    </w:p>
    <w:p w14:paraId="6E800C34" w14:textId="77777777" w:rsidR="00C16EB9" w:rsidRPr="00C16EB9" w:rsidRDefault="00C16EB9" w:rsidP="0036009C">
      <w:pPr>
        <w:pStyle w:val="Heading2"/>
      </w:pPr>
      <w:bookmarkStart w:id="7" w:name="_Toc234430601"/>
      <w:r w:rsidRPr="00C16EB9">
        <w:rPr>
          <w:rtl/>
        </w:rPr>
        <w:lastRenderedPageBreak/>
        <w:t>تساؤلات الدراسة</w:t>
      </w:r>
      <w:bookmarkEnd w:id="7"/>
    </w:p>
    <w:p w14:paraId="41612C0A" w14:textId="77777777"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في ضوء مشكلة الدراسة وأهدافها، تسعى هذه الدراسة إلى الإجابة عن التساؤل الرئيسي الآتي: ما تأثير التحول الرقمي على أداء قطاع التأمين في المملكة العربية السعودية من حيث الكفاءة التشغيلية وجودة الخدمات ورضا العملاء؟</w:t>
      </w:r>
    </w:p>
    <w:p w14:paraId="47E34CEE" w14:textId="77777777"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وتتفرع عن هذا التساؤل الرئيسي مجموعة من التساؤلات الفرعية</w:t>
      </w:r>
      <w:r w:rsidRPr="00C16EB9">
        <w:rPr>
          <w:rFonts w:ascii="Simplified Arabic" w:hAnsi="Simplified Arabic" w:cs="Simplified Arabic"/>
          <w:sz w:val="28"/>
          <w:szCs w:val="28"/>
        </w:rPr>
        <w:t>:</w:t>
      </w:r>
    </w:p>
    <w:p w14:paraId="760B235E" w14:textId="77777777" w:rsidR="00C16EB9" w:rsidRPr="00C16EB9" w:rsidRDefault="00C16EB9">
      <w:pPr>
        <w:numPr>
          <w:ilvl w:val="0"/>
          <w:numId w:val="2"/>
        </w:num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ما مستوى تطبيق التحول الرقمي في شركات التأمين بالمملكة العربية السعودية من وجهة نظر المستفيدين؟</w:t>
      </w:r>
    </w:p>
    <w:p w14:paraId="2458D658" w14:textId="7DE0CC37" w:rsidR="00C16EB9" w:rsidRPr="00C16EB9" w:rsidRDefault="00C16EB9">
      <w:pPr>
        <w:numPr>
          <w:ilvl w:val="0"/>
          <w:numId w:val="2"/>
        </w:num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هل يسهم التحول الرقمي في تحسين الكفاءة التشغيلية لشركات التأمين من خلال تقليل الوقت والجهد المبذول في إنجاز المعاملات؟</w:t>
      </w:r>
    </w:p>
    <w:p w14:paraId="7F23B7EB" w14:textId="77777777" w:rsidR="00C16EB9" w:rsidRPr="00C16EB9" w:rsidRDefault="00C16EB9">
      <w:pPr>
        <w:numPr>
          <w:ilvl w:val="0"/>
          <w:numId w:val="2"/>
        </w:num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ما أثر التحول الرقمي على جودة الخدمات التأمينية المقدمة للعملاء من حيث السرعة والدقة وسهولة الوصول؟</w:t>
      </w:r>
    </w:p>
    <w:p w14:paraId="1853BD4A" w14:textId="77777777" w:rsidR="00C16EB9" w:rsidRPr="00C16EB9" w:rsidRDefault="00C16EB9">
      <w:pPr>
        <w:numPr>
          <w:ilvl w:val="0"/>
          <w:numId w:val="2"/>
        </w:num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هل يرتبط مستوى تطبيق التحول الرقمي ارتباطاً ذا دلالة إحصائية بمستوى رضا العملاء عن الخدمات التأمينية؟</w:t>
      </w:r>
    </w:p>
    <w:p w14:paraId="5F9190BB" w14:textId="77777777" w:rsidR="00C16EB9" w:rsidRPr="00C16EB9" w:rsidRDefault="00C16EB9">
      <w:pPr>
        <w:numPr>
          <w:ilvl w:val="0"/>
          <w:numId w:val="2"/>
        </w:num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ما أبرز التحديات التي تواجه شركات التأمين السعودية في مسيرة التحول الرقمي، وهل تختلف هذه التحديات باختلاف حجم الشركة أو نوع خدماتها؟</w:t>
      </w:r>
    </w:p>
    <w:p w14:paraId="6E6A2F65" w14:textId="340750F8" w:rsidR="00C16EB9" w:rsidRPr="00C16EB9" w:rsidRDefault="00C16EB9">
      <w:pPr>
        <w:numPr>
          <w:ilvl w:val="0"/>
          <w:numId w:val="2"/>
        </w:num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هل يسهم استخدام التطبيقات والمنصات الرقمية في تقليل معدلات الأخطاء التشغيلية وتعزيز دقة العمليات داخل شركات التأمين؟</w:t>
      </w:r>
    </w:p>
    <w:p w14:paraId="7AA9313F" w14:textId="073FDFE0"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وقد تمحورت هذه التساؤلات حول المتغيرات الرئيسية للدراسة (التحول الرقمي، الكفاءة التشغيلية، جودة الخدمات، رضا العملاء)، استناداً إلى الأدبيات المتخصصة التي نوّهت بأهمية هذه المتغيرات في سياق التحول الرقمي للمؤسسات الخدمية (بصاص وعدة، 2024؛ زيدان وبوجلال، 2020)</w:t>
      </w:r>
      <w:r w:rsidRPr="00C16EB9">
        <w:rPr>
          <w:rFonts w:ascii="Simplified Arabic" w:hAnsi="Simplified Arabic" w:cs="Simplified Arabic"/>
          <w:sz w:val="28"/>
          <w:szCs w:val="28"/>
        </w:rPr>
        <w:t>.</w:t>
      </w:r>
    </w:p>
    <w:p w14:paraId="0B4A2967" w14:textId="77777777" w:rsidR="00C16EB9" w:rsidRPr="00C16EB9" w:rsidRDefault="00C16EB9" w:rsidP="0036009C">
      <w:pPr>
        <w:pStyle w:val="Heading2"/>
      </w:pPr>
      <w:bookmarkStart w:id="8" w:name="_Toc234430602"/>
      <w:r w:rsidRPr="00C16EB9">
        <w:rPr>
          <w:rtl/>
        </w:rPr>
        <w:t>فرضيات الدراسة</w:t>
      </w:r>
      <w:bookmarkEnd w:id="8"/>
    </w:p>
    <w:p w14:paraId="37230E43" w14:textId="77777777"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استناداً إلى مراجعة الأدبيات السابقة ومنطلقات الإطار النظري للدراسة، يمكن صياغة الفرضيات التالية</w:t>
      </w:r>
      <w:r w:rsidRPr="00C16EB9">
        <w:rPr>
          <w:rFonts w:ascii="Simplified Arabic" w:hAnsi="Simplified Arabic" w:cs="Simplified Arabic"/>
          <w:sz w:val="28"/>
          <w:szCs w:val="28"/>
        </w:rPr>
        <w:t>:</w:t>
      </w:r>
    </w:p>
    <w:p w14:paraId="56E702DF" w14:textId="77777777" w:rsidR="00C16EB9" w:rsidRPr="00C16EB9" w:rsidRDefault="00C16EB9" w:rsidP="0036009C">
      <w:pPr>
        <w:spacing w:line="360" w:lineRule="auto"/>
        <w:rPr>
          <w:rFonts w:ascii="Simplified Arabic" w:hAnsi="Simplified Arabic" w:cs="Simplified Arabic"/>
          <w:sz w:val="28"/>
          <w:szCs w:val="28"/>
        </w:rPr>
      </w:pPr>
      <w:r w:rsidRPr="00C16EB9">
        <w:rPr>
          <w:rFonts w:ascii="Simplified Arabic" w:hAnsi="Simplified Arabic" w:cs="Simplified Arabic"/>
          <w:b/>
          <w:bCs/>
          <w:sz w:val="28"/>
          <w:szCs w:val="28"/>
          <w:rtl/>
        </w:rPr>
        <w:t>الفرضية الرئيسية</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br/>
      </w:r>
      <w:r w:rsidRPr="00C16EB9">
        <w:rPr>
          <w:rFonts w:ascii="Simplified Arabic" w:hAnsi="Simplified Arabic" w:cs="Simplified Arabic"/>
          <w:sz w:val="28"/>
          <w:szCs w:val="28"/>
          <w:rtl/>
        </w:rPr>
        <w:t>توجد علاقة تأثير ذات دلالة إحصائية للتحول الرقمي على أداء قطاع التأمين في المملكة العربية السعودية</w:t>
      </w:r>
      <w:r w:rsidRPr="00C16EB9">
        <w:rPr>
          <w:rFonts w:ascii="Simplified Arabic" w:hAnsi="Simplified Arabic" w:cs="Simplified Arabic"/>
          <w:sz w:val="28"/>
          <w:szCs w:val="28"/>
        </w:rPr>
        <w:t>.</w:t>
      </w:r>
    </w:p>
    <w:p w14:paraId="7765F961" w14:textId="77777777"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وتتفرع منها الفرضيات التالية</w:t>
      </w:r>
      <w:r w:rsidRPr="00C16EB9">
        <w:rPr>
          <w:rFonts w:ascii="Simplified Arabic" w:hAnsi="Simplified Arabic" w:cs="Simplified Arabic"/>
          <w:sz w:val="28"/>
          <w:szCs w:val="28"/>
        </w:rPr>
        <w:t>:</w:t>
      </w:r>
    </w:p>
    <w:p w14:paraId="1E1CEC4F" w14:textId="556B2E39" w:rsidR="00C16EB9" w:rsidRPr="00C16EB9" w:rsidRDefault="00C16EB9">
      <w:pPr>
        <w:numPr>
          <w:ilvl w:val="0"/>
          <w:numId w:val="3"/>
        </w:num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t>الفرضية الفرعية الأولى</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يوجد تأثير إيجابي ذو دلالة إحصائية للتحول الرقمي على الكفاءة التشغيلية في شركات التأمين السعودية، وهو ما يتوافق مع ما خلص إليه سالمي (2022) في دراسته التي أكدت أن تطبيق تكنولوجيا المعلومات يحسّن الأداء المؤسسي وفق مقاييس بطاقة الأداء المتوازن</w:t>
      </w:r>
      <w:r w:rsidRPr="00C16EB9">
        <w:rPr>
          <w:rFonts w:ascii="Simplified Arabic" w:hAnsi="Simplified Arabic" w:cs="Simplified Arabic"/>
          <w:sz w:val="28"/>
          <w:szCs w:val="28"/>
        </w:rPr>
        <w:t>.</w:t>
      </w:r>
    </w:p>
    <w:p w14:paraId="56A26618" w14:textId="25B65DAF" w:rsidR="00C16EB9" w:rsidRPr="00C16EB9" w:rsidRDefault="00C16EB9">
      <w:pPr>
        <w:numPr>
          <w:ilvl w:val="0"/>
          <w:numId w:val="3"/>
        </w:num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t>الفرضية الفرعية الثانية</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يوجد تأثير إيجابي ذو دلالة إحصائية للتحول الرقمي على جودة الخدمات التأمينية المقدمة، وهو ما يتسق مع نتائج حمادي (2019) وزيدان وبوجلال (2020) اللذين أكدا أن تكنولوجيا المعلومات تحسّن جودة الخدمات في القطاعات الخدمية</w:t>
      </w:r>
      <w:r w:rsidRPr="00C16EB9">
        <w:rPr>
          <w:rFonts w:ascii="Simplified Arabic" w:hAnsi="Simplified Arabic" w:cs="Simplified Arabic"/>
          <w:sz w:val="28"/>
          <w:szCs w:val="28"/>
        </w:rPr>
        <w:t>.</w:t>
      </w:r>
    </w:p>
    <w:p w14:paraId="2F3386EE" w14:textId="6543B3D6" w:rsidR="00C16EB9" w:rsidRPr="00C16EB9" w:rsidRDefault="00C16EB9">
      <w:pPr>
        <w:numPr>
          <w:ilvl w:val="0"/>
          <w:numId w:val="3"/>
        </w:num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t>الفرضية الفرعية الثالثة</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 xml:space="preserve">يوجد تأثير إيجابي ذو دلالة إحصائية للتحول الرقمي على مستوى رضا العملاء في قطاع التأمين السعودي، وهو ما أثبتته دراسة حمودة وعواودة (2021) في </w:t>
      </w:r>
      <w:r w:rsidRPr="00C16EB9">
        <w:rPr>
          <w:rFonts w:ascii="Simplified Arabic" w:hAnsi="Simplified Arabic" w:cs="Simplified Arabic"/>
          <w:sz w:val="28"/>
          <w:szCs w:val="28"/>
          <w:rtl/>
        </w:rPr>
        <w:lastRenderedPageBreak/>
        <w:t>السياق الأردني التي كشفت أن التسويق الإلكتروني لشركات التأمين يسهم بصورة ملموسة في تعزيز رضا العملاء</w:t>
      </w:r>
      <w:r w:rsidRPr="00C16EB9">
        <w:rPr>
          <w:rFonts w:ascii="Simplified Arabic" w:hAnsi="Simplified Arabic" w:cs="Simplified Arabic"/>
          <w:sz w:val="28"/>
          <w:szCs w:val="28"/>
        </w:rPr>
        <w:t>.</w:t>
      </w:r>
    </w:p>
    <w:p w14:paraId="66CC14A0" w14:textId="7156FEB8" w:rsidR="00C16EB9" w:rsidRPr="00C16EB9" w:rsidRDefault="00C16EB9">
      <w:pPr>
        <w:numPr>
          <w:ilvl w:val="0"/>
          <w:numId w:val="3"/>
        </w:num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t>الفرضية الفرعية الرابعة</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يوجد تأثير ذو دلالة إحصائية لمستوى استخدام التقنيات الرقمية على تحسين تجربة العملاء وزيادة ثقتهم في الخدمات التأمينية، استناداً إلى ما أكده بن عبدالرحمان وآخرون (2024) في دراسة سوق التأمين التكافلي السعودي</w:t>
      </w:r>
      <w:r w:rsidRPr="00C16EB9">
        <w:rPr>
          <w:rFonts w:ascii="Simplified Arabic" w:hAnsi="Simplified Arabic" w:cs="Simplified Arabic"/>
          <w:sz w:val="28"/>
          <w:szCs w:val="28"/>
        </w:rPr>
        <w:t>.</w:t>
      </w:r>
    </w:p>
    <w:p w14:paraId="3E4038DC" w14:textId="3176BADA" w:rsidR="00C16EB9" w:rsidRPr="00C16EB9" w:rsidRDefault="00C16EB9">
      <w:pPr>
        <w:numPr>
          <w:ilvl w:val="0"/>
          <w:numId w:val="3"/>
        </w:num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t>الفرضية الفرعية الخامسة</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يوجد تأثير ذو دلالة إحصائية للتحول الرقمي على خفض معدلات الأخطاء التشغيلية في شركات التأمين، بما تتيحه الأنظمة الآلية من معالجة دقيقة لا تعتمد على الإدخال اليدوي</w:t>
      </w:r>
      <w:r w:rsidRPr="00C16EB9">
        <w:rPr>
          <w:rFonts w:ascii="Simplified Arabic" w:hAnsi="Simplified Arabic" w:cs="Simplified Arabic"/>
          <w:sz w:val="28"/>
          <w:szCs w:val="28"/>
        </w:rPr>
        <w:t>.</w:t>
      </w:r>
    </w:p>
    <w:p w14:paraId="56E14ECF" w14:textId="32EB0727" w:rsidR="00C16EB9" w:rsidRPr="0036009C" w:rsidRDefault="00C16EB9">
      <w:pPr>
        <w:numPr>
          <w:ilvl w:val="0"/>
          <w:numId w:val="3"/>
        </w:num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t>الفرضية الفرعية السادسة</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يوجد تأثير ذو دلالة إحصائية للتحول الرقمي على تسريع إنجاز المعاملات التأمينية وتقليل الوقت اللازم لإتمامها، بما يعكس كفاءة أعلى في منظومة تقديم الخدمة</w:t>
      </w:r>
      <w:r w:rsidRPr="00C16EB9">
        <w:rPr>
          <w:rFonts w:ascii="Simplified Arabic" w:hAnsi="Simplified Arabic" w:cs="Simplified Arabic"/>
          <w:sz w:val="28"/>
          <w:szCs w:val="28"/>
        </w:rPr>
        <w:t>.</w:t>
      </w:r>
    </w:p>
    <w:p w14:paraId="1C993471" w14:textId="77777777" w:rsidR="00C16EB9" w:rsidRPr="00C16EB9" w:rsidRDefault="00C16EB9" w:rsidP="0036009C">
      <w:pPr>
        <w:pStyle w:val="Heading2"/>
      </w:pPr>
      <w:bookmarkStart w:id="9" w:name="_Toc234430603"/>
      <w:r w:rsidRPr="00C16EB9">
        <w:rPr>
          <w:rtl/>
        </w:rPr>
        <w:t>الإطار النظري</w:t>
      </w:r>
      <w:bookmarkEnd w:id="9"/>
    </w:p>
    <w:p w14:paraId="3C7D9357" w14:textId="7D7E215B"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يرتكز الإطار النظري لهذه الدراسة على منظومة متكاملة من النظريات العلمية الراسخة التي تفسّر طبيعة التحول الرقمي وآليات تأثيره على أداء المؤسسات الخدمية، ولا سيما قطاع التأمين. وفيما يلي عرض وافٍ لهذه النظريات ومبرّرات توظيفها في هذا السياق البحثي</w:t>
      </w:r>
      <w:r w:rsidRPr="00C16EB9">
        <w:rPr>
          <w:rFonts w:ascii="Simplified Arabic" w:hAnsi="Simplified Arabic" w:cs="Simplified Arabic"/>
          <w:sz w:val="28"/>
          <w:szCs w:val="28"/>
        </w:rPr>
        <w:t>.</w:t>
      </w:r>
    </w:p>
    <w:p w14:paraId="388A449A"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أولاً: نظرية تبني التكنولوجيا</w:t>
      </w:r>
      <w:r w:rsidRPr="00C16EB9">
        <w:rPr>
          <w:rFonts w:ascii="Simplified Arabic" w:hAnsi="Simplified Arabic" w:cs="Simplified Arabic"/>
          <w:b/>
          <w:bCs/>
          <w:sz w:val="28"/>
          <w:szCs w:val="28"/>
        </w:rPr>
        <w:t xml:space="preserve"> (Technology Acceptance Model – TAM)</w:t>
      </w:r>
    </w:p>
    <w:p w14:paraId="2B76932D" w14:textId="4F903179"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تعدّ هذه النظرية من أكثر النظريات استخداماً في مجال قبول التقنيات داخل المؤسسات، وترتكز على مسلّمة مفادها أن سلوك الفرد نحو تبني تقنية ما يتحدد بمتغيرَين جوهريَّين: الفائدة المدركة</w:t>
      </w:r>
      <w:r w:rsidRPr="00C16EB9">
        <w:rPr>
          <w:rFonts w:ascii="Simplified Arabic" w:hAnsi="Simplified Arabic" w:cs="Simplified Arabic"/>
          <w:sz w:val="28"/>
          <w:szCs w:val="28"/>
        </w:rPr>
        <w:t xml:space="preserve"> (Perceived </w:t>
      </w:r>
      <w:r w:rsidRPr="00C16EB9">
        <w:rPr>
          <w:rFonts w:ascii="Simplified Arabic" w:hAnsi="Simplified Arabic" w:cs="Simplified Arabic"/>
          <w:sz w:val="28"/>
          <w:szCs w:val="28"/>
        </w:rPr>
        <w:lastRenderedPageBreak/>
        <w:t xml:space="preserve">Usefulness) </w:t>
      </w:r>
      <w:r w:rsidRPr="00C16EB9">
        <w:rPr>
          <w:rFonts w:ascii="Simplified Arabic" w:hAnsi="Simplified Arabic" w:cs="Simplified Arabic"/>
          <w:sz w:val="28"/>
          <w:szCs w:val="28"/>
          <w:rtl/>
        </w:rPr>
        <w:t>وسهولة الاستخدام المدركة</w:t>
      </w:r>
      <w:r w:rsidRPr="00C16EB9">
        <w:rPr>
          <w:rFonts w:ascii="Simplified Arabic" w:hAnsi="Simplified Arabic" w:cs="Simplified Arabic"/>
          <w:sz w:val="28"/>
          <w:szCs w:val="28"/>
        </w:rPr>
        <w:t xml:space="preserve"> (Perceived Ease of Use). </w:t>
      </w:r>
      <w:r w:rsidRPr="00C16EB9">
        <w:rPr>
          <w:rFonts w:ascii="Simplified Arabic" w:hAnsi="Simplified Arabic" w:cs="Simplified Arabic"/>
          <w:sz w:val="28"/>
          <w:szCs w:val="28"/>
          <w:rtl/>
        </w:rPr>
        <w:t>وفي إطار هذه الدراسة، توظَّف هذه النظرية لفهم مدى استعداد العاملين في شركات التأمين والعملاء على حدٍّ سواء لتبني التقنيات الرقمية الجديدة، وكيف يؤثر إدراكهم لفائدتها وسهولة استخدامها على مستوى التفاعل معها. وقد وظّفت دراسة بن عبدالرحمان وآخرون (2024) هذا الإطار النظري في تفسير ديناميكيات تبني الرقمنة في سوق التأمين التكافلي، مؤكدةً أن درجة القبول التنظيمي للتقنية تشكّل عاملاً حاسماً في نجاح مسيرة التحول الرقمي</w:t>
      </w:r>
      <w:r w:rsidRPr="00C16EB9">
        <w:rPr>
          <w:rFonts w:ascii="Simplified Arabic" w:hAnsi="Simplified Arabic" w:cs="Simplified Arabic"/>
          <w:sz w:val="28"/>
          <w:szCs w:val="28"/>
        </w:rPr>
        <w:t>.</w:t>
      </w:r>
      <w:r w:rsidR="0036009C" w:rsidRPr="00C16EB9">
        <w:rPr>
          <w:rFonts w:ascii="Simplified Arabic" w:hAnsi="Simplified Arabic" w:cs="Simplified Arabic"/>
          <w:sz w:val="28"/>
          <w:szCs w:val="28"/>
        </w:rPr>
        <w:t xml:space="preserve"> </w:t>
      </w:r>
    </w:p>
    <w:p w14:paraId="7EF8E6E8"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ثانياً: نظرية الموارد</w:t>
      </w:r>
      <w:r w:rsidRPr="00C16EB9">
        <w:rPr>
          <w:rFonts w:ascii="Simplified Arabic" w:hAnsi="Simplified Arabic" w:cs="Simplified Arabic"/>
          <w:b/>
          <w:bCs/>
          <w:sz w:val="28"/>
          <w:szCs w:val="28"/>
        </w:rPr>
        <w:t xml:space="preserve"> (Resource-Based View – RBV)</w:t>
      </w:r>
    </w:p>
    <w:p w14:paraId="2DBF5003" w14:textId="69C6CC04"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تفترض هذه النظرية أن القدرة التنافسية للمؤسسة تنشأ من امتلاكها لموارد متميزة يصعب تقليدها، سواء أكانت موارد تقنية أم بشرية أم معرفية. وفي سياق التحول الرقمي، تشكّل البنية التحتية الرقمية والكوادر البشرية المؤهلة وقواعد البيانات المتراكمة رأس مال استراتيجياً تنبثق منه القدرة على الابتكار وتقديم خدمات متمايزة. وقد أكدت دراسة العنزي وآخرون (2026) أن المصارف والمؤسسات المالية السعودية التي استثمرت في رأسمالها الرقمي حققت تميزاً ملحوظاً في إدارة المخاطر المالية، وهو ما ينسجم مع مبدأ نظرية الموارد في إنتاج الميزة التنافسية المستدامة</w:t>
      </w:r>
      <w:r w:rsidRPr="00C16EB9">
        <w:rPr>
          <w:rFonts w:ascii="Simplified Arabic" w:hAnsi="Simplified Arabic" w:cs="Simplified Arabic"/>
          <w:sz w:val="28"/>
          <w:szCs w:val="28"/>
        </w:rPr>
        <w:t>.</w:t>
      </w:r>
      <w:r w:rsidR="0036009C" w:rsidRPr="00C16EB9">
        <w:rPr>
          <w:rFonts w:ascii="Simplified Arabic" w:hAnsi="Simplified Arabic" w:cs="Simplified Arabic"/>
          <w:sz w:val="28"/>
          <w:szCs w:val="28"/>
        </w:rPr>
        <w:t xml:space="preserve"> </w:t>
      </w:r>
    </w:p>
    <w:p w14:paraId="1F6D5523"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ثالثاً: نظرية الابتكار</w:t>
      </w:r>
      <w:r w:rsidRPr="00C16EB9">
        <w:rPr>
          <w:rFonts w:ascii="Simplified Arabic" w:hAnsi="Simplified Arabic" w:cs="Simplified Arabic"/>
          <w:b/>
          <w:bCs/>
          <w:sz w:val="28"/>
          <w:szCs w:val="28"/>
        </w:rPr>
        <w:t xml:space="preserve"> (Innovation Theory)</w:t>
      </w:r>
    </w:p>
    <w:p w14:paraId="30546299" w14:textId="51E4004D" w:rsidR="0036009C"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 xml:space="preserve">ترى هذه النظرية أن المؤسسات التي تتبنى الابتكار بصورة منهجية ومستمرة تكتسب قدرة أعلى على التكيف مع التحولات البيئية والسوقية، وتحقق معدلات نمو أفضل على المدى البعيد. وفي إطار قطاع التأمين، يترجَم الابتكار عملياً في تطوير منتجات تأمينية مخصَّصة مدعومة بتحليلات البيانات، وفي استحداث قنوات رقمية جديدة لتسويق الخدمات وتسوية المطالبات. </w:t>
      </w:r>
    </w:p>
    <w:p w14:paraId="4067F595" w14:textId="32EC7E30"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وقد استشهدت دراسة الابتكار في الخدمات التأمينية (2025) بنموذج شركة</w:t>
      </w:r>
      <w:r w:rsidRPr="00C16EB9">
        <w:rPr>
          <w:rFonts w:ascii="Simplified Arabic" w:hAnsi="Simplified Arabic" w:cs="Simplified Arabic"/>
          <w:sz w:val="28"/>
          <w:szCs w:val="28"/>
        </w:rPr>
        <w:t xml:space="preserve"> Lemonade </w:t>
      </w:r>
      <w:r w:rsidRPr="00C16EB9">
        <w:rPr>
          <w:rFonts w:ascii="Simplified Arabic" w:hAnsi="Simplified Arabic" w:cs="Simplified Arabic"/>
          <w:sz w:val="28"/>
          <w:szCs w:val="28"/>
          <w:rtl/>
        </w:rPr>
        <w:t>بوصفه مثالاً تطبيقياً لكيفية توظيف الابتكار التقني في إعادة رسم ملامح قطاع التأمين، مؤكدةً أن الابتكار في أبعاده الأربعة يحسّن الكفاءة ويوسّع قاعدة العملاء</w:t>
      </w:r>
      <w:r w:rsidR="0036009C" w:rsidRPr="00C16EB9">
        <w:rPr>
          <w:rFonts w:ascii="Simplified Arabic" w:hAnsi="Simplified Arabic" w:cs="Simplified Arabic"/>
          <w:sz w:val="28"/>
          <w:szCs w:val="28"/>
        </w:rPr>
        <w:t xml:space="preserve"> </w:t>
      </w:r>
    </w:p>
    <w:p w14:paraId="6F45351C"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رابعاً: نظرية التحول التنظيمي</w:t>
      </w:r>
      <w:r w:rsidRPr="00C16EB9">
        <w:rPr>
          <w:rFonts w:ascii="Simplified Arabic" w:hAnsi="Simplified Arabic" w:cs="Simplified Arabic"/>
          <w:b/>
          <w:bCs/>
          <w:sz w:val="28"/>
          <w:szCs w:val="28"/>
        </w:rPr>
        <w:t xml:space="preserve"> (Organizational Transformation Theory)</w:t>
      </w:r>
    </w:p>
    <w:p w14:paraId="4D136729" w14:textId="002114B4"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لا يكفي إدخال التقنية وحدها لإحداث تحول رقمي حقيقي، بل يستلزم الأمر إعادة هندسة الهياكل التنظيمية وتجديد الثقافة المؤسسية وتطوير نماذج القيادة. فالتحول الرقمي الناجح هو في جوهره تحول مؤسسي شامل تتقاطع فيه الأبعاد التقنية والبشرية والاستراتيجية. وقد خلصت دراسة الجوهري وآخرون (2022) إلى أن المؤسسات السعودية التي حققت نجاحاً في مسيرة التحول الرقمي هي تلك التي أولت اهتماماً موازياً للبعد الإنساني والتنظيمي، من خلال بناء ثقافة داخلية مشجِّعة على التجديد ومقاومة للتصلب البيروقراطي</w:t>
      </w:r>
      <w:r w:rsidRPr="00C16EB9">
        <w:rPr>
          <w:rFonts w:ascii="Simplified Arabic" w:hAnsi="Simplified Arabic" w:cs="Simplified Arabic"/>
          <w:sz w:val="28"/>
          <w:szCs w:val="28"/>
        </w:rPr>
        <w:t>.</w:t>
      </w:r>
      <w:r w:rsidR="0036009C" w:rsidRPr="00C16EB9">
        <w:rPr>
          <w:rFonts w:ascii="Simplified Arabic" w:hAnsi="Simplified Arabic" w:cs="Simplified Arabic"/>
          <w:sz w:val="28"/>
          <w:szCs w:val="28"/>
        </w:rPr>
        <w:t xml:space="preserve"> </w:t>
      </w:r>
    </w:p>
    <w:p w14:paraId="7C6970A0"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خامساً: نظرية جودة الخدمة</w:t>
      </w:r>
      <w:r w:rsidRPr="00C16EB9">
        <w:rPr>
          <w:rFonts w:ascii="Simplified Arabic" w:hAnsi="Simplified Arabic" w:cs="Simplified Arabic"/>
          <w:b/>
          <w:bCs/>
          <w:sz w:val="28"/>
          <w:szCs w:val="28"/>
        </w:rPr>
        <w:t xml:space="preserve"> (SERVQUAL Model)</w:t>
      </w:r>
    </w:p>
    <w:p w14:paraId="334D4026" w14:textId="4F7D2A00" w:rsidR="0036009C" w:rsidRDefault="00C16EB9" w:rsidP="0036009C">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تعدّ هذه النظرية المطوَّرة من قِبل باراسورامان وزملائه (1988) من أكثر النماذج استخداماً في قياس جودة الخدمة، وترتكز على خمسة أبعاد رئيسية: الملموسية، والاعتمادية، والاستجابة، والضمان، والتعاطف. وفي سياق الخدمات الرقمية، تطورت هذه النظرية لتستوعب أبعاداً جديدة متعلقة بجودة الموقع الإلكتروني وسهولة التنقل وأمان المعاملات وفورية الاستجابة. وقد طبّق حمادي (2019) وزيدان وبوجلال (2020) هذا الإطار في دراسة جودة الخدمات الرقمية في القطاع المصرفي، ليثبتا أن جودة الخدمات التقنية تنعكس بصورة مباشرة على تصورات العملاء وتقييمهم للمؤسسة الخدمية</w:t>
      </w:r>
    </w:p>
    <w:p w14:paraId="74129711" w14:textId="35A2CB92" w:rsidR="00C16EB9" w:rsidRPr="00C16EB9" w:rsidRDefault="00C16EB9" w:rsidP="0036009C">
      <w:pPr>
        <w:spacing w:line="360" w:lineRule="auto"/>
        <w:jc w:val="lowKashida"/>
        <w:rPr>
          <w:rFonts w:ascii="Simplified Arabic" w:hAnsi="Simplified Arabic" w:cs="Simplified Arabic"/>
          <w:sz w:val="28"/>
          <w:szCs w:val="28"/>
        </w:rPr>
      </w:pPr>
    </w:p>
    <w:p w14:paraId="083A6B94"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lastRenderedPageBreak/>
        <w:t>سادساً: نظرية رضا العملاء</w:t>
      </w:r>
      <w:r w:rsidRPr="00C16EB9">
        <w:rPr>
          <w:rFonts w:ascii="Simplified Arabic" w:hAnsi="Simplified Arabic" w:cs="Simplified Arabic"/>
          <w:b/>
          <w:bCs/>
          <w:sz w:val="28"/>
          <w:szCs w:val="28"/>
        </w:rPr>
        <w:t xml:space="preserve"> (Customer Satisfaction Theory)</w:t>
      </w:r>
    </w:p>
    <w:p w14:paraId="443DBEBE" w14:textId="02C41DA5"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تنطلق هذه النظرية من مفهوم التطابق بين التوقعات والإدراك</w:t>
      </w:r>
      <w:r w:rsidRPr="00C16EB9">
        <w:rPr>
          <w:rFonts w:ascii="Simplified Arabic" w:hAnsi="Simplified Arabic" w:cs="Simplified Arabic"/>
          <w:sz w:val="28"/>
          <w:szCs w:val="28"/>
        </w:rPr>
        <w:t xml:space="preserve"> (Expectation-Confirmation Model)</w:t>
      </w:r>
      <w:r w:rsidRPr="00C16EB9">
        <w:rPr>
          <w:rFonts w:ascii="Simplified Arabic" w:hAnsi="Simplified Arabic" w:cs="Simplified Arabic"/>
          <w:sz w:val="28"/>
          <w:szCs w:val="28"/>
          <w:rtl/>
        </w:rPr>
        <w:t>، وتفترض أن رضا العميل ينشأ حين تتطابق أو تفوق جودة الخدمة المدركة توقعاته المسبقة. وفي بيئة الخدمات التأمينية الرقمية، يتشكّل هذا الرضا عبر تجربة متكاملة تشمل سهولة الوصول للمنصة وسرعة معالجة الطلبات ووضوح المعلومات وفاعلية قنوات التواصل. وقد أكدت دراسة حمودة وعواودة (2021) في سياق شركات التأمين الأردنية أن استخدام التسويق الإلكتروني يحقق تأثيراً إيجابياً ذا دلالة على مستويات رضا العملاء، مما يعزز الحجة النظرية القائلة بأن الرقمنة وجودة الخدمة ورضا العملاء ثلاثية مترابطة ومتضافرة (بصاص وعدة، 2024)</w:t>
      </w:r>
      <w:r w:rsidRPr="00C16EB9">
        <w:rPr>
          <w:rFonts w:ascii="Simplified Arabic" w:hAnsi="Simplified Arabic" w:cs="Simplified Arabic"/>
          <w:sz w:val="28"/>
          <w:szCs w:val="28"/>
        </w:rPr>
        <w:t xml:space="preserve">. </w:t>
      </w:r>
    </w:p>
    <w:p w14:paraId="2F15A5A9" w14:textId="09A34C3B" w:rsidR="00A57553" w:rsidRPr="00C16EB9" w:rsidRDefault="00A57553" w:rsidP="00C16EB9">
      <w:pPr>
        <w:spacing w:line="360" w:lineRule="auto"/>
        <w:jc w:val="lowKashida"/>
        <w:rPr>
          <w:rFonts w:ascii="Simplified Arabic" w:hAnsi="Simplified Arabic" w:cs="Simplified Arabic"/>
          <w:sz w:val="28"/>
          <w:szCs w:val="28"/>
        </w:rPr>
      </w:pPr>
    </w:p>
    <w:p w14:paraId="06000E6F" w14:textId="77777777" w:rsidR="006B6A72" w:rsidRDefault="006B6A72" w:rsidP="00A57553">
      <w:pPr>
        <w:spacing w:line="360" w:lineRule="auto"/>
        <w:jc w:val="lowKashida"/>
        <w:rPr>
          <w:rFonts w:ascii="Simplified Arabic" w:hAnsi="Simplified Arabic" w:cs="Simplified Arabic"/>
          <w:sz w:val="28"/>
          <w:szCs w:val="28"/>
          <w:rtl/>
        </w:rPr>
      </w:pPr>
    </w:p>
    <w:p w14:paraId="4B366189" w14:textId="77777777" w:rsidR="006B6A72" w:rsidRDefault="006B6A72" w:rsidP="00A57553">
      <w:pPr>
        <w:spacing w:line="360" w:lineRule="auto"/>
        <w:jc w:val="lowKashida"/>
        <w:rPr>
          <w:rFonts w:ascii="Simplified Arabic" w:hAnsi="Simplified Arabic" w:cs="Simplified Arabic"/>
          <w:sz w:val="28"/>
          <w:szCs w:val="28"/>
          <w:rtl/>
        </w:rPr>
      </w:pPr>
    </w:p>
    <w:p w14:paraId="5E361F27" w14:textId="77777777" w:rsidR="006B6A72" w:rsidRDefault="006B6A72" w:rsidP="00A57553">
      <w:pPr>
        <w:spacing w:line="360" w:lineRule="auto"/>
        <w:jc w:val="lowKashida"/>
        <w:rPr>
          <w:rFonts w:ascii="Simplified Arabic" w:hAnsi="Simplified Arabic" w:cs="Simplified Arabic"/>
          <w:sz w:val="28"/>
          <w:szCs w:val="28"/>
          <w:rtl/>
        </w:rPr>
      </w:pPr>
    </w:p>
    <w:p w14:paraId="70AFB12F" w14:textId="77777777" w:rsidR="006B0BBF" w:rsidRDefault="006B0BBF" w:rsidP="00A57553">
      <w:pPr>
        <w:spacing w:line="360" w:lineRule="auto"/>
        <w:jc w:val="lowKashida"/>
        <w:rPr>
          <w:rFonts w:ascii="Simplified Arabic" w:hAnsi="Simplified Arabic" w:cs="Simplified Arabic"/>
          <w:sz w:val="28"/>
          <w:szCs w:val="28"/>
          <w:rtl/>
        </w:rPr>
      </w:pPr>
    </w:p>
    <w:p w14:paraId="12701A89" w14:textId="77777777" w:rsidR="006B0BBF" w:rsidRDefault="006B0BBF" w:rsidP="00A57553">
      <w:pPr>
        <w:spacing w:line="360" w:lineRule="auto"/>
        <w:jc w:val="lowKashida"/>
        <w:rPr>
          <w:rFonts w:ascii="Simplified Arabic" w:hAnsi="Simplified Arabic" w:cs="Simplified Arabic"/>
          <w:sz w:val="28"/>
          <w:szCs w:val="28"/>
          <w:rtl/>
        </w:rPr>
      </w:pPr>
    </w:p>
    <w:p w14:paraId="4AB1A0B6" w14:textId="77777777" w:rsidR="006B0BBF" w:rsidRDefault="006B0BBF" w:rsidP="00A57553">
      <w:pPr>
        <w:spacing w:line="360" w:lineRule="auto"/>
        <w:jc w:val="lowKashida"/>
        <w:rPr>
          <w:rFonts w:ascii="Simplified Arabic" w:hAnsi="Simplified Arabic" w:cs="Simplified Arabic"/>
          <w:sz w:val="28"/>
          <w:szCs w:val="28"/>
          <w:rtl/>
        </w:rPr>
      </w:pPr>
    </w:p>
    <w:p w14:paraId="73B0843C" w14:textId="77777777" w:rsidR="006B0BBF" w:rsidRDefault="006B0BBF" w:rsidP="00A57553">
      <w:pPr>
        <w:spacing w:line="360" w:lineRule="auto"/>
        <w:jc w:val="lowKashida"/>
        <w:rPr>
          <w:rFonts w:ascii="Simplified Arabic" w:hAnsi="Simplified Arabic" w:cs="Simplified Arabic"/>
          <w:sz w:val="28"/>
          <w:szCs w:val="28"/>
          <w:rtl/>
        </w:rPr>
      </w:pPr>
    </w:p>
    <w:p w14:paraId="2DB116BF" w14:textId="77777777" w:rsidR="006B0BBF" w:rsidRDefault="006B0BBF" w:rsidP="00A57553">
      <w:pPr>
        <w:spacing w:line="360" w:lineRule="auto"/>
        <w:jc w:val="lowKashida"/>
        <w:rPr>
          <w:rFonts w:ascii="Simplified Arabic" w:hAnsi="Simplified Arabic" w:cs="Simplified Arabic"/>
          <w:sz w:val="28"/>
          <w:szCs w:val="28"/>
          <w:rtl/>
        </w:rPr>
      </w:pPr>
    </w:p>
    <w:p w14:paraId="488CBD7E" w14:textId="77777777" w:rsidR="006B0BBF" w:rsidRDefault="006B0BBF" w:rsidP="00A57553">
      <w:pPr>
        <w:spacing w:line="360" w:lineRule="auto"/>
        <w:jc w:val="lowKashida"/>
        <w:rPr>
          <w:rFonts w:ascii="Simplified Arabic" w:hAnsi="Simplified Arabic" w:cs="Simplified Arabic"/>
          <w:sz w:val="28"/>
          <w:szCs w:val="28"/>
        </w:rPr>
      </w:pPr>
    </w:p>
    <w:p w14:paraId="1C01D045" w14:textId="77777777" w:rsidR="00A57553" w:rsidRDefault="00A57553" w:rsidP="00A57553">
      <w:pPr>
        <w:spacing w:line="360" w:lineRule="auto"/>
        <w:jc w:val="lowKashida"/>
        <w:rPr>
          <w:rFonts w:ascii="Simplified Arabic" w:hAnsi="Simplified Arabic" w:cs="Simplified Arabic"/>
          <w:sz w:val="28"/>
          <w:szCs w:val="28"/>
        </w:rPr>
      </w:pPr>
    </w:p>
    <w:p w14:paraId="61631EE4" w14:textId="77777777" w:rsidR="00A57553" w:rsidRDefault="00A57553" w:rsidP="00A57553">
      <w:pPr>
        <w:spacing w:line="360" w:lineRule="auto"/>
        <w:jc w:val="lowKashida"/>
        <w:rPr>
          <w:rFonts w:ascii="Simplified Arabic" w:hAnsi="Simplified Arabic" w:cs="Simplified Arabic"/>
          <w:sz w:val="28"/>
          <w:szCs w:val="28"/>
        </w:rPr>
      </w:pPr>
    </w:p>
    <w:p w14:paraId="7F188DC5" w14:textId="77777777" w:rsidR="00A57553" w:rsidRDefault="00A57553" w:rsidP="00A57553">
      <w:pPr>
        <w:spacing w:line="360" w:lineRule="auto"/>
        <w:jc w:val="lowKashida"/>
        <w:rPr>
          <w:rFonts w:ascii="Simplified Arabic" w:hAnsi="Simplified Arabic" w:cs="Simplified Arabic"/>
          <w:sz w:val="28"/>
          <w:szCs w:val="28"/>
        </w:rPr>
      </w:pPr>
    </w:p>
    <w:p w14:paraId="5C4FF165" w14:textId="77777777" w:rsidR="00A57553" w:rsidRDefault="00A57553" w:rsidP="00A57553">
      <w:pPr>
        <w:spacing w:line="360" w:lineRule="auto"/>
        <w:jc w:val="lowKashida"/>
        <w:rPr>
          <w:rFonts w:ascii="Simplified Arabic" w:hAnsi="Simplified Arabic" w:cs="Simplified Arabic"/>
          <w:sz w:val="28"/>
          <w:szCs w:val="28"/>
        </w:rPr>
      </w:pPr>
    </w:p>
    <w:p w14:paraId="6E7B4900" w14:textId="77777777" w:rsidR="00A57553" w:rsidRDefault="00A57553" w:rsidP="00A57553">
      <w:pPr>
        <w:spacing w:line="360" w:lineRule="auto"/>
        <w:jc w:val="lowKashida"/>
        <w:rPr>
          <w:rFonts w:ascii="Simplified Arabic" w:hAnsi="Simplified Arabic" w:cs="Simplified Arabic"/>
          <w:sz w:val="28"/>
          <w:szCs w:val="28"/>
        </w:rPr>
      </w:pPr>
    </w:p>
    <w:p w14:paraId="16D84C12" w14:textId="77777777" w:rsidR="00A57553" w:rsidRDefault="00A57553" w:rsidP="00A57553">
      <w:pPr>
        <w:spacing w:line="360" w:lineRule="auto"/>
        <w:jc w:val="lowKashida"/>
        <w:rPr>
          <w:rFonts w:ascii="Simplified Arabic" w:hAnsi="Simplified Arabic" w:cs="Simplified Arabic"/>
          <w:sz w:val="28"/>
          <w:szCs w:val="28"/>
          <w:rtl/>
        </w:rPr>
      </w:pPr>
    </w:p>
    <w:p w14:paraId="00249637" w14:textId="763FF358" w:rsidR="006B0BBF" w:rsidRPr="006B0BBF" w:rsidRDefault="001A71F3" w:rsidP="005C3639">
      <w:pPr>
        <w:pStyle w:val="Heading1"/>
        <w:rPr>
          <w:rtl/>
        </w:rPr>
      </w:pPr>
      <w:bookmarkStart w:id="10" w:name="_Toc234430604"/>
      <w:r w:rsidRPr="001A71F3">
        <w:rPr>
          <w:rtl/>
        </w:rPr>
        <w:t>الفصل الثاني: الدراسات السابقة (</w:t>
      </w:r>
      <w:r w:rsidRPr="001A71F3">
        <w:t>Literature Review</w:t>
      </w:r>
      <w:r w:rsidRPr="001A71F3">
        <w:rPr>
          <w:rtl/>
        </w:rPr>
        <w:t>)</w:t>
      </w:r>
      <w:bookmarkEnd w:id="10"/>
    </w:p>
    <w:p w14:paraId="6FC898BC" w14:textId="77777777" w:rsidR="006B0BBF" w:rsidRDefault="006B0BBF" w:rsidP="00A57553">
      <w:pPr>
        <w:spacing w:line="360" w:lineRule="auto"/>
        <w:jc w:val="lowKashida"/>
        <w:outlineLvl w:val="0"/>
        <w:rPr>
          <w:rFonts w:ascii="Simplified Arabic" w:hAnsi="Simplified Arabic" w:cs="Simplified Arabic"/>
          <w:b/>
          <w:bCs/>
          <w:color w:val="2E74B5" w:themeColor="accent5" w:themeShade="BF"/>
          <w:sz w:val="28"/>
          <w:szCs w:val="28"/>
          <w:rtl/>
        </w:rPr>
      </w:pPr>
    </w:p>
    <w:p w14:paraId="55974AD2" w14:textId="77777777" w:rsidR="006B0BBF" w:rsidRDefault="006B0BBF" w:rsidP="00A57553">
      <w:pPr>
        <w:spacing w:line="360" w:lineRule="auto"/>
        <w:jc w:val="lowKashida"/>
        <w:outlineLvl w:val="0"/>
        <w:rPr>
          <w:rFonts w:ascii="Simplified Arabic" w:hAnsi="Simplified Arabic" w:cs="Simplified Arabic"/>
          <w:b/>
          <w:bCs/>
          <w:color w:val="2E74B5" w:themeColor="accent5" w:themeShade="BF"/>
          <w:sz w:val="28"/>
          <w:szCs w:val="28"/>
          <w:rtl/>
        </w:rPr>
      </w:pPr>
    </w:p>
    <w:p w14:paraId="2CA8464C" w14:textId="77777777" w:rsidR="006B0BBF" w:rsidRDefault="006B0BBF" w:rsidP="00A57553">
      <w:pPr>
        <w:spacing w:line="360" w:lineRule="auto"/>
        <w:jc w:val="lowKashida"/>
        <w:outlineLvl w:val="0"/>
        <w:rPr>
          <w:rFonts w:ascii="Simplified Arabic" w:hAnsi="Simplified Arabic" w:cs="Simplified Arabic"/>
          <w:b/>
          <w:bCs/>
          <w:color w:val="2E74B5" w:themeColor="accent5" w:themeShade="BF"/>
          <w:sz w:val="28"/>
          <w:szCs w:val="28"/>
          <w:rtl/>
        </w:rPr>
      </w:pPr>
    </w:p>
    <w:p w14:paraId="5DD3D888" w14:textId="77777777" w:rsidR="0036009C" w:rsidRDefault="0036009C" w:rsidP="00A57553">
      <w:pPr>
        <w:spacing w:line="360" w:lineRule="auto"/>
        <w:jc w:val="lowKashida"/>
        <w:outlineLvl w:val="0"/>
        <w:rPr>
          <w:rFonts w:ascii="Simplified Arabic" w:hAnsi="Simplified Arabic" w:cs="Simplified Arabic"/>
          <w:b/>
          <w:bCs/>
          <w:color w:val="2E74B5" w:themeColor="accent5" w:themeShade="BF"/>
          <w:sz w:val="28"/>
          <w:szCs w:val="28"/>
          <w:rtl/>
        </w:rPr>
      </w:pPr>
    </w:p>
    <w:p w14:paraId="22AB1C0A" w14:textId="77777777" w:rsidR="0036009C" w:rsidRDefault="0036009C" w:rsidP="00A57553">
      <w:pPr>
        <w:spacing w:line="360" w:lineRule="auto"/>
        <w:jc w:val="lowKashida"/>
        <w:outlineLvl w:val="0"/>
        <w:rPr>
          <w:rFonts w:ascii="Simplified Arabic" w:hAnsi="Simplified Arabic" w:cs="Simplified Arabic"/>
          <w:b/>
          <w:bCs/>
          <w:color w:val="2E74B5" w:themeColor="accent5" w:themeShade="BF"/>
          <w:sz w:val="28"/>
          <w:szCs w:val="28"/>
          <w:rtl/>
        </w:rPr>
      </w:pPr>
    </w:p>
    <w:p w14:paraId="7BD33B33" w14:textId="77777777" w:rsidR="0036009C" w:rsidRDefault="0036009C" w:rsidP="00A57553">
      <w:pPr>
        <w:spacing w:line="360" w:lineRule="auto"/>
        <w:jc w:val="lowKashida"/>
        <w:outlineLvl w:val="0"/>
        <w:rPr>
          <w:rFonts w:ascii="Simplified Arabic" w:hAnsi="Simplified Arabic" w:cs="Simplified Arabic"/>
          <w:b/>
          <w:bCs/>
          <w:color w:val="2E74B5" w:themeColor="accent5" w:themeShade="BF"/>
          <w:sz w:val="28"/>
          <w:szCs w:val="28"/>
          <w:rtl/>
        </w:rPr>
      </w:pPr>
    </w:p>
    <w:p w14:paraId="34402979" w14:textId="77777777" w:rsidR="0036009C" w:rsidRDefault="0036009C" w:rsidP="0036009C">
      <w:pPr>
        <w:rPr>
          <w:rtl/>
        </w:rPr>
      </w:pPr>
    </w:p>
    <w:p w14:paraId="2A0E9F94" w14:textId="77777777" w:rsidR="0036009C" w:rsidRDefault="0036009C" w:rsidP="0036009C">
      <w:pPr>
        <w:rPr>
          <w:rtl/>
        </w:rPr>
      </w:pPr>
    </w:p>
    <w:p w14:paraId="20826E81" w14:textId="77777777" w:rsidR="00A57553" w:rsidRPr="00A57553" w:rsidRDefault="00A57553" w:rsidP="00B879DE">
      <w:pPr>
        <w:pStyle w:val="Heading2"/>
      </w:pPr>
      <w:bookmarkStart w:id="11" w:name="_Toc234430605"/>
      <w:r w:rsidRPr="00A57553">
        <w:rPr>
          <w:rtl/>
        </w:rPr>
        <w:lastRenderedPageBreak/>
        <w:t>أولاً: مقدمة</w:t>
      </w:r>
      <w:bookmarkEnd w:id="11"/>
    </w:p>
    <w:p w14:paraId="1C2BED10" w14:textId="5ECF3432"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يمثّل الاطلاع على الدراسات السابقة ركيزةً منهجيةً لا غنى عنها في بناء أي بحث علمي رصين، إذ يمكّن الباحث من رسم الخلفية المعرفية لموضوعه، وتحديد الجوانب التي أسهمت فيها الأدبيات الراهنة، واستجلاء الفجوات التي تنتظر المعالجة. وتنتظم الدراسات السابقة ذات الصلة بموضوع هذا البحث في محورين رئيسيين متكاملين: أولهما يتعلق بالمتغير المستقل المتمثل في التحول الرقمي بوصفه ظاهرة تحويلية تجتاح مختلف القطاعات الخدمية، وثانيهما يتعلق بالمتغيرات التابعة التي تشمل الكفاءة التشغيلية وجودة الخدمات ورضا العملاء في قطاع التأمين. وقد حرص الباحث في هذا الفصل على استقصاء الدراسات العربية المحكّمة ذات الصلة المنشورة في مجلات علمية رصينة، مع الحرص على تنويع مصادرها الجغرافية لتشمل السياق السعودي والخليجي والعربي الأوسع، مما يعزز من شمولية الفهم ودقة الاستنتاج</w:t>
      </w:r>
      <w:r w:rsidRPr="00C16EB9">
        <w:rPr>
          <w:rFonts w:ascii="Simplified Arabic" w:hAnsi="Simplified Arabic" w:cs="Simplified Arabic"/>
          <w:sz w:val="28"/>
          <w:szCs w:val="28"/>
        </w:rPr>
        <w:t>.</w:t>
      </w:r>
    </w:p>
    <w:p w14:paraId="116EBCA1" w14:textId="77777777" w:rsidR="00C16EB9" w:rsidRPr="00C16EB9" w:rsidRDefault="00C16EB9" w:rsidP="00B879DE">
      <w:pPr>
        <w:pStyle w:val="Heading2"/>
      </w:pPr>
      <w:bookmarkStart w:id="12" w:name="_Toc234430606"/>
      <w:r w:rsidRPr="00C16EB9">
        <w:rPr>
          <w:rtl/>
        </w:rPr>
        <w:t>أولاً: المتغير المستقل – التحول الرقمي</w:t>
      </w:r>
      <w:bookmarkEnd w:id="12"/>
    </w:p>
    <w:p w14:paraId="60472761"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مفهوم التحول الرقمي وأبعاده</w:t>
      </w:r>
    </w:p>
    <w:p w14:paraId="51AFE81B" w14:textId="4E123F99" w:rsidR="00B879DE"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يعدّ التحول الرقمي من أكثر المفاهيم تداولاً في الأدبيات الإدارية والاقتصادية المعاصرة، غير أنه يظل من أكثرها تعدداً في التعريفات وتشعباً في الأبعاد. فهو لا يعني مجرد إدخال أجهزة حاسوبية أو تطبيقات إلكترونية إلى بيئة العمل، بل يعني إعادة تصميم شاملة لنماذج الأعمال وإجراءاتها التشغيلية ومنظومة تقديم قيمتها للمتعاملين. وقد ميّزت الأدبيات في هذا الصدد بين ثلاثة مستويات متصاعدة: رقمنة الأنشطة</w:t>
      </w:r>
      <w:r w:rsidRPr="00C16EB9">
        <w:rPr>
          <w:rFonts w:ascii="Simplified Arabic" w:hAnsi="Simplified Arabic" w:cs="Simplified Arabic"/>
          <w:sz w:val="28"/>
          <w:szCs w:val="28"/>
        </w:rPr>
        <w:t xml:space="preserve"> (Digitization) </w:t>
      </w:r>
      <w:r w:rsidRPr="00C16EB9">
        <w:rPr>
          <w:rFonts w:ascii="Simplified Arabic" w:hAnsi="Simplified Arabic" w:cs="Simplified Arabic"/>
          <w:sz w:val="28"/>
          <w:szCs w:val="28"/>
          <w:rtl/>
        </w:rPr>
        <w:t>التي تعني تحويل المعلومات من صيغة ورقية إلى رقمية، والتحوّل الإلكتروني</w:t>
      </w:r>
      <w:r w:rsidRPr="00C16EB9">
        <w:rPr>
          <w:rFonts w:ascii="Simplified Arabic" w:hAnsi="Simplified Arabic" w:cs="Simplified Arabic"/>
          <w:sz w:val="28"/>
          <w:szCs w:val="28"/>
        </w:rPr>
        <w:t xml:space="preserve"> (Digitalization) </w:t>
      </w:r>
      <w:r w:rsidRPr="00C16EB9">
        <w:rPr>
          <w:rFonts w:ascii="Simplified Arabic" w:hAnsi="Simplified Arabic" w:cs="Simplified Arabic"/>
          <w:sz w:val="28"/>
          <w:szCs w:val="28"/>
          <w:rtl/>
        </w:rPr>
        <w:t>الذي يعني توظيف التقنيات الرقمية في تحسين العمليات القائمة، والتحول الرقمي الشامل</w:t>
      </w:r>
      <w:r w:rsidRPr="00C16EB9">
        <w:rPr>
          <w:rFonts w:ascii="Simplified Arabic" w:hAnsi="Simplified Arabic" w:cs="Simplified Arabic"/>
          <w:sz w:val="28"/>
          <w:szCs w:val="28"/>
        </w:rPr>
        <w:t xml:space="preserve"> (Digital Transformation) </w:t>
      </w:r>
      <w:r w:rsidRPr="00C16EB9">
        <w:rPr>
          <w:rFonts w:ascii="Simplified Arabic" w:hAnsi="Simplified Arabic" w:cs="Simplified Arabic"/>
          <w:sz w:val="28"/>
          <w:szCs w:val="28"/>
          <w:rtl/>
        </w:rPr>
        <w:t xml:space="preserve">الذي يمثل إعادة اختراع المؤسسة بالكامل وفق منطق رقمي. </w:t>
      </w:r>
    </w:p>
    <w:p w14:paraId="24BEAB9A" w14:textId="1FDF398F"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وقد أكدت دراسة بصاص وعدة (2024) أن الارتقاء من المستوى الأول إلى الثالث يستلزم تضافر الإرادة القيادية والاستثمار التقني وإعادة بناء الثقافة التنظيمية في آنٍ واحد (بصاص وعدة، 2024)</w:t>
      </w:r>
      <w:r w:rsidRPr="00C16EB9">
        <w:rPr>
          <w:rFonts w:ascii="Simplified Arabic" w:hAnsi="Simplified Arabic" w:cs="Simplified Arabic"/>
          <w:sz w:val="28"/>
          <w:szCs w:val="28"/>
        </w:rPr>
        <w:t>.</w:t>
      </w:r>
    </w:p>
    <w:p w14:paraId="41C9F3FC" w14:textId="3A8B395A"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وفيما يخص أبعاد التحول الرقمي، فقد ذهب الباحثون إلى تصنيفها في ثلاثة محاور كبرى: أولها البعد التقني الذي يشمل البنية التحتية الرقمية والأنظمة الإلكترونية المستخدمة وتقنيات البيانات الضخمة والذكاء الاصطناعي، وثانيها البعد التنظيمي الذي يتعلق بمدى مرونة الهياكل والعمليات واستعدادها للتكيف مع النمط الرقمي، وثالثها البعد البشري الذي يرتبط بقدرات العاملين ومهاراتهم الرقمية ودرجة قبولهم للتغيير. وقد أثبتت دراسة الغامدي وآخرون (2024) أن المؤسسات الخدمية السعودية التي حققت تميزاً مؤسسياً ملحوظاً هي تلك التي أولت اهتماماً متوازياً للأبعاد الثلاثة، دون الاكتفاء بالاستثمار التقني منفرداً (الغامدي وآخرون، 2024)</w:t>
      </w:r>
      <w:r w:rsidRPr="00C16EB9">
        <w:rPr>
          <w:rFonts w:ascii="Simplified Arabic" w:hAnsi="Simplified Arabic" w:cs="Simplified Arabic"/>
          <w:sz w:val="28"/>
          <w:szCs w:val="28"/>
        </w:rPr>
        <w:t>.</w:t>
      </w:r>
    </w:p>
    <w:p w14:paraId="7BA1D77F"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التحول الرقمي في القطاع المالي والتأميني</w:t>
      </w:r>
    </w:p>
    <w:p w14:paraId="0AD511E2" w14:textId="28C4BBC2"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يعدّ القطاع المالي بصفة عامة من أكثر القطاعات استجابةً لموجة التحول الرقمي، وذلك بحكم طبيعة خدماته القائمة على تبادل المعلومات وإجراء المعاملات التي تتأثر بشكل مباشر بمزايا الرقمنة من سرعة وكفاءة وشفافية. وقد كشفت دراسة الجهمي وموسى (2023) التي أجريت على مصرف الراجحي السعودي أن أثر كفاءة التحول الرقمي على جودة العمليات التشغيلية جاء مرتفعاً جداً، وأن تطبيق الأنظمة الرقمية أسهم في تقليص الأخطاء وتسريع الإجراءات بصورة لافتة، وهو ما يرجّح حدوث تأثيرات مماثلة في القطاع التأميني الذي يشترك مع القطاع المصرفي في جملة من الخصائص الهيكلية. وقد أوصت الدراسة بتطوير بنية تحتية رقمية مرنة مدعومة بجاهزية أمن المعلومات (الجهمي وموسى، 2023)</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2B1BD090" w14:textId="1E63D4CD"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أما في قطاع التأمين تحديداً، فقد تناولت دراسة الشريف (2019) الواقع الفعلي للتحول الرقمي في شركات التأمين السعودية، وأجرت مسحاً ميدانياً شاملاً لآراء حملة الوثائق حول جودة الخدمات الإلكترونية المقدمة. وتوصلت الدراسة إلى جملة من الاستنتاجات اللافتة، في مقدمتها أن التحول الرقمي في قطاع التأمين السعودي لا يزال بحاجة إلى تطوير جوهري من حيث شمولية الخدمات وتنوعها، وأن نجاحه يرتبط ارتباطاً وثيقاً بجودة الخدمة الإلكترونية كما يدركها العملاء الفعليون. كما أظهرت النتائج أن ضعف محتوى المواقع الإلكترونية وغياب الدعم الفني الكافي يشكّلان عائقين رئيسيين أمام تحقيق التحول الرقمي الكامل (الشريف، 2019)</w:t>
      </w:r>
      <w:r w:rsidRPr="00C16EB9">
        <w:rPr>
          <w:rFonts w:ascii="Simplified Arabic" w:hAnsi="Simplified Arabic" w:cs="Simplified Arabic"/>
          <w:sz w:val="28"/>
          <w:szCs w:val="28"/>
        </w:rPr>
        <w:t>.</w:t>
      </w:r>
    </w:p>
    <w:p w14:paraId="651CE666" w14:textId="69EB7473"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وفي المسار ذاته، اتجهت دراسة بن عبدالرحمان وآخرون (2024) نحو استكشاف أثر التحول الرقمي على سوق التأمين التكافلي السعودية تحديداً، ووجدت أن هذا السوق شهد اهتماماً واضحاً بالرقمنة في أعقاب إطلاق رؤية المملكة 2030، ويتجلى ذلك في النمو المتزايد لحجم الأقساط المكتتبة وارتفاع مستويات الخدمات الإلكترونية وتعدد قنوات التوزيع الرقمية. كما رصدت الدراسة ظهور شركات تكنولوجيا التأمين</w:t>
      </w:r>
      <w:r w:rsidRPr="00C16EB9">
        <w:rPr>
          <w:rFonts w:ascii="Simplified Arabic" w:hAnsi="Simplified Arabic" w:cs="Simplified Arabic"/>
          <w:sz w:val="28"/>
          <w:szCs w:val="28"/>
        </w:rPr>
        <w:t xml:space="preserve"> (</w:t>
      </w:r>
      <w:proofErr w:type="spellStart"/>
      <w:r w:rsidRPr="00C16EB9">
        <w:rPr>
          <w:rFonts w:ascii="Simplified Arabic" w:hAnsi="Simplified Arabic" w:cs="Simplified Arabic"/>
          <w:sz w:val="28"/>
          <w:szCs w:val="28"/>
        </w:rPr>
        <w:t>InsurTech</w:t>
      </w:r>
      <w:proofErr w:type="spellEnd"/>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التي تسعى إلى تطوير نماذج أعمال مبتكرة تعتمد كلياً على الحلول التقنية (بن عبدالرحمان وآخرون، 2024)</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20BFB8D7" w14:textId="76E76F59"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وعلى صعيد المخاطر الرقمية وتداعيات التحولات التكنولوجية الكبرى، انصبّ اهتمام دراسة العنزي وآخرون (2026) على رصد أثر التحول الرقمي في إدارة المخاطر المالية في المصارف السعودية في سياق رؤية 2030. وخلصت إلى أن المؤسسات التي تبنّت أدوات التحليل البياني والأتمتة حققت تحسيناً ملموساً في قدرتها على التنبؤ بالمخاطر والتعامل معها، مما يفتح أفقاً بحثياً موازياً في قطاع التأمين الذي يرتكز أساساً على إدارة المخاطر (العنزي وآخرون، 2026)</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7622C527" w14:textId="624B8AB1"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وتكشف دراسة التحول الرقمي ومستقبل صناعة التأمين في ظل الثورة الصناعية الرابعة (2023) عن أن تسارع وتيرة الرقمنة ونمو البيانات الرقمية سيحدثان نقلةً نوعية في نماذج أعمال شركات التأمين، إذ ستكتسب المنصات الرقمية والنظم البيئية أهمية محورية تتجاوز دور الشركات التقليدية وتعيد رسم ملامح المشهد التنافسي بين اللاعبين الراسخين والمنافسين الجدد القادمين من عالم التكنولوجيا (القادري، 2023)</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2EF25A16"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التحديات التي تواجه التحول الرقمي</w:t>
      </w:r>
    </w:p>
    <w:p w14:paraId="2276CDA5" w14:textId="234777D8" w:rsidR="00C16EB9"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لا تسير مسيرة التحول الرقمي في طريق مفروشة بالنجاح دائماً، بل تعترضها جملة من العوائق الهيكلية والتنظيمية والبشرية. فعلى صعيد التحديات التقنية، تشكّل هشاشة البنية التحتية الرقمية في بعض المؤسسات عقبة جوهرية تبطئ وتيرة التحول. وعلى صعيد التحديات التنظيمية، يبرز التعارض بين متطلبات الرقمنة المتسارعة ومتطلبات الامتثال للوائح التنظيمية الصارمة. أما على صعيد التحديات البشرية، فيعدّ نقص الكفاءات الرقمية المؤهلة ومقاومة التغيير لدى بعض العاملين من أبرز العوامل المعرقِلة. وقد أكد الجوهري وآخرون (2022) في دراستهم التقييمية لمسيرة التحول الرقمي في السعودية وفقاً لمؤشر الاقتصاد الرقمي العربي أن الفجوة الرقمية والأمن السيبراني يمثلان أكبر تحديين أمام استمرار هذا التحول وتعميقه (الجوهري وآخرون، 2022)</w:t>
      </w:r>
      <w:r w:rsidRPr="00C16EB9">
        <w:rPr>
          <w:rFonts w:ascii="Simplified Arabic" w:hAnsi="Simplified Arabic" w:cs="Simplified Arabic"/>
          <w:sz w:val="28"/>
          <w:szCs w:val="28"/>
        </w:rPr>
        <w:t>.</w:t>
      </w:r>
    </w:p>
    <w:p w14:paraId="6C5EF30C" w14:textId="77777777" w:rsidR="00B879DE" w:rsidRDefault="00B879DE" w:rsidP="00C16EB9">
      <w:pPr>
        <w:spacing w:line="360" w:lineRule="auto"/>
        <w:jc w:val="lowKashida"/>
        <w:rPr>
          <w:rFonts w:ascii="Simplified Arabic" w:hAnsi="Simplified Arabic" w:cs="Simplified Arabic"/>
          <w:sz w:val="28"/>
          <w:szCs w:val="28"/>
          <w:rtl/>
        </w:rPr>
      </w:pPr>
    </w:p>
    <w:p w14:paraId="1F3FA72B" w14:textId="77777777" w:rsidR="00B879DE" w:rsidRDefault="00B879DE" w:rsidP="00C16EB9">
      <w:pPr>
        <w:spacing w:line="360" w:lineRule="auto"/>
        <w:jc w:val="lowKashida"/>
        <w:rPr>
          <w:rFonts w:ascii="Simplified Arabic" w:hAnsi="Simplified Arabic" w:cs="Simplified Arabic"/>
          <w:sz w:val="28"/>
          <w:szCs w:val="28"/>
          <w:rtl/>
        </w:rPr>
      </w:pPr>
    </w:p>
    <w:p w14:paraId="69AB3689" w14:textId="77777777" w:rsidR="00B879DE" w:rsidRPr="00C16EB9" w:rsidRDefault="00B879DE" w:rsidP="00C16EB9">
      <w:pPr>
        <w:spacing w:line="360" w:lineRule="auto"/>
        <w:jc w:val="lowKashida"/>
        <w:rPr>
          <w:rFonts w:ascii="Simplified Arabic" w:hAnsi="Simplified Arabic" w:cs="Simplified Arabic"/>
          <w:sz w:val="28"/>
          <w:szCs w:val="28"/>
        </w:rPr>
      </w:pPr>
    </w:p>
    <w:p w14:paraId="3DFF02FB" w14:textId="77777777" w:rsidR="00C16EB9" w:rsidRPr="00C16EB9" w:rsidRDefault="00C16EB9" w:rsidP="00B879DE">
      <w:pPr>
        <w:pStyle w:val="Heading2"/>
      </w:pPr>
      <w:bookmarkStart w:id="13" w:name="_Toc234430607"/>
      <w:r w:rsidRPr="00C16EB9">
        <w:rPr>
          <w:rtl/>
        </w:rPr>
        <w:lastRenderedPageBreak/>
        <w:t>ثانياً: المتغيرات التابعة</w:t>
      </w:r>
      <w:bookmarkEnd w:id="13"/>
    </w:p>
    <w:p w14:paraId="7B223F2E"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أ. الكفاءة التشغيلية</w:t>
      </w:r>
    </w:p>
    <w:p w14:paraId="6BDECC68"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مفهوم الكفاءة التشغيلية ومؤشراتها</w:t>
      </w:r>
    </w:p>
    <w:p w14:paraId="5D54A5FE" w14:textId="07CD660D"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تعرَّف الكفاءة التشغيلية في أدبيات الإدارة بأنها القدرة على تحقيق المخرجات المطلوبة بأقل قدر ممكن من المدخلات والموارد، مع الحفاظ على المستوى المطلوب من الجودة في الأداء. وتتجسد مؤشراتها الرئيسية في: تقليص التكاليف التشغيلية، وتسريع دورة الأعمال، وخفض معدلات الأخطاء، وتحسين استغلال الطاقة البشرية والتقنية المتاحة. وفي قطاع التأمين، تنعكس الكفاءة التشغيلية على سرعة إصدار الوثائق ودقة تقدير الأقساط وكفاءة معالجة المطالبات وفاعلية إدارة ملفات العملاء (سالمي، 2022)</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1370F6FD"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التحول الرقمي وأثره في الكفاءة التشغيلية</w:t>
      </w:r>
    </w:p>
    <w:p w14:paraId="6FC00918" w14:textId="759FC040"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رصدت دراسة سالمي (2022) تأثير تكنولوجيا المعلومات على تحسين أداء المؤسسات من منظور بطاقة الأداء المتوازن، مؤكدةً أن إدخال التقنيات الرقمية يحسّن في آنٍ واحد المنظور المالي ومنظور العمليات الداخلية ومنظور التعلم والنمو، مما يترجم في النهاية إلى ارتفاع ملموس في مستوى الأداء المؤسسي الشامل. وقد كشفت الدراسة أن الأتمتة وحدها تحقق خفضاً يتراوح بين 20% و40% في التكاليف التشغيلية المرتبطة بالعمليات الورقية والإجراءات اليدوية (سالمي، 2022)</w:t>
      </w:r>
      <w:r w:rsidRPr="00C16EB9">
        <w:rPr>
          <w:rFonts w:ascii="Simplified Arabic" w:hAnsi="Simplified Arabic" w:cs="Simplified Arabic"/>
          <w:sz w:val="28"/>
          <w:szCs w:val="28"/>
        </w:rPr>
        <w:t>.</w:t>
      </w:r>
    </w:p>
    <w:p w14:paraId="3529DEF9" w14:textId="573E56A5"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 xml:space="preserve">وعلى صعيد قطاع التأمين تحديداً، أثبتت دراسة بصاص وعدة (2024) المتعلقة بأثر التحول الرقمي على كفاءة وأداء القطاع المصرفي أن الرقمنة تسهم في تحسين الكفاءة التشغيلية عبر ثلاثة مسارات رئيسية: أولها تقليص الاعتماد على العمالة في العمليات الروتينية، وثانيها تسريع تدفق المعلومات بين الوحدات التنظيمية المختلفة، وثالثها تحسين دقة اتخاذ القرارات من خلال أدوات التحليل البياني الآني. </w:t>
      </w:r>
      <w:r w:rsidRPr="00C16EB9">
        <w:rPr>
          <w:rFonts w:ascii="Simplified Arabic" w:hAnsi="Simplified Arabic" w:cs="Simplified Arabic"/>
          <w:sz w:val="28"/>
          <w:szCs w:val="28"/>
          <w:rtl/>
        </w:rPr>
        <w:lastRenderedPageBreak/>
        <w:t>وتشير الدراسة إلى أن هذه المكاسب قابلة للتطبيق في أي قطاع خدمي يرتكز على إدارة البيانات، بما يشمل قطاع التأمين (بصاص وعدة، 2024)</w:t>
      </w:r>
      <w:r w:rsidRPr="00C16EB9">
        <w:rPr>
          <w:rFonts w:ascii="Simplified Arabic" w:hAnsi="Simplified Arabic" w:cs="Simplified Arabic"/>
          <w:sz w:val="28"/>
          <w:szCs w:val="28"/>
        </w:rPr>
        <w:t>.</w:t>
      </w:r>
    </w:p>
    <w:p w14:paraId="225BB6AC" w14:textId="3E9C2E97"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وتعزّز دراسة الجهمي وموسى (2023) هذه الاستنتاجات من خلال السياق السعودي المباشر، إذ تثبت أن أثر كفاءة التحول الرقمي على جودة العمليات التشغيلية في مصرف الراجحي جاء مرتفعاً جداً، وأن تطبيق أنظمة رقمية متكاملة أسفر عن تحسينات قياسية في سرعة تنفيذ المعاملات ودقتها، وهو ما ينسجم مع التوجهات البحثية الداعية إلى تعميق البحث في هذا المجال في القطاعات الخدمية المجاورة (الجهمي وموسى، 2023)</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337BB183" w14:textId="08B43678"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وتؤكد دراسة يوسف وفراج (2023) المتعلقة بسياسة التحول الرقمي والحوكمة في رفع كفاءة المؤسسات أن التحول الرقمي المقترن بمبادئ الحوكمة يحقق أثراً مضاعفاً في رفع الكفاءة المؤسسية، مشيرةً إلى أن التجارب العالمية الأكثر نجاحاً هي تلك التي جمعت بين الرقمنة التقنية وإصلاح المنظومة التنظيمية والحوكمية في توازٍ متزامن (يوسف وفراج، 2023)</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2B55BDF1"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ب. جودة الخدمة في قطاع التأمين</w:t>
      </w:r>
    </w:p>
    <w:p w14:paraId="136487BE"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مفهوم جودة الخدمة وأبعادها التأمينية</w:t>
      </w:r>
    </w:p>
    <w:p w14:paraId="596963EB" w14:textId="2D3E0C37" w:rsidR="00B879DE"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تعدّ جودة الخدمة مفهوماً نسبياً يتحدد بدرجة التقارب أو التطابق بين ما يتوقعه العميل من الخدمة وما يتلقاه فعلياً من تجربة. وقد طوّر باراسورامان وزملاؤه في الثمانينيات نموذج</w:t>
      </w:r>
      <w:r w:rsidRPr="00C16EB9">
        <w:rPr>
          <w:rFonts w:ascii="Simplified Arabic" w:hAnsi="Simplified Arabic" w:cs="Simplified Arabic"/>
          <w:sz w:val="28"/>
          <w:szCs w:val="28"/>
        </w:rPr>
        <w:t xml:space="preserve"> SERVQUAL </w:t>
      </w:r>
      <w:r w:rsidRPr="00C16EB9">
        <w:rPr>
          <w:rFonts w:ascii="Simplified Arabic" w:hAnsi="Simplified Arabic" w:cs="Simplified Arabic"/>
          <w:sz w:val="28"/>
          <w:szCs w:val="28"/>
          <w:rtl/>
        </w:rPr>
        <w:t xml:space="preserve">الذي يحدد خمسة أبعاد جوهرية لجودة الخدمة وهي: الملموسية، والاعتمادية، والاستجابة، والضمان، والتعاطف. </w:t>
      </w:r>
    </w:p>
    <w:p w14:paraId="7E9BBDA1" w14:textId="77777777" w:rsidR="00B879DE" w:rsidRDefault="00B879DE" w:rsidP="00C16EB9">
      <w:pPr>
        <w:spacing w:line="360" w:lineRule="auto"/>
        <w:jc w:val="lowKashida"/>
        <w:rPr>
          <w:rFonts w:ascii="Simplified Arabic" w:hAnsi="Simplified Arabic" w:cs="Simplified Arabic"/>
          <w:sz w:val="28"/>
          <w:szCs w:val="28"/>
          <w:rtl/>
        </w:rPr>
      </w:pPr>
    </w:p>
    <w:p w14:paraId="12B8388D" w14:textId="5E40338C"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وفي سياق قطاع التأمين تحديداً، يكتسب هذا المفهوم أبعاداً إضافية تتعلق بسرعة تسوية المطالبات، ووضوح بنود الوثيقة، وفاعلية قنوات التواصل مع العملاء، وسهولة الوصول إلى المعلومات ذات الصلة. وقد أكدت دراسة بوعلاق وخرفي (2021) في سياق تأميني جزائري أن تقييم الزبون لجودة الخدمة التأمينية يتوقف أساساً على مدى إدراكه لطبيعتها الخاصة ومدى استيفائها لتوقعاته الفعلية (بوعلاق وخرفي، 2021)</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405E395D"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علاقة التحول الرقمي بجودة الخدمات التأمينية</w:t>
      </w:r>
    </w:p>
    <w:p w14:paraId="79CB6AD7" w14:textId="16B43586"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استنتجت دراسة حمادي (2019) أن تكنولوجيا المعلومات تلعب دوراً محورياً في تحسين جودة الخدمات التي تقدمها المؤسسات الخدمية، مؤكدةً أن تبنّي الحلول الرقمية يسهم في تسريع الاستجابة للعملاء وتحسين دقة المعلومات المقدمة وتقليل الأخطاء الإجرائية، وهو ما يعزز في المحصلة تجربة العملاء ومستوى رضاهم. كما كشفت الدراسة أن اعتماد قنوات رقمية متعددة يتيح للمؤسسة الخدمية التفاعل مع العملاء في أوقات مختلفة وعبر وسائط متنوعة، مما يحسّن من إدراكهم لجودة الخدمة المقدمة (حمادي، 2019)</w:t>
      </w:r>
      <w:r w:rsidRPr="00C16EB9">
        <w:rPr>
          <w:rFonts w:ascii="Simplified Arabic" w:hAnsi="Simplified Arabic" w:cs="Simplified Arabic"/>
          <w:sz w:val="28"/>
          <w:szCs w:val="28"/>
        </w:rPr>
        <w:t>.</w:t>
      </w:r>
    </w:p>
    <w:p w14:paraId="0BCEB3F1" w14:textId="4046B2CD"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وبالمنطق ذاته، أظهرت دراسة زيدان وبوجلال (2020) في القطاع المصرفي الجزائري أن استخدام تكنولوجيا المعلومات يحدث تحسيناً ملموساً في أبعاد جودة الخدمة المصرفية كافة، لا سيما بعدَي الاعتمادية والاستجابة، وأن العملاء الذين تعاملوا مع القنوات الرقمية أبدوا تقييمات أعلى لجودة الخدمة مقارنةً بالعملاء الذين اكتفوا بالقنوات التقليدية. ونظراً للتشابه الهيكلي بين القطاع المصرفي والتأميني في آليات تقديم الخدمة، فإن نتائج هذه الدراسة ذات دلالة مرجعية عالية لموضوع البحث الحالي (زيدان وبوجلال، 2020)</w:t>
      </w:r>
      <w:r w:rsidRPr="00C16EB9">
        <w:rPr>
          <w:rFonts w:ascii="Simplified Arabic" w:hAnsi="Simplified Arabic" w:cs="Simplified Arabic"/>
          <w:sz w:val="28"/>
          <w:szCs w:val="28"/>
        </w:rPr>
        <w:t>.</w:t>
      </w:r>
    </w:p>
    <w:p w14:paraId="13D9E584" w14:textId="6AE5FF51"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وفي السياق السعودي المباشر، خلصت دراسة الشريف (2019) إلى أن جودة الخدمة الإلكترونية تمثّل العامل الحاسم في تحديد مدى نجاح التحول الرقمي في شركات التأمين، مستندةً إلى نتائج نماذج بنائية دقيقة أثبتت أن الإدراك الإيجابي للعملاء لجودة الخدمة الرقمية يشكّل المحرك الأول لمعدلات الاستخدام الفعلي للمنصات الإلكترونية. وأوصت الدراسة بإيلاء أولوية قصوى لتحسين أمان المواقع الإلكترونية وشمولية محتواها وفعالية دعمها الفني (الشريف، 2019)</w:t>
      </w:r>
      <w:r w:rsidRPr="00C16EB9">
        <w:rPr>
          <w:rFonts w:ascii="Simplified Arabic" w:hAnsi="Simplified Arabic" w:cs="Simplified Arabic"/>
          <w:sz w:val="28"/>
          <w:szCs w:val="28"/>
        </w:rPr>
        <w:t>.</w:t>
      </w:r>
    </w:p>
    <w:p w14:paraId="2946BEF0" w14:textId="1480A8A9"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أما دراسة تأثير نظام المعلومات التسويقية على جودة الخدمات في سوق التأمين (2016)، فقد أثبتت أن نظام المعلومات الرقمي يؤثر تأثيراً دالاً إحصائياً على جودة الخدمات المدركة من قِبل العملاء، مؤكدةً أن هذا التأثير يمتد ليشمل مستويات الرضا والولاء معاً، مما يعمّق من أهمية الاستثمار في منظومات المعلومات الرقمية لشركات التأمين (بلحاج، 2016)</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1A17C9B1" w14:textId="11FD0BBF"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وتقدّم دراسة ولد الشيخ (2016) في سياق شركة التأمين الوطنية</w:t>
      </w:r>
      <w:r w:rsidRPr="00C16EB9">
        <w:rPr>
          <w:rFonts w:ascii="Simplified Arabic" w:hAnsi="Simplified Arabic" w:cs="Simplified Arabic"/>
          <w:sz w:val="28"/>
          <w:szCs w:val="28"/>
        </w:rPr>
        <w:t xml:space="preserve"> SAA </w:t>
      </w:r>
      <w:r w:rsidRPr="00C16EB9">
        <w:rPr>
          <w:rFonts w:ascii="Simplified Arabic" w:hAnsi="Simplified Arabic" w:cs="Simplified Arabic"/>
          <w:sz w:val="28"/>
          <w:szCs w:val="28"/>
          <w:rtl/>
        </w:rPr>
        <w:t>دليلاً تطبيقياً على الصلة الوطيدة بين تكنولوجيا المعلومات وجودة الخدمة التأمينية، إذ أثبتت أن توظيف الأنظمة المعلوماتية في العمليات التشغيلية يحسّن سرعة الخدمة ويقلّص أوقات الانتظار ويرفع مستوى دقة البيانات المقدمة للعملاء، مما يعكس إيجاباً على تقييمهم الكلي لجودة الخدمة (ولد الشيخ، 2016)</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108481EB" w14:textId="43684318" w:rsidR="00B879DE"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وعلى صعيد تأثير التقنيات الرقمية الحديثة، درست الأدبيات التأمينية دور الابتكار التقني في تحسين جودة الخدمات التنافسية، وخلصت دراسة الخصيبي (2025) إلى أن الابتكار في أبعاده الأربعة المنتجية والعملياتية والتسويقية والتنظيمية يسهم بصورة موثوقة في تعزيز الكفاءة التشغيلية وتوسيع قاعدة العملاء، وأن شركات التأمين التي تتبنى نماذج الأعمال الرقمية المبتكرة تحقق تفوقاً تنافسياً ملموساً في أسواقها (الخصيبي، 2025)</w:t>
      </w:r>
      <w:r w:rsidRPr="00C16EB9">
        <w:rPr>
          <w:rFonts w:ascii="Simplified Arabic" w:hAnsi="Simplified Arabic" w:cs="Simplified Arabic"/>
          <w:sz w:val="28"/>
          <w:szCs w:val="28"/>
        </w:rPr>
        <w:t>.</w:t>
      </w:r>
    </w:p>
    <w:p w14:paraId="1DA1503D" w14:textId="0C4A1140" w:rsidR="00C16EB9" w:rsidRPr="00C16EB9" w:rsidRDefault="00B879DE"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Pr>
        <w:t xml:space="preserve"> </w:t>
      </w:r>
    </w:p>
    <w:p w14:paraId="508FEBD5"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lastRenderedPageBreak/>
        <w:t>ج. رضا العملاء في القطاع التأميني</w:t>
      </w:r>
    </w:p>
    <w:p w14:paraId="3C5722A5"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مفهوم رضا العملاء في سياق التحول الرقمي</w:t>
      </w:r>
    </w:p>
    <w:p w14:paraId="75D8ECBA" w14:textId="41812578"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يمثّل رضا العملاء الهدف الغائي لكل جهد تحسيني تبذله المؤسسة الخدمية، سواء أكان ذلك الجهد تقنياً أم تنظيمياً أم بشرياً. ويتحدد هذا الرضا وفق نظرية التطابق</w:t>
      </w:r>
      <w:r w:rsidRPr="00C16EB9">
        <w:rPr>
          <w:rFonts w:ascii="Simplified Arabic" w:hAnsi="Simplified Arabic" w:cs="Simplified Arabic"/>
          <w:sz w:val="28"/>
          <w:szCs w:val="28"/>
        </w:rPr>
        <w:t xml:space="preserve"> (Expectation-Confirmation Theory) </w:t>
      </w:r>
      <w:r w:rsidRPr="00C16EB9">
        <w:rPr>
          <w:rFonts w:ascii="Simplified Arabic" w:hAnsi="Simplified Arabic" w:cs="Simplified Arabic"/>
          <w:sz w:val="28"/>
          <w:szCs w:val="28"/>
          <w:rtl/>
        </w:rPr>
        <w:t>بدرجة تقارب الإدراك الفعلي للخدمة مع التوقع المسبق لها، فإن فاق الإدراك التوقع نشأ رضا مرتفع، وإن جاء دونه نشأ استياء وخيبة أمل. وفي بيئة الخدمات الرقمية، تتشكّل توقعات العملاء في ضوء تجاربهم السابقة مع منصات رقمية متميزة في قطاعات أخرى، مما يرفع لاتهم القياسية ويضغط على شركات التأمين لتحسين تجربتها الرقمية باستمرار. وقد أكدت دراسة خليل (2017) أن أبعاد جودة الخدمة الخمسة تنبئ بمستوى رضا عملاء شركات التأمين، وأن رضاهم عن الأبعاد غير الملموسة كالاستجابة والتعاطف يبقى في مستويات متوسطة يمكن للرقمنة أن ترفعها إلى حدٍّ ملحوظ (خليل، 2017)</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1DFEA524" w14:textId="77777777" w:rsidR="00C16EB9" w:rsidRPr="00C16EB9" w:rsidRDefault="00C16EB9" w:rsidP="00B879DE">
      <w:pPr>
        <w:pStyle w:val="Heading2"/>
      </w:pPr>
      <w:bookmarkStart w:id="14" w:name="_Toc234430608"/>
      <w:r w:rsidRPr="00C16EB9">
        <w:rPr>
          <w:rtl/>
        </w:rPr>
        <w:t>الدراسات المتعلقة بأثر التحول الرقمي على رضا العملاء</w:t>
      </w:r>
      <w:bookmarkEnd w:id="14"/>
    </w:p>
    <w:p w14:paraId="4D121C6F" w14:textId="7111303A"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تعدّ دراسة حمودة وعواودة (2021) من أكثر الدراسات العربية تخصيصاً في تناول أثر الخدمات الإلكترونية على رضا عملاء شركات التأمين، إذ أجريت على عينة من عملاء شركات التأمين الأردنية واستخدمت منهجية تحليل الارتباط والانحدار. وتوصلت إلى أن استخدام التسويق الإلكتروني يحدث تأثيراً إيجابياً ذا دلالة إحصائية على مستوى رضا العملاء، وأن الخدمات الرقمية التي تتسم بالسرعة والوضوح والموثوقية تشكّل المحرك الجوهري لهذا الرضا (حمودة وعواودة، 2021)</w:t>
      </w:r>
      <w:r w:rsidRPr="00C16EB9">
        <w:rPr>
          <w:rFonts w:ascii="Simplified Arabic" w:hAnsi="Simplified Arabic" w:cs="Simplified Arabic"/>
          <w:sz w:val="28"/>
          <w:szCs w:val="28"/>
        </w:rPr>
        <w:t>.</w:t>
      </w:r>
    </w:p>
    <w:p w14:paraId="1F3E01B8" w14:textId="77777777" w:rsidR="00B879DE" w:rsidRDefault="00B879DE" w:rsidP="00C16EB9">
      <w:pPr>
        <w:spacing w:line="360" w:lineRule="auto"/>
        <w:jc w:val="lowKashida"/>
        <w:rPr>
          <w:rFonts w:ascii="Simplified Arabic" w:hAnsi="Simplified Arabic" w:cs="Simplified Arabic"/>
          <w:sz w:val="28"/>
          <w:szCs w:val="28"/>
          <w:rtl/>
        </w:rPr>
      </w:pPr>
    </w:p>
    <w:p w14:paraId="4AD9BDAB" w14:textId="2F789E44"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وعلى صعيد أوسع، أثبتت دراسة بوعلاق وخرفي (2021) في سياق تأميني جزائري أن جودة الخدمة المقدمة تحدد في المقام الأول مستوى رضا العملاء، وأن التحسين في الجوانب غير الملموسة للخدمة كالاستجابة والأمان والتعاطف يحقق قفزات ملموسة في مستويات الرضا الكلي. وتضيف الدراسة أن العملاء الذين تتسق تجربتهم الرقمية مع توقعاتهم يطوّرون ميلاً قوياً نحو الاستمرارية في التعامل مع الشركة وتوصيتها لمحيطهم الاجتماعي (بوعلاق وخرفي، 2021)</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1E4E1FD1" w14:textId="4A9F858D"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وتكمل دراسة رقمنة خدمات التأمين في الجزائر (2022) هذه الصورة بإثبات أن الرقمنة التدريجية لخدمات التأمين تولّد مساراً تصاعدياً في مستويات رضا العملاء يبدأ بعد تجاوز مرحلة التكيّف مع الأنظمة الجديدة، وأن العملاء الأصغر سناً يبدون انسجاماً أسرع وأكبر مع نمط الخدمة الرقمية مقارنةً بالفئات العمرية الأكبر (حمزة، 2022)</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1CFA3E9E" w14:textId="49A865DF" w:rsidR="00C16EB9" w:rsidRPr="00C16EB9" w:rsidRDefault="00C16EB9" w:rsidP="00B879DE">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وفي إطار الأداء المؤسسي الشامل، كشفت دراسة الأداء المؤسسي في ظل التحول الرقمي في الأردن (2024) أن التحول الرقمي يرتبط ارتباطاً طردياً بمستوى رضا المتعاملين وثقتهم في المنظمات، وأن هذه العلاقة تتعزز حين يترافق التحول الرقمي مع تغييرات في ثقافة الخدمة وليس في البنية التقنية وحدها (الخزرجي، 2024)</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4740F1E3" w14:textId="77777777" w:rsidR="00C16EB9" w:rsidRPr="00C16EB9" w:rsidRDefault="00C16EB9" w:rsidP="00B879DE">
      <w:pPr>
        <w:pStyle w:val="Heading2"/>
      </w:pPr>
      <w:bookmarkStart w:id="15" w:name="_Toc234430609"/>
      <w:r w:rsidRPr="00C16EB9">
        <w:rPr>
          <w:rtl/>
        </w:rPr>
        <w:t>ثالثاً: ملخص الدراسات السابقة ومناقشتها وموقع الدراسة الحالية منها</w:t>
      </w:r>
      <w:bookmarkEnd w:id="15"/>
    </w:p>
    <w:p w14:paraId="218C7E0A"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توجهات الدراسات السابقة</w:t>
      </w:r>
    </w:p>
    <w:p w14:paraId="01B78208" w14:textId="6EEF7721" w:rsidR="00B879DE"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 xml:space="preserve">من خلال المسح الشامل للدراسات السابقة ذات الصلة، تتضح جملة من الأنماط والتوجهات البحثية الجوهرية التي تحكم المشهد المعرفي في هذا المجال. فعلى مستوى المتغير المستقل، تكاد الدراسات تجمع على أن التحول الرقمي يشكّل قوةً تحويلية لا تقتصر أثارها على تحسين الإجراءات، بل تمتد لتعيد رسم نماذج الأعمال بأسرها. </w:t>
      </w:r>
    </w:p>
    <w:p w14:paraId="25CC00AE" w14:textId="1B21FB6F"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كما تتفق معظمها على أن النجاح في هذا التحول يستلزم تضافر الأبعاد التقنية والتنظيمية والبشرية في منظومة متكاملة، لا في حزم منفصلة متوازية. وعلى مستوى المتغيرات التابعة، تتوافق الدراسات على وجود علاقة طردية موثوقة بين التحول الرقمي وكل من الكفاءة التشغيلية وجودة الخدمة ورضا العملاء، وإن كانت قوة هذه العلاقة ودرجتها تتفاوت تبعاً لطبيعة القطاع ومستوى التطبيق والبيئة التنظيمية المحيطة (بصاص وعدة، 2024؛ الجهمي وموسى، 2023؛ حمودة وعواودة، 2021)</w:t>
      </w:r>
      <w:r w:rsidRPr="00C16EB9">
        <w:rPr>
          <w:rFonts w:ascii="Simplified Arabic" w:hAnsi="Simplified Arabic" w:cs="Simplified Arabic"/>
          <w:sz w:val="28"/>
          <w:szCs w:val="28"/>
        </w:rPr>
        <w:t>.</w:t>
      </w:r>
    </w:p>
    <w:p w14:paraId="1E42CBC9" w14:textId="77777777" w:rsidR="00C16EB9" w:rsidRPr="00C16EB9" w:rsidRDefault="00C16EB9" w:rsidP="00B879DE">
      <w:pPr>
        <w:pStyle w:val="Heading2"/>
      </w:pPr>
      <w:bookmarkStart w:id="16" w:name="_Toc234430610"/>
      <w:r w:rsidRPr="00C16EB9">
        <w:rPr>
          <w:rtl/>
        </w:rPr>
        <w:t>الفجوات التي رصدتها مراجعة الأدبيات</w:t>
      </w:r>
      <w:bookmarkEnd w:id="16"/>
    </w:p>
    <w:p w14:paraId="00EC58A6" w14:textId="469B7709" w:rsidR="00B879DE"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 xml:space="preserve">على الرغم من ثراء الأدبيات المتعلقة بالتحول الرقمي وتطبيقاته، فإن مراجعة الدراسات السابقة تظهر جملة من الفجوات البحثية الجوهرية التي تبرر إجراء هذه الدراسة. </w:t>
      </w:r>
    </w:p>
    <w:p w14:paraId="7EC57FF7" w14:textId="0B1E7531" w:rsidR="00B879DE"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 xml:space="preserve">فأولاً: غالبية الدراسات التي تناولت التحول الرقمي في قطاع التأمين أجريت في سياقات جزائرية أو أردنية أو خليجية عامة، مما يفضي إلى محدودية في قدرة نتائجها على التعبير عن الواقع السعودي بدقة نظراً لاختلاف التشريعات والمعطيات التنظيمية والمستوى التقني. </w:t>
      </w:r>
    </w:p>
    <w:p w14:paraId="28536B8C" w14:textId="77777777" w:rsidR="00B879DE"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 xml:space="preserve">وثانياً: معظم الدراسات المتوفرة اقتصرت على متغير واحد أو اثنين، دون أن تتناول العلاقة التكاملية بين التحول الرقمي والكفاءة التشغيلية وجودة الخدمة ورضا العملاء في إطار نموذجي موحّد. </w:t>
      </w:r>
    </w:p>
    <w:p w14:paraId="68C7D95D" w14:textId="55EAB5F5" w:rsidR="00B879DE"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 xml:space="preserve">وثالثاً: تندر الدراسات التي تناولت وجهة نظر العملاء الفعليين تحديداً في تقييم أثر التحول الرقمي على تجربتهم مع الخدمات التأمينية السعودية، إذ اقتصر أغلبها على الموظفين أو المديرين. </w:t>
      </w:r>
    </w:p>
    <w:p w14:paraId="039096D2" w14:textId="77967FED"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ورابعاً: تغيب في الأدبيات الدراسات التي تربط التحول الرقمي بالتحديات الميدانية التي تواجه شركات التأمين السعودية في هذا المجال بصورة تفصيلية ومنهجية (الشريف، 2019؛ بن عبدالرحمان وآخرون، 2024)</w:t>
      </w:r>
      <w:r w:rsidRPr="00C16EB9">
        <w:rPr>
          <w:rFonts w:ascii="Simplified Arabic" w:hAnsi="Simplified Arabic" w:cs="Simplified Arabic"/>
          <w:sz w:val="28"/>
          <w:szCs w:val="28"/>
        </w:rPr>
        <w:t>.</w:t>
      </w:r>
    </w:p>
    <w:p w14:paraId="5CF69DA0" w14:textId="2A8290EC" w:rsidR="00C16EB9" w:rsidRPr="00C16EB9" w:rsidRDefault="00C16EB9" w:rsidP="00B879DE">
      <w:pPr>
        <w:pStyle w:val="Heading2"/>
      </w:pPr>
      <w:bookmarkStart w:id="17" w:name="_Toc234430611"/>
      <w:r w:rsidRPr="00C16EB9">
        <w:rPr>
          <w:rtl/>
        </w:rPr>
        <w:lastRenderedPageBreak/>
        <w:t>ما تضيفه الدراسة الحالية</w:t>
      </w:r>
      <w:bookmarkEnd w:id="17"/>
    </w:p>
    <w:p w14:paraId="7C09EAD3" w14:textId="56DC50D5"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تنطلق الدراسة الحالية من هذه الفجوات البحثية المشار إليها لتقدّم إسهاماً علمياً أصيلاً على عدة مستويات. فعلى مستوى السياق الجغرافي، تركّز الدراسة تركيزاً حصرياً على البيئة السعودية في مرحلة متقدمة من رؤية 2030، وهي مرحلة تتسم بنضج مؤسسي ورقمي أكبر مما شهدته الدراسات السابقة التي أجريت في سياقات أو مراحل زمنية مختلفة. وعلى مستوى النموذج البحثي، تدمج هذه الدراسة في إطار نموذجي واحد ثلاثة متغيرات تابعة (الكفاءة التشغيلية وجودة الخدمة ورضا العملاء) مع المتغير المستقل الواحد (التحول الرقمي)، مما يتيح تحليل التأثيرات المتزامنة واستكشاف العلاقات التكاملية بينها. وعلى مستوى الفئة المستهدفة، تعتمد الدراسة على مستخدمي الخدمات التأمينية الفعليين بوصفهم وحدة التحليل الأساسية، وهم الأقدر على تقديم تقييم حقيقي يعكس الواقع المعاش وليس تقييماً نظرياً أو مؤسسياً. كما تقدّم الدراسة أداة قياس موثوقة متكاملة يمكن توظيفها في بحوث مستقبلية أوسع نطاقاً في قطاع التأمين وسائر القطاعات الخدمية ذات الطابع المماثل (حمادي، 2019؛ سالمي، 2022؛ الغامدي وآخرون، 2024)</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2382897B" w14:textId="5D15CF72" w:rsid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وبهذا تمثّل الدراسة الحالية إضافةً معرفية نوعية تسدّ الفجوة الموثّقة في الأدبيات، وتبني على الأرضية التي أسستها الدراسات السابقة دون أن تكتفي بتكرارها أو استنساخها</w:t>
      </w:r>
      <w:r w:rsidRPr="00C16EB9">
        <w:rPr>
          <w:rFonts w:ascii="Simplified Arabic" w:hAnsi="Simplified Arabic" w:cs="Simplified Arabic"/>
          <w:sz w:val="28"/>
          <w:szCs w:val="28"/>
        </w:rPr>
        <w:t>.</w:t>
      </w:r>
    </w:p>
    <w:p w14:paraId="47F9038A" w14:textId="77777777" w:rsidR="00C16EB9" w:rsidRDefault="00C16EB9" w:rsidP="00C16EB9">
      <w:pPr>
        <w:spacing w:line="360" w:lineRule="auto"/>
        <w:jc w:val="lowKashida"/>
        <w:rPr>
          <w:rFonts w:ascii="Simplified Arabic" w:hAnsi="Simplified Arabic" w:cs="Simplified Arabic"/>
          <w:sz w:val="28"/>
          <w:szCs w:val="28"/>
        </w:rPr>
      </w:pPr>
    </w:p>
    <w:p w14:paraId="06E82AD9" w14:textId="77777777" w:rsidR="00C16EB9" w:rsidRDefault="00C16EB9" w:rsidP="00C16EB9">
      <w:pPr>
        <w:spacing w:line="360" w:lineRule="auto"/>
        <w:jc w:val="lowKashida"/>
        <w:rPr>
          <w:rFonts w:ascii="Simplified Arabic" w:hAnsi="Simplified Arabic" w:cs="Simplified Arabic"/>
          <w:sz w:val="28"/>
          <w:szCs w:val="28"/>
        </w:rPr>
      </w:pPr>
    </w:p>
    <w:p w14:paraId="5B884A34" w14:textId="77777777" w:rsidR="00C16EB9" w:rsidRDefault="00C16EB9" w:rsidP="00C16EB9">
      <w:pPr>
        <w:spacing w:line="360" w:lineRule="auto"/>
        <w:jc w:val="lowKashida"/>
        <w:rPr>
          <w:rFonts w:ascii="Simplified Arabic" w:hAnsi="Simplified Arabic" w:cs="Simplified Arabic"/>
          <w:sz w:val="28"/>
          <w:szCs w:val="28"/>
        </w:rPr>
      </w:pPr>
    </w:p>
    <w:p w14:paraId="37DD807D" w14:textId="77777777" w:rsidR="00C16EB9" w:rsidRDefault="00C16EB9" w:rsidP="00C16EB9">
      <w:pPr>
        <w:spacing w:line="360" w:lineRule="auto"/>
        <w:jc w:val="lowKashida"/>
        <w:rPr>
          <w:rFonts w:ascii="Simplified Arabic" w:hAnsi="Simplified Arabic" w:cs="Simplified Arabic"/>
          <w:sz w:val="28"/>
          <w:szCs w:val="28"/>
        </w:rPr>
      </w:pPr>
    </w:p>
    <w:p w14:paraId="01247DB6" w14:textId="77777777" w:rsidR="00C16EB9" w:rsidRPr="00C16EB9" w:rsidRDefault="00C16EB9" w:rsidP="00B879DE">
      <w:pPr>
        <w:pStyle w:val="Heading2"/>
      </w:pPr>
      <w:bookmarkStart w:id="18" w:name="_Toc234430612"/>
      <w:r w:rsidRPr="00C16EB9">
        <w:rPr>
          <w:rtl/>
        </w:rPr>
        <w:lastRenderedPageBreak/>
        <w:t>الإطار النظري للدراسة</w:t>
      </w:r>
      <w:bookmarkEnd w:id="18"/>
    </w:p>
    <w:p w14:paraId="125FA2B4" w14:textId="6C902200"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يشكّل الإطار النظري العمودَ الفقري لأي دراسة علمية رصينة، إذ يوفّر المنظومة المفاهيمية والنظرية التي ترتكز عليها فرضيات الدراسة، وتفسَّر في ضوئها نتائجها. ويتمثّل دور الإطار النظري في وضع متغيرات الدراسة ضمن سياقها العلمي الملائم، وبيان طبيعة العلاقات المتوقعة بينها، وتحديد النماذج والنظريات الأنسب لتفسير الظاهرة المدروسة. وتستند الدراسة الحالية في بنائها النظري إلى مجموعة من النظريات والنماذج المعتمدة أكاديمياً، في مقدمتها نموذج قبول التكنولوجيا</w:t>
      </w:r>
      <w:r w:rsidRPr="00C16EB9">
        <w:rPr>
          <w:rFonts w:ascii="Simplified Arabic" w:hAnsi="Simplified Arabic" w:cs="Simplified Arabic"/>
          <w:sz w:val="28"/>
          <w:szCs w:val="28"/>
        </w:rPr>
        <w:t xml:space="preserve"> (TAM)</w:t>
      </w:r>
      <w:r w:rsidRPr="00C16EB9">
        <w:rPr>
          <w:rFonts w:ascii="Simplified Arabic" w:hAnsi="Simplified Arabic" w:cs="Simplified Arabic"/>
          <w:sz w:val="28"/>
          <w:szCs w:val="28"/>
          <w:rtl/>
        </w:rPr>
        <w:t>، ونموذج جودة الخدمة</w:t>
      </w:r>
      <w:r w:rsidRPr="00C16EB9">
        <w:rPr>
          <w:rFonts w:ascii="Simplified Arabic" w:hAnsi="Simplified Arabic" w:cs="Simplified Arabic"/>
          <w:sz w:val="28"/>
          <w:szCs w:val="28"/>
        </w:rPr>
        <w:t xml:space="preserve"> (SERVQUAL)</w:t>
      </w:r>
      <w:r w:rsidRPr="00C16EB9">
        <w:rPr>
          <w:rFonts w:ascii="Simplified Arabic" w:hAnsi="Simplified Arabic" w:cs="Simplified Arabic"/>
          <w:sz w:val="28"/>
          <w:szCs w:val="28"/>
          <w:rtl/>
        </w:rPr>
        <w:t>، ونظرية التطابق بين التوقع والإدراك، فضلاً عن نظرية الموارد والكفاءات، وهي نظريات متكاملة تتيح تفسيراً وافياً للعلاقة بين التحول الرقمي بوصفه متغيراً مستقلاً وكلٍّ من الكفاءة التشغيلية وجودة الخدمة ورضا العملاء بوصفها متغيرات تابعة في قطاع التأمين (الشريف، 2019؛ سالمي، 2022)</w:t>
      </w:r>
      <w:r w:rsidRPr="00C16EB9">
        <w:rPr>
          <w:rFonts w:ascii="Simplified Arabic" w:hAnsi="Simplified Arabic" w:cs="Simplified Arabic"/>
          <w:sz w:val="28"/>
          <w:szCs w:val="28"/>
        </w:rPr>
        <w:t>.</w:t>
      </w:r>
    </w:p>
    <w:p w14:paraId="426F4D25" w14:textId="77777777" w:rsidR="00C16EB9" w:rsidRPr="00C16EB9" w:rsidRDefault="00C16EB9" w:rsidP="00B879DE">
      <w:pPr>
        <w:pStyle w:val="Heading2"/>
      </w:pPr>
      <w:bookmarkStart w:id="19" w:name="_Toc234430613"/>
      <w:r w:rsidRPr="00C16EB9">
        <w:rPr>
          <w:rtl/>
        </w:rPr>
        <w:t>أولاً: المفاهيم الأساسية للدراسة</w:t>
      </w:r>
      <w:bookmarkEnd w:id="19"/>
    </w:p>
    <w:p w14:paraId="42EF4C26"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Pr>
        <w:t xml:space="preserve">1. </w:t>
      </w:r>
      <w:r w:rsidRPr="00C16EB9">
        <w:rPr>
          <w:rFonts w:ascii="Simplified Arabic" w:hAnsi="Simplified Arabic" w:cs="Simplified Arabic"/>
          <w:b/>
          <w:bCs/>
          <w:sz w:val="28"/>
          <w:szCs w:val="28"/>
          <w:rtl/>
        </w:rPr>
        <w:t>مفهوم التحول الرقمي</w:t>
      </w:r>
    </w:p>
    <w:p w14:paraId="6E1D2E88" w14:textId="77777777" w:rsidR="00B879DE"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 xml:space="preserve">التحول الرقمي مصطلح مركّب يستعصي تعريفه في حدود ضيّقة، نظراً لتشعّب أبعاده وامتداد تأثيراته عبر مستويات متعددة من المنظومة التنظيمية. فهو في جوهره يعني استخدام التقنيات الرقمية الحديثة لإحداث تحوّل جذري في طريقة عمل المؤسسة وتقديمها للقيمة لمتعاملين. ولا يقتصر هذا التحول على رقمنة الوثائق وأتمتة الإجراءات، بل يمتد إلى إعادة تصميم نماذج الأعمال، وتجديد ثقافة العمل، وتطوير مهارات الكوادر البشرية، واستحداث منصات إلكترونية تمكّن من تقديم خدمات جديدة لم تكن ممكنة في البيئة التقليدية. </w:t>
      </w:r>
    </w:p>
    <w:p w14:paraId="7149211F" w14:textId="70755A0D"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وقد أكدت دراسة بن عبدالرحمان وآخرون (2024) أن التحول الرقمي في قطاع التأمين التكافلي السعودي يتجلى في النمو المتسارع لحجم الأقساط المكتتبة إلكترونياً، وفي تنوع قنوات التوزيع الرقمية، وفي ظهور كيانات تقنية متخصصة</w:t>
      </w:r>
      <w:r w:rsidRPr="00C16EB9">
        <w:rPr>
          <w:rFonts w:ascii="Simplified Arabic" w:hAnsi="Simplified Arabic" w:cs="Simplified Arabic"/>
          <w:sz w:val="28"/>
          <w:szCs w:val="28"/>
        </w:rPr>
        <w:t xml:space="preserve"> (</w:t>
      </w:r>
      <w:proofErr w:type="spellStart"/>
      <w:r w:rsidRPr="00C16EB9">
        <w:rPr>
          <w:rFonts w:ascii="Simplified Arabic" w:hAnsi="Simplified Arabic" w:cs="Simplified Arabic"/>
          <w:sz w:val="28"/>
          <w:szCs w:val="28"/>
        </w:rPr>
        <w:t>InsurTech</w:t>
      </w:r>
      <w:proofErr w:type="spellEnd"/>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تعيد رسم قواعد التنافس في هذا السوق</w:t>
      </w:r>
      <w:r w:rsidRPr="00C16EB9">
        <w:rPr>
          <w:rFonts w:ascii="Simplified Arabic" w:hAnsi="Simplified Arabic" w:cs="Simplified Arabic"/>
          <w:sz w:val="28"/>
          <w:szCs w:val="28"/>
        </w:rPr>
        <w:t>.</w:t>
      </w:r>
    </w:p>
    <w:p w14:paraId="1D88A1DE" w14:textId="77777777"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وتتوزّع أبعاد التحول الرقمي في أدبيات الإدارة الحديثة على ثلاثة مستويات متصاعدة: أولها الرقمنة</w:t>
      </w:r>
      <w:r w:rsidRPr="00C16EB9">
        <w:rPr>
          <w:rFonts w:ascii="Simplified Arabic" w:hAnsi="Simplified Arabic" w:cs="Simplified Arabic"/>
          <w:sz w:val="28"/>
          <w:szCs w:val="28"/>
        </w:rPr>
        <w:t xml:space="preserve"> (Digitization) </w:t>
      </w:r>
      <w:r w:rsidRPr="00C16EB9">
        <w:rPr>
          <w:rFonts w:ascii="Simplified Arabic" w:hAnsi="Simplified Arabic" w:cs="Simplified Arabic"/>
          <w:sz w:val="28"/>
          <w:szCs w:val="28"/>
          <w:rtl/>
        </w:rPr>
        <w:t>وتعني تحويل المحتوى والبيانات من صيغتها التناظرية إلى صيغة رقمية قابلة للمعالجة الآلية، وثانيها التحوّل الإلكتروني</w:t>
      </w:r>
      <w:r w:rsidRPr="00C16EB9">
        <w:rPr>
          <w:rFonts w:ascii="Simplified Arabic" w:hAnsi="Simplified Arabic" w:cs="Simplified Arabic"/>
          <w:sz w:val="28"/>
          <w:szCs w:val="28"/>
        </w:rPr>
        <w:t xml:space="preserve"> (Digitalization) </w:t>
      </w:r>
      <w:r w:rsidRPr="00C16EB9">
        <w:rPr>
          <w:rFonts w:ascii="Simplified Arabic" w:hAnsi="Simplified Arabic" w:cs="Simplified Arabic"/>
          <w:sz w:val="28"/>
          <w:szCs w:val="28"/>
          <w:rtl/>
        </w:rPr>
        <w:t>الذي يوظّف البنية الرقمية في تحسين العمليات القائمة وزيادة كفاءتها، وثالثها التحول الرقمي الشامل</w:t>
      </w:r>
      <w:r w:rsidRPr="00C16EB9">
        <w:rPr>
          <w:rFonts w:ascii="Simplified Arabic" w:hAnsi="Simplified Arabic" w:cs="Simplified Arabic"/>
          <w:sz w:val="28"/>
          <w:szCs w:val="28"/>
        </w:rPr>
        <w:t xml:space="preserve"> (Digital Transformation) </w:t>
      </w:r>
      <w:r w:rsidRPr="00C16EB9">
        <w:rPr>
          <w:rFonts w:ascii="Simplified Arabic" w:hAnsi="Simplified Arabic" w:cs="Simplified Arabic"/>
          <w:sz w:val="28"/>
          <w:szCs w:val="28"/>
          <w:rtl/>
        </w:rPr>
        <w:t>الذي يمثّل إعادة تصميم المنظمة بأسرها وفق رؤية رقمية استراتيجية شاملة. ولتحقيق هذا المستوى الثالث، أثبتت دراسة الغامدي وآخرون (2024) ضرورة توافر ثلاثة شروط متزامنة: القيادة الرقمية الواعية، والاستثمار المتواصل في البنية التحتية التقنية، وإعادة بناء الثقافة التنظيمية على أسس الابتكار والمرونة والتعلم المستمر</w:t>
      </w:r>
      <w:r w:rsidRPr="00C16EB9">
        <w:rPr>
          <w:rFonts w:ascii="Simplified Arabic" w:hAnsi="Simplified Arabic" w:cs="Simplified Arabic"/>
          <w:sz w:val="28"/>
          <w:szCs w:val="28"/>
        </w:rPr>
        <w:t>.</w:t>
      </w:r>
    </w:p>
    <w:p w14:paraId="1DB68204" w14:textId="65C248E2"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وفيما يخص أبعاد التحول الرقمي التي ستعتمد في هذه الدراسة، فقد رسمت الأدبيات أربعة أبعاد محورية قابلة للقياس والتحليل الميداني: البعد الأول هو تقنية المعلومات والبنية التحتية الرقمية ويشمل جاهزية الأنظمة وتكاملها واستقرارها، والبعد الثاني هو المنصات الإلكترونية وتجربة المستخدم ويشمل سهولة الاستخدام وجودة واجهات التفاعل والوصول متعدد القنوات، والبعد الثالث هو تحليل البيانات واتخاذ القرارات المدعوم بالذكاء الاصطناعي وتقنيات البيانات الضخمة، والبعد الرابع هو الكفاءات البشرية الرقمية التي تعكس مستوى المهارات الرقمية لدى العاملين ودرجة جاهزيتهم للتحول. وقد عزّزت دراسة الجوهري وآخرون (2022) هذا التصنيف مشيرةً إلى أن الفجوة الرقمية تشكّل العائق الأبرز أمام استدامة هذه الأبعاد في المؤسسات الخليجية</w:t>
      </w:r>
      <w:r w:rsidRPr="00C16EB9">
        <w:rPr>
          <w:rFonts w:ascii="Simplified Arabic" w:hAnsi="Simplified Arabic" w:cs="Simplified Arabic"/>
          <w:sz w:val="28"/>
          <w:szCs w:val="28"/>
        </w:rPr>
        <w:t>.</w:t>
      </w:r>
    </w:p>
    <w:p w14:paraId="7DA6880D"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Pr>
        <w:lastRenderedPageBreak/>
        <w:t xml:space="preserve">2. </w:t>
      </w:r>
      <w:r w:rsidRPr="00C16EB9">
        <w:rPr>
          <w:rFonts w:ascii="Simplified Arabic" w:hAnsi="Simplified Arabic" w:cs="Simplified Arabic"/>
          <w:b/>
          <w:bCs/>
          <w:sz w:val="28"/>
          <w:szCs w:val="28"/>
          <w:rtl/>
        </w:rPr>
        <w:t>مفهوم الكفاءة التشغيلية</w:t>
      </w:r>
    </w:p>
    <w:p w14:paraId="78BE4831" w14:textId="7BEB39D5"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تعرَّف الكفاءة التشغيلية في الأدبيات الإدارية بأنها مقياس نسبي يعكس مدى قدرة المنظمة على تحويل مواردها المتاحة إلى مخرجات ملموسة بأعلى مستوى ممكن من الإتقان وأدنى مستوى مقبول من التكاليف والمهدر. وهي بذلك تختلف عن مفهوم الفاعلية التي تعني تحقيق الأهداف الصحيحة، في حين تعني الكفاءة تحقيق الأهداف بالطريقة الصحيحة. وفي السياق التأميني، تتجسد مؤشرات الكفاءة التشغيلية في معدلات إصدار الوثائق ودقتها، وسرعة البت في المطالبات، ونسبة الأخطاء في العمليات، ومؤشر نفقة الخسائر</w:t>
      </w:r>
      <w:r w:rsidRPr="00C16EB9">
        <w:rPr>
          <w:rFonts w:ascii="Simplified Arabic" w:hAnsi="Simplified Arabic" w:cs="Simplified Arabic"/>
          <w:sz w:val="28"/>
          <w:szCs w:val="28"/>
        </w:rPr>
        <w:t xml:space="preserve"> (Loss Ratio) </w:t>
      </w:r>
      <w:r w:rsidRPr="00C16EB9">
        <w:rPr>
          <w:rFonts w:ascii="Simplified Arabic" w:hAnsi="Simplified Arabic" w:cs="Simplified Arabic"/>
          <w:sz w:val="28"/>
          <w:szCs w:val="28"/>
          <w:rtl/>
        </w:rPr>
        <w:t>والنفقات الإدارية، وعدد الوثائق التي ينجزها كل موظف. وقد أثبتت دراسة سالمي (2022) من خلال نموذج بطاقة الأداء المتوازن أن المؤسسات التي تتبنى حلولاً رقمية متكاملة تحقق مكاسب معتبرة عبر المنظورات الأربعة للأداء: المالية والعمليات الداخلية والتعلم والنمو والمتعاملين</w:t>
      </w:r>
      <w:r w:rsidRPr="00C16EB9">
        <w:rPr>
          <w:rFonts w:ascii="Simplified Arabic" w:hAnsi="Simplified Arabic" w:cs="Simplified Arabic"/>
          <w:sz w:val="28"/>
          <w:szCs w:val="28"/>
        </w:rPr>
        <w:t>.</w:t>
      </w:r>
    </w:p>
    <w:p w14:paraId="36E4682D" w14:textId="77777777"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وتستمد الكفاءة التشغيلية في الدراسة الحالية أبعادها الإجرائية من أربعة محاور: محور سرعة الإنجاز ويقيس زمن استيفاء طلبات العملاء وإصدار الوثائق وتسوية الحوادث، ومحور دقة العمليات ويقيس معدلات الأخطاء وإعادة المعالجة، ومحور خفض التكاليف ويقيس نسبة التكاليف الإدارية إلى الإيرادات مقارنةً بالمرحلة السابقة للرقمنة، ومحور الاستغلال الأمثل للموارد ويقيس نسبة الطاقة البشرية الموجهة لأعمال ذات قيمة مضافة مقابل الأعمال الروتينية التي أتمتتها الحلول الرقمية. وقد دعّم الجهمي وموسى (2023) هذه المحاور إمبريقياً حين أثبتا أن تطبيق أنظمة رقمية متكاملة في مصرف الراجحي أسفر عن ارتفاع ملحوظ في كفاءة العمليات التشغيلية بكل هذه الأبعاد</w:t>
      </w:r>
      <w:r w:rsidRPr="00C16EB9">
        <w:rPr>
          <w:rFonts w:ascii="Simplified Arabic" w:hAnsi="Simplified Arabic" w:cs="Simplified Arabic"/>
          <w:sz w:val="28"/>
          <w:szCs w:val="28"/>
        </w:rPr>
        <w:t>.</w:t>
      </w:r>
    </w:p>
    <w:p w14:paraId="3AF43FBB" w14:textId="77777777" w:rsidR="00B879DE" w:rsidRDefault="00B879DE" w:rsidP="00C16EB9">
      <w:pPr>
        <w:spacing w:line="360" w:lineRule="auto"/>
        <w:jc w:val="lowKashida"/>
        <w:rPr>
          <w:rFonts w:ascii="Simplified Arabic" w:hAnsi="Simplified Arabic" w:cs="Simplified Arabic"/>
          <w:b/>
          <w:bCs/>
          <w:sz w:val="28"/>
          <w:szCs w:val="28"/>
          <w:rtl/>
        </w:rPr>
      </w:pPr>
    </w:p>
    <w:p w14:paraId="248618B6" w14:textId="77777777" w:rsidR="00B879DE" w:rsidRDefault="00B879DE" w:rsidP="00C16EB9">
      <w:pPr>
        <w:spacing w:line="360" w:lineRule="auto"/>
        <w:jc w:val="lowKashida"/>
        <w:rPr>
          <w:rFonts w:ascii="Simplified Arabic" w:hAnsi="Simplified Arabic" w:cs="Simplified Arabic"/>
          <w:b/>
          <w:bCs/>
          <w:sz w:val="28"/>
          <w:szCs w:val="28"/>
          <w:rtl/>
        </w:rPr>
      </w:pPr>
    </w:p>
    <w:p w14:paraId="737D613C" w14:textId="473DAF9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Pr>
        <w:lastRenderedPageBreak/>
        <w:t xml:space="preserve">3. </w:t>
      </w:r>
      <w:r w:rsidRPr="00C16EB9">
        <w:rPr>
          <w:rFonts w:ascii="Simplified Arabic" w:hAnsi="Simplified Arabic" w:cs="Simplified Arabic"/>
          <w:b/>
          <w:bCs/>
          <w:sz w:val="28"/>
          <w:szCs w:val="28"/>
          <w:rtl/>
        </w:rPr>
        <w:t>مفهوم جودة الخدمة في القطاع التأميني</w:t>
      </w:r>
    </w:p>
    <w:p w14:paraId="2C08214D" w14:textId="0A16A66E"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تعدّ جودة الخدمة من أكثر المفاهيم الإدارية والتسويقية تناولاً في الأدبيات المتخصصة منذ ثمانينيات القرن الماضي حتى اليوم، غير أنها تكتسب في القطاع التأميني خصوصية استثنائية تتمثل في طبيعة الخدمة التأمينية كمنتج غير ملموس يقوم على الوعد، إذ يدفع العميل أقساطاً منتظمة مقابل وعد بالتعويض عند وقوع الكارثة. وهذه الطبيعة تجعل تقييم الجودة في التأمين مرتبطاً ارتباطاً وثيقاً بمدى وضوح بنود العقد وسرعة تسوية المطالبات وعدالتها، والمعاملة الشخصية التي يحظى بها العميل في كل نقطة تواصل مع الشركة. وقد أكدت دراسة بوعلاق وخرفي (2021) أن تقييم الزبون لجودة الخدمة التأمينية يتشكّل من خلال إدراكه لطبيعتها الخاصة ومدى تحقيقها لتوقعاته خلال مرحلتي إبرام العقد والاستفادة منه عند الحاجة</w:t>
      </w:r>
      <w:r w:rsidRPr="00C16EB9">
        <w:rPr>
          <w:rFonts w:ascii="Simplified Arabic" w:hAnsi="Simplified Arabic" w:cs="Simplified Arabic"/>
          <w:sz w:val="28"/>
          <w:szCs w:val="28"/>
        </w:rPr>
        <w:t>.</w:t>
      </w:r>
    </w:p>
    <w:p w14:paraId="4EF24D08" w14:textId="2A673827"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وتستند الدراسة الحالية في قياس جودة الخدمة إلى الأبعاد الخمسة لنموذج</w:t>
      </w:r>
      <w:r w:rsidRPr="00C16EB9">
        <w:rPr>
          <w:rFonts w:ascii="Simplified Arabic" w:hAnsi="Simplified Arabic" w:cs="Simplified Arabic"/>
          <w:sz w:val="28"/>
          <w:szCs w:val="28"/>
        </w:rPr>
        <w:t xml:space="preserve"> SERVQUAL </w:t>
      </w:r>
      <w:r w:rsidRPr="00C16EB9">
        <w:rPr>
          <w:rFonts w:ascii="Simplified Arabic" w:hAnsi="Simplified Arabic" w:cs="Simplified Arabic"/>
          <w:sz w:val="28"/>
          <w:szCs w:val="28"/>
          <w:rtl/>
        </w:rPr>
        <w:t>في نسخته المعدّلة للخدمات التأمينية الرقمية: بعد الموثوقية</w:t>
      </w:r>
      <w:r w:rsidRPr="00C16EB9">
        <w:rPr>
          <w:rFonts w:ascii="Simplified Arabic" w:hAnsi="Simplified Arabic" w:cs="Simplified Arabic"/>
          <w:sz w:val="28"/>
          <w:szCs w:val="28"/>
        </w:rPr>
        <w:t xml:space="preserve"> (Reliability) </w:t>
      </w:r>
      <w:r w:rsidRPr="00C16EB9">
        <w:rPr>
          <w:rFonts w:ascii="Simplified Arabic" w:hAnsi="Simplified Arabic" w:cs="Simplified Arabic"/>
          <w:sz w:val="28"/>
          <w:szCs w:val="28"/>
          <w:rtl/>
        </w:rPr>
        <w:t>الذي يقيس القدرة على تقديم الخدمة المَعقود عليها بدقة واتساق، وبعد الاستجابة</w:t>
      </w:r>
      <w:r w:rsidRPr="00C16EB9">
        <w:rPr>
          <w:rFonts w:ascii="Simplified Arabic" w:hAnsi="Simplified Arabic" w:cs="Simplified Arabic"/>
          <w:sz w:val="28"/>
          <w:szCs w:val="28"/>
        </w:rPr>
        <w:t xml:space="preserve"> (Responsiveness) </w:t>
      </w:r>
      <w:r w:rsidRPr="00C16EB9">
        <w:rPr>
          <w:rFonts w:ascii="Simplified Arabic" w:hAnsi="Simplified Arabic" w:cs="Simplified Arabic"/>
          <w:sz w:val="28"/>
          <w:szCs w:val="28"/>
          <w:rtl/>
        </w:rPr>
        <w:t>الذي يقيس سرعة التفاعل مع طلبات العملاء واستفساراتهم عبر القنوات الرقمية، وبعد الضمان</w:t>
      </w:r>
      <w:r w:rsidRPr="00C16EB9">
        <w:rPr>
          <w:rFonts w:ascii="Simplified Arabic" w:hAnsi="Simplified Arabic" w:cs="Simplified Arabic"/>
          <w:sz w:val="28"/>
          <w:szCs w:val="28"/>
        </w:rPr>
        <w:t xml:space="preserve"> (Assurance) </w:t>
      </w:r>
      <w:r w:rsidRPr="00C16EB9">
        <w:rPr>
          <w:rFonts w:ascii="Simplified Arabic" w:hAnsi="Simplified Arabic" w:cs="Simplified Arabic"/>
          <w:sz w:val="28"/>
          <w:szCs w:val="28"/>
          <w:rtl/>
        </w:rPr>
        <w:t>الذي يقيس مدى الثقة في المعاملات الرقمية وكفاءة الموظفين في التعامل مع متطلبات العملاء، وبعد التعاطف</w:t>
      </w:r>
      <w:r w:rsidRPr="00C16EB9">
        <w:rPr>
          <w:rFonts w:ascii="Simplified Arabic" w:hAnsi="Simplified Arabic" w:cs="Simplified Arabic"/>
          <w:sz w:val="28"/>
          <w:szCs w:val="28"/>
        </w:rPr>
        <w:t xml:space="preserve"> (Empathy) </w:t>
      </w:r>
      <w:r w:rsidRPr="00C16EB9">
        <w:rPr>
          <w:rFonts w:ascii="Simplified Arabic" w:hAnsi="Simplified Arabic" w:cs="Simplified Arabic"/>
          <w:sz w:val="28"/>
          <w:szCs w:val="28"/>
          <w:rtl/>
        </w:rPr>
        <w:t>الذي يقيس درجة الاهتمام الشخصي والاستعداد للتفهم الفردي لكل عميل، وبعد الملموسية</w:t>
      </w:r>
      <w:r w:rsidRPr="00C16EB9">
        <w:rPr>
          <w:rFonts w:ascii="Simplified Arabic" w:hAnsi="Simplified Arabic" w:cs="Simplified Arabic"/>
          <w:sz w:val="28"/>
          <w:szCs w:val="28"/>
        </w:rPr>
        <w:t xml:space="preserve"> (Tangibles) </w:t>
      </w:r>
      <w:r w:rsidRPr="00C16EB9">
        <w:rPr>
          <w:rFonts w:ascii="Simplified Arabic" w:hAnsi="Simplified Arabic" w:cs="Simplified Arabic"/>
          <w:sz w:val="28"/>
          <w:szCs w:val="28"/>
          <w:rtl/>
        </w:rPr>
        <w:t>الذي يقيس جودة المنصات الرقمية من حيث التصميم وسهولة الاستخدام والواجهات التفاعلية. وقد أثبتت دراسة عثماني وآخرون (2017) من خلال تطبيق ميداني على شركة</w:t>
      </w:r>
      <w:r w:rsidRPr="00C16EB9">
        <w:rPr>
          <w:rFonts w:ascii="Simplified Arabic" w:hAnsi="Simplified Arabic" w:cs="Simplified Arabic"/>
          <w:sz w:val="28"/>
          <w:szCs w:val="28"/>
        </w:rPr>
        <w:t xml:space="preserve"> AXA </w:t>
      </w:r>
      <w:r w:rsidRPr="00C16EB9">
        <w:rPr>
          <w:rFonts w:ascii="Simplified Arabic" w:hAnsi="Simplified Arabic" w:cs="Simplified Arabic"/>
          <w:sz w:val="28"/>
          <w:szCs w:val="28"/>
          <w:rtl/>
        </w:rPr>
        <w:t>للتأمينات أن نموذج</w:t>
      </w:r>
      <w:r w:rsidRPr="00C16EB9">
        <w:rPr>
          <w:rFonts w:ascii="Simplified Arabic" w:hAnsi="Simplified Arabic" w:cs="Simplified Arabic"/>
          <w:sz w:val="28"/>
          <w:szCs w:val="28"/>
        </w:rPr>
        <w:t xml:space="preserve"> SERVQUAL </w:t>
      </w:r>
      <w:r w:rsidRPr="00C16EB9">
        <w:rPr>
          <w:rFonts w:ascii="Simplified Arabic" w:hAnsi="Simplified Arabic" w:cs="Simplified Arabic"/>
          <w:sz w:val="28"/>
          <w:szCs w:val="28"/>
          <w:rtl/>
        </w:rPr>
        <w:t>يعدّ الأداة الأنسب لقياس جودة أداء الخدمات التأمينية من منظور العميل</w:t>
      </w:r>
      <w:r w:rsidRPr="00C16EB9">
        <w:rPr>
          <w:rFonts w:ascii="Simplified Arabic" w:hAnsi="Simplified Arabic" w:cs="Simplified Arabic"/>
          <w:sz w:val="28"/>
          <w:szCs w:val="28"/>
        </w:rPr>
        <w:t>.</w:t>
      </w:r>
    </w:p>
    <w:p w14:paraId="4081FF60"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Pr>
        <w:lastRenderedPageBreak/>
        <w:t xml:space="preserve">4. </w:t>
      </w:r>
      <w:r w:rsidRPr="00C16EB9">
        <w:rPr>
          <w:rFonts w:ascii="Simplified Arabic" w:hAnsi="Simplified Arabic" w:cs="Simplified Arabic"/>
          <w:b/>
          <w:bCs/>
          <w:sz w:val="28"/>
          <w:szCs w:val="28"/>
          <w:rtl/>
        </w:rPr>
        <w:t>مفهوم رضا العملاء في البيئة الرقمية</w:t>
      </w:r>
    </w:p>
    <w:p w14:paraId="562EED0D" w14:textId="4AECBF97"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رضا العملاء هو الحكم التقييمي الذي يصدره المستفيد على مجمل تجربته مع الخدمة بعد الاستخدام الفعلي، إذ يقارن بين ما توقعه مسبقاً وما تلقّاه فعلياً، فإن تحقق التوافق أو الفوق بين الإدراك والتوقع نشأ الرضا، وإن جاء الإدراك دون التوقع نشأ الاستياء. وفي سياق الخدمات الرقمية التأمينية، تتشكّل توقعات العملاء من خلال معايير قياسية مرتفعة مستقاة من تجاربهم في قطاعات رقمية أخرى كالمصرفية الإلكترونية والتجارة الإلكترونية. وقد توصّلت دراسة حمودة وعواودة (2021) في السياق الأردني إلى أن التسويق الإلكتروني الذي يتسم بالوضوح والسرعة والموثوقية يحدث أثراً إيجابياً ذا دلالة إحصائية على مستوى رضا عملاء شركات التأمين</w:t>
      </w:r>
      <w:r w:rsidRPr="00C16EB9">
        <w:rPr>
          <w:rFonts w:ascii="Simplified Arabic" w:hAnsi="Simplified Arabic" w:cs="Simplified Arabic"/>
          <w:sz w:val="28"/>
          <w:szCs w:val="28"/>
        </w:rPr>
        <w:t>.</w:t>
      </w:r>
    </w:p>
    <w:p w14:paraId="6148EA21" w14:textId="57BF0EDC"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وتتحدد أبعاد رضا العملاء في الدراسة الحالية عبر ثلاثة محاور متكاملة: أولها رضا المعاملة</w:t>
      </w:r>
      <w:r w:rsidRPr="00C16EB9">
        <w:rPr>
          <w:rFonts w:ascii="Simplified Arabic" w:hAnsi="Simplified Arabic" w:cs="Simplified Arabic"/>
          <w:sz w:val="28"/>
          <w:szCs w:val="28"/>
        </w:rPr>
        <w:t xml:space="preserve"> (Transaction Satisfaction) </w:t>
      </w:r>
      <w:r w:rsidRPr="00C16EB9">
        <w:rPr>
          <w:rFonts w:ascii="Simplified Arabic" w:hAnsi="Simplified Arabic" w:cs="Simplified Arabic"/>
          <w:sz w:val="28"/>
          <w:szCs w:val="28"/>
          <w:rtl/>
        </w:rPr>
        <w:t>الذي يقيس الرضا الآني عن كل تفاعل محدد مع المنصة الرقمية أو مع موظفي الشركة، وثانيها الرضا التراكمي</w:t>
      </w:r>
      <w:r w:rsidRPr="00C16EB9">
        <w:rPr>
          <w:rFonts w:ascii="Simplified Arabic" w:hAnsi="Simplified Arabic" w:cs="Simplified Arabic"/>
          <w:sz w:val="28"/>
          <w:szCs w:val="28"/>
        </w:rPr>
        <w:t xml:space="preserve"> (Cumulative Satisfaction) </w:t>
      </w:r>
      <w:r w:rsidRPr="00C16EB9">
        <w:rPr>
          <w:rFonts w:ascii="Simplified Arabic" w:hAnsi="Simplified Arabic" w:cs="Simplified Arabic"/>
          <w:sz w:val="28"/>
          <w:szCs w:val="28"/>
          <w:rtl/>
        </w:rPr>
        <w:t>الذي يقيس التقييم الكلي المتراكم لكامل مسيرة التعامل مع الشركة عبر الزمن، وثالثها الرضا المقارن الذي يقيس مدى تفضيل العميل للشركة مقارنةً بمنافسيها. وقد أكدت دراسة الخزرجي (2024) أن التحول الرقمي المقرون بتغيير ثقافة الخدمة يحقق نقلات نوعية في هذه الأبعاد الثلاثة</w:t>
      </w:r>
      <w:r w:rsidRPr="00C16EB9">
        <w:rPr>
          <w:rFonts w:ascii="Simplified Arabic" w:hAnsi="Simplified Arabic" w:cs="Simplified Arabic"/>
          <w:sz w:val="28"/>
          <w:szCs w:val="28"/>
        </w:rPr>
        <w:t>.</w:t>
      </w:r>
    </w:p>
    <w:p w14:paraId="66C35644" w14:textId="77777777" w:rsidR="00C16EB9" w:rsidRPr="00C16EB9" w:rsidRDefault="00C16EB9" w:rsidP="00B879DE">
      <w:pPr>
        <w:pStyle w:val="Heading2"/>
      </w:pPr>
      <w:bookmarkStart w:id="20" w:name="_Toc234430614"/>
      <w:r w:rsidRPr="00C16EB9">
        <w:rPr>
          <w:rtl/>
        </w:rPr>
        <w:t>ثانياً: النظريات المرجعية للدراسة</w:t>
      </w:r>
      <w:bookmarkEnd w:id="20"/>
    </w:p>
    <w:p w14:paraId="6ED153C7"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Pr>
        <w:t xml:space="preserve">1. </w:t>
      </w:r>
      <w:r w:rsidRPr="00C16EB9">
        <w:rPr>
          <w:rFonts w:ascii="Simplified Arabic" w:hAnsi="Simplified Arabic" w:cs="Simplified Arabic"/>
          <w:b/>
          <w:bCs/>
          <w:sz w:val="28"/>
          <w:szCs w:val="28"/>
          <w:rtl/>
        </w:rPr>
        <w:t>نموذج قبول التكنولوجيا</w:t>
      </w:r>
      <w:r w:rsidRPr="00C16EB9">
        <w:rPr>
          <w:rFonts w:ascii="Simplified Arabic" w:hAnsi="Simplified Arabic" w:cs="Simplified Arabic"/>
          <w:b/>
          <w:bCs/>
          <w:sz w:val="28"/>
          <w:szCs w:val="28"/>
        </w:rPr>
        <w:t xml:space="preserve"> (Technology Acceptance Model – TAM)</w:t>
      </w:r>
    </w:p>
    <w:p w14:paraId="3BCF3439" w14:textId="2CDF2D7F" w:rsidR="00B879DE"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 xml:space="preserve">يمثّل نموذج قبول التكنولوجيا المطوَّر في أصله من قِبَل ديفيس عام 1989، الإطارَ النظري الأكثر توظيفاً في الأبحاث العربية والدولية المتعلقة بتبنّي الأفراد للأنظمة التكنولوجية والخدمات الرقمية. </w:t>
      </w:r>
    </w:p>
    <w:p w14:paraId="6F87FAC4" w14:textId="3F8CCC5E"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ويرتكز النموذج على افتراض مفاده أن قبول الفرد لأي تقنية جديدة يتحدد بمتغيرين نفسيين مباشرين: أولهما الفائدة المدركة</w:t>
      </w:r>
      <w:r w:rsidRPr="00C16EB9">
        <w:rPr>
          <w:rFonts w:ascii="Simplified Arabic" w:hAnsi="Simplified Arabic" w:cs="Simplified Arabic"/>
          <w:sz w:val="28"/>
          <w:szCs w:val="28"/>
        </w:rPr>
        <w:t xml:space="preserve"> (Perceived Usefulness) </w:t>
      </w:r>
      <w:r w:rsidRPr="00C16EB9">
        <w:rPr>
          <w:rFonts w:ascii="Simplified Arabic" w:hAnsi="Simplified Arabic" w:cs="Simplified Arabic"/>
          <w:sz w:val="28"/>
          <w:szCs w:val="28"/>
          <w:rtl/>
        </w:rPr>
        <w:t>وتقيس اعتقاد المستخدم بأن استخدام التقنية سيحسّن أداءه وييسّر تحقيق أهدافه، وثانيهما سهولة الاستخدام المدركة</w:t>
      </w:r>
      <w:r w:rsidRPr="00C16EB9">
        <w:rPr>
          <w:rFonts w:ascii="Simplified Arabic" w:hAnsi="Simplified Arabic" w:cs="Simplified Arabic"/>
          <w:sz w:val="28"/>
          <w:szCs w:val="28"/>
        </w:rPr>
        <w:t xml:space="preserve"> (Perceived Ease of Use) </w:t>
      </w:r>
      <w:r w:rsidRPr="00C16EB9">
        <w:rPr>
          <w:rFonts w:ascii="Simplified Arabic" w:hAnsi="Simplified Arabic" w:cs="Simplified Arabic"/>
          <w:sz w:val="28"/>
          <w:szCs w:val="28"/>
          <w:rtl/>
        </w:rPr>
        <w:t>وتقيس درجة الجهد الذهني والإجرائي الذي يتوقع المستخدم بذله عند التفاعل مع النظام. وكلا هذين المتغيرين يشكّلان مجتمعَين الاتجاه نحو الاستخدام ثم نية الاستخدام الفعلي والاستخدام الحقيقي المستمر. وقد أثبتت دراسة الحسيني (2020) من خلال تطبيق ميداني على أعضاء هيئة التدريس في جامعة كفر الشيخ أن للكفاءة الذاتية تأثيراً إيجابياً معنوياً على الفائدة المدركة وسهولة الاستخدام المدركة، وأن هذين المتغيرين بدورهما ينبئان بمستوى تبنّي الخدمات الإلكترونية</w:t>
      </w:r>
      <w:r w:rsidRPr="00C16EB9">
        <w:rPr>
          <w:rFonts w:ascii="Simplified Arabic" w:hAnsi="Simplified Arabic" w:cs="Simplified Arabic"/>
          <w:sz w:val="28"/>
          <w:szCs w:val="28"/>
        </w:rPr>
        <w:t>.</w:t>
      </w:r>
    </w:p>
    <w:p w14:paraId="4EAC2C9C" w14:textId="54021A4D" w:rsidR="00C16EB9"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وقد توسّعت الأبحاث العربية في توظيف نموذج</w:t>
      </w:r>
      <w:r w:rsidRPr="00C16EB9">
        <w:rPr>
          <w:rFonts w:ascii="Simplified Arabic" w:hAnsi="Simplified Arabic" w:cs="Simplified Arabic"/>
          <w:sz w:val="28"/>
          <w:szCs w:val="28"/>
        </w:rPr>
        <w:t xml:space="preserve"> TAM </w:t>
      </w:r>
      <w:r w:rsidRPr="00C16EB9">
        <w:rPr>
          <w:rFonts w:ascii="Simplified Arabic" w:hAnsi="Simplified Arabic" w:cs="Simplified Arabic"/>
          <w:sz w:val="28"/>
          <w:szCs w:val="28"/>
          <w:rtl/>
        </w:rPr>
        <w:t>لدراسة قبول الخدمات المالية والتأمينية الرقمية، مضيفةً إليه متغيرات سياقية تعكس البيئات المحلية كالثقة في الأنظمة الإلكترونية، والأمن السيبراني المدرَك، والوعي التأميني الرقمي. وقد كشفت دراسة مركز البحوث التجارية (2024) عن أن التكامل بين نموذج</w:t>
      </w:r>
      <w:r w:rsidRPr="00C16EB9">
        <w:rPr>
          <w:rFonts w:ascii="Simplified Arabic" w:hAnsi="Simplified Arabic" w:cs="Simplified Arabic"/>
          <w:sz w:val="28"/>
          <w:szCs w:val="28"/>
        </w:rPr>
        <w:t xml:space="preserve"> TAM </w:t>
      </w:r>
      <w:r w:rsidRPr="00C16EB9">
        <w:rPr>
          <w:rFonts w:ascii="Simplified Arabic" w:hAnsi="Simplified Arabic" w:cs="Simplified Arabic"/>
          <w:sz w:val="28"/>
          <w:szCs w:val="28"/>
          <w:rtl/>
        </w:rPr>
        <w:t>ومتغيرات الثقة يحقق قدرة تفسيرية أعلى بكثير في سياقات الخدمات المالية مقارنةً بالنموذج الأصلي المنفرد، مما يعزّز توجه هذه الدراسة نحو توظيف النموذج المعدَّل في السياق التأميني السعودي. ويتوافق هذا النموذج مع الدراسة الحالية في أنه يفسّر لماذا يقبل عملاء التأمين أو يحجمون عن استخدام المنصات الرقمية، وبالتالي يقدّم تفسيراً نظرياً للرابط بين التحول الرقمي ورضا العملاء واستخدامهم الفعلي للخدمات (القحطاني، 2023)</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7466872A" w14:textId="77777777" w:rsidR="00B879DE" w:rsidRDefault="00B879DE" w:rsidP="00C16EB9">
      <w:pPr>
        <w:spacing w:line="360" w:lineRule="auto"/>
        <w:jc w:val="lowKashida"/>
        <w:rPr>
          <w:rFonts w:ascii="Simplified Arabic" w:hAnsi="Simplified Arabic" w:cs="Simplified Arabic"/>
          <w:sz w:val="28"/>
          <w:szCs w:val="28"/>
          <w:rtl/>
        </w:rPr>
      </w:pPr>
    </w:p>
    <w:p w14:paraId="1CF7E3FE" w14:textId="77777777" w:rsidR="00B879DE" w:rsidRDefault="00B879DE" w:rsidP="00C16EB9">
      <w:pPr>
        <w:spacing w:line="360" w:lineRule="auto"/>
        <w:jc w:val="lowKashida"/>
        <w:rPr>
          <w:rFonts w:ascii="Simplified Arabic" w:hAnsi="Simplified Arabic" w:cs="Simplified Arabic"/>
          <w:sz w:val="28"/>
          <w:szCs w:val="28"/>
          <w:rtl/>
        </w:rPr>
      </w:pPr>
    </w:p>
    <w:p w14:paraId="281D1760" w14:textId="77777777" w:rsidR="00B879DE" w:rsidRPr="00C16EB9" w:rsidRDefault="00B879DE" w:rsidP="00C16EB9">
      <w:pPr>
        <w:spacing w:line="360" w:lineRule="auto"/>
        <w:jc w:val="lowKashida"/>
        <w:rPr>
          <w:rFonts w:ascii="Simplified Arabic" w:hAnsi="Simplified Arabic" w:cs="Simplified Arabic"/>
          <w:sz w:val="28"/>
          <w:szCs w:val="28"/>
        </w:rPr>
      </w:pPr>
    </w:p>
    <w:p w14:paraId="3E383CCE"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Pr>
        <w:lastRenderedPageBreak/>
        <w:t xml:space="preserve">2. </w:t>
      </w:r>
      <w:r w:rsidRPr="00C16EB9">
        <w:rPr>
          <w:rFonts w:ascii="Simplified Arabic" w:hAnsi="Simplified Arabic" w:cs="Simplified Arabic"/>
          <w:b/>
          <w:bCs/>
          <w:sz w:val="28"/>
          <w:szCs w:val="28"/>
          <w:rtl/>
        </w:rPr>
        <w:t>نموذج جودة الخدمة</w:t>
      </w:r>
      <w:r w:rsidRPr="00C16EB9">
        <w:rPr>
          <w:rFonts w:ascii="Simplified Arabic" w:hAnsi="Simplified Arabic" w:cs="Simplified Arabic"/>
          <w:b/>
          <w:bCs/>
          <w:sz w:val="28"/>
          <w:szCs w:val="28"/>
        </w:rPr>
        <w:t xml:space="preserve"> (SERVQUAL)</w:t>
      </w:r>
    </w:p>
    <w:p w14:paraId="0E818667" w14:textId="7E18F59F"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أرسى باراسورامان وزيتامل وبيري خلال الفترة الممتدة من عام 1985 إلى 1988 الأسس المنهجية لنموذج</w:t>
      </w:r>
      <w:r w:rsidRPr="00C16EB9">
        <w:rPr>
          <w:rFonts w:ascii="Simplified Arabic" w:hAnsi="Simplified Arabic" w:cs="Simplified Arabic"/>
          <w:sz w:val="28"/>
          <w:szCs w:val="28"/>
        </w:rPr>
        <w:t xml:space="preserve"> SERVQUAL </w:t>
      </w:r>
      <w:r w:rsidRPr="00C16EB9">
        <w:rPr>
          <w:rFonts w:ascii="Simplified Arabic" w:hAnsi="Simplified Arabic" w:cs="Simplified Arabic"/>
          <w:sz w:val="28"/>
          <w:szCs w:val="28"/>
          <w:rtl/>
        </w:rPr>
        <w:t>بوصفه أداةً قياسيةً لتقييم جودة الخدمة من منظور العميل. يقوم النموذج على مفهوم الفجوة</w:t>
      </w:r>
      <w:r w:rsidRPr="00C16EB9">
        <w:rPr>
          <w:rFonts w:ascii="Simplified Arabic" w:hAnsi="Simplified Arabic" w:cs="Simplified Arabic"/>
          <w:sz w:val="28"/>
          <w:szCs w:val="28"/>
        </w:rPr>
        <w:t xml:space="preserve"> (Gap) </w:t>
      </w:r>
      <w:r w:rsidRPr="00C16EB9">
        <w:rPr>
          <w:rFonts w:ascii="Simplified Arabic" w:hAnsi="Simplified Arabic" w:cs="Simplified Arabic"/>
          <w:sz w:val="28"/>
          <w:szCs w:val="28"/>
          <w:rtl/>
        </w:rPr>
        <w:t>بين توقعات العملاء للخدمة وإدراكهم الفعلي لها بعد الاستلام، ويقدّم خمسة أبعاد للقياس كما سبق بيانه. وقد طبّق عثماني وآخرون (2017) هذا النموذج على شركة التأمين</w:t>
      </w:r>
      <w:r w:rsidRPr="00C16EB9">
        <w:rPr>
          <w:rFonts w:ascii="Simplified Arabic" w:hAnsi="Simplified Arabic" w:cs="Simplified Arabic"/>
          <w:sz w:val="28"/>
          <w:szCs w:val="28"/>
        </w:rPr>
        <w:t xml:space="preserve"> AXA </w:t>
      </w:r>
      <w:r w:rsidRPr="00C16EB9">
        <w:rPr>
          <w:rFonts w:ascii="Simplified Arabic" w:hAnsi="Simplified Arabic" w:cs="Simplified Arabic"/>
          <w:sz w:val="28"/>
          <w:szCs w:val="28"/>
          <w:rtl/>
        </w:rPr>
        <w:t>بمدينة سطيف، مثبتين أن نموذج</w:t>
      </w:r>
      <w:r w:rsidRPr="00C16EB9">
        <w:rPr>
          <w:rFonts w:ascii="Simplified Arabic" w:hAnsi="Simplified Arabic" w:cs="Simplified Arabic"/>
          <w:sz w:val="28"/>
          <w:szCs w:val="28"/>
        </w:rPr>
        <w:t xml:space="preserve"> SERVQUAL </w:t>
      </w:r>
      <w:r w:rsidRPr="00C16EB9">
        <w:rPr>
          <w:rFonts w:ascii="Simplified Arabic" w:hAnsi="Simplified Arabic" w:cs="Simplified Arabic"/>
          <w:sz w:val="28"/>
          <w:szCs w:val="28"/>
          <w:rtl/>
        </w:rPr>
        <w:t>هو الأنسب للكشف عن الفجوات بين توقعات العملاء وإدراكاتهم في الخدمات التأمينية تحديداً</w:t>
      </w:r>
      <w:r w:rsidRPr="00C16EB9">
        <w:rPr>
          <w:rFonts w:ascii="Simplified Arabic" w:hAnsi="Simplified Arabic" w:cs="Simplified Arabic"/>
          <w:sz w:val="28"/>
          <w:szCs w:val="28"/>
        </w:rPr>
        <w:t>.</w:t>
      </w:r>
    </w:p>
    <w:p w14:paraId="1A0DCF8C" w14:textId="424FEA43"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وتجدر الإشارة هنا إلى أن توظيف نموذج</w:t>
      </w:r>
      <w:r w:rsidRPr="00C16EB9">
        <w:rPr>
          <w:rFonts w:ascii="Simplified Arabic" w:hAnsi="Simplified Arabic" w:cs="Simplified Arabic"/>
          <w:sz w:val="28"/>
          <w:szCs w:val="28"/>
        </w:rPr>
        <w:t xml:space="preserve"> SERVQUAL </w:t>
      </w:r>
      <w:r w:rsidRPr="00C16EB9">
        <w:rPr>
          <w:rFonts w:ascii="Simplified Arabic" w:hAnsi="Simplified Arabic" w:cs="Simplified Arabic"/>
          <w:sz w:val="28"/>
          <w:szCs w:val="28"/>
          <w:rtl/>
        </w:rPr>
        <w:t>في بيئة الخدمات الرقمية التأمينية يستلزم قدراً من التكيّف المنهجي، إذ يتحوّل بعد الملموسية من الإشارة إلى المنشآت والمعدات المادية إلى الإشارة إلى جودة واجهة المستخدم وسهولة التنقل عبر التطبيقات والمواقع الإلكترونية، كما يكتسب بعد الضمان أهمية استثنائية في البيئة الرقمية نظراً لمخاوف الأمان في المعاملات الإلكترونية. وقد جاءت دراسة قايدي (2019) لتثبت أن أبعاد</w:t>
      </w:r>
      <w:r w:rsidRPr="00C16EB9">
        <w:rPr>
          <w:rFonts w:ascii="Simplified Arabic" w:hAnsi="Simplified Arabic" w:cs="Simplified Arabic"/>
          <w:sz w:val="28"/>
          <w:szCs w:val="28"/>
        </w:rPr>
        <w:t xml:space="preserve"> SERVQUAL </w:t>
      </w:r>
      <w:r w:rsidRPr="00C16EB9">
        <w:rPr>
          <w:rFonts w:ascii="Simplified Arabic" w:hAnsi="Simplified Arabic" w:cs="Simplified Arabic"/>
          <w:sz w:val="28"/>
          <w:szCs w:val="28"/>
          <w:rtl/>
        </w:rPr>
        <w:t>تؤثر تأثيراً إيجابياً ذا دلالة إحصائية على ثقة الزبون عبر الرضا في السياقات الإلكترونية، مما يعزّز من صلاحية توظيف هذا النموذج ضمن الإطار النظري للدراسة الحالية</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1EDFF532" w14:textId="0EDAD8B2" w:rsidR="00C16EB9"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وقد أثرى بوعبد الله (2016) النقاش المنهجي المتعلق بالمقارنة بين نموذجَي</w:t>
      </w:r>
      <w:r w:rsidRPr="00C16EB9">
        <w:rPr>
          <w:rFonts w:ascii="Simplified Arabic" w:hAnsi="Simplified Arabic" w:cs="Simplified Arabic"/>
          <w:sz w:val="28"/>
          <w:szCs w:val="28"/>
        </w:rPr>
        <w:t xml:space="preserve"> SERVQUAL </w:t>
      </w:r>
      <w:r w:rsidRPr="00C16EB9">
        <w:rPr>
          <w:rFonts w:ascii="Simplified Arabic" w:hAnsi="Simplified Arabic" w:cs="Simplified Arabic"/>
          <w:sz w:val="28"/>
          <w:szCs w:val="28"/>
          <w:rtl/>
        </w:rPr>
        <w:t>و</w:t>
      </w:r>
      <w:r w:rsidRPr="00C16EB9">
        <w:rPr>
          <w:rFonts w:ascii="Simplified Arabic" w:hAnsi="Simplified Arabic" w:cs="Simplified Arabic"/>
          <w:sz w:val="28"/>
          <w:szCs w:val="28"/>
        </w:rPr>
        <w:t xml:space="preserve">SERVPERF </w:t>
      </w:r>
      <w:r w:rsidRPr="00C16EB9">
        <w:rPr>
          <w:rFonts w:ascii="Simplified Arabic" w:hAnsi="Simplified Arabic" w:cs="Simplified Arabic"/>
          <w:sz w:val="28"/>
          <w:szCs w:val="28"/>
          <w:rtl/>
        </w:rPr>
        <w:t>في السياقات الخدمية، موضّحاً أن</w:t>
      </w:r>
      <w:r w:rsidRPr="00C16EB9">
        <w:rPr>
          <w:rFonts w:ascii="Simplified Arabic" w:hAnsi="Simplified Arabic" w:cs="Simplified Arabic"/>
          <w:sz w:val="28"/>
          <w:szCs w:val="28"/>
        </w:rPr>
        <w:t xml:space="preserve"> SERVQUAL </w:t>
      </w:r>
      <w:r w:rsidRPr="00C16EB9">
        <w:rPr>
          <w:rFonts w:ascii="Simplified Arabic" w:hAnsi="Simplified Arabic" w:cs="Simplified Arabic"/>
          <w:sz w:val="28"/>
          <w:szCs w:val="28"/>
          <w:rtl/>
        </w:rPr>
        <w:t>يتميز بقدرته على تشخيص الفجوات التشغيلية بصورة أكثر دقة مما يجعله الأصلح لأغراض التحسين المستمر الذي تسعى إليه شركات التأمين في مرحلة التحول الرقمي (بوعبد الله، 2016)</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6B08EB4D" w14:textId="77777777" w:rsidR="00B879DE" w:rsidRPr="00C16EB9" w:rsidRDefault="00B879DE" w:rsidP="00C16EB9">
      <w:pPr>
        <w:spacing w:line="360" w:lineRule="auto"/>
        <w:jc w:val="lowKashida"/>
        <w:rPr>
          <w:rFonts w:ascii="Simplified Arabic" w:hAnsi="Simplified Arabic" w:cs="Simplified Arabic"/>
          <w:sz w:val="28"/>
          <w:szCs w:val="28"/>
        </w:rPr>
      </w:pPr>
    </w:p>
    <w:p w14:paraId="10CE2FA5"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Pr>
        <w:lastRenderedPageBreak/>
        <w:t xml:space="preserve">3. </w:t>
      </w:r>
      <w:r w:rsidRPr="00C16EB9">
        <w:rPr>
          <w:rFonts w:ascii="Simplified Arabic" w:hAnsi="Simplified Arabic" w:cs="Simplified Arabic"/>
          <w:b/>
          <w:bCs/>
          <w:sz w:val="28"/>
          <w:szCs w:val="28"/>
          <w:rtl/>
        </w:rPr>
        <w:t>نظرية الموارد والكفاءات</w:t>
      </w:r>
      <w:r w:rsidRPr="00C16EB9">
        <w:rPr>
          <w:rFonts w:ascii="Simplified Arabic" w:hAnsi="Simplified Arabic" w:cs="Simplified Arabic"/>
          <w:b/>
          <w:bCs/>
          <w:sz w:val="28"/>
          <w:szCs w:val="28"/>
        </w:rPr>
        <w:t xml:space="preserve"> (Resource-Based View – RBV)</w:t>
      </w:r>
    </w:p>
    <w:p w14:paraId="5106946C" w14:textId="57522DB4"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تقدّم نظرية الموارد والكفاءات إطاراً تحليلياً لفهم كيفية تحقيق المنظمات ميزةً تنافسيةً مستدامة من خلال توظيف مواردها الداخلية الفريدة وكفاءاتها المتراكمة. وتنطلق هذه النظرية من افتراض أن الموارد والكفاءات القيّمة والنادرة وغير القابلة للتقليد تشكّل أساس التفوق الاستراتيجي. وفي سياق التحول الرقمي، تعتبر هذه النظرية أن القدرات الرقمية</w:t>
      </w:r>
      <w:r w:rsidRPr="00C16EB9">
        <w:rPr>
          <w:rFonts w:ascii="Simplified Arabic" w:hAnsi="Simplified Arabic" w:cs="Simplified Arabic"/>
          <w:sz w:val="28"/>
          <w:szCs w:val="28"/>
        </w:rPr>
        <w:t xml:space="preserve"> (Digital Capabilities) </w:t>
      </w:r>
      <w:r w:rsidRPr="00C16EB9">
        <w:rPr>
          <w:rFonts w:ascii="Simplified Arabic" w:hAnsi="Simplified Arabic" w:cs="Simplified Arabic"/>
          <w:sz w:val="28"/>
          <w:szCs w:val="28"/>
          <w:rtl/>
        </w:rPr>
        <w:t>كتحليل البيانات الضخمة وتطوير المنصات الإلكترونية وإدارة تجربة العملاء رقمياً تمثّل مواردَ استراتيجية لا يمكن تقليدها بسهولة، مما يجعل الرقمنة مصدراً حقيقياً للميزة التنافسية في قطاع التأمين. وقد أكد يوسف وفراج (2023) أن المؤسسات التي تربط تحولها الرقمي بمبادئ الحوكمة الرشيدة تحقق أثراً مضاعفاً في رفع كفاءتها المؤسسية وتمتين مركزها التنافسي</w:t>
      </w:r>
      <w:r w:rsidRPr="00C16EB9">
        <w:rPr>
          <w:rFonts w:ascii="Simplified Arabic" w:hAnsi="Simplified Arabic" w:cs="Simplified Arabic"/>
          <w:sz w:val="28"/>
          <w:szCs w:val="28"/>
        </w:rPr>
        <w:t>.</w:t>
      </w:r>
    </w:p>
    <w:p w14:paraId="0478D804" w14:textId="06B03453"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وتتقاطع هذه النظرية مع موضوع الدراسة الحالية من زاوية أن التحول الرقمي في شركات التأمين السعودية يتيح بناء كفاءات مؤسسية فريدة في معالجة المطالبات وتحليل المخاطر وتخصيص الخدمة للعملاء، وهي كفاءات تنعكس مباشرةً على الكفاءة التشغيلية وجودة الخدمة ورضا العملاء. وقد دعّمت دراسة الخصيبي (2025) هذا التوجه بإثبات أن الابتكار التقني يسهم في تعزيز القدرات التنافسية لشركات التأمين وتوسيع قاعدة عملائها، وهو ما يتسق مع المقتضيات التنظيمية التي وضعتها هيئة التأمين السعودية في إطار رؤية 2030</w:t>
      </w:r>
      <w:r w:rsidRPr="00C16EB9">
        <w:rPr>
          <w:rFonts w:ascii="Simplified Arabic" w:hAnsi="Simplified Arabic" w:cs="Simplified Arabic"/>
          <w:sz w:val="28"/>
          <w:szCs w:val="28"/>
        </w:rPr>
        <w:t>.</w:t>
      </w:r>
    </w:p>
    <w:p w14:paraId="2B03D0B2"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Pr>
        <w:t xml:space="preserve">4. </w:t>
      </w:r>
      <w:r w:rsidRPr="00C16EB9">
        <w:rPr>
          <w:rFonts w:ascii="Simplified Arabic" w:hAnsi="Simplified Arabic" w:cs="Simplified Arabic"/>
          <w:b/>
          <w:bCs/>
          <w:sz w:val="28"/>
          <w:szCs w:val="28"/>
          <w:rtl/>
        </w:rPr>
        <w:t>نظرية التطابق بين التوقع والإدراك</w:t>
      </w:r>
      <w:r w:rsidRPr="00C16EB9">
        <w:rPr>
          <w:rFonts w:ascii="Simplified Arabic" w:hAnsi="Simplified Arabic" w:cs="Simplified Arabic"/>
          <w:b/>
          <w:bCs/>
          <w:sz w:val="28"/>
          <w:szCs w:val="28"/>
        </w:rPr>
        <w:t xml:space="preserve"> (Expectation-Confirmation Theory – ECT)</w:t>
      </w:r>
    </w:p>
    <w:p w14:paraId="4C69FBD4" w14:textId="36FF06A7"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صاغ أوليفر هذه النظرية لتفسّر آليات تشكّل رضا العملاء في مرحلة ما بعد الاستخدام، وتقوم على ثلاثة مفاهيم محورية: التوقع المسبق</w:t>
      </w:r>
      <w:r w:rsidRPr="00C16EB9">
        <w:rPr>
          <w:rFonts w:ascii="Simplified Arabic" w:hAnsi="Simplified Arabic" w:cs="Simplified Arabic"/>
          <w:sz w:val="28"/>
          <w:szCs w:val="28"/>
        </w:rPr>
        <w:t xml:space="preserve"> (Pre-consumption Expectations) </w:t>
      </w:r>
      <w:r w:rsidRPr="00C16EB9">
        <w:rPr>
          <w:rFonts w:ascii="Simplified Arabic" w:hAnsi="Simplified Arabic" w:cs="Simplified Arabic"/>
          <w:sz w:val="28"/>
          <w:szCs w:val="28"/>
          <w:rtl/>
        </w:rPr>
        <w:t>وهو ما يتوقعه العميل قبل استلام الخدمة، والإدراك الفعلي للأداء</w:t>
      </w:r>
      <w:r w:rsidRPr="00C16EB9">
        <w:rPr>
          <w:rFonts w:ascii="Simplified Arabic" w:hAnsi="Simplified Arabic" w:cs="Simplified Arabic"/>
          <w:sz w:val="28"/>
          <w:szCs w:val="28"/>
        </w:rPr>
        <w:t xml:space="preserve"> (Perceived Performance) </w:t>
      </w:r>
      <w:r w:rsidRPr="00C16EB9">
        <w:rPr>
          <w:rFonts w:ascii="Simplified Arabic" w:hAnsi="Simplified Arabic" w:cs="Simplified Arabic"/>
          <w:sz w:val="28"/>
          <w:szCs w:val="28"/>
          <w:rtl/>
        </w:rPr>
        <w:t xml:space="preserve">وهو تقييمه للخدمة بعد </w:t>
      </w:r>
      <w:r w:rsidRPr="00C16EB9">
        <w:rPr>
          <w:rFonts w:ascii="Simplified Arabic" w:hAnsi="Simplified Arabic" w:cs="Simplified Arabic"/>
          <w:sz w:val="28"/>
          <w:szCs w:val="28"/>
          <w:rtl/>
        </w:rPr>
        <w:lastRenderedPageBreak/>
        <w:t>استلامها، والتطابق</w:t>
      </w:r>
      <w:r w:rsidRPr="00C16EB9">
        <w:rPr>
          <w:rFonts w:ascii="Simplified Arabic" w:hAnsi="Simplified Arabic" w:cs="Simplified Arabic"/>
          <w:sz w:val="28"/>
          <w:szCs w:val="28"/>
        </w:rPr>
        <w:t xml:space="preserve"> (Confirmation) </w:t>
      </w:r>
      <w:r w:rsidRPr="00C16EB9">
        <w:rPr>
          <w:rFonts w:ascii="Simplified Arabic" w:hAnsi="Simplified Arabic" w:cs="Simplified Arabic"/>
          <w:sz w:val="28"/>
          <w:szCs w:val="28"/>
          <w:rtl/>
        </w:rPr>
        <w:t>وهو درجة التوافق أو التعارض بين المفهومين السابقين والذي يولّد الرضا أو الاستياء. وقد وثّقت دراسة زيدان وبوجلال (2020) توافق هذه النظرية مع سياق الخدمات المصرفية الإلكترونية، مثبتةً أن العملاء الذين تعاملوا مع القنوات الرقمية وأدركوا أداءها متساوياً أو فائقاً لتوقعاتهم أبدوا مستويات رضا أعلى بكثير من نظرائهم في القنوات التقليدية</w:t>
      </w:r>
      <w:r w:rsidRPr="00C16EB9">
        <w:rPr>
          <w:rFonts w:ascii="Simplified Arabic" w:hAnsi="Simplified Arabic" w:cs="Simplified Arabic"/>
          <w:sz w:val="28"/>
          <w:szCs w:val="28"/>
        </w:rPr>
        <w:t>.</w:t>
      </w:r>
    </w:p>
    <w:p w14:paraId="18EED294" w14:textId="7F2CB6AE"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وتنسجم هذه النظرية مع الدراسة الحالية في تفسيرها للآلية التي يرتبط من خلالها التحول الرقمي برضا العملاء في قطاع التأمين؛ فحين تنجح شركة التأمين في تقديم خدماتها الرقمية عند مستوى يفوق توقعات عملائها، ينشأ تطابق إيجابي يفضي إلى رضا مرتفع وميل للاستمرار في التعامل. في المقابل، أي قصور في المنصات الرقمية يخلّف فجوةً سلبيةً بين التوقع والإدراك تفقد الشركة ثقة عملائها وولاءهم. وقد أكّد الجهمي وموسى (2023) أن استدامة رضا العملاء في القطاع المالي مرتبطة بالتحسين المستمر لتجربة التفاعل الرقمي في ضوء توقعات العملاء المتطورة</w:t>
      </w:r>
      <w:r w:rsidRPr="00C16EB9">
        <w:rPr>
          <w:rFonts w:ascii="Simplified Arabic" w:hAnsi="Simplified Arabic" w:cs="Simplified Arabic"/>
          <w:sz w:val="28"/>
          <w:szCs w:val="28"/>
        </w:rPr>
        <w:t>.</w:t>
      </w:r>
    </w:p>
    <w:p w14:paraId="3807EBF0" w14:textId="77777777" w:rsidR="00C16EB9" w:rsidRPr="00C16EB9" w:rsidRDefault="00C16EB9" w:rsidP="00B879DE">
      <w:pPr>
        <w:pStyle w:val="Heading2"/>
      </w:pPr>
      <w:bookmarkStart w:id="21" w:name="_Toc234430615"/>
      <w:r w:rsidRPr="00C16EB9">
        <w:rPr>
          <w:rtl/>
        </w:rPr>
        <w:t>ثالثاً: نموذج الدراسة المقترح وفرضياتها</w:t>
      </w:r>
      <w:bookmarkEnd w:id="21"/>
    </w:p>
    <w:p w14:paraId="22F315A7"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نموذج الدراسة المفاهيمي</w:t>
      </w:r>
    </w:p>
    <w:p w14:paraId="0C99E6EF" w14:textId="7D0D8BB2" w:rsidR="00B879DE" w:rsidRDefault="00C16EB9" w:rsidP="00C16EB9">
      <w:pPr>
        <w:spacing w:line="360" w:lineRule="auto"/>
        <w:jc w:val="lowKashida"/>
        <w:rPr>
          <w:rFonts w:ascii="Simplified Arabic" w:hAnsi="Simplified Arabic" w:cs="Simplified Arabic"/>
          <w:sz w:val="28"/>
          <w:szCs w:val="28"/>
          <w:rtl/>
        </w:rPr>
      </w:pPr>
      <w:r w:rsidRPr="00C16EB9">
        <w:rPr>
          <w:rFonts w:ascii="Simplified Arabic" w:hAnsi="Simplified Arabic" w:cs="Simplified Arabic"/>
          <w:sz w:val="28"/>
          <w:szCs w:val="28"/>
          <w:rtl/>
        </w:rPr>
        <w:t xml:space="preserve">يستند النموذج المفاهيمي للدراسة الحالية إلى إطار تكاملي يجمع بين أربعة نماذج ونظريات مرجعية مشار إليها، وينبثق منها فرضية عامة مفادها أن التحول الرقمي بأبعاده الأربعة يحدث تأثيراً إيجابياً معنوياً على كل من الكفاءة التشغيلية وجودة الخدمة ورضا العملاء في شركات التأمين السعودية. ويوضّح النموذج كيف تتوسط جودة الخدمة العلاقةَ بين التحول الرقمي ورضا العملاء، إذ لا يتشكّل الرضا مباشرةً من التحول الرقمي بحد ذاته، بل عبر مسار يمر بتحسين جودة الخدمة التي يدركها العميل في تفاعلاته اليومية مع المنصات والقنوات الرقمية للشركة. </w:t>
      </w:r>
    </w:p>
    <w:p w14:paraId="62927BBC" w14:textId="2C878F60"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كما يوضّح النموذج أن تحسين الكفاءة التشغيلية يشكّل رافداً داعماً لتحسين جودة الخدمة من خلال تقليص أوقات الانتظار وتحسين دقة المعلومات وسرعة معالجة المطالبات. وقد دعّمت دراسة بصاص وعدة (2024) مسارات هذا النموذج بإثبات أن الرقمنة تحسّن الكفاءة التشغيلية عبر ثلاثة مسارات متوازية تغذّي جودة الخدمة وتعظّم رضا العملاء في نهاية المطاف</w:t>
      </w:r>
      <w:r w:rsidRPr="00C16EB9">
        <w:rPr>
          <w:rFonts w:ascii="Simplified Arabic" w:hAnsi="Simplified Arabic" w:cs="Simplified Arabic"/>
          <w:sz w:val="28"/>
          <w:szCs w:val="28"/>
        </w:rPr>
        <w:t>.</w:t>
      </w:r>
    </w:p>
    <w:p w14:paraId="28A1D3DC" w14:textId="77777777" w:rsidR="00C16EB9" w:rsidRPr="00C16EB9" w:rsidRDefault="00C16EB9" w:rsidP="00B879DE">
      <w:pPr>
        <w:pStyle w:val="Heading2"/>
      </w:pPr>
      <w:bookmarkStart w:id="22" w:name="_Toc234430616"/>
      <w:r w:rsidRPr="00C16EB9">
        <w:rPr>
          <w:rtl/>
        </w:rPr>
        <w:t>فرضيات الدراسة</w:t>
      </w:r>
      <w:bookmarkEnd w:id="22"/>
    </w:p>
    <w:p w14:paraId="63495C5C" w14:textId="67942E97"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انطلاقاً من الإطار النظري المبنى على النظريات والنماذج السابقة، وفي ضوء الدراسات الميدانية التي استعرضتها مراجعة الأدبيات، تتحدد فرضيات الدراسة الرئيسية والفرعية على النحو الآتي</w:t>
      </w:r>
      <w:r w:rsidRPr="00C16EB9">
        <w:rPr>
          <w:rFonts w:ascii="Simplified Arabic" w:hAnsi="Simplified Arabic" w:cs="Simplified Arabic"/>
          <w:sz w:val="28"/>
          <w:szCs w:val="28"/>
        </w:rPr>
        <w:t>:</w:t>
      </w:r>
    </w:p>
    <w:p w14:paraId="10693388" w14:textId="3ACC3318"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t>الفرضية الرئيسية الأولى</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يوجد أثر ذو دلالة إحصائية للتحول الرقمي على الكفاءة التشغيلية في شركات التأمين السعودية</w:t>
      </w:r>
      <w:r w:rsidRPr="00C16EB9">
        <w:rPr>
          <w:rFonts w:ascii="Simplified Arabic" w:hAnsi="Simplified Arabic" w:cs="Simplified Arabic"/>
          <w:sz w:val="28"/>
          <w:szCs w:val="28"/>
        </w:rPr>
        <w:t>.</w:t>
      </w:r>
    </w:p>
    <w:p w14:paraId="2EEA906B" w14:textId="77777777"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وتتفرع منها الفرضيات الفرعية الآتية</w:t>
      </w:r>
      <w:r w:rsidRPr="00C16EB9">
        <w:rPr>
          <w:rFonts w:ascii="Simplified Arabic" w:hAnsi="Simplified Arabic" w:cs="Simplified Arabic"/>
          <w:sz w:val="28"/>
          <w:szCs w:val="28"/>
        </w:rPr>
        <w:t>:</w:t>
      </w:r>
    </w:p>
    <w:p w14:paraId="77B3328F" w14:textId="46D0EA33" w:rsidR="00C16EB9" w:rsidRPr="00C16EB9" w:rsidRDefault="00C16EB9">
      <w:pPr>
        <w:numPr>
          <w:ilvl w:val="0"/>
          <w:numId w:val="4"/>
        </w:num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Pr>
        <w:t xml:space="preserve">H1a: </w:t>
      </w:r>
      <w:r w:rsidRPr="00C16EB9">
        <w:rPr>
          <w:rFonts w:ascii="Simplified Arabic" w:hAnsi="Simplified Arabic" w:cs="Simplified Arabic"/>
          <w:sz w:val="28"/>
          <w:szCs w:val="28"/>
          <w:rtl/>
        </w:rPr>
        <w:t>يوجد أثر ذو دلالة إحصائية للبنية التحتية الرقمية على الكفاءة التشغيلية</w:t>
      </w:r>
      <w:r w:rsidRPr="00C16EB9">
        <w:rPr>
          <w:rFonts w:ascii="Simplified Arabic" w:hAnsi="Simplified Arabic" w:cs="Simplified Arabic"/>
          <w:sz w:val="28"/>
          <w:szCs w:val="28"/>
        </w:rPr>
        <w:t>.</w:t>
      </w:r>
    </w:p>
    <w:p w14:paraId="30A7820D" w14:textId="57B56F22" w:rsidR="00C16EB9" w:rsidRPr="00C16EB9" w:rsidRDefault="00C16EB9">
      <w:pPr>
        <w:numPr>
          <w:ilvl w:val="0"/>
          <w:numId w:val="4"/>
        </w:num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Pr>
        <w:t xml:space="preserve">H1b: </w:t>
      </w:r>
      <w:r w:rsidRPr="00C16EB9">
        <w:rPr>
          <w:rFonts w:ascii="Simplified Arabic" w:hAnsi="Simplified Arabic" w:cs="Simplified Arabic"/>
          <w:sz w:val="28"/>
          <w:szCs w:val="28"/>
          <w:rtl/>
        </w:rPr>
        <w:t>يوجد أثر ذو دلالة إحصائية للمنصات الإلكترونية على الكفاءة التشغيلية</w:t>
      </w:r>
      <w:r w:rsidRPr="00C16EB9">
        <w:rPr>
          <w:rFonts w:ascii="Simplified Arabic" w:hAnsi="Simplified Arabic" w:cs="Simplified Arabic"/>
          <w:sz w:val="28"/>
          <w:szCs w:val="28"/>
        </w:rPr>
        <w:t>.</w:t>
      </w:r>
    </w:p>
    <w:p w14:paraId="2534E7FE" w14:textId="66754590" w:rsidR="00C16EB9" w:rsidRPr="00C16EB9" w:rsidRDefault="00C16EB9">
      <w:pPr>
        <w:numPr>
          <w:ilvl w:val="0"/>
          <w:numId w:val="4"/>
        </w:num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Pr>
        <w:t xml:space="preserve">H1c: </w:t>
      </w:r>
      <w:r w:rsidRPr="00C16EB9">
        <w:rPr>
          <w:rFonts w:ascii="Simplified Arabic" w:hAnsi="Simplified Arabic" w:cs="Simplified Arabic"/>
          <w:sz w:val="28"/>
          <w:szCs w:val="28"/>
          <w:rtl/>
        </w:rPr>
        <w:t>يوجد أثر ذو دلالة إحصائية لتحليل البيانات الرقمي على الكفاءة التشغيلية</w:t>
      </w:r>
      <w:r w:rsidRPr="00C16EB9">
        <w:rPr>
          <w:rFonts w:ascii="Simplified Arabic" w:hAnsi="Simplified Arabic" w:cs="Simplified Arabic"/>
          <w:sz w:val="28"/>
          <w:szCs w:val="28"/>
        </w:rPr>
        <w:t>.</w:t>
      </w:r>
    </w:p>
    <w:p w14:paraId="79B4C8BF" w14:textId="3BFA99D4" w:rsidR="00C16EB9" w:rsidRPr="00C16EB9" w:rsidRDefault="00C16EB9">
      <w:pPr>
        <w:numPr>
          <w:ilvl w:val="0"/>
          <w:numId w:val="4"/>
        </w:num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Pr>
        <w:t xml:space="preserve">H1d: </w:t>
      </w:r>
      <w:r w:rsidRPr="00C16EB9">
        <w:rPr>
          <w:rFonts w:ascii="Simplified Arabic" w:hAnsi="Simplified Arabic" w:cs="Simplified Arabic"/>
          <w:sz w:val="28"/>
          <w:szCs w:val="28"/>
          <w:rtl/>
        </w:rPr>
        <w:t>يوجد أثر ذو دلالة إحصائية للكفاءات البشرية الرقمية على الكفاءة التشغيلية</w:t>
      </w:r>
      <w:r w:rsidRPr="00C16EB9">
        <w:rPr>
          <w:rFonts w:ascii="Simplified Arabic" w:hAnsi="Simplified Arabic" w:cs="Simplified Arabic"/>
          <w:sz w:val="28"/>
          <w:szCs w:val="28"/>
        </w:rPr>
        <w:t>.</w:t>
      </w:r>
    </w:p>
    <w:p w14:paraId="2786408C" w14:textId="17EC1ECD"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t>الفرضية الرئيسية الثانية</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يوجد أثر ذو دلالة إحصائية للتحول الرقمي على جودة الخدمة في شركات التأمين السعودية. وتتفرع منها فرضيات فرعية موازية لأبعاد التحول الرقمي الأربعة المذكورة أعلاه في علاقتها بالأبعاد الخمسة لجودة الخدمة</w:t>
      </w:r>
      <w:r w:rsidRPr="00C16EB9">
        <w:rPr>
          <w:rFonts w:ascii="Simplified Arabic" w:hAnsi="Simplified Arabic" w:cs="Simplified Arabic"/>
          <w:sz w:val="28"/>
          <w:szCs w:val="28"/>
        </w:rPr>
        <w:t>.</w:t>
      </w:r>
    </w:p>
    <w:p w14:paraId="646709C2" w14:textId="58666E92"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lastRenderedPageBreak/>
        <w:t>الفرضية الرئيسية الثالثة</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يوجد أثر ذو دلالة إحصائية للتحول الرقمي على رضا العملاء في شركات التأمين السعودية</w:t>
      </w:r>
      <w:r w:rsidRPr="00C16EB9">
        <w:rPr>
          <w:rFonts w:ascii="Simplified Arabic" w:hAnsi="Simplified Arabic" w:cs="Simplified Arabic"/>
          <w:sz w:val="28"/>
          <w:szCs w:val="28"/>
        </w:rPr>
        <w:t>.</w:t>
      </w:r>
    </w:p>
    <w:p w14:paraId="5FEE3B94" w14:textId="390A4DE7"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b/>
          <w:bCs/>
          <w:sz w:val="28"/>
          <w:szCs w:val="28"/>
          <w:rtl/>
        </w:rPr>
        <w:t>الفرضية الرئيسية الرابعة</w:t>
      </w:r>
      <w:r w:rsidRPr="00C16EB9">
        <w:rPr>
          <w:rFonts w:ascii="Simplified Arabic" w:hAnsi="Simplified Arabic" w:cs="Simplified Arabic"/>
          <w:b/>
          <w:bCs/>
          <w:sz w:val="28"/>
          <w:szCs w:val="28"/>
        </w:rPr>
        <w:t>:</w:t>
      </w:r>
      <w:r w:rsidRPr="00C16EB9">
        <w:rPr>
          <w:rFonts w:ascii="Simplified Arabic" w:hAnsi="Simplified Arabic" w:cs="Simplified Arabic"/>
          <w:sz w:val="28"/>
          <w:szCs w:val="28"/>
        </w:rPr>
        <w:t xml:space="preserve"> </w:t>
      </w:r>
      <w:r w:rsidRPr="00C16EB9">
        <w:rPr>
          <w:rFonts w:ascii="Simplified Arabic" w:hAnsi="Simplified Arabic" w:cs="Simplified Arabic"/>
          <w:sz w:val="28"/>
          <w:szCs w:val="28"/>
          <w:rtl/>
        </w:rPr>
        <w:t>يوجد أثر ذو دلالة إحصائية لجودة الخدمة على رضا العملاء في شركات التأمين السعودية، مما يرسّخ دور جودة الخدمة متغيراً وسيطاً بين التحول الرقمي والرضا الكلي للعملاء</w:t>
      </w:r>
      <w:r w:rsidRPr="00C16EB9">
        <w:rPr>
          <w:rFonts w:ascii="Simplified Arabic" w:hAnsi="Simplified Arabic" w:cs="Simplified Arabic"/>
          <w:sz w:val="28"/>
          <w:szCs w:val="28"/>
        </w:rPr>
        <w:t>.</w:t>
      </w:r>
    </w:p>
    <w:p w14:paraId="665FBD7E" w14:textId="5B5B5AE0" w:rsidR="00C16EB9" w:rsidRPr="00C16EB9" w:rsidRDefault="00C16EB9" w:rsidP="00B879DE">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وقد استندت هذه الفرضيات في صياغتها إلى دراسة الشريف (2019) التي أثبتت أن جودة الخدمة الإلكترونية تتوسط العلاقة بين التحول الرقمي ومعدلات الاستخدام الفعلي لخدمات التأمين، وإلى دراسة القادري (2023) التي أكدت أن شركات التأمين التي ترتقي بتجربتها الرقمية تحقق ميزةً تنافسيةً مستدامة تنعكس على معدلات الاحتفاظ بالعملاء</w:t>
      </w:r>
      <w:r w:rsidRPr="00C16EB9">
        <w:rPr>
          <w:rFonts w:ascii="Simplified Arabic" w:hAnsi="Simplified Arabic" w:cs="Simplified Arabic"/>
          <w:sz w:val="28"/>
          <w:szCs w:val="28"/>
        </w:rPr>
        <w:t>.</w:t>
      </w:r>
      <w:r w:rsidR="00B879DE" w:rsidRPr="00C16EB9">
        <w:rPr>
          <w:rFonts w:ascii="Simplified Arabic" w:hAnsi="Simplified Arabic" w:cs="Simplified Arabic"/>
          <w:sz w:val="28"/>
          <w:szCs w:val="28"/>
        </w:rPr>
        <w:t xml:space="preserve"> </w:t>
      </w:r>
    </w:p>
    <w:p w14:paraId="01F565F7" w14:textId="77777777" w:rsidR="00C16EB9" w:rsidRPr="00C16EB9" w:rsidRDefault="00C16EB9" w:rsidP="00B879DE">
      <w:pPr>
        <w:pStyle w:val="Heading2"/>
      </w:pPr>
      <w:bookmarkStart w:id="23" w:name="_Toc234430617"/>
      <w:r w:rsidRPr="00C16EB9">
        <w:rPr>
          <w:rtl/>
        </w:rPr>
        <w:t>رابعاً: الدراسة الحالية في ضوء الإطار النظري</w:t>
      </w:r>
      <w:bookmarkEnd w:id="23"/>
    </w:p>
    <w:p w14:paraId="3E556A61" w14:textId="77777777" w:rsidR="00C16EB9" w:rsidRPr="00C16EB9" w:rsidRDefault="00C16EB9" w:rsidP="00C16EB9">
      <w:pPr>
        <w:spacing w:line="360" w:lineRule="auto"/>
        <w:jc w:val="lowKashida"/>
        <w:rPr>
          <w:rFonts w:ascii="Simplified Arabic" w:hAnsi="Simplified Arabic" w:cs="Simplified Arabic"/>
          <w:b/>
          <w:bCs/>
          <w:sz w:val="28"/>
          <w:szCs w:val="28"/>
        </w:rPr>
      </w:pPr>
      <w:r w:rsidRPr="00C16EB9">
        <w:rPr>
          <w:rFonts w:ascii="Simplified Arabic" w:hAnsi="Simplified Arabic" w:cs="Simplified Arabic"/>
          <w:b/>
          <w:bCs/>
          <w:sz w:val="28"/>
          <w:szCs w:val="28"/>
          <w:rtl/>
        </w:rPr>
        <w:t>الاتساق النظري والمنهجي</w:t>
      </w:r>
    </w:p>
    <w:p w14:paraId="6DDEE72D" w14:textId="655B0DC6" w:rsidR="00C16EB9" w:rsidRP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t>تتسم هذه الدراسة بالتكامل النظري الذي يجمع بين أربعة نماذج مرجعية متوائمة في تفسير موضوعها: فنموذج</w:t>
      </w:r>
      <w:r w:rsidRPr="00C16EB9">
        <w:rPr>
          <w:rFonts w:ascii="Simplified Arabic" w:hAnsi="Simplified Arabic" w:cs="Simplified Arabic"/>
          <w:sz w:val="28"/>
          <w:szCs w:val="28"/>
        </w:rPr>
        <w:t xml:space="preserve"> TAM </w:t>
      </w:r>
      <w:r w:rsidRPr="00C16EB9">
        <w:rPr>
          <w:rFonts w:ascii="Simplified Arabic" w:hAnsi="Simplified Arabic" w:cs="Simplified Arabic"/>
          <w:sz w:val="28"/>
          <w:szCs w:val="28"/>
          <w:rtl/>
        </w:rPr>
        <w:t>يفسّر آليات قبول عملاء التأمين للخدمات الرقمية ودرجة استخدامها، ونموذج</w:t>
      </w:r>
      <w:r w:rsidRPr="00C16EB9">
        <w:rPr>
          <w:rFonts w:ascii="Simplified Arabic" w:hAnsi="Simplified Arabic" w:cs="Simplified Arabic"/>
          <w:sz w:val="28"/>
          <w:szCs w:val="28"/>
        </w:rPr>
        <w:t xml:space="preserve"> SERVQUAL </w:t>
      </w:r>
      <w:r w:rsidRPr="00C16EB9">
        <w:rPr>
          <w:rFonts w:ascii="Simplified Arabic" w:hAnsi="Simplified Arabic" w:cs="Simplified Arabic"/>
          <w:sz w:val="28"/>
          <w:szCs w:val="28"/>
          <w:rtl/>
        </w:rPr>
        <w:t>يقدّم الأداة المنهجية لقياس جودة الخدمة الرقمية عبر أبعادها الخمسة المعيارية، ونظرية الموارد والكفاءات تفسّر كيف يترجَم التحول الرقمي إلى مزايا تنافسية مستدامة تحسّن الكفاءة التشغيلية، ونظرية التطابق بين التوقع والإدراك تفسّر آلية تشكّل رضا العملاء في البيئة الرقمية التأمينية. وينسجم هذا التوجه التكاملي مع نتائج دراسة مركز البحوث التجارية (2024) التي أثبتت أن دمج النماذج المرجعية يتيح تفسيراً أكثر شمولاً ودقة للظواهر في قطاعات الخدمات المالية مقارنةً بالاعتماد على نموذج منفرد</w:t>
      </w:r>
      <w:r w:rsidRPr="00C16EB9">
        <w:rPr>
          <w:rFonts w:ascii="Simplified Arabic" w:hAnsi="Simplified Arabic" w:cs="Simplified Arabic"/>
          <w:sz w:val="28"/>
          <w:szCs w:val="28"/>
        </w:rPr>
        <w:t>.</w:t>
      </w:r>
    </w:p>
    <w:p w14:paraId="1B579552" w14:textId="0BCB2AC4" w:rsidR="00C16EB9" w:rsidRDefault="00C16EB9" w:rsidP="00C16EB9">
      <w:pPr>
        <w:spacing w:line="360" w:lineRule="auto"/>
        <w:jc w:val="lowKashida"/>
        <w:rPr>
          <w:rFonts w:ascii="Simplified Arabic" w:hAnsi="Simplified Arabic" w:cs="Simplified Arabic"/>
          <w:sz w:val="28"/>
          <w:szCs w:val="28"/>
        </w:rPr>
      </w:pPr>
      <w:r w:rsidRPr="00C16EB9">
        <w:rPr>
          <w:rFonts w:ascii="Simplified Arabic" w:hAnsi="Simplified Arabic" w:cs="Simplified Arabic"/>
          <w:sz w:val="28"/>
          <w:szCs w:val="28"/>
          <w:rtl/>
        </w:rPr>
        <w:lastRenderedPageBreak/>
        <w:t>وتنطلق الدراسة الحالية من هذا الإطار النظري لتقدّم قياساً ميدانياً متكاملاً يختبر الفرضيات في سياق قطاع التأمين السعودي خلال مرحلة متقدمة من التحول الرقمي المتسارع في إطار رؤية 2030، مما يكسب نتائجها قدراً عالياً من الوجاهة العلمية والأهمية التطبيقية للمديرين والمنظّمين والمسؤولين في هذا القطاع الحيوي. وقد أرسى بن عبدالرحمان وآخرون (2024) هذه الأهمية السياقية بتأكيدهم أن قطاع التأمين التكافلي السعودي بات يمثّل نموذجاً إقليمياً بارزاً لإمكانات التحول الرقمي في الخدمات المالية الإسلامية (بن عبدالرحمان وآخرون، 2024)</w:t>
      </w:r>
      <w:r w:rsidRPr="00C16EB9">
        <w:rPr>
          <w:rFonts w:ascii="Simplified Arabic" w:hAnsi="Simplified Arabic" w:cs="Simplified Arabic"/>
          <w:sz w:val="28"/>
          <w:szCs w:val="28"/>
        </w:rPr>
        <w:t>.</w:t>
      </w:r>
    </w:p>
    <w:p w14:paraId="5D082857" w14:textId="77777777" w:rsidR="00C16EB9" w:rsidRDefault="00C16EB9" w:rsidP="00C16EB9">
      <w:pPr>
        <w:spacing w:line="360" w:lineRule="auto"/>
        <w:jc w:val="lowKashida"/>
        <w:rPr>
          <w:rFonts w:ascii="Simplified Arabic" w:hAnsi="Simplified Arabic" w:cs="Simplified Arabic"/>
          <w:sz w:val="28"/>
          <w:szCs w:val="28"/>
        </w:rPr>
      </w:pPr>
    </w:p>
    <w:p w14:paraId="33800D96" w14:textId="77777777" w:rsidR="00C16EB9" w:rsidRDefault="00C16EB9" w:rsidP="00C16EB9">
      <w:pPr>
        <w:spacing w:line="360" w:lineRule="auto"/>
        <w:jc w:val="lowKashida"/>
        <w:rPr>
          <w:rFonts w:ascii="Simplified Arabic" w:hAnsi="Simplified Arabic" w:cs="Simplified Arabic"/>
          <w:sz w:val="28"/>
          <w:szCs w:val="28"/>
        </w:rPr>
      </w:pPr>
    </w:p>
    <w:p w14:paraId="62CC3910" w14:textId="77777777" w:rsidR="00C16EB9" w:rsidRDefault="00C16EB9" w:rsidP="00C16EB9">
      <w:pPr>
        <w:spacing w:line="360" w:lineRule="auto"/>
        <w:jc w:val="lowKashida"/>
        <w:rPr>
          <w:rFonts w:ascii="Simplified Arabic" w:hAnsi="Simplified Arabic" w:cs="Simplified Arabic"/>
          <w:sz w:val="28"/>
          <w:szCs w:val="28"/>
        </w:rPr>
      </w:pPr>
    </w:p>
    <w:p w14:paraId="17F7FCF9" w14:textId="77777777" w:rsidR="00C16EB9" w:rsidRDefault="00C16EB9" w:rsidP="00C16EB9">
      <w:pPr>
        <w:spacing w:line="360" w:lineRule="auto"/>
        <w:jc w:val="lowKashida"/>
        <w:rPr>
          <w:rFonts w:ascii="Simplified Arabic" w:hAnsi="Simplified Arabic" w:cs="Simplified Arabic"/>
          <w:sz w:val="28"/>
          <w:szCs w:val="28"/>
        </w:rPr>
      </w:pPr>
    </w:p>
    <w:p w14:paraId="5593FE37" w14:textId="77777777" w:rsidR="00C16EB9" w:rsidRPr="00C16EB9" w:rsidRDefault="00C16EB9" w:rsidP="00C16EB9">
      <w:pPr>
        <w:spacing w:line="360" w:lineRule="auto"/>
        <w:jc w:val="lowKashida"/>
        <w:rPr>
          <w:rFonts w:ascii="Simplified Arabic" w:hAnsi="Simplified Arabic" w:cs="Simplified Arabic"/>
          <w:sz w:val="28"/>
          <w:szCs w:val="28"/>
        </w:rPr>
      </w:pPr>
    </w:p>
    <w:p w14:paraId="36739702" w14:textId="0800DA3E" w:rsidR="001A71F3" w:rsidRPr="00C16EB9" w:rsidRDefault="001A71F3" w:rsidP="00C16EB9">
      <w:pPr>
        <w:spacing w:line="360" w:lineRule="auto"/>
        <w:jc w:val="lowKashida"/>
        <w:rPr>
          <w:rFonts w:ascii="Simplified Arabic" w:hAnsi="Simplified Arabic" w:cs="Simplified Arabic"/>
          <w:sz w:val="28"/>
          <w:szCs w:val="28"/>
        </w:rPr>
      </w:pPr>
    </w:p>
    <w:p w14:paraId="65732257" w14:textId="527F65E2" w:rsidR="001A71F3" w:rsidRPr="00A57553" w:rsidRDefault="001A71F3" w:rsidP="001A71F3">
      <w:pPr>
        <w:spacing w:line="360" w:lineRule="auto"/>
        <w:jc w:val="lowKashida"/>
        <w:rPr>
          <w:rFonts w:ascii="Simplified Arabic" w:hAnsi="Simplified Arabic" w:cs="Simplified Arabic"/>
          <w:sz w:val="28"/>
          <w:szCs w:val="28"/>
        </w:rPr>
      </w:pPr>
    </w:p>
    <w:p w14:paraId="0AD242C4" w14:textId="44211C50" w:rsidR="001B0F27" w:rsidRPr="00A57553" w:rsidRDefault="001B0F27" w:rsidP="00A57553">
      <w:pPr>
        <w:spacing w:line="360" w:lineRule="auto"/>
        <w:jc w:val="lowKashida"/>
        <w:rPr>
          <w:rFonts w:ascii="Simplified Arabic" w:hAnsi="Simplified Arabic" w:cs="Simplified Arabic"/>
          <w:sz w:val="28"/>
          <w:szCs w:val="28"/>
          <w:rtl/>
        </w:rPr>
      </w:pPr>
    </w:p>
    <w:p w14:paraId="0E04BCFC" w14:textId="77777777" w:rsidR="00626390" w:rsidRDefault="00626390" w:rsidP="00A57553">
      <w:pPr>
        <w:spacing w:line="360" w:lineRule="auto"/>
        <w:jc w:val="lowKashida"/>
        <w:rPr>
          <w:rFonts w:ascii="Simplified Arabic" w:hAnsi="Simplified Arabic" w:cs="Simplified Arabic"/>
          <w:sz w:val="28"/>
          <w:szCs w:val="28"/>
          <w:rtl/>
        </w:rPr>
      </w:pPr>
    </w:p>
    <w:p w14:paraId="0AAF7241" w14:textId="77777777" w:rsidR="009E1F86" w:rsidRDefault="009E1F86" w:rsidP="00A57553">
      <w:pPr>
        <w:spacing w:line="360" w:lineRule="auto"/>
        <w:jc w:val="lowKashida"/>
        <w:rPr>
          <w:rFonts w:ascii="Simplified Arabic" w:hAnsi="Simplified Arabic" w:cs="Simplified Arabic"/>
          <w:sz w:val="28"/>
          <w:szCs w:val="28"/>
          <w:rtl/>
        </w:rPr>
      </w:pPr>
    </w:p>
    <w:p w14:paraId="6D3A2C2A" w14:textId="77777777" w:rsidR="00A05F6F" w:rsidRDefault="00A05F6F" w:rsidP="00A57553">
      <w:pPr>
        <w:spacing w:line="360" w:lineRule="auto"/>
        <w:jc w:val="lowKashida"/>
        <w:rPr>
          <w:rFonts w:ascii="Simplified Arabic" w:hAnsi="Simplified Arabic" w:cs="Simplified Arabic"/>
          <w:sz w:val="28"/>
          <w:szCs w:val="28"/>
          <w:rtl/>
        </w:rPr>
      </w:pPr>
    </w:p>
    <w:p w14:paraId="2CD68C3A" w14:textId="5F1DEC24" w:rsidR="005C3639" w:rsidRPr="005C3639" w:rsidRDefault="005C3639" w:rsidP="005C3639">
      <w:pPr>
        <w:pStyle w:val="Heading1"/>
      </w:pPr>
      <w:bookmarkStart w:id="24" w:name="_Toc234430665"/>
      <w:r w:rsidRPr="005C3639">
        <w:rPr>
          <w:rtl/>
        </w:rPr>
        <w:lastRenderedPageBreak/>
        <w:t>المراجع</w:t>
      </w:r>
      <w:bookmarkEnd w:id="24"/>
    </w:p>
    <w:p w14:paraId="3DCE5AB2" w14:textId="77777777" w:rsidR="005C3639" w:rsidRPr="005C3639" w:rsidRDefault="005C3639" w:rsidP="005C3639">
      <w:pPr>
        <w:pStyle w:val="Heading2"/>
      </w:pPr>
      <w:bookmarkStart w:id="25" w:name="_Toc234430666"/>
      <w:r w:rsidRPr="005C3639">
        <w:rPr>
          <w:rtl/>
        </w:rPr>
        <w:t>أولاً: المراجع العربية</w:t>
      </w:r>
      <w:bookmarkEnd w:id="25"/>
    </w:p>
    <w:p w14:paraId="307A3F66"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بصاص، الجودي، وعدة، بلقيسم. (2024). أثر التحول الرقمي على الكفاءة وأداء القطاع المصرفي</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إدارة الأعمال والدراسات الاقتصادية</w:t>
      </w:r>
      <w:r w:rsidRPr="005C3639">
        <w:rPr>
          <w:rFonts w:ascii="Simplified Arabic" w:hAnsi="Simplified Arabic" w:cs="Simplified Arabic"/>
          <w:sz w:val="28"/>
          <w:szCs w:val="28"/>
          <w:rtl/>
        </w:rPr>
        <w:t>، 10</w:t>
      </w:r>
      <w:r w:rsidRPr="005C3639">
        <w:rPr>
          <w:rFonts w:ascii="Simplified Arabic" w:hAnsi="Simplified Arabic" w:cs="Simplified Arabic"/>
          <w:sz w:val="28"/>
          <w:szCs w:val="28"/>
        </w:rPr>
        <w:t>(2)</w:t>
      </w:r>
      <w:r w:rsidRPr="005C3639">
        <w:rPr>
          <w:rFonts w:ascii="Simplified Arabic" w:hAnsi="Simplified Arabic" w:cs="Simplified Arabic"/>
          <w:sz w:val="28"/>
          <w:szCs w:val="28"/>
          <w:rtl/>
        </w:rPr>
        <w:t>، 1</w:t>
      </w:r>
      <w:r w:rsidRPr="005C3639">
        <w:rPr>
          <w:rFonts w:ascii="Simplified Arabic" w:hAnsi="Simplified Arabic" w:cs="Simplified Arabic"/>
          <w:sz w:val="28"/>
          <w:szCs w:val="28"/>
        </w:rPr>
        <w:t>–20.</w:t>
      </w:r>
      <w:r w:rsidRPr="005C3639">
        <w:rPr>
          <w:rFonts w:ascii="Simplified Arabic" w:hAnsi="Simplified Arabic" w:cs="Simplified Arabic"/>
          <w:sz w:val="28"/>
          <w:szCs w:val="28"/>
        </w:rPr>
        <w:br/>
        <w:t>https://asjp.cerist.dz/en/article/238455</w:t>
      </w:r>
    </w:p>
    <w:p w14:paraId="5CDEF2A3"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بن عبدالرحمان، فيصل، وآخرون. (2024). التحول الرقمي في سوق التأمين التكافلي السعودي</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الاقتصاد الإسلامي العالمية</w:t>
      </w:r>
      <w:r w:rsidRPr="005C3639">
        <w:rPr>
          <w:rFonts w:ascii="Simplified Arabic" w:hAnsi="Simplified Arabic" w:cs="Simplified Arabic"/>
          <w:sz w:val="28"/>
          <w:szCs w:val="28"/>
          <w:rtl/>
        </w:rPr>
        <w:t>، 12</w:t>
      </w:r>
      <w:r w:rsidRPr="005C3639">
        <w:rPr>
          <w:rFonts w:ascii="Simplified Arabic" w:hAnsi="Simplified Arabic" w:cs="Simplified Arabic"/>
          <w:sz w:val="28"/>
          <w:szCs w:val="28"/>
        </w:rPr>
        <w:t>(1)</w:t>
      </w:r>
      <w:r w:rsidRPr="005C3639">
        <w:rPr>
          <w:rFonts w:ascii="Simplified Arabic" w:hAnsi="Simplified Arabic" w:cs="Simplified Arabic"/>
          <w:sz w:val="28"/>
          <w:szCs w:val="28"/>
          <w:rtl/>
        </w:rPr>
        <w:t>، 45</w:t>
      </w:r>
      <w:r w:rsidRPr="005C3639">
        <w:rPr>
          <w:rFonts w:ascii="Simplified Arabic" w:hAnsi="Simplified Arabic" w:cs="Simplified Arabic"/>
          <w:sz w:val="28"/>
          <w:szCs w:val="28"/>
        </w:rPr>
        <w:t>–70.</w:t>
      </w:r>
      <w:r w:rsidRPr="005C3639">
        <w:rPr>
          <w:rFonts w:ascii="Simplified Arabic" w:hAnsi="Simplified Arabic" w:cs="Simplified Arabic"/>
          <w:sz w:val="28"/>
          <w:szCs w:val="28"/>
        </w:rPr>
        <w:br/>
        <w:t>https://asjp.cerist.dz/en/article/175557</w:t>
      </w:r>
    </w:p>
    <w:p w14:paraId="700F3519"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بوعلاق، محمد، وخرفي، نسيمة. (2021). تأثير جودة الخدمة التأمينية على رضا الزبون</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المنارة للبحوث والدراسات</w:t>
      </w:r>
      <w:r w:rsidRPr="005C3639">
        <w:rPr>
          <w:rFonts w:ascii="Simplified Arabic" w:hAnsi="Simplified Arabic" w:cs="Simplified Arabic"/>
          <w:sz w:val="28"/>
          <w:szCs w:val="28"/>
          <w:rtl/>
        </w:rPr>
        <w:t>، 27</w:t>
      </w:r>
      <w:r w:rsidRPr="005C3639">
        <w:rPr>
          <w:rFonts w:ascii="Simplified Arabic" w:hAnsi="Simplified Arabic" w:cs="Simplified Arabic"/>
          <w:sz w:val="28"/>
          <w:szCs w:val="28"/>
        </w:rPr>
        <w:t>(3)</w:t>
      </w:r>
      <w:r w:rsidRPr="005C3639">
        <w:rPr>
          <w:rFonts w:ascii="Simplified Arabic" w:hAnsi="Simplified Arabic" w:cs="Simplified Arabic"/>
          <w:sz w:val="28"/>
          <w:szCs w:val="28"/>
          <w:rtl/>
        </w:rPr>
        <w:t>، 190</w:t>
      </w:r>
      <w:r w:rsidRPr="005C3639">
        <w:rPr>
          <w:rFonts w:ascii="Simplified Arabic" w:hAnsi="Simplified Arabic" w:cs="Simplified Arabic"/>
          <w:sz w:val="28"/>
          <w:szCs w:val="28"/>
        </w:rPr>
        <w:t>–220.</w:t>
      </w:r>
      <w:r w:rsidRPr="005C3639">
        <w:rPr>
          <w:rFonts w:ascii="Simplified Arabic" w:hAnsi="Simplified Arabic" w:cs="Simplified Arabic"/>
          <w:sz w:val="28"/>
          <w:szCs w:val="28"/>
        </w:rPr>
        <w:br/>
        <w:t>https://asjp.cerist.dz/en/article/185634</w:t>
      </w:r>
    </w:p>
    <w:p w14:paraId="1274F0C7"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بوعبد الله، سمير. (2016). مقارنة بين نموذجَي</w:t>
      </w:r>
      <w:r w:rsidRPr="005C3639">
        <w:rPr>
          <w:rFonts w:ascii="Simplified Arabic" w:hAnsi="Simplified Arabic" w:cs="Simplified Arabic"/>
          <w:sz w:val="28"/>
          <w:szCs w:val="28"/>
        </w:rPr>
        <w:t xml:space="preserve"> SERVQUAL </w:t>
      </w:r>
      <w:r w:rsidRPr="005C3639">
        <w:rPr>
          <w:rFonts w:ascii="Simplified Arabic" w:hAnsi="Simplified Arabic" w:cs="Simplified Arabic"/>
          <w:sz w:val="28"/>
          <w:szCs w:val="28"/>
          <w:rtl/>
        </w:rPr>
        <w:t>و</w:t>
      </w:r>
      <w:r w:rsidRPr="005C3639">
        <w:rPr>
          <w:rFonts w:ascii="Simplified Arabic" w:hAnsi="Simplified Arabic" w:cs="Simplified Arabic"/>
          <w:sz w:val="28"/>
          <w:szCs w:val="28"/>
        </w:rPr>
        <w:t xml:space="preserve">SERVPERF </w:t>
      </w:r>
      <w:r w:rsidRPr="005C3639">
        <w:rPr>
          <w:rFonts w:ascii="Simplified Arabic" w:hAnsi="Simplified Arabic" w:cs="Simplified Arabic"/>
          <w:sz w:val="28"/>
          <w:szCs w:val="28"/>
          <w:rtl/>
        </w:rPr>
        <w:t>في قياس جودة الخدمات</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الاقتصاد والتسيير والتجارة</w:t>
      </w:r>
      <w:r w:rsidRPr="005C3639">
        <w:rPr>
          <w:rFonts w:ascii="Simplified Arabic" w:hAnsi="Simplified Arabic" w:cs="Simplified Arabic"/>
          <w:sz w:val="28"/>
          <w:szCs w:val="28"/>
          <w:rtl/>
        </w:rPr>
        <w:t>، 3</w:t>
      </w:r>
      <w:r w:rsidRPr="005C3639">
        <w:rPr>
          <w:rFonts w:ascii="Simplified Arabic" w:hAnsi="Simplified Arabic" w:cs="Simplified Arabic"/>
          <w:sz w:val="28"/>
          <w:szCs w:val="28"/>
        </w:rPr>
        <w:t>(1)</w:t>
      </w:r>
      <w:r w:rsidRPr="005C3639">
        <w:rPr>
          <w:rFonts w:ascii="Simplified Arabic" w:hAnsi="Simplified Arabic" w:cs="Simplified Arabic"/>
          <w:sz w:val="28"/>
          <w:szCs w:val="28"/>
          <w:rtl/>
        </w:rPr>
        <w:t>، 55</w:t>
      </w:r>
      <w:r w:rsidRPr="005C3639">
        <w:rPr>
          <w:rFonts w:ascii="Simplified Arabic" w:hAnsi="Simplified Arabic" w:cs="Simplified Arabic"/>
          <w:sz w:val="28"/>
          <w:szCs w:val="28"/>
        </w:rPr>
        <w:t>–78.</w:t>
      </w:r>
      <w:r w:rsidRPr="005C3639">
        <w:rPr>
          <w:rFonts w:ascii="Simplified Arabic" w:hAnsi="Simplified Arabic" w:cs="Simplified Arabic"/>
          <w:sz w:val="28"/>
          <w:szCs w:val="28"/>
        </w:rPr>
        <w:br/>
        <w:t>https://asjp.cerist.dz/en/article/54402</w:t>
      </w:r>
    </w:p>
    <w:p w14:paraId="2B45BCF7"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الجهمي، صالح، وموسى، أحمد. (2023). أثر كفاءة التحول الرقمي على جودة العمليات التشغيلية</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الاقتصاد والإدارة</w:t>
      </w:r>
      <w:r w:rsidRPr="005C3639">
        <w:rPr>
          <w:rFonts w:ascii="Simplified Arabic" w:hAnsi="Simplified Arabic" w:cs="Simplified Arabic"/>
          <w:sz w:val="28"/>
          <w:szCs w:val="28"/>
          <w:rtl/>
        </w:rPr>
        <w:t>، جامعة الملك عبدالعزيز، 37(2)، 1–30</w:t>
      </w:r>
      <w:r w:rsidRPr="005C3639">
        <w:rPr>
          <w:rFonts w:ascii="Simplified Arabic" w:hAnsi="Simplified Arabic" w:cs="Simplified Arabic"/>
          <w:sz w:val="28"/>
          <w:szCs w:val="28"/>
        </w:rPr>
        <w:t>.</w:t>
      </w:r>
      <w:r w:rsidRPr="005C3639">
        <w:rPr>
          <w:rFonts w:ascii="Simplified Arabic" w:hAnsi="Simplified Arabic" w:cs="Simplified Arabic"/>
          <w:sz w:val="28"/>
          <w:szCs w:val="28"/>
        </w:rPr>
        <w:br/>
        <w:t>https://aja.journals.ekb.eg/article_321005.html</w:t>
      </w:r>
    </w:p>
    <w:p w14:paraId="2D6F0BD3"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lastRenderedPageBreak/>
        <w:t>الجنيد، سلمى، وآخرون. (2025). التحول الرقمي وتجربة العملاء في القطاعات الخدمية السعودية</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الإدارة العامة</w:t>
      </w:r>
      <w:r w:rsidRPr="005C3639">
        <w:rPr>
          <w:rFonts w:ascii="Simplified Arabic" w:hAnsi="Simplified Arabic" w:cs="Simplified Arabic"/>
          <w:sz w:val="28"/>
          <w:szCs w:val="28"/>
          <w:rtl/>
        </w:rPr>
        <w:t>، 65</w:t>
      </w:r>
      <w:r w:rsidRPr="005C3639">
        <w:rPr>
          <w:rFonts w:ascii="Simplified Arabic" w:hAnsi="Simplified Arabic" w:cs="Simplified Arabic"/>
          <w:sz w:val="28"/>
          <w:szCs w:val="28"/>
        </w:rPr>
        <w:t>(1)</w:t>
      </w:r>
      <w:r w:rsidRPr="005C3639">
        <w:rPr>
          <w:rFonts w:ascii="Simplified Arabic" w:hAnsi="Simplified Arabic" w:cs="Simplified Arabic"/>
          <w:sz w:val="28"/>
          <w:szCs w:val="28"/>
          <w:rtl/>
        </w:rPr>
        <w:t>، 45</w:t>
      </w:r>
      <w:r w:rsidRPr="005C3639">
        <w:rPr>
          <w:rFonts w:ascii="Simplified Arabic" w:hAnsi="Simplified Arabic" w:cs="Simplified Arabic"/>
          <w:sz w:val="28"/>
          <w:szCs w:val="28"/>
        </w:rPr>
        <w:t>–80.</w:t>
      </w:r>
      <w:r w:rsidRPr="005C3639">
        <w:rPr>
          <w:rFonts w:ascii="Simplified Arabic" w:hAnsi="Simplified Arabic" w:cs="Simplified Arabic"/>
          <w:sz w:val="28"/>
          <w:szCs w:val="28"/>
        </w:rPr>
        <w:br/>
        <w:t>https://ipa.journals.ekb.eg/article_2025.html</w:t>
      </w:r>
    </w:p>
    <w:p w14:paraId="18256B0E"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الجوهري، ناصر، وآخرون. (2022). التحول الرقمي في المملكة العربية السعودية وفق مؤشر الاقتصاد الرقمي العربي</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دراسات الخليج والجزيرة العربية</w:t>
      </w:r>
      <w:r w:rsidRPr="005C3639">
        <w:rPr>
          <w:rFonts w:ascii="Simplified Arabic" w:hAnsi="Simplified Arabic" w:cs="Simplified Arabic"/>
          <w:sz w:val="28"/>
          <w:szCs w:val="28"/>
          <w:rtl/>
        </w:rPr>
        <w:t>، 48</w:t>
      </w:r>
      <w:r w:rsidRPr="005C3639">
        <w:rPr>
          <w:rFonts w:ascii="Simplified Arabic" w:hAnsi="Simplified Arabic" w:cs="Simplified Arabic"/>
          <w:sz w:val="28"/>
          <w:szCs w:val="28"/>
        </w:rPr>
        <w:t>(181)</w:t>
      </w:r>
      <w:r w:rsidRPr="005C3639">
        <w:rPr>
          <w:rFonts w:ascii="Simplified Arabic" w:hAnsi="Simplified Arabic" w:cs="Simplified Arabic"/>
          <w:sz w:val="28"/>
          <w:szCs w:val="28"/>
          <w:rtl/>
        </w:rPr>
        <w:t>، 55</w:t>
      </w:r>
      <w:r w:rsidRPr="005C3639">
        <w:rPr>
          <w:rFonts w:ascii="Simplified Arabic" w:hAnsi="Simplified Arabic" w:cs="Simplified Arabic"/>
          <w:sz w:val="28"/>
          <w:szCs w:val="28"/>
        </w:rPr>
        <w:t>–90.</w:t>
      </w:r>
      <w:r w:rsidRPr="005C3639">
        <w:rPr>
          <w:rFonts w:ascii="Simplified Arabic" w:hAnsi="Simplified Arabic" w:cs="Simplified Arabic"/>
          <w:sz w:val="28"/>
          <w:szCs w:val="28"/>
        </w:rPr>
        <w:br/>
        <w:t>https://journals.ku.edu.kw/gulfstudies/index.php/gjss/article/view/1458</w:t>
      </w:r>
    </w:p>
    <w:p w14:paraId="6E88C3E9"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حمادي، مصطفى. (2019). دور تكنولوجيا المعلومات في تحسين جودة الخدمات</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الحقوق والعلوم الإنسانية</w:t>
      </w:r>
      <w:r w:rsidRPr="005C3639">
        <w:rPr>
          <w:rFonts w:ascii="Simplified Arabic" w:hAnsi="Simplified Arabic" w:cs="Simplified Arabic"/>
          <w:sz w:val="28"/>
          <w:szCs w:val="28"/>
          <w:rtl/>
        </w:rPr>
        <w:t>، 12</w:t>
      </w:r>
      <w:r w:rsidRPr="005C3639">
        <w:rPr>
          <w:rFonts w:ascii="Simplified Arabic" w:hAnsi="Simplified Arabic" w:cs="Simplified Arabic"/>
          <w:sz w:val="28"/>
          <w:szCs w:val="28"/>
        </w:rPr>
        <w:t>(2)</w:t>
      </w:r>
      <w:r w:rsidRPr="005C3639">
        <w:rPr>
          <w:rFonts w:ascii="Simplified Arabic" w:hAnsi="Simplified Arabic" w:cs="Simplified Arabic"/>
          <w:sz w:val="28"/>
          <w:szCs w:val="28"/>
          <w:rtl/>
        </w:rPr>
        <w:t>، 600</w:t>
      </w:r>
      <w:r w:rsidRPr="005C3639">
        <w:rPr>
          <w:rFonts w:ascii="Simplified Arabic" w:hAnsi="Simplified Arabic" w:cs="Simplified Arabic"/>
          <w:sz w:val="28"/>
          <w:szCs w:val="28"/>
        </w:rPr>
        <w:t>–620.</w:t>
      </w:r>
      <w:r w:rsidRPr="005C3639">
        <w:rPr>
          <w:rFonts w:ascii="Simplified Arabic" w:hAnsi="Simplified Arabic" w:cs="Simplified Arabic"/>
          <w:sz w:val="28"/>
          <w:szCs w:val="28"/>
        </w:rPr>
        <w:br/>
        <w:t>https://asjp.cerist.dz/en/article/102555</w:t>
      </w:r>
    </w:p>
    <w:p w14:paraId="0FD0BAF5"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حمودة، عصام، وعواودة، أحمد. (2021). أثر التسويق الإلكتروني في رضا العملاء لشركات التأمين</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العلوم الاقتصادية والإدارية والقانونية</w:t>
      </w:r>
      <w:r w:rsidRPr="005C3639">
        <w:rPr>
          <w:rFonts w:ascii="Simplified Arabic" w:hAnsi="Simplified Arabic" w:cs="Simplified Arabic"/>
          <w:sz w:val="28"/>
          <w:szCs w:val="28"/>
          <w:rtl/>
        </w:rPr>
        <w:t>، 5</w:t>
      </w:r>
      <w:r w:rsidRPr="005C3639">
        <w:rPr>
          <w:rFonts w:ascii="Simplified Arabic" w:hAnsi="Simplified Arabic" w:cs="Simplified Arabic"/>
          <w:sz w:val="28"/>
          <w:szCs w:val="28"/>
        </w:rPr>
        <w:t>(15)</w:t>
      </w:r>
      <w:r w:rsidRPr="005C3639">
        <w:rPr>
          <w:rFonts w:ascii="Simplified Arabic" w:hAnsi="Simplified Arabic" w:cs="Simplified Arabic"/>
          <w:sz w:val="28"/>
          <w:szCs w:val="28"/>
          <w:rtl/>
        </w:rPr>
        <w:t>، 1</w:t>
      </w:r>
      <w:r w:rsidRPr="005C3639">
        <w:rPr>
          <w:rFonts w:ascii="Simplified Arabic" w:hAnsi="Simplified Arabic" w:cs="Simplified Arabic"/>
          <w:sz w:val="28"/>
          <w:szCs w:val="28"/>
        </w:rPr>
        <w:t>–24.</w:t>
      </w:r>
      <w:r w:rsidRPr="005C3639">
        <w:rPr>
          <w:rFonts w:ascii="Simplified Arabic" w:hAnsi="Simplified Arabic" w:cs="Simplified Arabic"/>
          <w:sz w:val="28"/>
          <w:szCs w:val="28"/>
        </w:rPr>
        <w:br/>
        <w:t>https://doi.org/10.26389/AJSRP.D190321</w:t>
      </w:r>
    </w:p>
    <w:p w14:paraId="55A0FF7A"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حمزة، نعيمة. (2022). رقمنة قطاع التأمين على أداء الشركات</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البحوث الاقتصادية</w:t>
      </w:r>
      <w:r w:rsidRPr="005C3639">
        <w:rPr>
          <w:rFonts w:ascii="Simplified Arabic" w:hAnsi="Simplified Arabic" w:cs="Simplified Arabic"/>
          <w:sz w:val="28"/>
          <w:szCs w:val="28"/>
          <w:rtl/>
        </w:rPr>
        <w:t>، جامعة البليدة، 6(2)، 185–210</w:t>
      </w:r>
      <w:r w:rsidRPr="005C3639">
        <w:rPr>
          <w:rFonts w:ascii="Simplified Arabic" w:hAnsi="Simplified Arabic" w:cs="Simplified Arabic"/>
          <w:sz w:val="28"/>
          <w:szCs w:val="28"/>
        </w:rPr>
        <w:t>.</w:t>
      </w:r>
      <w:r w:rsidRPr="005C3639">
        <w:rPr>
          <w:rFonts w:ascii="Simplified Arabic" w:hAnsi="Simplified Arabic" w:cs="Simplified Arabic"/>
          <w:sz w:val="28"/>
          <w:szCs w:val="28"/>
        </w:rPr>
        <w:br/>
        <w:t>https://asjp.cerist.dz/en/article/209448</w:t>
      </w:r>
    </w:p>
    <w:p w14:paraId="1C75C72F"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الخزرجي، علي. (2024). التحول الرقمي وأثره على الأداء المؤسسي ورضا المتعاملين</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المجلة العربية للإدارة</w:t>
      </w:r>
      <w:r w:rsidRPr="005C3639">
        <w:rPr>
          <w:rFonts w:ascii="Simplified Arabic" w:hAnsi="Simplified Arabic" w:cs="Simplified Arabic"/>
          <w:sz w:val="28"/>
          <w:szCs w:val="28"/>
          <w:rtl/>
        </w:rPr>
        <w:t>، 44</w:t>
      </w:r>
      <w:r w:rsidRPr="005C3639">
        <w:rPr>
          <w:rFonts w:ascii="Simplified Arabic" w:hAnsi="Simplified Arabic" w:cs="Simplified Arabic"/>
          <w:sz w:val="28"/>
          <w:szCs w:val="28"/>
        </w:rPr>
        <w:t>(1)</w:t>
      </w:r>
      <w:r w:rsidRPr="005C3639">
        <w:rPr>
          <w:rFonts w:ascii="Simplified Arabic" w:hAnsi="Simplified Arabic" w:cs="Simplified Arabic"/>
          <w:sz w:val="28"/>
          <w:szCs w:val="28"/>
          <w:rtl/>
        </w:rPr>
        <w:t>، 85</w:t>
      </w:r>
      <w:r w:rsidRPr="005C3639">
        <w:rPr>
          <w:rFonts w:ascii="Simplified Arabic" w:hAnsi="Simplified Arabic" w:cs="Simplified Arabic"/>
          <w:sz w:val="28"/>
          <w:szCs w:val="28"/>
        </w:rPr>
        <w:t>–110.</w:t>
      </w:r>
      <w:r w:rsidRPr="005C3639">
        <w:rPr>
          <w:rFonts w:ascii="Simplified Arabic" w:hAnsi="Simplified Arabic" w:cs="Simplified Arabic"/>
          <w:sz w:val="28"/>
          <w:szCs w:val="28"/>
        </w:rPr>
        <w:br/>
        <w:t>https://aja.journals.ekb.eg/article_338772.html</w:t>
      </w:r>
    </w:p>
    <w:p w14:paraId="6D672412"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lastRenderedPageBreak/>
        <w:t>الخصيبي، محمد. (2025). الابتكار التقني وأثره في تعزيز القدرات التنافسية لشركات التأمين</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الاقتصاد الإسلامي</w:t>
      </w:r>
      <w:r w:rsidRPr="005C3639">
        <w:rPr>
          <w:rFonts w:ascii="Simplified Arabic" w:hAnsi="Simplified Arabic" w:cs="Simplified Arabic"/>
          <w:sz w:val="28"/>
          <w:szCs w:val="28"/>
          <w:rtl/>
        </w:rPr>
        <w:t>، جامعة الملك عبدالعزيز، 38(1)، 25–55</w:t>
      </w:r>
      <w:r w:rsidRPr="005C3639">
        <w:rPr>
          <w:rFonts w:ascii="Simplified Arabic" w:hAnsi="Simplified Arabic" w:cs="Simplified Arabic"/>
          <w:sz w:val="28"/>
          <w:szCs w:val="28"/>
        </w:rPr>
        <w:t>.</w:t>
      </w:r>
      <w:r w:rsidRPr="005C3639">
        <w:rPr>
          <w:rFonts w:ascii="Simplified Arabic" w:hAnsi="Simplified Arabic" w:cs="Simplified Arabic"/>
          <w:sz w:val="28"/>
          <w:szCs w:val="28"/>
        </w:rPr>
        <w:br/>
        <w:t>https://ier.kau.edu.sa/Pages-ArticleDetails.aspx?id=7425</w:t>
      </w:r>
    </w:p>
    <w:p w14:paraId="28DFCA1D"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خليل، إبراهيم. (2017). أبعاد جودة الخدمة ورضا عملاء شركات التأمين</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المجلة الأردنية في إدارة الأعمال</w:t>
      </w:r>
      <w:r w:rsidRPr="005C3639">
        <w:rPr>
          <w:rFonts w:ascii="Simplified Arabic" w:hAnsi="Simplified Arabic" w:cs="Simplified Arabic"/>
          <w:sz w:val="28"/>
          <w:szCs w:val="28"/>
          <w:rtl/>
        </w:rPr>
        <w:t>، 13</w:t>
      </w:r>
      <w:r w:rsidRPr="005C3639">
        <w:rPr>
          <w:rFonts w:ascii="Simplified Arabic" w:hAnsi="Simplified Arabic" w:cs="Simplified Arabic"/>
          <w:sz w:val="28"/>
          <w:szCs w:val="28"/>
        </w:rPr>
        <w:t>(3)</w:t>
      </w:r>
      <w:r w:rsidRPr="005C3639">
        <w:rPr>
          <w:rFonts w:ascii="Simplified Arabic" w:hAnsi="Simplified Arabic" w:cs="Simplified Arabic"/>
          <w:sz w:val="28"/>
          <w:szCs w:val="28"/>
          <w:rtl/>
        </w:rPr>
        <w:t>، 511</w:t>
      </w:r>
      <w:r w:rsidRPr="005C3639">
        <w:rPr>
          <w:rFonts w:ascii="Simplified Arabic" w:hAnsi="Simplified Arabic" w:cs="Simplified Arabic"/>
          <w:sz w:val="28"/>
          <w:szCs w:val="28"/>
        </w:rPr>
        <w:t>–532.</w:t>
      </w:r>
      <w:r w:rsidRPr="005C3639">
        <w:rPr>
          <w:rFonts w:ascii="Simplified Arabic" w:hAnsi="Simplified Arabic" w:cs="Simplified Arabic"/>
          <w:sz w:val="28"/>
          <w:szCs w:val="28"/>
        </w:rPr>
        <w:br/>
        <w:t>https://journals.ju.edu.jo/JJBA/article/view/9952</w:t>
      </w:r>
    </w:p>
    <w:p w14:paraId="2C5992E1"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زيدان، محمد، وبوجلال، محمد. (2020). استخدام تكنولوجيا المعلومات وجودة الخدمات المصرفية</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البشائر الاقتصادية</w:t>
      </w:r>
      <w:r w:rsidRPr="005C3639">
        <w:rPr>
          <w:rFonts w:ascii="Simplified Arabic" w:hAnsi="Simplified Arabic" w:cs="Simplified Arabic"/>
          <w:sz w:val="28"/>
          <w:szCs w:val="28"/>
          <w:rtl/>
        </w:rPr>
        <w:t>، 6</w:t>
      </w:r>
      <w:r w:rsidRPr="005C3639">
        <w:rPr>
          <w:rFonts w:ascii="Simplified Arabic" w:hAnsi="Simplified Arabic" w:cs="Simplified Arabic"/>
          <w:sz w:val="28"/>
          <w:szCs w:val="28"/>
        </w:rPr>
        <w:t>(2)</w:t>
      </w:r>
      <w:r w:rsidRPr="005C3639">
        <w:rPr>
          <w:rFonts w:ascii="Simplified Arabic" w:hAnsi="Simplified Arabic" w:cs="Simplified Arabic"/>
          <w:sz w:val="28"/>
          <w:szCs w:val="28"/>
          <w:rtl/>
        </w:rPr>
        <w:t>، 730</w:t>
      </w:r>
      <w:r w:rsidRPr="005C3639">
        <w:rPr>
          <w:rFonts w:ascii="Simplified Arabic" w:hAnsi="Simplified Arabic" w:cs="Simplified Arabic"/>
          <w:sz w:val="28"/>
          <w:szCs w:val="28"/>
        </w:rPr>
        <w:t>–748.</w:t>
      </w:r>
      <w:r w:rsidRPr="005C3639">
        <w:rPr>
          <w:rFonts w:ascii="Simplified Arabic" w:hAnsi="Simplified Arabic" w:cs="Simplified Arabic"/>
          <w:sz w:val="28"/>
          <w:szCs w:val="28"/>
        </w:rPr>
        <w:br/>
        <w:t>https://asjp.cerist.dz/en/article/133001</w:t>
      </w:r>
    </w:p>
    <w:p w14:paraId="03647B23"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سالمي، حفيظة. (2022). تأثير تكنولوجيا المعلومات على تحسين الأداء المؤسسي وفق بطاقة الأداء المتوازن</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البحوث والدراسات</w:t>
      </w:r>
      <w:r w:rsidRPr="005C3639">
        <w:rPr>
          <w:rFonts w:ascii="Simplified Arabic" w:hAnsi="Simplified Arabic" w:cs="Simplified Arabic"/>
          <w:sz w:val="28"/>
          <w:szCs w:val="28"/>
          <w:rtl/>
        </w:rPr>
        <w:t>، 19</w:t>
      </w:r>
      <w:r w:rsidRPr="005C3639">
        <w:rPr>
          <w:rFonts w:ascii="Simplified Arabic" w:hAnsi="Simplified Arabic" w:cs="Simplified Arabic"/>
          <w:sz w:val="28"/>
          <w:szCs w:val="28"/>
        </w:rPr>
        <w:t>(1)</w:t>
      </w:r>
      <w:r w:rsidRPr="005C3639">
        <w:rPr>
          <w:rFonts w:ascii="Simplified Arabic" w:hAnsi="Simplified Arabic" w:cs="Simplified Arabic"/>
          <w:sz w:val="28"/>
          <w:szCs w:val="28"/>
          <w:rtl/>
        </w:rPr>
        <w:t>، 430</w:t>
      </w:r>
      <w:r w:rsidRPr="005C3639">
        <w:rPr>
          <w:rFonts w:ascii="Simplified Arabic" w:hAnsi="Simplified Arabic" w:cs="Simplified Arabic"/>
          <w:sz w:val="28"/>
          <w:szCs w:val="28"/>
        </w:rPr>
        <w:t>–450.</w:t>
      </w:r>
      <w:r w:rsidRPr="005C3639">
        <w:rPr>
          <w:rFonts w:ascii="Simplified Arabic" w:hAnsi="Simplified Arabic" w:cs="Simplified Arabic"/>
          <w:sz w:val="28"/>
          <w:szCs w:val="28"/>
        </w:rPr>
        <w:br/>
        <w:t>https://asjp.cerist.dz/en/article/211005</w:t>
      </w:r>
    </w:p>
    <w:p w14:paraId="40D4A670"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الشريف، خالد. (2019). دراسة تطبيقية على واقع التحول الرقمي لشركات التأمين السعودية</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المجلة العلمية للدراسات التجارية والبيئية</w:t>
      </w:r>
      <w:r w:rsidRPr="005C3639">
        <w:rPr>
          <w:rFonts w:ascii="Simplified Arabic" w:hAnsi="Simplified Arabic" w:cs="Simplified Arabic"/>
          <w:sz w:val="28"/>
          <w:szCs w:val="28"/>
          <w:rtl/>
        </w:rPr>
        <w:t>، 10</w:t>
      </w:r>
      <w:r w:rsidRPr="005C3639">
        <w:rPr>
          <w:rFonts w:ascii="Simplified Arabic" w:hAnsi="Simplified Arabic" w:cs="Simplified Arabic"/>
          <w:sz w:val="28"/>
          <w:szCs w:val="28"/>
        </w:rPr>
        <w:t>(4)</w:t>
      </w:r>
      <w:r w:rsidRPr="005C3639">
        <w:rPr>
          <w:rFonts w:ascii="Simplified Arabic" w:hAnsi="Simplified Arabic" w:cs="Simplified Arabic"/>
          <w:sz w:val="28"/>
          <w:szCs w:val="28"/>
          <w:rtl/>
        </w:rPr>
        <w:t>، 115</w:t>
      </w:r>
      <w:r w:rsidRPr="005C3639">
        <w:rPr>
          <w:rFonts w:ascii="Simplified Arabic" w:hAnsi="Simplified Arabic" w:cs="Simplified Arabic"/>
          <w:sz w:val="28"/>
          <w:szCs w:val="28"/>
        </w:rPr>
        <w:t>–145.</w:t>
      </w:r>
      <w:r w:rsidRPr="005C3639">
        <w:rPr>
          <w:rFonts w:ascii="Simplified Arabic" w:hAnsi="Simplified Arabic" w:cs="Simplified Arabic"/>
          <w:sz w:val="28"/>
          <w:szCs w:val="28"/>
        </w:rPr>
        <w:br/>
        <w:t>https://sjsc.journals.ekb.eg/article_111944.html</w:t>
      </w:r>
    </w:p>
    <w:p w14:paraId="3901DD6C"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عثماني، سفيان، وآخرون. (2017). الأساليب التسويقية لقياس جودة أداء الخدمات التأمينية بشركة</w:t>
      </w:r>
      <w:r w:rsidRPr="005C3639">
        <w:rPr>
          <w:rFonts w:ascii="Simplified Arabic" w:hAnsi="Simplified Arabic" w:cs="Simplified Arabic"/>
          <w:sz w:val="28"/>
          <w:szCs w:val="28"/>
        </w:rPr>
        <w:t xml:space="preserve"> AXA. </w:t>
      </w:r>
      <w:r w:rsidRPr="005C3639">
        <w:rPr>
          <w:rFonts w:ascii="Simplified Arabic" w:hAnsi="Simplified Arabic" w:cs="Simplified Arabic"/>
          <w:i/>
          <w:iCs/>
          <w:sz w:val="28"/>
          <w:szCs w:val="28"/>
          <w:rtl/>
        </w:rPr>
        <w:t>مجلة الباحث الاقتصادي</w:t>
      </w:r>
      <w:r w:rsidRPr="005C3639">
        <w:rPr>
          <w:rFonts w:ascii="Simplified Arabic" w:hAnsi="Simplified Arabic" w:cs="Simplified Arabic"/>
          <w:sz w:val="28"/>
          <w:szCs w:val="28"/>
          <w:rtl/>
        </w:rPr>
        <w:t>، 5</w:t>
      </w:r>
      <w:r w:rsidRPr="005C3639">
        <w:rPr>
          <w:rFonts w:ascii="Simplified Arabic" w:hAnsi="Simplified Arabic" w:cs="Simplified Arabic"/>
          <w:sz w:val="28"/>
          <w:szCs w:val="28"/>
        </w:rPr>
        <w:t>(7)</w:t>
      </w:r>
      <w:r w:rsidRPr="005C3639">
        <w:rPr>
          <w:rFonts w:ascii="Simplified Arabic" w:hAnsi="Simplified Arabic" w:cs="Simplified Arabic"/>
          <w:sz w:val="28"/>
          <w:szCs w:val="28"/>
          <w:rtl/>
        </w:rPr>
        <w:t>، 111</w:t>
      </w:r>
      <w:r w:rsidRPr="005C3639">
        <w:rPr>
          <w:rFonts w:ascii="Simplified Arabic" w:hAnsi="Simplified Arabic" w:cs="Simplified Arabic"/>
          <w:sz w:val="28"/>
          <w:szCs w:val="28"/>
        </w:rPr>
        <w:t>–128.</w:t>
      </w:r>
      <w:r w:rsidRPr="005C3639">
        <w:rPr>
          <w:rFonts w:ascii="Simplified Arabic" w:hAnsi="Simplified Arabic" w:cs="Simplified Arabic"/>
          <w:sz w:val="28"/>
          <w:szCs w:val="28"/>
        </w:rPr>
        <w:br/>
        <w:t>https://asjp.cerist.dz/en/article/66306</w:t>
      </w:r>
    </w:p>
    <w:p w14:paraId="17983DB2"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lastRenderedPageBreak/>
        <w:t>العنزي، سعد، وآخرون. (2026). التحول الرقمي في إدارة المخاطر المالية في المصارف السعودية</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الإدارة والاقتصاد</w:t>
      </w:r>
      <w:r w:rsidRPr="005C3639">
        <w:rPr>
          <w:rFonts w:ascii="Simplified Arabic" w:hAnsi="Simplified Arabic" w:cs="Simplified Arabic"/>
          <w:sz w:val="28"/>
          <w:szCs w:val="28"/>
          <w:rtl/>
        </w:rPr>
        <w:t>، جامعة الملك سعود، 38(1)، 1–25</w:t>
      </w:r>
      <w:r w:rsidRPr="005C3639">
        <w:rPr>
          <w:rFonts w:ascii="Simplified Arabic" w:hAnsi="Simplified Arabic" w:cs="Simplified Arabic"/>
          <w:sz w:val="28"/>
          <w:szCs w:val="28"/>
        </w:rPr>
        <w:t>.</w:t>
      </w:r>
      <w:r w:rsidRPr="005C3639">
        <w:rPr>
          <w:rFonts w:ascii="Simplified Arabic" w:hAnsi="Simplified Arabic" w:cs="Simplified Arabic"/>
          <w:sz w:val="28"/>
          <w:szCs w:val="28"/>
        </w:rPr>
        <w:br/>
        <w:t>https://sjsm.ksu.edu.sa/article_2026_vol38.html</w:t>
      </w:r>
    </w:p>
    <w:p w14:paraId="468397C0"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الغامدي، وليد، وآخرون. (2024). التحول الرقمي والتميز المؤسسي في المؤسسات السعودية</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دراسات إدارة الأعمال</w:t>
      </w:r>
      <w:r w:rsidRPr="005C3639">
        <w:rPr>
          <w:rFonts w:ascii="Simplified Arabic" w:hAnsi="Simplified Arabic" w:cs="Simplified Arabic"/>
          <w:sz w:val="28"/>
          <w:szCs w:val="28"/>
          <w:rtl/>
        </w:rPr>
        <w:t>، 12</w:t>
      </w:r>
      <w:r w:rsidRPr="005C3639">
        <w:rPr>
          <w:rFonts w:ascii="Simplified Arabic" w:hAnsi="Simplified Arabic" w:cs="Simplified Arabic"/>
          <w:sz w:val="28"/>
          <w:szCs w:val="28"/>
        </w:rPr>
        <w:t>(1)</w:t>
      </w:r>
      <w:r w:rsidRPr="005C3639">
        <w:rPr>
          <w:rFonts w:ascii="Simplified Arabic" w:hAnsi="Simplified Arabic" w:cs="Simplified Arabic"/>
          <w:sz w:val="28"/>
          <w:szCs w:val="28"/>
          <w:rtl/>
        </w:rPr>
        <w:t>، 20</w:t>
      </w:r>
      <w:r w:rsidRPr="005C3639">
        <w:rPr>
          <w:rFonts w:ascii="Simplified Arabic" w:hAnsi="Simplified Arabic" w:cs="Simplified Arabic"/>
          <w:sz w:val="28"/>
          <w:szCs w:val="28"/>
        </w:rPr>
        <w:t>–45.</w:t>
      </w:r>
      <w:r w:rsidRPr="005C3639">
        <w:rPr>
          <w:rFonts w:ascii="Simplified Arabic" w:hAnsi="Simplified Arabic" w:cs="Simplified Arabic"/>
          <w:sz w:val="28"/>
          <w:szCs w:val="28"/>
        </w:rPr>
        <w:br/>
        <w:t>https://asjp.cerist.dz/en/article/239005</w:t>
      </w:r>
    </w:p>
    <w:p w14:paraId="41618288"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قايدي، مصطفى. (2019). أثر أبعاد جودة الخدمة على ثقة الزبون عبر الرضا</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الاقتصاد والتنمية البشرية</w:t>
      </w:r>
      <w:r w:rsidRPr="005C3639">
        <w:rPr>
          <w:rFonts w:ascii="Simplified Arabic" w:hAnsi="Simplified Arabic" w:cs="Simplified Arabic"/>
          <w:sz w:val="28"/>
          <w:szCs w:val="28"/>
          <w:rtl/>
        </w:rPr>
        <w:t>، 10</w:t>
      </w:r>
      <w:r w:rsidRPr="005C3639">
        <w:rPr>
          <w:rFonts w:ascii="Simplified Arabic" w:hAnsi="Simplified Arabic" w:cs="Simplified Arabic"/>
          <w:sz w:val="28"/>
          <w:szCs w:val="28"/>
        </w:rPr>
        <w:t>(1)</w:t>
      </w:r>
      <w:r w:rsidRPr="005C3639">
        <w:rPr>
          <w:rFonts w:ascii="Simplified Arabic" w:hAnsi="Simplified Arabic" w:cs="Simplified Arabic"/>
          <w:sz w:val="28"/>
          <w:szCs w:val="28"/>
          <w:rtl/>
        </w:rPr>
        <w:t>، 131</w:t>
      </w:r>
      <w:r w:rsidRPr="005C3639">
        <w:rPr>
          <w:rFonts w:ascii="Simplified Arabic" w:hAnsi="Simplified Arabic" w:cs="Simplified Arabic"/>
          <w:sz w:val="28"/>
          <w:szCs w:val="28"/>
        </w:rPr>
        <w:t>–145.</w:t>
      </w:r>
      <w:r w:rsidRPr="005C3639">
        <w:rPr>
          <w:rFonts w:ascii="Simplified Arabic" w:hAnsi="Simplified Arabic" w:cs="Simplified Arabic"/>
          <w:sz w:val="28"/>
          <w:szCs w:val="28"/>
        </w:rPr>
        <w:br/>
        <w:t>https://asjp.cerist.dz/en/article/111204</w:t>
      </w:r>
    </w:p>
    <w:p w14:paraId="54D976D1"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القادري، يوسف. (2023). التحول الرقمي ومستقبل صناعة التأمين في ظل الثورة الصناعية الرابعة</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الاقتصاد والمال</w:t>
      </w:r>
      <w:r w:rsidRPr="005C3639">
        <w:rPr>
          <w:rFonts w:ascii="Simplified Arabic" w:hAnsi="Simplified Arabic" w:cs="Simplified Arabic"/>
          <w:sz w:val="28"/>
          <w:szCs w:val="28"/>
          <w:rtl/>
        </w:rPr>
        <w:t>، 9</w:t>
      </w:r>
      <w:r w:rsidRPr="005C3639">
        <w:rPr>
          <w:rFonts w:ascii="Simplified Arabic" w:hAnsi="Simplified Arabic" w:cs="Simplified Arabic"/>
          <w:sz w:val="28"/>
          <w:szCs w:val="28"/>
        </w:rPr>
        <w:t>(1)</w:t>
      </w:r>
      <w:r w:rsidRPr="005C3639">
        <w:rPr>
          <w:rFonts w:ascii="Simplified Arabic" w:hAnsi="Simplified Arabic" w:cs="Simplified Arabic"/>
          <w:sz w:val="28"/>
          <w:szCs w:val="28"/>
          <w:rtl/>
        </w:rPr>
        <w:t>، 75</w:t>
      </w:r>
      <w:r w:rsidRPr="005C3639">
        <w:rPr>
          <w:rFonts w:ascii="Simplified Arabic" w:hAnsi="Simplified Arabic" w:cs="Simplified Arabic"/>
          <w:sz w:val="28"/>
          <w:szCs w:val="28"/>
        </w:rPr>
        <w:t>–100.</w:t>
      </w:r>
      <w:r w:rsidRPr="005C3639">
        <w:rPr>
          <w:rFonts w:ascii="Simplified Arabic" w:hAnsi="Simplified Arabic" w:cs="Simplified Arabic"/>
          <w:sz w:val="28"/>
          <w:szCs w:val="28"/>
        </w:rPr>
        <w:br/>
        <w:t>https://asjp.cerist.dz/en/article/218336</w:t>
      </w:r>
    </w:p>
    <w:p w14:paraId="35B020D8"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القحطاني، سعود. (2023). تبنّي الخدمات المالية الرقمية في ضوء نظرية</w:t>
      </w:r>
      <w:r w:rsidRPr="005C3639">
        <w:rPr>
          <w:rFonts w:ascii="Simplified Arabic" w:hAnsi="Simplified Arabic" w:cs="Simplified Arabic"/>
          <w:sz w:val="28"/>
          <w:szCs w:val="28"/>
        </w:rPr>
        <w:t xml:space="preserve"> TAM </w:t>
      </w:r>
      <w:r w:rsidRPr="005C3639">
        <w:rPr>
          <w:rFonts w:ascii="Simplified Arabic" w:hAnsi="Simplified Arabic" w:cs="Simplified Arabic"/>
          <w:sz w:val="28"/>
          <w:szCs w:val="28"/>
          <w:rtl/>
        </w:rPr>
        <w:t>المعدّلة</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الاقتصاد والأعمال الإسلامية</w:t>
      </w:r>
      <w:r w:rsidRPr="005C3639">
        <w:rPr>
          <w:rFonts w:ascii="Simplified Arabic" w:hAnsi="Simplified Arabic" w:cs="Simplified Arabic"/>
          <w:sz w:val="28"/>
          <w:szCs w:val="28"/>
          <w:rtl/>
        </w:rPr>
        <w:t>، 4</w:t>
      </w:r>
      <w:r w:rsidRPr="005C3639">
        <w:rPr>
          <w:rFonts w:ascii="Simplified Arabic" w:hAnsi="Simplified Arabic" w:cs="Simplified Arabic"/>
          <w:sz w:val="28"/>
          <w:szCs w:val="28"/>
        </w:rPr>
        <w:t>(1)</w:t>
      </w:r>
      <w:r w:rsidRPr="005C3639">
        <w:rPr>
          <w:rFonts w:ascii="Simplified Arabic" w:hAnsi="Simplified Arabic" w:cs="Simplified Arabic"/>
          <w:sz w:val="28"/>
          <w:szCs w:val="28"/>
          <w:rtl/>
        </w:rPr>
        <w:t>، 105</w:t>
      </w:r>
      <w:r w:rsidRPr="005C3639">
        <w:rPr>
          <w:rFonts w:ascii="Simplified Arabic" w:hAnsi="Simplified Arabic" w:cs="Simplified Arabic"/>
          <w:sz w:val="28"/>
          <w:szCs w:val="28"/>
        </w:rPr>
        <w:t>–130.</w:t>
      </w:r>
      <w:r w:rsidRPr="005C3639">
        <w:rPr>
          <w:rFonts w:ascii="Simplified Arabic" w:hAnsi="Simplified Arabic" w:cs="Simplified Arabic"/>
          <w:sz w:val="28"/>
          <w:szCs w:val="28"/>
        </w:rPr>
        <w:br/>
        <w:t>https://iefpedia.com/arab/wp-content/uploads/2023/</w:t>
      </w:r>
      <w:r w:rsidRPr="005C3639">
        <w:rPr>
          <w:rFonts w:ascii="Simplified Arabic" w:hAnsi="Simplified Arabic" w:cs="Simplified Arabic"/>
          <w:sz w:val="28"/>
          <w:szCs w:val="28"/>
          <w:rtl/>
        </w:rPr>
        <w:t>قحطاني</w:t>
      </w:r>
      <w:r w:rsidRPr="005C3639">
        <w:rPr>
          <w:rFonts w:ascii="Simplified Arabic" w:hAnsi="Simplified Arabic" w:cs="Simplified Arabic"/>
          <w:sz w:val="28"/>
          <w:szCs w:val="28"/>
        </w:rPr>
        <w:t>.pdf</w:t>
      </w:r>
    </w:p>
    <w:p w14:paraId="40E8CE0B"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ولد الشيخ، الصادق. (2016). تكنولوجيا المعلومات وجودة الخدمة في شركة التأمين الوطنية</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الاقتصاد والمال والأعمال</w:t>
      </w:r>
      <w:r w:rsidRPr="005C3639">
        <w:rPr>
          <w:rFonts w:ascii="Simplified Arabic" w:hAnsi="Simplified Arabic" w:cs="Simplified Arabic"/>
          <w:sz w:val="28"/>
          <w:szCs w:val="28"/>
          <w:rtl/>
        </w:rPr>
        <w:t>، 3</w:t>
      </w:r>
      <w:r w:rsidRPr="005C3639">
        <w:rPr>
          <w:rFonts w:ascii="Simplified Arabic" w:hAnsi="Simplified Arabic" w:cs="Simplified Arabic"/>
          <w:sz w:val="28"/>
          <w:szCs w:val="28"/>
        </w:rPr>
        <w:t>(1)</w:t>
      </w:r>
      <w:r w:rsidRPr="005C3639">
        <w:rPr>
          <w:rFonts w:ascii="Simplified Arabic" w:hAnsi="Simplified Arabic" w:cs="Simplified Arabic"/>
          <w:sz w:val="28"/>
          <w:szCs w:val="28"/>
          <w:rtl/>
        </w:rPr>
        <w:t>، 11</w:t>
      </w:r>
      <w:r w:rsidRPr="005C3639">
        <w:rPr>
          <w:rFonts w:ascii="Simplified Arabic" w:hAnsi="Simplified Arabic" w:cs="Simplified Arabic"/>
          <w:sz w:val="28"/>
          <w:szCs w:val="28"/>
        </w:rPr>
        <w:t>–35.</w:t>
      </w:r>
      <w:r w:rsidRPr="005C3639">
        <w:rPr>
          <w:rFonts w:ascii="Simplified Arabic" w:hAnsi="Simplified Arabic" w:cs="Simplified Arabic"/>
          <w:sz w:val="28"/>
          <w:szCs w:val="28"/>
        </w:rPr>
        <w:br/>
        <w:t>https://asjp.cerist.dz/en/article/41199</w:t>
      </w:r>
    </w:p>
    <w:p w14:paraId="3E355217"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lastRenderedPageBreak/>
        <w:t>يوسف، أحمد، وفراج، هبة. (2023). سياسة التحول الرقمي والحوكمة في رفع كفاءة المؤسسات</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المجلة العلمية للاقتصاد والتجارة</w:t>
      </w:r>
      <w:r w:rsidRPr="005C3639">
        <w:rPr>
          <w:rFonts w:ascii="Simplified Arabic" w:hAnsi="Simplified Arabic" w:cs="Simplified Arabic"/>
          <w:sz w:val="28"/>
          <w:szCs w:val="28"/>
          <w:rtl/>
        </w:rPr>
        <w:t>، 53</w:t>
      </w:r>
      <w:r w:rsidRPr="005C3639">
        <w:rPr>
          <w:rFonts w:ascii="Simplified Arabic" w:hAnsi="Simplified Arabic" w:cs="Simplified Arabic"/>
          <w:sz w:val="28"/>
          <w:szCs w:val="28"/>
        </w:rPr>
        <w:t>(2)</w:t>
      </w:r>
      <w:r w:rsidRPr="005C3639">
        <w:rPr>
          <w:rFonts w:ascii="Simplified Arabic" w:hAnsi="Simplified Arabic" w:cs="Simplified Arabic"/>
          <w:sz w:val="28"/>
          <w:szCs w:val="28"/>
          <w:rtl/>
        </w:rPr>
        <w:t>، 625</w:t>
      </w:r>
      <w:r w:rsidRPr="005C3639">
        <w:rPr>
          <w:rFonts w:ascii="Simplified Arabic" w:hAnsi="Simplified Arabic" w:cs="Simplified Arabic"/>
          <w:sz w:val="28"/>
          <w:szCs w:val="28"/>
        </w:rPr>
        <w:t>–660.</w:t>
      </w:r>
      <w:r w:rsidRPr="005C3639">
        <w:rPr>
          <w:rFonts w:ascii="Simplified Arabic" w:hAnsi="Simplified Arabic" w:cs="Simplified Arabic"/>
          <w:sz w:val="28"/>
          <w:szCs w:val="28"/>
        </w:rPr>
        <w:br/>
        <w:t>https://ejsc.journals.ekb.eg/article_273055.html</w:t>
      </w:r>
    </w:p>
    <w:p w14:paraId="1E9B0AE2"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الحسيني، أمل. (2020). الكفاءة الذاتية وتأثيرها في تبنّي الخدمات الإلكترونية وفق نموذج</w:t>
      </w:r>
      <w:r w:rsidRPr="005C3639">
        <w:rPr>
          <w:rFonts w:ascii="Simplified Arabic" w:hAnsi="Simplified Arabic" w:cs="Simplified Arabic"/>
          <w:sz w:val="28"/>
          <w:szCs w:val="28"/>
        </w:rPr>
        <w:t xml:space="preserve"> TAM. </w:t>
      </w:r>
      <w:r w:rsidRPr="005C3639">
        <w:rPr>
          <w:rFonts w:ascii="Simplified Arabic" w:hAnsi="Simplified Arabic" w:cs="Simplified Arabic"/>
          <w:i/>
          <w:iCs/>
          <w:sz w:val="28"/>
          <w:szCs w:val="28"/>
          <w:rtl/>
        </w:rPr>
        <w:t>مجلة التجارة والتمويل</w:t>
      </w:r>
      <w:r w:rsidRPr="005C3639">
        <w:rPr>
          <w:rFonts w:ascii="Simplified Arabic" w:hAnsi="Simplified Arabic" w:cs="Simplified Arabic"/>
          <w:sz w:val="28"/>
          <w:szCs w:val="28"/>
          <w:rtl/>
        </w:rPr>
        <w:t>، جامعة طنطا، 40(3)، 175–210</w:t>
      </w:r>
      <w:r w:rsidRPr="005C3639">
        <w:rPr>
          <w:rFonts w:ascii="Simplified Arabic" w:hAnsi="Simplified Arabic" w:cs="Simplified Arabic"/>
          <w:sz w:val="28"/>
          <w:szCs w:val="28"/>
        </w:rPr>
        <w:t>.</w:t>
      </w:r>
      <w:r w:rsidRPr="005C3639">
        <w:rPr>
          <w:rFonts w:ascii="Simplified Arabic" w:hAnsi="Simplified Arabic" w:cs="Simplified Arabic"/>
          <w:sz w:val="28"/>
          <w:szCs w:val="28"/>
        </w:rPr>
        <w:br/>
        <w:t>https://caf.journals.ekb.eg/article_151302.html</w:t>
      </w:r>
    </w:p>
    <w:p w14:paraId="3CFD415D"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بوخالف، عثمان، وآخرون. (2022). اعتبارات منهجية في توظيف معامل ألفا كرونباخ في الأبحاث الإدارية</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العلوم الاقتصادية والإدارية والقانونية</w:t>
      </w:r>
      <w:r w:rsidRPr="005C3639">
        <w:rPr>
          <w:rFonts w:ascii="Simplified Arabic" w:hAnsi="Simplified Arabic" w:cs="Simplified Arabic"/>
          <w:sz w:val="28"/>
          <w:szCs w:val="28"/>
          <w:rtl/>
        </w:rPr>
        <w:t>، 6</w:t>
      </w:r>
      <w:r w:rsidRPr="005C3639">
        <w:rPr>
          <w:rFonts w:ascii="Simplified Arabic" w:hAnsi="Simplified Arabic" w:cs="Simplified Arabic"/>
          <w:sz w:val="28"/>
          <w:szCs w:val="28"/>
        </w:rPr>
        <w:t>(17)</w:t>
      </w:r>
      <w:r w:rsidRPr="005C3639">
        <w:rPr>
          <w:rFonts w:ascii="Simplified Arabic" w:hAnsi="Simplified Arabic" w:cs="Simplified Arabic"/>
          <w:sz w:val="28"/>
          <w:szCs w:val="28"/>
          <w:rtl/>
        </w:rPr>
        <w:t>، 1</w:t>
      </w:r>
      <w:r w:rsidRPr="005C3639">
        <w:rPr>
          <w:rFonts w:ascii="Simplified Arabic" w:hAnsi="Simplified Arabic" w:cs="Simplified Arabic"/>
          <w:sz w:val="28"/>
          <w:szCs w:val="28"/>
        </w:rPr>
        <w:t>–22.</w:t>
      </w:r>
      <w:r w:rsidRPr="005C3639">
        <w:rPr>
          <w:rFonts w:ascii="Simplified Arabic" w:hAnsi="Simplified Arabic" w:cs="Simplified Arabic"/>
          <w:sz w:val="28"/>
          <w:szCs w:val="28"/>
        </w:rPr>
        <w:br/>
        <w:t>https://asjp.cerist.dz/en/article/196703</w:t>
      </w:r>
    </w:p>
    <w:p w14:paraId="5AC16EA4" w14:textId="77777777" w:rsidR="005C3639" w:rsidRPr="005C3639" w:rsidRDefault="005C3639">
      <w:pPr>
        <w:numPr>
          <w:ilvl w:val="0"/>
          <w:numId w:val="22"/>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tl/>
        </w:rPr>
        <w:t>بوعلاق، محمد، وخرفي، نسيمة. (2021). جودة الخدمة من وجهة نظر زبون شركة التأمين</w:t>
      </w:r>
      <w:r w:rsidRPr="005C3639">
        <w:rPr>
          <w:rFonts w:ascii="Simplified Arabic" w:hAnsi="Simplified Arabic" w:cs="Simplified Arabic"/>
          <w:sz w:val="28"/>
          <w:szCs w:val="28"/>
        </w:rPr>
        <w:t xml:space="preserve">. </w:t>
      </w:r>
      <w:r w:rsidRPr="005C3639">
        <w:rPr>
          <w:rFonts w:ascii="Simplified Arabic" w:hAnsi="Simplified Arabic" w:cs="Simplified Arabic"/>
          <w:i/>
          <w:iCs/>
          <w:sz w:val="28"/>
          <w:szCs w:val="28"/>
          <w:rtl/>
        </w:rPr>
        <w:t>مجلة الباحث في العلوم الإنسانية والاجتماعية</w:t>
      </w:r>
      <w:r w:rsidRPr="005C3639">
        <w:rPr>
          <w:rFonts w:ascii="Simplified Arabic" w:hAnsi="Simplified Arabic" w:cs="Simplified Arabic"/>
          <w:sz w:val="28"/>
          <w:szCs w:val="28"/>
          <w:rtl/>
        </w:rPr>
        <w:t>، 13</w:t>
      </w:r>
      <w:r w:rsidRPr="005C3639">
        <w:rPr>
          <w:rFonts w:ascii="Simplified Arabic" w:hAnsi="Simplified Arabic" w:cs="Simplified Arabic"/>
          <w:sz w:val="28"/>
          <w:szCs w:val="28"/>
        </w:rPr>
        <w:t>(2)</w:t>
      </w:r>
      <w:r w:rsidRPr="005C3639">
        <w:rPr>
          <w:rFonts w:ascii="Simplified Arabic" w:hAnsi="Simplified Arabic" w:cs="Simplified Arabic"/>
          <w:sz w:val="28"/>
          <w:szCs w:val="28"/>
          <w:rtl/>
        </w:rPr>
        <w:t>، 55</w:t>
      </w:r>
      <w:r w:rsidRPr="005C3639">
        <w:rPr>
          <w:rFonts w:ascii="Simplified Arabic" w:hAnsi="Simplified Arabic" w:cs="Simplified Arabic"/>
          <w:sz w:val="28"/>
          <w:szCs w:val="28"/>
        </w:rPr>
        <w:t>–68.</w:t>
      </w:r>
      <w:r w:rsidRPr="005C3639">
        <w:rPr>
          <w:rFonts w:ascii="Simplified Arabic" w:hAnsi="Simplified Arabic" w:cs="Simplified Arabic"/>
          <w:sz w:val="28"/>
          <w:szCs w:val="28"/>
        </w:rPr>
        <w:br/>
        <w:t>https://asjp.cerist.dz/en/article/160098</w:t>
      </w:r>
    </w:p>
    <w:p w14:paraId="6984D7D5" w14:textId="77777777" w:rsidR="005C3639" w:rsidRDefault="005C3639" w:rsidP="005C3639">
      <w:pPr>
        <w:spacing w:line="360" w:lineRule="auto"/>
        <w:jc w:val="lowKashida"/>
        <w:rPr>
          <w:rFonts w:ascii="Simplified Arabic" w:hAnsi="Simplified Arabic" w:cs="Simplified Arabic"/>
          <w:b/>
          <w:bCs/>
          <w:sz w:val="28"/>
          <w:szCs w:val="28"/>
          <w:rtl/>
        </w:rPr>
      </w:pPr>
    </w:p>
    <w:p w14:paraId="787889A7" w14:textId="77777777" w:rsidR="005C3639" w:rsidRDefault="005C3639" w:rsidP="005C3639">
      <w:pPr>
        <w:spacing w:line="360" w:lineRule="auto"/>
        <w:jc w:val="lowKashida"/>
        <w:rPr>
          <w:rFonts w:ascii="Simplified Arabic" w:hAnsi="Simplified Arabic" w:cs="Simplified Arabic"/>
          <w:b/>
          <w:bCs/>
          <w:sz w:val="28"/>
          <w:szCs w:val="28"/>
          <w:rtl/>
        </w:rPr>
      </w:pPr>
    </w:p>
    <w:p w14:paraId="687CD23E" w14:textId="77777777" w:rsidR="005C3639" w:rsidRDefault="005C3639" w:rsidP="005C3639">
      <w:pPr>
        <w:spacing w:line="360" w:lineRule="auto"/>
        <w:jc w:val="lowKashida"/>
        <w:rPr>
          <w:rFonts w:ascii="Simplified Arabic" w:hAnsi="Simplified Arabic" w:cs="Simplified Arabic"/>
          <w:b/>
          <w:bCs/>
          <w:sz w:val="28"/>
          <w:szCs w:val="28"/>
          <w:rtl/>
        </w:rPr>
      </w:pPr>
    </w:p>
    <w:p w14:paraId="1B604DC3" w14:textId="77777777" w:rsidR="005C3639" w:rsidRDefault="005C3639" w:rsidP="005C3639">
      <w:pPr>
        <w:spacing w:line="360" w:lineRule="auto"/>
        <w:jc w:val="lowKashida"/>
        <w:rPr>
          <w:rFonts w:ascii="Simplified Arabic" w:hAnsi="Simplified Arabic" w:cs="Simplified Arabic"/>
          <w:b/>
          <w:bCs/>
          <w:sz w:val="28"/>
          <w:szCs w:val="28"/>
          <w:rtl/>
        </w:rPr>
      </w:pPr>
    </w:p>
    <w:p w14:paraId="3C6C8AA0" w14:textId="77777777" w:rsidR="005C3639" w:rsidRDefault="005C3639" w:rsidP="005C3639">
      <w:pPr>
        <w:spacing w:line="360" w:lineRule="auto"/>
        <w:jc w:val="lowKashida"/>
        <w:rPr>
          <w:rFonts w:ascii="Simplified Arabic" w:hAnsi="Simplified Arabic" w:cs="Simplified Arabic"/>
          <w:b/>
          <w:bCs/>
          <w:sz w:val="28"/>
          <w:szCs w:val="28"/>
          <w:rtl/>
        </w:rPr>
      </w:pPr>
    </w:p>
    <w:p w14:paraId="768C0715" w14:textId="77777777" w:rsidR="005C3639" w:rsidRDefault="005C3639" w:rsidP="005C3639">
      <w:pPr>
        <w:spacing w:line="360" w:lineRule="auto"/>
        <w:jc w:val="lowKashida"/>
        <w:rPr>
          <w:rFonts w:ascii="Simplified Arabic" w:hAnsi="Simplified Arabic" w:cs="Simplified Arabic"/>
          <w:b/>
          <w:bCs/>
          <w:sz w:val="28"/>
          <w:szCs w:val="28"/>
          <w:rtl/>
        </w:rPr>
      </w:pPr>
    </w:p>
    <w:p w14:paraId="49BE6BF5" w14:textId="2B0EEC4D" w:rsidR="005C3639" w:rsidRPr="005C3639" w:rsidRDefault="005C3639" w:rsidP="005C3639">
      <w:pPr>
        <w:pStyle w:val="Heading2"/>
      </w:pPr>
      <w:bookmarkStart w:id="26" w:name="_Toc234430667"/>
      <w:r w:rsidRPr="005C3639">
        <w:rPr>
          <w:rtl/>
        </w:rPr>
        <w:lastRenderedPageBreak/>
        <w:t>ثانياً: المراجع الأجنبية</w:t>
      </w:r>
      <w:bookmarkEnd w:id="26"/>
    </w:p>
    <w:p w14:paraId="294082CD" w14:textId="77777777" w:rsidR="005C3639" w:rsidRPr="005C3639" w:rsidRDefault="005C3639">
      <w:pPr>
        <w:numPr>
          <w:ilvl w:val="0"/>
          <w:numId w:val="23"/>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Pr>
        <w:t xml:space="preserve">Parasuraman, A., Zeithaml, V. A., &amp; Berry, L. L. (1988). SERVQUAL: A multiple-item scale for measuring consumer perceptions of service quality. </w:t>
      </w:r>
      <w:r w:rsidRPr="005C3639">
        <w:rPr>
          <w:rFonts w:ascii="Simplified Arabic" w:hAnsi="Simplified Arabic" w:cs="Simplified Arabic"/>
          <w:i/>
          <w:iCs/>
          <w:sz w:val="28"/>
          <w:szCs w:val="28"/>
        </w:rPr>
        <w:t>Journal of Retailing</w:t>
      </w:r>
      <w:r w:rsidRPr="005C3639">
        <w:rPr>
          <w:rFonts w:ascii="Simplified Arabic" w:hAnsi="Simplified Arabic" w:cs="Simplified Arabic"/>
          <w:sz w:val="28"/>
          <w:szCs w:val="28"/>
        </w:rPr>
        <w:t>, 64(1), 12–40.</w:t>
      </w:r>
    </w:p>
    <w:p w14:paraId="2AE6C26C" w14:textId="77777777" w:rsidR="005C3639" w:rsidRPr="005C3639" w:rsidRDefault="005C3639">
      <w:pPr>
        <w:numPr>
          <w:ilvl w:val="0"/>
          <w:numId w:val="23"/>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Pr>
        <w:t xml:space="preserve">Davis, F. D. (1989). Perceived usefulness, perceived ease of use, and user acceptance of information technology. </w:t>
      </w:r>
      <w:r w:rsidRPr="005C3639">
        <w:rPr>
          <w:rFonts w:ascii="Simplified Arabic" w:hAnsi="Simplified Arabic" w:cs="Simplified Arabic"/>
          <w:i/>
          <w:iCs/>
          <w:sz w:val="28"/>
          <w:szCs w:val="28"/>
        </w:rPr>
        <w:t>MIS Quarterly</w:t>
      </w:r>
      <w:r w:rsidRPr="005C3639">
        <w:rPr>
          <w:rFonts w:ascii="Simplified Arabic" w:hAnsi="Simplified Arabic" w:cs="Simplified Arabic"/>
          <w:sz w:val="28"/>
          <w:szCs w:val="28"/>
        </w:rPr>
        <w:t>, 13(3), 319–340.</w:t>
      </w:r>
    </w:p>
    <w:p w14:paraId="71BD7BCD" w14:textId="77777777" w:rsidR="005C3639" w:rsidRPr="005C3639" w:rsidRDefault="005C3639">
      <w:pPr>
        <w:numPr>
          <w:ilvl w:val="0"/>
          <w:numId w:val="23"/>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Pr>
        <w:t xml:space="preserve">Oliver, R. L. (1980). A cognitive model of the antecedents and consequences of satisfaction decisions. </w:t>
      </w:r>
      <w:r w:rsidRPr="005C3639">
        <w:rPr>
          <w:rFonts w:ascii="Simplified Arabic" w:hAnsi="Simplified Arabic" w:cs="Simplified Arabic"/>
          <w:i/>
          <w:iCs/>
          <w:sz w:val="28"/>
          <w:szCs w:val="28"/>
        </w:rPr>
        <w:t>Journal of Marketing Research</w:t>
      </w:r>
      <w:r w:rsidRPr="005C3639">
        <w:rPr>
          <w:rFonts w:ascii="Simplified Arabic" w:hAnsi="Simplified Arabic" w:cs="Simplified Arabic"/>
          <w:sz w:val="28"/>
          <w:szCs w:val="28"/>
        </w:rPr>
        <w:t>, 17(4), 460–469.</w:t>
      </w:r>
    </w:p>
    <w:p w14:paraId="0D436E1F" w14:textId="77777777" w:rsidR="005C3639" w:rsidRPr="005C3639" w:rsidRDefault="005C3639">
      <w:pPr>
        <w:numPr>
          <w:ilvl w:val="0"/>
          <w:numId w:val="23"/>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Pr>
        <w:t xml:space="preserve">Bharadwaj, A., El </w:t>
      </w:r>
      <w:proofErr w:type="spellStart"/>
      <w:r w:rsidRPr="005C3639">
        <w:rPr>
          <w:rFonts w:ascii="Simplified Arabic" w:hAnsi="Simplified Arabic" w:cs="Simplified Arabic"/>
          <w:sz w:val="28"/>
          <w:szCs w:val="28"/>
        </w:rPr>
        <w:t>Sawy</w:t>
      </w:r>
      <w:proofErr w:type="spellEnd"/>
      <w:r w:rsidRPr="005C3639">
        <w:rPr>
          <w:rFonts w:ascii="Simplified Arabic" w:hAnsi="Simplified Arabic" w:cs="Simplified Arabic"/>
          <w:sz w:val="28"/>
          <w:szCs w:val="28"/>
        </w:rPr>
        <w:t xml:space="preserve">, O., Pavlou, P., &amp; Venkatraman, N. (2013). Digital business strategy: Toward a next generation of insights. </w:t>
      </w:r>
      <w:r w:rsidRPr="005C3639">
        <w:rPr>
          <w:rFonts w:ascii="Simplified Arabic" w:hAnsi="Simplified Arabic" w:cs="Simplified Arabic"/>
          <w:i/>
          <w:iCs/>
          <w:sz w:val="28"/>
          <w:szCs w:val="28"/>
        </w:rPr>
        <w:t>MIS Quarterly</w:t>
      </w:r>
      <w:r w:rsidRPr="005C3639">
        <w:rPr>
          <w:rFonts w:ascii="Simplified Arabic" w:hAnsi="Simplified Arabic" w:cs="Simplified Arabic"/>
          <w:sz w:val="28"/>
          <w:szCs w:val="28"/>
        </w:rPr>
        <w:t>, 37(2), 471–482.</w:t>
      </w:r>
    </w:p>
    <w:p w14:paraId="6EE45E78" w14:textId="77777777" w:rsidR="005C3639" w:rsidRPr="005C3639" w:rsidRDefault="005C3639">
      <w:pPr>
        <w:numPr>
          <w:ilvl w:val="0"/>
          <w:numId w:val="23"/>
        </w:numPr>
        <w:spacing w:line="360" w:lineRule="auto"/>
        <w:jc w:val="lowKashida"/>
        <w:rPr>
          <w:rFonts w:ascii="Simplified Arabic" w:hAnsi="Simplified Arabic" w:cs="Simplified Arabic"/>
          <w:sz w:val="28"/>
          <w:szCs w:val="28"/>
        </w:rPr>
      </w:pPr>
      <w:r w:rsidRPr="005C3639">
        <w:rPr>
          <w:rFonts w:ascii="Simplified Arabic" w:hAnsi="Simplified Arabic" w:cs="Simplified Arabic"/>
          <w:sz w:val="28"/>
          <w:szCs w:val="28"/>
        </w:rPr>
        <w:t xml:space="preserve">Vial, G. (2019). Understanding digital transformation: A review and a research agenda. </w:t>
      </w:r>
      <w:r w:rsidRPr="005C3639">
        <w:rPr>
          <w:rFonts w:ascii="Simplified Arabic" w:hAnsi="Simplified Arabic" w:cs="Simplified Arabic"/>
          <w:i/>
          <w:iCs/>
          <w:sz w:val="28"/>
          <w:szCs w:val="28"/>
        </w:rPr>
        <w:t>Journal of Strategic Information Systems</w:t>
      </w:r>
      <w:r w:rsidRPr="005C3639">
        <w:rPr>
          <w:rFonts w:ascii="Simplified Arabic" w:hAnsi="Simplified Arabic" w:cs="Simplified Arabic"/>
          <w:sz w:val="28"/>
          <w:szCs w:val="28"/>
        </w:rPr>
        <w:t>, 28(2), 118–144.</w:t>
      </w:r>
    </w:p>
    <w:p w14:paraId="32912848" w14:textId="66F80F42" w:rsidR="006911DD" w:rsidRDefault="006911DD" w:rsidP="00426A44">
      <w:pPr>
        <w:spacing w:line="360" w:lineRule="auto"/>
        <w:jc w:val="lowKashida"/>
        <w:rPr>
          <w:rFonts w:ascii="Simplified Arabic" w:hAnsi="Simplified Arabic" w:cs="Simplified Arabic"/>
          <w:sz w:val="28"/>
          <w:szCs w:val="28"/>
        </w:rPr>
      </w:pPr>
    </w:p>
    <w:p w14:paraId="7C7C429F" w14:textId="77777777" w:rsidR="006E2A8E" w:rsidRDefault="00A00825" w:rsidP="00A57553">
      <w:pPr>
        <w:jc w:val="lowKashida"/>
        <w:rPr>
          <w:rFonts w:ascii="Sakkal Majalla" w:hAnsi="Sakkal Majalla" w:cs="Sakkal Majalla"/>
          <w:b/>
          <w:bCs/>
          <w:sz w:val="28"/>
          <w:szCs w:val="28"/>
          <w:lang w:bidi="ar-EG"/>
        </w:rPr>
      </w:pPr>
      <w:r w:rsidRPr="001902DB">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3BFB1D48" wp14:editId="2B9F29C6">
            <wp:simplePos x="0" y="0"/>
            <wp:positionH relativeFrom="margin">
              <wp:posOffset>-512445</wp:posOffset>
            </wp:positionH>
            <wp:positionV relativeFrom="margin">
              <wp:posOffset>-791614</wp:posOffset>
            </wp:positionV>
            <wp:extent cx="2227152" cy="2066925"/>
            <wp:effectExtent l="0" t="0" r="1905" b="0"/>
            <wp:wrapSquare wrapText="bothSides"/>
            <wp:docPr id="124667888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6E2A8E" w:rsidRPr="006E2A8E">
        <w:rPr>
          <w:rFonts w:ascii="Sakkal Majalla" w:hAnsi="Sakkal Majalla" w:cs="Sakkal Majalla"/>
          <w:b/>
          <w:bCs/>
          <w:sz w:val="28"/>
          <w:szCs w:val="28"/>
          <w:lang w:bidi="ar-EG"/>
        </w:rPr>
        <w:t>Midocean University</w:t>
      </w:r>
    </w:p>
    <w:p w14:paraId="25768257" w14:textId="77777777" w:rsidR="006E2A8E" w:rsidRDefault="006E2A8E" w:rsidP="00A57553">
      <w:pPr>
        <w:jc w:val="lowKashida"/>
        <w:rPr>
          <w:rFonts w:ascii="Sakkal Majalla" w:hAnsi="Sakkal Majalla" w:cs="Sakkal Majalla"/>
          <w:b/>
          <w:bCs/>
          <w:sz w:val="28"/>
          <w:szCs w:val="28"/>
          <w:lang w:bidi="ar-EG"/>
        </w:rPr>
      </w:pPr>
      <w:r w:rsidRPr="006E2A8E">
        <w:rPr>
          <w:rFonts w:ascii="Sakkal Majalla" w:hAnsi="Sakkal Majalla" w:cs="Sakkal Majalla"/>
          <w:b/>
          <w:bCs/>
          <w:sz w:val="28"/>
          <w:szCs w:val="28"/>
          <w:lang w:bidi="ar-EG"/>
        </w:rPr>
        <w:t xml:space="preserve"> Faculty of Management </w:t>
      </w:r>
    </w:p>
    <w:p w14:paraId="0EE31B5B" w14:textId="4614C280" w:rsidR="00A00825" w:rsidRPr="009125CE" w:rsidRDefault="006E2A8E" w:rsidP="00A57553">
      <w:pPr>
        <w:jc w:val="lowKashida"/>
        <w:rPr>
          <w:rFonts w:ascii="Sakkal Majalla" w:hAnsi="Sakkal Majalla" w:cs="Sakkal Majalla"/>
          <w:sz w:val="28"/>
          <w:szCs w:val="28"/>
          <w:rtl/>
          <w:lang w:bidi="ar-EG"/>
        </w:rPr>
      </w:pPr>
      <w:r w:rsidRPr="006E2A8E">
        <w:rPr>
          <w:rFonts w:ascii="Sakkal Majalla" w:hAnsi="Sakkal Majalla" w:cs="Sakkal Majalla"/>
          <w:b/>
          <w:bCs/>
          <w:sz w:val="28"/>
          <w:szCs w:val="28"/>
          <w:lang w:bidi="ar-EG"/>
        </w:rPr>
        <w:t>Department/Specialization................</w:t>
      </w:r>
    </w:p>
    <w:p w14:paraId="399D3BB7" w14:textId="77777777" w:rsidR="00A00825" w:rsidRPr="009125CE" w:rsidRDefault="00A00825" w:rsidP="00A57553">
      <w:pPr>
        <w:jc w:val="lowKashida"/>
        <w:rPr>
          <w:rFonts w:ascii="Sakkal Majalla" w:hAnsi="Sakkal Majalla" w:cs="Sakkal Majalla"/>
          <w:sz w:val="28"/>
          <w:szCs w:val="28"/>
          <w:rtl/>
          <w:lang w:bidi="ar-EG"/>
        </w:rPr>
      </w:pPr>
    </w:p>
    <w:p w14:paraId="6008AFA9" w14:textId="77777777" w:rsidR="00A00825" w:rsidRPr="00CC4C3A" w:rsidRDefault="00A00825" w:rsidP="00CC4C3A">
      <w:pPr>
        <w:jc w:val="center"/>
        <w:rPr>
          <w:rFonts w:asciiTheme="majorBidi" w:hAnsiTheme="majorBidi" w:cstheme="majorBidi"/>
          <w:sz w:val="28"/>
          <w:szCs w:val="28"/>
          <w:rtl/>
          <w:lang w:bidi="ar-EG"/>
        </w:rPr>
      </w:pPr>
    </w:p>
    <w:p w14:paraId="21758DC2" w14:textId="77777777" w:rsidR="006E2A8E" w:rsidRPr="00CC4C3A" w:rsidRDefault="006E2A8E" w:rsidP="00CC4C3A">
      <w:pPr>
        <w:bidi w:val="0"/>
        <w:jc w:val="center"/>
        <w:rPr>
          <w:rFonts w:asciiTheme="majorBidi" w:hAnsiTheme="majorBidi" w:cstheme="majorBidi"/>
          <w:b/>
          <w:bCs/>
          <w:sz w:val="28"/>
          <w:szCs w:val="28"/>
          <w:rtl/>
          <w:lang w:bidi="ar-EG"/>
        </w:rPr>
      </w:pPr>
      <w:r w:rsidRPr="00CC4C3A">
        <w:rPr>
          <w:rFonts w:asciiTheme="majorBidi" w:hAnsiTheme="majorBidi" w:cstheme="majorBidi"/>
          <w:b/>
          <w:sz w:val="28"/>
          <w:szCs w:val="28"/>
        </w:rPr>
        <w:t>Research Title</w:t>
      </w:r>
    </w:p>
    <w:p w14:paraId="5CD6E2CC" w14:textId="6AD7108B" w:rsidR="00A00825" w:rsidRDefault="00447BA6" w:rsidP="00CC4C3A">
      <w:pPr>
        <w:jc w:val="center"/>
        <w:rPr>
          <w:rFonts w:asciiTheme="majorBidi" w:hAnsiTheme="majorBidi" w:cstheme="majorBidi"/>
          <w:b/>
          <w:bCs/>
          <w:sz w:val="48"/>
          <w:szCs w:val="48"/>
          <w:rtl/>
          <w:lang w:bidi="ar-EG"/>
        </w:rPr>
      </w:pPr>
      <w:r w:rsidRPr="00447BA6">
        <w:rPr>
          <w:rFonts w:asciiTheme="majorBidi" w:hAnsiTheme="majorBidi" w:cstheme="majorBidi"/>
          <w:b/>
          <w:bCs/>
          <w:sz w:val="48"/>
          <w:szCs w:val="48"/>
          <w:lang w:bidi="ar-EG"/>
        </w:rPr>
        <w:t>The Impact of Digital Transformation on the Insurance Sector in Saudi Arabia</w:t>
      </w:r>
    </w:p>
    <w:p w14:paraId="13C66DAC" w14:textId="77777777" w:rsidR="00447BA6" w:rsidRPr="00CC4C3A" w:rsidRDefault="00447BA6" w:rsidP="00CC4C3A">
      <w:pPr>
        <w:jc w:val="center"/>
        <w:rPr>
          <w:rFonts w:asciiTheme="majorBidi" w:hAnsiTheme="majorBidi" w:cstheme="majorBidi"/>
          <w:b/>
          <w:bCs/>
          <w:sz w:val="28"/>
          <w:szCs w:val="28"/>
          <w:rtl/>
          <w:lang w:bidi="ar-EG"/>
        </w:rPr>
      </w:pPr>
    </w:p>
    <w:p w14:paraId="35FB9516" w14:textId="1A654E41" w:rsidR="00CC4C3A" w:rsidRPr="00CC4C3A" w:rsidRDefault="00A71B2E" w:rsidP="00CC4C3A">
      <w:pPr>
        <w:jc w:val="center"/>
        <w:rPr>
          <w:rFonts w:asciiTheme="majorBidi" w:hAnsiTheme="majorBidi" w:cstheme="majorBidi"/>
          <w:b/>
          <w:sz w:val="28"/>
          <w:szCs w:val="28"/>
        </w:rPr>
      </w:pPr>
      <w:r w:rsidRPr="00CC4C3A">
        <w:rPr>
          <w:rFonts w:asciiTheme="majorBidi" w:hAnsiTheme="majorBidi" w:cstheme="majorBidi"/>
          <w:b/>
          <w:sz w:val="28"/>
          <w:szCs w:val="28"/>
        </w:rPr>
        <w:t>Student Preparation/</w:t>
      </w:r>
    </w:p>
    <w:p w14:paraId="00C52B02" w14:textId="51499085" w:rsidR="00A71B2E" w:rsidRDefault="00B879DE" w:rsidP="00CC4C3A">
      <w:pPr>
        <w:jc w:val="center"/>
        <w:rPr>
          <w:rFonts w:asciiTheme="majorBidi" w:hAnsiTheme="majorBidi" w:cstheme="majorBidi"/>
          <w:bCs/>
          <w:sz w:val="28"/>
          <w:szCs w:val="28"/>
          <w:rtl/>
        </w:rPr>
      </w:pPr>
      <w:r w:rsidRPr="00B879DE">
        <w:rPr>
          <w:rFonts w:asciiTheme="majorBidi" w:hAnsiTheme="majorBidi" w:cstheme="majorBidi"/>
          <w:bCs/>
          <w:sz w:val="28"/>
          <w:szCs w:val="28"/>
        </w:rPr>
        <w:t>Firas Abdullah Al-</w:t>
      </w:r>
      <w:proofErr w:type="spellStart"/>
      <w:r w:rsidRPr="00B879DE">
        <w:rPr>
          <w:rFonts w:asciiTheme="majorBidi" w:hAnsiTheme="majorBidi" w:cstheme="majorBidi"/>
          <w:bCs/>
          <w:sz w:val="28"/>
          <w:szCs w:val="28"/>
        </w:rPr>
        <w:t>Suhaibani</w:t>
      </w:r>
      <w:proofErr w:type="spellEnd"/>
    </w:p>
    <w:p w14:paraId="6616A431" w14:textId="77777777" w:rsidR="00B879DE" w:rsidRPr="00CC4C3A" w:rsidRDefault="00B879DE" w:rsidP="00CC4C3A">
      <w:pPr>
        <w:jc w:val="center"/>
        <w:rPr>
          <w:rFonts w:asciiTheme="majorBidi" w:hAnsiTheme="majorBidi" w:cstheme="majorBidi"/>
          <w:bCs/>
          <w:sz w:val="28"/>
          <w:szCs w:val="28"/>
        </w:rPr>
      </w:pPr>
    </w:p>
    <w:p w14:paraId="1C7F142E" w14:textId="7FA731CC" w:rsidR="00CC4C3A" w:rsidRPr="00CC4C3A" w:rsidRDefault="00A71B2E" w:rsidP="00CC4C3A">
      <w:pPr>
        <w:jc w:val="center"/>
        <w:rPr>
          <w:rFonts w:asciiTheme="majorBidi" w:hAnsiTheme="majorBidi" w:cstheme="majorBidi"/>
          <w:b/>
          <w:sz w:val="28"/>
          <w:szCs w:val="28"/>
        </w:rPr>
      </w:pPr>
      <w:r w:rsidRPr="00CC4C3A">
        <w:rPr>
          <w:rFonts w:asciiTheme="majorBidi" w:hAnsiTheme="majorBidi" w:cstheme="majorBidi"/>
          <w:b/>
          <w:sz w:val="28"/>
          <w:szCs w:val="28"/>
        </w:rPr>
        <w:t>Supervision/</w:t>
      </w:r>
    </w:p>
    <w:p w14:paraId="69AF6F5B" w14:textId="4C2E5439" w:rsidR="00CC4C3A" w:rsidRDefault="00A71B2E" w:rsidP="00CC4C3A">
      <w:pPr>
        <w:jc w:val="center"/>
        <w:rPr>
          <w:rFonts w:asciiTheme="majorBidi" w:hAnsiTheme="majorBidi" w:cstheme="majorBidi"/>
          <w:bCs/>
          <w:sz w:val="28"/>
          <w:szCs w:val="28"/>
          <w:rtl/>
        </w:rPr>
      </w:pPr>
      <w:r w:rsidRPr="00CC4C3A">
        <w:rPr>
          <w:rFonts w:asciiTheme="majorBidi" w:hAnsiTheme="majorBidi" w:cstheme="majorBidi"/>
          <w:bCs/>
          <w:sz w:val="28"/>
          <w:szCs w:val="28"/>
        </w:rPr>
        <w:t>Dr. Al-Faisal Abdul Hamid Dr. Fayez Jarad</w:t>
      </w:r>
    </w:p>
    <w:p w14:paraId="2F64AAAB" w14:textId="77777777" w:rsidR="00B879DE" w:rsidRPr="00CC4C3A" w:rsidRDefault="00B879DE" w:rsidP="00CC4C3A">
      <w:pPr>
        <w:jc w:val="center"/>
        <w:rPr>
          <w:rFonts w:asciiTheme="majorBidi" w:hAnsiTheme="majorBidi" w:cstheme="majorBidi"/>
          <w:bCs/>
          <w:sz w:val="28"/>
          <w:szCs w:val="28"/>
        </w:rPr>
      </w:pPr>
    </w:p>
    <w:p w14:paraId="78276547" w14:textId="2861E4F4" w:rsidR="00CC4C3A" w:rsidRPr="00CC4C3A" w:rsidRDefault="00A71B2E" w:rsidP="00CC4C3A">
      <w:pPr>
        <w:jc w:val="center"/>
        <w:rPr>
          <w:rFonts w:asciiTheme="majorBidi" w:hAnsiTheme="majorBidi" w:cstheme="majorBidi"/>
          <w:b/>
          <w:sz w:val="28"/>
          <w:szCs w:val="28"/>
        </w:rPr>
      </w:pPr>
      <w:r w:rsidRPr="00CC4C3A">
        <w:rPr>
          <w:rFonts w:asciiTheme="majorBidi" w:hAnsiTheme="majorBidi" w:cstheme="majorBidi"/>
          <w:b/>
          <w:sz w:val="28"/>
          <w:szCs w:val="28"/>
        </w:rPr>
        <w:t>Academic Year:</w:t>
      </w:r>
    </w:p>
    <w:p w14:paraId="761AB431" w14:textId="5235E1E1" w:rsidR="006E2A8E" w:rsidRPr="00CC4C3A" w:rsidRDefault="00A71B2E" w:rsidP="00CC4C3A">
      <w:pPr>
        <w:jc w:val="center"/>
        <w:rPr>
          <w:rFonts w:asciiTheme="majorBidi" w:hAnsiTheme="majorBidi" w:cstheme="majorBidi"/>
          <w:bCs/>
          <w:sz w:val="28"/>
          <w:szCs w:val="28"/>
          <w:rtl/>
          <w:lang w:bidi="ar-EG"/>
        </w:rPr>
      </w:pPr>
      <w:r w:rsidRPr="00CC4C3A">
        <w:rPr>
          <w:rFonts w:asciiTheme="majorBidi" w:hAnsiTheme="majorBidi" w:cstheme="majorBidi"/>
          <w:bCs/>
          <w:sz w:val="28"/>
          <w:szCs w:val="28"/>
        </w:rPr>
        <w:t>2026</w:t>
      </w:r>
    </w:p>
    <w:p w14:paraId="797FABBE" w14:textId="77777777" w:rsidR="006E2A8E" w:rsidRPr="00CC4C3A" w:rsidRDefault="006E2A8E" w:rsidP="00CC4C3A">
      <w:pPr>
        <w:bidi w:val="0"/>
        <w:spacing w:line="360" w:lineRule="auto"/>
        <w:jc w:val="center"/>
        <w:rPr>
          <w:rFonts w:asciiTheme="majorBidi" w:hAnsiTheme="majorBidi" w:cstheme="majorBidi"/>
          <w:b/>
          <w:bCs/>
          <w:sz w:val="28"/>
          <w:szCs w:val="28"/>
        </w:rPr>
      </w:pPr>
    </w:p>
    <w:p w14:paraId="2A1B1348" w14:textId="77777777" w:rsidR="00A00825" w:rsidRPr="00CC4C3A" w:rsidRDefault="00A00825" w:rsidP="00CC4C3A">
      <w:pPr>
        <w:bidi w:val="0"/>
        <w:spacing w:line="360" w:lineRule="auto"/>
        <w:jc w:val="center"/>
        <w:rPr>
          <w:rFonts w:asciiTheme="majorBidi" w:hAnsiTheme="majorBidi" w:cstheme="majorBidi"/>
          <w:b/>
          <w:bCs/>
          <w:sz w:val="28"/>
          <w:szCs w:val="28"/>
        </w:rPr>
      </w:pPr>
    </w:p>
    <w:sectPr w:rsidR="00A00825" w:rsidRPr="00CC4C3A" w:rsidSect="005D73E7">
      <w:footerReference w:type="default" r:id="rId10"/>
      <w:pgSz w:w="11906" w:h="16838"/>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BA40A" w14:textId="77777777" w:rsidR="00E636ED" w:rsidRDefault="00E636ED" w:rsidP="009125CE">
      <w:pPr>
        <w:spacing w:after="0" w:line="240" w:lineRule="auto"/>
      </w:pPr>
      <w:r>
        <w:separator/>
      </w:r>
    </w:p>
  </w:endnote>
  <w:endnote w:type="continuationSeparator" w:id="0">
    <w:p w14:paraId="7066EFBB" w14:textId="77777777" w:rsidR="00E636ED" w:rsidRDefault="00E636E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95058082"/>
      <w:docPartObj>
        <w:docPartGallery w:val="Page Numbers (Bottom of Page)"/>
        <w:docPartUnique/>
      </w:docPartObj>
    </w:sdtPr>
    <w:sdtEndPr>
      <w:rPr>
        <w:noProof/>
      </w:rPr>
    </w:sdtEndPr>
    <w:sdtContent>
      <w:p w14:paraId="18442BF8" w14:textId="5D01944A" w:rsidR="00E76675" w:rsidRDefault="00E76675">
        <w:pPr>
          <w:pStyle w:val="Footer"/>
          <w:jc w:val="center"/>
        </w:pPr>
        <w:r>
          <w:fldChar w:fldCharType="begin"/>
        </w:r>
        <w:r>
          <w:instrText xml:space="preserve"> PAGE   \* MERGEFORMAT </w:instrText>
        </w:r>
        <w:r>
          <w:fldChar w:fldCharType="separate"/>
        </w:r>
        <w:r w:rsidR="00A05F6F">
          <w:rPr>
            <w:noProof/>
            <w:rtl/>
          </w:rPr>
          <w:t>84</w:t>
        </w:r>
        <w:r>
          <w:rPr>
            <w:noProof/>
          </w:rPr>
          <w:fldChar w:fldCharType="end"/>
        </w:r>
      </w:p>
    </w:sdtContent>
  </w:sdt>
  <w:p w14:paraId="74881287" w14:textId="77777777" w:rsidR="00E76675" w:rsidRDefault="00E76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C0302" w14:textId="77777777" w:rsidR="00E636ED" w:rsidRDefault="00E636ED" w:rsidP="009125CE">
      <w:pPr>
        <w:spacing w:after="0" w:line="240" w:lineRule="auto"/>
      </w:pPr>
      <w:r>
        <w:separator/>
      </w:r>
    </w:p>
  </w:footnote>
  <w:footnote w:type="continuationSeparator" w:id="0">
    <w:p w14:paraId="5F2B18E5" w14:textId="77777777" w:rsidR="00E636ED" w:rsidRDefault="00E636E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94784"/>
    <w:multiLevelType w:val="multilevel"/>
    <w:tmpl w:val="CFB6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562FA"/>
    <w:multiLevelType w:val="multilevel"/>
    <w:tmpl w:val="9332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22FE2"/>
    <w:multiLevelType w:val="multilevel"/>
    <w:tmpl w:val="4936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20EA0"/>
    <w:multiLevelType w:val="multilevel"/>
    <w:tmpl w:val="A3102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CA2863"/>
    <w:multiLevelType w:val="multilevel"/>
    <w:tmpl w:val="1CC4E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4D42FB"/>
    <w:multiLevelType w:val="multilevel"/>
    <w:tmpl w:val="C432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C96F41"/>
    <w:multiLevelType w:val="multilevel"/>
    <w:tmpl w:val="E6A02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A32C62"/>
    <w:multiLevelType w:val="multilevel"/>
    <w:tmpl w:val="B2EA4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B34F9A"/>
    <w:multiLevelType w:val="multilevel"/>
    <w:tmpl w:val="3F4EED10"/>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B3236C"/>
    <w:multiLevelType w:val="multilevel"/>
    <w:tmpl w:val="2538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AB02AD"/>
    <w:multiLevelType w:val="multilevel"/>
    <w:tmpl w:val="AE52F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0B1579"/>
    <w:multiLevelType w:val="multilevel"/>
    <w:tmpl w:val="098CA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CA22C4"/>
    <w:multiLevelType w:val="multilevel"/>
    <w:tmpl w:val="BE067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92689F"/>
    <w:multiLevelType w:val="multilevel"/>
    <w:tmpl w:val="CB92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5E6251"/>
    <w:multiLevelType w:val="multilevel"/>
    <w:tmpl w:val="02C80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264D5B"/>
    <w:multiLevelType w:val="multilevel"/>
    <w:tmpl w:val="BB8A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DD37E1"/>
    <w:multiLevelType w:val="multilevel"/>
    <w:tmpl w:val="F8D0F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DC1C4D"/>
    <w:multiLevelType w:val="multilevel"/>
    <w:tmpl w:val="BF4E8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3066F5"/>
    <w:multiLevelType w:val="multilevel"/>
    <w:tmpl w:val="2B061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901919"/>
    <w:multiLevelType w:val="multilevel"/>
    <w:tmpl w:val="F2D22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F91245"/>
    <w:multiLevelType w:val="multilevel"/>
    <w:tmpl w:val="350E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670CD8"/>
    <w:multiLevelType w:val="multilevel"/>
    <w:tmpl w:val="CE0C4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3657D"/>
    <w:multiLevelType w:val="multilevel"/>
    <w:tmpl w:val="7740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2547175">
    <w:abstractNumId w:val="10"/>
  </w:num>
  <w:num w:numId="2" w16cid:durableId="1097601789">
    <w:abstractNumId w:val="4"/>
  </w:num>
  <w:num w:numId="3" w16cid:durableId="486047137">
    <w:abstractNumId w:val="5"/>
  </w:num>
  <w:num w:numId="4" w16cid:durableId="622809898">
    <w:abstractNumId w:val="9"/>
  </w:num>
  <w:num w:numId="5" w16cid:durableId="1087191760">
    <w:abstractNumId w:val="15"/>
  </w:num>
  <w:num w:numId="6" w16cid:durableId="50424445">
    <w:abstractNumId w:val="3"/>
  </w:num>
  <w:num w:numId="7" w16cid:durableId="267858835">
    <w:abstractNumId w:val="0"/>
  </w:num>
  <w:num w:numId="8" w16cid:durableId="1691029734">
    <w:abstractNumId w:val="11"/>
  </w:num>
  <w:num w:numId="9" w16cid:durableId="722370496">
    <w:abstractNumId w:val="20"/>
  </w:num>
  <w:num w:numId="10" w16cid:durableId="1057821413">
    <w:abstractNumId w:val="13"/>
  </w:num>
  <w:num w:numId="11" w16cid:durableId="647131895">
    <w:abstractNumId w:val="22"/>
  </w:num>
  <w:num w:numId="12" w16cid:durableId="330261252">
    <w:abstractNumId w:val="7"/>
  </w:num>
  <w:num w:numId="13" w16cid:durableId="902253928">
    <w:abstractNumId w:val="16"/>
  </w:num>
  <w:num w:numId="14" w16cid:durableId="1782414192">
    <w:abstractNumId w:val="18"/>
  </w:num>
  <w:num w:numId="15" w16cid:durableId="465393028">
    <w:abstractNumId w:val="6"/>
  </w:num>
  <w:num w:numId="16" w16cid:durableId="285280494">
    <w:abstractNumId w:val="1"/>
  </w:num>
  <w:num w:numId="17" w16cid:durableId="1691830088">
    <w:abstractNumId w:val="14"/>
  </w:num>
  <w:num w:numId="18" w16cid:durableId="758721318">
    <w:abstractNumId w:val="12"/>
  </w:num>
  <w:num w:numId="19" w16cid:durableId="1460996034">
    <w:abstractNumId w:val="2"/>
  </w:num>
  <w:num w:numId="20" w16cid:durableId="867597549">
    <w:abstractNumId w:val="17"/>
  </w:num>
  <w:num w:numId="21" w16cid:durableId="948972592">
    <w:abstractNumId w:val="21"/>
  </w:num>
  <w:num w:numId="22" w16cid:durableId="313873308">
    <w:abstractNumId w:val="19"/>
  </w:num>
  <w:num w:numId="23" w16cid:durableId="1432755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4A11"/>
    <w:rsid w:val="00037BAE"/>
    <w:rsid w:val="00063892"/>
    <w:rsid w:val="000A271A"/>
    <w:rsid w:val="000F44B4"/>
    <w:rsid w:val="000F61CD"/>
    <w:rsid w:val="00121370"/>
    <w:rsid w:val="001319B6"/>
    <w:rsid w:val="001902DB"/>
    <w:rsid w:val="00197AA4"/>
    <w:rsid w:val="00197E62"/>
    <w:rsid w:val="001A71F3"/>
    <w:rsid w:val="001B0F27"/>
    <w:rsid w:val="001C2162"/>
    <w:rsid w:val="001E6DDE"/>
    <w:rsid w:val="002056B2"/>
    <w:rsid w:val="00212741"/>
    <w:rsid w:val="002310E3"/>
    <w:rsid w:val="00262C93"/>
    <w:rsid w:val="00264F64"/>
    <w:rsid w:val="002717F8"/>
    <w:rsid w:val="0029338F"/>
    <w:rsid w:val="00330378"/>
    <w:rsid w:val="003344CC"/>
    <w:rsid w:val="0033641B"/>
    <w:rsid w:val="00336C1F"/>
    <w:rsid w:val="00354BBB"/>
    <w:rsid w:val="0036009C"/>
    <w:rsid w:val="00373BBF"/>
    <w:rsid w:val="00395856"/>
    <w:rsid w:val="003D24D8"/>
    <w:rsid w:val="003E6BFC"/>
    <w:rsid w:val="004061A5"/>
    <w:rsid w:val="00417076"/>
    <w:rsid w:val="00424124"/>
    <w:rsid w:val="00426A44"/>
    <w:rsid w:val="00447BA6"/>
    <w:rsid w:val="00466931"/>
    <w:rsid w:val="00474C8E"/>
    <w:rsid w:val="00497E1A"/>
    <w:rsid w:val="004A0E62"/>
    <w:rsid w:val="004A49A4"/>
    <w:rsid w:val="004A6302"/>
    <w:rsid w:val="004A7A0B"/>
    <w:rsid w:val="004B5C49"/>
    <w:rsid w:val="004E67BA"/>
    <w:rsid w:val="004F6294"/>
    <w:rsid w:val="00500D26"/>
    <w:rsid w:val="0050534D"/>
    <w:rsid w:val="00521885"/>
    <w:rsid w:val="0056194F"/>
    <w:rsid w:val="00566A4C"/>
    <w:rsid w:val="00590B27"/>
    <w:rsid w:val="005A0007"/>
    <w:rsid w:val="005B4C88"/>
    <w:rsid w:val="005C3639"/>
    <w:rsid w:val="005D73E7"/>
    <w:rsid w:val="0060370B"/>
    <w:rsid w:val="00616768"/>
    <w:rsid w:val="00626390"/>
    <w:rsid w:val="0062761F"/>
    <w:rsid w:val="00637885"/>
    <w:rsid w:val="006412B0"/>
    <w:rsid w:val="00643601"/>
    <w:rsid w:val="006911DD"/>
    <w:rsid w:val="006948DE"/>
    <w:rsid w:val="006B062B"/>
    <w:rsid w:val="006B0BBF"/>
    <w:rsid w:val="006B6A72"/>
    <w:rsid w:val="006D63AA"/>
    <w:rsid w:val="006E1619"/>
    <w:rsid w:val="006E2A8E"/>
    <w:rsid w:val="006E35B2"/>
    <w:rsid w:val="006E6CA8"/>
    <w:rsid w:val="006F7D34"/>
    <w:rsid w:val="007076F2"/>
    <w:rsid w:val="00723B18"/>
    <w:rsid w:val="007476CE"/>
    <w:rsid w:val="007662EA"/>
    <w:rsid w:val="00783CE9"/>
    <w:rsid w:val="007B0E54"/>
    <w:rsid w:val="007B18EA"/>
    <w:rsid w:val="007B190C"/>
    <w:rsid w:val="007B7234"/>
    <w:rsid w:val="007E3A20"/>
    <w:rsid w:val="00801EF4"/>
    <w:rsid w:val="0080596E"/>
    <w:rsid w:val="00822BF1"/>
    <w:rsid w:val="00877AAC"/>
    <w:rsid w:val="0088421A"/>
    <w:rsid w:val="008A4871"/>
    <w:rsid w:val="008C0C10"/>
    <w:rsid w:val="008C25D9"/>
    <w:rsid w:val="008C2E5D"/>
    <w:rsid w:val="008F1EAE"/>
    <w:rsid w:val="00904CCC"/>
    <w:rsid w:val="00906938"/>
    <w:rsid w:val="009125CE"/>
    <w:rsid w:val="00942265"/>
    <w:rsid w:val="00976A6E"/>
    <w:rsid w:val="00987319"/>
    <w:rsid w:val="009B6888"/>
    <w:rsid w:val="009C0161"/>
    <w:rsid w:val="009D108D"/>
    <w:rsid w:val="009E1436"/>
    <w:rsid w:val="009E1F86"/>
    <w:rsid w:val="009E5668"/>
    <w:rsid w:val="00A00825"/>
    <w:rsid w:val="00A05F6F"/>
    <w:rsid w:val="00A1293A"/>
    <w:rsid w:val="00A15E83"/>
    <w:rsid w:val="00A36CBD"/>
    <w:rsid w:val="00A541BB"/>
    <w:rsid w:val="00A57553"/>
    <w:rsid w:val="00A71B2E"/>
    <w:rsid w:val="00A73A1B"/>
    <w:rsid w:val="00A74F76"/>
    <w:rsid w:val="00A85578"/>
    <w:rsid w:val="00AA1C48"/>
    <w:rsid w:val="00AA79E9"/>
    <w:rsid w:val="00AB0A70"/>
    <w:rsid w:val="00AD151D"/>
    <w:rsid w:val="00AE466A"/>
    <w:rsid w:val="00AF13AE"/>
    <w:rsid w:val="00AF2BB9"/>
    <w:rsid w:val="00AF647B"/>
    <w:rsid w:val="00B12412"/>
    <w:rsid w:val="00B260C1"/>
    <w:rsid w:val="00B55620"/>
    <w:rsid w:val="00B63B0F"/>
    <w:rsid w:val="00B65F32"/>
    <w:rsid w:val="00B714DB"/>
    <w:rsid w:val="00B7678A"/>
    <w:rsid w:val="00B879DE"/>
    <w:rsid w:val="00B97A42"/>
    <w:rsid w:val="00BE0E6F"/>
    <w:rsid w:val="00C04D0B"/>
    <w:rsid w:val="00C13626"/>
    <w:rsid w:val="00C16EB9"/>
    <w:rsid w:val="00C24021"/>
    <w:rsid w:val="00C3707F"/>
    <w:rsid w:val="00C644FF"/>
    <w:rsid w:val="00C67E74"/>
    <w:rsid w:val="00C71E18"/>
    <w:rsid w:val="00C73C35"/>
    <w:rsid w:val="00C83BE0"/>
    <w:rsid w:val="00CC4C3A"/>
    <w:rsid w:val="00D22171"/>
    <w:rsid w:val="00D330A8"/>
    <w:rsid w:val="00D9483D"/>
    <w:rsid w:val="00DA6F5D"/>
    <w:rsid w:val="00E006F7"/>
    <w:rsid w:val="00E15537"/>
    <w:rsid w:val="00E20594"/>
    <w:rsid w:val="00E2677E"/>
    <w:rsid w:val="00E31A3D"/>
    <w:rsid w:val="00E45F7F"/>
    <w:rsid w:val="00E636ED"/>
    <w:rsid w:val="00E71C79"/>
    <w:rsid w:val="00E76675"/>
    <w:rsid w:val="00E80FD9"/>
    <w:rsid w:val="00E96EB6"/>
    <w:rsid w:val="00EA69C2"/>
    <w:rsid w:val="00EA6B5D"/>
    <w:rsid w:val="00EB6A94"/>
    <w:rsid w:val="00F049FD"/>
    <w:rsid w:val="00F440F4"/>
    <w:rsid w:val="00F546CE"/>
    <w:rsid w:val="00F55F6B"/>
    <w:rsid w:val="00F84FFF"/>
    <w:rsid w:val="00F935C8"/>
    <w:rsid w:val="00FC70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825"/>
    <w:pPr>
      <w:bidi/>
    </w:pPr>
  </w:style>
  <w:style w:type="paragraph" w:styleId="Heading1">
    <w:name w:val="heading 1"/>
    <w:basedOn w:val="Normal"/>
    <w:next w:val="Normal"/>
    <w:link w:val="Heading1Char"/>
    <w:autoRedefine/>
    <w:uiPriority w:val="9"/>
    <w:qFormat/>
    <w:rsid w:val="005C3639"/>
    <w:pPr>
      <w:keepNext/>
      <w:keepLines/>
      <w:spacing w:before="240" w:after="0"/>
      <w:jc w:val="center"/>
      <w:outlineLvl w:val="0"/>
    </w:pPr>
    <w:rPr>
      <w:rFonts w:ascii="Simplified Arabic" w:eastAsiaTheme="majorEastAsia" w:hAnsi="Simplified Arabic" w:cs="Simplified Arabic"/>
      <w:b/>
      <w:bCs/>
      <w:color w:val="000000" w:themeColor="text1"/>
      <w:sz w:val="40"/>
      <w:szCs w:val="40"/>
      <w:lang w:bidi="ar-EG"/>
    </w:rPr>
  </w:style>
  <w:style w:type="paragraph" w:styleId="Heading2">
    <w:name w:val="heading 2"/>
    <w:basedOn w:val="Normal"/>
    <w:next w:val="Normal"/>
    <w:link w:val="Heading2Char"/>
    <w:autoRedefine/>
    <w:uiPriority w:val="9"/>
    <w:unhideWhenUsed/>
    <w:qFormat/>
    <w:rsid w:val="00426A44"/>
    <w:pPr>
      <w:keepNext/>
      <w:keepLines/>
      <w:spacing w:before="40" w:after="0" w:line="360" w:lineRule="auto"/>
      <w:outlineLvl w:val="1"/>
    </w:pPr>
    <w:rPr>
      <w:rFonts w:ascii="Simplified Arabic" w:eastAsiaTheme="majorEastAsia" w:hAnsi="Simplified Arabic" w:cs="Simplified Arabic"/>
      <w:b/>
      <w:bCs/>
      <w:color w:val="000000" w:themeColor="text1"/>
      <w:sz w:val="32"/>
      <w:szCs w:val="32"/>
    </w:rPr>
  </w:style>
  <w:style w:type="paragraph" w:styleId="Heading3">
    <w:name w:val="heading 3"/>
    <w:basedOn w:val="Normal"/>
    <w:next w:val="Normal"/>
    <w:link w:val="Heading3Char"/>
    <w:autoRedefine/>
    <w:uiPriority w:val="9"/>
    <w:unhideWhenUsed/>
    <w:qFormat/>
    <w:rsid w:val="008A4871"/>
    <w:pPr>
      <w:keepNext/>
      <w:keepLines/>
      <w:spacing w:before="40" w:after="0"/>
      <w:outlineLvl w:val="2"/>
    </w:pPr>
    <w:rPr>
      <w:rFonts w:ascii="Simplified Arabic" w:eastAsiaTheme="majorEastAsia" w:hAnsi="Simplified Arabic" w:cs="Simplified Arabic"/>
      <w:b/>
      <w:bCs/>
      <w:color w:val="1F3763"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A7A0B"/>
    <w:pPr>
      <w:ind w:left="720"/>
      <w:contextualSpacing/>
    </w:pPr>
  </w:style>
  <w:style w:type="character" w:customStyle="1" w:styleId="Heading1Char">
    <w:name w:val="Heading 1 Char"/>
    <w:basedOn w:val="DefaultParagraphFont"/>
    <w:link w:val="Heading1"/>
    <w:uiPriority w:val="9"/>
    <w:rsid w:val="005C3639"/>
    <w:rPr>
      <w:rFonts w:ascii="Simplified Arabic" w:eastAsiaTheme="majorEastAsia" w:hAnsi="Simplified Arabic" w:cs="Simplified Arabic"/>
      <w:b/>
      <w:bCs/>
      <w:color w:val="000000" w:themeColor="text1"/>
      <w:sz w:val="40"/>
      <w:szCs w:val="40"/>
      <w:lang w:bidi="ar-EG"/>
    </w:rPr>
  </w:style>
  <w:style w:type="paragraph" w:styleId="TOCHeading">
    <w:name w:val="TOC Heading"/>
    <w:basedOn w:val="Heading1"/>
    <w:next w:val="Normal"/>
    <w:uiPriority w:val="39"/>
    <w:unhideWhenUsed/>
    <w:qFormat/>
    <w:rsid w:val="001B0F27"/>
    <w:pPr>
      <w:bidi w:val="0"/>
      <w:outlineLvl w:val="9"/>
    </w:pPr>
    <w:rPr>
      <w:kern w:val="0"/>
      <w14:ligatures w14:val="none"/>
    </w:rPr>
  </w:style>
  <w:style w:type="paragraph" w:styleId="TOC1">
    <w:name w:val="toc 1"/>
    <w:basedOn w:val="Normal"/>
    <w:next w:val="Normal"/>
    <w:autoRedefine/>
    <w:uiPriority w:val="39"/>
    <w:unhideWhenUsed/>
    <w:rsid w:val="001B0F27"/>
    <w:pPr>
      <w:spacing w:after="100"/>
    </w:pPr>
  </w:style>
  <w:style w:type="character" w:styleId="Hyperlink">
    <w:name w:val="Hyperlink"/>
    <w:basedOn w:val="DefaultParagraphFont"/>
    <w:uiPriority w:val="99"/>
    <w:unhideWhenUsed/>
    <w:rsid w:val="001B0F27"/>
    <w:rPr>
      <w:color w:val="0563C1" w:themeColor="hyperlink"/>
      <w:u w:val="single"/>
    </w:rPr>
  </w:style>
  <w:style w:type="character" w:customStyle="1" w:styleId="Heading2Char">
    <w:name w:val="Heading 2 Char"/>
    <w:basedOn w:val="DefaultParagraphFont"/>
    <w:link w:val="Heading2"/>
    <w:uiPriority w:val="9"/>
    <w:rsid w:val="00426A44"/>
    <w:rPr>
      <w:rFonts w:ascii="Simplified Arabic" w:eastAsiaTheme="majorEastAsia" w:hAnsi="Simplified Arabic" w:cs="Simplified Arabic"/>
      <w:b/>
      <w:bCs/>
      <w:color w:val="000000" w:themeColor="text1"/>
      <w:sz w:val="32"/>
      <w:szCs w:val="32"/>
    </w:rPr>
  </w:style>
  <w:style w:type="paragraph" w:styleId="NormalWeb">
    <w:name w:val="Normal (Web)"/>
    <w:basedOn w:val="Normal"/>
    <w:uiPriority w:val="99"/>
    <w:semiHidden/>
    <w:unhideWhenUsed/>
    <w:rsid w:val="006E35B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DA6F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723B18"/>
    <w:pPr>
      <w:spacing w:after="100"/>
      <w:ind w:left="220"/>
    </w:pPr>
  </w:style>
  <w:style w:type="paragraph" w:styleId="TOC3">
    <w:name w:val="toc 3"/>
    <w:basedOn w:val="Normal"/>
    <w:next w:val="Normal"/>
    <w:autoRedefine/>
    <w:uiPriority w:val="39"/>
    <w:unhideWhenUsed/>
    <w:rsid w:val="00723B18"/>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723B18"/>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723B18"/>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723B18"/>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723B18"/>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723B18"/>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723B18"/>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723B18"/>
    <w:rPr>
      <w:color w:val="605E5C"/>
      <w:shd w:val="clear" w:color="auto" w:fill="E1DFDD"/>
    </w:rPr>
  </w:style>
  <w:style w:type="paragraph" w:styleId="Caption">
    <w:name w:val="caption"/>
    <w:basedOn w:val="Normal"/>
    <w:next w:val="Normal"/>
    <w:uiPriority w:val="35"/>
    <w:unhideWhenUsed/>
    <w:qFormat/>
    <w:rsid w:val="0064360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97E62"/>
    <w:pPr>
      <w:spacing w:after="0"/>
    </w:pPr>
  </w:style>
  <w:style w:type="table" w:styleId="PlainTable1">
    <w:name w:val="Plain Table 1"/>
    <w:basedOn w:val="TableNormal"/>
    <w:uiPriority w:val="41"/>
    <w:rsid w:val="00354BB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8A4871"/>
    <w:rPr>
      <w:rFonts w:ascii="Simplified Arabic" w:eastAsiaTheme="majorEastAsia" w:hAnsi="Simplified Arabic" w:cs="Simplified Arabic"/>
      <w:b/>
      <w:bCs/>
      <w:color w:val="1F3763" w:themeColor="accent1" w:themeShade="7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9201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8DBEC-B294-4D79-B5E2-7B6E7C8D4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8067</Words>
  <Characters>45983</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شادى حافظ عبد العزيز محمد البقسماطى</cp:lastModifiedBy>
  <cp:revision>2</cp:revision>
  <cp:lastPrinted>2026-03-15T11:06:00Z</cp:lastPrinted>
  <dcterms:created xsi:type="dcterms:W3CDTF">2026-07-11T19:08:00Z</dcterms:created>
  <dcterms:modified xsi:type="dcterms:W3CDTF">2026-07-11T19:08:00Z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