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2254"/>
        <w:gridCol w:w="4508"/>
        <w:gridCol w:w="2254"/>
      </w:tblGrid>
      <w:tr w:rsidR="00527DCD" w:rsidRPr="0001101D">
        <w:tc>
          <w:tcPr>
            <w:tcW w:w="1250" w:type="pct"/>
            <w:vAlign w:val="center"/>
          </w:tcPr>
          <w:p w:rsidR="00527DCD" w:rsidRPr="0001101D" w:rsidRDefault="00527DCD">
            <w:pPr>
              <w:jc w:val="center"/>
              <w:rPr>
                <w:rFonts w:ascii="Simplified Arabic" w:hAnsi="Simplified Arabic" w:cs="Simplified Arabic"/>
              </w:rPr>
            </w:pPr>
          </w:p>
        </w:tc>
        <w:tc>
          <w:tcPr>
            <w:tcW w:w="2500" w:type="pct"/>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sz w:val="24"/>
                <w:szCs w:val="24"/>
              </w:rPr>
              <w:t>Midocean Journal for Research and Studies</w:t>
            </w:r>
          </w:p>
          <w:p w:rsidR="00527DCD" w:rsidRPr="0001101D" w:rsidRDefault="003017CC">
            <w:pPr>
              <w:jc w:val="center"/>
              <w:rPr>
                <w:rFonts w:ascii="Simplified Arabic" w:hAnsi="Simplified Arabic" w:cs="Simplified Arabic"/>
              </w:rPr>
            </w:pPr>
            <w:r w:rsidRPr="0001101D">
              <w:rPr>
                <w:rFonts w:ascii="Simplified Arabic" w:hAnsi="Simplified Arabic" w:cs="Simplified Arabic"/>
                <w:u w:val="single"/>
              </w:rPr>
              <w:t>https://</w:t>
            </w:r>
          </w:p>
          <w:p w:rsidR="00527DCD" w:rsidRPr="0001101D" w:rsidRDefault="00264ED8">
            <w:pPr>
              <w:jc w:val="center"/>
              <w:rPr>
                <w:rFonts w:ascii="Simplified Arabic" w:hAnsi="Simplified Arabic" w:cs="Simplified Arabic"/>
              </w:rPr>
            </w:pPr>
            <w:r w:rsidRPr="0001101D">
              <w:rPr>
                <w:rFonts w:ascii="Simplified Arabic" w:hAnsi="Simplified Arabic" w:cs="Simplified Arabic"/>
                <w:b/>
                <w:bCs/>
              </w:rPr>
              <w:t>ISSN: 3078-5669</w:t>
            </w:r>
          </w:p>
        </w:tc>
        <w:tc>
          <w:tcPr>
            <w:tcW w:w="1250" w:type="pct"/>
          </w:tcPr>
          <w:p w:rsidR="00527DCD" w:rsidRPr="0001101D" w:rsidRDefault="00527DCD">
            <w:pPr>
              <w:rPr>
                <w:rFonts w:ascii="Simplified Arabic" w:hAnsi="Simplified Arabic" w:cs="Simplified Arabic"/>
              </w:rPr>
            </w:pPr>
          </w:p>
        </w:tc>
      </w:tr>
    </w:tbl>
    <w:p w:rsidR="00527DCD" w:rsidRPr="0001101D" w:rsidRDefault="008843A9">
      <w:pPr>
        <w:rPr>
          <w:rFonts w:ascii="Simplified Arabic" w:hAnsi="Simplified Arabic" w:cs="Simplified Arabic"/>
        </w:rPr>
      </w:pPr>
      <w:r w:rsidRPr="0001101D">
        <w:rPr>
          <w:rFonts w:ascii="Simplified Arabic" w:hAnsi="Simplified Arabic" w:cs="Simplified Arabic"/>
          <w:noProof/>
        </w:rPr>
        <w:drawing>
          <wp:anchor distT="0" distB="0" distL="114300" distR="114300" simplePos="0" relativeHeight="251659264" behindDoc="0" locked="0" layoutInCell="1" allowOverlap="1" wp14:anchorId="79479C79" wp14:editId="4B4AD0A2">
            <wp:simplePos x="0" y="0"/>
            <wp:positionH relativeFrom="column">
              <wp:posOffset>-635</wp:posOffset>
            </wp:positionH>
            <wp:positionV relativeFrom="paragraph">
              <wp:posOffset>-650240</wp:posOffset>
            </wp:positionV>
            <wp:extent cx="1371600" cy="640080"/>
            <wp:effectExtent l="0" t="0" r="0" b="7620"/>
            <wp:wrapNone/>
            <wp:docPr id="2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1600" cy="640080"/>
                    </a:xfrm>
                    <a:prstGeom prst="rect">
                      <a:avLst/>
                    </a:prstGeom>
                    <a:noFill/>
                  </pic:spPr>
                </pic:pic>
              </a:graphicData>
            </a:graphic>
            <wp14:sizeRelH relativeFrom="margin">
              <wp14:pctWidth>0</wp14:pctWidth>
            </wp14:sizeRelH>
            <wp14:sizeRelV relativeFrom="margin">
              <wp14:pctHeight>0</wp14:pctHeight>
            </wp14:sizeRelV>
          </wp:anchor>
        </w:drawing>
      </w:r>
    </w:p>
    <w:p w:rsidR="00527DCD" w:rsidRPr="0001101D" w:rsidRDefault="003017CC">
      <w:pPr>
        <w:spacing w:after="120"/>
        <w:jc w:val="center"/>
        <w:rPr>
          <w:rFonts w:ascii="Simplified Arabic" w:hAnsi="Simplified Arabic" w:cs="Simplified Arabic"/>
        </w:rPr>
      </w:pPr>
      <w:r w:rsidRPr="0001101D">
        <w:rPr>
          <w:rFonts w:ascii="Simplified Arabic" w:hAnsi="Simplified Arabic" w:cs="Simplified Arabic"/>
          <w:b/>
          <w:bCs/>
          <w:sz w:val="32"/>
          <w:szCs w:val="32"/>
        </w:rPr>
        <w:t>Deep Learning for Detection and Classification of Kidney Tumors and Cancer</w:t>
      </w:r>
    </w:p>
    <w:p w:rsidR="00527DCD" w:rsidRPr="0001101D" w:rsidRDefault="003017CC">
      <w:pPr>
        <w:spacing w:after="60"/>
        <w:jc w:val="center"/>
        <w:rPr>
          <w:rFonts w:ascii="Simplified Arabic" w:hAnsi="Simplified Arabic" w:cs="Simplified Arabic"/>
        </w:rPr>
      </w:pPr>
      <w:r w:rsidRPr="0001101D">
        <w:rPr>
          <w:rFonts w:ascii="Simplified Arabic" w:hAnsi="Simplified Arabic" w:cs="Simplified Arabic"/>
          <w:sz w:val="24"/>
          <w:szCs w:val="24"/>
        </w:rPr>
        <w:t>Faisal Almokayed – Meshaal Almutairi</w:t>
      </w:r>
    </w:p>
    <w:p w:rsidR="00527DCD" w:rsidRPr="00F66298" w:rsidRDefault="003017CC">
      <w:pPr>
        <w:spacing w:after="60"/>
        <w:jc w:val="center"/>
        <w:rPr>
          <w:rFonts w:ascii="Simplified Arabic" w:hAnsi="Simplified Arabic" w:cs="Simplified Arabic"/>
        </w:rPr>
      </w:pPr>
      <w:r w:rsidRPr="00F66298">
        <w:rPr>
          <w:rFonts w:ascii="Simplified Arabic" w:hAnsi="Simplified Arabic" w:cs="Simplified Arabic"/>
          <w:sz w:val="24"/>
          <w:szCs w:val="24"/>
        </w:rPr>
        <w:t>ORCID ID: [insert ORCID – obtain at https://orcid.org/signin]</w:t>
      </w:r>
    </w:p>
    <w:p w:rsidR="00527DCD" w:rsidRDefault="003017CC" w:rsidP="00264ED8">
      <w:pPr>
        <w:spacing w:after="60"/>
        <w:jc w:val="center"/>
        <w:rPr>
          <w:rFonts w:ascii="Simplified Arabic" w:hAnsi="Simplified Arabic" w:cs="Simplified Arabic"/>
          <w:sz w:val="24"/>
          <w:szCs w:val="24"/>
        </w:rPr>
      </w:pPr>
      <w:r w:rsidRPr="0001101D">
        <w:rPr>
          <w:rFonts w:ascii="Simplified Arabic" w:hAnsi="Simplified Arabic" w:cs="Simplified Arabic"/>
          <w:sz w:val="24"/>
          <w:szCs w:val="24"/>
        </w:rPr>
        <w:t xml:space="preserve">Master of Science in Artificial Intelligence – College of Informatics – Midocean University – </w:t>
      </w:r>
      <w:r w:rsidR="00264ED8" w:rsidRPr="0001101D">
        <w:rPr>
          <w:rFonts w:ascii="Simplified Arabic" w:hAnsi="Simplified Arabic" w:cs="Simplified Arabic"/>
          <w:sz w:val="24"/>
          <w:szCs w:val="24"/>
        </w:rPr>
        <w:t>Union of Comoros</w:t>
      </w:r>
    </w:p>
    <w:p w:rsidR="00F66298" w:rsidRDefault="00F66298" w:rsidP="00F66298">
      <w:pPr>
        <w:spacing w:after="60"/>
        <w:jc w:val="center"/>
        <w:rPr>
          <w:rFonts w:ascii="Simplified Arabic" w:hAnsi="Simplified Arabic" w:cs="Simplified Arabic"/>
          <w:sz w:val="24"/>
          <w:szCs w:val="24"/>
        </w:rPr>
      </w:pPr>
      <w:r>
        <w:rPr>
          <w:spacing w:val="1"/>
          <w:sz w:val="24"/>
          <w:szCs w:val="24"/>
        </w:rPr>
        <w:t>D</w:t>
      </w:r>
      <w:r>
        <w:rPr>
          <w:sz w:val="24"/>
          <w:szCs w:val="24"/>
        </w:rPr>
        <w:t>r. Mohammad Essa</w:t>
      </w:r>
      <w:r>
        <w:rPr>
          <w:sz w:val="24"/>
          <w:szCs w:val="24"/>
        </w:rPr>
        <w:t xml:space="preserve"> (</w:t>
      </w:r>
      <w:r>
        <w:rPr>
          <w:spacing w:val="2"/>
          <w:sz w:val="24"/>
          <w:szCs w:val="24"/>
        </w:rPr>
        <w:t>O</w:t>
      </w:r>
      <w:r>
        <w:rPr>
          <w:sz w:val="24"/>
          <w:szCs w:val="24"/>
        </w:rPr>
        <w:t>RCID</w:t>
      </w:r>
      <w:r>
        <w:rPr>
          <w:spacing w:val="1"/>
          <w:sz w:val="24"/>
          <w:szCs w:val="24"/>
        </w:rPr>
        <w:t xml:space="preserve"> </w:t>
      </w:r>
      <w:r>
        <w:rPr>
          <w:sz w:val="24"/>
          <w:szCs w:val="24"/>
        </w:rPr>
        <w:t>I</w:t>
      </w:r>
      <w:r>
        <w:rPr>
          <w:spacing w:val="1"/>
          <w:sz w:val="24"/>
          <w:szCs w:val="24"/>
        </w:rPr>
        <w:t>D</w:t>
      </w:r>
      <w:r>
        <w:rPr>
          <w:sz w:val="24"/>
          <w:szCs w:val="24"/>
        </w:rPr>
        <w:t xml:space="preserve">), </w:t>
      </w:r>
      <w:r w:rsidRPr="0001101D">
        <w:rPr>
          <w:rFonts w:ascii="Simplified Arabic" w:hAnsi="Simplified Arabic" w:cs="Simplified Arabic"/>
          <w:sz w:val="24"/>
          <w:szCs w:val="24"/>
        </w:rPr>
        <w:t>College of Informatics</w:t>
      </w:r>
      <w:r>
        <w:rPr>
          <w:sz w:val="24"/>
          <w:szCs w:val="24"/>
        </w:rPr>
        <w:t xml:space="preserve">, </w:t>
      </w:r>
      <w:r w:rsidRPr="0001101D">
        <w:rPr>
          <w:rFonts w:ascii="Simplified Arabic" w:hAnsi="Simplified Arabic" w:cs="Simplified Arabic"/>
          <w:sz w:val="24"/>
          <w:szCs w:val="24"/>
        </w:rPr>
        <w:t>Informatics – Midocean University – Union of Comoros</w:t>
      </w:r>
    </w:p>
    <w:p w:rsidR="00F66298" w:rsidRDefault="00F66298" w:rsidP="00F66298">
      <w:pPr>
        <w:spacing w:line="260" w:lineRule="exact"/>
        <w:ind w:left="100"/>
        <w:rPr>
          <w:sz w:val="24"/>
          <w:szCs w:val="24"/>
        </w:rPr>
      </w:pPr>
    </w:p>
    <w:p w:rsidR="00F66298" w:rsidRPr="0001101D" w:rsidRDefault="00F66298" w:rsidP="00264ED8">
      <w:pPr>
        <w:spacing w:after="60"/>
        <w:jc w:val="center"/>
        <w:rPr>
          <w:rFonts w:ascii="Simplified Arabic" w:hAnsi="Simplified Arabic" w:cs="Simplified Arabic"/>
        </w:rPr>
      </w:pPr>
    </w:p>
    <w:p w:rsidR="00527DCD" w:rsidRPr="00F478C3" w:rsidRDefault="003017CC" w:rsidP="00EC6DEF">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Abstract:</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b/>
          <w:bCs/>
          <w:color w:val="000000"/>
          <w:sz w:val="24"/>
          <w:szCs w:val="24"/>
        </w:rPr>
        <w:t xml:space="preserve">Objectives: </w:t>
      </w:r>
      <w:r w:rsidRPr="0001101D">
        <w:rPr>
          <w:rFonts w:ascii="Simplified Arabic" w:hAnsi="Simplified Arabic" w:cs="Simplified Arabic"/>
          <w:color w:val="000000"/>
          <w:sz w:val="24"/>
          <w:szCs w:val="24"/>
        </w:rPr>
        <w:t>This study aims to design and evaluate a deep learning-based framework for the automatic detection and multi-class classification of kidney conditions — Normal, Cyst, Stone, and Tumor — from computed tomography (CT) images, incorporating an attention mechanism to improve both diagnostic accuracy and model interpretability.</w:t>
      </w:r>
    </w:p>
    <w:p w:rsidR="00527DCD" w:rsidRPr="0001101D" w:rsidRDefault="003017CC" w:rsidP="00B879DE">
      <w:pPr>
        <w:spacing w:after="160"/>
        <w:jc w:val="both"/>
        <w:rPr>
          <w:rFonts w:ascii="Simplified Arabic" w:hAnsi="Simplified Arabic" w:cs="Simplified Arabic"/>
        </w:rPr>
      </w:pPr>
      <w:r w:rsidRPr="0001101D">
        <w:rPr>
          <w:rFonts w:ascii="Simplified Arabic" w:hAnsi="Simplified Arabic" w:cs="Simplified Arabic"/>
          <w:b/>
          <w:bCs/>
          <w:color w:val="000000"/>
          <w:sz w:val="24"/>
          <w:szCs w:val="24"/>
        </w:rPr>
        <w:t xml:space="preserve">Methodology: </w:t>
      </w:r>
      <w:r w:rsidRPr="0001101D">
        <w:rPr>
          <w:rFonts w:ascii="Simplified Arabic" w:hAnsi="Simplified Arabic" w:cs="Simplified Arabic"/>
          <w:color w:val="000000"/>
          <w:sz w:val="24"/>
          <w:szCs w:val="24"/>
        </w:rPr>
        <w:t>A multi-class classification pipeline built on 12,446 CT images spanning four categories. Images underwent grayscale-to-RGB conversion, CLAHE-based contrast enhancement, resizing, normalization, and stratified augmentation, then were split 70/10/20 into training, validation, and test sets. Three convolutional architectures — ResNet-50 enhanced with a Convolutional Block Attention Module (CBAM), EfficientNet-B4, and MobileNetV3 — were trained using a class-weighted focal loss (</w:t>
      </w:r>
      <w:r w:rsidRPr="0001101D">
        <w:rPr>
          <w:rFonts w:ascii="Cambria" w:hAnsi="Cambria" w:cs="Cambria"/>
          <w:color w:val="000000"/>
          <w:sz w:val="24"/>
          <w:szCs w:val="24"/>
        </w:rPr>
        <w:t>γ</w:t>
      </w:r>
      <w:r w:rsidRPr="0001101D">
        <w:rPr>
          <w:rFonts w:ascii="Simplified Arabic" w:hAnsi="Simplified Arabic" w:cs="Simplified Arabic"/>
          <w:color w:val="000000"/>
          <w:sz w:val="24"/>
          <w:szCs w:val="24"/>
        </w:rPr>
        <w:t xml:space="preserve"> = 2.0) to address class imbalance, and were compared using accuracy, precision, recall, F1-score, and AUC-ROC.</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b/>
          <w:bCs/>
          <w:color w:val="000000"/>
          <w:sz w:val="24"/>
          <w:szCs w:val="24"/>
        </w:rPr>
        <w:t xml:space="preserve">Results: </w:t>
      </w:r>
      <w:r w:rsidRPr="0001101D">
        <w:rPr>
          <w:rFonts w:ascii="Simplified Arabic" w:hAnsi="Simplified Arabic" w:cs="Simplified Arabic"/>
          <w:color w:val="000000"/>
          <w:sz w:val="24"/>
          <w:szCs w:val="24"/>
        </w:rPr>
        <w:t>The proposed ResNet-50 + CBAM model achieved the best overall test accuracy of 99.88%, a macro F1-score of 0.9988, and a macro AUC-ROC of 1.0000, surpassing EfficientNet-B4 (98.39%) and MobileNetV3 (98.84%). Grad-CAM visualizations confirmed that the model consistently attended to clinically relevant renal regions rather than background artifacts.</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b/>
          <w:bCs/>
          <w:color w:val="000000"/>
          <w:sz w:val="24"/>
          <w:szCs w:val="24"/>
        </w:rPr>
        <w:lastRenderedPageBreak/>
        <w:t xml:space="preserve">Recommendations: </w:t>
      </w:r>
      <w:r w:rsidRPr="0001101D">
        <w:rPr>
          <w:rFonts w:ascii="Simplified Arabic" w:hAnsi="Simplified Arabic" w:cs="Simplified Arabic"/>
          <w:color w:val="000000"/>
          <w:sz w:val="24"/>
          <w:szCs w:val="24"/>
        </w:rPr>
        <w:t>Future validation on multi-center clinical datasets, extension to multi-phase CT protocols, integration with segmentation models, and deployment within clinical decision-support systems are recommended to strengthen real-world applicability.</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b/>
          <w:bCs/>
          <w:color w:val="000000"/>
          <w:sz w:val="24"/>
          <w:szCs w:val="24"/>
        </w:rPr>
        <w:t xml:space="preserve">Keywords: </w:t>
      </w:r>
      <w:r w:rsidRPr="0001101D">
        <w:rPr>
          <w:rFonts w:ascii="Simplified Arabic" w:hAnsi="Simplified Arabic" w:cs="Simplified Arabic"/>
          <w:color w:val="000000"/>
          <w:sz w:val="24"/>
          <w:szCs w:val="24"/>
        </w:rPr>
        <w:t>Deep Learning, Kidney Tumor Classification, Convolutional Neural Networks, CBAM Attention, Computed Tomography.</w:t>
      </w:r>
    </w:p>
    <w:p w:rsidR="00527DCD" w:rsidRPr="0001101D" w:rsidRDefault="00527DCD">
      <w:pPr>
        <w:rPr>
          <w:rFonts w:ascii="Simplified Arabic" w:hAnsi="Simplified Arabic" w:cs="Simplified Arabic"/>
        </w:rPr>
      </w:pPr>
    </w:p>
    <w:p w:rsidR="00527DCD" w:rsidRPr="00F478C3" w:rsidRDefault="003017CC" w:rsidP="00F478C3">
      <w:pPr>
        <w:jc w:val="right"/>
        <w:rPr>
          <w:rFonts w:ascii="Simplified Arabic" w:hAnsi="Simplified Arabic" w:cs="Simplified Arabic"/>
          <w:b/>
          <w:bCs/>
          <w:sz w:val="28"/>
          <w:szCs w:val="28"/>
        </w:rPr>
      </w:pPr>
      <w:r w:rsidRPr="00F478C3">
        <w:rPr>
          <w:rFonts w:ascii="Simplified Arabic" w:hAnsi="Simplified Arabic" w:cs="Simplified Arabic"/>
          <w:b/>
          <w:bCs/>
          <w:sz w:val="28"/>
          <w:szCs w:val="28"/>
          <w:rtl/>
        </w:rPr>
        <w:t>الملخص:</w:t>
      </w:r>
    </w:p>
    <w:p w:rsidR="00527DCD" w:rsidRPr="0001101D" w:rsidRDefault="003017CC">
      <w:pPr>
        <w:bidi/>
        <w:spacing w:after="160"/>
        <w:jc w:val="both"/>
        <w:rPr>
          <w:rFonts w:ascii="Simplified Arabic" w:hAnsi="Simplified Arabic" w:cs="Simplified Arabic"/>
        </w:rPr>
      </w:pPr>
      <w:r w:rsidRPr="0001101D">
        <w:rPr>
          <w:rFonts w:ascii="Simplified Arabic" w:eastAsia="Simplified Arabic" w:hAnsi="Simplified Arabic" w:cs="Simplified Arabic"/>
          <w:b/>
          <w:bCs/>
          <w:color w:val="000000"/>
          <w:sz w:val="24"/>
          <w:szCs w:val="24"/>
          <w:rtl/>
        </w:rPr>
        <w:t xml:space="preserve">الأهداف: </w:t>
      </w:r>
      <w:r w:rsidRPr="0001101D">
        <w:rPr>
          <w:rFonts w:ascii="Simplified Arabic" w:eastAsia="Simplified Arabic" w:hAnsi="Simplified Arabic" w:cs="Simplified Arabic"/>
          <w:color w:val="000000"/>
          <w:sz w:val="24"/>
          <w:szCs w:val="24"/>
          <w:rtl/>
        </w:rPr>
        <w:t>تهدف هذه الدراسة إلى تصميم وتقييم إطار عمل قائم على التعلم العميق للكشف التلقائي وتصنيف حالات الكلى المتعددة الفئات (طبيعي، كيس، حصوة، وورم) من صور الأشعة المقطع</w:t>
      </w:r>
      <w:r w:rsidR="00F242C3">
        <w:rPr>
          <w:rFonts w:ascii="Simplified Arabic" w:eastAsia="Simplified Arabic" w:hAnsi="Simplified Arabic" w:cs="Simplified Arabic" w:hint="cs"/>
          <w:color w:val="000000"/>
          <w:sz w:val="24"/>
          <w:szCs w:val="24"/>
          <w:rtl/>
        </w:rPr>
        <w:t>ي</w:t>
      </w:r>
      <w:r w:rsidRPr="0001101D">
        <w:rPr>
          <w:rFonts w:ascii="Simplified Arabic" w:eastAsia="Simplified Arabic" w:hAnsi="Simplified Arabic" w:cs="Simplified Arabic"/>
          <w:color w:val="000000"/>
          <w:sz w:val="24"/>
          <w:szCs w:val="24"/>
          <w:rtl/>
        </w:rPr>
        <w:t>ة المحوسبة (CT)، مع دمج آلية انتباه لتحسين دقة التشخيص وقابلية تفسير النموذج.</w:t>
      </w:r>
    </w:p>
    <w:p w:rsidR="00527DCD" w:rsidRPr="0001101D" w:rsidRDefault="003017CC" w:rsidP="001A379E">
      <w:pPr>
        <w:bidi/>
        <w:spacing w:after="160"/>
        <w:jc w:val="both"/>
        <w:rPr>
          <w:rFonts w:ascii="Simplified Arabic" w:hAnsi="Simplified Arabic" w:cs="Simplified Arabic"/>
        </w:rPr>
      </w:pPr>
      <w:r w:rsidRPr="0001101D">
        <w:rPr>
          <w:rFonts w:ascii="Simplified Arabic" w:eastAsia="Simplified Arabic" w:hAnsi="Simplified Arabic" w:cs="Simplified Arabic"/>
          <w:b/>
          <w:bCs/>
          <w:color w:val="000000"/>
          <w:sz w:val="24"/>
          <w:szCs w:val="24"/>
          <w:rtl/>
        </w:rPr>
        <w:t xml:space="preserve">المنهجية: </w:t>
      </w:r>
      <w:r w:rsidRPr="0001101D">
        <w:rPr>
          <w:rFonts w:ascii="Simplified Arabic" w:eastAsia="Simplified Arabic" w:hAnsi="Simplified Arabic" w:cs="Simplified Arabic"/>
          <w:color w:val="000000"/>
          <w:sz w:val="24"/>
          <w:szCs w:val="24"/>
          <w:rtl/>
        </w:rPr>
        <w:t xml:space="preserve">تم بناء </w:t>
      </w:r>
      <w:r w:rsidR="00F242C3">
        <w:rPr>
          <w:rFonts w:ascii="Simplified Arabic" w:eastAsia="Simplified Arabic" w:hAnsi="Simplified Arabic" w:cs="Simplified Arabic" w:hint="cs"/>
          <w:color w:val="000000"/>
          <w:sz w:val="24"/>
          <w:szCs w:val="24"/>
          <w:rtl/>
        </w:rPr>
        <w:t>مسار تصنيف</w:t>
      </w:r>
      <w:r w:rsidRPr="0001101D">
        <w:rPr>
          <w:rFonts w:ascii="Simplified Arabic" w:eastAsia="Simplified Arabic" w:hAnsi="Simplified Arabic" w:cs="Simplified Arabic"/>
          <w:color w:val="000000"/>
          <w:sz w:val="24"/>
          <w:szCs w:val="24"/>
          <w:rtl/>
        </w:rPr>
        <w:t xml:space="preserve"> متعدد الفئات باستخدام 12,446 صورة أشعة مقطع</w:t>
      </w:r>
      <w:r w:rsidR="00F242C3">
        <w:rPr>
          <w:rFonts w:ascii="Simplified Arabic" w:eastAsia="Simplified Arabic" w:hAnsi="Simplified Arabic" w:cs="Simplified Arabic" w:hint="cs"/>
          <w:color w:val="000000"/>
          <w:sz w:val="24"/>
          <w:szCs w:val="24"/>
          <w:rtl/>
        </w:rPr>
        <w:t>ي</w:t>
      </w:r>
      <w:r w:rsidRPr="0001101D">
        <w:rPr>
          <w:rFonts w:ascii="Simplified Arabic" w:eastAsia="Simplified Arabic" w:hAnsi="Simplified Arabic" w:cs="Simplified Arabic"/>
          <w:color w:val="000000"/>
          <w:sz w:val="24"/>
          <w:szCs w:val="24"/>
          <w:rtl/>
        </w:rPr>
        <w:t>ة موزعة على أربع فئات. خضعت الصور لتحويل من التدرج الرمادي إلى RGB، وتحسين</w:t>
      </w:r>
      <w:r w:rsidR="00F242C3">
        <w:rPr>
          <w:rFonts w:ascii="Simplified Arabic" w:eastAsia="Simplified Arabic" w:hAnsi="Simplified Arabic" w:cs="Simplified Arabic"/>
          <w:color w:val="000000"/>
          <w:sz w:val="24"/>
          <w:szCs w:val="24"/>
          <w:rtl/>
        </w:rPr>
        <w:t xml:space="preserve"> التباين باستخدام CLAHE، </w:t>
      </w:r>
      <w:r w:rsidR="00F242C3">
        <w:rPr>
          <w:rFonts w:ascii="Simplified Arabic" w:eastAsia="Simplified Arabic" w:hAnsi="Simplified Arabic" w:cs="Simplified Arabic" w:hint="cs"/>
          <w:color w:val="000000"/>
          <w:sz w:val="24"/>
          <w:szCs w:val="24"/>
          <w:rtl/>
        </w:rPr>
        <w:t>و تغيير حجم الصورة</w:t>
      </w:r>
      <w:r w:rsidRPr="0001101D">
        <w:rPr>
          <w:rFonts w:ascii="Simplified Arabic" w:eastAsia="Simplified Arabic" w:hAnsi="Simplified Arabic" w:cs="Simplified Arabic"/>
          <w:color w:val="000000"/>
          <w:sz w:val="24"/>
          <w:szCs w:val="24"/>
          <w:rtl/>
        </w:rPr>
        <w:t>، و</w:t>
      </w:r>
      <w:r w:rsidR="001A379E">
        <w:rPr>
          <w:rFonts w:ascii="Simplified Arabic" w:eastAsia="Simplified Arabic" w:hAnsi="Simplified Arabic" w:cs="Simplified Arabic" w:hint="cs"/>
          <w:color w:val="000000"/>
          <w:sz w:val="24"/>
          <w:szCs w:val="24"/>
          <w:rtl/>
        </w:rPr>
        <w:t xml:space="preserve"> توحيد قيم البيانات</w:t>
      </w:r>
      <w:r w:rsidRPr="0001101D">
        <w:rPr>
          <w:rFonts w:ascii="Simplified Arabic" w:eastAsia="Simplified Arabic" w:hAnsi="Simplified Arabic" w:cs="Simplified Arabic"/>
          <w:color w:val="000000"/>
          <w:sz w:val="24"/>
          <w:szCs w:val="24"/>
          <w:rtl/>
        </w:rPr>
        <w:t xml:space="preserve">، والزيادة </w:t>
      </w:r>
      <w:r w:rsidR="001A379E">
        <w:rPr>
          <w:rFonts w:ascii="Simplified Arabic" w:eastAsia="Simplified Arabic" w:hAnsi="Simplified Arabic" w:cs="Simplified Arabic" w:hint="cs"/>
          <w:color w:val="000000"/>
          <w:sz w:val="24"/>
          <w:szCs w:val="24"/>
          <w:rtl/>
        </w:rPr>
        <w:t>التعزيزيه</w:t>
      </w:r>
      <w:r w:rsidRPr="0001101D">
        <w:rPr>
          <w:rFonts w:ascii="Simplified Arabic" w:eastAsia="Simplified Arabic" w:hAnsi="Simplified Arabic" w:cs="Simplified Arabic"/>
          <w:color w:val="000000"/>
          <w:sz w:val="24"/>
          <w:szCs w:val="24"/>
          <w:rtl/>
        </w:rPr>
        <w:t>، ثم قسّمت بنسبة 70/10/20 إلى مجموعات تدريب وتحقق واختبار. تم تدريب ثلاث معماريات</w:t>
      </w:r>
      <w:r w:rsidR="001A379E">
        <w:rPr>
          <w:rFonts w:ascii="Simplified Arabic" w:eastAsia="Simplified Arabic" w:hAnsi="Simplified Arabic" w:cs="Simplified Arabic" w:hint="cs"/>
          <w:color w:val="000000"/>
          <w:sz w:val="24"/>
          <w:szCs w:val="24"/>
          <w:rtl/>
        </w:rPr>
        <w:t xml:space="preserve"> مختلفه</w:t>
      </w:r>
      <w:r w:rsidRPr="0001101D">
        <w:rPr>
          <w:rFonts w:ascii="Simplified Arabic" w:eastAsia="Simplified Arabic" w:hAnsi="Simplified Arabic" w:cs="Simplified Arabic"/>
          <w:color w:val="000000"/>
          <w:sz w:val="24"/>
          <w:szCs w:val="24"/>
          <w:rtl/>
        </w:rPr>
        <w:t xml:space="preserve">: ResNet-50 المعزز بوحدة انتباه الكتلة </w:t>
      </w:r>
      <w:r w:rsidR="001A379E">
        <w:rPr>
          <w:rFonts w:ascii="Simplified Arabic" w:eastAsia="Simplified Arabic" w:hAnsi="Simplified Arabic" w:cs="Simplified Arabic" w:hint="cs"/>
          <w:color w:val="000000"/>
          <w:sz w:val="24"/>
          <w:szCs w:val="24"/>
          <w:rtl/>
        </w:rPr>
        <w:t>الالتفافيه</w:t>
      </w:r>
      <w:r w:rsidRPr="0001101D">
        <w:rPr>
          <w:rFonts w:ascii="Simplified Arabic" w:eastAsia="Simplified Arabic" w:hAnsi="Simplified Arabic" w:cs="Simplified Arabic"/>
          <w:color w:val="000000"/>
          <w:sz w:val="24"/>
          <w:szCs w:val="24"/>
          <w:rtl/>
        </w:rPr>
        <w:t xml:space="preserve"> (CBAM)، وEfficientNet-B4، وMobileNetV3، باستخدام دالة خسارة بؤرية موزونة حسب الفئة (</w:t>
      </w:r>
      <w:r w:rsidRPr="0001101D">
        <w:rPr>
          <w:rFonts w:ascii="Cambria" w:eastAsia="Simplified Arabic" w:hAnsi="Cambria" w:cs="Cambria" w:hint="cs"/>
          <w:color w:val="000000"/>
          <w:sz w:val="24"/>
          <w:szCs w:val="24"/>
          <w:rtl/>
        </w:rPr>
        <w:t>γ</w:t>
      </w:r>
      <w:r w:rsidRPr="0001101D">
        <w:rPr>
          <w:rFonts w:ascii="Simplified Arabic" w:eastAsia="Simplified Arabic" w:hAnsi="Simplified Arabic" w:cs="Simplified Arabic"/>
          <w:color w:val="000000"/>
          <w:sz w:val="24"/>
          <w:szCs w:val="24"/>
          <w:rtl/>
        </w:rPr>
        <w:t xml:space="preserve"> = 2.0) </w:t>
      </w:r>
      <w:r w:rsidRPr="0001101D">
        <w:rPr>
          <w:rFonts w:ascii="Simplified Arabic" w:eastAsia="Simplified Arabic" w:hAnsi="Simplified Arabic" w:cs="Simplified Arabic" w:hint="cs"/>
          <w:color w:val="000000"/>
          <w:sz w:val="24"/>
          <w:szCs w:val="24"/>
          <w:rtl/>
        </w:rPr>
        <w:t>لمعالجة</w:t>
      </w:r>
      <w:r w:rsidRPr="0001101D">
        <w:rPr>
          <w:rFonts w:ascii="Simplified Arabic" w:eastAsia="Simplified Arabic" w:hAnsi="Simplified Arabic" w:cs="Simplified Arabic"/>
          <w:color w:val="000000"/>
          <w:sz w:val="24"/>
          <w:szCs w:val="24"/>
          <w:rtl/>
        </w:rPr>
        <w:t xml:space="preserve"> </w:t>
      </w:r>
      <w:r w:rsidRPr="0001101D">
        <w:rPr>
          <w:rFonts w:ascii="Simplified Arabic" w:eastAsia="Simplified Arabic" w:hAnsi="Simplified Arabic" w:cs="Simplified Arabic" w:hint="cs"/>
          <w:color w:val="000000"/>
          <w:sz w:val="24"/>
          <w:szCs w:val="24"/>
          <w:rtl/>
        </w:rPr>
        <w:t>عدم</w:t>
      </w:r>
      <w:r w:rsidRPr="0001101D">
        <w:rPr>
          <w:rFonts w:ascii="Simplified Arabic" w:eastAsia="Simplified Arabic" w:hAnsi="Simplified Arabic" w:cs="Simplified Arabic"/>
          <w:color w:val="000000"/>
          <w:sz w:val="24"/>
          <w:szCs w:val="24"/>
          <w:rtl/>
        </w:rPr>
        <w:t xml:space="preserve"> </w:t>
      </w:r>
      <w:r w:rsidRPr="0001101D">
        <w:rPr>
          <w:rFonts w:ascii="Simplified Arabic" w:eastAsia="Simplified Arabic" w:hAnsi="Simplified Arabic" w:cs="Simplified Arabic" w:hint="cs"/>
          <w:color w:val="000000"/>
          <w:sz w:val="24"/>
          <w:szCs w:val="24"/>
          <w:rtl/>
        </w:rPr>
        <w:t>توازن</w:t>
      </w:r>
      <w:r w:rsidRPr="0001101D">
        <w:rPr>
          <w:rFonts w:ascii="Simplified Arabic" w:eastAsia="Simplified Arabic" w:hAnsi="Simplified Arabic" w:cs="Simplified Arabic"/>
          <w:color w:val="000000"/>
          <w:sz w:val="24"/>
          <w:szCs w:val="24"/>
          <w:rtl/>
        </w:rPr>
        <w:t xml:space="preserve"> </w:t>
      </w:r>
      <w:r w:rsidRPr="0001101D">
        <w:rPr>
          <w:rFonts w:ascii="Simplified Arabic" w:eastAsia="Simplified Arabic" w:hAnsi="Simplified Arabic" w:cs="Simplified Arabic" w:hint="cs"/>
          <w:color w:val="000000"/>
          <w:sz w:val="24"/>
          <w:szCs w:val="24"/>
          <w:rtl/>
        </w:rPr>
        <w:t>الفئات</w:t>
      </w:r>
      <w:r w:rsidRPr="0001101D">
        <w:rPr>
          <w:rFonts w:ascii="Simplified Arabic" w:eastAsia="Simplified Arabic" w:hAnsi="Simplified Arabic" w:cs="Simplified Arabic"/>
          <w:color w:val="000000"/>
          <w:sz w:val="24"/>
          <w:szCs w:val="24"/>
          <w:rtl/>
        </w:rPr>
        <w:t>.</w:t>
      </w:r>
    </w:p>
    <w:p w:rsidR="00527DCD" w:rsidRPr="0001101D" w:rsidRDefault="003017CC" w:rsidP="001A379E">
      <w:pPr>
        <w:bidi/>
        <w:spacing w:after="160"/>
        <w:jc w:val="both"/>
        <w:rPr>
          <w:rFonts w:ascii="Simplified Arabic" w:hAnsi="Simplified Arabic" w:cs="Simplified Arabic"/>
        </w:rPr>
      </w:pPr>
      <w:r w:rsidRPr="0001101D">
        <w:rPr>
          <w:rFonts w:ascii="Simplified Arabic" w:eastAsia="Simplified Arabic" w:hAnsi="Simplified Arabic" w:cs="Simplified Arabic"/>
          <w:b/>
          <w:bCs/>
          <w:color w:val="000000"/>
          <w:sz w:val="24"/>
          <w:szCs w:val="24"/>
          <w:rtl/>
        </w:rPr>
        <w:t xml:space="preserve">النتائج: </w:t>
      </w:r>
      <w:r w:rsidRPr="0001101D">
        <w:rPr>
          <w:rFonts w:ascii="Simplified Arabic" w:eastAsia="Simplified Arabic" w:hAnsi="Simplified Arabic" w:cs="Simplified Arabic"/>
          <w:color w:val="000000"/>
          <w:sz w:val="24"/>
          <w:szCs w:val="24"/>
          <w:rtl/>
        </w:rPr>
        <w:t>حقق نموذج ResNet-50 + CBAM المقترح أفضل دقة اختبار إجمالية بلغت 99.88%، ودرجة F1 كلية بلغت 0.9988، ومساحة AUC-ROC كلية بلغت 1.0000، متفو</w:t>
      </w:r>
      <w:r w:rsidR="001A379E">
        <w:rPr>
          <w:rFonts w:ascii="Simplified Arabic" w:eastAsia="Simplified Arabic" w:hAnsi="Simplified Arabic" w:cs="Simplified Arabic"/>
          <w:color w:val="000000"/>
          <w:sz w:val="24"/>
          <w:szCs w:val="24"/>
          <w:rtl/>
        </w:rPr>
        <w:t xml:space="preserve">قًا على </w:t>
      </w:r>
      <w:r w:rsidR="001A379E">
        <w:rPr>
          <w:rFonts w:ascii="Simplified Arabic" w:eastAsia="Simplified Arabic" w:hAnsi="Simplified Arabic" w:cs="Simplified Arabic" w:hint="cs"/>
          <w:color w:val="000000"/>
          <w:sz w:val="24"/>
          <w:szCs w:val="24"/>
          <w:rtl/>
        </w:rPr>
        <w:t>(</w:t>
      </w:r>
      <w:r w:rsidR="001A379E">
        <w:rPr>
          <w:rFonts w:ascii="Simplified Arabic" w:eastAsia="Simplified Arabic" w:hAnsi="Simplified Arabic" w:cs="Simplified Arabic"/>
          <w:color w:val="000000"/>
          <w:sz w:val="24"/>
          <w:szCs w:val="24"/>
          <w:rtl/>
        </w:rPr>
        <w:t>EfficientNet-B4 98.39%</w:t>
      </w:r>
      <w:r w:rsidR="001A379E">
        <w:rPr>
          <w:rFonts w:ascii="Simplified Arabic" w:eastAsia="Simplified Arabic" w:hAnsi="Simplified Arabic" w:cs="Simplified Arabic" w:hint="cs"/>
          <w:color w:val="000000"/>
          <w:sz w:val="24"/>
          <w:szCs w:val="24"/>
          <w:rtl/>
        </w:rPr>
        <w:t>)</w:t>
      </w:r>
      <w:r w:rsidRPr="0001101D">
        <w:rPr>
          <w:rFonts w:ascii="Simplified Arabic" w:eastAsia="Simplified Arabic" w:hAnsi="Simplified Arabic" w:cs="Simplified Arabic"/>
          <w:color w:val="000000"/>
          <w:sz w:val="24"/>
          <w:szCs w:val="24"/>
          <w:rtl/>
        </w:rPr>
        <w:t xml:space="preserve"> و</w:t>
      </w:r>
      <w:r w:rsidR="001A379E">
        <w:rPr>
          <w:rFonts w:ascii="Simplified Arabic" w:eastAsia="Simplified Arabic" w:hAnsi="Simplified Arabic" w:cs="Simplified Arabic" w:hint="cs"/>
          <w:color w:val="000000"/>
          <w:sz w:val="24"/>
          <w:szCs w:val="24"/>
          <w:rtl/>
        </w:rPr>
        <w:t xml:space="preserve">  (</w:t>
      </w:r>
      <w:r w:rsidR="001A379E" w:rsidRPr="0001101D">
        <w:rPr>
          <w:rFonts w:ascii="Simplified Arabic" w:eastAsia="Simplified Arabic" w:hAnsi="Simplified Arabic" w:cs="Simplified Arabic"/>
          <w:color w:val="000000"/>
          <w:sz w:val="24"/>
          <w:szCs w:val="24"/>
          <w:rtl/>
        </w:rPr>
        <w:t>MobileNetV3 98.84%</w:t>
      </w:r>
      <w:r w:rsidRPr="0001101D">
        <w:rPr>
          <w:rFonts w:ascii="Simplified Arabic" w:eastAsia="Simplified Arabic" w:hAnsi="Simplified Arabic" w:cs="Simplified Arabic"/>
          <w:color w:val="000000"/>
          <w:sz w:val="24"/>
          <w:szCs w:val="24"/>
          <w:rtl/>
        </w:rPr>
        <w:t>). وأكدت تصورات Grad-CAM أن النموذج ركز باستمرار على المناطق الكلوية ذات الصلة السريرية.</w:t>
      </w:r>
    </w:p>
    <w:p w:rsidR="00527DCD" w:rsidRPr="0001101D" w:rsidRDefault="003017CC" w:rsidP="0010558E">
      <w:pPr>
        <w:bidi/>
        <w:spacing w:after="160"/>
        <w:jc w:val="both"/>
        <w:rPr>
          <w:rFonts w:ascii="Simplified Arabic" w:hAnsi="Simplified Arabic" w:cs="Simplified Arabic"/>
        </w:rPr>
      </w:pPr>
      <w:r w:rsidRPr="0001101D">
        <w:rPr>
          <w:rFonts w:ascii="Simplified Arabic" w:eastAsia="Simplified Arabic" w:hAnsi="Simplified Arabic" w:cs="Simplified Arabic"/>
          <w:b/>
          <w:bCs/>
          <w:color w:val="000000"/>
          <w:sz w:val="24"/>
          <w:szCs w:val="24"/>
          <w:rtl/>
        </w:rPr>
        <w:t xml:space="preserve">التوصيات: </w:t>
      </w:r>
      <w:r w:rsidRPr="0001101D">
        <w:rPr>
          <w:rFonts w:ascii="Simplified Arabic" w:eastAsia="Simplified Arabic" w:hAnsi="Simplified Arabic" w:cs="Simplified Arabic"/>
          <w:color w:val="000000"/>
          <w:sz w:val="24"/>
          <w:szCs w:val="24"/>
          <w:rtl/>
        </w:rPr>
        <w:t xml:space="preserve">يوصى بالتحقق مستقبلاً من صحة النموذج على بيانات سريرية متعددة المراكز، وتوسيع </w:t>
      </w:r>
      <w:r w:rsidR="001A379E">
        <w:rPr>
          <w:rFonts w:ascii="Simplified Arabic" w:eastAsia="Simplified Arabic" w:hAnsi="Simplified Arabic" w:cs="Simplified Arabic" w:hint="cs"/>
          <w:color w:val="000000"/>
          <w:sz w:val="24"/>
          <w:szCs w:val="24"/>
          <w:rtl/>
        </w:rPr>
        <w:t>ال</w:t>
      </w:r>
      <w:r w:rsidR="001A379E">
        <w:rPr>
          <w:rFonts w:ascii="Simplified Arabic" w:eastAsia="Simplified Arabic" w:hAnsi="Simplified Arabic" w:cs="Simplified Arabic"/>
          <w:color w:val="000000"/>
          <w:sz w:val="24"/>
          <w:szCs w:val="24"/>
          <w:rtl/>
        </w:rPr>
        <w:t>نطاق</w:t>
      </w:r>
      <w:r w:rsidR="001A379E">
        <w:rPr>
          <w:rFonts w:ascii="Simplified Arabic" w:eastAsia="Simplified Arabic" w:hAnsi="Simplified Arabic" w:cs="Simplified Arabic" w:hint="cs"/>
          <w:color w:val="000000"/>
          <w:sz w:val="24"/>
          <w:szCs w:val="24"/>
          <w:rtl/>
        </w:rPr>
        <w:t xml:space="preserve"> العملي</w:t>
      </w:r>
      <w:r w:rsidRPr="0001101D">
        <w:rPr>
          <w:rFonts w:ascii="Simplified Arabic" w:eastAsia="Simplified Arabic" w:hAnsi="Simplified Arabic" w:cs="Simplified Arabic"/>
          <w:color w:val="000000"/>
          <w:sz w:val="24"/>
          <w:szCs w:val="24"/>
          <w:rtl/>
        </w:rPr>
        <w:t xml:space="preserve"> ليشمل بروتوكولات الأشعة المقطع</w:t>
      </w:r>
      <w:r w:rsidR="001A379E">
        <w:rPr>
          <w:rFonts w:ascii="Simplified Arabic" w:eastAsia="Simplified Arabic" w:hAnsi="Simplified Arabic" w:cs="Simplified Arabic" w:hint="cs"/>
          <w:color w:val="000000"/>
          <w:sz w:val="24"/>
          <w:szCs w:val="24"/>
          <w:rtl/>
        </w:rPr>
        <w:t>ي</w:t>
      </w:r>
      <w:r w:rsidRPr="0001101D">
        <w:rPr>
          <w:rFonts w:ascii="Simplified Arabic" w:eastAsia="Simplified Arabic" w:hAnsi="Simplified Arabic" w:cs="Simplified Arabic"/>
          <w:color w:val="000000"/>
          <w:sz w:val="24"/>
          <w:szCs w:val="24"/>
          <w:rtl/>
        </w:rPr>
        <w:t xml:space="preserve">ة متعددة الأطوار، ودمجه مع نماذج </w:t>
      </w:r>
      <w:r w:rsidR="0010558E">
        <w:rPr>
          <w:rFonts w:ascii="Simplified Arabic" w:eastAsia="Simplified Arabic" w:hAnsi="Simplified Arabic" w:cs="Simplified Arabic" w:hint="cs"/>
          <w:color w:val="000000"/>
          <w:sz w:val="24"/>
          <w:szCs w:val="24"/>
          <w:rtl/>
        </w:rPr>
        <w:t xml:space="preserve">الخاصه </w:t>
      </w:r>
      <w:r w:rsidRPr="0001101D">
        <w:rPr>
          <w:rFonts w:ascii="Simplified Arabic" w:eastAsia="Simplified Arabic" w:hAnsi="Simplified Arabic" w:cs="Simplified Arabic"/>
          <w:color w:val="000000"/>
          <w:sz w:val="24"/>
          <w:szCs w:val="24"/>
          <w:rtl/>
        </w:rPr>
        <w:t>التجزئة، وتطبيقه ضمن أنظمة دعم القرار السريري لتعزيز قابلية تطبيقه في الواقع.</w:t>
      </w:r>
    </w:p>
    <w:p w:rsidR="00527DCD" w:rsidRDefault="003017CC" w:rsidP="0010558E">
      <w:pPr>
        <w:bidi/>
        <w:spacing w:after="160"/>
        <w:jc w:val="both"/>
        <w:rPr>
          <w:rFonts w:ascii="Simplified Arabic" w:eastAsia="Simplified Arabic" w:hAnsi="Simplified Arabic" w:cs="Simplified Arabic"/>
          <w:color w:val="000000"/>
          <w:sz w:val="24"/>
          <w:szCs w:val="24"/>
        </w:rPr>
      </w:pPr>
      <w:r w:rsidRPr="0001101D">
        <w:rPr>
          <w:rFonts w:ascii="Simplified Arabic" w:eastAsia="Simplified Arabic" w:hAnsi="Simplified Arabic" w:cs="Simplified Arabic"/>
          <w:b/>
          <w:bCs/>
          <w:color w:val="000000"/>
          <w:sz w:val="24"/>
          <w:szCs w:val="24"/>
          <w:rtl/>
        </w:rPr>
        <w:t xml:space="preserve">الكلمات المفتاحية: </w:t>
      </w:r>
      <w:r w:rsidRPr="0001101D">
        <w:rPr>
          <w:rFonts w:ascii="Simplified Arabic" w:eastAsia="Simplified Arabic" w:hAnsi="Simplified Arabic" w:cs="Simplified Arabic"/>
          <w:color w:val="000000"/>
          <w:sz w:val="24"/>
          <w:szCs w:val="24"/>
          <w:rtl/>
        </w:rPr>
        <w:t xml:space="preserve">التعلم العميق، تصنيف أورام الكلى، الشبكات العصبية </w:t>
      </w:r>
      <w:r w:rsidR="0010558E">
        <w:rPr>
          <w:rFonts w:ascii="Simplified Arabic" w:eastAsia="Simplified Arabic" w:hAnsi="Simplified Arabic" w:cs="Simplified Arabic" w:hint="cs"/>
          <w:color w:val="000000"/>
          <w:sz w:val="24"/>
          <w:szCs w:val="24"/>
          <w:rtl/>
        </w:rPr>
        <w:t>الالتفافية</w:t>
      </w:r>
      <w:r w:rsidRPr="0001101D">
        <w:rPr>
          <w:rFonts w:ascii="Simplified Arabic" w:eastAsia="Simplified Arabic" w:hAnsi="Simplified Arabic" w:cs="Simplified Arabic"/>
          <w:color w:val="000000"/>
          <w:sz w:val="24"/>
          <w:szCs w:val="24"/>
          <w:rtl/>
        </w:rPr>
        <w:t>، آلية انتباه CBAM، الأشعة المقطع</w:t>
      </w:r>
      <w:r w:rsidR="0010558E">
        <w:rPr>
          <w:rFonts w:ascii="Simplified Arabic" w:eastAsia="Simplified Arabic" w:hAnsi="Simplified Arabic" w:cs="Simplified Arabic" w:hint="cs"/>
          <w:color w:val="000000"/>
          <w:sz w:val="24"/>
          <w:szCs w:val="24"/>
          <w:rtl/>
        </w:rPr>
        <w:t>ي</w:t>
      </w:r>
      <w:r w:rsidRPr="0001101D">
        <w:rPr>
          <w:rFonts w:ascii="Simplified Arabic" w:eastAsia="Simplified Arabic" w:hAnsi="Simplified Arabic" w:cs="Simplified Arabic"/>
          <w:color w:val="000000"/>
          <w:sz w:val="24"/>
          <w:szCs w:val="24"/>
          <w:rtl/>
        </w:rPr>
        <w:t>ة المحوسبة.</w:t>
      </w:r>
    </w:p>
    <w:p w:rsidR="0001101D" w:rsidRDefault="0001101D" w:rsidP="0001101D">
      <w:pPr>
        <w:bidi/>
        <w:spacing w:after="160"/>
        <w:jc w:val="both"/>
        <w:rPr>
          <w:rFonts w:ascii="Simplified Arabic" w:eastAsia="Simplified Arabic" w:hAnsi="Simplified Arabic" w:cs="Simplified Arabic"/>
          <w:color w:val="000000"/>
          <w:sz w:val="24"/>
          <w:szCs w:val="24"/>
        </w:rPr>
      </w:pPr>
    </w:p>
    <w:p w:rsidR="0001101D" w:rsidRDefault="0001101D" w:rsidP="0001101D">
      <w:pPr>
        <w:bidi/>
        <w:spacing w:after="160"/>
        <w:jc w:val="both"/>
        <w:rPr>
          <w:rFonts w:ascii="Simplified Arabic" w:eastAsia="Simplified Arabic" w:hAnsi="Simplified Arabic" w:cs="Simplified Arabic"/>
          <w:color w:val="000000"/>
          <w:sz w:val="24"/>
          <w:szCs w:val="24"/>
          <w:rtl/>
        </w:rPr>
      </w:pPr>
    </w:p>
    <w:p w:rsidR="0010558E" w:rsidRDefault="0010558E" w:rsidP="0010558E">
      <w:pPr>
        <w:bidi/>
        <w:spacing w:after="160"/>
        <w:jc w:val="both"/>
        <w:rPr>
          <w:rFonts w:ascii="Simplified Arabic" w:eastAsia="Simplified Arabic" w:hAnsi="Simplified Arabic" w:cs="Simplified Arabic"/>
          <w:color w:val="000000"/>
          <w:sz w:val="24"/>
          <w:szCs w:val="24"/>
        </w:rPr>
      </w:pPr>
    </w:p>
    <w:p w:rsidR="0010558E" w:rsidRPr="0010558E" w:rsidRDefault="0010558E" w:rsidP="0010558E">
      <w:pPr>
        <w:bidi/>
        <w:spacing w:after="160"/>
        <w:jc w:val="both"/>
        <w:rPr>
          <w:rFonts w:ascii="Simplified Arabic" w:eastAsia="Simplified Arabic" w:hAnsi="Simplified Arabic" w:cs="Simplified Arabic"/>
          <w:color w:val="000000"/>
          <w:sz w:val="24"/>
          <w:szCs w:val="24"/>
        </w:rPr>
      </w:pPr>
    </w:p>
    <w:p w:rsidR="0001101D" w:rsidRDefault="0001101D" w:rsidP="0001101D">
      <w:pPr>
        <w:bidi/>
        <w:spacing w:after="160"/>
        <w:jc w:val="both"/>
        <w:rPr>
          <w:rFonts w:ascii="Simplified Arabic" w:hAnsi="Simplified Arabic" w:cs="Simplified Arabic"/>
        </w:rPr>
      </w:pPr>
    </w:p>
    <w:p w:rsidR="00F478C3" w:rsidRPr="0001101D" w:rsidRDefault="00F478C3" w:rsidP="00F478C3">
      <w:pPr>
        <w:bidi/>
        <w:spacing w:after="160"/>
        <w:jc w:val="both"/>
        <w:rPr>
          <w:rFonts w:ascii="Simplified Arabic" w:hAnsi="Simplified Arabic" w:cs="Simplified Arabic"/>
        </w:rPr>
      </w:pPr>
    </w:p>
    <w:p w:rsidR="00527DCD" w:rsidRPr="0001101D" w:rsidRDefault="003017CC" w:rsidP="00F478C3">
      <w:pPr>
        <w:pStyle w:val="Heading1"/>
        <w:rPr>
          <w:rFonts w:ascii="Simplified Arabic" w:hAnsi="Simplified Arabic" w:cs="Simplified Arabic"/>
        </w:rPr>
      </w:pPr>
      <w:r w:rsidRPr="0001101D">
        <w:rPr>
          <w:rFonts w:ascii="Simplified Arabic" w:hAnsi="Simplified Arabic" w:cs="Simplified Arabic"/>
          <w:b/>
          <w:bCs/>
          <w:color w:val="000000"/>
          <w:sz w:val="28"/>
          <w:szCs w:val="28"/>
        </w:rPr>
        <w:lastRenderedPageBreak/>
        <w:t xml:space="preserve">1. </w:t>
      </w:r>
      <w:r w:rsidRPr="00F478C3">
        <w:rPr>
          <w:rFonts w:ascii="Simplified Arabic" w:hAnsi="Simplified Arabic" w:cs="Simplified Arabic"/>
          <w:b/>
          <w:bCs/>
          <w:color w:val="auto"/>
          <w:sz w:val="28"/>
          <w:szCs w:val="28"/>
        </w:rPr>
        <w:t>Introduction</w:t>
      </w:r>
      <w:r w:rsidRPr="0001101D">
        <w:rPr>
          <w:rFonts w:ascii="Simplified Arabic" w:hAnsi="Simplified Arabic" w:cs="Simplified Arabic"/>
          <w:b/>
          <w:bCs/>
          <w:color w:val="000000"/>
          <w:sz w:val="28"/>
          <w:szCs w:val="28"/>
        </w:rPr>
        <w:t>:</w:t>
      </w:r>
    </w:p>
    <w:p w:rsidR="004F0715" w:rsidRPr="004F0715" w:rsidRDefault="004F0715" w:rsidP="005C5F34">
      <w:pPr>
        <w:spacing w:before="240" w:after="160"/>
        <w:rPr>
          <w:rFonts w:ascii="Simplified Arabic" w:hAnsi="Simplified Arabic" w:cs="Simplified Arabic"/>
          <w:color w:val="000000"/>
          <w:sz w:val="24"/>
          <w:szCs w:val="24"/>
        </w:rPr>
      </w:pPr>
      <w:r w:rsidRPr="004F0715">
        <w:rPr>
          <w:rFonts w:ascii="Simplified Arabic" w:hAnsi="Simplified Arabic" w:cs="Simplified Arabic"/>
          <w:color w:val="000000"/>
          <w:sz w:val="24"/>
          <w:szCs w:val="24"/>
        </w:rPr>
        <w:t>A significant health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[1]. It has subtypes like the transitional cell carcinoma, Wilms tumor in children and benign ones which include the oncocytomas and the angiomyolipoma [2]. 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 Mortality rate is also high with about 155, 953 people dying of kidney cancer which is quite deadly unless it is prevented and treated at tender age [4].</w:t>
      </w:r>
    </w:p>
    <w:p w:rsidR="004F0715" w:rsidRPr="004F0715" w:rsidRDefault="004F0715" w:rsidP="005C5F34">
      <w:pPr>
        <w:spacing w:before="240" w:after="160"/>
        <w:rPr>
          <w:rFonts w:ascii="Simplified Arabic" w:hAnsi="Simplified Arabic" w:cs="Simplified Arabic"/>
          <w:color w:val="000000"/>
          <w:sz w:val="24"/>
          <w:szCs w:val="24"/>
        </w:rPr>
      </w:pPr>
      <w:r w:rsidRPr="004F0715">
        <w:rPr>
          <w:rFonts w:ascii="Simplified Arabic" w:hAnsi="Simplified Arabic" w:cs="Simplified Arabic"/>
          <w:color w:val="000000"/>
          <w:sz w:val="24"/>
          <w:szCs w:val="24"/>
        </w:rPr>
        <w:t>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[1]. On other hand, the mortality rate is differ between low and middle income countries, the inequality due to late diagnosis and inefficient health facilities. Indicative it is estimated that by the year 2050, the cases and deaths will increase by 72 and 96 percent respectively; that is why creation of improved diagnostics methods is extremely needed [5]. The survival rate directly depends on the stage of diagnosis; the survival rates average 78.6% in the United States with an average of above 90 of localized tumors and a significantly lower rate of less than 15 with metastatic disease [6]. That’s why early diagnosis definitely is improving the outcomes.</w:t>
      </w:r>
    </w:p>
    <w:p w:rsidR="004F0715" w:rsidRPr="004F0715" w:rsidRDefault="004F0715" w:rsidP="005C5F34">
      <w:pPr>
        <w:spacing w:before="240" w:after="160"/>
        <w:rPr>
          <w:rFonts w:ascii="Simplified Arabic" w:hAnsi="Simplified Arabic" w:cs="Simplified Arabic"/>
          <w:color w:val="000000"/>
          <w:sz w:val="24"/>
          <w:szCs w:val="24"/>
        </w:rPr>
      </w:pPr>
      <w:r w:rsidRPr="004F0715">
        <w:rPr>
          <w:rFonts w:ascii="Simplified Arabic" w:hAnsi="Simplified Arabic" w:cs="Simplified Arabic"/>
          <w:color w:val="000000"/>
          <w:sz w:val="24"/>
          <w:szCs w:val="24"/>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[7]. Multi-detector CT protocols include non-contrast, arterial, venous and by doing this the case can be correctly staged by assessing vascular involvement, lymph node metastasis, and distant spread and the accuracies of detection have been reported as in excess of 99 % [8]. Manual determination of CT scans is however </w:t>
      </w:r>
      <w:r w:rsidRPr="004F0715">
        <w:rPr>
          <w:rFonts w:ascii="Simplified Arabic" w:hAnsi="Simplified Arabic" w:cs="Simplified Arabic"/>
          <w:color w:val="000000"/>
          <w:sz w:val="24"/>
          <w:szCs w:val="24"/>
        </w:rPr>
        <w:lastRenderedPageBreak/>
        <w:t>time consuming and subject to variation particularly in the determination of minute differences between tumors subtypes.</w:t>
      </w:r>
    </w:p>
    <w:p w:rsidR="004F0715" w:rsidRPr="004F0715" w:rsidRDefault="004F0715" w:rsidP="005C5F34">
      <w:pPr>
        <w:spacing w:before="240" w:after="160"/>
        <w:rPr>
          <w:rFonts w:ascii="Simplified Arabic" w:hAnsi="Simplified Arabic" w:cs="Simplified Arabic"/>
          <w:color w:val="000000"/>
          <w:sz w:val="24"/>
          <w:szCs w:val="24"/>
        </w:rPr>
      </w:pPr>
      <w:r w:rsidRPr="004F0715">
        <w:rPr>
          <w:rFonts w:ascii="Simplified Arabic" w:hAnsi="Simplified Arabic" w:cs="Simplified Arabic"/>
          <w:color w:val="000000"/>
          <w:sz w:val="24"/>
          <w:szCs w:val="24"/>
        </w:rPr>
        <w:t>The appearance of artificial intelligence (AI) and deep learning (DL) models there was a revolution in medical imaging profession through automatization tumor classification and detection. Convolutional neural networks (CNN) in the frameworks have been found to be more efficient in the analysis of CT scans of various types of cancers and kidney tumor is not an exception [9]. These models learn hierarchical features in large scale data sets, such that they can perform multiclass classification not only between benign and malignant tumors, but also between particular subtypes, which is the secret to individual approach in the treatment planning [10].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rsidR="004F0715" w:rsidRDefault="004F0715" w:rsidP="007D5E6C">
      <w:pPr>
        <w:spacing w:before="240" w:after="160"/>
        <w:rPr>
          <w:rFonts w:ascii="Simplified Arabic" w:hAnsi="Simplified Arabic" w:cs="Simplified Arabic"/>
          <w:color w:val="000000"/>
          <w:sz w:val="24"/>
          <w:szCs w:val="24"/>
        </w:rPr>
      </w:pPr>
      <w:r w:rsidRPr="004F0715">
        <w:rPr>
          <w:rFonts w:ascii="Simplified Arabic" w:hAnsi="Simplified Arabic" w:cs="Simplified Arabic"/>
          <w:color w:val="000000"/>
          <w:sz w:val="24"/>
          <w:szCs w:val="24"/>
        </w:rPr>
        <w:t>The thesis is directed to building a monitored DL system that would identify and classify kidney tumors and cancer with assistance of CT scans. Its mission is to enhance the quality of diagnosis such as through decreasing inter-observer variability, time</w:t>
      </w:r>
      <w:r w:rsidR="007D5E6C">
        <w:rPr>
          <w:rFonts w:ascii="Simplified Arabic" w:hAnsi="Simplified Arabic" w:cs="Simplified Arabic"/>
          <w:color w:val="000000"/>
          <w:sz w:val="24"/>
          <w:szCs w:val="24"/>
        </w:rPr>
        <w:t xml:space="preserve"> </w:t>
      </w:r>
      <w:r w:rsidRPr="004F0715">
        <w:rPr>
          <w:rFonts w:ascii="Simplified Arabic" w:hAnsi="Simplified Arabic" w:cs="Simplified Arabic"/>
          <w:color w:val="000000"/>
          <w:sz w:val="24"/>
          <w:szCs w:val="24"/>
        </w:rPr>
        <w:t>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p>
    <w:p w:rsidR="00527DCD" w:rsidRPr="00F478C3" w:rsidRDefault="003017CC"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2. Research Problem:</w:t>
      </w:r>
    </w:p>
    <w:p w:rsidR="005C5F34" w:rsidRPr="005C5F34" w:rsidRDefault="005C5F34" w:rsidP="005C5F34">
      <w:pPr>
        <w:spacing w:before="240" w:after="160"/>
        <w:rPr>
          <w:rFonts w:ascii="Simplified Arabic" w:hAnsi="Simplified Arabic" w:cs="Simplified Arabic"/>
          <w:color w:val="000000"/>
          <w:sz w:val="24"/>
          <w:szCs w:val="24"/>
        </w:rPr>
      </w:pPr>
      <w:r w:rsidRPr="005C5F34">
        <w:rPr>
          <w:rFonts w:ascii="Simplified Arabic" w:hAnsi="Simplified Arabic" w:cs="Simplified Arabic"/>
          <w:color w:val="000000"/>
          <w:sz w:val="24"/>
          <w:szCs w:val="24"/>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 Moreover, small renal masses (SRMs) are usually ambiguous to differentiate cystic, solid benign, and malignant maladies.</w:t>
      </w:r>
    </w:p>
    <w:p w:rsidR="005C5F34" w:rsidRPr="005C5F34" w:rsidRDefault="005C5F34" w:rsidP="00DD2741">
      <w:pPr>
        <w:spacing w:before="240" w:after="160"/>
        <w:rPr>
          <w:rFonts w:ascii="Simplified Arabic" w:hAnsi="Simplified Arabic" w:cs="Simplified Arabic"/>
          <w:color w:val="000000"/>
          <w:sz w:val="24"/>
          <w:szCs w:val="24"/>
        </w:rPr>
      </w:pPr>
      <w:r w:rsidRPr="005C5F34">
        <w:rPr>
          <w:rFonts w:ascii="Simplified Arabic" w:hAnsi="Simplified Arabic" w:cs="Simplified Arabic"/>
          <w:color w:val="000000"/>
          <w:sz w:val="24"/>
          <w:szCs w:val="24"/>
        </w:rPr>
        <w:t>Incidental findings during routine imaging have risen all over the world leading to an increase in the workload of the radiologist</w:t>
      </w:r>
      <w:r w:rsidR="009F03B8">
        <w:rPr>
          <w:rFonts w:ascii="Simplified Arabic" w:hAnsi="Simplified Arabic" w:cs="Simplified Arabic"/>
          <w:color w:val="000000"/>
          <w:sz w:val="24"/>
          <w:szCs w:val="24"/>
        </w:rPr>
        <w:t xml:space="preserve">, which has added to the fatigue </w:t>
      </w:r>
      <w:r w:rsidRPr="005C5F34">
        <w:rPr>
          <w:rFonts w:ascii="Simplified Arabic" w:hAnsi="Simplified Arabic" w:cs="Simplified Arabic"/>
          <w:color w:val="000000"/>
          <w:sz w:val="24"/>
          <w:szCs w:val="24"/>
        </w:rPr>
        <w:t xml:space="preserve">based mistakes among radiologists. The inter-observer variability experienced especially in multi-phase CT </w:t>
      </w:r>
      <w:r w:rsidRPr="005C5F34">
        <w:rPr>
          <w:rFonts w:ascii="Simplified Arabic" w:hAnsi="Simplified Arabic" w:cs="Simplified Arabic"/>
          <w:color w:val="000000"/>
          <w:sz w:val="24"/>
          <w:szCs w:val="24"/>
        </w:rPr>
        <w:lastRenderedPageBreak/>
        <w:t>interpretations whereby the enhancement patterns should be carefully evaluated to determine the presence of vascular invasion or metastasis. The scarce access to skilled radiologists in low-resource environments also cause a further delays of diagnoses, which leading to increase the death rates in that areas which has limitations in such of skilled professions.</w:t>
      </w:r>
    </w:p>
    <w:p w:rsidR="005C5F34" w:rsidRPr="005C5F34" w:rsidRDefault="00DD2741" w:rsidP="00DD2741">
      <w:pPr>
        <w:spacing w:before="240" w:after="160"/>
        <w:rPr>
          <w:rFonts w:ascii="Simplified Arabic" w:hAnsi="Simplified Arabic" w:cs="Simplified Arabic"/>
          <w:color w:val="000000"/>
          <w:sz w:val="24"/>
          <w:szCs w:val="24"/>
        </w:rPr>
      </w:pPr>
      <w:r>
        <w:rPr>
          <w:rFonts w:ascii="Simplified Arabic" w:hAnsi="Simplified Arabic" w:cs="Simplified Arabic"/>
          <w:color w:val="000000"/>
          <w:sz w:val="24"/>
          <w:szCs w:val="24"/>
        </w:rPr>
        <w:t xml:space="preserve">Multi </w:t>
      </w:r>
      <w:r w:rsidR="005C5F34" w:rsidRPr="005C5F34">
        <w:rPr>
          <w:rFonts w:ascii="Simplified Arabic" w:hAnsi="Simplified Arabic" w:cs="Simplified Arabic"/>
          <w:color w:val="000000"/>
          <w:sz w:val="24"/>
          <w:szCs w:val="24"/>
        </w:rPr>
        <w:t xml:space="preserve">class classification further complicates the picture since proper identification of subtype is essential to </w:t>
      </w:r>
      <w:r>
        <w:rPr>
          <w:rFonts w:ascii="Simplified Arabic" w:hAnsi="Simplified Arabic" w:cs="Simplified Arabic"/>
          <w:color w:val="000000"/>
          <w:sz w:val="24"/>
          <w:szCs w:val="24"/>
        </w:rPr>
        <w:t>diagnose</w:t>
      </w:r>
      <w:r w:rsidR="005C5F34" w:rsidRPr="005C5F34">
        <w:rPr>
          <w:rFonts w:ascii="Simplified Arabic" w:hAnsi="Simplified Arabic" w:cs="Simplified Arabic"/>
          <w:color w:val="000000"/>
          <w:sz w:val="24"/>
          <w:szCs w:val="24"/>
        </w:rPr>
        <w:t xml:space="preserve"> and treatment. The</w:t>
      </w:r>
      <w:r>
        <w:rPr>
          <w:rFonts w:ascii="Simplified Arabic" w:hAnsi="Simplified Arabic" w:cs="Simplified Arabic"/>
          <w:color w:val="000000"/>
          <w:sz w:val="24"/>
          <w:szCs w:val="24"/>
        </w:rPr>
        <w:t xml:space="preserve"> most aggressive subtype</w:t>
      </w:r>
      <w:r w:rsidR="005C5F34" w:rsidRPr="005C5F34">
        <w:rPr>
          <w:rFonts w:ascii="Simplified Arabic" w:hAnsi="Simplified Arabic" w:cs="Simplified Arabic"/>
          <w:color w:val="000000"/>
          <w:sz w:val="24"/>
          <w:szCs w:val="24"/>
        </w:rPr>
        <w:t xml:space="preserve"> needs immediate treatment, whereas the indolent subtypes might not need treatment and could just be monitored. This granularity is a challenge of manual techniques that may r</w:t>
      </w:r>
      <w:r>
        <w:rPr>
          <w:rFonts w:ascii="Simplified Arabic" w:hAnsi="Simplified Arabic" w:cs="Simplified Arabic"/>
          <w:color w:val="000000"/>
          <w:sz w:val="24"/>
          <w:szCs w:val="24"/>
        </w:rPr>
        <w:t>equire biopsy which has dangers</w:t>
      </w:r>
      <w:r w:rsidR="005C5F34" w:rsidRPr="005C5F34">
        <w:rPr>
          <w:rFonts w:ascii="Simplified Arabic" w:hAnsi="Simplified Arabic" w:cs="Simplified Arabic"/>
          <w:color w:val="000000"/>
          <w:sz w:val="24"/>
          <w:szCs w:val="24"/>
        </w:rPr>
        <w:t xml:space="preserve"> such as bleeding or seeding.</w:t>
      </w:r>
    </w:p>
    <w:p w:rsidR="005C5F34" w:rsidRDefault="005C5F34" w:rsidP="00A65892">
      <w:pPr>
        <w:spacing w:before="240" w:after="160"/>
        <w:rPr>
          <w:rFonts w:ascii="Simplified Arabic" w:hAnsi="Simplified Arabic" w:cs="Simplified Arabic"/>
          <w:color w:val="000000"/>
          <w:sz w:val="24"/>
          <w:szCs w:val="24"/>
        </w:rPr>
      </w:pPr>
      <w:r w:rsidRPr="005C5F34">
        <w:rPr>
          <w:rFonts w:ascii="Simplified Arabic" w:hAnsi="Simplified Arabic" w:cs="Simplified Arabic"/>
          <w:color w:val="000000"/>
          <w:sz w:val="24"/>
          <w:szCs w:val="24"/>
        </w:rPr>
        <w:t xml:space="preserve">Above </w:t>
      </w:r>
      <w:r w:rsidR="00DD2741" w:rsidRPr="005C5F34">
        <w:rPr>
          <w:rFonts w:ascii="Simplified Arabic" w:hAnsi="Simplified Arabic" w:cs="Simplified Arabic"/>
          <w:color w:val="000000"/>
          <w:sz w:val="24"/>
          <w:szCs w:val="24"/>
        </w:rPr>
        <w:t>issues,</w:t>
      </w:r>
      <w:r w:rsidRPr="005C5F34">
        <w:rPr>
          <w:rFonts w:ascii="Simplified Arabic" w:hAnsi="Simplified Arabic" w:cs="Simplified Arabic"/>
          <w:color w:val="000000"/>
          <w:sz w:val="24"/>
          <w:szCs w:val="24"/>
        </w:rPr>
        <w:t xml:space="preserve"> necessitate the use of automated systems. </w:t>
      </w:r>
      <w:r w:rsidR="00A65892" w:rsidRPr="005C5F34">
        <w:rPr>
          <w:rFonts w:ascii="Simplified Arabic" w:hAnsi="Simplified Arabic" w:cs="Simplified Arabic"/>
          <w:color w:val="000000"/>
          <w:sz w:val="24"/>
          <w:szCs w:val="24"/>
        </w:rPr>
        <w:t>Where</w:t>
      </w:r>
      <w:r w:rsidRPr="005C5F34">
        <w:rPr>
          <w:rFonts w:ascii="Simplified Arabic" w:hAnsi="Simplified Arabic" w:cs="Simplified Arabic"/>
          <w:color w:val="000000"/>
          <w:sz w:val="24"/>
          <w:szCs w:val="24"/>
        </w:rPr>
        <w:t xml:space="preserve"> Machine learning methods involve manual features extraction where restricting systems to a wider use of CT datasets. Deep learning provides better approach where </w:t>
      </w:r>
      <w:r w:rsidR="00A65892" w:rsidRPr="005C5F34">
        <w:rPr>
          <w:rFonts w:ascii="Simplified Arabic" w:hAnsi="Simplified Arabic" w:cs="Simplified Arabic"/>
          <w:color w:val="000000"/>
          <w:sz w:val="24"/>
          <w:szCs w:val="24"/>
        </w:rPr>
        <w:t>its</w:t>
      </w:r>
      <w:r w:rsidRPr="005C5F34">
        <w:rPr>
          <w:rFonts w:ascii="Simplified Arabic" w:hAnsi="Simplified Arabic" w:cs="Simplified Arabic"/>
          <w:color w:val="000000"/>
          <w:sz w:val="24"/>
          <w:szCs w:val="24"/>
        </w:rPr>
        <w:t xml:space="preserve"> able to automatically learn all features, but the current systems do not have the robustness over multi-center data or is not able to effectively combine multi-phase information. This thesis fills </w:t>
      </w:r>
      <w:r w:rsidR="00A65892" w:rsidRPr="005C5F34">
        <w:rPr>
          <w:rFonts w:ascii="Simplified Arabic" w:hAnsi="Simplified Arabic" w:cs="Simplified Arabic"/>
          <w:color w:val="000000"/>
          <w:sz w:val="24"/>
          <w:szCs w:val="24"/>
        </w:rPr>
        <w:t>the</w:t>
      </w:r>
      <w:r w:rsidRPr="005C5F34">
        <w:rPr>
          <w:rFonts w:ascii="Simplified Arabic" w:hAnsi="Simplified Arabic" w:cs="Simplified Arabic"/>
          <w:color w:val="000000"/>
          <w:sz w:val="24"/>
          <w:szCs w:val="24"/>
        </w:rPr>
        <w:t xml:space="preserve"> gaps with the suggestion deep learning structure that will improve the sensitivity of the detection and the accuracy, reduce the weaknesses of manual diagnosis and open the way to AI-integrated clinical practice.</w:t>
      </w:r>
    </w:p>
    <w:p w:rsidR="00527DCD" w:rsidRPr="00F478C3" w:rsidRDefault="003017CC"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3. Importance of the Study:</w:t>
      </w:r>
    </w:p>
    <w:p w:rsidR="00527DCD" w:rsidRPr="0001101D" w:rsidRDefault="003017CC" w:rsidP="00116BF1">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 xml:space="preserve">Scientifically, this study contributes an explainable deep learning framework that combines residual learning with an attention mechanism (CBAM) to achieve high-accuracy, multi-class classification of kidney conditions from CT imaging, while directly addressing </w:t>
      </w:r>
      <w:r w:rsidR="00116BF1">
        <w:rPr>
          <w:rFonts w:ascii="Simplified Arabic" w:hAnsi="Simplified Arabic" w:cs="Simplified Arabic"/>
          <w:color w:val="000000"/>
          <w:sz w:val="24"/>
          <w:szCs w:val="24"/>
        </w:rPr>
        <w:t xml:space="preserve">class imbalance through a class </w:t>
      </w:r>
      <w:r w:rsidRPr="0001101D">
        <w:rPr>
          <w:rFonts w:ascii="Simplified Arabic" w:hAnsi="Simplified Arabic" w:cs="Simplified Arabic"/>
          <w:color w:val="000000"/>
          <w:sz w:val="24"/>
          <w:szCs w:val="24"/>
        </w:rPr>
        <w:t>weighted focal loss. It also provides a systematic, benchmarked comparison of thr</w:t>
      </w:r>
      <w:r w:rsidR="00116BF1">
        <w:rPr>
          <w:rFonts w:ascii="Simplified Arabic" w:hAnsi="Simplified Arabic" w:cs="Simplified Arabic"/>
          <w:color w:val="000000"/>
          <w:sz w:val="24"/>
          <w:szCs w:val="24"/>
        </w:rPr>
        <w:t>ee convolutional architectures</w:t>
      </w:r>
      <w:r w:rsidRPr="0001101D">
        <w:rPr>
          <w:rFonts w:ascii="Simplified Arabic" w:hAnsi="Simplified Arabic" w:cs="Simplified Arabic"/>
          <w:color w:val="000000"/>
          <w:sz w:val="24"/>
          <w:szCs w:val="24"/>
        </w:rPr>
        <w:t xml:space="preserve"> ResNet-50, Ef</w:t>
      </w:r>
      <w:r w:rsidR="00116BF1">
        <w:rPr>
          <w:rFonts w:ascii="Simplified Arabic" w:hAnsi="Simplified Arabic" w:cs="Simplified Arabic"/>
          <w:color w:val="000000"/>
          <w:sz w:val="24"/>
          <w:szCs w:val="24"/>
        </w:rPr>
        <w:t xml:space="preserve">ficientNet-B4, and MobileNetV3 </w:t>
      </w:r>
      <w:r w:rsidRPr="0001101D">
        <w:rPr>
          <w:rFonts w:ascii="Simplified Arabic" w:hAnsi="Simplified Arabic" w:cs="Simplified Arabic"/>
          <w:color w:val="000000"/>
          <w:sz w:val="24"/>
          <w:szCs w:val="24"/>
        </w:rPr>
        <w:t>on the same dataset and evaluation protocol, offering the research community a clear reference point for architecture selection in renal CT classification tasks.</w:t>
      </w:r>
    </w:p>
    <w:p w:rsidR="00527DCD" w:rsidRPr="0001101D" w:rsidRDefault="003017CC" w:rsidP="00B750B4">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 xml:space="preserve">Practically, the proposed framework has the potential to reduce radiologist workload, shorten diagnostic turnaround time, and lower the rate of unnecessary interventions by supporting </w:t>
      </w:r>
      <w:r w:rsidR="00752123">
        <w:rPr>
          <w:rFonts w:ascii="Simplified Arabic" w:hAnsi="Simplified Arabic" w:cs="Simplified Arabic"/>
          <w:color w:val="000000"/>
          <w:sz w:val="24"/>
          <w:szCs w:val="24"/>
        </w:rPr>
        <w:t xml:space="preserve">better </w:t>
      </w:r>
      <w:r w:rsidRPr="0001101D">
        <w:rPr>
          <w:rFonts w:ascii="Simplified Arabic" w:hAnsi="Simplified Arabic" w:cs="Simplified Arabic"/>
          <w:color w:val="000000"/>
          <w:sz w:val="24"/>
          <w:szCs w:val="24"/>
        </w:rPr>
        <w:t>differentiation between benign and malignant findings.</w:t>
      </w:r>
      <w:r w:rsidR="00530687">
        <w:rPr>
          <w:rFonts w:ascii="Simplified Arabic" w:hAnsi="Simplified Arabic" w:cs="Simplified Arabic"/>
          <w:color w:val="000000"/>
          <w:sz w:val="24"/>
          <w:szCs w:val="24"/>
        </w:rPr>
        <w:t xml:space="preserve"> The</w:t>
      </w:r>
      <w:r w:rsidRPr="0001101D">
        <w:rPr>
          <w:rFonts w:ascii="Simplified Arabic" w:hAnsi="Simplified Arabic" w:cs="Simplified Arabic"/>
          <w:color w:val="000000"/>
          <w:sz w:val="24"/>
          <w:szCs w:val="24"/>
        </w:rPr>
        <w:t xml:space="preserve"> </w:t>
      </w:r>
      <w:r w:rsidR="00530687">
        <w:rPr>
          <w:rFonts w:ascii="Simplified Arabic" w:hAnsi="Simplified Arabic" w:cs="Simplified Arabic"/>
          <w:color w:val="000000"/>
          <w:sz w:val="24"/>
          <w:szCs w:val="24"/>
        </w:rPr>
        <w:t>u</w:t>
      </w:r>
      <w:r w:rsidRPr="0001101D">
        <w:rPr>
          <w:rFonts w:ascii="Simplified Arabic" w:hAnsi="Simplified Arabic" w:cs="Simplified Arabic"/>
          <w:color w:val="000000"/>
          <w:sz w:val="24"/>
          <w:szCs w:val="24"/>
        </w:rPr>
        <w:t>se of Grad-CAM-based explainability</w:t>
      </w:r>
      <w:r w:rsidR="00530687">
        <w:rPr>
          <w:rFonts w:ascii="Simplified Arabic" w:hAnsi="Simplified Arabic" w:cs="Simplified Arabic"/>
          <w:color w:val="000000"/>
          <w:sz w:val="24"/>
          <w:szCs w:val="24"/>
        </w:rPr>
        <w:t xml:space="preserve"> </w:t>
      </w:r>
      <w:r w:rsidRPr="0001101D">
        <w:rPr>
          <w:rFonts w:ascii="Simplified Arabic" w:hAnsi="Simplified Arabic" w:cs="Simplified Arabic"/>
          <w:color w:val="000000"/>
          <w:sz w:val="24"/>
          <w:szCs w:val="24"/>
        </w:rPr>
        <w:t xml:space="preserve">enhances clinical trust </w:t>
      </w:r>
      <w:r w:rsidR="00B750B4">
        <w:rPr>
          <w:rFonts w:ascii="Simplified Arabic" w:hAnsi="Simplified Arabic" w:cs="Simplified Arabic"/>
          <w:color w:val="000000"/>
          <w:sz w:val="24"/>
          <w:szCs w:val="24"/>
        </w:rPr>
        <w:t>as it allows</w:t>
      </w:r>
      <w:r w:rsidRPr="0001101D">
        <w:rPr>
          <w:rFonts w:ascii="Simplified Arabic" w:hAnsi="Simplified Arabic" w:cs="Simplified Arabic"/>
          <w:color w:val="000000"/>
          <w:sz w:val="24"/>
          <w:szCs w:val="24"/>
        </w:rPr>
        <w:t xml:space="preserve"> radiologists</w:t>
      </w:r>
      <w:r w:rsidR="00B750B4">
        <w:rPr>
          <w:rFonts w:ascii="Simplified Arabic" w:hAnsi="Simplified Arabic" w:cs="Simplified Arabic"/>
          <w:color w:val="000000"/>
          <w:sz w:val="24"/>
          <w:szCs w:val="24"/>
        </w:rPr>
        <w:t xml:space="preserve"> to</w:t>
      </w:r>
      <w:r w:rsidRPr="0001101D">
        <w:rPr>
          <w:rFonts w:ascii="Simplified Arabic" w:hAnsi="Simplified Arabic" w:cs="Simplified Arabic"/>
          <w:color w:val="000000"/>
          <w:sz w:val="24"/>
          <w:szCs w:val="24"/>
        </w:rPr>
        <w:t xml:space="preserve"> </w:t>
      </w:r>
      <w:r w:rsidR="00530687" w:rsidRPr="0001101D">
        <w:rPr>
          <w:rFonts w:ascii="Simplified Arabic" w:hAnsi="Simplified Arabic" w:cs="Simplified Arabic"/>
          <w:color w:val="000000"/>
          <w:sz w:val="24"/>
          <w:szCs w:val="24"/>
        </w:rPr>
        <w:t>visually</w:t>
      </w:r>
      <w:r w:rsidRPr="0001101D">
        <w:rPr>
          <w:rFonts w:ascii="Simplified Arabic" w:hAnsi="Simplified Arabic" w:cs="Simplified Arabic"/>
          <w:color w:val="000000"/>
          <w:sz w:val="24"/>
          <w:szCs w:val="24"/>
        </w:rPr>
        <w:t xml:space="preserve"> </w:t>
      </w:r>
      <w:r w:rsidR="00530687" w:rsidRPr="0001101D">
        <w:rPr>
          <w:rFonts w:ascii="Simplified Arabic" w:hAnsi="Simplified Arabic" w:cs="Simplified Arabic"/>
          <w:color w:val="000000"/>
          <w:sz w:val="24"/>
          <w:szCs w:val="24"/>
        </w:rPr>
        <w:t>verify</w:t>
      </w:r>
      <w:r w:rsidR="00B750B4">
        <w:rPr>
          <w:rFonts w:ascii="Simplified Arabic" w:hAnsi="Simplified Arabic" w:cs="Simplified Arabic"/>
          <w:color w:val="000000"/>
          <w:sz w:val="24"/>
          <w:szCs w:val="24"/>
        </w:rPr>
        <w:t xml:space="preserve"> that</w:t>
      </w:r>
      <w:r w:rsidR="00530687" w:rsidRPr="0001101D">
        <w:rPr>
          <w:rFonts w:ascii="Simplified Arabic" w:hAnsi="Simplified Arabic" w:cs="Simplified Arabic"/>
          <w:color w:val="000000"/>
          <w:sz w:val="24"/>
          <w:szCs w:val="24"/>
        </w:rPr>
        <w:t xml:space="preserve"> </w:t>
      </w:r>
      <w:r w:rsidRPr="0001101D">
        <w:rPr>
          <w:rFonts w:ascii="Simplified Arabic" w:hAnsi="Simplified Arabic" w:cs="Simplified Arabic"/>
          <w:color w:val="000000"/>
          <w:sz w:val="24"/>
          <w:szCs w:val="24"/>
        </w:rPr>
        <w:t xml:space="preserve">the model's decisions are grounded in clinically relevant renal regions rather </w:t>
      </w:r>
      <w:r w:rsidR="00752123">
        <w:rPr>
          <w:rFonts w:ascii="Simplified Arabic" w:hAnsi="Simplified Arabic" w:cs="Simplified Arabic"/>
          <w:color w:val="000000"/>
          <w:sz w:val="24"/>
          <w:szCs w:val="24"/>
        </w:rPr>
        <w:t xml:space="preserve">than incidental image </w:t>
      </w:r>
      <w:r w:rsidR="00752123">
        <w:rPr>
          <w:rFonts w:ascii="Simplified Arabic" w:hAnsi="Simplified Arabic" w:cs="Simplified Arabic"/>
          <w:color w:val="000000"/>
          <w:sz w:val="24"/>
          <w:szCs w:val="24"/>
        </w:rPr>
        <w:lastRenderedPageBreak/>
        <w:t xml:space="preserve">artifacts. </w:t>
      </w:r>
      <w:r w:rsidR="00B750B4">
        <w:rPr>
          <w:rFonts w:ascii="Simplified Arabic" w:hAnsi="Simplified Arabic" w:cs="Simplified Arabic"/>
          <w:color w:val="000000"/>
          <w:sz w:val="24"/>
          <w:szCs w:val="24"/>
        </w:rPr>
        <w:t xml:space="preserve">This is an </w:t>
      </w:r>
      <w:r w:rsidRPr="0001101D">
        <w:rPr>
          <w:rFonts w:ascii="Simplified Arabic" w:hAnsi="Simplified Arabic" w:cs="Simplified Arabic"/>
          <w:color w:val="000000"/>
          <w:sz w:val="24"/>
          <w:szCs w:val="24"/>
        </w:rPr>
        <w:t>essential property for</w:t>
      </w:r>
      <w:r w:rsidR="00B750B4">
        <w:rPr>
          <w:rFonts w:ascii="Simplified Arabic" w:hAnsi="Simplified Arabic" w:cs="Simplified Arabic"/>
          <w:color w:val="000000"/>
          <w:sz w:val="24"/>
          <w:szCs w:val="24"/>
        </w:rPr>
        <w:t xml:space="preserve"> eventual integration into real world clinical decision </w:t>
      </w:r>
      <w:r w:rsidRPr="0001101D">
        <w:rPr>
          <w:rFonts w:ascii="Simplified Arabic" w:hAnsi="Simplified Arabic" w:cs="Simplified Arabic"/>
          <w:color w:val="000000"/>
          <w:sz w:val="24"/>
          <w:szCs w:val="24"/>
        </w:rPr>
        <w:t>support systems.</w:t>
      </w:r>
    </w:p>
    <w:p w:rsidR="00527DCD" w:rsidRPr="00F478C3" w:rsidRDefault="003017CC"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4. Study Objectives:</w:t>
      </w:r>
    </w:p>
    <w:p w:rsidR="001D267D" w:rsidRPr="001D267D" w:rsidRDefault="001D267D" w:rsidP="001D267D">
      <w:p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This thesis overall aim to develop and evaluate a deep learning system that can identify and classify kidney tumors on CT scans images automatically, This model will improve the diagnostic efficiency, accuracy of diagnosing, early intervention, and customized treatment.</w:t>
      </w:r>
    </w:p>
    <w:p w:rsidR="001D267D" w:rsidRPr="001D267D" w:rsidRDefault="001D267D" w:rsidP="001D267D">
      <w:p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The objectives are:</w:t>
      </w:r>
    </w:p>
    <w:p w:rsidR="001D267D" w:rsidRPr="001D267D" w:rsidRDefault="001D267D" w:rsidP="001D267D">
      <w:pPr>
        <w:pStyle w:val="ListParagraph"/>
        <w:numPr>
          <w:ilvl w:val="0"/>
          <w:numId w:val="2"/>
        </w:num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To discuss existing deep learning (DL) models to the medical imaging domain generally and paying particular attention to models used for kidney tumor identification and classification, also determining the advantages and shortcomings of the existing methodologies.</w:t>
      </w:r>
    </w:p>
    <w:p w:rsidR="001D267D" w:rsidRPr="001D267D" w:rsidRDefault="001D267D" w:rsidP="001D267D">
      <w:pPr>
        <w:pStyle w:val="ListParagraph"/>
        <w:numPr>
          <w:ilvl w:val="0"/>
          <w:numId w:val="2"/>
        </w:num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To develop deep learning architect</w:t>
      </w:r>
      <w:r>
        <w:rPr>
          <w:rFonts w:ascii="Simplified Arabic" w:hAnsi="Simplified Arabic" w:cs="Simplified Arabic"/>
          <w:color w:val="000000"/>
          <w:sz w:val="24"/>
          <w:szCs w:val="24"/>
        </w:rPr>
        <w:t xml:space="preserve"> that combine the data of multi </w:t>
      </w:r>
      <w:r w:rsidRPr="001D267D">
        <w:rPr>
          <w:rFonts w:ascii="Simplified Arabic" w:hAnsi="Simplified Arabic" w:cs="Simplified Arabic"/>
          <w:color w:val="000000"/>
          <w:sz w:val="24"/>
          <w:szCs w:val="24"/>
        </w:rPr>
        <w:t>phases CT to extract more learning features and identify tumor locations.</w:t>
      </w:r>
    </w:p>
    <w:p w:rsidR="001D267D" w:rsidRPr="001D267D" w:rsidRDefault="004A7D57" w:rsidP="004A7D57">
      <w:pPr>
        <w:pStyle w:val="ListParagraph"/>
        <w:numPr>
          <w:ilvl w:val="0"/>
          <w:numId w:val="2"/>
        </w:numPr>
        <w:spacing w:after="160"/>
        <w:jc w:val="both"/>
        <w:rPr>
          <w:rFonts w:ascii="Simplified Arabic" w:hAnsi="Simplified Arabic" w:cs="Simplified Arabic"/>
          <w:color w:val="000000"/>
          <w:sz w:val="24"/>
          <w:szCs w:val="24"/>
        </w:rPr>
      </w:pPr>
      <w:r>
        <w:rPr>
          <w:rFonts w:ascii="Simplified Arabic" w:hAnsi="Simplified Arabic" w:cs="Simplified Arabic"/>
          <w:color w:val="000000"/>
          <w:sz w:val="24"/>
          <w:szCs w:val="24"/>
        </w:rPr>
        <w:t>T</w:t>
      </w:r>
      <w:r w:rsidR="001D267D">
        <w:rPr>
          <w:rFonts w:ascii="Simplified Arabic" w:hAnsi="Simplified Arabic" w:cs="Simplified Arabic"/>
          <w:color w:val="000000"/>
          <w:sz w:val="24"/>
          <w:szCs w:val="24"/>
        </w:rPr>
        <w:t>o develop multi</w:t>
      </w:r>
      <w:r>
        <w:rPr>
          <w:rFonts w:ascii="Simplified Arabic" w:hAnsi="Simplified Arabic" w:cs="Simplified Arabic"/>
          <w:color w:val="000000"/>
          <w:sz w:val="24"/>
          <w:szCs w:val="24"/>
        </w:rPr>
        <w:t>-</w:t>
      </w:r>
      <w:r w:rsidR="001D267D" w:rsidRPr="001D267D">
        <w:rPr>
          <w:rFonts w:ascii="Simplified Arabic" w:hAnsi="Simplified Arabic" w:cs="Simplified Arabic"/>
          <w:color w:val="000000"/>
          <w:sz w:val="24"/>
          <w:szCs w:val="24"/>
        </w:rPr>
        <w:t xml:space="preserve">class classification functionality, to be able to differentiate between benign (e.g., </w:t>
      </w:r>
      <w:r w:rsidRPr="004A7D57">
        <w:rPr>
          <w:rFonts w:ascii="Simplified Arabic" w:hAnsi="Simplified Arabic" w:cs="Simplified Arabic"/>
          <w:color w:val="000000"/>
          <w:sz w:val="24"/>
          <w:szCs w:val="24"/>
        </w:rPr>
        <w:t>cyst, stone</w:t>
      </w:r>
      <w:r w:rsidR="001D267D" w:rsidRPr="001D267D">
        <w:rPr>
          <w:rFonts w:ascii="Simplified Arabic" w:hAnsi="Simplified Arabic" w:cs="Simplified Arabic"/>
          <w:color w:val="000000"/>
          <w:sz w:val="24"/>
          <w:szCs w:val="24"/>
        </w:rPr>
        <w:t xml:space="preserve">) </w:t>
      </w:r>
      <w:r>
        <w:rPr>
          <w:rFonts w:ascii="Simplified Arabic" w:hAnsi="Simplified Arabic" w:cs="Simplified Arabic"/>
          <w:color w:val="000000"/>
          <w:sz w:val="24"/>
          <w:szCs w:val="24"/>
        </w:rPr>
        <w:t>from malignant tumor,</w:t>
      </w:r>
      <w:r w:rsidR="001D267D" w:rsidRPr="001D267D">
        <w:rPr>
          <w:rFonts w:ascii="Simplified Arabic" w:hAnsi="Simplified Arabic" w:cs="Simplified Arabic"/>
          <w:color w:val="000000"/>
          <w:sz w:val="24"/>
          <w:szCs w:val="24"/>
        </w:rPr>
        <w:t xml:space="preserve"> underline the c</w:t>
      </w:r>
      <w:r>
        <w:rPr>
          <w:rFonts w:ascii="Simplified Arabic" w:hAnsi="Simplified Arabic" w:cs="Simplified Arabic"/>
          <w:color w:val="000000"/>
          <w:sz w:val="24"/>
          <w:szCs w:val="24"/>
        </w:rPr>
        <w:t xml:space="preserve">linical significance of subtype </w:t>
      </w:r>
      <w:r w:rsidR="001D267D" w:rsidRPr="001D267D">
        <w:rPr>
          <w:rFonts w:ascii="Simplified Arabic" w:hAnsi="Simplified Arabic" w:cs="Simplified Arabic"/>
          <w:color w:val="000000"/>
          <w:sz w:val="24"/>
          <w:szCs w:val="24"/>
        </w:rPr>
        <w:t xml:space="preserve">specific </w:t>
      </w:r>
      <w:r w:rsidRPr="004A7D57">
        <w:rPr>
          <w:rFonts w:ascii="Simplified Arabic" w:hAnsi="Simplified Arabic" w:cs="Simplified Arabic"/>
          <w:color w:val="000000"/>
          <w:sz w:val="24"/>
          <w:szCs w:val="24"/>
        </w:rPr>
        <w:t>diagnosis</w:t>
      </w:r>
      <w:r w:rsidR="001D267D" w:rsidRPr="001D267D">
        <w:rPr>
          <w:rFonts w:ascii="Simplified Arabic" w:hAnsi="Simplified Arabic" w:cs="Simplified Arabic"/>
          <w:color w:val="000000"/>
          <w:sz w:val="24"/>
          <w:szCs w:val="24"/>
        </w:rPr>
        <w:t>.</w:t>
      </w:r>
    </w:p>
    <w:p w:rsidR="001D267D" w:rsidRPr="001D267D" w:rsidRDefault="001D267D" w:rsidP="001805B1">
      <w:pPr>
        <w:pStyle w:val="ListParagraph"/>
        <w:numPr>
          <w:ilvl w:val="0"/>
          <w:numId w:val="2"/>
        </w:num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 xml:space="preserve">To assess performance of </w:t>
      </w:r>
      <w:r w:rsidR="004A7D57">
        <w:rPr>
          <w:rFonts w:ascii="Simplified Arabic" w:hAnsi="Simplified Arabic" w:cs="Simplified Arabic"/>
          <w:color w:val="000000"/>
          <w:sz w:val="24"/>
          <w:szCs w:val="24"/>
        </w:rPr>
        <w:t xml:space="preserve">proposed </w:t>
      </w:r>
      <w:r w:rsidRPr="001D267D">
        <w:rPr>
          <w:rFonts w:ascii="Simplified Arabic" w:hAnsi="Simplified Arabic" w:cs="Simplified Arabic"/>
          <w:color w:val="000000"/>
          <w:sz w:val="24"/>
          <w:szCs w:val="24"/>
        </w:rPr>
        <w:t xml:space="preserve">framework in comparison </w:t>
      </w:r>
      <w:r w:rsidR="001805B1">
        <w:rPr>
          <w:rFonts w:ascii="Simplified Arabic" w:hAnsi="Simplified Arabic" w:cs="Simplified Arabic"/>
          <w:color w:val="000000"/>
          <w:sz w:val="24"/>
          <w:szCs w:val="24"/>
        </w:rPr>
        <w:t>with</w:t>
      </w:r>
      <w:r w:rsidR="004A7D57">
        <w:rPr>
          <w:rFonts w:ascii="Simplified Arabic" w:hAnsi="Simplified Arabic" w:cs="Simplified Arabic"/>
          <w:color w:val="000000"/>
          <w:sz w:val="24"/>
          <w:szCs w:val="24"/>
        </w:rPr>
        <w:t xml:space="preserve"> other </w:t>
      </w:r>
      <w:r w:rsidR="004A7D57" w:rsidRPr="004A7D57">
        <w:rPr>
          <w:rFonts w:ascii="Simplified Arabic" w:hAnsi="Simplified Arabic" w:cs="Simplified Arabic"/>
          <w:color w:val="000000"/>
          <w:sz w:val="24"/>
          <w:szCs w:val="24"/>
        </w:rPr>
        <w:t xml:space="preserve">comparative architectures </w:t>
      </w:r>
      <w:r w:rsidRPr="001D267D">
        <w:rPr>
          <w:rFonts w:ascii="Simplified Arabic" w:hAnsi="Simplified Arabic" w:cs="Simplified Arabic"/>
          <w:color w:val="000000"/>
          <w:sz w:val="24"/>
          <w:szCs w:val="24"/>
        </w:rPr>
        <w:t>based on accuracy, sensitivity and area under the ROC curve (AUC).</w:t>
      </w:r>
    </w:p>
    <w:p w:rsidR="00527DCD" w:rsidRDefault="001D267D" w:rsidP="009B299D">
      <w:pPr>
        <w:pStyle w:val="ListParagraph"/>
        <w:numPr>
          <w:ilvl w:val="0"/>
          <w:numId w:val="2"/>
        </w:numPr>
        <w:spacing w:after="160"/>
        <w:jc w:val="both"/>
        <w:rPr>
          <w:rFonts w:ascii="Simplified Arabic" w:hAnsi="Simplified Arabic" w:cs="Simplified Arabic"/>
          <w:color w:val="000000"/>
          <w:sz w:val="24"/>
          <w:szCs w:val="24"/>
        </w:rPr>
      </w:pPr>
      <w:r w:rsidRPr="001D267D">
        <w:rPr>
          <w:rFonts w:ascii="Simplified Arabic" w:hAnsi="Simplified Arabic" w:cs="Simplified Arabic"/>
          <w:color w:val="000000"/>
          <w:sz w:val="24"/>
          <w:szCs w:val="24"/>
        </w:rPr>
        <w:t>To determine framework clinical applicability, by validating framework on actual radiology workflow, and explore ways to integrate it with current radiology workflow to minimize diagnoses time and errors.</w:t>
      </w:r>
    </w:p>
    <w:p w:rsidR="009B299D" w:rsidRPr="009B299D" w:rsidRDefault="009B299D" w:rsidP="009B299D">
      <w:pPr>
        <w:spacing w:after="160"/>
        <w:jc w:val="both"/>
        <w:rPr>
          <w:rFonts w:ascii="Simplified Arabic" w:hAnsi="Simplified Arabic" w:cs="Simplified Arabic"/>
          <w:color w:val="000000"/>
          <w:sz w:val="24"/>
          <w:szCs w:val="24"/>
        </w:rPr>
      </w:pPr>
    </w:p>
    <w:p w:rsidR="00527DCD" w:rsidRPr="00F478C3" w:rsidRDefault="009B299D"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5</w:t>
      </w:r>
      <w:r w:rsidR="003017CC" w:rsidRPr="00F478C3">
        <w:rPr>
          <w:rFonts w:ascii="Simplified Arabic" w:hAnsi="Simplified Arabic" w:cs="Simplified Arabic"/>
          <w:b/>
          <w:bCs/>
          <w:color w:val="auto"/>
          <w:sz w:val="28"/>
          <w:szCs w:val="28"/>
        </w:rPr>
        <w:t>. Review of Previous Studies:</w:t>
      </w:r>
    </w:p>
    <w:p w:rsidR="00FC1F64" w:rsidRDefault="00FC1F64" w:rsidP="00FC1F64">
      <w:pPr>
        <w:spacing w:before="200" w:after="80"/>
        <w:rPr>
          <w:rFonts w:ascii="Simplified Arabic" w:hAnsi="Simplified Arabic" w:cs="Simplified Arabic"/>
          <w:color w:val="000000"/>
          <w:sz w:val="24"/>
          <w:szCs w:val="24"/>
        </w:rPr>
      </w:pPr>
      <w:r w:rsidRPr="00FC1F64">
        <w:rPr>
          <w:rFonts w:ascii="Simplified Arabic" w:hAnsi="Simplified Arabic" w:cs="Simplified Arabic"/>
          <w:color w:val="000000"/>
          <w:sz w:val="24"/>
          <w:szCs w:val="24"/>
        </w:rPr>
        <w:t>The chapter provides a review of fifteen recent studies, most of which provided their own methodology to the same KIDNEY DATASET on Kaggl</w:t>
      </w:r>
      <w:r>
        <w:rPr>
          <w:rFonts w:ascii="Simplified Arabic" w:hAnsi="Simplified Arabic" w:cs="Simplified Arabic"/>
          <w:color w:val="000000"/>
          <w:sz w:val="24"/>
          <w:szCs w:val="24"/>
        </w:rPr>
        <w:t>e: normal-cyst-tumor and stone</w:t>
      </w:r>
      <w:r w:rsidRPr="00FC1F64">
        <w:rPr>
          <w:rFonts w:ascii="Simplified Arabic" w:hAnsi="Simplified Arabic" w:cs="Simplified Arabic"/>
          <w:color w:val="000000"/>
          <w:sz w:val="24"/>
          <w:szCs w:val="24"/>
        </w:rPr>
        <w:t xml:space="preserve">. We can </w:t>
      </w:r>
      <w:r>
        <w:rPr>
          <w:rFonts w:ascii="Simplified Arabic" w:hAnsi="Simplified Arabic" w:cs="Simplified Arabic"/>
          <w:color w:val="000000"/>
          <w:sz w:val="24"/>
          <w:szCs w:val="24"/>
        </w:rPr>
        <w:t>point</w:t>
      </w:r>
      <w:r w:rsidRPr="00FC1F64">
        <w:rPr>
          <w:rFonts w:ascii="Simplified Arabic" w:hAnsi="Simplified Arabic" w:cs="Simplified Arabic"/>
          <w:color w:val="000000"/>
          <w:sz w:val="24"/>
          <w:szCs w:val="24"/>
        </w:rPr>
        <w:t xml:space="preserve"> the strengths and weaknesses of methods used</w:t>
      </w:r>
      <w:r>
        <w:rPr>
          <w:rFonts w:ascii="Simplified Arabic" w:hAnsi="Simplified Arabic" w:cs="Simplified Arabic"/>
          <w:color w:val="000000"/>
          <w:sz w:val="24"/>
          <w:szCs w:val="24"/>
        </w:rPr>
        <w:t>,</w:t>
      </w:r>
      <w:r w:rsidRPr="00FC1F64">
        <w:rPr>
          <w:rFonts w:ascii="Simplified Arabic" w:hAnsi="Simplified Arabic" w:cs="Simplified Arabic"/>
          <w:color w:val="000000"/>
          <w:sz w:val="24"/>
          <w:szCs w:val="24"/>
        </w:rPr>
        <w:t xml:space="preserve"> by comparing how various research papers used the sam</w:t>
      </w:r>
      <w:r>
        <w:rPr>
          <w:rFonts w:ascii="Simplified Arabic" w:hAnsi="Simplified Arabic" w:cs="Simplified Arabic"/>
          <w:color w:val="000000"/>
          <w:sz w:val="24"/>
          <w:szCs w:val="24"/>
        </w:rPr>
        <w:t>e data to classify multi-class.</w:t>
      </w:r>
    </w:p>
    <w:p w:rsidR="00FC1F64" w:rsidRDefault="00FC1F64" w:rsidP="00FC1F64">
      <w:pPr>
        <w:spacing w:before="200" w:after="80"/>
        <w:rPr>
          <w:rFonts w:ascii="Simplified Arabic" w:hAnsi="Simplified Arabic" w:cs="Simplified Arabic"/>
          <w:color w:val="000000"/>
          <w:sz w:val="24"/>
          <w:szCs w:val="24"/>
        </w:rPr>
      </w:pPr>
    </w:p>
    <w:p w:rsidR="00FC1F64" w:rsidRDefault="00FC1F6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lastRenderedPageBreak/>
        <w:t>Maçin et al. (2025)</w:t>
      </w:r>
      <w:r w:rsidRPr="00FC1F64">
        <w:rPr>
          <w:rFonts w:ascii="Simplified Arabic" w:hAnsi="Simplified Arabic" w:cs="Simplified Arabic"/>
          <w:color w:val="000000"/>
          <w:sz w:val="24"/>
          <w:szCs w:val="24"/>
        </w:rPr>
        <w:t xml:space="preserve"> proposed KidneyNeXt, a custom lightweight CNN model that uses depthwise separable convolutions on the CT KIDNEY DATASET (12,446 images: Normal, Cyst, Tumor and Stone) with a standardized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w:t>
      </w:r>
      <w:r w:rsidR="001260A4">
        <w:rPr>
          <w:rFonts w:ascii="Simplified Arabic" w:hAnsi="Simplified Arabic" w:cs="Simplified Arabic"/>
          <w:color w:val="000000"/>
          <w:sz w:val="24"/>
          <w:szCs w:val="24"/>
        </w:rPr>
        <w:t>been</w:t>
      </w:r>
      <w:r w:rsidRPr="00FC1F64">
        <w:rPr>
          <w:rFonts w:ascii="Simplified Arabic" w:hAnsi="Simplified Arabic" w:cs="Simplified Arabic"/>
          <w:color w:val="000000"/>
          <w:sz w:val="24"/>
          <w:szCs w:val="24"/>
        </w:rPr>
        <w:t xml:space="preserve"> characterized by small hyperattenuating lesions that can be easily confused in calcifications in the surrounding tissue [9].</w:t>
      </w:r>
    </w:p>
    <w:p w:rsidR="00FC1F6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Islam et al. (2022)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resource-limited clinical setting [11].</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 xml:space="preserve">Alzu’Bi et al. (2022)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w:t>
      </w:r>
      <w:r w:rsidRPr="001260A4">
        <w:rPr>
          <w:rFonts w:ascii="Simplified Arabic" w:hAnsi="Simplified Arabic" w:cs="Simplified Arabic"/>
          <w:color w:val="000000"/>
          <w:sz w:val="24"/>
          <w:szCs w:val="24"/>
        </w:rPr>
        <w:lastRenderedPageBreak/>
        <w:t>accuracy of 92 percent. The VGG16 detection rate of 60% and the relatively low classification rate of 92% demonstrated the difficulty of network training on comparatively small, single institution datasets, and the need of the volume and diversity of data to obtain clinically acceptable performance [12].</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Yildirim et al. (2021) suggested a kidney stone detection automated binary deep learning system of an in-house collection of cross-sectional computer tomography (CT) dataset established at Elazig Fethi Sekin City Hospital, Elazig,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Pimpalkar et al. (2025)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 xml:space="preserve">Sabuncu et al. (2023) In their study, suggested a deep learning classification architecture to identify kidney stones in axial CTs taken in Near East University Hospital, Cyprus, based on an original set of true clinical CTs taken on patients during their regular </w:t>
      </w:r>
      <w:r w:rsidRPr="001260A4">
        <w:rPr>
          <w:rFonts w:ascii="Simplified Arabic" w:hAnsi="Simplified Arabic" w:cs="Simplified Arabic"/>
          <w:color w:val="000000"/>
          <w:sz w:val="24"/>
          <w:szCs w:val="24"/>
        </w:rPr>
        <w:lastRenderedPageBreak/>
        <w:t>urological examination. Preprocessing methods used in the pipeline, such as Watershed segmentation and Otsu banalization threshold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other renal pathology datasets [15].</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Obaid et al. (2025) on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 xml:space="preserve">Baygin et al. (2022) proposed ExDark19, which is a new method of deep feature generation that can be used to detect kidney stones automatically on the same dataset of public coronal CTs established at Elazig Fethi Sekin City Hospital, Elazig, Turkey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w:t>
      </w:r>
      <w:r w:rsidRPr="001260A4">
        <w:rPr>
          <w:rFonts w:ascii="Simplified Arabic" w:hAnsi="Simplified Arabic" w:cs="Simplified Arabic"/>
          <w:color w:val="000000"/>
          <w:sz w:val="24"/>
          <w:szCs w:val="24"/>
        </w:rPr>
        <w:lastRenderedPageBreak/>
        <w:t>area of classification was limited to binary (stone / no stone) and did not reach the level of multi-class differentiation of renal pathology [17].</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Qian et al. (2024)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El-Hag et al. (2025) 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 xml:space="preserve">Almuayqil et al. (2024)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w:t>
      </w:r>
      <w:r w:rsidRPr="001260A4">
        <w:rPr>
          <w:rFonts w:ascii="Simplified Arabic" w:hAnsi="Simplified Arabic" w:cs="Simplified Arabic"/>
          <w:color w:val="000000"/>
          <w:sz w:val="24"/>
          <w:szCs w:val="24"/>
        </w:rPr>
        <w:lastRenderedPageBreak/>
        <w:t>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patient demographics was not tested [20].</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Bhandari et al. (2023)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generalization had not been tested [21].</w:t>
      </w:r>
    </w:p>
    <w:p w:rsidR="001260A4" w:rsidRDefault="001260A4" w:rsidP="001260A4">
      <w:pPr>
        <w:spacing w:before="200" w:after="80"/>
        <w:ind w:firstLine="720"/>
        <w:rPr>
          <w:rFonts w:ascii="Simplified Arabic" w:hAnsi="Simplified Arabic" w:cs="Simplified Arabic"/>
          <w:color w:val="000000"/>
          <w:sz w:val="24"/>
          <w:szCs w:val="24"/>
        </w:rPr>
      </w:pPr>
      <w:r w:rsidRPr="001260A4">
        <w:rPr>
          <w:rFonts w:ascii="Simplified Arabic" w:hAnsi="Simplified Arabic" w:cs="Simplified Arabic"/>
          <w:color w:val="000000"/>
          <w:sz w:val="24"/>
          <w:szCs w:val="24"/>
        </w:rPr>
        <w:t>Bingol et al. (2022) on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rsidR="001260A4" w:rsidRDefault="00926104" w:rsidP="001260A4">
      <w:pPr>
        <w:spacing w:before="200" w:after="80"/>
        <w:ind w:firstLine="720"/>
        <w:rPr>
          <w:rFonts w:ascii="Simplified Arabic" w:hAnsi="Simplified Arabic" w:cs="Simplified Arabic"/>
          <w:color w:val="000000"/>
          <w:sz w:val="24"/>
          <w:szCs w:val="24"/>
        </w:rPr>
      </w:pPr>
      <w:r w:rsidRPr="00926104">
        <w:rPr>
          <w:rFonts w:ascii="Simplified Arabic" w:hAnsi="Simplified Arabic" w:cs="Simplified Arabic"/>
          <w:color w:val="000000"/>
          <w:sz w:val="24"/>
          <w:szCs w:val="24"/>
        </w:rPr>
        <w:lastRenderedPageBreak/>
        <w:t>Khan et al. (2025)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centers CT cohorts [23].</w:t>
      </w:r>
    </w:p>
    <w:p w:rsidR="00926104" w:rsidRDefault="00926104" w:rsidP="001260A4">
      <w:pPr>
        <w:spacing w:before="200" w:after="80"/>
        <w:ind w:firstLine="720"/>
        <w:rPr>
          <w:rFonts w:ascii="Simplified Arabic" w:hAnsi="Simplified Arabic" w:cs="Simplified Arabic"/>
          <w:color w:val="000000"/>
          <w:sz w:val="24"/>
          <w:szCs w:val="24"/>
        </w:rPr>
      </w:pPr>
      <w:r w:rsidRPr="00926104">
        <w:rPr>
          <w:rFonts w:ascii="Simplified Arabic" w:hAnsi="Simplified Arabic" w:cs="Simplified Arabic"/>
          <w:color w:val="000000"/>
          <w:sz w:val="24"/>
          <w:szCs w:val="24"/>
        </w:rPr>
        <w:t>Murillobouzon et al. (2025)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All models achieved mean Disc scores above 95% . 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single-center institutional image corpus [24].</w:t>
      </w:r>
    </w:p>
    <w:p w:rsidR="00BE3EE0" w:rsidRDefault="00BE3EE0" w:rsidP="001260A4">
      <w:pPr>
        <w:spacing w:before="200" w:after="80"/>
        <w:ind w:firstLine="720"/>
        <w:rPr>
          <w:rFonts w:ascii="Simplified Arabic" w:hAnsi="Simplified Arabic" w:cs="Simplified Arabic"/>
          <w:color w:val="000000"/>
          <w:sz w:val="24"/>
          <w:szCs w:val="24"/>
        </w:rPr>
      </w:pPr>
    </w:p>
    <w:p w:rsidR="00BE3EE0" w:rsidRDefault="00BE3EE0" w:rsidP="001260A4">
      <w:pPr>
        <w:spacing w:before="200" w:after="80"/>
        <w:ind w:firstLine="720"/>
        <w:rPr>
          <w:rFonts w:ascii="Simplified Arabic" w:hAnsi="Simplified Arabic" w:cs="Simplified Arabic"/>
          <w:color w:val="000000"/>
          <w:sz w:val="24"/>
          <w:szCs w:val="24"/>
        </w:rPr>
      </w:pPr>
    </w:p>
    <w:p w:rsidR="00FC1F64" w:rsidRDefault="00FC1F64">
      <w:pPr>
        <w:spacing w:before="200" w:after="80"/>
        <w:rPr>
          <w:rFonts w:ascii="Simplified Arabic" w:hAnsi="Simplified Arabic" w:cs="Simplified Arabic"/>
          <w:color w:val="000000"/>
          <w:sz w:val="24"/>
          <w:szCs w:val="24"/>
        </w:rPr>
      </w:pPr>
    </w:p>
    <w:p w:rsidR="00527DCD" w:rsidRPr="0001101D" w:rsidRDefault="003017CC">
      <w:pPr>
        <w:spacing w:before="200" w:after="80"/>
        <w:rPr>
          <w:rFonts w:ascii="Simplified Arabic" w:hAnsi="Simplified Arabic" w:cs="Simplified Arabic"/>
        </w:rPr>
      </w:pPr>
      <w:r w:rsidRPr="0001101D">
        <w:rPr>
          <w:rFonts w:ascii="Simplified Arabic" w:hAnsi="Simplified Arabic" w:cs="Simplified Arabic"/>
          <w:b/>
          <w:bCs/>
          <w:color w:val="000000"/>
        </w:rPr>
        <w:lastRenderedPageBreak/>
        <w:t>Table (1): Summary of fifteen reviewed studies on deep learning for kidney CT classification.</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703"/>
        <w:gridCol w:w="1785"/>
        <w:gridCol w:w="2326"/>
        <w:gridCol w:w="2689"/>
        <w:gridCol w:w="1513"/>
      </w:tblGrid>
      <w:tr w:rsidR="00527DCD" w:rsidRPr="0001101D" w:rsidTr="00D41AA6">
        <w:trPr>
          <w:tblHeader/>
        </w:trPr>
        <w:tc>
          <w:tcPr>
            <w:tcW w:w="39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Ref</w:t>
            </w:r>
          </w:p>
        </w:tc>
        <w:tc>
          <w:tcPr>
            <w:tcW w:w="99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Author (Year)</w:t>
            </w:r>
          </w:p>
        </w:tc>
        <w:tc>
          <w:tcPr>
            <w:tcW w:w="129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Dataset</w:t>
            </w:r>
          </w:p>
        </w:tc>
        <w:tc>
          <w:tcPr>
            <w:tcW w:w="1491"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Technique</w:t>
            </w:r>
          </w:p>
        </w:tc>
        <w:tc>
          <w:tcPr>
            <w:tcW w:w="839"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Accuracy</w:t>
            </w:r>
          </w:p>
        </w:tc>
      </w:tr>
      <w:tr w:rsidR="00D41AA6" w:rsidRPr="0001101D" w:rsidTr="00D41AA6">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Maçin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KidneyNeXt (depthwise separable CNN)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99.96%</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[11]</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Islam et al. (2022)</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VGG-16 / ResNet-50 / Swin Transformer</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96%–99.30%</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[12]</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Alzu'Bi et al. (2022)</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KAUH Jordan (8,400 CT)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CNN-6 / ResNet50 / VGG16 + CNN-4</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92%–97%</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[13]</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Yildirim et al. (2021)</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Private NCCT, Turkey (1,799 CT)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XResNet-50 + augmentation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96.82%</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[14]</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Pimpalkar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VGG16 / ResNet50 / InceptionV3</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99.96%</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[15]</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Sabuncu et al. (2023)</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Near East Univ. Hospital, Cyprus</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InceptionV3</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98.52%</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[16]</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Obaid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DarkNet53 + ensemble fusion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99.69%</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[17]</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Baygin et al. (2022)</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Private NCCT, Turkey</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DarkNet19 + INCA + KNN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99.22%–99.71%</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[18]</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Qian et al. (2024)</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DenseNet121 (no augmentation)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93.51%</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[19]</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El-Hag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EfficientNet-B2 + specular-free preproc.</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98.27%</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[20]</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Almuayqil et al. (2024)</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KidneyNet (8-layer custom CNN)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99.88%/99.92%</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[21]</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Bhandari et al. (2023)</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Lightweight CNN + LIME/SHAP</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99.52%</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[22]</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Bingol et al. (2023)</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29-layer CNN + Relief selection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99.37%</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[23]</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Khan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CT KIDNEY DATASET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ConvNeXt + EfficientNetV2B0</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99.73%</w:t>
            </w:r>
          </w:p>
        </w:tc>
      </w:tr>
      <w:tr w:rsidR="00D41AA6" w:rsidRPr="0001101D" w:rsidTr="00147DD2">
        <w:tc>
          <w:tcPr>
            <w:tcW w:w="3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[24]</w:t>
            </w:r>
          </w:p>
        </w:tc>
        <w:tc>
          <w:tcPr>
            <w:tcW w:w="9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Murillobouzon et al. (2025)</w:t>
            </w:r>
          </w:p>
        </w:tc>
        <w:tc>
          <w:tcPr>
            <w:tcW w:w="1290"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KSSD2025 (838 annotated CT)</w:t>
            </w:r>
          </w:p>
        </w:tc>
        <w:tc>
          <w:tcPr>
            <w:tcW w:w="1491"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U-Net pixel-level segmentation</w:t>
            </w:r>
          </w:p>
        </w:tc>
        <w:tc>
          <w:tcPr>
            <w:tcW w:w="839" w:type="pct"/>
            <w:tcMar>
              <w:top w:w="60" w:type="dxa"/>
              <w:left w:w="80" w:type="dxa"/>
              <w:bottom w:w="60" w:type="dxa"/>
              <w:right w:w="80" w:type="dxa"/>
            </w:tcMar>
            <w:vAlign w:val="center"/>
          </w:tcPr>
          <w:p w:rsidR="00D41AA6" w:rsidRPr="0001101D" w:rsidRDefault="00D41AA6" w:rsidP="00147DD2">
            <w:pPr>
              <w:jc w:val="center"/>
              <w:rPr>
                <w:rFonts w:ascii="Simplified Arabic" w:hAnsi="Simplified Arabic" w:cs="Simplified Arabic"/>
              </w:rPr>
            </w:pPr>
            <w:r w:rsidRPr="0001101D">
              <w:rPr>
                <w:rFonts w:ascii="Simplified Arabic" w:hAnsi="Simplified Arabic" w:cs="Simplified Arabic"/>
                <w:color w:val="000000"/>
              </w:rPr>
              <w:t>97.06% (Dice)</w:t>
            </w:r>
          </w:p>
        </w:tc>
      </w:tr>
    </w:tbl>
    <w:p w:rsidR="00F242C3" w:rsidRDefault="00F242C3">
      <w:pPr>
        <w:spacing w:after="160"/>
        <w:jc w:val="both"/>
        <w:rPr>
          <w:rFonts w:ascii="Simplified Arabic" w:hAnsi="Simplified Arabic" w:cs="Simplified Arabic"/>
          <w:color w:val="000000"/>
          <w:sz w:val="24"/>
          <w:szCs w:val="24"/>
        </w:rPr>
      </w:pPr>
    </w:p>
    <w:p w:rsidR="00BF3CE1" w:rsidRDefault="00BF3CE1">
      <w:pPr>
        <w:spacing w:before="240" w:after="160"/>
        <w:rPr>
          <w:rFonts w:ascii="Simplified Arabic" w:hAnsi="Simplified Arabic" w:cs="Simplified Arabic"/>
          <w:color w:val="000000"/>
          <w:sz w:val="24"/>
          <w:szCs w:val="24"/>
        </w:rPr>
      </w:pPr>
    </w:p>
    <w:p w:rsidR="00BF3CE1" w:rsidRDefault="00BF3CE1">
      <w:pPr>
        <w:spacing w:before="240" w:after="160"/>
        <w:rPr>
          <w:rFonts w:ascii="Simplified Arabic" w:hAnsi="Simplified Arabic" w:cs="Simplified Arabic"/>
          <w:color w:val="000000"/>
          <w:sz w:val="24"/>
          <w:szCs w:val="24"/>
        </w:rPr>
      </w:pPr>
    </w:p>
    <w:p w:rsidR="009F0553" w:rsidRPr="00F478C3" w:rsidRDefault="00BF3CE1" w:rsidP="009F055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lastRenderedPageBreak/>
        <w:t>6</w:t>
      </w:r>
      <w:r w:rsidR="003017CC" w:rsidRPr="00F478C3">
        <w:rPr>
          <w:rFonts w:ascii="Simplified Arabic" w:hAnsi="Simplified Arabic" w:cs="Simplified Arabic"/>
          <w:b/>
          <w:bCs/>
          <w:color w:val="auto"/>
          <w:sz w:val="28"/>
          <w:szCs w:val="28"/>
        </w:rPr>
        <w:t>. Methodology:</w:t>
      </w:r>
    </w:p>
    <w:p w:rsidR="00527DCD" w:rsidRPr="0001101D" w:rsidRDefault="003017CC" w:rsidP="00BF3CE1">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The proposed architecture is composed of three main components: a convolutional backbone for feature</w:t>
      </w:r>
      <w:bookmarkStart w:id="0" w:name="_GoBack"/>
      <w:bookmarkEnd w:id="0"/>
      <w:r w:rsidRPr="0001101D">
        <w:rPr>
          <w:rFonts w:ascii="Simplified Arabic" w:hAnsi="Simplified Arabic" w:cs="Simplified Arabic"/>
          <w:color w:val="000000"/>
          <w:sz w:val="24"/>
          <w:szCs w:val="24"/>
        </w:rPr>
        <w:t xml:space="preserve"> extraction, a Convolutional Block Attention Module (CBAM), and a custom classification head. Three backbones were evaluated ResNet-50 (proposed primary model), E</w:t>
      </w:r>
      <w:r w:rsidR="00BF3CE1">
        <w:rPr>
          <w:rFonts w:ascii="Simplified Arabic" w:hAnsi="Simplified Arabic" w:cs="Simplified Arabic"/>
          <w:color w:val="000000"/>
          <w:sz w:val="24"/>
          <w:szCs w:val="24"/>
        </w:rPr>
        <w:t xml:space="preserve">fficientNet-B4, and MobileNetV3 </w:t>
      </w:r>
      <w:r w:rsidRPr="0001101D">
        <w:rPr>
          <w:rFonts w:ascii="Simplified Arabic" w:hAnsi="Simplified Arabic" w:cs="Simplified Arabic"/>
          <w:color w:val="000000"/>
          <w:sz w:val="24"/>
          <w:szCs w:val="24"/>
        </w:rPr>
        <w:t>under an identical preprocessing, a</w:t>
      </w:r>
      <w:r w:rsidR="00BF3CE1">
        <w:rPr>
          <w:rFonts w:ascii="Simplified Arabic" w:hAnsi="Simplified Arabic" w:cs="Simplified Arabic"/>
          <w:color w:val="000000"/>
          <w:sz w:val="24"/>
          <w:szCs w:val="24"/>
        </w:rPr>
        <w:t xml:space="preserve">ugmentation, and classification </w:t>
      </w:r>
      <w:r w:rsidRPr="0001101D">
        <w:rPr>
          <w:rFonts w:ascii="Simplified Arabic" w:hAnsi="Simplified Arabic" w:cs="Simplified Arabic"/>
          <w:color w:val="000000"/>
          <w:sz w:val="24"/>
          <w:szCs w:val="24"/>
        </w:rPr>
        <w:t>head configuration to ensure a fair comparison.</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2847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62625" cy="2847975"/>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2: Proposed kidney CT image classification framework.</w:t>
      </w:r>
    </w:p>
    <w:p w:rsidR="00527DCD" w:rsidRPr="0001101D" w:rsidRDefault="00BF3CE1">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.1 Dataset. </w:t>
      </w:r>
      <w:r w:rsidR="003017CC" w:rsidRPr="0001101D">
        <w:rPr>
          <w:rFonts w:ascii="Simplified Arabic" w:hAnsi="Simplified Arabic" w:cs="Simplified Arabic"/>
          <w:color w:val="000000"/>
          <w:sz w:val="24"/>
          <w:szCs w:val="24"/>
        </w:rPr>
        <w:t>CT images were obtained from the Kaggle CT KIDNEY DATASET (Normal–Cyst–Tumor–Stone), comprising 12,446 images across four classes (Table 2). The dataset is imbalanced, with the Normal class comprising 40.8% of images (5,077 samples) versus 11.1% for Stone (1,377 samples), a ratio of approximately 3.7:1 — a pattern typical of clinical radiology data. Images include both axial and coronal reconstructions and both contrast-enhanced and non-contrast studies, and are provided in JPEG format at differing native resolutions.</w:t>
      </w:r>
    </w:p>
    <w:p w:rsidR="00527DCD" w:rsidRPr="0001101D" w:rsidRDefault="003017CC" w:rsidP="00BF3CE1">
      <w:pPr>
        <w:spacing w:before="200" w:after="80"/>
        <w:jc w:val="center"/>
        <w:rPr>
          <w:rFonts w:ascii="Simplified Arabic" w:hAnsi="Simplified Arabic" w:cs="Simplified Arabic"/>
        </w:rPr>
      </w:pPr>
      <w:r w:rsidRPr="0001101D">
        <w:rPr>
          <w:rFonts w:ascii="Simplified Arabic" w:hAnsi="Simplified Arabic" w:cs="Simplified Arabic"/>
          <w:b/>
          <w:bCs/>
          <w:color w:val="000000"/>
        </w:rPr>
        <w:t>Table (2): Class distribution of the dataset.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1353"/>
        <w:gridCol w:w="1623"/>
        <w:gridCol w:w="1352"/>
        <w:gridCol w:w="4688"/>
      </w:tblGrid>
      <w:tr w:rsidR="00527DCD" w:rsidRPr="0001101D">
        <w:trPr>
          <w:tblHeader/>
        </w:trPr>
        <w:tc>
          <w:tcPr>
            <w:tcW w:w="7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Class</w:t>
            </w:r>
          </w:p>
        </w:tc>
        <w:tc>
          <w:tcPr>
            <w:tcW w:w="9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Number of Images</w:t>
            </w:r>
          </w:p>
        </w:tc>
        <w:tc>
          <w:tcPr>
            <w:tcW w:w="7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Percentage</w:t>
            </w:r>
          </w:p>
        </w:tc>
        <w:tc>
          <w:tcPr>
            <w:tcW w:w="26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Clinical Description</w:t>
            </w:r>
          </w:p>
        </w:tc>
      </w:tr>
      <w:tr w:rsidR="00527DCD" w:rsidRPr="0001101D">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Normal</w:t>
            </w:r>
          </w:p>
        </w:tc>
        <w:tc>
          <w:tcPr>
            <w:tcW w:w="9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5,077</w:t>
            </w:r>
          </w:p>
        </w:tc>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40.8%</w:t>
            </w:r>
          </w:p>
        </w:tc>
        <w:tc>
          <w:tcPr>
            <w:tcW w:w="26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Healthy kidney parenchyma; no lesions or calcifications</w:t>
            </w:r>
          </w:p>
        </w:tc>
      </w:tr>
      <w:tr w:rsidR="00527DCD" w:rsidRPr="0001101D">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Cyst</w:t>
            </w:r>
          </w:p>
        </w:tc>
        <w:tc>
          <w:tcPr>
            <w:tcW w:w="9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3,709</w:t>
            </w:r>
          </w:p>
        </w:tc>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29.8%</w:t>
            </w:r>
          </w:p>
        </w:tc>
        <w:tc>
          <w:tcPr>
            <w:tcW w:w="26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Fluid-filled renal cysts of varying size</w:t>
            </w:r>
          </w:p>
        </w:tc>
      </w:tr>
      <w:tr w:rsidR="00527DCD" w:rsidRPr="0001101D">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Tumor</w:t>
            </w:r>
          </w:p>
        </w:tc>
        <w:tc>
          <w:tcPr>
            <w:tcW w:w="9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2,283</w:t>
            </w:r>
          </w:p>
        </w:tc>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18.3%</w:t>
            </w:r>
          </w:p>
        </w:tc>
        <w:tc>
          <w:tcPr>
            <w:tcW w:w="26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Solid renal masses including RCC subtypes</w:t>
            </w:r>
          </w:p>
        </w:tc>
      </w:tr>
      <w:tr w:rsidR="00527DCD" w:rsidRPr="0001101D">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Stone</w:t>
            </w:r>
          </w:p>
        </w:tc>
        <w:tc>
          <w:tcPr>
            <w:tcW w:w="9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1,377</w:t>
            </w:r>
          </w:p>
        </w:tc>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11.1%</w:t>
            </w:r>
          </w:p>
        </w:tc>
        <w:tc>
          <w:tcPr>
            <w:tcW w:w="26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Calcified hyperattenuating lesions; smallest class</w:t>
            </w:r>
          </w:p>
        </w:tc>
      </w:tr>
      <w:tr w:rsidR="00527DCD" w:rsidRPr="0001101D">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lastRenderedPageBreak/>
              <w:t>Total</w:t>
            </w:r>
          </w:p>
        </w:tc>
        <w:tc>
          <w:tcPr>
            <w:tcW w:w="9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12,446</w:t>
            </w:r>
          </w:p>
        </w:tc>
        <w:tc>
          <w:tcPr>
            <w:tcW w:w="7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w:t>
            </w:r>
          </w:p>
        </w:tc>
        <w:tc>
          <w:tcPr>
            <w:tcW w:w="26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Mixed axial and coronal CT acquisitions</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2143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62625" cy="2143125"/>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3: Per-class distribution of the dataset.</w:t>
      </w:r>
    </w:p>
    <w:p w:rsidR="00527DCD" w:rsidRPr="0001101D" w:rsidRDefault="00ED3429">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.2 Data Preprocessing. </w:t>
      </w:r>
      <w:r w:rsidR="003017CC" w:rsidRPr="0001101D">
        <w:rPr>
          <w:rFonts w:ascii="Simplified Arabic" w:hAnsi="Simplified Arabic" w:cs="Simplified Arabic"/>
          <w:color w:val="000000"/>
          <w:sz w:val="24"/>
          <w:szCs w:val="24"/>
        </w:rPr>
        <w:t>A</w:t>
      </w:r>
      <w:r w:rsidR="00BF3CE1">
        <w:rPr>
          <w:rFonts w:ascii="Simplified Arabic" w:hAnsi="Simplified Arabic" w:cs="Simplified Arabic"/>
          <w:color w:val="000000"/>
          <w:sz w:val="24"/>
          <w:szCs w:val="24"/>
        </w:rPr>
        <w:t xml:space="preserve">ll images passed through a four stage pipeline: (1) grayscale to </w:t>
      </w:r>
      <w:r w:rsidR="003017CC" w:rsidRPr="0001101D">
        <w:rPr>
          <w:rFonts w:ascii="Simplified Arabic" w:hAnsi="Simplified Arabic" w:cs="Simplified Arabic"/>
          <w:color w:val="000000"/>
          <w:sz w:val="24"/>
          <w:szCs w:val="24"/>
        </w:rPr>
        <w:t>RGB conversion via channel duplication to support pretrained backbones; (2) CLAHE contrast enhancement (clip limit = 2.0, tile grid 8×8) to improve visibility of small lesions; (3) resizing to 380×380 px (EfficientNet-B4) or 224×224 px (ResNet-50/MobileNetV3) using bilinear interpolation; and (4) normalization using ImageNet mean and standard-deviation values.</w:t>
      </w:r>
    </w:p>
    <w:p w:rsidR="00527DCD" w:rsidRPr="0001101D" w:rsidRDefault="00ED3429" w:rsidP="00ED3429">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.3 Data Augmentation. </w:t>
      </w:r>
      <w:r w:rsidR="003017CC" w:rsidRPr="0001101D">
        <w:rPr>
          <w:rFonts w:ascii="Simplified Arabic" w:hAnsi="Simplified Arabic" w:cs="Simplified Arabic"/>
          <w:color w:val="000000"/>
          <w:sz w:val="24"/>
          <w:szCs w:val="24"/>
        </w:rPr>
        <w:t>Augmentation applied only to the training set to improve generalization and reduce overfitting; validation and test sets received only the preprocessing steps above. Techniques included random horizontal flip (p = 0.5), random rotation (±15°), brightness/contrast jitter (factor 0.2), random resized crop (scale 0.85–1.0), and random erasing (p = 0.1, scale 0.02–0.1).</w:t>
      </w:r>
    </w:p>
    <w:p w:rsidR="00527DCD" w:rsidRPr="0001101D" w:rsidRDefault="00E46FCE">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.4 Train, Validation, and Test Split. </w:t>
      </w:r>
      <w:r w:rsidR="003017CC" w:rsidRPr="0001101D">
        <w:rPr>
          <w:rFonts w:ascii="Simplified Arabic" w:hAnsi="Simplified Arabic" w:cs="Simplified Arabic"/>
          <w:color w:val="000000"/>
          <w:sz w:val="24"/>
          <w:szCs w:val="24"/>
        </w:rPr>
        <w:t>The dataset was divided using a stratified 70/10/20 split into training (8,712 images), validation (1,244 images), and test (2,490 images) subsets, preserving class proportions across all three partitions.</w:t>
      </w:r>
    </w:p>
    <w:p w:rsidR="00527DCD" w:rsidRPr="0001101D" w:rsidRDefault="00E46FCE" w:rsidP="00ED3429">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.5 Model Architecture. </w:t>
      </w:r>
      <w:r w:rsidR="003017CC" w:rsidRPr="0001101D">
        <w:rPr>
          <w:rFonts w:ascii="Simplified Arabic" w:hAnsi="Simplified Arabic" w:cs="Simplified Arabic"/>
          <w:color w:val="000000"/>
          <w:sz w:val="24"/>
          <w:szCs w:val="24"/>
        </w:rPr>
        <w:t>ResNet-50 is a 50-layer residual network composed of bottleneck blocks (1×1, 3×3, 1×1 convolutions) that uses skip connections to mitigate vanishing gradients in very deep networks. It was pretrained on ImageNet-1K and fine-tu</w:t>
      </w:r>
      <w:r w:rsidR="00ED3429">
        <w:rPr>
          <w:rFonts w:ascii="Simplified Arabic" w:hAnsi="Simplified Arabic" w:cs="Simplified Arabic"/>
          <w:color w:val="000000"/>
          <w:sz w:val="24"/>
          <w:szCs w:val="24"/>
        </w:rPr>
        <w:t>ned at an input resolution of 224×224</w:t>
      </w:r>
      <w:r w:rsidR="003017CC" w:rsidRPr="0001101D">
        <w:rPr>
          <w:rFonts w:ascii="Simplified Arabic" w:hAnsi="Simplified Arabic" w:cs="Simplified Arabic"/>
          <w:color w:val="000000"/>
          <w:sz w:val="24"/>
          <w:szCs w:val="24"/>
        </w:rPr>
        <w:t>, with early layers (up to stage 3) frozen and later layers (stage 4 and the classification head) fine-tuned; owing to its depth, accuracy, and training stability, ResNet-50 selected as the primary proposed backbone.</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lastRenderedPageBreak/>
        <w:drawing>
          <wp:inline distT="0" distB="0" distL="0" distR="0">
            <wp:extent cx="5762625" cy="1295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62625" cy="1295400"/>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4: ResNet-50 architecture.</w:t>
      </w:r>
    </w:p>
    <w:p w:rsidR="00527DCD" w:rsidRPr="0001101D" w:rsidRDefault="003017CC" w:rsidP="00ED3429">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EfficientNet-B4 uses a compound scaling strategy that jointly scales network depth, width, and input resolution from a single coefficient. Pretrained on ImageNet-1K at 380×380 resolution, its early MBConv blocks (stages 0–6) kept frozen while later blocks (stages 7–8) fine-tuned on the kidney CT domain. MobileNetV3 is a lightweight architecture designed for mobile and embedded deployment, using hard-swish activations, squeeze-and-excitation blocks, and depthwise separable convolutions to minimize computational cost; it was pretrained on ImageNet and fine-tuned at 224×224 resolution, offering fast inference at the cost of reduced sensitivity on the minority Stone class relative to ResNet-50 and EfficientNet-B4.</w:t>
      </w:r>
    </w:p>
    <w:p w:rsidR="00527DCD" w:rsidRPr="0001101D" w:rsidRDefault="00E46FCE" w:rsidP="00ED3429">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.6 Convolutional Block Attention Module (CBAM). </w:t>
      </w:r>
      <w:r w:rsidR="003017CC" w:rsidRPr="0001101D">
        <w:rPr>
          <w:rFonts w:ascii="Simplified Arabic" w:hAnsi="Simplified Arabic" w:cs="Simplified Arabic"/>
          <w:color w:val="000000"/>
          <w:sz w:val="24"/>
          <w:szCs w:val="24"/>
        </w:rPr>
        <w:t>A CBAM module inserted between the backbone's final convolutional output and global average pooling. It sequentially applies channel attention — via averaged and max-pooled descriptors passed through a shared two-layer multilayer perceptron with reduction ratio r = 16 — followed by spatial attention, computed via a 7×7 convolution over channel-pooled descriptors. The resulting refined feature map emphasizes diagnostically salient image regions while adding less than 2% additional parameters to the network.</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305425"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05425" cy="2124075"/>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5: CBAM attention refinement module.</w:t>
      </w:r>
    </w:p>
    <w:p w:rsidR="00527DCD" w:rsidRPr="0001101D" w:rsidRDefault="00E46FCE">
      <w:pPr>
        <w:spacing w:after="160"/>
        <w:jc w:val="both"/>
        <w:rPr>
          <w:rFonts w:ascii="Simplified Arabic" w:hAnsi="Simplified Arabic" w:cs="Simplified Arabic"/>
        </w:rPr>
      </w:pPr>
      <w:r>
        <w:rPr>
          <w:rFonts w:ascii="Simplified Arabic" w:hAnsi="Simplified Arabic" w:cs="Simplified Arabic"/>
          <w:b/>
          <w:bCs/>
          <w:color w:val="000000"/>
          <w:sz w:val="24"/>
          <w:szCs w:val="24"/>
        </w:rPr>
        <w:lastRenderedPageBreak/>
        <w:t>6</w:t>
      </w:r>
      <w:r w:rsidR="003017CC" w:rsidRPr="0001101D">
        <w:rPr>
          <w:rFonts w:ascii="Simplified Arabic" w:hAnsi="Simplified Arabic" w:cs="Simplified Arabic"/>
          <w:b/>
          <w:bCs/>
          <w:color w:val="000000"/>
          <w:sz w:val="24"/>
          <w:szCs w:val="24"/>
        </w:rPr>
        <w:t xml:space="preserve">.7 Classification Head. </w:t>
      </w:r>
      <w:r w:rsidR="003017CC" w:rsidRPr="0001101D">
        <w:rPr>
          <w:rFonts w:ascii="Simplified Arabic" w:hAnsi="Simplified Arabic" w:cs="Simplified Arabic"/>
          <w:color w:val="000000"/>
          <w:sz w:val="24"/>
          <w:szCs w:val="24"/>
        </w:rPr>
        <w:t>The refined, globally pooled feature vector (2048-D for ResNet-50) is passed through a dropout layer (rate 0.50), a fully connected layer reducing dimensionality to 512, batch normalization, a ReLU activation, a second dropout layer (rate 0.30), and a final four-class output layer (Normal, Cyst, Stone, Tumor).</w:t>
      </w:r>
    </w:p>
    <w:p w:rsidR="00527DCD" w:rsidRPr="0001101D" w:rsidRDefault="00E46FCE">
      <w:pPr>
        <w:spacing w:after="160"/>
        <w:jc w:val="both"/>
        <w:rPr>
          <w:rFonts w:ascii="Simplified Arabic" w:hAnsi="Simplified Arabic" w:cs="Simplified Arabic"/>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.8 Training Protocol. </w:t>
      </w:r>
      <w:r w:rsidR="003017CC" w:rsidRPr="0001101D">
        <w:rPr>
          <w:rFonts w:ascii="Simplified Arabic" w:hAnsi="Simplified Arabic" w:cs="Simplified Arabic"/>
          <w:color w:val="000000"/>
          <w:sz w:val="24"/>
          <w:szCs w:val="24"/>
        </w:rPr>
        <w:t>Training proceeded in two phases: Phase 1 (5 epochs) trained only the CBAM module and classification head with the backbone frozen; Phase 2 (up to 8 epochs, following a 5-epoch linear warm-up) unfroze the final residual stage together with CBAM and the classification head for joint fine-tuning at a reduced learning rate. The AdamW optimizer (weight decay 1×10</w:t>
      </w:r>
      <w:r w:rsidR="003017CC" w:rsidRPr="0001101D">
        <w:rPr>
          <w:color w:val="000000"/>
          <w:sz w:val="24"/>
          <w:szCs w:val="24"/>
        </w:rPr>
        <w:t>⁻⁵</w:t>
      </w:r>
      <w:r w:rsidR="003017CC" w:rsidRPr="0001101D">
        <w:rPr>
          <w:rFonts w:ascii="Simplified Arabic" w:hAnsi="Simplified Arabic" w:cs="Simplified Arabic"/>
          <w:color w:val="000000"/>
          <w:sz w:val="24"/>
          <w:szCs w:val="24"/>
        </w:rPr>
        <w:t>) was used with a cosine-annealing-with-warm-restarts schedule, and early stopping (patience = 8 epochs) was applied based on validation loss. Class imbalance was addressed through inverse-frequency class weighting and a class-weighted focal loss (</w:t>
      </w:r>
      <w:r w:rsidR="003017CC" w:rsidRPr="0001101D">
        <w:rPr>
          <w:rFonts w:ascii="Cambria" w:hAnsi="Cambria" w:cs="Cambria"/>
          <w:color w:val="000000"/>
          <w:sz w:val="24"/>
          <w:szCs w:val="24"/>
        </w:rPr>
        <w:t>γ</w:t>
      </w:r>
      <w:r w:rsidR="003017CC" w:rsidRPr="0001101D">
        <w:rPr>
          <w:rFonts w:ascii="Simplified Arabic" w:hAnsi="Simplified Arabic" w:cs="Simplified Arabic"/>
          <w:color w:val="000000"/>
          <w:sz w:val="24"/>
          <w:szCs w:val="24"/>
        </w:rPr>
        <w:t xml:space="preserve"> = 2.0), which down-weights well-classified examples and focuses training on harder, minority-class cases.</w:t>
      </w:r>
    </w:p>
    <w:p w:rsidR="00527DCD" w:rsidRPr="0001101D" w:rsidRDefault="003017CC">
      <w:pPr>
        <w:spacing w:before="200" w:after="80"/>
        <w:rPr>
          <w:rFonts w:ascii="Simplified Arabic" w:hAnsi="Simplified Arabic" w:cs="Simplified Arabic"/>
        </w:rPr>
      </w:pPr>
      <w:r w:rsidRPr="0001101D">
        <w:rPr>
          <w:rFonts w:ascii="Simplified Arabic" w:hAnsi="Simplified Arabic" w:cs="Simplified Arabic"/>
          <w:b/>
          <w:bCs/>
          <w:color w:val="000000"/>
        </w:rPr>
        <w:t>Table (3): Training hyperparameters.</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4508"/>
        <w:gridCol w:w="4508"/>
      </w:tblGrid>
      <w:tr w:rsidR="00527DCD" w:rsidRPr="0001101D">
        <w:trPr>
          <w:tblHeader/>
        </w:trPr>
        <w:tc>
          <w:tcPr>
            <w:tcW w:w="25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Hyperparameter</w:t>
            </w:r>
          </w:p>
        </w:tc>
        <w:tc>
          <w:tcPr>
            <w:tcW w:w="25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Value</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Input size (EfficientNet-B4)</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380 × 380 px</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Input size (ResNet-50 / MobileNetV3)</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224 × 224 px</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Batch size</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32</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Initial learning rate</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 × 10</w:t>
            </w:r>
            <w:r w:rsidRPr="0001101D">
              <w:rPr>
                <w:color w:val="000000"/>
              </w:rPr>
              <w:t>⁻⁴</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Optimizer</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AdamW</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Weight decay (L2)</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 × 10</w:t>
            </w:r>
            <w:r w:rsidRPr="0001101D">
              <w:rPr>
                <w:color w:val="000000"/>
              </w:rPr>
              <w:t>⁻⁵</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LR scheduler</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Cosine Annealing with Warm Restarts</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Phase 1 / Phase 2 epochs</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5 / up to 8</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Dropout (head layers 1, 2)</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0.50, 0.30</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Focal loss gamma (</w:t>
            </w:r>
            <w:r w:rsidRPr="0001101D">
              <w:rPr>
                <w:rFonts w:ascii="Cambria" w:hAnsi="Cambria" w:cs="Cambria"/>
                <w:color w:val="000000"/>
              </w:rPr>
              <w:t>γ</w:t>
            </w:r>
            <w:r w:rsidRPr="0001101D">
              <w:rPr>
                <w:rFonts w:ascii="Simplified Arabic" w:hAnsi="Simplified Arabic" w:cs="Simplified Arabic"/>
                <w:color w:val="000000"/>
              </w:rPr>
              <w:t>)</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2.0</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Class-weight strategy</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Inverse frequency</w:t>
            </w:r>
          </w:p>
        </w:tc>
      </w:tr>
    </w:tbl>
    <w:p w:rsidR="00527DCD" w:rsidRDefault="00FE46CF">
      <w:pPr>
        <w:spacing w:after="160"/>
        <w:jc w:val="both"/>
        <w:rPr>
          <w:rFonts w:ascii="Simplified Arabic" w:hAnsi="Simplified Arabic" w:cs="Simplified Arabic"/>
          <w:color w:val="000000"/>
          <w:sz w:val="24"/>
          <w:szCs w:val="24"/>
        </w:rPr>
      </w:pPr>
      <w:r>
        <w:rPr>
          <w:rFonts w:ascii="Simplified Arabic" w:hAnsi="Simplified Arabic" w:cs="Simplified Arabic"/>
          <w:b/>
          <w:bCs/>
          <w:color w:val="000000"/>
          <w:sz w:val="24"/>
          <w:szCs w:val="24"/>
        </w:rPr>
        <w:t>6</w:t>
      </w:r>
      <w:r w:rsidR="003017CC" w:rsidRPr="0001101D">
        <w:rPr>
          <w:rFonts w:ascii="Simplified Arabic" w:hAnsi="Simplified Arabic" w:cs="Simplified Arabic"/>
          <w:b/>
          <w:bCs/>
          <w:color w:val="000000"/>
          <w:sz w:val="24"/>
          <w:szCs w:val="24"/>
        </w:rPr>
        <w:t xml:space="preserve">.9 Evaluation Metrics. </w:t>
      </w:r>
      <w:r w:rsidR="003017CC" w:rsidRPr="0001101D">
        <w:rPr>
          <w:rFonts w:ascii="Simplified Arabic" w:hAnsi="Simplified Arabic" w:cs="Simplified Arabic"/>
          <w:color w:val="000000"/>
          <w:sz w:val="24"/>
          <w:szCs w:val="24"/>
        </w:rPr>
        <w:t>Model performance on the held-out test set (2,490 images) was assessed using overall accuracy, per-class precision, recall, macro F1-score, weighted F1-score, Cohen's Kappa, one-vs-rest AUC-ROC, and confusion-matrix analysis, selected specifically to reveal performance on minority classes that overall accuracy alone can obscure.</w:t>
      </w:r>
    </w:p>
    <w:p w:rsidR="00147DD2" w:rsidRPr="00147DD2" w:rsidRDefault="00147DD2" w:rsidP="00147DD2">
      <w:pPr>
        <w:spacing w:after="160"/>
        <w:jc w:val="both"/>
        <w:rPr>
          <w:rFonts w:ascii="Simplified Arabic" w:hAnsi="Simplified Arabic" w:cs="Simplified Arabic"/>
          <w:color w:val="000000"/>
          <w:sz w:val="24"/>
          <w:szCs w:val="24"/>
        </w:rPr>
      </w:pPr>
      <w:r w:rsidRPr="00592D7B">
        <w:rPr>
          <w:rFonts w:ascii="Simplified Arabic" w:hAnsi="Simplified Arabic" w:cs="Simplified Arabic"/>
          <w:b/>
          <w:bCs/>
          <w:color w:val="000000"/>
          <w:sz w:val="24"/>
          <w:szCs w:val="24"/>
        </w:rPr>
        <w:lastRenderedPageBreak/>
        <w:t>Overall Accuracy:</w:t>
      </w:r>
      <w:r>
        <w:rPr>
          <w:rFonts w:ascii="Simplified Arabic" w:hAnsi="Simplified Arabic" w:cs="Simplified Arabic"/>
          <w:color w:val="000000"/>
          <w:sz w:val="24"/>
          <w:szCs w:val="24"/>
        </w:rPr>
        <w:t xml:space="preserve"> </w:t>
      </w:r>
      <w:r w:rsidRPr="00147DD2">
        <w:rPr>
          <w:rFonts w:ascii="Simplified Arabic" w:hAnsi="Simplified Arabic" w:cs="Simplified Arabic"/>
          <w:color w:val="000000"/>
          <w:sz w:val="24"/>
          <w:szCs w:val="24"/>
        </w:rPr>
        <w:t>provides a simplified global view on how model classify correct results across all classes. Accuracy alone in imbalanced medical datasets can be misleading; because it may hide poor performance on minority classes. For multi class classific</w:t>
      </w:r>
      <w:r>
        <w:rPr>
          <w:rFonts w:ascii="Simplified Arabic" w:hAnsi="Simplified Arabic" w:cs="Simplified Arabic"/>
          <w:color w:val="000000"/>
          <w:sz w:val="24"/>
          <w:szCs w:val="24"/>
        </w:rPr>
        <w:t>ation, following equation</w:t>
      </w:r>
      <w:r w:rsidRPr="00147DD2">
        <w:rPr>
          <w:rFonts w:ascii="Simplified Arabic" w:hAnsi="Simplified Arabic" w:cs="Simplified Arabic"/>
          <w:color w:val="000000"/>
          <w:sz w:val="24"/>
          <w:szCs w:val="24"/>
        </w:rPr>
        <w:t xml:space="preserve"> used:</w:t>
      </w:r>
    </w:p>
    <w:p w:rsidR="00147DD2" w:rsidRPr="00147DD2" w:rsidRDefault="00147DD2" w:rsidP="00147DD2">
      <w:pPr>
        <w:spacing w:after="160"/>
        <w:jc w:val="both"/>
        <w:rPr>
          <w:rFonts w:asciiTheme="majorBidi" w:hAnsiTheme="majorBidi" w:cstheme="majorBidi"/>
          <w:color w:val="000000"/>
          <w:sz w:val="24"/>
          <w:szCs w:val="24"/>
        </w:rPr>
      </w:pPr>
      <m:oMathPara>
        <m:oMath>
          <m:r>
            <w:rPr>
              <w:rFonts w:ascii="Cambria Math" w:eastAsia="Calibri" w:hAnsi="Cambria Math" w:cstheme="majorBidi"/>
              <w:sz w:val="22"/>
            </w:rPr>
            <m:t xml:space="preserve">Ovarall Accuracy= </m:t>
          </m:r>
          <m:f>
            <m:fPr>
              <m:ctrlPr>
                <w:rPr>
                  <w:rFonts w:ascii="Cambria Math" w:eastAsia="Calibri" w:hAnsi="Cambria Math" w:cstheme="majorBidi"/>
                  <w:i/>
                  <w:iCs/>
                  <w:sz w:val="22"/>
                </w:rPr>
              </m:ctrlPr>
            </m:fPr>
            <m:num>
              <m:nary>
                <m:naryPr>
                  <m:chr m:val="∑"/>
                  <m:limLoc m:val="undOvr"/>
                  <m:ctrlPr>
                    <w:rPr>
                      <w:rFonts w:ascii="Cambria Math" w:eastAsia="Calibri" w:hAnsi="Cambria Math" w:cstheme="majorBidi"/>
                      <w:i/>
                      <w:iCs/>
                      <w:sz w:val="22"/>
                    </w:rPr>
                  </m:ctrlPr>
                </m:naryPr>
                <m:sub>
                  <m:r>
                    <w:rPr>
                      <w:rFonts w:ascii="Cambria Math" w:eastAsia="Calibri" w:hAnsi="Cambria Math" w:cstheme="majorBidi"/>
                      <w:sz w:val="22"/>
                    </w:rPr>
                    <m:t>i=1</m:t>
                  </m:r>
                </m:sub>
                <m:sup>
                  <m:r>
                    <w:rPr>
                      <w:rFonts w:ascii="Cambria Math" w:eastAsia="Calibri" w:hAnsi="Cambria Math" w:cstheme="majorBidi"/>
                      <w:sz w:val="22"/>
                    </w:rPr>
                    <m:t>K</m:t>
                  </m:r>
                </m:sup>
                <m:e>
                  <m:r>
                    <w:rPr>
                      <w:rFonts w:ascii="Cambria Math" w:eastAsia="Calibri" w:hAnsi="Cambria Math" w:cstheme="majorBidi"/>
                      <w:sz w:val="22"/>
                    </w:rPr>
                    <m:t>Correct Predictions</m:t>
                  </m:r>
                  <m:d>
                    <m:dPr>
                      <m:ctrlPr>
                        <w:rPr>
                          <w:rFonts w:ascii="Cambria Math" w:eastAsia="Calibri" w:hAnsi="Cambria Math" w:cstheme="majorBidi"/>
                          <w:i/>
                          <w:iCs/>
                          <w:sz w:val="22"/>
                        </w:rPr>
                      </m:ctrlPr>
                    </m:dPr>
                    <m:e>
                      <m:r>
                        <w:rPr>
                          <w:rFonts w:ascii="Cambria Math" w:eastAsia="Calibri" w:hAnsi="Cambria Math" w:cstheme="majorBidi"/>
                          <w:sz w:val="22"/>
                        </w:rPr>
                        <m:t>i</m:t>
                      </m:r>
                    </m:e>
                  </m:d>
                </m:e>
              </m:nary>
            </m:num>
            <m:den>
              <m:nary>
                <m:naryPr>
                  <m:chr m:val="∑"/>
                  <m:limLoc m:val="undOvr"/>
                  <m:ctrlPr>
                    <w:rPr>
                      <w:rFonts w:ascii="Cambria Math" w:eastAsia="Calibri" w:hAnsi="Cambria Math" w:cstheme="majorBidi"/>
                      <w:i/>
                      <w:iCs/>
                      <w:sz w:val="22"/>
                    </w:rPr>
                  </m:ctrlPr>
                </m:naryPr>
                <m:sub>
                  <m:r>
                    <w:rPr>
                      <w:rFonts w:ascii="Cambria Math" w:eastAsia="Calibri" w:hAnsi="Cambria Math" w:cstheme="majorBidi"/>
                      <w:sz w:val="22"/>
                    </w:rPr>
                    <m:t>i=1</m:t>
                  </m:r>
                </m:sub>
                <m:sup>
                  <m:r>
                    <w:rPr>
                      <w:rFonts w:ascii="Cambria Math" w:eastAsia="Calibri" w:hAnsi="Cambria Math" w:cstheme="majorBidi"/>
                      <w:sz w:val="22"/>
                    </w:rPr>
                    <m:t>K</m:t>
                  </m:r>
                </m:sup>
                <m:e>
                  <m:r>
                    <w:rPr>
                      <w:rFonts w:ascii="Cambria Math" w:eastAsia="Calibri" w:hAnsi="Cambria Math" w:cstheme="majorBidi"/>
                      <w:sz w:val="22"/>
                    </w:rPr>
                    <m:t>Total Sample</m:t>
                  </m:r>
                  <m:d>
                    <m:dPr>
                      <m:ctrlPr>
                        <w:rPr>
                          <w:rFonts w:ascii="Cambria Math" w:eastAsia="Calibri" w:hAnsi="Cambria Math" w:cstheme="majorBidi"/>
                          <w:i/>
                          <w:iCs/>
                          <w:sz w:val="22"/>
                        </w:rPr>
                      </m:ctrlPr>
                    </m:dPr>
                    <m:e>
                      <m:r>
                        <w:rPr>
                          <w:rFonts w:ascii="Cambria Math" w:eastAsia="Calibri" w:hAnsi="Cambria Math" w:cstheme="majorBidi"/>
                          <w:sz w:val="22"/>
                        </w:rPr>
                        <m:t>i</m:t>
                      </m:r>
                    </m:e>
                  </m:d>
                </m:e>
              </m:nary>
            </m:den>
          </m:f>
        </m:oMath>
      </m:oMathPara>
    </w:p>
    <w:p w:rsidR="00147DD2" w:rsidRPr="00147DD2" w:rsidRDefault="00147DD2" w:rsidP="00147DD2">
      <w:pPr>
        <w:spacing w:after="160"/>
        <w:jc w:val="both"/>
        <w:rPr>
          <w:rFonts w:ascii="Simplified Arabic" w:hAnsi="Simplified Arabic" w:cs="Simplified Arabic"/>
          <w:color w:val="000000"/>
          <w:sz w:val="24"/>
          <w:szCs w:val="24"/>
        </w:rPr>
      </w:pPr>
      <w:r w:rsidRPr="00592D7B">
        <w:rPr>
          <w:rFonts w:ascii="Simplified Arabic" w:hAnsi="Simplified Arabic" w:cs="Simplified Arabic"/>
          <w:b/>
          <w:bCs/>
          <w:color w:val="000000"/>
          <w:sz w:val="24"/>
          <w:szCs w:val="24"/>
        </w:rPr>
        <w:t>Precision:</w:t>
      </w:r>
      <w:r w:rsidRPr="00147DD2">
        <w:rPr>
          <w:rFonts w:ascii="Simplified Arabic" w:hAnsi="Simplified Arabic" w:cs="Simplified Arabic"/>
          <w:color w:val="000000"/>
          <w:sz w:val="24"/>
          <w:szCs w:val="24"/>
        </w:rPr>
        <w:t xml:space="preserve"> measures how the model reliable in positive classification, while per-class precision measures positive classification for each class. High precision means the model rarely mislabels provided images, it calculated via the following equation:</w:t>
      </w:r>
    </w:p>
    <w:p w:rsidR="00147DD2" w:rsidRPr="00147DD2" w:rsidRDefault="00147DD2" w:rsidP="00147DD2">
      <w:pPr>
        <w:spacing w:after="160"/>
        <w:jc w:val="both"/>
        <w:rPr>
          <w:rFonts w:asciiTheme="majorBidi" w:hAnsiTheme="majorBidi" w:cstheme="majorBidi"/>
          <w:color w:val="000000"/>
          <w:sz w:val="24"/>
          <w:szCs w:val="24"/>
        </w:rPr>
      </w:pPr>
      <m:oMathPara>
        <m:oMath>
          <m:r>
            <w:rPr>
              <w:rFonts w:ascii="Cambria Math" w:eastAsia="Calibri" w:hAnsi="Cambria Math" w:cstheme="majorBidi"/>
              <w:sz w:val="22"/>
              <w:szCs w:val="22"/>
            </w:rPr>
            <m:t xml:space="preserve">Precision= </m:t>
          </m:r>
          <m:f>
            <m:fPr>
              <m:ctrlPr>
                <w:rPr>
                  <w:rFonts w:ascii="Cambria Math" w:eastAsia="Calibri" w:hAnsi="Cambria Math" w:cstheme="majorBidi"/>
                  <w:i/>
                  <w:iCs/>
                  <w:sz w:val="22"/>
                  <w:szCs w:val="22"/>
                </w:rPr>
              </m:ctrlPr>
            </m:fPr>
            <m:num>
              <m:r>
                <w:rPr>
                  <w:rFonts w:ascii="Cambria Math" w:eastAsia="Calibri" w:hAnsi="Cambria Math" w:cstheme="majorBidi"/>
                  <w:sz w:val="22"/>
                  <w:szCs w:val="22"/>
                </w:rPr>
                <m:t>TP</m:t>
              </m:r>
            </m:num>
            <m:den>
              <m:r>
                <w:rPr>
                  <w:rFonts w:ascii="Cambria Math" w:eastAsia="Calibri" w:hAnsi="Cambria Math" w:cstheme="majorBidi"/>
                  <w:sz w:val="22"/>
                  <w:szCs w:val="22"/>
                </w:rPr>
                <m:t>TP + FP</m:t>
              </m:r>
            </m:den>
          </m:f>
        </m:oMath>
      </m:oMathPara>
    </w:p>
    <w:p w:rsidR="00147DD2" w:rsidRPr="00147DD2" w:rsidRDefault="00147DD2" w:rsidP="00147DD2">
      <w:pPr>
        <w:spacing w:after="160"/>
        <w:jc w:val="both"/>
        <w:rPr>
          <w:rFonts w:ascii="Simplified Arabic" w:hAnsi="Simplified Arabic" w:cs="Simplified Arabic"/>
          <w:color w:val="000000"/>
          <w:sz w:val="24"/>
          <w:szCs w:val="24"/>
        </w:rPr>
      </w:pPr>
      <w:r w:rsidRPr="00592D7B">
        <w:rPr>
          <w:rFonts w:ascii="Simplified Arabic" w:hAnsi="Simplified Arabic" w:cs="Simplified Arabic"/>
          <w:b/>
          <w:bCs/>
          <w:color w:val="000000"/>
          <w:sz w:val="24"/>
          <w:szCs w:val="24"/>
        </w:rPr>
        <w:t>Recall (Sensitivity):</w:t>
      </w:r>
      <w:r>
        <w:rPr>
          <w:rFonts w:ascii="Simplified Arabic" w:hAnsi="Simplified Arabic" w:cs="Simplified Arabic"/>
          <w:color w:val="000000"/>
          <w:sz w:val="24"/>
          <w:szCs w:val="24"/>
        </w:rPr>
        <w:t xml:space="preserve"> </w:t>
      </w:r>
      <w:r w:rsidRPr="00147DD2">
        <w:rPr>
          <w:rFonts w:ascii="Simplified Arabic" w:hAnsi="Simplified Arabic" w:cs="Simplified Arabic"/>
          <w:color w:val="000000"/>
          <w:sz w:val="24"/>
          <w:szCs w:val="24"/>
        </w:rPr>
        <w:t>measures how the model detects each condition. High recall is considered as FN (false negative) can be far more harmful than a false alarm.</w:t>
      </w:r>
    </w:p>
    <w:p w:rsidR="00147DD2" w:rsidRPr="00147DD2" w:rsidRDefault="00147DD2" w:rsidP="00147DD2">
      <w:pPr>
        <w:spacing w:before="100" w:beforeAutospacing="1" w:after="100" w:afterAutospacing="1"/>
        <w:rPr>
          <w:rFonts w:asciiTheme="majorBidi" w:hAnsiTheme="majorBidi" w:cstheme="majorBidi"/>
          <w:i/>
          <w:iCs/>
          <w:sz w:val="22"/>
        </w:rPr>
      </w:pPr>
      <m:oMathPara>
        <m:oMath>
          <m:r>
            <w:rPr>
              <w:rFonts w:ascii="Cambria Math" w:eastAsia="Calibri" w:hAnsi="Cambria Math" w:cstheme="majorBidi"/>
              <w:sz w:val="22"/>
            </w:rPr>
            <m:t xml:space="preserve">Recall= </m:t>
          </m:r>
          <m:f>
            <m:fPr>
              <m:ctrlPr>
                <w:rPr>
                  <w:rFonts w:ascii="Cambria Math" w:eastAsia="Calibri" w:hAnsi="Cambria Math" w:cstheme="majorBidi"/>
                  <w:i/>
                  <w:iCs/>
                  <w:sz w:val="22"/>
                </w:rPr>
              </m:ctrlPr>
            </m:fPr>
            <m:num>
              <m:r>
                <w:rPr>
                  <w:rFonts w:ascii="Cambria Math" w:eastAsia="Calibri" w:hAnsi="Cambria Math" w:cstheme="majorBidi"/>
                  <w:sz w:val="22"/>
                </w:rPr>
                <m:t>TP</m:t>
              </m:r>
            </m:num>
            <m:den>
              <m:r>
                <w:rPr>
                  <w:rFonts w:ascii="Cambria Math" w:eastAsia="Calibri" w:hAnsi="Cambria Math" w:cstheme="majorBidi"/>
                  <w:sz w:val="22"/>
                </w:rPr>
                <m:t>TP + FN</m:t>
              </m:r>
            </m:den>
          </m:f>
          <m:r>
            <w:rPr>
              <w:rFonts w:ascii="Cambria Math" w:eastAsia="Calibri" w:hAnsi="Cambria Math" w:cstheme="majorBidi"/>
              <w:sz w:val="22"/>
            </w:rPr>
            <m:t xml:space="preserve"> </m:t>
          </m:r>
        </m:oMath>
      </m:oMathPara>
    </w:p>
    <w:p w:rsidR="00147DD2" w:rsidRPr="00147DD2" w:rsidRDefault="00147DD2" w:rsidP="00147DD2">
      <w:pPr>
        <w:spacing w:after="160"/>
        <w:jc w:val="both"/>
        <w:rPr>
          <w:rFonts w:ascii="Simplified Arabic" w:hAnsi="Simplified Arabic" w:cs="Simplified Arabic"/>
          <w:color w:val="000000"/>
          <w:sz w:val="24"/>
          <w:szCs w:val="24"/>
        </w:rPr>
      </w:pPr>
      <w:r w:rsidRPr="00592D7B">
        <w:rPr>
          <w:rFonts w:ascii="Simplified Arabic" w:hAnsi="Simplified Arabic" w:cs="Simplified Arabic"/>
          <w:b/>
          <w:bCs/>
          <w:color w:val="000000"/>
          <w:sz w:val="24"/>
          <w:szCs w:val="24"/>
        </w:rPr>
        <w:t>Macro F1 Score:</w:t>
      </w:r>
      <w:r>
        <w:rPr>
          <w:rFonts w:ascii="Simplified Arabic" w:hAnsi="Simplified Arabic" w:cs="Simplified Arabic"/>
          <w:color w:val="000000"/>
          <w:sz w:val="24"/>
          <w:szCs w:val="24"/>
        </w:rPr>
        <w:t xml:space="preserve"> </w:t>
      </w:r>
      <w:r w:rsidRPr="00147DD2">
        <w:rPr>
          <w:rFonts w:ascii="Simplified Arabic" w:hAnsi="Simplified Arabic" w:cs="Simplified Arabic"/>
          <w:color w:val="000000"/>
          <w:sz w:val="24"/>
          <w:szCs w:val="24"/>
        </w:rPr>
        <w:t>treats all classes equally, regardless of how many samples each class has. Macro F1 Score useful when evaluating imbalanced datasets to ensuring minority classes received equal attention:</w:t>
      </w:r>
    </w:p>
    <w:p w:rsidR="00147DD2" w:rsidRPr="00147DD2" w:rsidRDefault="00147DD2" w:rsidP="00147DD2">
      <w:pPr>
        <w:spacing w:before="100" w:beforeAutospacing="1" w:after="100" w:afterAutospacing="1"/>
        <w:rPr>
          <w:i/>
          <w:iCs/>
          <w:sz w:val="22"/>
          <w:szCs w:val="22"/>
        </w:rPr>
      </w:pPr>
      <m:oMathPara>
        <m:oMath>
          <m:r>
            <w:rPr>
              <w:rFonts w:ascii="Cambria Math" w:hAnsi="Cambria Math"/>
              <w:sz w:val="22"/>
              <w:szCs w:val="22"/>
            </w:rPr>
            <m:t xml:space="preserve">Macro F1= </m:t>
          </m:r>
          <m:f>
            <m:fPr>
              <m:ctrlPr>
                <w:rPr>
                  <w:rFonts w:ascii="Cambria Math" w:hAnsi="Cambria Math"/>
                  <w:i/>
                  <w:iCs/>
                  <w:sz w:val="22"/>
                  <w:szCs w:val="22"/>
                </w:rPr>
              </m:ctrlPr>
            </m:fPr>
            <m:num>
              <m:r>
                <w:rPr>
                  <w:rFonts w:ascii="Cambria Math" w:hAnsi="Cambria Math"/>
                  <w:sz w:val="22"/>
                  <w:szCs w:val="22"/>
                </w:rPr>
                <m:t>1</m:t>
              </m:r>
            </m:num>
            <m:den>
              <m:r>
                <w:rPr>
                  <w:rFonts w:ascii="Cambria Math" w:hAnsi="Cambria Math"/>
                  <w:sz w:val="22"/>
                  <w:szCs w:val="22"/>
                </w:rPr>
                <m:t>K</m:t>
              </m:r>
            </m:den>
          </m:f>
          <m:r>
            <w:rPr>
              <w:rFonts w:ascii="Cambria Math" w:hAnsi="Cambria Math"/>
              <w:sz w:val="22"/>
              <w:szCs w:val="22"/>
            </w:rPr>
            <m:t xml:space="preserve"> </m:t>
          </m:r>
          <m:nary>
            <m:naryPr>
              <m:chr m:val="∑"/>
              <m:limLoc m:val="undOvr"/>
              <m:ctrlPr>
                <w:rPr>
                  <w:rFonts w:ascii="Cambria Math" w:hAnsi="Cambria Math"/>
                  <w:i/>
                  <w:iCs/>
                  <w:sz w:val="22"/>
                  <w:szCs w:val="22"/>
                </w:rPr>
              </m:ctrlPr>
            </m:naryPr>
            <m:sub>
              <m:r>
                <w:rPr>
                  <w:rFonts w:ascii="Cambria Math" w:hAnsi="Cambria Math"/>
                  <w:sz w:val="22"/>
                  <w:szCs w:val="22"/>
                </w:rPr>
                <m:t>i=1</m:t>
              </m:r>
            </m:sub>
            <m:sup>
              <m:r>
                <w:rPr>
                  <w:rFonts w:ascii="Cambria Math" w:hAnsi="Cambria Math"/>
                  <w:sz w:val="22"/>
                  <w:szCs w:val="22"/>
                </w:rPr>
                <m:t>K</m:t>
              </m:r>
            </m:sup>
            <m:e>
              <m:r>
                <w:rPr>
                  <w:rFonts w:ascii="Cambria Math" w:hAnsi="Cambria Math"/>
                  <w:sz w:val="22"/>
                  <w:szCs w:val="22"/>
                </w:rPr>
                <m:t>F1(i)</m:t>
              </m:r>
            </m:e>
          </m:nary>
          <m:r>
            <w:rPr>
              <w:rFonts w:ascii="Cambria Math" w:hAnsi="Cambria Math"/>
              <w:sz w:val="22"/>
              <w:szCs w:val="22"/>
            </w:rPr>
            <m:t xml:space="preserve"> </m:t>
          </m:r>
          <m:r>
            <w:rPr>
              <w:rFonts w:ascii="Cambria Math"/>
              <w:sz w:val="22"/>
              <w:szCs w:val="22"/>
            </w:rPr>
            <m:t xml:space="preserve"> </m:t>
          </m:r>
        </m:oMath>
      </m:oMathPara>
    </w:p>
    <w:p w:rsidR="00147DD2" w:rsidRPr="00147DD2" w:rsidRDefault="00147DD2" w:rsidP="00147DD2">
      <w:pPr>
        <w:spacing w:after="160"/>
        <w:jc w:val="both"/>
        <w:rPr>
          <w:rFonts w:ascii="Simplified Arabic" w:hAnsi="Simplified Arabic" w:cs="Simplified Arabic"/>
          <w:color w:val="000000"/>
          <w:sz w:val="24"/>
          <w:szCs w:val="24"/>
        </w:rPr>
      </w:pPr>
      <w:r w:rsidRPr="00147DD2">
        <w:rPr>
          <w:rFonts w:ascii="Simplified Arabic" w:hAnsi="Simplified Arabic" w:cs="Simplified Arabic"/>
          <w:color w:val="000000"/>
          <w:sz w:val="24"/>
          <w:szCs w:val="24"/>
        </w:rPr>
        <w:t>Where each class F1 is:</w:t>
      </w:r>
    </w:p>
    <w:p w:rsidR="00147DD2" w:rsidRPr="00147DD2" w:rsidRDefault="00147DD2" w:rsidP="00147DD2">
      <w:pPr>
        <w:spacing w:after="160" w:line="259" w:lineRule="auto"/>
        <w:rPr>
          <w:rFonts w:ascii="Calibri" w:eastAsia="Calibri" w:hAnsi="Calibri" w:cs="Arial"/>
          <w:i/>
          <w:sz w:val="22"/>
        </w:rPr>
      </w:pPr>
      <m:oMathPara>
        <m:oMath>
          <m:r>
            <w:rPr>
              <w:rFonts w:ascii="Cambria Math" w:eastAsia="Calibri" w:hAnsi="Cambria Math" w:cs="Arial"/>
              <w:sz w:val="22"/>
            </w:rPr>
            <m:t xml:space="preserve">F1 </m:t>
          </m:r>
          <m:d>
            <m:dPr>
              <m:ctrlPr>
                <w:rPr>
                  <w:rFonts w:ascii="Cambria Math" w:eastAsia="Calibri" w:hAnsi="Cambria Math" w:cs="Arial"/>
                  <w:i/>
                  <w:sz w:val="22"/>
                </w:rPr>
              </m:ctrlPr>
            </m:dPr>
            <m:e>
              <m:r>
                <w:rPr>
                  <w:rFonts w:ascii="Cambria Math" w:eastAsia="Calibri" w:hAnsi="Cambria Math" w:cs="Arial"/>
                  <w:sz w:val="22"/>
                </w:rPr>
                <m:t>i</m:t>
              </m:r>
            </m:e>
          </m:d>
          <m:r>
            <w:rPr>
              <w:rFonts w:ascii="Cambria Math" w:eastAsia="Calibri" w:hAnsi="Cambria Math" w:cs="Arial"/>
              <w:sz w:val="22"/>
            </w:rPr>
            <m:t xml:space="preserve">=2 × </m:t>
          </m:r>
          <m:f>
            <m:fPr>
              <m:ctrlPr>
                <w:rPr>
                  <w:rFonts w:ascii="Cambria Math" w:eastAsia="Calibri" w:hAnsi="Cambria Math" w:cs="Arial"/>
                  <w:i/>
                  <w:sz w:val="22"/>
                </w:rPr>
              </m:ctrlPr>
            </m:fPr>
            <m:num>
              <m:r>
                <w:rPr>
                  <w:rFonts w:ascii="Cambria Math" w:eastAsia="Calibri" w:hAnsi="Cambria Math" w:cs="Arial"/>
                  <w:sz w:val="22"/>
                </w:rPr>
                <m:t>Precision(i)×Recall(i)</m:t>
              </m:r>
            </m:num>
            <m:den>
              <m:r>
                <w:rPr>
                  <w:rFonts w:ascii="Cambria Math" w:eastAsia="Calibri" w:hAnsi="Cambria Math" w:cs="Arial"/>
                  <w:sz w:val="22"/>
                </w:rPr>
                <m:t>Precision(i)+Recall(i)</m:t>
              </m:r>
            </m:den>
          </m:f>
        </m:oMath>
      </m:oMathPara>
    </w:p>
    <w:p w:rsidR="00147DD2" w:rsidRPr="00147DD2" w:rsidRDefault="00147DD2" w:rsidP="00147DD2">
      <w:pPr>
        <w:spacing w:after="160"/>
        <w:jc w:val="both"/>
        <w:rPr>
          <w:rFonts w:ascii="Simplified Arabic" w:hAnsi="Simplified Arabic" w:cs="Simplified Arabic"/>
          <w:color w:val="000000"/>
          <w:sz w:val="24"/>
          <w:szCs w:val="24"/>
        </w:rPr>
      </w:pPr>
      <w:r w:rsidRPr="00592D7B">
        <w:rPr>
          <w:rFonts w:ascii="Simplified Arabic" w:hAnsi="Simplified Arabic" w:cs="Simplified Arabic"/>
          <w:b/>
          <w:bCs/>
          <w:color w:val="000000"/>
          <w:sz w:val="24"/>
          <w:szCs w:val="24"/>
        </w:rPr>
        <w:t>Weighted F1 Score:</w:t>
      </w:r>
      <w:r>
        <w:rPr>
          <w:rFonts w:ascii="Simplified Arabic" w:hAnsi="Simplified Arabic" w:cs="Simplified Arabic"/>
          <w:color w:val="000000"/>
          <w:sz w:val="24"/>
          <w:szCs w:val="24"/>
        </w:rPr>
        <w:t xml:space="preserve"> </w:t>
      </w:r>
      <w:r w:rsidRPr="00147DD2">
        <w:rPr>
          <w:rFonts w:ascii="Simplified Arabic" w:hAnsi="Simplified Arabic" w:cs="Simplified Arabic"/>
          <w:color w:val="000000"/>
          <w:sz w:val="24"/>
          <w:szCs w:val="24"/>
        </w:rPr>
        <w:t>measured based on how many samples each class has it adjusts contribution of that certain class. This will prevents small classes from dominating the evaluation and give more realistic results of overall performance.</w:t>
      </w:r>
    </w:p>
    <w:p w:rsidR="00147DD2" w:rsidRPr="00147DD2" w:rsidRDefault="00147DD2" w:rsidP="00147DD2">
      <w:pPr>
        <w:spacing w:before="100" w:beforeAutospacing="1" w:after="100" w:afterAutospacing="1"/>
        <w:rPr>
          <w:i/>
          <w:iCs/>
          <w:sz w:val="24"/>
          <w:szCs w:val="22"/>
        </w:rPr>
      </w:pPr>
      <m:oMathPara>
        <m:oMath>
          <m:r>
            <w:rPr>
              <w:rFonts w:ascii="Cambria Math" w:hAnsi="Cambria Math"/>
              <w:sz w:val="24"/>
              <w:szCs w:val="22"/>
            </w:rPr>
            <m:t>Weighted F1=</m:t>
          </m:r>
          <m:nary>
            <m:naryPr>
              <m:chr m:val="∑"/>
              <m:limLoc m:val="undOvr"/>
              <m:ctrlPr>
                <w:rPr>
                  <w:rFonts w:ascii="Cambria Math" w:hAnsi="Cambria Math"/>
                  <w:i/>
                  <w:iCs/>
                  <w:sz w:val="24"/>
                  <w:szCs w:val="22"/>
                </w:rPr>
              </m:ctrlPr>
            </m:naryPr>
            <m:sub>
              <m:r>
                <w:rPr>
                  <w:rFonts w:ascii="Cambria Math"/>
                  <w:sz w:val="24"/>
                  <w:szCs w:val="22"/>
                </w:rPr>
                <m:t>i=1</m:t>
              </m:r>
            </m:sub>
            <m:sup>
              <m:r>
                <w:rPr>
                  <w:rFonts w:ascii="Cambria Math"/>
                  <w:sz w:val="24"/>
                  <w:szCs w:val="22"/>
                </w:rPr>
                <m:t>K</m:t>
              </m:r>
            </m:sup>
            <m:e>
              <m:r>
                <w:rPr>
                  <w:rFonts w:ascii="Cambria Math"/>
                  <w:sz w:val="24"/>
                  <w:szCs w:val="22"/>
                </w:rPr>
                <m:t>w</m:t>
              </m:r>
              <m:d>
                <m:dPr>
                  <m:ctrlPr>
                    <w:rPr>
                      <w:rFonts w:ascii="Cambria Math" w:hAnsi="Cambria Math"/>
                      <w:i/>
                      <w:iCs/>
                      <w:sz w:val="24"/>
                      <w:szCs w:val="22"/>
                    </w:rPr>
                  </m:ctrlPr>
                </m:dPr>
                <m:e>
                  <m:r>
                    <w:rPr>
                      <w:rFonts w:ascii="Cambria Math"/>
                      <w:sz w:val="24"/>
                      <w:szCs w:val="22"/>
                    </w:rPr>
                    <m:t>i</m:t>
                  </m:r>
                </m:e>
              </m:d>
              <m:r>
                <w:rPr>
                  <w:rFonts w:ascii="Cambria Math"/>
                  <w:sz w:val="24"/>
                  <w:szCs w:val="22"/>
                </w:rPr>
                <m:t>. F1(i)</m:t>
              </m:r>
            </m:e>
          </m:nary>
        </m:oMath>
      </m:oMathPara>
    </w:p>
    <w:p w:rsidR="00147DD2" w:rsidRPr="00147DD2" w:rsidRDefault="00147DD2" w:rsidP="00147DD2">
      <w:pPr>
        <w:spacing w:before="100" w:beforeAutospacing="1" w:after="100" w:afterAutospacing="1"/>
        <w:rPr>
          <w:sz w:val="22"/>
        </w:rPr>
      </w:pPr>
      <w:r w:rsidRPr="00147DD2">
        <w:rPr>
          <w:rFonts w:ascii="Simplified Arabic" w:hAnsi="Simplified Arabic" w:cs="Simplified Arabic"/>
          <w:color w:val="000000"/>
          <w:sz w:val="24"/>
          <w:szCs w:val="24"/>
        </w:rPr>
        <w:tab/>
      </w:r>
      <w:r w:rsidRPr="00147DD2">
        <w:rPr>
          <w:rFonts w:ascii="Simplified Arabic" w:hAnsi="Simplified Arabic" w:cs="Simplified Arabic"/>
          <w:sz w:val="24"/>
          <w:szCs w:val="32"/>
        </w:rPr>
        <w:t>Where:</w:t>
      </w:r>
      <w:r>
        <w:rPr>
          <w:i/>
          <w:iCs/>
          <w:szCs w:val="24"/>
        </w:rPr>
        <w:tab/>
      </w:r>
      <w:r>
        <w:rPr>
          <w:i/>
          <w:iCs/>
          <w:szCs w:val="24"/>
        </w:rPr>
        <w:tab/>
      </w:r>
      <w:r>
        <w:rPr>
          <w:i/>
          <w:iCs/>
          <w:szCs w:val="24"/>
        </w:rPr>
        <w:tab/>
      </w:r>
      <m:oMath>
        <m:r>
          <w:rPr>
            <w:rFonts w:ascii="Cambria Math" w:hAnsi="Cambria Math"/>
            <w:sz w:val="24"/>
            <w:szCs w:val="22"/>
          </w:rPr>
          <m:t>w</m:t>
        </m:r>
        <m:d>
          <m:dPr>
            <m:ctrlPr>
              <w:rPr>
                <w:rFonts w:ascii="Cambria Math" w:hAnsi="Cambria Math"/>
                <w:i/>
                <w:sz w:val="24"/>
                <w:szCs w:val="22"/>
              </w:rPr>
            </m:ctrlPr>
          </m:dPr>
          <m:e>
            <m:r>
              <w:rPr>
                <w:rFonts w:ascii="Cambria Math" w:hAnsi="Cambria Math"/>
                <w:sz w:val="24"/>
                <w:szCs w:val="22"/>
              </w:rPr>
              <m:t>i</m:t>
            </m:r>
          </m:e>
        </m:d>
        <m:r>
          <w:rPr>
            <w:rFonts w:ascii="Cambria Math" w:hAnsi="Cambria Math"/>
            <w:sz w:val="24"/>
            <w:szCs w:val="22"/>
          </w:rPr>
          <m:t xml:space="preserve">= </m:t>
        </m:r>
        <m:f>
          <m:fPr>
            <m:ctrlPr>
              <w:rPr>
                <w:rFonts w:ascii="Cambria Math" w:hAnsi="Cambria Math"/>
                <w:i/>
                <w:sz w:val="24"/>
                <w:szCs w:val="22"/>
              </w:rPr>
            </m:ctrlPr>
          </m:fPr>
          <m:num>
            <m:r>
              <w:rPr>
                <w:rFonts w:ascii="Cambria Math" w:hAnsi="Cambria Math"/>
                <w:sz w:val="24"/>
                <w:szCs w:val="22"/>
              </w:rPr>
              <m:t>Support (i)</m:t>
            </m:r>
          </m:num>
          <m:den>
            <m:nary>
              <m:naryPr>
                <m:chr m:val="∑"/>
                <m:limLoc m:val="undOvr"/>
                <m:ctrlPr>
                  <w:rPr>
                    <w:rFonts w:ascii="Cambria Math" w:hAnsi="Cambria Math"/>
                    <w:i/>
                    <w:sz w:val="24"/>
                    <w:szCs w:val="22"/>
                  </w:rPr>
                </m:ctrlPr>
              </m:naryPr>
              <m:sub>
                <m:r>
                  <w:rPr>
                    <w:rFonts w:ascii="Cambria Math" w:hAnsi="Cambria Math"/>
                    <w:sz w:val="24"/>
                    <w:szCs w:val="22"/>
                  </w:rPr>
                  <m:t>I=1</m:t>
                </m:r>
              </m:sub>
              <m:sup>
                <m:r>
                  <w:rPr>
                    <w:rFonts w:ascii="Cambria Math" w:hAnsi="Cambria Math"/>
                    <w:sz w:val="24"/>
                    <w:szCs w:val="22"/>
                  </w:rPr>
                  <m:t>K</m:t>
                </m:r>
              </m:sup>
              <m:e>
                <m:r>
                  <w:rPr>
                    <w:rFonts w:ascii="Cambria Math" w:hAnsi="Cambria Math"/>
                    <w:sz w:val="24"/>
                    <w:szCs w:val="22"/>
                  </w:rPr>
                  <m:t>Support (i)</m:t>
                </m:r>
              </m:e>
            </m:nary>
          </m:den>
        </m:f>
      </m:oMath>
    </w:p>
    <w:p w:rsidR="00F242C3" w:rsidRPr="0001101D" w:rsidRDefault="00F242C3">
      <w:pPr>
        <w:spacing w:after="160"/>
        <w:jc w:val="both"/>
        <w:rPr>
          <w:rFonts w:ascii="Simplified Arabic" w:hAnsi="Simplified Arabic" w:cs="Simplified Arabic"/>
        </w:rPr>
      </w:pPr>
    </w:p>
    <w:p w:rsidR="00527DCD" w:rsidRPr="00F478C3" w:rsidRDefault="00147DD2"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lastRenderedPageBreak/>
        <w:t>7</w:t>
      </w:r>
      <w:r w:rsidR="003017CC" w:rsidRPr="00F478C3">
        <w:rPr>
          <w:rFonts w:ascii="Simplified Arabic" w:hAnsi="Simplified Arabic" w:cs="Simplified Arabic"/>
          <w:b/>
          <w:bCs/>
          <w:color w:val="auto"/>
          <w:sz w:val="28"/>
          <w:szCs w:val="28"/>
        </w:rPr>
        <w:t>. Results:</w:t>
      </w:r>
    </w:p>
    <w:p w:rsidR="00527DCD" w:rsidRPr="0001101D" w:rsidRDefault="00FE46CF">
      <w:pPr>
        <w:spacing w:after="160"/>
        <w:jc w:val="both"/>
        <w:rPr>
          <w:rFonts w:ascii="Simplified Arabic" w:hAnsi="Simplified Arabic" w:cs="Simplified Arabic"/>
        </w:rPr>
      </w:pPr>
      <w:r>
        <w:rPr>
          <w:rFonts w:ascii="Simplified Arabic" w:hAnsi="Simplified Arabic" w:cs="Simplified Arabic"/>
          <w:b/>
          <w:bCs/>
          <w:color w:val="000000"/>
          <w:sz w:val="24"/>
          <w:szCs w:val="24"/>
        </w:rPr>
        <w:t>7</w:t>
      </w:r>
      <w:r w:rsidR="003017CC" w:rsidRPr="0001101D">
        <w:rPr>
          <w:rFonts w:ascii="Simplified Arabic" w:hAnsi="Simplified Arabic" w:cs="Simplified Arabic"/>
          <w:b/>
          <w:bCs/>
          <w:color w:val="000000"/>
          <w:sz w:val="24"/>
          <w:szCs w:val="24"/>
        </w:rPr>
        <w:t xml:space="preserve">.1 Preprocessing Results. </w:t>
      </w:r>
      <w:r w:rsidR="003017CC" w:rsidRPr="0001101D">
        <w:rPr>
          <w:rFonts w:ascii="Simplified Arabic" w:hAnsi="Simplified Arabic" w:cs="Simplified Arabic"/>
          <w:color w:val="000000"/>
          <w:sz w:val="24"/>
          <w:szCs w:val="24"/>
        </w:rPr>
        <w:t>Qualitative inspection confirmed that the CLAHE-based preprocessing pipeline improved the visibility of small lesions and stone margins prior to model training.</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3838575" cy="3876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838575" cy="3876675"/>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6: Sample images before and after preprocessing.</w:t>
      </w:r>
    </w:p>
    <w:p w:rsidR="00527DCD" w:rsidRDefault="00FE46CF">
      <w:pPr>
        <w:spacing w:after="160"/>
        <w:jc w:val="both"/>
        <w:rPr>
          <w:rFonts w:ascii="Simplified Arabic" w:hAnsi="Simplified Arabic" w:cs="Simplified Arabic"/>
          <w:color w:val="000000"/>
          <w:sz w:val="24"/>
          <w:szCs w:val="24"/>
        </w:rPr>
      </w:pPr>
      <w:r>
        <w:rPr>
          <w:rFonts w:ascii="Simplified Arabic" w:hAnsi="Simplified Arabic" w:cs="Simplified Arabic"/>
          <w:b/>
          <w:bCs/>
          <w:color w:val="000000"/>
          <w:sz w:val="24"/>
          <w:szCs w:val="24"/>
        </w:rPr>
        <w:t>7</w:t>
      </w:r>
      <w:r w:rsidR="003017CC" w:rsidRPr="0001101D">
        <w:rPr>
          <w:rFonts w:ascii="Simplified Arabic" w:hAnsi="Simplified Arabic" w:cs="Simplified Arabic"/>
          <w:b/>
          <w:bCs/>
          <w:color w:val="000000"/>
          <w:sz w:val="24"/>
          <w:szCs w:val="24"/>
        </w:rPr>
        <w:t xml:space="preserve">.2 Classification Performance. </w:t>
      </w:r>
      <w:r w:rsidR="003017CC" w:rsidRPr="0001101D">
        <w:rPr>
          <w:rFonts w:ascii="Simplified Arabic" w:hAnsi="Simplified Arabic" w:cs="Simplified Arabic"/>
          <w:color w:val="000000"/>
          <w:sz w:val="24"/>
          <w:szCs w:val="24"/>
        </w:rPr>
        <w:t>The proposed ResNet-50 + CBAM model, trained with class-weighted focal loss (</w:t>
      </w:r>
      <w:r w:rsidR="003017CC" w:rsidRPr="0001101D">
        <w:rPr>
          <w:rFonts w:ascii="Cambria" w:hAnsi="Cambria" w:cs="Cambria"/>
          <w:color w:val="000000"/>
          <w:sz w:val="24"/>
          <w:szCs w:val="24"/>
        </w:rPr>
        <w:t>γ</w:t>
      </w:r>
      <w:r w:rsidR="003017CC" w:rsidRPr="0001101D">
        <w:rPr>
          <w:rFonts w:ascii="Simplified Arabic" w:hAnsi="Simplified Arabic" w:cs="Simplified Arabic"/>
          <w:color w:val="000000"/>
          <w:sz w:val="24"/>
          <w:szCs w:val="24"/>
        </w:rPr>
        <w:t xml:space="preserve"> = 2.0), achieved an overall test accuracy of 99.88%. Table 4 and Figure 7 present per-class precision, recall, and F1-score. The Tumor class achieved perfect performance (precision = 1.0000, recall = 1.0000, F1 = 1.0000); the Normal class reached a precision of 0.9971 and recall of 1.0000; the Cyst class achieved a precision of 1.0000; and the Stone class achieved a precision of 1.0000 with a recall of 0.9964. All class-level F1-scores exceeded 0.998, indicating a strong balance between sensitivity and specificity across the imbalanced test distribution.</w:t>
      </w:r>
    </w:p>
    <w:p w:rsidR="00FE46CF" w:rsidRDefault="00FE46CF">
      <w:pPr>
        <w:spacing w:after="160"/>
        <w:jc w:val="both"/>
        <w:rPr>
          <w:rFonts w:ascii="Simplified Arabic" w:hAnsi="Simplified Arabic" w:cs="Simplified Arabic"/>
          <w:color w:val="000000"/>
          <w:sz w:val="24"/>
          <w:szCs w:val="24"/>
        </w:rPr>
      </w:pPr>
    </w:p>
    <w:p w:rsidR="00E550D2" w:rsidRDefault="00E550D2">
      <w:pPr>
        <w:spacing w:after="160"/>
        <w:jc w:val="both"/>
        <w:rPr>
          <w:rFonts w:ascii="Simplified Arabic" w:hAnsi="Simplified Arabic" w:cs="Simplified Arabic"/>
          <w:color w:val="000000"/>
          <w:sz w:val="24"/>
          <w:szCs w:val="24"/>
        </w:rPr>
      </w:pPr>
    </w:p>
    <w:p w:rsidR="00FE46CF" w:rsidRPr="0001101D" w:rsidRDefault="00FE46CF">
      <w:pPr>
        <w:spacing w:after="160"/>
        <w:jc w:val="both"/>
        <w:rPr>
          <w:rFonts w:ascii="Simplified Arabic" w:hAnsi="Simplified Arabic" w:cs="Simplified Arabic"/>
        </w:rPr>
      </w:pPr>
    </w:p>
    <w:p w:rsidR="00527DCD" w:rsidRPr="0001101D" w:rsidRDefault="003017CC" w:rsidP="00FE46CF">
      <w:pPr>
        <w:spacing w:before="200" w:after="80"/>
        <w:jc w:val="center"/>
        <w:rPr>
          <w:rFonts w:ascii="Simplified Arabic" w:hAnsi="Simplified Arabic" w:cs="Simplified Arabic"/>
        </w:rPr>
      </w:pPr>
      <w:r w:rsidRPr="0001101D">
        <w:rPr>
          <w:rFonts w:ascii="Simplified Arabic" w:hAnsi="Simplified Arabic" w:cs="Simplified Arabic"/>
          <w:b/>
          <w:bCs/>
          <w:color w:val="000000"/>
        </w:rPr>
        <w:t>Table (4): Per-class classification metrics for ResNet-50 +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527DCD" w:rsidRPr="0001101D">
        <w:trPr>
          <w:tblHeader/>
        </w:trPr>
        <w:tc>
          <w:tcPr>
            <w:tcW w:w="12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lastRenderedPageBreak/>
              <w:t>Class</w:t>
            </w:r>
          </w:p>
        </w:tc>
        <w:tc>
          <w:tcPr>
            <w:tcW w:w="9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Precision</w:t>
            </w:r>
          </w:p>
        </w:tc>
        <w:tc>
          <w:tcPr>
            <w:tcW w:w="9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Recall</w:t>
            </w:r>
          </w:p>
        </w:tc>
        <w:tc>
          <w:tcPr>
            <w:tcW w:w="9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F1-score</w:t>
            </w:r>
          </w:p>
        </w:tc>
        <w:tc>
          <w:tcPr>
            <w:tcW w:w="95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Support</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Cyst</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0.9973</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0.9987</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742</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Normal</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0.9971</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0.9985</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1016</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Stone</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0.9964</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0.9982</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275</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Tumor</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457</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Accuracy</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2490</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Macro Avg</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0.9993</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0.9984</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2490</w:t>
            </w:r>
          </w:p>
        </w:tc>
      </w:tr>
      <w:tr w:rsidR="00527DCD" w:rsidRPr="0001101D">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Weighted Avg</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c>
          <w:tcPr>
            <w:tcW w:w="95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2490</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1866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62625" cy="1866900"/>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7: Per-class classification metrics.</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The confusion matrix (Figure 8) showed no misclassification within the Normal or Tumor classes, two Cyst samples misclassified as Normal, and one Stone sample misclassified as Normal — confirming minimal confusion, primarily among visually or texturally similar benign findings.</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305425" cy="2114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05425" cy="2114550"/>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8: Confusion matrix for the ResNet-50 + CBAM model.</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lastRenderedPageBreak/>
        <w:t>Training curves (Figure 9) showed steadily decreasing focal loss and increasing accuracy across both training and validation sets with minimal divergence, indicating efficient learning without overfitting.</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1657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62625" cy="1657350"/>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9: Training history for the ResNet-50 + CBAM model.</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Per-class one-vs-rest ROC analysis (Figure 10) yielded near-perfect AUC values (</w:t>
      </w:r>
      <w:r w:rsidRPr="0001101D">
        <w:rPr>
          <w:color w:val="000000"/>
          <w:sz w:val="24"/>
          <w:szCs w:val="24"/>
        </w:rPr>
        <w:t>≈</w:t>
      </w:r>
      <w:r w:rsidRPr="0001101D">
        <w:rPr>
          <w:rFonts w:ascii="Simplified Arabic" w:hAnsi="Simplified Arabic" w:cs="Simplified Arabic"/>
          <w:color w:val="000000"/>
          <w:sz w:val="24"/>
          <w:szCs w:val="24"/>
        </w:rPr>
        <w:t xml:space="preserve"> 1.0000) for all four classes, including Cyst and Stone, which are typically the most radiographically similar and difficult to separate.</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4114800" cy="3190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114800" cy="3190875"/>
                    </a:xfrm>
                    <a:prstGeom prst="rect">
                      <a:avLst/>
                    </a:prstGeom>
                  </pic:spPr>
                </pic:pic>
              </a:graphicData>
            </a:graphic>
          </wp:inline>
        </w:drawing>
      </w:r>
    </w:p>
    <w:p w:rsidR="00527DCD" w:rsidRPr="0001101D" w:rsidRDefault="003017CC">
      <w:pPr>
        <w:spacing w:before="80" w:after="240"/>
        <w:jc w:val="center"/>
        <w:rPr>
          <w:rFonts w:ascii="Simplified Arabic" w:hAnsi="Simplified Arabic" w:cs="Simplified Arabic"/>
        </w:rPr>
      </w:pPr>
      <w:r w:rsidRPr="0001101D">
        <w:rPr>
          <w:rFonts w:ascii="Simplified Arabic" w:hAnsi="Simplified Arabic" w:cs="Simplified Arabic"/>
          <w:b/>
          <w:bCs/>
          <w:color w:val="000000"/>
        </w:rPr>
        <w:t>Figure 10: Per-class ROC curves for the ResNet-50 + CBAM model.</w:t>
      </w:r>
    </w:p>
    <w:p w:rsidR="00527DCD" w:rsidRDefault="00FE46CF">
      <w:pPr>
        <w:spacing w:after="160"/>
        <w:jc w:val="both"/>
        <w:rPr>
          <w:rFonts w:ascii="Simplified Arabic" w:hAnsi="Simplified Arabic" w:cs="Simplified Arabic"/>
          <w:color w:val="000000"/>
          <w:sz w:val="24"/>
          <w:szCs w:val="24"/>
        </w:rPr>
      </w:pPr>
      <w:r>
        <w:rPr>
          <w:rFonts w:ascii="Simplified Arabic" w:hAnsi="Simplified Arabic" w:cs="Simplified Arabic"/>
          <w:b/>
          <w:bCs/>
          <w:color w:val="000000"/>
          <w:sz w:val="24"/>
          <w:szCs w:val="24"/>
        </w:rPr>
        <w:t>7</w:t>
      </w:r>
      <w:r w:rsidR="003017CC" w:rsidRPr="0001101D">
        <w:rPr>
          <w:rFonts w:ascii="Simplified Arabic" w:hAnsi="Simplified Arabic" w:cs="Simplified Arabic"/>
          <w:b/>
          <w:bCs/>
          <w:color w:val="000000"/>
          <w:sz w:val="24"/>
          <w:szCs w:val="24"/>
        </w:rPr>
        <w:t xml:space="preserve">.3 Comparison Between Models. </w:t>
      </w:r>
      <w:r w:rsidR="003017CC" w:rsidRPr="0001101D">
        <w:rPr>
          <w:rFonts w:ascii="Simplified Arabic" w:hAnsi="Simplified Arabic" w:cs="Simplified Arabic"/>
          <w:color w:val="000000"/>
          <w:sz w:val="24"/>
          <w:szCs w:val="24"/>
        </w:rPr>
        <w:t xml:space="preserve">Table 5 compares the three evaluated architectures. ResNet-50 + CBAM achieved the highest accuracy (99.88%) and macro F1-score (0.9988), outperforming EfficientNet-B4 (98.39% accuracy, 0.9794 macro F1) and MobileNetV3 (98.84% accuracy, 0.9868 macro F1), despite EfficientNet-B4's higher input resolution (380×380 vs. 224×224). MobileNetV3 offered the lowest computational cost (~5.4M </w:t>
      </w:r>
      <w:r w:rsidR="003017CC" w:rsidRPr="0001101D">
        <w:rPr>
          <w:rFonts w:ascii="Simplified Arabic" w:hAnsi="Simplified Arabic" w:cs="Simplified Arabic"/>
          <w:color w:val="000000"/>
          <w:sz w:val="24"/>
          <w:szCs w:val="24"/>
        </w:rPr>
        <w:lastRenderedPageBreak/>
        <w:t>parameters) and fastest inference, making it best suited to resource-constrained deployment, but at a cost to fine-grained discrimination, particularly for the minority Stone class.</w:t>
      </w:r>
    </w:p>
    <w:p w:rsidR="00F242C3" w:rsidRPr="0001101D" w:rsidRDefault="00F242C3">
      <w:pPr>
        <w:spacing w:after="160"/>
        <w:jc w:val="both"/>
        <w:rPr>
          <w:rFonts w:ascii="Simplified Arabic" w:hAnsi="Simplified Arabic" w:cs="Simplified Arabic"/>
        </w:rPr>
      </w:pPr>
    </w:p>
    <w:p w:rsidR="00527DCD" w:rsidRPr="0001101D" w:rsidRDefault="003017CC" w:rsidP="00F242C3">
      <w:pPr>
        <w:spacing w:before="200" w:after="80"/>
        <w:jc w:val="center"/>
        <w:rPr>
          <w:rFonts w:ascii="Simplified Arabic" w:hAnsi="Simplified Arabic" w:cs="Simplified Arabic"/>
        </w:rPr>
      </w:pPr>
      <w:r w:rsidRPr="0001101D">
        <w:rPr>
          <w:rFonts w:ascii="Simplified Arabic" w:hAnsi="Simplified Arabic" w:cs="Simplified Arabic"/>
          <w:b/>
          <w:bCs/>
          <w:color w:val="000000"/>
        </w:rPr>
        <w:t>Table (5): Comparison of deep learning models for kidney CT classification.</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524"/>
        <w:gridCol w:w="2164"/>
        <w:gridCol w:w="2164"/>
        <w:gridCol w:w="2164"/>
      </w:tblGrid>
      <w:tr w:rsidR="00527DCD" w:rsidRPr="0001101D">
        <w:trPr>
          <w:tblHeader/>
        </w:trPr>
        <w:tc>
          <w:tcPr>
            <w:tcW w:w="14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Metric</w:t>
            </w:r>
          </w:p>
        </w:tc>
        <w:tc>
          <w:tcPr>
            <w:tcW w:w="12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EfficientNet-B4 + CBAM</w:t>
            </w:r>
          </w:p>
        </w:tc>
        <w:tc>
          <w:tcPr>
            <w:tcW w:w="12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MobileNetV3 + CBAM</w:t>
            </w:r>
          </w:p>
        </w:tc>
        <w:tc>
          <w:tcPr>
            <w:tcW w:w="12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ResNet-50 + CBAM</w:t>
            </w:r>
          </w:p>
        </w:tc>
      </w:tr>
      <w:tr w:rsidR="00527DCD" w:rsidRPr="0001101D">
        <w:tc>
          <w:tcPr>
            <w:tcW w:w="14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Accuracy</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98.39%</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98.84%</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99.88%</w:t>
            </w:r>
          </w:p>
        </w:tc>
      </w:tr>
      <w:tr w:rsidR="00527DCD" w:rsidRPr="0001101D">
        <w:tc>
          <w:tcPr>
            <w:tcW w:w="14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Macro F1</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0.9794</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0.9868</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0.9988</w:t>
            </w:r>
          </w:p>
        </w:tc>
      </w:tr>
      <w:tr w:rsidR="00527DCD" w:rsidRPr="0001101D">
        <w:tc>
          <w:tcPr>
            <w:tcW w:w="14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Best Val Loss</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0.0318</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0.0075</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0.0006</w:t>
            </w:r>
          </w:p>
        </w:tc>
      </w:tr>
      <w:tr w:rsidR="00527DCD" w:rsidRPr="0001101D">
        <w:tc>
          <w:tcPr>
            <w:tcW w:w="14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Macro AUC-ROC</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0.9997</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0.9998</w:t>
            </w:r>
          </w:p>
        </w:tc>
        <w:tc>
          <w:tcPr>
            <w:tcW w:w="12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1.0000</w:t>
            </w:r>
          </w:p>
        </w:tc>
      </w:tr>
    </w:tbl>
    <w:p w:rsidR="00527DCD" w:rsidRPr="0001101D" w:rsidRDefault="00FE46CF">
      <w:pPr>
        <w:spacing w:after="160"/>
        <w:jc w:val="both"/>
        <w:rPr>
          <w:rFonts w:ascii="Simplified Arabic" w:hAnsi="Simplified Arabic" w:cs="Simplified Arabic"/>
        </w:rPr>
      </w:pPr>
      <w:r>
        <w:rPr>
          <w:rFonts w:ascii="Simplified Arabic" w:hAnsi="Simplified Arabic" w:cs="Simplified Arabic"/>
          <w:b/>
          <w:bCs/>
          <w:color w:val="000000"/>
          <w:sz w:val="24"/>
          <w:szCs w:val="24"/>
        </w:rPr>
        <w:t>7</w:t>
      </w:r>
      <w:r w:rsidR="003017CC" w:rsidRPr="0001101D">
        <w:rPr>
          <w:rFonts w:ascii="Simplified Arabic" w:hAnsi="Simplified Arabic" w:cs="Simplified Arabic"/>
          <w:b/>
          <w:bCs/>
          <w:color w:val="000000"/>
          <w:sz w:val="24"/>
          <w:szCs w:val="24"/>
        </w:rPr>
        <w:t xml:space="preserve">.4 Explainability (Grad-CAM). </w:t>
      </w:r>
      <w:r w:rsidR="003017CC" w:rsidRPr="0001101D">
        <w:rPr>
          <w:rFonts w:ascii="Simplified Arabic" w:hAnsi="Simplified Arabic" w:cs="Simplified Arabic"/>
          <w:color w:val="000000"/>
          <w:sz w:val="24"/>
          <w:szCs w:val="24"/>
        </w:rPr>
        <w:t>Grad-CAM visualizations (Figure 11) showed that activation was consistently concentrated around renal lesion borders rather than irrelevant background structures across all four classes, supporting the interpretability and clinical trustworthiness of the proposed model's predictions.</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3295650" cy="3238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3295650" cy="3238500"/>
                    </a:xfrm>
                    <a:prstGeom prst="rect">
                      <a:avLst/>
                    </a:prstGeom>
                  </pic:spPr>
                </pic:pic>
              </a:graphicData>
            </a:graphic>
          </wp:inline>
        </w:drawing>
      </w:r>
    </w:p>
    <w:p w:rsidR="00527DCD" w:rsidRDefault="003017CC">
      <w:pPr>
        <w:spacing w:before="80" w:after="240"/>
        <w:jc w:val="center"/>
        <w:rPr>
          <w:rFonts w:ascii="Simplified Arabic" w:hAnsi="Simplified Arabic" w:cs="Simplified Arabic"/>
          <w:b/>
          <w:bCs/>
          <w:color w:val="000000"/>
        </w:rPr>
      </w:pPr>
      <w:r w:rsidRPr="0001101D">
        <w:rPr>
          <w:rFonts w:ascii="Simplified Arabic" w:hAnsi="Simplified Arabic" w:cs="Simplified Arabic"/>
          <w:b/>
          <w:bCs/>
          <w:color w:val="000000"/>
        </w:rPr>
        <w:t>Figure 11: Grad-CAM visualization example (Cyst class).</w:t>
      </w:r>
    </w:p>
    <w:p w:rsidR="00FE46CF" w:rsidRDefault="00FE46CF">
      <w:pPr>
        <w:spacing w:before="80" w:after="240"/>
        <w:jc w:val="center"/>
        <w:rPr>
          <w:rFonts w:ascii="Simplified Arabic" w:hAnsi="Simplified Arabic" w:cs="Simplified Arabic"/>
          <w:b/>
          <w:bCs/>
          <w:color w:val="000000"/>
        </w:rPr>
      </w:pPr>
    </w:p>
    <w:p w:rsidR="00FE46CF" w:rsidRDefault="00FE46CF">
      <w:pPr>
        <w:spacing w:before="80" w:after="240"/>
        <w:jc w:val="center"/>
        <w:rPr>
          <w:rFonts w:ascii="Simplified Arabic" w:hAnsi="Simplified Arabic" w:cs="Simplified Arabic"/>
          <w:b/>
          <w:bCs/>
          <w:color w:val="000000"/>
        </w:rPr>
      </w:pPr>
    </w:p>
    <w:p w:rsidR="00FE46CF" w:rsidRPr="0001101D" w:rsidRDefault="00FE46CF">
      <w:pPr>
        <w:spacing w:before="80" w:after="240"/>
        <w:jc w:val="center"/>
        <w:rPr>
          <w:rFonts w:ascii="Simplified Arabic" w:hAnsi="Simplified Arabic" w:cs="Simplified Arabic"/>
        </w:rPr>
      </w:pPr>
    </w:p>
    <w:p w:rsidR="00527DCD" w:rsidRPr="00F478C3" w:rsidRDefault="00E550D2"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lastRenderedPageBreak/>
        <w:t>1.</w:t>
      </w:r>
      <w:r w:rsidR="003017CC" w:rsidRPr="00F478C3">
        <w:rPr>
          <w:rFonts w:ascii="Simplified Arabic" w:hAnsi="Simplified Arabic" w:cs="Simplified Arabic"/>
          <w:b/>
          <w:bCs/>
          <w:color w:val="auto"/>
          <w:sz w:val="28"/>
          <w:szCs w:val="28"/>
        </w:rPr>
        <w:t xml:space="preserve"> Conclusion and Discussion of Results</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The experimental results demonstrate that the proposed ResNet-50 + CBAM framework consistently outperforms both EfficientNet-B4 and MobileNetV3 across all evaluation metrics, achieving 99.88% overall accuracy, a macro F1-score of 0.9988, and a macro AUC-ROC of 1.0000. These results are consistent with — and in several respects exceed — accuracy levels reported in comparable studies on the same benchmark dataset (typically 98–99.96%, see Table 1), while offering a more stable and interpretable architecture through its integrated CBAM attention mechanism. The near-perfect separability observed in the confusion matrix and ROC analysis, particularly for the Cyst and Stone classes that are most prone to visual confusion, suggests that channel-and-spatial attention refinement meaningfully improves discrimination of subtle textural differences relevant to renal pathology. Grad-CAM-based explainability further supports the clinical credibility of the framework by confirming that its predictions are grounded in anatomically relevant regions rather than incidental artifacts.</w:t>
      </w:r>
    </w:p>
    <w:p w:rsidR="00527DCD" w:rsidRPr="0001101D" w:rsidRDefault="003017CC">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The principal limitation of this study is its reliance on a single public benchmark dataset, which may not fully capture the variability in scanner types, imaging protocols, and patient demographics encountered in real clinical settings. This underscores the need for multi-center validation before clinical deployment can be considered. Overall, the findings confirm that combining residual learning with attention-based refinement yields a kidney CT classification framework that is simultaneously accurate, stable, and explainable, offering a practical foundation for future integration into radiology workflows.</w:t>
      </w:r>
    </w:p>
    <w:p w:rsidR="00527DCD" w:rsidRPr="00F478C3" w:rsidRDefault="003017CC"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t>2. Recommendations</w:t>
      </w:r>
    </w:p>
    <w:p w:rsidR="00527DCD" w:rsidRPr="0001101D" w:rsidRDefault="003017CC" w:rsidP="00FE46CF">
      <w:pPr>
        <w:spacing w:after="160"/>
        <w:jc w:val="both"/>
        <w:rPr>
          <w:rFonts w:ascii="Simplified Arabic" w:hAnsi="Simplified Arabic" w:cs="Simplified Arabic"/>
        </w:rPr>
      </w:pPr>
      <w:r w:rsidRPr="0001101D">
        <w:rPr>
          <w:rFonts w:ascii="Simplified Arabic" w:hAnsi="Simplified Arabic" w:cs="Simplified Arabic"/>
          <w:color w:val="000000"/>
          <w:sz w:val="24"/>
          <w:szCs w:val="24"/>
        </w:rPr>
        <w:t>Building on these findings, the following directions recommended for future work:</w:t>
      </w:r>
    </w:p>
    <w:p w:rsidR="00527DCD" w:rsidRPr="0001101D" w:rsidRDefault="003017CC">
      <w:pPr>
        <w:spacing w:after="160"/>
        <w:ind w:left="360"/>
        <w:jc w:val="both"/>
        <w:rPr>
          <w:rFonts w:ascii="Simplified Arabic" w:hAnsi="Simplified Arabic" w:cs="Simplified Arabic"/>
        </w:rPr>
      </w:pPr>
      <w:r w:rsidRPr="0001101D">
        <w:rPr>
          <w:rFonts w:ascii="Simplified Arabic" w:hAnsi="Simplified Arabic" w:cs="Simplified Arabic"/>
          <w:color w:val="000000"/>
          <w:sz w:val="24"/>
          <w:szCs w:val="24"/>
        </w:rPr>
        <w:t>1. Validate the proposed framework on multi-center clinical datasets to confirm generalizability across scanners and patient populations.</w:t>
      </w:r>
    </w:p>
    <w:p w:rsidR="00527DCD" w:rsidRPr="0001101D" w:rsidRDefault="003017CC">
      <w:pPr>
        <w:spacing w:after="160"/>
        <w:ind w:left="360"/>
        <w:jc w:val="both"/>
        <w:rPr>
          <w:rFonts w:ascii="Simplified Arabic" w:hAnsi="Simplified Arabic" w:cs="Simplified Arabic"/>
        </w:rPr>
      </w:pPr>
      <w:r w:rsidRPr="0001101D">
        <w:rPr>
          <w:rFonts w:ascii="Simplified Arabic" w:hAnsi="Simplified Arabic" w:cs="Simplified Arabic"/>
          <w:color w:val="000000"/>
          <w:sz w:val="24"/>
          <w:szCs w:val="24"/>
        </w:rPr>
        <w:t>2. Extend the framework to multi-phase CT protocols (arterial, venous, and delayed phases) to capture richer diagnostic information.</w:t>
      </w:r>
    </w:p>
    <w:p w:rsidR="00527DCD" w:rsidRPr="0001101D" w:rsidRDefault="003017CC">
      <w:pPr>
        <w:spacing w:after="160"/>
        <w:ind w:left="360"/>
        <w:jc w:val="both"/>
        <w:rPr>
          <w:rFonts w:ascii="Simplified Arabic" w:hAnsi="Simplified Arabic" w:cs="Simplified Arabic"/>
        </w:rPr>
      </w:pPr>
      <w:r w:rsidRPr="0001101D">
        <w:rPr>
          <w:rFonts w:ascii="Simplified Arabic" w:hAnsi="Simplified Arabic" w:cs="Simplified Arabic"/>
          <w:color w:val="000000"/>
          <w:sz w:val="24"/>
          <w:szCs w:val="24"/>
        </w:rPr>
        <w:t>3. Integrate segmentation models (e.g., U-Net) to enable precise lesion localization alongside classification.</w:t>
      </w:r>
    </w:p>
    <w:p w:rsidR="00527DCD" w:rsidRPr="0001101D" w:rsidRDefault="003017CC">
      <w:pPr>
        <w:spacing w:after="160"/>
        <w:ind w:left="360"/>
        <w:jc w:val="both"/>
        <w:rPr>
          <w:rFonts w:ascii="Simplified Arabic" w:hAnsi="Simplified Arabic" w:cs="Simplified Arabic"/>
        </w:rPr>
      </w:pPr>
      <w:r w:rsidRPr="0001101D">
        <w:rPr>
          <w:rFonts w:ascii="Simplified Arabic" w:hAnsi="Simplified Arabic" w:cs="Simplified Arabic"/>
          <w:color w:val="000000"/>
          <w:sz w:val="24"/>
          <w:szCs w:val="24"/>
        </w:rPr>
        <w:t>4. Pilot the framework within an operational clinical decision-support system (CDSS).</w:t>
      </w:r>
    </w:p>
    <w:p w:rsidR="00FE46CF" w:rsidRDefault="003017CC" w:rsidP="00E550D2">
      <w:pPr>
        <w:spacing w:after="160"/>
        <w:ind w:left="360"/>
        <w:jc w:val="both"/>
        <w:rPr>
          <w:rFonts w:ascii="Simplified Arabic" w:hAnsi="Simplified Arabic" w:cs="Simplified Arabic"/>
          <w:color w:val="000000"/>
          <w:sz w:val="24"/>
          <w:szCs w:val="24"/>
        </w:rPr>
      </w:pPr>
      <w:r w:rsidRPr="0001101D">
        <w:rPr>
          <w:rFonts w:ascii="Simplified Arabic" w:hAnsi="Simplified Arabic" w:cs="Simplified Arabic"/>
          <w:color w:val="000000"/>
          <w:sz w:val="24"/>
          <w:szCs w:val="24"/>
        </w:rPr>
        <w:t>5. Investigate hybrid CNN-transformer architectures to explore further performance gains.</w:t>
      </w:r>
    </w:p>
    <w:p w:rsidR="00F478C3" w:rsidRPr="00E550D2" w:rsidRDefault="00F478C3" w:rsidP="00E550D2">
      <w:pPr>
        <w:spacing w:after="160"/>
        <w:ind w:left="360"/>
        <w:jc w:val="both"/>
        <w:rPr>
          <w:rFonts w:ascii="Simplified Arabic" w:hAnsi="Simplified Arabic" w:cs="Simplified Arabic"/>
          <w:color w:val="000000"/>
          <w:sz w:val="24"/>
          <w:szCs w:val="24"/>
        </w:rPr>
      </w:pPr>
    </w:p>
    <w:p w:rsidR="00527DCD" w:rsidRPr="00F478C3" w:rsidRDefault="003017CC" w:rsidP="00F478C3">
      <w:pPr>
        <w:pStyle w:val="Heading1"/>
        <w:rPr>
          <w:rFonts w:ascii="Simplified Arabic" w:hAnsi="Simplified Arabic" w:cs="Simplified Arabic"/>
          <w:b/>
          <w:bCs/>
          <w:color w:val="auto"/>
          <w:sz w:val="28"/>
          <w:szCs w:val="28"/>
        </w:rPr>
      </w:pPr>
      <w:r w:rsidRPr="00F478C3">
        <w:rPr>
          <w:rFonts w:ascii="Simplified Arabic" w:hAnsi="Simplified Arabic" w:cs="Simplified Arabic"/>
          <w:b/>
          <w:bCs/>
          <w:color w:val="auto"/>
          <w:sz w:val="28"/>
          <w:szCs w:val="28"/>
        </w:rPr>
        <w:lastRenderedPageBreak/>
        <w:t>References list</w:t>
      </w:r>
    </w:p>
    <w:p w:rsidR="00E550D2" w:rsidRPr="00E550D2" w:rsidRDefault="00E550D2" w:rsidP="00E550D2">
      <w:pPr>
        <w:spacing w:line="360" w:lineRule="auto"/>
        <w:ind w:left="720" w:hanging="720"/>
        <w:jc w:val="both"/>
        <w:rPr>
          <w:sz w:val="24"/>
          <w:szCs w:val="24"/>
        </w:rPr>
      </w:pPr>
      <w:r w:rsidRPr="00E550D2">
        <w:rPr>
          <w:sz w:val="24"/>
          <w:szCs w:val="24"/>
        </w:rP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18" w:history="1">
        <w:r w:rsidRPr="00E550D2">
          <w:rPr>
            <w:rStyle w:val="Hyperlink"/>
            <w:sz w:val="24"/>
            <w:szCs w:val="24"/>
          </w:rPr>
          <w:t>https://doi.org/10.3322/caac.21834</w:t>
        </w:r>
      </w:hyperlink>
    </w:p>
    <w:p w:rsidR="00E550D2" w:rsidRPr="00E550D2" w:rsidRDefault="00E550D2" w:rsidP="00E550D2">
      <w:pPr>
        <w:spacing w:line="360" w:lineRule="auto"/>
        <w:ind w:left="720" w:hanging="720"/>
        <w:jc w:val="both"/>
        <w:rPr>
          <w:sz w:val="24"/>
          <w:szCs w:val="24"/>
        </w:rPr>
      </w:pPr>
      <w:r w:rsidRPr="00E550D2">
        <w:rPr>
          <w:sz w:val="24"/>
          <w:szCs w:val="24"/>
          <w:lang w:val="es-MX"/>
        </w:rPr>
        <w:t xml:space="preserve">[2] Tanaka, T., Uehara, S., Ishii, T., et al. </w:t>
      </w:r>
      <w:r w:rsidRPr="00E550D2">
        <w:rPr>
          <w:sz w:val="24"/>
          <w:szCs w:val="24"/>
        </w:rPr>
        <w:t xml:space="preserve">(2020). Differentiation of small (≤ 4 cm) renal masses on multiphase contrast-enhanced CT by deep learning. American Journal of Roentgenology, 214(3), 605-612. </w:t>
      </w:r>
      <w:hyperlink r:id="rId19" w:history="1">
        <w:r w:rsidRPr="00E550D2">
          <w:rPr>
            <w:rStyle w:val="Hyperlink"/>
            <w:sz w:val="24"/>
            <w:szCs w:val="24"/>
          </w:rPr>
          <w:t>https://doi.org/10.2214/AJR.19.22074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[3] Padala, S. A., Barsouk, A., Thandra, K. C., et al. (2020). Epidemiology of Renal Cell Carcinoma. World Journal of Oncology, 11(3), 79-87. </w:t>
      </w:r>
      <w:hyperlink r:id="rId20" w:history="1">
        <w:r w:rsidRPr="00E550D2">
          <w:rPr>
            <w:rStyle w:val="Hyperlink"/>
            <w:sz w:val="24"/>
            <w:szCs w:val="24"/>
          </w:rPr>
          <w:t>https://doi.org/10.14740/wjon1279</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[4] Sung, H., Ferlay, J., Siegel, R. L., et al. (2021). Global cancer statistics 2020: GLOBOCAN estimates of incidence and mortality worldwide for 36 cancers in 185 countries. CA: A Cancer Journal for Clinicians, 71(3), 209-249. </w:t>
      </w:r>
      <w:hyperlink r:id="rId21" w:history="1">
        <w:r w:rsidRPr="00E550D2">
          <w:rPr>
            <w:rStyle w:val="Hyperlink"/>
            <w:sz w:val="24"/>
            <w:szCs w:val="24"/>
          </w:rPr>
          <w:t>https://doi.org/10.3322/caac.21660</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[5] World Cancer Research Fund International. (2024). Kidney cancer statistics. </w:t>
      </w:r>
      <w:hyperlink r:id="rId22" w:history="1">
        <w:r w:rsidRPr="00E550D2">
          <w:rPr>
            <w:rStyle w:val="Hyperlink"/>
            <w:sz w:val="24"/>
            <w:szCs w:val="24"/>
          </w:rPr>
          <w:t>https://www.wcrf.org/preventing-cancer/cancer-statistics/kidney-cancer-statistics/</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[6] National Cancer Institute. (2025). Cancer stat facts: Kidney and renal pelvis cancer. Surveillance, Epidemiology, and End Results (SEER) Program. </w:t>
      </w:r>
      <w:hyperlink r:id="rId23" w:history="1">
        <w:r w:rsidRPr="00E550D2">
          <w:rPr>
            <w:rStyle w:val="Hyperlink"/>
            <w:sz w:val="24"/>
            <w:szCs w:val="24"/>
          </w:rPr>
          <w:t>https://seer.cancer.gov/statfacts/html/kidrp.html</w:t>
        </w:r>
      </w:hyperlink>
    </w:p>
    <w:p w:rsidR="00E550D2" w:rsidRPr="00E550D2" w:rsidRDefault="00E550D2" w:rsidP="00E550D2">
      <w:pPr>
        <w:spacing w:line="360" w:lineRule="auto"/>
        <w:ind w:left="720" w:hanging="720"/>
        <w:jc w:val="both"/>
        <w:rPr>
          <w:sz w:val="24"/>
          <w:szCs w:val="24"/>
        </w:rPr>
      </w:pPr>
      <w:r w:rsidRPr="00E550D2">
        <w:rPr>
          <w:sz w:val="24"/>
          <w:szCs w:val="24"/>
          <w:lang w:val="fr-FR"/>
        </w:rPr>
        <w:t xml:space="preserve">[7] Dai, C., Xiong, Y., Zhu, P., et al. </w:t>
      </w:r>
      <w:r w:rsidRPr="00E550D2">
        <w:rPr>
          <w:sz w:val="24"/>
          <w:szCs w:val="24"/>
        </w:rPr>
        <w:t xml:space="preserve">(2024). Deep learning assessment of small renal masses at contrast-enhanced multiphase CT. Radiology, 311(2), e232178. </w:t>
      </w:r>
      <w:hyperlink r:id="rId24" w:history="1">
        <w:r w:rsidRPr="00E550D2">
          <w:rPr>
            <w:rStyle w:val="Hyperlink"/>
            <w:sz w:val="24"/>
            <w:szCs w:val="24"/>
          </w:rPr>
          <w:t>https://doi.org/10.1148/radiol.232178</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[8] Uhm, K. H., Jung, S. W., Choi, M. H., et al. (2021). Deep learning for end-to-end kidney cancer diagnosis on multi-phase abdominal computed tomography. npj Precision Oncology, 5(1), Article 54. </w:t>
      </w:r>
      <w:hyperlink r:id="rId25" w:history="1">
        <w:r w:rsidRPr="00E550D2">
          <w:rPr>
            <w:rStyle w:val="Hyperlink"/>
            <w:sz w:val="24"/>
            <w:szCs w:val="24"/>
          </w:rPr>
          <w:t>https://doi.org/10.1038/s41698-021-00195-y</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[9] Maçin, G., Genç, F., Taşcı, B., Dogan, S., &amp; Tuncer, T. (2025). KidneyNeXt: A lightweight convolutional neural network for multi-class renal tumor classification in computed tomography imaging. Journal of Clinical Medicine, 14(14), 4929. </w:t>
      </w:r>
      <w:hyperlink r:id="rId26" w:history="1">
        <w:r w:rsidRPr="00E550D2">
          <w:rPr>
            <w:rStyle w:val="Hyperlink"/>
            <w:sz w:val="24"/>
            <w:szCs w:val="24"/>
          </w:rPr>
          <w:t>https://doi.org/10.3390/jcm14144929</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[10] Abdeltawab, H., Alksas, A., Ghazal, M., et al. (2026). A deep learning ensemble framework for multi-subtype renal tumor classification using contrast-enhanced CT. Scientific Reports, 16(1), Article 37283. </w:t>
      </w:r>
      <w:hyperlink r:id="rId27" w:history="1">
        <w:r w:rsidRPr="00E550D2">
          <w:rPr>
            <w:rStyle w:val="Hyperlink"/>
            <w:sz w:val="24"/>
            <w:szCs w:val="24"/>
          </w:rPr>
          <w:t>https://doi.org/10.1038/s41598-026-37283-7</w:t>
        </w:r>
      </w:hyperlink>
    </w:p>
    <w:p w:rsidR="00E550D2" w:rsidRPr="00E550D2" w:rsidRDefault="00E550D2" w:rsidP="00E550D2">
      <w:pPr>
        <w:spacing w:line="360" w:lineRule="auto"/>
        <w:ind w:left="720" w:hanging="720"/>
        <w:jc w:val="both"/>
        <w:rPr>
          <w:sz w:val="24"/>
          <w:szCs w:val="24"/>
        </w:rPr>
      </w:pPr>
      <w:r w:rsidRPr="00E550D2">
        <w:rPr>
          <w:sz w:val="24"/>
          <w:szCs w:val="24"/>
        </w:rPr>
        <w:lastRenderedPageBreak/>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28" w:history="1">
        <w:r w:rsidRPr="00E550D2">
          <w:rPr>
            <w:rStyle w:val="Hyperlink"/>
            <w:sz w:val="24"/>
            <w:szCs w:val="24"/>
          </w:rPr>
          <w:t>https://doi.org/10.1038/s41598-022-15634-4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[12] Alzu’Bi, D., Abdullah, M., Hmeidi, I., AlAzab, R., Gharaibeh, M., El-Heis, M., &amp; Almotairi, K. H. (2022). Kidney tumor detection and classification based on deep learning approaches: A new dataset in CT scans. Journal of Healthcare Engineering, 2022, Article 3861161. </w:t>
      </w:r>
      <w:hyperlink r:id="rId29" w:history="1">
        <w:r w:rsidRPr="00E550D2">
          <w:rPr>
            <w:rStyle w:val="Hyperlink"/>
            <w:sz w:val="24"/>
            <w:szCs w:val="24"/>
          </w:rPr>
          <w:t>https://doi.org/10.1155/2022/3861161</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[13] Yildirim, K., Bozdag, P. G., Talo, M., Yildirim, O., Karabatak, M., &amp; Acharya, U. R. (2021). Deep learning model for automated kidney stone detection using coronal CT images. Computers in Biology and Medicine, 135, 104569. </w:t>
      </w:r>
      <w:hyperlink r:id="rId30" w:history="1">
        <w:r w:rsidRPr="00E550D2">
          <w:rPr>
            <w:rStyle w:val="Hyperlink"/>
            <w:sz w:val="24"/>
            <w:szCs w:val="24"/>
          </w:rPr>
          <w:t>https://doi.org/10.1016/j.compbiomed.2021.104569</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 [14] Pimpalkar, A., Saini, D. K. J. B., Shelke, N., Balodi, A., Rapate, G., &amp; Tolani, M. (2025). Fine-tuned deep learning models for early detection and classification of kidney conditions in CT imaging. Scientific Reports, 15(1), Article 94905. </w:t>
      </w:r>
      <w:hyperlink r:id="rId31" w:history="1">
        <w:r w:rsidRPr="00E550D2">
          <w:rPr>
            <w:rStyle w:val="Hyperlink"/>
            <w:sz w:val="24"/>
            <w:szCs w:val="24"/>
          </w:rPr>
          <w:t>https://doi.org/10.1038/s41598-025-94905-2</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[15] Sabuncu, Ö., Bilgehan, B., Kneebone, E., &amp; Mirzaei, O. (2023). Effective deep learning classification for kidney stone using axial computed tomography (CT) images. Biomedical Engineering / Biomedizinische Technik, 68 (5), 481–491. </w:t>
      </w:r>
      <w:hyperlink r:id="rId32" w:history="1">
        <w:r w:rsidRPr="00E550D2">
          <w:rPr>
            <w:rStyle w:val="Hyperlink"/>
            <w:sz w:val="24"/>
            <w:szCs w:val="24"/>
          </w:rPr>
          <w:t>https://doi.org/10.1515/bmt-2022-0142</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[16] Obaid, W., Hussain, A., Rabie, T., Abd, D. H., &amp; Mansoor, W. (2025). Multi-model deep learning approach for the classification of kidney diseases using medical images. Informatics in Medicine Unlocked, 57. </w:t>
      </w:r>
      <w:hyperlink r:id="rId33" w:history="1">
        <w:r w:rsidRPr="00E550D2">
          <w:rPr>
            <w:rStyle w:val="Hyperlink"/>
            <w:sz w:val="24"/>
            <w:szCs w:val="24"/>
          </w:rPr>
          <w:t>https://doi.org/10.1016/j.imu.2025.101663</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[17] Baygin, M., Yaman, O., Tuncer, T., Dogan, S., Aydemir, E., &amp; Acharya, U. R. (2022). Exemplar darknet19 feature generation technique for automated kidney stone detection with coronal CT images. Artificial Intelligence in Medicine, 127, Article 102274. </w:t>
      </w:r>
      <w:hyperlink r:id="rId34" w:history="1">
        <w:r w:rsidRPr="00E550D2">
          <w:rPr>
            <w:rStyle w:val="Hyperlink"/>
            <w:sz w:val="24"/>
            <w:szCs w:val="24"/>
          </w:rPr>
          <w:t>https://doi.org/10.1016/j.artmed.2022.102274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[18] Qian, G. (2025). Renal CT Image Classification Based on Densely Connected Convolutional Networks. in Proc. 2nd Int. Conf. Data Anal. Mach. Learn. </w:t>
      </w:r>
      <w:r w:rsidRPr="00E550D2">
        <w:rPr>
          <w:sz w:val="24"/>
          <w:szCs w:val="24"/>
          <w:lang w:val="es-MX"/>
        </w:rPr>
        <w:t xml:space="preserve">(DAML), 2024, pp. </w:t>
      </w:r>
      <w:r w:rsidRPr="00E550D2">
        <w:rPr>
          <w:sz w:val="24"/>
          <w:szCs w:val="24"/>
        </w:rPr>
        <w:t xml:space="preserve">115–119. </w:t>
      </w:r>
      <w:hyperlink r:id="rId35" w:history="1">
        <w:r w:rsidRPr="00E550D2">
          <w:rPr>
            <w:rStyle w:val="Hyperlink"/>
            <w:sz w:val="24"/>
            <w:szCs w:val="24"/>
          </w:rPr>
          <w:t>https://doi.org/10.5220/0013510200004619</w:t>
        </w:r>
      </w:hyperlink>
    </w:p>
    <w:p w:rsidR="00E550D2" w:rsidRPr="00E550D2" w:rsidRDefault="00E550D2" w:rsidP="00E550D2">
      <w:pPr>
        <w:spacing w:line="360" w:lineRule="auto"/>
        <w:ind w:left="720" w:hanging="720"/>
        <w:jc w:val="both"/>
        <w:rPr>
          <w:sz w:val="24"/>
          <w:szCs w:val="24"/>
        </w:rPr>
      </w:pPr>
      <w:r w:rsidRPr="00E550D2">
        <w:rPr>
          <w:sz w:val="24"/>
          <w:szCs w:val="24"/>
          <w:lang w:val="es-MX"/>
        </w:rPr>
        <w:t>[19] El-Hag, N. A., El-Shafai, W., Abd El-Hameed, H. A., Soliman, N. F., Algarni, A. D., &amp; Abd El-Samie, F. E. (</w:t>
      </w:r>
      <w:r w:rsidRPr="00E550D2">
        <w:rPr>
          <w:sz w:val="24"/>
          <w:szCs w:val="24"/>
        </w:rPr>
        <w:t>2025</w:t>
      </w:r>
      <w:r w:rsidRPr="00E550D2">
        <w:rPr>
          <w:sz w:val="24"/>
          <w:szCs w:val="24"/>
          <w:lang w:val="es-MX"/>
        </w:rPr>
        <w:t xml:space="preserve">). </w:t>
      </w:r>
      <w:r w:rsidRPr="00E550D2">
        <w:rPr>
          <w:sz w:val="24"/>
          <w:szCs w:val="24"/>
        </w:rPr>
        <w:t xml:space="preserve">A two-stage deep learning framework for kidney disease detection using modified specular-free imaging and EfficientNetB2. Scientific Reports, 15(1), Article 4606. </w:t>
      </w:r>
      <w:hyperlink r:id="rId36" w:history="1">
        <w:r w:rsidRPr="00E550D2">
          <w:rPr>
            <w:rStyle w:val="Hyperlink"/>
            <w:sz w:val="24"/>
            <w:szCs w:val="24"/>
          </w:rPr>
          <w:t>https://doi.org/10.1038/s41598-025-04606-z</w:t>
        </w:r>
      </w:hyperlink>
    </w:p>
    <w:p w:rsidR="00E550D2" w:rsidRPr="00E550D2" w:rsidRDefault="00E550D2" w:rsidP="00E550D2">
      <w:pPr>
        <w:spacing w:line="360" w:lineRule="auto"/>
        <w:ind w:left="720" w:hanging="720"/>
        <w:jc w:val="both"/>
        <w:rPr>
          <w:sz w:val="24"/>
          <w:szCs w:val="24"/>
        </w:rPr>
      </w:pPr>
      <w:r w:rsidRPr="00E550D2">
        <w:rPr>
          <w:sz w:val="24"/>
          <w:szCs w:val="24"/>
        </w:rPr>
        <w:lastRenderedPageBreak/>
        <w:t xml:space="preserve">[20] Almuayqil, S. N., Abd El-Ghany, S., Ahmed, A. E., &amp; Elmogy, M. (2024). KidneyNet: A Novel CNN-Based Technique for the Automated Diagnosis of Chronic Kidney Diseases from CT Scans. Electronics, 13(24), 4981. </w:t>
      </w:r>
      <w:hyperlink r:id="rId37" w:history="1">
        <w:r w:rsidRPr="00E550D2">
          <w:rPr>
            <w:rStyle w:val="Hyperlink"/>
            <w:sz w:val="24"/>
            <w:szCs w:val="24"/>
          </w:rPr>
          <w:t>https://doi.org/10.3390/electronics13244981</w:t>
        </w:r>
      </w:hyperlink>
    </w:p>
    <w:p w:rsidR="00E550D2" w:rsidRPr="00E550D2" w:rsidRDefault="00E550D2" w:rsidP="00E550D2">
      <w:pPr>
        <w:spacing w:line="360" w:lineRule="auto"/>
        <w:jc w:val="both"/>
        <w:rPr>
          <w:sz w:val="24"/>
          <w:szCs w:val="24"/>
        </w:rPr>
      </w:pPr>
    </w:p>
    <w:p w:rsidR="00E550D2" w:rsidRPr="00E550D2" w:rsidRDefault="00E550D2" w:rsidP="00E550D2">
      <w:pPr>
        <w:spacing w:line="360" w:lineRule="auto"/>
        <w:ind w:left="720" w:hanging="720"/>
        <w:jc w:val="both"/>
        <w:rPr>
          <w:sz w:val="24"/>
          <w:szCs w:val="24"/>
        </w:rPr>
      </w:pPr>
      <w:r w:rsidRPr="00E550D2">
        <w:rPr>
          <w:sz w:val="24"/>
          <w:szCs w:val="24"/>
        </w:rP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38" w:history="1">
        <w:r w:rsidRPr="00E550D2">
          <w:rPr>
            <w:rStyle w:val="Hyperlink"/>
            <w:sz w:val="24"/>
            <w:szCs w:val="24"/>
          </w:rPr>
          <w:t>https://doi.org/10.3390/app13053125</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[22] Bingol, H., Yildirim, M., Yildirim, K., &amp; Alatas, B. (2023). Automatic classification of kidney CT images with relief based novel hybrid deep model. PeerJ Computer Science, 9, e1717. </w:t>
      </w:r>
      <w:hyperlink r:id="rId39" w:history="1">
        <w:r w:rsidRPr="00E550D2">
          <w:rPr>
            <w:rStyle w:val="Hyperlink"/>
            <w:sz w:val="24"/>
            <w:szCs w:val="24"/>
          </w:rPr>
          <w:t>https://doi.org/10.7717/peerj-cs.1717</w:t>
        </w:r>
      </w:hyperlink>
    </w:p>
    <w:p w:rsidR="00E550D2" w:rsidRPr="00E550D2" w:rsidRDefault="00E550D2" w:rsidP="00E550D2">
      <w:pPr>
        <w:spacing w:line="360" w:lineRule="auto"/>
        <w:ind w:left="720" w:hanging="720"/>
        <w:jc w:val="both"/>
        <w:rPr>
          <w:sz w:val="24"/>
          <w:szCs w:val="24"/>
          <w:lang w:val="fr-FR"/>
        </w:rPr>
      </w:pPr>
      <w:r w:rsidRPr="00E550D2">
        <w:rPr>
          <w:sz w:val="24"/>
          <w:szCs w:val="24"/>
        </w:rPr>
        <w:t xml:space="preserve">[23] Khan, Z. A., Waqar, M., Khan, H. U., Chaudhary, N. I., Khan, A. T., Ishtiaq, I., Khan, F. A., &amp; Raja, M. A. Z. (2025). Fine-tuned deep transfer learning: an effective strategy for the accurate chronic kidney disease classification. </w:t>
      </w:r>
      <w:r w:rsidRPr="00E550D2">
        <w:rPr>
          <w:sz w:val="24"/>
          <w:szCs w:val="24"/>
          <w:lang w:val="fr-FR"/>
        </w:rPr>
        <w:t xml:space="preserve">PeerJ Computer Science, 11, e2800. </w:t>
      </w:r>
      <w:hyperlink r:id="rId40" w:history="1">
        <w:r w:rsidRPr="00E550D2">
          <w:rPr>
            <w:rStyle w:val="Hyperlink"/>
            <w:sz w:val="24"/>
            <w:szCs w:val="24"/>
            <w:lang w:val="fr-FR"/>
          </w:rPr>
          <w:t>https://doi.org/10.7717/peerj-cs.2800</w:t>
        </w:r>
      </w:hyperlink>
    </w:p>
    <w:p w:rsidR="00E550D2" w:rsidRPr="00E550D2" w:rsidRDefault="00E550D2" w:rsidP="00E550D2">
      <w:pPr>
        <w:spacing w:line="360" w:lineRule="auto"/>
        <w:ind w:left="720" w:hanging="720"/>
        <w:jc w:val="both"/>
        <w:rPr>
          <w:rStyle w:val="Hyperlink"/>
          <w:sz w:val="24"/>
          <w:szCs w:val="24"/>
        </w:rPr>
      </w:pPr>
      <w:r w:rsidRPr="00E550D2">
        <w:rPr>
          <w:sz w:val="24"/>
          <w:szCs w:val="24"/>
          <w:lang w:val="es-MX"/>
        </w:rPr>
        <w:t xml:space="preserve">[24] </w:t>
      </w:r>
      <w:r w:rsidRPr="00E550D2">
        <w:rPr>
          <w:sz w:val="24"/>
          <w:szCs w:val="24"/>
          <w:lang w:val="fr-FR"/>
        </w:rPr>
        <w:t xml:space="preserve">Murillobouzon, M. F., de Santana, P. H. S., Missima, G. N., Pereira, W. S., Rivera, F. P., Giraldi, G. A., Fugita, O. E. H., &amp; Silva, P. S. S. (2025). </w:t>
      </w:r>
      <w:r w:rsidRPr="00E550D2">
        <w:rPr>
          <w:sz w:val="24"/>
          <w:szCs w:val="24"/>
        </w:rPr>
        <w:t xml:space="preserve">KSSD2025: A New Annotated Dataset for Automatic Kidney Stone Segmentation and Evaluation With Modified U-Net Based Deep Learning Models. IEEE Access, 13, 171790–171806. </w:t>
      </w:r>
      <w:hyperlink r:id="rId41" w:history="1">
        <w:r w:rsidRPr="00E550D2">
          <w:rPr>
            <w:rStyle w:val="Hyperlink"/>
            <w:sz w:val="24"/>
            <w:szCs w:val="24"/>
          </w:rPr>
          <w:t>https://doi.org/10.1109/ACCESS.2025.3610027</w:t>
        </w:r>
      </w:hyperlink>
    </w:p>
    <w:p w:rsidR="00E550D2" w:rsidRPr="00E550D2" w:rsidRDefault="00E550D2" w:rsidP="00E550D2">
      <w:pPr>
        <w:spacing w:line="360" w:lineRule="auto"/>
        <w:ind w:left="720" w:hanging="720"/>
        <w:jc w:val="both"/>
        <w:rPr>
          <w:rStyle w:val="Hyperlink"/>
          <w:sz w:val="24"/>
          <w:szCs w:val="24"/>
        </w:rPr>
      </w:pPr>
      <w:r w:rsidRPr="00E550D2">
        <w:rPr>
          <w:sz w:val="24"/>
          <w:szCs w:val="24"/>
        </w:rPr>
        <w:t xml:space="preserve">[25] McCarthy, J. (2007). </w:t>
      </w:r>
      <w:r w:rsidRPr="00E550D2">
        <w:rPr>
          <w:i/>
          <w:iCs/>
          <w:sz w:val="24"/>
          <w:szCs w:val="24"/>
        </w:rPr>
        <w:t>Basic questions</w:t>
      </w:r>
      <w:r w:rsidRPr="00E550D2">
        <w:rPr>
          <w:sz w:val="24"/>
          <w:szCs w:val="24"/>
        </w:rPr>
        <w:t xml:space="preserve">. Stanford University. </w:t>
      </w:r>
      <w:hyperlink r:id="rId42" w:history="1">
        <w:r w:rsidRPr="00E550D2">
          <w:rPr>
            <w:rStyle w:val="Hyperlink"/>
            <w:sz w:val="24"/>
            <w:szCs w:val="24"/>
          </w:rPr>
          <w:t>http://www-formal.stanford.edu/jmc/whatisai/node1.html</w:t>
        </w:r>
      </w:hyperlink>
    </w:p>
    <w:p w:rsidR="00E550D2" w:rsidRPr="00E550D2" w:rsidRDefault="00E550D2" w:rsidP="00E550D2">
      <w:pPr>
        <w:spacing w:line="360" w:lineRule="auto"/>
        <w:ind w:left="720" w:hanging="720"/>
        <w:jc w:val="both"/>
        <w:rPr>
          <w:rStyle w:val="Hyperlink"/>
          <w:sz w:val="24"/>
          <w:szCs w:val="24"/>
        </w:rPr>
      </w:pPr>
      <w:r w:rsidRPr="00E550D2">
        <w:rPr>
          <w:sz w:val="24"/>
          <w:szCs w:val="24"/>
        </w:rPr>
        <w:t xml:space="preserve">[26] Pan, S. J., &amp; Yang, Q. (2010). A survey on transfer learning. IEEE Transactions on Knowledge and Data Engineering, 22(10), 1345–1359. </w:t>
      </w:r>
      <w:hyperlink r:id="rId43" w:history="1">
        <w:r w:rsidRPr="00E550D2">
          <w:rPr>
            <w:rStyle w:val="Hyperlink"/>
            <w:sz w:val="24"/>
            <w:szCs w:val="24"/>
          </w:rPr>
          <w:t>https://doi.org/10.1109/TKDE.2009.191</w:t>
        </w:r>
      </w:hyperlink>
    </w:p>
    <w:p w:rsidR="00E550D2" w:rsidRPr="00E550D2" w:rsidRDefault="00E550D2" w:rsidP="00E550D2">
      <w:pPr>
        <w:spacing w:after="100" w:line="360" w:lineRule="auto"/>
        <w:ind w:left="720" w:hanging="720"/>
        <w:rPr>
          <w:rStyle w:val="Hyperlink"/>
          <w:sz w:val="24"/>
          <w:szCs w:val="24"/>
        </w:rPr>
      </w:pPr>
      <w:r w:rsidRPr="00E550D2">
        <w:rPr>
          <w:sz w:val="24"/>
          <w:szCs w:val="24"/>
        </w:rPr>
        <w:t xml:space="preserve">[27] Woo, S., Park, J., Lee, J.-Y., &amp; Kweon, I. S. (2018). CBAM: Convolutional block attention module. In V. Ferrari, M. Hebert, C. Sminchisescu, &amp; Y. Weiss (Eds.), Computer Vision – ECCV 2018, Lecture Notes in Computer Science, vol. 11211, pp. 3–19. Springer, Cham. </w:t>
      </w:r>
      <w:hyperlink r:id="rId44" w:history="1">
        <w:r w:rsidRPr="00E550D2">
          <w:rPr>
            <w:rStyle w:val="Hyperlink"/>
            <w:sz w:val="24"/>
            <w:szCs w:val="24"/>
          </w:rPr>
          <w:t>https://doi.org/10.1007/978-3-030-01234-2_1</w:t>
        </w:r>
      </w:hyperlink>
    </w:p>
    <w:p w:rsidR="00E550D2" w:rsidRPr="00E550D2" w:rsidRDefault="00E550D2" w:rsidP="00E550D2">
      <w:pPr>
        <w:spacing w:after="100" w:line="360" w:lineRule="auto"/>
        <w:ind w:left="720" w:hanging="720"/>
        <w:rPr>
          <w:rStyle w:val="Hyperlink"/>
          <w:sz w:val="24"/>
          <w:szCs w:val="24"/>
        </w:rPr>
      </w:pPr>
      <w:r w:rsidRPr="00E550D2">
        <w:rPr>
          <w:sz w:val="24"/>
          <w:szCs w:val="24"/>
        </w:rPr>
        <w:t xml:space="preserve">[28] He, K., Zhang, X., Ren, S., &amp; Sun, J. (2016). Deep residual learning for image recognition. In Proceedings of the IEEE Conference on Computer Vision and Pattern Recognition (pp. 770–778). </w:t>
      </w:r>
      <w:hyperlink r:id="rId45" w:tgtFrame="_blank" w:history="1">
        <w:r w:rsidRPr="00E550D2">
          <w:rPr>
            <w:rStyle w:val="Hyperlink"/>
            <w:sz w:val="24"/>
            <w:szCs w:val="24"/>
          </w:rPr>
          <w:t>https://doi.org/10.1109/CVPR.2016.90</w:t>
        </w:r>
      </w:hyperlink>
    </w:p>
    <w:p w:rsidR="00E550D2" w:rsidRPr="00E550D2" w:rsidRDefault="00E550D2" w:rsidP="00E550D2">
      <w:pPr>
        <w:spacing w:line="360" w:lineRule="auto"/>
        <w:ind w:left="720" w:hanging="720"/>
        <w:jc w:val="both"/>
        <w:rPr>
          <w:sz w:val="24"/>
          <w:szCs w:val="24"/>
        </w:rPr>
      </w:pPr>
      <w:r w:rsidRPr="00E550D2">
        <w:rPr>
          <w:sz w:val="24"/>
          <w:szCs w:val="24"/>
        </w:rPr>
        <w:lastRenderedPageBreak/>
        <w:t>[29] Howard, A., Sandler, M., Chen, B., Wang, W., Chen, L.</w:t>
      </w:r>
      <w:r w:rsidRPr="00E550D2">
        <w:rPr>
          <w:sz w:val="24"/>
          <w:szCs w:val="24"/>
        </w:rPr>
        <w:noBreakHyphen/>
        <w:t>C., Tan, M., Chu, G., Vasudevan, V., Zhu, Y., Pang, R., Adam, H., &amp; Le, Q. V. (2019). Searching for MobileNetV3. In Proceedings of the IEEE/CVF International Conference on Computer Vision (pp. 1314–1324).</w:t>
      </w:r>
    </w:p>
    <w:p w:rsidR="00527DCD" w:rsidRPr="0001101D" w:rsidRDefault="00527DCD" w:rsidP="00E550D2">
      <w:pPr>
        <w:spacing w:after="140"/>
        <w:ind w:left="360" w:hanging="360"/>
        <w:jc w:val="both"/>
        <w:rPr>
          <w:rFonts w:ascii="Simplified Arabic" w:hAnsi="Simplified Arabic" w:cs="Simplified Arabic"/>
        </w:rPr>
      </w:pPr>
    </w:p>
    <w:sectPr w:rsidR="00527DCD" w:rsidRPr="0001101D">
      <w:footerReference w:type="default" r:id="rId4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359" w:rsidRDefault="00511359">
      <w:r>
        <w:separator/>
      </w:r>
    </w:p>
  </w:endnote>
  <w:endnote w:type="continuationSeparator" w:id="0">
    <w:p w:rsidR="00511359" w:rsidRDefault="0051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DD2" w:rsidRDefault="00147DD2">
    <w:pPr>
      <w:jc w:val="center"/>
    </w:pPr>
    <w:r>
      <w:fldChar w:fldCharType="begin"/>
    </w:r>
    <w:r>
      <w:instrText>PAGE</w:instrText>
    </w:r>
    <w:r>
      <w:fldChar w:fldCharType="separate"/>
    </w:r>
    <w:r w:rsidR="009F0553">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359" w:rsidRDefault="00511359">
      <w:r>
        <w:separator/>
      </w:r>
    </w:p>
  </w:footnote>
  <w:footnote w:type="continuationSeparator" w:id="0">
    <w:p w:rsidR="00511359" w:rsidRDefault="00511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B2F28"/>
    <w:multiLevelType w:val="hybridMultilevel"/>
    <w:tmpl w:val="8EC0FE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DC04D9"/>
    <w:multiLevelType w:val="hybridMultilevel"/>
    <w:tmpl w:val="2EA856D8"/>
    <w:lvl w:ilvl="0" w:tplc="FA960EA6">
      <w:start w:val="1"/>
      <w:numFmt w:val="bullet"/>
      <w:lvlText w:val="●"/>
      <w:lvlJc w:val="left"/>
      <w:pPr>
        <w:ind w:left="720" w:hanging="360"/>
      </w:pPr>
    </w:lvl>
    <w:lvl w:ilvl="1" w:tplc="42982CB6">
      <w:start w:val="1"/>
      <w:numFmt w:val="bullet"/>
      <w:lvlText w:val="○"/>
      <w:lvlJc w:val="left"/>
      <w:pPr>
        <w:ind w:left="1440" w:hanging="360"/>
      </w:pPr>
    </w:lvl>
    <w:lvl w:ilvl="2" w:tplc="A51A4816">
      <w:start w:val="1"/>
      <w:numFmt w:val="bullet"/>
      <w:lvlText w:val="■"/>
      <w:lvlJc w:val="left"/>
      <w:pPr>
        <w:ind w:left="2160" w:hanging="360"/>
      </w:pPr>
    </w:lvl>
    <w:lvl w:ilvl="3" w:tplc="04A6952E">
      <w:start w:val="1"/>
      <w:numFmt w:val="bullet"/>
      <w:lvlText w:val="●"/>
      <w:lvlJc w:val="left"/>
      <w:pPr>
        <w:ind w:left="2880" w:hanging="360"/>
      </w:pPr>
    </w:lvl>
    <w:lvl w:ilvl="4" w:tplc="7DB05412">
      <w:start w:val="1"/>
      <w:numFmt w:val="bullet"/>
      <w:lvlText w:val="○"/>
      <w:lvlJc w:val="left"/>
      <w:pPr>
        <w:ind w:left="3600" w:hanging="360"/>
      </w:pPr>
    </w:lvl>
    <w:lvl w:ilvl="5" w:tplc="8EF6D816">
      <w:start w:val="1"/>
      <w:numFmt w:val="bullet"/>
      <w:lvlText w:val="■"/>
      <w:lvlJc w:val="left"/>
      <w:pPr>
        <w:ind w:left="4320" w:hanging="360"/>
      </w:pPr>
    </w:lvl>
    <w:lvl w:ilvl="6" w:tplc="64DCA450">
      <w:start w:val="1"/>
      <w:numFmt w:val="bullet"/>
      <w:lvlText w:val="●"/>
      <w:lvlJc w:val="left"/>
      <w:pPr>
        <w:ind w:left="5040" w:hanging="360"/>
      </w:pPr>
    </w:lvl>
    <w:lvl w:ilvl="7" w:tplc="282A58F0">
      <w:start w:val="1"/>
      <w:numFmt w:val="bullet"/>
      <w:lvlText w:val="●"/>
      <w:lvlJc w:val="left"/>
      <w:pPr>
        <w:ind w:left="5760" w:hanging="360"/>
      </w:pPr>
    </w:lvl>
    <w:lvl w:ilvl="8" w:tplc="4ADE8558">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DCD"/>
    <w:rsid w:val="0001101D"/>
    <w:rsid w:val="000C084D"/>
    <w:rsid w:val="0010558E"/>
    <w:rsid w:val="00116BF1"/>
    <w:rsid w:val="001260A4"/>
    <w:rsid w:val="00147DD2"/>
    <w:rsid w:val="001805B1"/>
    <w:rsid w:val="001A379E"/>
    <w:rsid w:val="001D267D"/>
    <w:rsid w:val="00203254"/>
    <w:rsid w:val="00264ED8"/>
    <w:rsid w:val="003017CC"/>
    <w:rsid w:val="00470D3C"/>
    <w:rsid w:val="004A7D57"/>
    <w:rsid w:val="004F0715"/>
    <w:rsid w:val="00511359"/>
    <w:rsid w:val="00527DCD"/>
    <w:rsid w:val="00530687"/>
    <w:rsid w:val="00535CAD"/>
    <w:rsid w:val="00592D7B"/>
    <w:rsid w:val="005C5F34"/>
    <w:rsid w:val="006A2436"/>
    <w:rsid w:val="006C7D3C"/>
    <w:rsid w:val="00752123"/>
    <w:rsid w:val="007C7B15"/>
    <w:rsid w:val="007D5E6C"/>
    <w:rsid w:val="008843A9"/>
    <w:rsid w:val="00926104"/>
    <w:rsid w:val="009B299D"/>
    <w:rsid w:val="009F03B8"/>
    <w:rsid w:val="009F0553"/>
    <w:rsid w:val="00A65892"/>
    <w:rsid w:val="00B750B4"/>
    <w:rsid w:val="00B879DE"/>
    <w:rsid w:val="00BE3EE0"/>
    <w:rsid w:val="00BF3CE1"/>
    <w:rsid w:val="00BF4878"/>
    <w:rsid w:val="00D41AA6"/>
    <w:rsid w:val="00DD2741"/>
    <w:rsid w:val="00E46FCE"/>
    <w:rsid w:val="00E550D2"/>
    <w:rsid w:val="00EC6DEF"/>
    <w:rsid w:val="00ED3429"/>
    <w:rsid w:val="00F242C3"/>
    <w:rsid w:val="00F478C3"/>
    <w:rsid w:val="00F66298"/>
    <w:rsid w:val="00FC1F64"/>
    <w:rsid w:val="00FE46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A63D7"/>
  <w15:docId w15:val="{B3042A1E-1118-4E12-A6A4-CC9C408B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3322/caac.21834" TargetMode="External"/><Relationship Id="rId26" Type="http://schemas.openxmlformats.org/officeDocument/2006/relationships/hyperlink" Target="https://doi.org/10.3390/jcm14144929" TargetMode="External"/><Relationship Id="rId39" Type="http://schemas.openxmlformats.org/officeDocument/2006/relationships/hyperlink" Target="https://doi.org/10.7717/peerj-cs.1717" TargetMode="External"/><Relationship Id="rId21" Type="http://schemas.openxmlformats.org/officeDocument/2006/relationships/hyperlink" Target="https://doi.org/10.3322/caac.21660" TargetMode="External"/><Relationship Id="rId34" Type="http://schemas.openxmlformats.org/officeDocument/2006/relationships/hyperlink" Target="https://doi.org/10.1016/j.artmed.2022.102274" TargetMode="External"/><Relationship Id="rId42" Type="http://schemas.openxmlformats.org/officeDocument/2006/relationships/hyperlink" Target="http://www-formal.stanford.edu/jmc/whatisai/node1.html"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1155/2022/38611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48/radiol.232178" TargetMode="External"/><Relationship Id="rId32" Type="http://schemas.openxmlformats.org/officeDocument/2006/relationships/hyperlink" Target="https://doi.org/10.1515/bmt-2022-0142" TargetMode="External"/><Relationship Id="rId37" Type="http://schemas.openxmlformats.org/officeDocument/2006/relationships/hyperlink" Target="https://doi.org/10.3390/electronics13244981" TargetMode="External"/><Relationship Id="rId40" Type="http://schemas.openxmlformats.org/officeDocument/2006/relationships/hyperlink" Target="https://doi.org/10.7717/peerj-cs.2800" TargetMode="External"/><Relationship Id="rId45" Type="http://schemas.openxmlformats.org/officeDocument/2006/relationships/hyperlink" Target="https://doi.org/10.1109/CVPR.2016.9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seer.cancer.gov/statfacts/html/kidrp.html" TargetMode="External"/><Relationship Id="rId28" Type="http://schemas.openxmlformats.org/officeDocument/2006/relationships/hyperlink" Target="https://doi.org/10.1038/s41598-022-15634-4" TargetMode="External"/><Relationship Id="rId36" Type="http://schemas.openxmlformats.org/officeDocument/2006/relationships/hyperlink" Target="https://doi.org/10.1038/s41598-025-04606-z" TargetMode="External"/><Relationship Id="rId10" Type="http://schemas.openxmlformats.org/officeDocument/2006/relationships/image" Target="media/image4.jpg"/><Relationship Id="rId19" Type="http://schemas.openxmlformats.org/officeDocument/2006/relationships/hyperlink" Target="https://doi.org/10.2214/AJR.19.22074" TargetMode="External"/><Relationship Id="rId31" Type="http://schemas.openxmlformats.org/officeDocument/2006/relationships/hyperlink" Target="https://doi.org/10.1038/s41598-025-94905-2" TargetMode="External"/><Relationship Id="rId44" Type="http://schemas.openxmlformats.org/officeDocument/2006/relationships/hyperlink" Target="https://doi.org/10.1007/978-3-030-01234-2_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wcrf.org/preventing-cancer/cancer-statistics/kidney-cancer-statistics/" TargetMode="External"/><Relationship Id="rId27" Type="http://schemas.openxmlformats.org/officeDocument/2006/relationships/hyperlink" Target="https://doi.org/10.1038/s41598-026-37283-7" TargetMode="External"/><Relationship Id="rId30" Type="http://schemas.openxmlformats.org/officeDocument/2006/relationships/hyperlink" Target="https://doi.org/10.1016/j.compbiomed.2021.104569" TargetMode="External"/><Relationship Id="rId35" Type="http://schemas.openxmlformats.org/officeDocument/2006/relationships/hyperlink" Target="https://doi.org/10.5220/0013510200004619" TargetMode="External"/><Relationship Id="rId43" Type="http://schemas.openxmlformats.org/officeDocument/2006/relationships/hyperlink" Target="https://doi.org/10.1109/TKDE.2009.191"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38/s41698-021-00195-y" TargetMode="External"/><Relationship Id="rId33" Type="http://schemas.openxmlformats.org/officeDocument/2006/relationships/hyperlink" Target="https://doi.org/10.1016/j.imu.2025.101663" TargetMode="External"/><Relationship Id="rId38" Type="http://schemas.openxmlformats.org/officeDocument/2006/relationships/hyperlink" Target="https://doi.org/10.3390/app13053125" TargetMode="External"/><Relationship Id="rId46" Type="http://schemas.openxmlformats.org/officeDocument/2006/relationships/footer" Target="footer1.xml"/><Relationship Id="rId20" Type="http://schemas.openxmlformats.org/officeDocument/2006/relationships/hyperlink" Target="https://doi.org/10.14740/wjon1279" TargetMode="External"/><Relationship Id="rId41" Type="http://schemas.openxmlformats.org/officeDocument/2006/relationships/hyperlink" Target="https://doi.org/10.1109/ACCESS.2025.3610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27</Pages>
  <Words>8083</Words>
  <Characters>46074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dc:creator>
  <cp:lastModifiedBy>Faisal</cp:lastModifiedBy>
  <cp:revision>18</cp:revision>
  <dcterms:created xsi:type="dcterms:W3CDTF">2026-07-05T17:24:00Z</dcterms:created>
  <dcterms:modified xsi:type="dcterms:W3CDTF">2026-07-06T01:46:00Z</dcterms:modified>
</cp:coreProperties>
</file>