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09E16" w14:textId="4EAD492A" w:rsidR="00BA5115" w:rsidRPr="00991EEB" w:rsidRDefault="00B7509F" w:rsidP="00BA5115">
      <w:pPr>
        <w:spacing w:before="240" w:line="276" w:lineRule="auto"/>
        <w:jc w:val="right"/>
        <w:rPr>
          <w:rFonts w:ascii="Sakkal Majalla" w:hAnsi="Sakkal Majalla" w:cs="Sakkal Majalla"/>
          <w:sz w:val="32"/>
          <w:szCs w:val="32"/>
        </w:rPr>
      </w:pPr>
      <w:r w:rsidRPr="00991EEB">
        <w:rPr>
          <w:rFonts w:ascii="Sakkal Majalla" w:hAnsi="Sakkal Majalla" w:cs="Sakkal Majalla"/>
          <w:noProof/>
          <w:sz w:val="32"/>
          <w:szCs w:val="32"/>
        </w:rPr>
        <w:drawing>
          <wp:anchor distT="0" distB="0" distL="114300" distR="114300" simplePos="0" relativeHeight="251659264" behindDoc="0" locked="0" layoutInCell="1" allowOverlap="1" wp14:anchorId="68DCB82E" wp14:editId="14E0B4BC">
            <wp:simplePos x="0" y="0"/>
            <wp:positionH relativeFrom="margin">
              <wp:posOffset>-681487</wp:posOffset>
            </wp:positionH>
            <wp:positionV relativeFrom="margin">
              <wp:posOffset>-767871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399D9682" w14:textId="77777777" w:rsidR="00BA5115" w:rsidRPr="00991EEB" w:rsidRDefault="00BA5115" w:rsidP="00BA5115">
      <w:pPr>
        <w:spacing w:before="240" w:line="276" w:lineRule="auto"/>
        <w:jc w:val="right"/>
        <w:rPr>
          <w:rFonts w:ascii="Sakkal Majalla" w:hAnsi="Sakkal Majalla" w:cs="Sakkal Majalla"/>
          <w:sz w:val="32"/>
          <w:szCs w:val="32"/>
          <w:rtl/>
          <w:lang w:bidi="ar-EG"/>
        </w:rPr>
      </w:pP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lang w:bidi="ar-EG"/>
        </w:rPr>
        <w:t xml:space="preserve">كلية العلوم الإنسانية </w:t>
      </w:r>
    </w:p>
    <w:p w14:paraId="6DA3D9A8" w14:textId="77777777" w:rsidR="00BA5115" w:rsidRPr="00991EEB" w:rsidRDefault="00BA5115" w:rsidP="00BA5115">
      <w:pPr>
        <w:spacing w:before="240" w:line="276" w:lineRule="auto"/>
        <w:jc w:val="right"/>
        <w:rPr>
          <w:rFonts w:ascii="Sakkal Majalla" w:hAnsi="Sakkal Majalla" w:cs="Sakkal Majalla"/>
          <w:sz w:val="32"/>
          <w:szCs w:val="32"/>
          <w:rtl/>
          <w:lang w:bidi="ar-EG"/>
        </w:rPr>
      </w:pPr>
      <w:r w:rsidRPr="00991EEB">
        <w:rPr>
          <w:rFonts w:ascii="Sakkal Majalla" w:hAnsi="Sakkal Majalla" w:cs="Sakkal Majalla"/>
          <w:sz w:val="32"/>
          <w:szCs w:val="32"/>
          <w:rtl/>
          <w:lang w:bidi="ar-EG"/>
        </w:rPr>
        <w:t>قسم / تخصص القانون</w:t>
      </w:r>
    </w:p>
    <w:p w14:paraId="41E1F978" w14:textId="77777777" w:rsidR="00BA5115" w:rsidRPr="00991EEB" w:rsidRDefault="00BA5115" w:rsidP="00BA5115">
      <w:pPr>
        <w:spacing w:before="240" w:line="276" w:lineRule="auto"/>
        <w:jc w:val="center"/>
        <w:rPr>
          <w:rFonts w:ascii="Sakkal Majalla" w:hAnsi="Sakkal Majalla" w:cs="Sakkal Majalla"/>
          <w:sz w:val="32"/>
          <w:szCs w:val="32"/>
        </w:rPr>
      </w:pPr>
      <w:r w:rsidRPr="00991EEB">
        <w:rPr>
          <w:rFonts w:ascii="Sakkal Majalla" w:hAnsi="Sakkal Majalla" w:cs="Sakkal Majalla"/>
          <w:sz w:val="32"/>
          <w:szCs w:val="32"/>
          <w:rtl/>
          <w:lang w:bidi="ar-EG"/>
        </w:rPr>
        <w:t>عنوان البحث</w:t>
      </w:r>
    </w:p>
    <w:p w14:paraId="152C38C1" w14:textId="77777777" w:rsidR="00BA5115" w:rsidRPr="00991EEB" w:rsidRDefault="00BA5115" w:rsidP="00BA5115">
      <w:pPr>
        <w:spacing w:before="240" w:line="276" w:lineRule="auto"/>
        <w:jc w:val="center"/>
        <w:rPr>
          <w:rFonts w:ascii="Sakkal Majalla" w:hAnsi="Sakkal Majalla" w:cs="Sakkal Majalla"/>
          <w:sz w:val="32"/>
          <w:szCs w:val="32"/>
          <w:rtl/>
          <w:lang w:bidi="ar-EG"/>
        </w:rPr>
      </w:pPr>
    </w:p>
    <w:p w14:paraId="5C89F484" w14:textId="77777777" w:rsidR="00BA5115" w:rsidRPr="00991EEB" w:rsidRDefault="00BA5115" w:rsidP="00BA5115">
      <w:pPr>
        <w:spacing w:before="240" w:line="276" w:lineRule="auto"/>
        <w:jc w:val="center"/>
        <w:rPr>
          <w:rFonts w:ascii="Sakkal Majalla" w:hAnsi="Sakkal Majalla" w:cs="Sakkal Majalla"/>
          <w:b/>
          <w:bCs/>
          <w:sz w:val="36"/>
          <w:szCs w:val="36"/>
          <w:rtl/>
          <w:lang w:bidi="ar-EG"/>
        </w:rPr>
      </w:pPr>
      <w:r w:rsidRPr="00991EEB">
        <w:rPr>
          <w:rFonts w:ascii="Sakkal Majalla" w:hAnsi="Sakkal Majalla" w:cs="Sakkal Majalla"/>
          <w:b/>
          <w:bCs/>
          <w:sz w:val="36"/>
          <w:szCs w:val="36"/>
          <w:rtl/>
          <w:lang w:bidi="ar-EG"/>
        </w:rPr>
        <w:t>المسؤولية المدنية الناشئة عن الجرائم الإلكترونية المرتكبة باستخدام الذكاء الاصطناعي</w:t>
      </w:r>
    </w:p>
    <w:p w14:paraId="337652D5" w14:textId="77777777" w:rsidR="00BA5115" w:rsidRPr="00991EEB" w:rsidRDefault="00BA5115" w:rsidP="00BA5115">
      <w:pPr>
        <w:spacing w:before="240" w:line="276" w:lineRule="auto"/>
        <w:jc w:val="center"/>
        <w:rPr>
          <w:rFonts w:ascii="Sakkal Majalla" w:hAnsi="Sakkal Majalla" w:cs="Sakkal Majalla"/>
          <w:b/>
          <w:bCs/>
          <w:sz w:val="36"/>
          <w:szCs w:val="36"/>
          <w:lang w:bidi="ar-EG"/>
        </w:rPr>
      </w:pPr>
      <w:r w:rsidRPr="00991EEB">
        <w:rPr>
          <w:rFonts w:ascii="Sakkal Majalla" w:hAnsi="Sakkal Majalla" w:cs="Sakkal Majalla"/>
          <w:b/>
          <w:bCs/>
          <w:sz w:val="36"/>
          <w:szCs w:val="36"/>
          <w:rtl/>
          <w:lang w:bidi="ar-EG"/>
        </w:rPr>
        <w:t xml:space="preserve"> في النظام السعودي</w:t>
      </w:r>
    </w:p>
    <w:p w14:paraId="5D5477EA" w14:textId="77777777" w:rsidR="00BA5115" w:rsidRPr="00991EEB" w:rsidRDefault="00BA5115" w:rsidP="00BA5115">
      <w:pPr>
        <w:spacing w:before="240" w:line="276" w:lineRule="auto"/>
        <w:jc w:val="center"/>
        <w:rPr>
          <w:rFonts w:ascii="Sakkal Majalla" w:hAnsi="Sakkal Majalla" w:cs="Sakkal Majalla"/>
          <w:sz w:val="32"/>
          <w:szCs w:val="32"/>
          <w:rtl/>
          <w:lang w:bidi="ar-EG"/>
        </w:rPr>
      </w:pPr>
      <w:r w:rsidRPr="00991EEB">
        <w:rPr>
          <w:rFonts w:ascii="Sakkal Majalla" w:hAnsi="Sakkal Majalla" w:cs="Sakkal Majalla"/>
          <w:sz w:val="32"/>
          <w:szCs w:val="32"/>
          <w:rtl/>
          <w:lang w:bidi="ar-EG"/>
        </w:rPr>
        <w:t>إعداد:</w:t>
      </w:r>
    </w:p>
    <w:p w14:paraId="0C89313D" w14:textId="77777777" w:rsidR="00BA5115" w:rsidRPr="00991EEB" w:rsidRDefault="00BA5115" w:rsidP="00BA5115">
      <w:pPr>
        <w:spacing w:before="240" w:line="276" w:lineRule="auto"/>
        <w:jc w:val="center"/>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بدر عبدالله السبيعي</w:t>
      </w:r>
    </w:p>
    <w:p w14:paraId="0632B3DA" w14:textId="77777777" w:rsidR="00BA5115" w:rsidRPr="00991EEB" w:rsidRDefault="00BA5115" w:rsidP="00BA5115">
      <w:pPr>
        <w:spacing w:before="240" w:line="276" w:lineRule="auto"/>
        <w:jc w:val="center"/>
        <w:rPr>
          <w:rFonts w:ascii="Sakkal Majalla" w:hAnsi="Sakkal Majalla" w:cs="Sakkal Majalla"/>
          <w:sz w:val="32"/>
          <w:szCs w:val="32"/>
          <w:lang w:bidi="ar-EG"/>
        </w:rPr>
      </w:pPr>
    </w:p>
    <w:p w14:paraId="622A58A2" w14:textId="77777777" w:rsidR="00BA5115" w:rsidRPr="00991EEB" w:rsidRDefault="00BA5115" w:rsidP="00BA5115">
      <w:pPr>
        <w:spacing w:before="240" w:line="276" w:lineRule="auto"/>
        <w:jc w:val="center"/>
        <w:rPr>
          <w:rFonts w:ascii="Sakkal Majalla" w:hAnsi="Sakkal Majalla" w:cs="Sakkal Majalla"/>
          <w:sz w:val="32"/>
          <w:szCs w:val="32"/>
          <w:rtl/>
        </w:rPr>
      </w:pPr>
      <w:r w:rsidRPr="00991EEB">
        <w:rPr>
          <w:rFonts w:ascii="Sakkal Majalla" w:hAnsi="Sakkal Majalla" w:cs="Sakkal Majalla"/>
          <w:sz w:val="32"/>
          <w:szCs w:val="32"/>
          <w:rtl/>
          <w:lang w:bidi="ar-EG"/>
        </w:rPr>
        <w:t>الرقم الاكاديمي:</w:t>
      </w:r>
    </w:p>
    <w:p w14:paraId="0D971FAA" w14:textId="77777777" w:rsidR="00BA5115" w:rsidRPr="00991EEB" w:rsidRDefault="00BA5115" w:rsidP="00BA5115">
      <w:pPr>
        <w:spacing w:before="240" w:line="276" w:lineRule="auto"/>
        <w:jc w:val="center"/>
        <w:rPr>
          <w:rFonts w:ascii="Sakkal Majalla" w:hAnsi="Sakkal Majalla" w:cs="Sakkal Majalla"/>
          <w:b/>
          <w:bCs/>
          <w:sz w:val="32"/>
          <w:szCs w:val="32"/>
          <w:lang w:bidi="ar-EG"/>
        </w:rPr>
      </w:pPr>
      <w:r w:rsidRPr="00991EEB">
        <w:rPr>
          <w:rFonts w:ascii="Sakkal Majalla" w:hAnsi="Sakkal Majalla" w:cs="Sakkal Majalla"/>
          <w:b/>
          <w:bCs/>
          <w:sz w:val="32"/>
          <w:szCs w:val="32"/>
          <w:lang w:bidi="ar-EG"/>
        </w:rPr>
        <w:t>221002181</w:t>
      </w:r>
    </w:p>
    <w:p w14:paraId="79A663F1" w14:textId="77777777" w:rsidR="00BA5115" w:rsidRPr="00991EEB" w:rsidRDefault="00BA5115" w:rsidP="00BA5115">
      <w:pPr>
        <w:spacing w:before="240" w:line="276" w:lineRule="auto"/>
        <w:jc w:val="center"/>
        <w:rPr>
          <w:rFonts w:ascii="Sakkal Majalla" w:hAnsi="Sakkal Majalla" w:cs="Sakkal Majalla"/>
          <w:sz w:val="32"/>
          <w:szCs w:val="32"/>
          <w:rtl/>
        </w:rPr>
      </w:pPr>
      <w:r w:rsidRPr="00991EEB">
        <w:rPr>
          <w:rFonts w:ascii="Sakkal Majalla" w:hAnsi="Sakkal Majalla" w:cs="Sakkal Majalla"/>
          <w:sz w:val="32"/>
          <w:szCs w:val="32"/>
          <w:rtl/>
          <w:lang w:bidi="ar-EG"/>
        </w:rPr>
        <w:t>العام الدراسي:</w:t>
      </w:r>
    </w:p>
    <w:p w14:paraId="7F5514AD" w14:textId="77777777" w:rsidR="00BA5115" w:rsidRPr="00991EEB" w:rsidRDefault="00BA5115" w:rsidP="00BA5115">
      <w:pPr>
        <w:spacing w:before="240" w:line="276" w:lineRule="auto"/>
        <w:jc w:val="center"/>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2025</w:t>
      </w:r>
    </w:p>
    <w:p w14:paraId="7E072210" w14:textId="77777777" w:rsidR="00BA5115" w:rsidRPr="00991EEB" w:rsidRDefault="00BA5115" w:rsidP="00BA5115">
      <w:pPr>
        <w:spacing w:before="240" w:line="276" w:lineRule="auto"/>
        <w:jc w:val="lowKashida"/>
        <w:rPr>
          <w:rFonts w:ascii="Sakkal Majalla" w:hAnsi="Sakkal Majalla" w:cs="Sakkal Majalla"/>
          <w:b/>
          <w:bCs/>
          <w:sz w:val="32"/>
          <w:szCs w:val="32"/>
          <w:rtl/>
        </w:rPr>
      </w:pPr>
    </w:p>
    <w:p w14:paraId="72B2AB55" w14:textId="77777777" w:rsidR="00BA5115" w:rsidRPr="00991EEB" w:rsidRDefault="00BA5115" w:rsidP="00BA5115">
      <w:pPr>
        <w:rPr>
          <w:rFonts w:ascii="Sakkal Majalla" w:hAnsi="Sakkal Majalla" w:cs="Sakkal Majalla"/>
          <w:b/>
          <w:bCs/>
          <w:sz w:val="40"/>
          <w:szCs w:val="40"/>
          <w:rtl/>
        </w:rPr>
      </w:pPr>
    </w:p>
    <w:p w14:paraId="4B63CEE5" w14:textId="77777777" w:rsidR="00BA5115" w:rsidRPr="00991EEB" w:rsidRDefault="00BA5115" w:rsidP="00BA5115">
      <w:pPr>
        <w:rPr>
          <w:rFonts w:ascii="Sakkal Majalla" w:hAnsi="Sakkal Majalla" w:cs="Sakkal Majalla"/>
          <w:b/>
          <w:bCs/>
          <w:sz w:val="32"/>
          <w:szCs w:val="32"/>
        </w:rPr>
      </w:pPr>
    </w:p>
    <w:p w14:paraId="4F04FA23" w14:textId="77777777" w:rsidR="00BA5115" w:rsidRPr="00991EEB" w:rsidRDefault="00BA5115" w:rsidP="00BA5115">
      <w:pPr>
        <w:bidi/>
        <w:spacing w:line="360" w:lineRule="auto"/>
        <w:jc w:val="lowKashida"/>
        <w:rPr>
          <w:rFonts w:ascii="Sakkal Majalla" w:hAnsi="Sakkal Majalla" w:cs="Sakkal Majalla"/>
          <w:b/>
          <w:bCs/>
          <w:sz w:val="32"/>
          <w:szCs w:val="32"/>
          <w:rtl/>
        </w:rPr>
      </w:pPr>
      <w:r w:rsidRPr="00991EEB">
        <w:rPr>
          <w:rFonts w:ascii="Sakkal Majalla" w:hAnsi="Sakkal Majalla" w:cs="Sakkal Majalla"/>
          <w:b/>
          <w:bCs/>
          <w:sz w:val="32"/>
          <w:szCs w:val="32"/>
          <w:rtl/>
          <w:lang w:bidi="ar-EG"/>
        </w:rPr>
        <w:lastRenderedPageBreak/>
        <w:t>مقدمة:</w:t>
      </w:r>
    </w:p>
    <w:p w14:paraId="0CFCED7B"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في ظل الطفرة التقنية التي يشهدها العالم اليوم برز الذكاء الاصطناعي بوصفه أحد أهم الابتكارات التي غيرت ملامح الحياة الإنسانية، وأعادت تشكيل العلاقات الاقتصادية والاجتماعية والقانونية، ومع تزايد الاعتماد على الأنظمة الذكية في مجالات متعددة برزت معها تحديات قانونية معقدة تتعلق بتحديد المسؤولية المدنية عن الأفعال الصادرة عن هذه الأنظمة، خصوصاً في مجال الجرائم الإلكترونية التي أصبحت تتخذ أشكالاً جديدة تتجاوز القدرات البشرية في بعض الأحيان، فالتطور الهائل في تقنيات الذكاء الاصطناعي جعل من الممكن استخدام البرمجيات الذكية في تنفيذ أفعال إجرامية بشكل دقيق ومنظم، كاختراق الأنظمة البنكية، أو تزييف البيانات، أو انتحال الهويات الرقمية، مما يثير تساؤلات جوهرية حول من يتحمل تبعة هذه الأفعال من منظور قانوني</w:t>
      </w:r>
      <w:r w:rsidRPr="00991EEB">
        <w:rPr>
          <w:rFonts w:ascii="Sakkal Majalla" w:hAnsi="Sakkal Majalla" w:cs="Sakkal Majalla"/>
          <w:sz w:val="32"/>
          <w:szCs w:val="32"/>
          <w:lang w:bidi="ar-EG"/>
        </w:rPr>
        <w:t>.</w:t>
      </w:r>
      <w:r w:rsidRPr="00991EEB">
        <w:rPr>
          <w:rStyle w:val="FootnoteReference"/>
          <w:rFonts w:ascii="Sakkal Majalla" w:hAnsi="Sakkal Majalla" w:cs="Sakkal Majalla"/>
          <w:sz w:val="32"/>
          <w:szCs w:val="32"/>
          <w:lang w:bidi="ar-EG"/>
        </w:rPr>
        <w:footnoteReference w:id="1"/>
      </w:r>
    </w:p>
    <w:p w14:paraId="5E2F3636"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ولقد أوجدت هذه التطورات فجوة واضحة بين ما هو تقني وما هو قانوني، إذ أن القواعد التقليدية للمسؤولية المدنية التي تقوم على إثبات الخطأ والضرر وعلاقة السببية قد لا تكون كافية للتعامل مع الأفعال التي تصدر عن أنظمة تعمل بقدر كبير من الاستقلالية والذاتية، فالذكاء الاصطناعي اليوم لا يقتصر على التنفيذ الميكانيكي للأوامر، بل يمتلك القدرة على التعلم واتخاذ القرار والتفاعل مع البيئة المحيطة، وهو ما يجعل من الصعب أحياناً تحديد ما إذا كان الخطأ ناجماً عن الإنسان المشغل للنظام، أم عن المبرمج، أم عن النظام ذاته الذي يعمل وفق خوارزميات معقدة قادرة على تطوير نفسها دون تدخل بشري مباشر، ومن هنا </w:t>
      </w:r>
      <w:r w:rsidRPr="00991EEB">
        <w:rPr>
          <w:rFonts w:ascii="Sakkal Majalla" w:hAnsi="Sakkal Majalla" w:cs="Sakkal Majalla"/>
          <w:sz w:val="32"/>
          <w:szCs w:val="32"/>
          <w:rtl/>
          <w:lang w:bidi="ar-EG"/>
        </w:rPr>
        <w:lastRenderedPageBreak/>
        <w:t>تنشأ إشكالية قانونية جوهرية تتعلق بمدى إمكانية مساءلة النظام الذكي عن أفعاله، أو إسناد المسؤولية إلى من قام بإنشائه أو استخدامه</w:t>
      </w:r>
      <w:r w:rsidRPr="00991EEB">
        <w:rPr>
          <w:rFonts w:ascii="Sakkal Majalla" w:hAnsi="Sakkal Majalla" w:cs="Sakkal Majalla"/>
          <w:sz w:val="32"/>
          <w:szCs w:val="32"/>
          <w:lang w:bidi="ar-EG"/>
        </w:rPr>
        <w:t>.</w:t>
      </w:r>
      <w:r w:rsidRPr="00991EEB">
        <w:rPr>
          <w:rStyle w:val="FootnoteReference"/>
          <w:rFonts w:ascii="Sakkal Majalla" w:hAnsi="Sakkal Majalla" w:cs="Sakkal Majalla"/>
          <w:sz w:val="32"/>
          <w:szCs w:val="32"/>
          <w:lang w:bidi="ar-EG"/>
        </w:rPr>
        <w:footnoteReference w:id="2"/>
      </w:r>
    </w:p>
    <w:p w14:paraId="543FAE1A"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ومن الملاحظ أن النظام القانوني السعودي بالرغم من حداثة تعامله مع قضايا الذكاء الاصطناعي، يمتلك قاعدة فقهية متينة يمكن الانطلاق منها لمعالجة هذه الإشكاليات، فالقواعد العامة في الشريعة الإسلامية – التي يقوم عليها التشريع السعودي – تنص على مبدأ الضمان في كل ضرر يحدث بفعل الإنسان أو بسبب ما يملكه أو يستخدمه، مما يعني إمكانية تكييف الأفعال الناشئة عن الأنظمة الذكية ضمن هذا الإطار طالما أن هناك علاقة سببية بين الفعل والضرر، ومع ذلك يظل التحدي في تحديد طبيعة العلاقة بين الفاعل البشري والنظام الآلي خاصة في الحالات التي يكون فيها الذكاء الاصطناعي قادراً على اتخاذ قرارات مستقلة تماماً، كما هو الحال في الجرائم الإلكترونية المعقدة التي تُنفذ من خلال برمجيات ذاتية التشغيل تعمل دون إشراف مباشر</w:t>
      </w:r>
      <w:r w:rsidRPr="00991EEB">
        <w:rPr>
          <w:rFonts w:ascii="Sakkal Majalla" w:hAnsi="Sakkal Majalla" w:cs="Sakkal Majalla"/>
          <w:sz w:val="32"/>
          <w:szCs w:val="32"/>
          <w:lang w:bidi="ar-EG"/>
        </w:rPr>
        <w:t>.</w:t>
      </w:r>
      <w:r w:rsidRPr="00991EEB">
        <w:rPr>
          <w:rStyle w:val="FootnoteReference"/>
          <w:rFonts w:ascii="Sakkal Majalla" w:hAnsi="Sakkal Majalla" w:cs="Sakkal Majalla"/>
          <w:sz w:val="32"/>
          <w:szCs w:val="32"/>
          <w:lang w:bidi="ar-EG"/>
        </w:rPr>
        <w:footnoteReference w:id="3"/>
      </w:r>
    </w:p>
    <w:p w14:paraId="2A06F848"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وقد دفع هذا الواقع عدد من الفقهاء والمشرعين في العالم إلى طرح أفكار جديدة تتعلق بضرورة إعادة النظر في مفهوم "الشخصية القانونية" وربطها بالذكاء الاصطناعي، فهناك من يرى أن تطور الأنظمة الذكية قد يقود مستقبلاً إلى الاعتراف لها بوضع قانوني خاص شبيه بما يُعرف في بعض التشريعات بـ"الشخصية الإلكترونية"، بحيث يمكن مساءلتها عن الأضرار التي تسببها، ويستدل أصحاب هذا الاتجاه بعدة شواهد من أبرزها منح المملكة العربية السعودية في عام 2017 الجنسية للروبوت "صوفيا"، وهو حدث رمزي فتح الباب واسعاً أمام التفكير في مدى إمكانية اعتبار الأنظمة الذكية أطراف قانونية في المستقبل، وطرح فكرة منح الروبوتات وضع </w:t>
      </w:r>
      <w:r w:rsidRPr="00991EEB">
        <w:rPr>
          <w:rFonts w:ascii="Sakkal Majalla" w:hAnsi="Sakkal Majalla" w:cs="Sakkal Majalla"/>
          <w:sz w:val="32"/>
          <w:szCs w:val="32"/>
          <w:rtl/>
          <w:lang w:bidi="ar-EG"/>
        </w:rPr>
        <w:lastRenderedPageBreak/>
        <w:t>قانوني خاص يسمح بمساءلتها في حال ارتكابها للجرائم والأفعال الضارة، وعلى الرغم من أن هذه الفكرة لا تزال مثار جدل واسع إلا أنها تعكس إدراك متنامي بضرورة تطوير المفاهيم القانونية التقليدية لمواكبة التطور التكنولوجي الهائل.</w:t>
      </w:r>
      <w:r w:rsidRPr="00991EEB">
        <w:rPr>
          <w:rStyle w:val="FootnoteReference"/>
          <w:rFonts w:ascii="Sakkal Majalla" w:hAnsi="Sakkal Majalla" w:cs="Sakkal Majalla"/>
          <w:sz w:val="32"/>
          <w:szCs w:val="32"/>
          <w:rtl/>
          <w:lang w:bidi="ar-EG"/>
        </w:rPr>
        <w:footnoteReference w:id="4"/>
      </w:r>
    </w:p>
    <w:p w14:paraId="686FBE04"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وعليه يتضح أن التطور السريع لتقنيات الذكاء الاصطناعي وارتفاع قدراتها على اتخاذ القرارات المستقلة يثير تساؤلات قانونية حقيقية حول من يتحمل تبعات الأفعال الصادرة عن هذه الأنظمة خاصة في سياق الجرائم الإلكترونية، ومن هنا تنشأ إشكالية البحث الأساسية المتعلقة بإمكانية مساءلة الأنظمة الذكية قانونياً، أو تحديد المسؤولية على الإنسان المشغل أو المبرمج، ويهدف هذا البحث بشكل خاص إلى دراسة المسؤولية المدنية الناشئة عن الأفعال التي تصدر عن الذكاء الاصطناعي في محاولة لتحديد أطر قانونية مناسبة تتماشى مع الواقع التكنولوجي الحديث.</w:t>
      </w:r>
    </w:p>
    <w:p w14:paraId="21D993D2"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أولاً أهمية البحث:</w:t>
      </w:r>
    </w:p>
    <w:p w14:paraId="33089623" w14:textId="77777777" w:rsidR="00BA5115" w:rsidRPr="00991EEB" w:rsidRDefault="00BA5115" w:rsidP="00BA5115">
      <w:pPr>
        <w:pStyle w:val="ListParagraph"/>
        <w:numPr>
          <w:ilvl w:val="0"/>
          <w:numId w:val="6"/>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العلمية للبحث:</w:t>
      </w:r>
    </w:p>
    <w:p w14:paraId="6B74950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تنبع الأهمية العلمية للبحث من كونه يتناول موضوع حديث ومعقد يجمع بين القانون والتكنولوجيا، وهو المسؤولية المدنية الناشئة عن الجرائم الإلكترونية المرتكبة باستخدام الذكاء الاصطناعي، وهو مجال لا يزال في طور التكوين في الفقه القانوني العربي والسعودي على وجه الخصوص، ويسهم هذا البحث في إثراء المكتبة القانونية بدراسة تأصيلية تحليلية تسعى إلى توضيح الأسس النظرية التي يمكن الاستناد إليها في تكييف الأفعال الصادرة عن الأنظمة الذكية، وبيان مدى انطباق قواعد المسؤولية المدنية التقليدية عليها، كما يهدف </w:t>
      </w:r>
      <w:r w:rsidRPr="00991EEB">
        <w:rPr>
          <w:rFonts w:ascii="Sakkal Majalla" w:hAnsi="Sakkal Majalla" w:cs="Sakkal Majalla"/>
          <w:sz w:val="32"/>
          <w:szCs w:val="32"/>
          <w:rtl/>
          <w:lang w:bidi="ar-EG"/>
        </w:rPr>
        <w:lastRenderedPageBreak/>
        <w:t>إلى سد الفجوة المعرفية في الدراسات القانونية المتعلقة بالذكاء الاصطناعي، وإبراز التحديات التشريعية التي تواجه المشرّع السعودي في ظل التطور السريع للتقنيات الحديثة، مما يجعله مرجعاً أكاديمياً يمكن أن يستند إليه الباحثون والدارسون في المستقبل.</w:t>
      </w:r>
    </w:p>
    <w:p w14:paraId="728719D7" w14:textId="77777777" w:rsidR="00BA5115" w:rsidRPr="00991EEB" w:rsidRDefault="00BA5115" w:rsidP="00BA5115">
      <w:pPr>
        <w:pStyle w:val="ListParagraph"/>
        <w:numPr>
          <w:ilvl w:val="0"/>
          <w:numId w:val="6"/>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العملية للبحث:</w:t>
      </w:r>
    </w:p>
    <w:p w14:paraId="43F752B4"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تتجلى الأهمية العملية للبحث في كونه يتناول قضية تمس الواقع العملي بشكل مباشر، خاصة مع تزايد استخدام تقنيات الذكاء الاصطناعي في المجالات الأمنية والتجارية والخدمية داخل المملكة العربية السعودية، إذ أن فهم أبعاد المسؤولية المدنية في الجرائم الإلكترونية يُسهم في تطوير السياسات القانونية والقضائية التي تنظم العلاقة بين الإنسان والنظام الذكي، ويعزز قدرة الجهات المختصة على تحديد المسؤوليات القانونية في حال وقوع أضرار أو انتهاكات رقمية، كما أن النتائج المتوقعة من هذا البحث يمكن أن تدعم جهود الهيئة السعودية للبيانات والذكاء الاصطناعي (سدايا)، والجهات التشريعية والقضائية في وضع أطر قانونية متكاملة تضمن الاستخدام الآمن والمسؤول للتكنولوجيا المتقدمة، وتحقق التوازن بين الابتكار وحماية الحقوق.</w:t>
      </w:r>
    </w:p>
    <w:p w14:paraId="022C9823"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ثانياً أهداف البحث:</w:t>
      </w:r>
    </w:p>
    <w:p w14:paraId="03D53AE7"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المفهوم والطبيعة القانونية للمسؤولية المدنية الناشئة عن الجرائم المرتكبة باستخدام الذكاء الاصطناعي في النظام السعودي.</w:t>
      </w:r>
    </w:p>
    <w:p w14:paraId="26416EA3"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تحديد أبرز التحديات القانونية والمسائل الإشكالية المتعلقة بإثبات المسؤولية المدنية عن الجرائم المرتكبة بواسطة أنظمة الذكاء الاصطناعي.</w:t>
      </w:r>
    </w:p>
    <w:p w14:paraId="373E2EF5"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عرض أهم تطبيقات الذكاء الاصطناعي في القطاعات المختلفة بالمملكة العربية السعودية، وكيف يمكن أن تُستغل هذه التطبيقات في ارتكاب الجرائم التي تثير مسؤولية مدنية.</w:t>
      </w:r>
    </w:p>
    <w:p w14:paraId="679C5018"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النصوص التشريعية والأنظمة السعودية ذات الصلة بالمسؤولية المدنية عن الجرائم المرتكبة باستخدام الذكاء الاصطناعي، وبيان مدى كفايتها لمواجهة هذه الجرائم الحديثة.</w:t>
      </w:r>
    </w:p>
    <w:p w14:paraId="72B99E34"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مدى ملاءمة السياسات القانونية والتنظيمية الحالية في المملكة العربية السعودية للتعامل مع تحديات الذكاء الاصطناعي، وتحديد مجالات التطوير المحتملة لتعزيز الحماية القانونية للأفراد والمؤسسات.</w:t>
      </w:r>
    </w:p>
    <w:p w14:paraId="55F729E6"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ثالثاً إشكالية البحث:</w:t>
      </w:r>
    </w:p>
    <w:p w14:paraId="060F43E2"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تتمثل إشكالية البحث في دراسة المسؤولية المدنية عن الأضرار الناتجة عن الجرائم الإلكترونية المرتكبة باستخدام تقنيات الذكاء الاصطناعي، وبيان مدى قدرة النصوص والأنظمة القانونية السعودية الحالية على استيعاب هذه الأفعال، لا سيما في الحالات التي يتصرف فيها النظام الذكي بشكل ذاتي دون تدخل مباشر من الإنسان، وتشير هذه الإشكالية إلى وجود فجوة واضحة في التشريع الحالي، إذ أن الأحكام التقليدية للمسؤولية المدنية لم تتناول بعد طبيعة العلاقة بين الفاعل البشري والنظام الذكي، وما إذا كان من الممكن إسناد المسؤولية للإنسان المشغل أو المبرمج، أو التفكير في أطر قانونية جديدة تتماشى مع التطورات التقنية الحديثة.</w:t>
      </w:r>
    </w:p>
    <w:p w14:paraId="12ABFB16"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رابعاً تساؤلات البحث:</w:t>
      </w:r>
    </w:p>
    <w:p w14:paraId="6ACC477E"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مدى إمكانية تطبيق أحكام المسؤولية المدنية في النظام القانوني السعودي على الأضرار الناتجة عن الجرائم المرتكبة باستخدام تقنيات الذكاء الاصطناعي؟</w:t>
      </w:r>
    </w:p>
    <w:p w14:paraId="39DF9812"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ما المفاهيم الأساسية للمسؤولية المدنية؟ وكيف يمكن تطبيقها على الأفعال الضارة الصادرة عن الأنظمة الذكية في المملكة العربية السعودية؟</w:t>
      </w:r>
    </w:p>
    <w:p w14:paraId="51D9C893"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أهم تطبيقات الذكاء الاصطناعي في القطاعات المختلفة بالمملكة العربية السعودية؟ وكيف يمكن أن تُستغل هذه التطبيقات في ارتكاب الجرائم التي تثير مسؤولية مدنية؟</w:t>
      </w:r>
    </w:p>
    <w:p w14:paraId="2AF087AB"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التحديات القانونية الرئيسة التي تواجه تطبيق أحكام المسؤولية المدنية على الجرائم المرتكبة باستخدام تقنيات الذكاء الاصطناعي في النظام السعودي؟</w:t>
      </w:r>
    </w:p>
    <w:p w14:paraId="689183E9"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هل تناول المشرع السعودي في تشريعاته مسألة المسؤولية المدنية عن الجرائم المرتكبة باستخدام الذكاء الاصطناعي؟ وما مدى وجود تطبيقات عملية أو قضائية لهذه النصوص في الواقع السعودي؟</w:t>
      </w:r>
    </w:p>
    <w:p w14:paraId="317E64DA"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كيف يمكن تحقيق التوازن بين التطور التقني المتسارع في مجال الذكاء الاصطناعي ومتطلبات الحماية القانونية للأفراد والمؤسسات من الأضرار المدنية الناشئة عن هذه الجرائم في المملكة العربية السعودية؟</w:t>
      </w:r>
    </w:p>
    <w:p w14:paraId="58EFC58D"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خامساً منهجية البحث:</w:t>
      </w:r>
    </w:p>
    <w:p w14:paraId="017AA192"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سيعتمد الباحث على المنهج الوصفي التحليلي باعتباره الأنسب لمعالجة موضوع المسؤولية المدنية الناشئة عن الجرائم الإلكترونية المرتكبة باستخدام الذكاء الاصطناعي في النظام السعودي، وذلك لما يتميز به هذا المنهج من قدرة على تحليل الظواهر القانونية وتفسيرها في ضوء النصوص النظامية والمبادئ الفقهية ذات الصلة، فقد تم توظيف هذا المنهج لوصف الإطار القانوني القائم في المملكة العربية السعودية، وتحليل نصوص الأنظمة ذات العلاقة مثل؛ نظام مكافحة الجرائم المعلوماتية، ونظام البيانات والذكاء الاصطناعي، واستخلاص مدى كفايتها في تنظيم المسؤولية المدنية المترتبة على أفعال الذكاء الاصطناعي</w:t>
      </w:r>
      <w:r w:rsidRPr="00991EEB">
        <w:rPr>
          <w:rFonts w:ascii="Sakkal Majalla" w:hAnsi="Sakkal Majalla" w:cs="Sakkal Majalla"/>
          <w:sz w:val="32"/>
          <w:szCs w:val="32"/>
          <w:lang w:bidi="ar-EG"/>
        </w:rPr>
        <w:t>.</w:t>
      </w:r>
    </w:p>
    <w:p w14:paraId="58950E5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كما سيستخدم المنهج الاستقرائي من خلال تتبع النصوص النظامية السعودية، وقرارات الجهات القضائية ذات الصلة، وتحليل الوقائع الافتراضية التي قد تنشأ عن استخدام الذكاء الاصطناعي في ارتكاب الجرائم الإلكترونية، ويسمح هذا المنهج باستخلاص القواعد العامة التي تحكم هذه المسؤولية، وربطها بالمبادئ الأساسية للمسؤولية المدنية في النظام السعودي، حيث يتيح الجمع بين المنهجين الوصفي والتحليلي والاستقرائي فهم دقيق لطبيعة المسؤولية المدنية في الجرائم الإلكترونية المرتكبة بواسطة الذكاء الاصطناعي، مما ساهم في بناء رؤية علمية تسعى إلى توضيح الأساس القانوني لهذه المسؤولية، واقتراح سبل تطويرها بما يتلاءم مع التطور التكنولوجي الذي تشهده المملكة العربية السعودية.</w:t>
      </w:r>
    </w:p>
    <w:p w14:paraId="69550C0E"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سادساً الدراسات السابقة:</w:t>
      </w:r>
    </w:p>
    <w:p w14:paraId="7EBC6D91" w14:textId="77777777" w:rsidR="00BA5115" w:rsidRPr="00991EEB" w:rsidRDefault="00BA5115" w:rsidP="00BA5115">
      <w:pPr>
        <w:pStyle w:val="ListParagraph"/>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(المالكي، 2024)، بعنوان: "المسؤولية المدنية عن فعل الذكاء الاصطناعي في النظام السعودي دراسة تحليلية تأصيلية".</w:t>
      </w:r>
    </w:p>
    <w:p w14:paraId="1DC456E1"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هدفت الدراسة تحليل مسألة المسؤولية المدنية عن فعل الذكاء الاصطناعي باعتبارها من القضايا الحديثة التي أثارت اهتماماً واسعاً ونقاشاً قانونياً عميقاً في النظام القانوني السعودي، خاصةً في ظل غياب نصوص نظامية صريحة تُحدد من يتحمل المسؤولية عن أفعال الأنظمة الذكية، وما إذا كان ينبغي منح الذكاء الاصطناعي شخصية قانونية مستقلة يمكن مساءلته بموجبها، وقد جاءت هذه الدراسة لتسلط الضوء على هذا الإشكال القانوني المستجد الذي ما زال يشكل تحدياً أمام الفقه والقضاء والتشريع في المملكة، واعتمدت الدراسة على المنهج التأصيلي التحليلي الذي مكّن الباحث من تناول الأسس النظرية للمسؤولية المدنية في ضوء القواعد القانونية السعودية، وتحليل مدى انطباقها على الأفعال الصادرة عن الذكاء الاصطناعي، كما استعان الباحث بالمنهج المقارن في نطاق محدود عند الضرورة، وذلك لاستعراض أبرز الاتجاهات القانونية في </w:t>
      </w:r>
      <w:r w:rsidRPr="00991EEB">
        <w:rPr>
          <w:rFonts w:ascii="Sakkal Majalla" w:hAnsi="Sakkal Majalla" w:cs="Sakkal Majalla"/>
          <w:sz w:val="32"/>
          <w:szCs w:val="32"/>
          <w:rtl/>
          <w:lang w:bidi="ar-EG"/>
        </w:rPr>
        <w:lastRenderedPageBreak/>
        <w:t>بعض التشريعات الحديثة التي تناولت المسألة بهدف الاستفادة مما يتناسب مع خصوصية النظام القانوني السعودي دون الخروج عن إطاره</w:t>
      </w:r>
      <w:r w:rsidRPr="00991EEB">
        <w:rPr>
          <w:rFonts w:ascii="Sakkal Majalla" w:hAnsi="Sakkal Majalla" w:cs="Sakkal Majalla"/>
          <w:sz w:val="32"/>
          <w:szCs w:val="32"/>
          <w:lang w:bidi="ar-EG"/>
        </w:rPr>
        <w:t>.</w:t>
      </w:r>
    </w:p>
    <w:p w14:paraId="1045AB51" w14:textId="77777777" w:rsidR="00BA5115" w:rsidRPr="00991EEB" w:rsidRDefault="00BA5115" w:rsidP="00BA5115">
      <w:p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وقد خلصت الدراسة إلى أن الفقه القانوني والتشريعات المدنية في مختلف الدول، بما فيها المملكة العربية السعودية لم تتوصل بعد إلى تعريف دقيق وشامل لمفهوم الذكاء الاصطناعي، كما أن المنظومة التشريعية السعودية ما تزال تفتقر إلى تنظيم قانوني متكامل يحكم تطبيقات الذكاء الاصطناعي ومسؤوليته المدنية، كما بيّنت الدراسة أن الذكاء الاصطناعي يمتلك قدرة متقدمة على محاكاة السلوك البشري واتخاذ القرارات بصورة مستقلة، الأمر الذي يجعل التفكير في منحه شخصية قانونية أمر مهم لمواكبة تطور تطبيقاته واتساع استخدامه في مختلف المجالات، وعلى الرغم من وجود اتجاهات فقهية تعارض هذا الطرح إلا أن الباحث تبنّى الرأي القائل بضرورة الاعتراف بهذه الشخصية كوسيلة لضمان تحقيق العدالة وحماية المتضررين من الأفعال الصادرة عن الأنظمة الذكية.</w:t>
      </w:r>
    </w:p>
    <w:p w14:paraId="5BC9F108"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وبالنظر إلى أوجه التشابه والاختلاف بين الدراسة الحالية والدراسة السابقة يمكن القول إن كلا الدراستين تتفقان في اهتمامهما بمسألة المسؤولية المدنية المرتبطة بالذكاء الاصطناعي وبتحليل آثارها القانونية والفكرية، إلا أن الاختلاف الجوهري يتمثل في أن الدراسة السابقة تناولت التنظيم القانوني العام للذكاء الاصطناعي في إطار مقارن، بينما ركّزت هذه الدراسة الحالية على المسؤولية المدنية الناشئة عن الجرائم الإلكترونية المرتكبة باستخدام الذكاء الاصطناعي في النظام السعودي تحديداً، مما يمنحها طابع تطبيقي أكثر ارتباطاً بالواقع التشريعي الوطني، ويجعلها تسهم في إثراء الفقه القانوني السعودي برؤية جديدة تتلاءم مع التطور التقني المتسارع.</w:t>
      </w:r>
    </w:p>
    <w:p w14:paraId="6D3098FE" w14:textId="77777777" w:rsidR="00BA5115" w:rsidRPr="00991EEB" w:rsidRDefault="00BA5115" w:rsidP="00BA5115">
      <w:pPr>
        <w:bidi/>
        <w:spacing w:line="360" w:lineRule="auto"/>
        <w:jc w:val="lowKashida"/>
        <w:rPr>
          <w:rFonts w:ascii="Sakkal Majalla" w:hAnsi="Sakkal Majalla" w:cs="Sakkal Majalla"/>
          <w:sz w:val="32"/>
          <w:szCs w:val="32"/>
          <w:lang w:bidi="ar-EG"/>
        </w:rPr>
      </w:pPr>
    </w:p>
    <w:p w14:paraId="7C6A4759" w14:textId="77777777" w:rsidR="00BA5115" w:rsidRPr="00991EEB" w:rsidRDefault="00BA5115" w:rsidP="00BA5115">
      <w:pPr>
        <w:pStyle w:val="ListParagraph"/>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lastRenderedPageBreak/>
        <w:t>دراسة (علي، 2025)، بعنوان: "المسئولية المدنية الناتجة عن أضرار الروبوت الطبي وآثارها".</w:t>
      </w:r>
    </w:p>
    <w:p w14:paraId="144023EF"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هدفت الدراسة إلى تحليل الأسس النظرية للمسؤولية المدنية الناشئة عن الأضرار الناتجة عن استخدام الروبوت الطبي في المملكة العربية السعودية، بوصفها من الموضوعات الحديثة والمعقدة التي أثارت اهتمام الفقه القانوني في ظل التطور المتسارع لتقنيات الذكاء الاصطناعي خاصة في المجال الطبي، وتناولت الدراسة بصورة خاصة الروبوت الجراحي باعتباره أكثر تطبيقات الذكاء الاصطناعي حساسية وخطورة على حياة الإنسان، وسعت إلى تحديد القواعد النظامية الأنسب التي يمكن أن تُطبَّق في حال وقوع ضرر نتيجة استخدامه سواء كانت هذه المسؤولية عقدية أو تقصيرية. كما بحثت الدراسة في تحديد نطاق المسؤولية بين الأطراف المختلفة مثل؛ المصنع، أو المبرمج، أو المستخدم، أو الطبيب المساعد، أو الممرض، إضافة إلى مناقشة الرأي القائل بتحميل الروبوت نفسه المسؤولية المدنية في حال الاعتراف له بالشخصية القانونية المستقلة، باعتباره كيان قادر على اتخاذ القرار والتصرف الذاتي، وقد اعتمدت الدراسة على المنهج التحليلي التأصيلي في تناول المفاهيم القانونية المرتبطة بالمسؤولية المدنية، إلى جانب المنهج المقارن الذي أتاح للباحث استعراض التجربة القانونية المصرية ومقارنتها بالنظام السعودي، بهدف الكشف عن أوجه القوة والقصور في كل نظام قانوني واقتراح سبل التطوير التشريعي المناسبة</w:t>
      </w:r>
      <w:r w:rsidRPr="00991EEB">
        <w:rPr>
          <w:rFonts w:ascii="Sakkal Majalla" w:hAnsi="Sakkal Majalla" w:cs="Sakkal Majalla"/>
          <w:sz w:val="32"/>
          <w:szCs w:val="32"/>
          <w:lang w:bidi="ar-EG"/>
        </w:rPr>
        <w:t>.</w:t>
      </w:r>
    </w:p>
    <w:p w14:paraId="7BAF5260"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وخلصت الدراسة إلى مجموعة من النتائج أبرزها غياب تنظيم قانوني واضح في النظام السعودي يخص المسؤولية المدنية الناتجة عن استخدام الروبوتات الطبية، وأن هناك حاجة ماسة لوضع إطار نظامي يحدد المسؤوليات القانونية للأطراف المختلفة عند وقوع الضرر، كما أكدت أن منح الروبوت الطبي الشخصية القانونية لا يزال محل جدل فقهي واسع لما يثيره من إشكالات قانونية وفلسفية تتعلق بمفهوم الذمة والمسؤولية</w:t>
      </w:r>
      <w:r w:rsidRPr="00991EEB">
        <w:rPr>
          <w:rFonts w:ascii="Sakkal Majalla" w:hAnsi="Sakkal Majalla" w:cs="Sakkal Majalla"/>
          <w:sz w:val="32"/>
          <w:szCs w:val="32"/>
          <w:lang w:bidi="ar-EG"/>
        </w:rPr>
        <w:t>.</w:t>
      </w:r>
    </w:p>
    <w:p w14:paraId="0FF822D1"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وعند تناول أوجه التشابه والاختلاف بين هذه الدراسة والدراسة الحالية، يتضح أن كلتا الدراستين تتفقان في معالجتهما لمسألة المسؤولية المدنية الناتجة عن تطبيقات الذكاء الاصطناعي، واهتمامهما بتحليل الأبعاد القانونية والفكرية المرتبطة بها غير أن الاختلاف الجوهري يتمثل في تركيز الدراسة السابقة على التطبيقات الطبية للذكاء الاصطناعي ممثلة في الروبوت الطبي، بينما تتناول الدراسة الحالية الموضوع ذاته في سياق أوسع يرتبط بالجرائم الإلكترونية التي تُرتكب باستخدام تقنيات الذكاء الاصطناعي في البيئة القانونية السعودية، وبهذا تتميز الدراسة الحالية ببعدها التطبيقي المرتبط بالجوانب الجنائية والمسؤولية المدنية عن الأفعال غير المشروعة الناشئة عن الأنظمة الذكية، مما يجعلها أكثر اتساعاً وشمولاً من الناحية التحليلية والقانونية.</w:t>
      </w:r>
    </w:p>
    <w:p w14:paraId="3D5C5BCE" w14:textId="77777777" w:rsidR="00BA5115" w:rsidRPr="00991EEB" w:rsidRDefault="00BA5115" w:rsidP="00BA5115">
      <w:pPr>
        <w:pStyle w:val="ListParagraph"/>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(كريم، 2022)، بعنوان: "التنظيم القانوني للذكاء الاصطناعي (( دراسة مقارنة ))".</w:t>
      </w:r>
    </w:p>
    <w:p w14:paraId="1B3ACA4D"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هدفت الدراسة إلى توضيح الإطار القانوني المنظم للذكاء الاصطناعي، واستعراض تطور هذا التنظيم في عدد من الدول محل المقارنة، وتحليل تطوره التاريخي والتشريعي، وصولاً إلى تقديم مقترحات تشريعية تسهم في تطوير هذا النظام القانوني، حيث اعتمد الباحث في هذه الدراسة على المنهج التحليلي لبحث المفاهيم والنصوص القانونية ذات الصلة، إلى جانب المنهج المقارن الذي أتاح له استعراض تجارب تشريعية مختلفة ومقارنتها للوصول إلى رؤى إصلاحية مناسبة، وقد خلصت الدراسة إلى مجموعة من النتائج من أبرزها أن الفقه القانوني والتشريعات المدنية الحديثة لم تتوصل حتى الآن إلى تعريف محدد وواضح لمفهوم الذكاء الاصطناعي، كما بيّنت أن ما طرحه البرلمان الأوروبي بشأن منح الشخصية القانونية للروبوتات ذات القدرة على التعلم العميق يُعد طرحاً غير مألوف وغريباً عن الأطر التشريعية في العالم العربي لما يحمله من أبعاد قانونية وفلسفية معقدة</w:t>
      </w:r>
      <w:r w:rsidRPr="00991EEB">
        <w:rPr>
          <w:rFonts w:ascii="Sakkal Majalla" w:hAnsi="Sakkal Majalla" w:cs="Sakkal Majalla"/>
          <w:sz w:val="32"/>
          <w:szCs w:val="32"/>
          <w:lang w:bidi="ar-EG"/>
        </w:rPr>
        <w:t>.</w:t>
      </w:r>
    </w:p>
    <w:p w14:paraId="396FA4F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وبالنظر إلى أوجه التشابه والاختلاف بين هذه الدراسة والدراسة الحالية، يمكن القول إن الجانبين يتفقان في تناولهما لمسألة المسؤولية المدنية المرتبطة بالذكاء الاصطناعي بوصفها من القضايا المستجدة في الفكر القانوني المعاصر، إلا أن الاختلاف الجوهري يتمثل في أن الدراسة السابقة ركّزت على النظام القانوني العراقي ومقارنته بتشريعات أخرى، في حين أن هذه الدراسة الحالية تتناول الموضوع ذاته في سياق النظام القانوني السعودي، مع التركيز على المسؤولية المدنية الناشئة عن الجرائم الإلكترونية المرتكبة باستخدام الذكاء الاصطناعي، وهو ما يمنحها بعداً تطبيقياً متميزاً في إطار البيئة القانونية للمملكة العربية السعودية.</w:t>
      </w:r>
    </w:p>
    <w:p w14:paraId="0B1986E2"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سابعاً هيكل ومخطط البحث:</w:t>
      </w:r>
    </w:p>
    <w:p w14:paraId="6D584113"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سيتم تقسيم الدراسة إلى الفصل التمهيدي وهو الإطار العام للبحث والذي يتناول المقدمة، وأهمية البحث، أهدافه، وإشكالية البحث، وتساؤلاته، ومنهجية البحث، والدراسات السابقة.</w:t>
      </w:r>
    </w:p>
    <w:p w14:paraId="6DC55FD9" w14:textId="77777777" w:rsidR="00BA5115" w:rsidRPr="00A266C3" w:rsidRDefault="00BA5115" w:rsidP="00BA5115">
      <w:pPr>
        <w:bidi/>
        <w:rPr>
          <w:rFonts w:ascii="Sakkal Majalla" w:hAnsi="Sakkal Majalla" w:cs="Sakkal Majalla"/>
          <w:b/>
          <w:bCs/>
          <w:sz w:val="32"/>
          <w:szCs w:val="32"/>
          <w:u w:val="single"/>
          <w:lang w:bidi="ar-EG"/>
        </w:rPr>
      </w:pPr>
      <w:r w:rsidRPr="00A266C3">
        <w:rPr>
          <w:rFonts w:ascii="Sakkal Majalla" w:hAnsi="Sakkal Majalla" w:cs="Sakkal Majalla"/>
          <w:b/>
          <w:bCs/>
          <w:sz w:val="32"/>
          <w:szCs w:val="32"/>
          <w:u w:val="single"/>
          <w:rtl/>
          <w:lang w:bidi="ar-EG"/>
        </w:rPr>
        <w:t>الفصل التمهيدي</w:t>
      </w:r>
      <w:r w:rsidRPr="00A266C3">
        <w:rPr>
          <w:rFonts w:ascii="Sakkal Majalla" w:hAnsi="Sakkal Majalla" w:cs="Sakkal Majalla" w:hint="cs"/>
          <w:b/>
          <w:bCs/>
          <w:sz w:val="32"/>
          <w:szCs w:val="32"/>
          <w:u w:val="single"/>
          <w:rtl/>
          <w:lang w:bidi="ar-EG"/>
        </w:rPr>
        <w:t xml:space="preserve"> : </w:t>
      </w:r>
      <w:r w:rsidRPr="00A266C3">
        <w:rPr>
          <w:rFonts w:ascii="Sakkal Majalla" w:hAnsi="Sakkal Majalla" w:cs="Sakkal Majalla"/>
          <w:b/>
          <w:bCs/>
          <w:sz w:val="32"/>
          <w:szCs w:val="32"/>
          <w:u w:val="single"/>
          <w:rtl/>
          <w:lang w:bidi="ar-EG"/>
        </w:rPr>
        <w:t>الإطار المفاهيمي والتقني للذكاء الاصطناعي والجرائم الإلكترونية</w:t>
      </w:r>
    </w:p>
    <w:p w14:paraId="47FB020A"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المبحث الأول: ماهية الذكاء الاصطناعي وخصائصه التقنية</w:t>
      </w:r>
    </w:p>
    <w:p w14:paraId="038A1D5E"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المطلب الأول: مفهوم الذكاء الاصطناعي</w:t>
      </w:r>
    </w:p>
    <w:p w14:paraId="6495498E" w14:textId="77777777" w:rsidR="00BA5115"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الأول: تعريف الذكاء الاصطناعي</w:t>
      </w:r>
    </w:p>
    <w:p w14:paraId="4E33C572" w14:textId="77777777" w:rsidR="00BA5115" w:rsidRPr="00637FF9"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الثاني: الخصائص التقنية للذكاء الاصطناعي</w:t>
      </w:r>
    </w:p>
    <w:p w14:paraId="332A7FBB"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المطلب الثاني: تصنيف الذكاء الاصطناعي وتطبيقاته</w:t>
      </w:r>
    </w:p>
    <w:p w14:paraId="0072F032" w14:textId="77777777" w:rsidR="00BA5115" w:rsidRPr="00637FF9"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الأول: أنواع الذكاء الاصطناعي</w:t>
      </w:r>
    </w:p>
    <w:p w14:paraId="547557AC" w14:textId="77777777" w:rsidR="00BA5115"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الثاني: تطبيقات الذكاء الاصطناعي</w:t>
      </w:r>
    </w:p>
    <w:p w14:paraId="34B15374" w14:textId="77777777" w:rsidR="00BA5115" w:rsidRPr="00A266C3" w:rsidRDefault="00BA5115" w:rsidP="00BA5115">
      <w:pPr>
        <w:bidi/>
        <w:rPr>
          <w:rFonts w:ascii="Sakkal Majalla" w:hAnsi="Sakkal Majalla" w:cs="Sakkal Majalla"/>
          <w:b/>
          <w:bCs/>
          <w:sz w:val="32"/>
          <w:szCs w:val="32"/>
          <w:lang w:bidi="ar-EG"/>
        </w:rPr>
      </w:pPr>
      <w:r w:rsidRPr="00A266C3">
        <w:rPr>
          <w:rFonts w:ascii="Sakkal Majalla" w:hAnsi="Sakkal Majalla" w:cs="Sakkal Majalla"/>
          <w:b/>
          <w:bCs/>
          <w:sz w:val="32"/>
          <w:szCs w:val="32"/>
          <w:rtl/>
          <w:lang w:bidi="ar-EG"/>
        </w:rPr>
        <w:t>المبحث الثاني: البيئة الرقمية والجرائم المعلوماتية</w:t>
      </w:r>
    </w:p>
    <w:p w14:paraId="11DB52A6" w14:textId="77777777" w:rsidR="00BA5115" w:rsidRDefault="00BA5115" w:rsidP="00BA5115">
      <w:pPr>
        <w:bidi/>
        <w:rPr>
          <w:rFonts w:ascii="Sakkal Majalla" w:hAnsi="Sakkal Majalla" w:cs="Sakkal Majalla"/>
          <w:b/>
          <w:bCs/>
          <w:sz w:val="32"/>
          <w:szCs w:val="32"/>
          <w:lang w:bidi="ar-EG"/>
        </w:rPr>
      </w:pPr>
      <w:r w:rsidRPr="00A266C3">
        <w:rPr>
          <w:rFonts w:ascii="Sakkal Majalla" w:hAnsi="Sakkal Majalla" w:cs="Sakkal Majalla"/>
          <w:b/>
          <w:bCs/>
          <w:sz w:val="32"/>
          <w:szCs w:val="32"/>
          <w:rtl/>
          <w:lang w:bidi="ar-EG"/>
        </w:rPr>
        <w:t xml:space="preserve">المطلب الأول: مفهوم الجريمة الإلكترونية وخصائصها </w:t>
      </w:r>
    </w:p>
    <w:p w14:paraId="25FE650D" w14:textId="77777777" w:rsidR="00BA5115" w:rsidRPr="00A266C3" w:rsidRDefault="00BA5115" w:rsidP="00BA5115">
      <w:pPr>
        <w:pStyle w:val="ListParagraph"/>
        <w:numPr>
          <w:ilvl w:val="0"/>
          <w:numId w:val="1"/>
        </w:numPr>
        <w:bidi/>
        <w:rPr>
          <w:rFonts w:ascii="Sakkal Majalla" w:hAnsi="Sakkal Majalla" w:cs="Sakkal Majalla"/>
          <w:b/>
          <w:bCs/>
          <w:sz w:val="32"/>
          <w:szCs w:val="32"/>
          <w:lang w:bidi="ar-EG"/>
        </w:rPr>
      </w:pPr>
      <w:r w:rsidRPr="00A266C3">
        <w:rPr>
          <w:rFonts w:ascii="Sakkal Majalla" w:hAnsi="Sakkal Majalla" w:cs="Sakkal Majalla"/>
          <w:sz w:val="32"/>
          <w:szCs w:val="32"/>
          <w:rtl/>
          <w:lang w:bidi="ar-EG"/>
        </w:rPr>
        <w:lastRenderedPageBreak/>
        <w:t>الفرع الأول: تعريف الجريمة الإلكترونية – الفقه – التشريعات</w:t>
      </w:r>
    </w:p>
    <w:p w14:paraId="2B7766C9" w14:textId="77777777" w:rsidR="00BA5115" w:rsidRPr="00A266C3" w:rsidRDefault="00BA5115" w:rsidP="00BA5115">
      <w:pPr>
        <w:pStyle w:val="ListParagraph"/>
        <w:numPr>
          <w:ilvl w:val="0"/>
          <w:numId w:val="1"/>
        </w:numPr>
        <w:bidi/>
        <w:rPr>
          <w:rFonts w:ascii="Sakkal Majalla" w:hAnsi="Sakkal Majalla" w:cs="Sakkal Majalla"/>
          <w:b/>
          <w:bCs/>
          <w:sz w:val="32"/>
          <w:szCs w:val="32"/>
          <w:lang w:bidi="ar-EG"/>
        </w:rPr>
      </w:pPr>
      <w:r w:rsidRPr="00A266C3">
        <w:rPr>
          <w:rFonts w:ascii="Sakkal Majalla" w:hAnsi="Sakkal Majalla" w:cs="Sakkal Majalla"/>
          <w:sz w:val="32"/>
          <w:szCs w:val="32"/>
          <w:rtl/>
          <w:lang w:bidi="ar-EG"/>
        </w:rPr>
        <w:t>الفرع الثاني: خصائص الجرائم الإلكترونية</w:t>
      </w:r>
    </w:p>
    <w:p w14:paraId="1EAEF64D" w14:textId="77777777" w:rsidR="00BA5115" w:rsidRDefault="00BA5115" w:rsidP="00BA5115">
      <w:pPr>
        <w:bidi/>
        <w:rPr>
          <w:rFonts w:ascii="Sakkal Majalla" w:hAnsi="Sakkal Majalla" w:cs="Sakkal Majalla"/>
          <w:b/>
          <w:bCs/>
          <w:sz w:val="32"/>
          <w:szCs w:val="32"/>
          <w:rtl/>
          <w:lang w:bidi="ar-EG"/>
        </w:rPr>
      </w:pPr>
      <w:r w:rsidRPr="00A266C3">
        <w:rPr>
          <w:rFonts w:ascii="Sakkal Majalla" w:hAnsi="Sakkal Majalla" w:cs="Sakkal Majalla"/>
          <w:b/>
          <w:bCs/>
          <w:sz w:val="32"/>
          <w:szCs w:val="32"/>
          <w:rtl/>
          <w:lang w:bidi="ar-EG"/>
        </w:rPr>
        <w:t>المطلب الثاني: التحديات القانونية للجرائم الرقمية</w:t>
      </w:r>
      <w:r>
        <w:rPr>
          <w:rFonts w:ascii="Sakkal Majalla" w:hAnsi="Sakkal Majalla" w:cs="Sakkal Majalla" w:hint="cs"/>
          <w:b/>
          <w:bCs/>
          <w:sz w:val="32"/>
          <w:szCs w:val="32"/>
          <w:rtl/>
          <w:lang w:bidi="ar-EG"/>
        </w:rPr>
        <w:t xml:space="preserve"> .</w:t>
      </w:r>
    </w:p>
    <w:p w14:paraId="573368F6" w14:textId="77777777" w:rsidR="00BA5115" w:rsidRDefault="00BA5115">
      <w:pPr>
        <w:spacing w:line="278" w:lineRule="auto"/>
        <w:rPr>
          <w:rFonts w:ascii="Sakkal Majalla" w:hAnsi="Sakkal Majalla" w:cs="Sakkal Majalla"/>
          <w:b/>
          <w:bCs/>
          <w:sz w:val="32"/>
          <w:szCs w:val="32"/>
          <w:u w:val="single"/>
          <w:rtl/>
          <w:lang w:bidi="ar-EG"/>
        </w:rPr>
      </w:pPr>
      <w:r>
        <w:rPr>
          <w:rFonts w:ascii="Sakkal Majalla" w:hAnsi="Sakkal Majalla" w:cs="Sakkal Majalla"/>
          <w:b/>
          <w:bCs/>
          <w:sz w:val="32"/>
          <w:szCs w:val="32"/>
          <w:u w:val="single"/>
          <w:rtl/>
          <w:lang w:bidi="ar-EG"/>
        </w:rPr>
        <w:br w:type="page"/>
      </w:r>
    </w:p>
    <w:p w14:paraId="2E291194" w14:textId="51F8F748" w:rsidR="00FF4137" w:rsidRPr="00E924E8" w:rsidRDefault="00FF4137" w:rsidP="00FF4137">
      <w:pPr>
        <w:bidi/>
        <w:jc w:val="center"/>
        <w:rPr>
          <w:rFonts w:ascii="Sakkal Majalla" w:hAnsi="Sakkal Majalla" w:cs="Sakkal Majalla"/>
          <w:b/>
          <w:bCs/>
          <w:sz w:val="32"/>
          <w:szCs w:val="32"/>
          <w:u w:val="single"/>
          <w:rtl/>
          <w:lang w:bidi="ar-EG"/>
        </w:rPr>
      </w:pPr>
      <w:r w:rsidRPr="00A266C3">
        <w:rPr>
          <w:rFonts w:ascii="Sakkal Majalla" w:hAnsi="Sakkal Majalla" w:cs="Sakkal Majalla"/>
          <w:b/>
          <w:bCs/>
          <w:sz w:val="32"/>
          <w:szCs w:val="32"/>
          <w:u w:val="single"/>
          <w:rtl/>
          <w:lang w:bidi="ar-EG"/>
        </w:rPr>
        <w:lastRenderedPageBreak/>
        <w:t>الفصل التمهيدي</w:t>
      </w:r>
      <w:r w:rsidRPr="00A266C3">
        <w:rPr>
          <w:rFonts w:ascii="Sakkal Majalla" w:hAnsi="Sakkal Majalla" w:cs="Sakkal Majalla" w:hint="cs"/>
          <w:b/>
          <w:bCs/>
          <w:sz w:val="32"/>
          <w:szCs w:val="32"/>
          <w:u w:val="single"/>
          <w:rtl/>
          <w:lang w:bidi="ar-EG"/>
        </w:rPr>
        <w:t xml:space="preserve"> : </w:t>
      </w:r>
      <w:r w:rsidRPr="00A266C3">
        <w:rPr>
          <w:rFonts w:ascii="Sakkal Majalla" w:hAnsi="Sakkal Majalla" w:cs="Sakkal Majalla"/>
          <w:b/>
          <w:bCs/>
          <w:sz w:val="32"/>
          <w:szCs w:val="32"/>
          <w:u w:val="single"/>
          <w:rtl/>
          <w:lang w:bidi="ar-EG"/>
        </w:rPr>
        <w:t>الإطار المفاهيمي والتقني للذكاء الاصطناعي والجرائم الإلكترونية</w:t>
      </w:r>
    </w:p>
    <w:p w14:paraId="21EC915A" w14:textId="3B90906E" w:rsidR="00FF4137" w:rsidRPr="00FF4137" w:rsidRDefault="00FF4137" w:rsidP="00FF4137">
      <w:pPr>
        <w:bidi/>
        <w:spacing w:line="360" w:lineRule="auto"/>
        <w:jc w:val="mediumKashida"/>
        <w:rPr>
          <w:rFonts w:ascii="Sakkal Majalla" w:hAnsi="Sakkal Majalla" w:cs="Sakkal Majalla"/>
          <w:sz w:val="32"/>
          <w:szCs w:val="32"/>
        </w:rPr>
      </w:pPr>
      <w:r w:rsidRPr="00FF4137">
        <w:rPr>
          <w:rFonts w:ascii="Sakkal Majalla" w:hAnsi="Sakkal Majalla" w:cs="Sakkal Majalla"/>
          <w:sz w:val="32"/>
          <w:szCs w:val="32"/>
          <w:rtl/>
        </w:rPr>
        <w:t>يعد الذكاء الاصطناعي من أبرز مظاهر التحول التقني في العصر الحديث، إذ تجاوز كونه مجرد أداة برمجية تقليدية ليصبح منظومة تقنية قادرة على معالجة البيانات، والتعلم من الأنماط، وإنتاج مخرجات أو قرارات تتسم بدرجات متفاوتة من الاستقلال والدقة وقد أسهم هذا التطور في توسيع نطاق استخدامه في مجالات متعددة، الأمر الذي جعله من الموضوعات التي تستدعي تأصيلًا مفاهيميًا وتقنيًا دقيقًا، لاسيما في الدراسات القانونية التي تتصل بالآثار المترتبة على توظيفه داخل البيئة الرقمية</w:t>
      </w:r>
      <w:r>
        <w:rPr>
          <w:rStyle w:val="FootnoteReference"/>
          <w:rFonts w:ascii="Sakkal Majalla" w:hAnsi="Sakkal Majalla" w:cs="Sakkal Majalla"/>
          <w:sz w:val="32"/>
          <w:szCs w:val="32"/>
          <w:rtl/>
        </w:rPr>
        <w:footnoteReference w:id="5"/>
      </w:r>
      <w:r w:rsidRPr="00FF4137">
        <w:rPr>
          <w:rFonts w:ascii="Sakkal Majalla" w:hAnsi="Sakkal Majalla" w:cs="Sakkal Majalla"/>
          <w:sz w:val="32"/>
          <w:szCs w:val="32"/>
          <w:rtl/>
        </w:rPr>
        <w:t>.</w:t>
      </w:r>
    </w:p>
    <w:p w14:paraId="576F81BB" w14:textId="13D5BD5A" w:rsidR="00847049" w:rsidRDefault="00FF4137" w:rsidP="00FF4137">
      <w:pPr>
        <w:bidi/>
        <w:spacing w:line="360" w:lineRule="auto"/>
        <w:jc w:val="mediumKashida"/>
        <w:rPr>
          <w:rFonts w:ascii="Sakkal Majalla" w:hAnsi="Sakkal Majalla" w:cs="Sakkal Majalla"/>
          <w:sz w:val="32"/>
          <w:szCs w:val="32"/>
        </w:rPr>
      </w:pPr>
      <w:r w:rsidRPr="00FF4137">
        <w:rPr>
          <w:rFonts w:ascii="Sakkal Majalla" w:hAnsi="Sakkal Majalla" w:cs="Sakkal Majalla"/>
          <w:sz w:val="32"/>
          <w:szCs w:val="32"/>
          <w:rtl/>
        </w:rPr>
        <w:t>ومن ثم تبرز أهمية هذا المبحث في بيان ماهية الذكاء الاصطناعي من خلال تحديد مفهومه، وبيان خصائصه التقنية التي تميزه عن غيره من النظم المعلوماتية التقليدية، ثم عرض أبرز تصنيفاته وتطبيقاته العملية ويعد هذا التأصيل لازمًا لفهم الدور الذي يؤديه الذكاء الاصطناعي في البيئة الرقمية، وتمهيدًا ضروريًا لتحليل الإشكالات القانونية التي قد تنشأ عن استخدامه، وبخاصة في مجال الجرائم الإلكترونية والمسؤولية المدنية المترتبة عليها</w:t>
      </w:r>
      <w:r>
        <w:rPr>
          <w:rStyle w:val="FootnoteReference"/>
          <w:rFonts w:ascii="Sakkal Majalla" w:hAnsi="Sakkal Majalla" w:cs="Sakkal Majalla"/>
          <w:sz w:val="32"/>
          <w:szCs w:val="32"/>
          <w:rtl/>
        </w:rPr>
        <w:footnoteReference w:id="6"/>
      </w:r>
      <w:r w:rsidRPr="00FF4137">
        <w:rPr>
          <w:rFonts w:ascii="Sakkal Majalla" w:hAnsi="Sakkal Majalla" w:cs="Sakkal Majalla"/>
          <w:sz w:val="32"/>
          <w:szCs w:val="32"/>
          <w:rtl/>
        </w:rPr>
        <w:t>.</w:t>
      </w:r>
    </w:p>
    <w:p w14:paraId="742B51EA" w14:textId="77777777" w:rsidR="00FF4137" w:rsidRPr="00637FF9" w:rsidRDefault="00FF4137" w:rsidP="00FF4137">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المبحث الأول: ماهية الذكاء الاصطناعي وخصائصه التقنية</w:t>
      </w:r>
    </w:p>
    <w:p w14:paraId="0E21FB44" w14:textId="2663FDAA" w:rsidR="00FF4137" w:rsidRPr="00FF4137" w:rsidRDefault="00FF4137" w:rsidP="00FF4137">
      <w:pPr>
        <w:bidi/>
        <w:spacing w:line="360" w:lineRule="auto"/>
        <w:jc w:val="mediumKashida"/>
        <w:rPr>
          <w:rFonts w:ascii="Sakkal Majalla" w:hAnsi="Sakkal Majalla" w:cs="Sakkal Majalla"/>
          <w:sz w:val="32"/>
          <w:szCs w:val="32"/>
          <w:lang w:bidi="ar-EG"/>
        </w:rPr>
      </w:pPr>
      <w:r w:rsidRPr="00FF4137">
        <w:rPr>
          <w:rFonts w:ascii="Sakkal Majalla" w:hAnsi="Sakkal Majalla" w:cs="Sakkal Majalla"/>
          <w:sz w:val="32"/>
          <w:szCs w:val="32"/>
          <w:rtl/>
          <w:lang w:bidi="ar-EG"/>
        </w:rPr>
        <w:t xml:space="preserve">يعد تحديد ماهية الذكاء الاصطناعي خطوة تمهيدية لازمة لفهم الإشكاليات القانونية التي قد تثيرها تطبيقاته الحديثة، إذ لا يمكن بحث الآثار المترتبة على استخدامه أو تحليل المسؤولية الناشئة عنه من دون الوقوف على مفهومه الدقيق، وبيان خصائصه التقنية، وحدود عمله داخل </w:t>
      </w:r>
      <w:r w:rsidRPr="00FF4137">
        <w:rPr>
          <w:rFonts w:ascii="Sakkal Majalla" w:hAnsi="Sakkal Majalla" w:cs="Sakkal Majalla"/>
          <w:sz w:val="32"/>
          <w:szCs w:val="32"/>
          <w:rtl/>
          <w:lang w:bidi="ar-EG"/>
        </w:rPr>
        <w:lastRenderedPageBreak/>
        <w:t>البيئة الرقمية فالذكاء الاصطناعي لا يمثل تقنية واحدة جامدة، وإنما يشير إلى مجموعة من الأنظمة والخوارزميات القادرة على محاكاة بعض صور الذكاء البشري، كالتعلم والاستنتاج والتحليل واتخاذ القرار، وهو ما أدى إلى تعدد تعريفاته وتباين زوايا النظر إليه بين البعد التقني والبعد القانوني</w:t>
      </w:r>
      <w:r>
        <w:rPr>
          <w:rStyle w:val="FootnoteReference"/>
          <w:rFonts w:ascii="Sakkal Majalla" w:hAnsi="Sakkal Majalla" w:cs="Sakkal Majalla"/>
          <w:sz w:val="32"/>
          <w:szCs w:val="32"/>
          <w:rtl/>
          <w:lang w:bidi="ar-EG"/>
        </w:rPr>
        <w:footnoteReference w:id="7"/>
      </w:r>
      <w:r w:rsidRPr="00FF4137">
        <w:rPr>
          <w:rFonts w:ascii="Sakkal Majalla" w:hAnsi="Sakkal Majalla" w:cs="Sakkal Majalla"/>
          <w:sz w:val="32"/>
          <w:szCs w:val="32"/>
          <w:rtl/>
          <w:lang w:bidi="ar-EG"/>
        </w:rPr>
        <w:t>.</w:t>
      </w:r>
    </w:p>
    <w:p w14:paraId="4B900503" w14:textId="647D7983" w:rsidR="00FF4137" w:rsidRPr="00FF4137" w:rsidRDefault="00FF4137" w:rsidP="00FF4137">
      <w:pPr>
        <w:bidi/>
        <w:spacing w:line="360" w:lineRule="auto"/>
        <w:jc w:val="mediumKashida"/>
        <w:rPr>
          <w:rFonts w:ascii="Sakkal Majalla" w:hAnsi="Sakkal Majalla" w:cs="Sakkal Majalla"/>
          <w:sz w:val="32"/>
          <w:szCs w:val="32"/>
          <w:lang w:bidi="ar-EG"/>
        </w:rPr>
      </w:pPr>
      <w:r w:rsidRPr="00FF4137">
        <w:rPr>
          <w:rFonts w:ascii="Sakkal Majalla" w:hAnsi="Sakkal Majalla" w:cs="Sakkal Majalla"/>
          <w:sz w:val="32"/>
          <w:szCs w:val="32"/>
          <w:rtl/>
          <w:lang w:bidi="ar-EG"/>
        </w:rPr>
        <w:t>وتزداد أهمية هذا التحديد في الدراسات القانونية بالنظر إلى أن توصيف الذكاء الاصطناعي ينعكس مباشرة على فهم طبيعته، ومدى استقلاله عن التدخل البشري، وحدود إسناد الأفعال والنتائج المترتبة على تشغيله</w:t>
      </w:r>
      <w:r w:rsidR="00C71EE0">
        <w:rPr>
          <w:rFonts w:ascii="Sakkal Majalla" w:hAnsi="Sakkal Majalla" w:cs="Sakkal Majalla" w:hint="cs"/>
          <w:sz w:val="32"/>
          <w:szCs w:val="32"/>
          <w:rtl/>
          <w:lang w:bidi="ar-EG"/>
        </w:rPr>
        <w:t xml:space="preserve"> </w:t>
      </w:r>
      <w:r w:rsidRPr="00FF4137">
        <w:rPr>
          <w:rFonts w:ascii="Sakkal Majalla" w:hAnsi="Sakkal Majalla" w:cs="Sakkal Majalla"/>
          <w:sz w:val="32"/>
          <w:szCs w:val="32"/>
          <w:rtl/>
          <w:lang w:bidi="ar-EG"/>
        </w:rPr>
        <w:t>كما أن تنوع أنواعه واتساع مجالات تطبيقه في الواقع العملي يجعلان من الضروري بيان تصنيفاته المختلفة، والكشف عن أبرز استخداماته المعاصرة، تمهيدًا لفهم الإطار الذي قد تنشأ في نطاقه الإشكالات القانونية محل الدراسة</w:t>
      </w:r>
      <w:r>
        <w:rPr>
          <w:rStyle w:val="FootnoteReference"/>
          <w:rFonts w:ascii="Sakkal Majalla" w:hAnsi="Sakkal Majalla" w:cs="Sakkal Majalla"/>
          <w:sz w:val="32"/>
          <w:szCs w:val="32"/>
          <w:rtl/>
          <w:lang w:bidi="ar-EG"/>
        </w:rPr>
        <w:footnoteReference w:id="8"/>
      </w:r>
      <w:r w:rsidRPr="00FF4137">
        <w:rPr>
          <w:rFonts w:ascii="Sakkal Majalla" w:hAnsi="Sakkal Majalla" w:cs="Sakkal Majalla"/>
          <w:sz w:val="32"/>
          <w:szCs w:val="32"/>
          <w:rtl/>
          <w:lang w:bidi="ar-EG"/>
        </w:rPr>
        <w:t>.</w:t>
      </w:r>
    </w:p>
    <w:p w14:paraId="2AA28D79" w14:textId="6F1D2A70" w:rsidR="00FF4137" w:rsidRDefault="00FF4137" w:rsidP="00FF4137">
      <w:pPr>
        <w:bidi/>
        <w:spacing w:line="360" w:lineRule="auto"/>
        <w:jc w:val="mediumKashida"/>
        <w:rPr>
          <w:rFonts w:ascii="Sakkal Majalla" w:hAnsi="Sakkal Majalla" w:cs="Sakkal Majalla"/>
          <w:sz w:val="32"/>
          <w:szCs w:val="32"/>
          <w:rtl/>
          <w:lang w:bidi="ar-EG"/>
        </w:rPr>
      </w:pPr>
      <w:r w:rsidRPr="00FF4137">
        <w:rPr>
          <w:rFonts w:ascii="Sakkal Majalla" w:hAnsi="Sakkal Majalla" w:cs="Sakkal Majalla"/>
          <w:sz w:val="32"/>
          <w:szCs w:val="32"/>
          <w:rtl/>
          <w:lang w:bidi="ar-EG"/>
        </w:rPr>
        <w:t>وانطلاقًا من ذلك، يتناول هذا المبحث مفهوم الذكاء الاصطناعي وخصائصه التقنية في المطلب الأول، ثم يعرض تصنيف الذكاء الاصطناعي وأبرز تطبيقاته في المطلب الثاني، وذلك تأسيسًا لفهم أكثر دقة لطبيعة هذه التقنية وأثرها في البيئة الرقمية.</w:t>
      </w:r>
    </w:p>
    <w:p w14:paraId="561FD346" w14:textId="45A9CA66" w:rsidR="00632091" w:rsidRPr="00C71EE0" w:rsidRDefault="00632091" w:rsidP="00C71EE0">
      <w:pPr>
        <w:bidi/>
        <w:spacing w:line="360" w:lineRule="auto"/>
        <w:jc w:val="mediumKashida"/>
        <w:rPr>
          <w:rFonts w:ascii="Sakkal Majalla" w:hAnsi="Sakkal Majalla" w:cs="Sakkal Majalla"/>
          <w:b/>
          <w:bCs/>
          <w:sz w:val="32"/>
          <w:szCs w:val="32"/>
          <w:lang w:bidi="ar-EG"/>
        </w:rPr>
      </w:pPr>
      <w:r w:rsidRPr="00C71EE0">
        <w:rPr>
          <w:rFonts w:ascii="Sakkal Majalla" w:hAnsi="Sakkal Majalla" w:cs="Sakkal Majalla"/>
          <w:b/>
          <w:bCs/>
          <w:sz w:val="32"/>
          <w:szCs w:val="32"/>
          <w:rtl/>
          <w:lang w:bidi="ar-EG"/>
        </w:rPr>
        <w:t>المطلب الأول: مفهوم الذكاء الاصطناعي</w:t>
      </w:r>
      <w:r w:rsidR="00C71EE0">
        <w:rPr>
          <w:rFonts w:ascii="Sakkal Majalla" w:hAnsi="Sakkal Majalla" w:cs="Sakkal Majalla" w:hint="cs"/>
          <w:b/>
          <w:bCs/>
          <w:sz w:val="32"/>
          <w:szCs w:val="32"/>
          <w:rtl/>
          <w:lang w:bidi="ar-EG"/>
        </w:rPr>
        <w:t xml:space="preserve"> :</w:t>
      </w:r>
    </w:p>
    <w:p w14:paraId="774A6BB0" w14:textId="3049E86E"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يمثل تحديد مفهوم الذكاء الاصطناعي مدخلًا أساسياً لفهم الإشكاليات القانونية التي يثيرها، إذ لا يمكن بحث آثاره النظامية أو تحليل المسؤولية المدنية الناشئة عن استخدامه من دون الوقوف </w:t>
      </w:r>
      <w:r w:rsidRPr="00632091">
        <w:rPr>
          <w:rFonts w:ascii="Sakkal Majalla" w:hAnsi="Sakkal Majalla" w:cs="Sakkal Majalla"/>
          <w:sz w:val="32"/>
          <w:szCs w:val="32"/>
          <w:rtl/>
          <w:lang w:bidi="ar-EG"/>
        </w:rPr>
        <w:lastRenderedPageBreak/>
        <w:t>على طبيعته وحدوده وخصائصه الجوهرية فالذكاء الاصطناعي لم يعد مجرد مصطلح تقني يستخدم في نطاق ضيق، بل أصبح مفهومًا متعدد الأبعاد تتداخل فيه الاعتبارات التقنية والفقهية والقانونية، وهو ما يفسر تعدد تعريفاته واختلاف زاوية النظر إليه بحسب الحقل المعرفي الذي يتناوله كما أن التطور المتسارع في تقنياته واتساع نطاق تطبيقاته العملية قد أسهما في تعقيد مسألة وضع تعريف جامع مانع له، نظرًا لتنوع الأنظمة التي تندرج تحته، واختلاف درجات استقلالها، وقدرتها على التعلم والتفاعل مع البيانات والبيئة المحيطة. ومن ثم، فإن الدراسة القانونية لا تكتفي بإيراد تعريف اصطلاحي عام، وإنما تستهدف الوصول إلى تصور أكثر دقة يبرز العناصر التي ترتبط بالتكييف القانوني وتؤثر في مسألة إسناد المسؤولية عند وقوع الضرر</w:t>
      </w:r>
      <w:r w:rsidR="00C71EE0">
        <w:rPr>
          <w:rStyle w:val="FootnoteReference"/>
          <w:rFonts w:ascii="Sakkal Majalla" w:hAnsi="Sakkal Majalla" w:cs="Sakkal Majalla"/>
          <w:sz w:val="32"/>
          <w:szCs w:val="32"/>
          <w:rtl/>
          <w:lang w:bidi="ar-EG"/>
        </w:rPr>
        <w:footnoteReference w:id="9"/>
      </w:r>
      <w:r w:rsidRPr="00632091">
        <w:rPr>
          <w:rFonts w:ascii="Sakkal Majalla" w:hAnsi="Sakkal Majalla" w:cs="Sakkal Majalla"/>
          <w:sz w:val="32"/>
          <w:szCs w:val="32"/>
          <w:rtl/>
          <w:lang w:bidi="ar-EG"/>
        </w:rPr>
        <w:t>.</w:t>
      </w:r>
    </w:p>
    <w:p w14:paraId="3F5801E6" w14:textId="4CC1CA75"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وانطلاقًا من ذلك، يتناول هذا المطلب في الفرع الأول تعريف الذكاء الاصطناعي من خلال عرض أبرز التعريفات العامة والتقنية والفقهية والقانونية، ثم يعرض في الفرع الثاني أهم الخصائص التقنية التي تميزه عن البرمجيات التقليدية، وبخاصة التعلم الذاتي، والقدرة على تحليل البيانات، والاستقلال النسبي في اتخاذ القرار</w:t>
      </w:r>
      <w:r w:rsidR="00C71EE0">
        <w:rPr>
          <w:rStyle w:val="FootnoteReference"/>
          <w:rFonts w:ascii="Sakkal Majalla" w:hAnsi="Sakkal Majalla" w:cs="Sakkal Majalla"/>
          <w:sz w:val="32"/>
          <w:szCs w:val="32"/>
          <w:rtl/>
          <w:lang w:bidi="ar-EG"/>
        </w:rPr>
        <w:footnoteReference w:id="10"/>
      </w:r>
      <w:r w:rsidRPr="00632091">
        <w:rPr>
          <w:rFonts w:ascii="Sakkal Majalla" w:hAnsi="Sakkal Majalla" w:cs="Sakkal Majalla"/>
          <w:sz w:val="32"/>
          <w:szCs w:val="32"/>
          <w:rtl/>
          <w:lang w:bidi="ar-EG"/>
        </w:rPr>
        <w:t>.</w:t>
      </w:r>
    </w:p>
    <w:p w14:paraId="73C3BA66" w14:textId="227DA87D" w:rsidR="00632091" w:rsidRPr="00C71EE0" w:rsidRDefault="00632091" w:rsidP="00C71EE0">
      <w:pPr>
        <w:pStyle w:val="ListParagraph"/>
        <w:numPr>
          <w:ilvl w:val="0"/>
          <w:numId w:val="3"/>
        </w:numPr>
        <w:bidi/>
        <w:spacing w:line="360" w:lineRule="auto"/>
        <w:jc w:val="mediumKashida"/>
        <w:rPr>
          <w:rFonts w:ascii="Sakkal Majalla" w:hAnsi="Sakkal Majalla" w:cs="Sakkal Majalla"/>
          <w:b/>
          <w:bCs/>
          <w:sz w:val="32"/>
          <w:szCs w:val="32"/>
          <w:lang w:bidi="ar-EG"/>
        </w:rPr>
      </w:pPr>
      <w:r w:rsidRPr="00C71EE0">
        <w:rPr>
          <w:rFonts w:ascii="Sakkal Majalla" w:hAnsi="Sakkal Majalla" w:cs="Sakkal Majalla"/>
          <w:b/>
          <w:bCs/>
          <w:sz w:val="32"/>
          <w:szCs w:val="32"/>
          <w:rtl/>
          <w:lang w:bidi="ar-EG"/>
        </w:rPr>
        <w:t>الفرع الأول: تعريف الذكاء الاصطناعي</w:t>
      </w:r>
      <w:r w:rsidR="00C71EE0">
        <w:rPr>
          <w:rFonts w:ascii="Sakkal Majalla" w:hAnsi="Sakkal Majalla" w:cs="Sakkal Majalla" w:hint="cs"/>
          <w:b/>
          <w:bCs/>
          <w:sz w:val="32"/>
          <w:szCs w:val="32"/>
          <w:rtl/>
          <w:lang w:bidi="ar-EG"/>
        </w:rPr>
        <w:t xml:space="preserve"> : </w:t>
      </w:r>
    </w:p>
    <w:p w14:paraId="4E38B281" w14:textId="613A2E8A"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يعد الذكاء الاصطناعي من المفاهيم التي يصعب حصرها في تعريف واحد ثابت، ويرجع ذلك إلى التطور المستمر في تقنياته، وإلى اختلاف المقاربات التي تناولته فالتعريفات العامة تنظر إليه </w:t>
      </w:r>
      <w:r w:rsidRPr="00632091">
        <w:rPr>
          <w:rFonts w:ascii="Sakkal Majalla" w:hAnsi="Sakkal Majalla" w:cs="Sakkal Majalla"/>
          <w:sz w:val="32"/>
          <w:szCs w:val="32"/>
          <w:rtl/>
          <w:lang w:bidi="ar-EG"/>
        </w:rPr>
        <w:lastRenderedPageBreak/>
        <w:t>بوصفه قدرة تقنية على محاكاة بعض صور الذكاء البشري، في حين تركز التعريفات التقنية على الآليات التي يعمل بها، بينما تتجه التعريفات الفقهية والقانونية إلى بيان أثره في إنتاج نتائج أو قرارات قد تترتب عليها آثار قانونية</w:t>
      </w:r>
      <w:r w:rsidR="00C71EE0">
        <w:rPr>
          <w:rStyle w:val="FootnoteReference"/>
          <w:rFonts w:ascii="Sakkal Majalla" w:hAnsi="Sakkal Majalla" w:cs="Sakkal Majalla"/>
          <w:sz w:val="32"/>
          <w:szCs w:val="32"/>
          <w:rtl/>
          <w:lang w:bidi="ar-EG"/>
        </w:rPr>
        <w:footnoteReference w:id="11"/>
      </w:r>
      <w:r w:rsidRPr="00632091">
        <w:rPr>
          <w:rFonts w:ascii="Sakkal Majalla" w:hAnsi="Sakkal Majalla" w:cs="Sakkal Majalla"/>
          <w:sz w:val="32"/>
          <w:szCs w:val="32"/>
          <w:rtl/>
          <w:lang w:bidi="ar-EG"/>
        </w:rPr>
        <w:t>.</w:t>
      </w:r>
    </w:p>
    <w:p w14:paraId="51BC9600" w14:textId="6A75A2C5"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ومن الناحية العامة يتكون مصطلح الذكاء الاصطناعي من شقين: الذكاء، ويقصد به القدرة على الفهم والتحليل والاستنتاج وحل المشكلات؛ والاصطناعي، ويقصد به أن هذه القدرة لا تصدر عن العقل البشري الطبيعي، وإنما عن أنظمة وتقنيات من صنع الإنسان غير أن هذا المعنى العام، على أهميته، لا يكفي وحده في الدراسات القانونية، لأنه لا يحدد بدقة متى نكون أمام نظام ذكاء اصطناعي بالمعنى الفني الذي يستدعي تنظيمًا خاصًا أو يثير إشكاليات في المسؤولية</w:t>
      </w:r>
      <w:r w:rsidR="00C71EE0">
        <w:rPr>
          <w:rStyle w:val="FootnoteReference"/>
          <w:rFonts w:ascii="Sakkal Majalla" w:hAnsi="Sakkal Majalla" w:cs="Sakkal Majalla"/>
          <w:sz w:val="32"/>
          <w:szCs w:val="32"/>
          <w:rtl/>
          <w:lang w:bidi="ar-EG"/>
        </w:rPr>
        <w:footnoteReference w:id="12"/>
      </w:r>
      <w:r w:rsidRPr="00632091">
        <w:rPr>
          <w:rFonts w:ascii="Sakkal Majalla" w:hAnsi="Sakkal Majalla" w:cs="Sakkal Majalla"/>
          <w:sz w:val="32"/>
          <w:szCs w:val="32"/>
          <w:rtl/>
          <w:lang w:bidi="ar-EG"/>
        </w:rPr>
        <w:t>.</w:t>
      </w:r>
    </w:p>
    <w:p w14:paraId="5B368825" w14:textId="77777777" w:rsid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أما من الناحية التقنية فيعرف الذكاء الاصطناعي بأنه مجموعة من الأنظمة والخوارزميات التي تمكن الآلة من محاكاة بعض الوظائف الذهنية البشرية، مثل التعلم، والاستنتاج، وتحليل الأنماط، والتنبؤ، واتخاذ القرار. وتركز هذه التعريفات على كون الذكاء الاصطناعي نظامًا قائمًا على معالجة البيانات، بحيث يستقبل مدخلات معينة، ثم يحللها وفق نماذج خوارزمية، ليولد مخرجات قد تكون في صورة توصيات أو تنبؤات أو محتوى أو قرارات وتكمن أهمية هذا الاتجاه في أنه يميز بين الذكاء الاصطناعي والبرمجيات التقليدية التي تقتصر على تنفيذ أوامر محددة مسبقًا دون قدرة على الاستدلال أو التكيف</w:t>
      </w:r>
      <w:r w:rsidR="00C71EE0">
        <w:rPr>
          <w:rStyle w:val="FootnoteReference"/>
          <w:rFonts w:ascii="Sakkal Majalla" w:hAnsi="Sakkal Majalla" w:cs="Sakkal Majalla"/>
          <w:sz w:val="32"/>
          <w:szCs w:val="32"/>
          <w:rtl/>
          <w:lang w:bidi="ar-EG"/>
        </w:rPr>
        <w:footnoteReference w:id="13"/>
      </w:r>
      <w:r w:rsidRPr="00632091">
        <w:rPr>
          <w:rFonts w:ascii="Sakkal Majalla" w:hAnsi="Sakkal Majalla" w:cs="Sakkal Majalla"/>
          <w:sz w:val="32"/>
          <w:szCs w:val="32"/>
          <w:rtl/>
          <w:lang w:bidi="ar-EG"/>
        </w:rPr>
        <w:t>.</w:t>
      </w:r>
    </w:p>
    <w:p w14:paraId="50997966" w14:textId="72ECC3DB"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lastRenderedPageBreak/>
        <w:t>وفي هذا السياق عرفت منظمة التعاون الاقتصادي والتنمية نظام الذكاء الاصطناعي بأنه نظام قائم على آلة، يستدل لأهداف صريحة أو ضمنية، من المدخلات التي يتلقاها، على كيفية توليد مخرجات مثل التنبؤات أو المحتوى أو التوصيات أو القرارات التي يمكن أن تؤثر في بيئات مادية أو افتراضية. كما اتجهت التنظيمات الحديثة إلى اعتماد تعريف وظيفي للذكاء الاصطناعي، ومن أبرزها لائحة الاتحاد الأوروبي للذكاء الاصطناعي، التي عرّفت في المادة (3/1) نظام الذكاء الاصطناعي بأنه نظام قائم على آلة صمم ليعمل بدرجات متفاوتة من الاستقلالية، وقد يظهر قابليةً للتكيف بعد التشغيل، ويستدل من المدخلات التي يتلقاها على كيفية توليد مخرجات، مثل التنبؤات أو المحتوى أو التوصيات أو القرارات، بما يمكن أن يؤثر في البيئات المادية أو الافتراضية. وتكشف هذه الصياغة عن عناصر قانونية مهمة في التكييف، تتمثل في الاستقلال النسبي، والاستدلال، وإنتاج مخرجات ذات أثر، وهي عناصر وثيقة الصلة بمسألة إسناد المسؤولية عند وقوع الضرر</w:t>
      </w:r>
      <w:r w:rsidR="00A679CC">
        <w:rPr>
          <w:rStyle w:val="FootnoteReference"/>
          <w:rFonts w:ascii="Sakkal Majalla" w:hAnsi="Sakkal Majalla" w:cs="Sakkal Majalla"/>
          <w:sz w:val="32"/>
          <w:szCs w:val="32"/>
          <w:rtl/>
          <w:lang w:bidi="ar-EG"/>
        </w:rPr>
        <w:footnoteReference w:id="14"/>
      </w:r>
      <w:r w:rsidRPr="00632091">
        <w:rPr>
          <w:rFonts w:ascii="Sakkal Majalla" w:hAnsi="Sakkal Majalla" w:cs="Sakkal Majalla"/>
          <w:sz w:val="32"/>
          <w:szCs w:val="32"/>
          <w:rtl/>
          <w:lang w:bidi="ar-EG"/>
        </w:rPr>
        <w:t>.</w:t>
      </w:r>
    </w:p>
    <w:p w14:paraId="7F6AFC4F" w14:textId="4EBA545E"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أما من الناحية الفقهية والقانونية فإن الذكاء الاصطناعي لا يُنظر إليه فقط بوصفه أداة تقنية، وإنما بوصفه نظامًا قد يثير مشكلات قانونية تتعلق بإسناد الفعل، وتحديد المسؤول عن نتائجه، وبيان مدى خضوعه للقواعد التقليدية للمسؤولية ولذلك تتجه التعريفات الفقهية إلى التركيز على قدرته على اتخاذ قرارات أو إصدار مخرجات تؤثر في المراكز القانونية للأفراد أو في مصالحهم، ولو تم ذلك دون تدخل بشري مباشر في كل مرحلة من مراحل التشغيل. وتظهر أهمية هذا التصور في الدراسات القانونية، لأنه يربط المفهوم بالعناصر التي ينتج عنها النزاع القانوني، مثل الاستقلال النسبي، والتعلم، وعدم الشفافية في بعض الأنظمة، واتصال المخرجات بوقوع ضرر أو اعتداء. </w:t>
      </w:r>
      <w:r w:rsidRPr="00632091">
        <w:rPr>
          <w:rFonts w:ascii="Sakkal Majalla" w:hAnsi="Sakkal Majalla" w:cs="Sakkal Majalla"/>
          <w:sz w:val="32"/>
          <w:szCs w:val="32"/>
          <w:rtl/>
          <w:lang w:bidi="ar-EG"/>
        </w:rPr>
        <w:lastRenderedPageBreak/>
        <w:t>كما أن الاتجاهات الدولية الحديثة في حوكمة الذكاء الاصطناعي باتت تؤكد أهمية عناصر الشفافية، والقدرة على التفسير، والإشراف البشري، بما يعزز الصلة بين المفهوم التقني للذكاء الاصطناعي وآثاره القانونية العملية</w:t>
      </w:r>
      <w:r w:rsidR="00C71EE0">
        <w:rPr>
          <w:rStyle w:val="FootnoteReference"/>
          <w:rFonts w:ascii="Sakkal Majalla" w:hAnsi="Sakkal Majalla" w:cs="Sakkal Majalla"/>
          <w:sz w:val="32"/>
          <w:szCs w:val="32"/>
          <w:rtl/>
          <w:lang w:bidi="ar-EG"/>
        </w:rPr>
        <w:footnoteReference w:id="15"/>
      </w:r>
      <w:r w:rsidRPr="00632091">
        <w:rPr>
          <w:rFonts w:ascii="Sakkal Majalla" w:hAnsi="Sakkal Majalla" w:cs="Sakkal Majalla"/>
          <w:sz w:val="32"/>
          <w:szCs w:val="32"/>
          <w:rtl/>
          <w:lang w:bidi="ar-EG"/>
        </w:rPr>
        <w:t>.</w:t>
      </w:r>
    </w:p>
    <w:p w14:paraId="33355235" w14:textId="3AA6F068" w:rsidR="00632091" w:rsidRDefault="00632091" w:rsidP="00632091">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وفي ضوء ما تقدم، يمكن تعريف الذكاء الاصطناعي في إطار هذه الدراسة بأنه منظومة تقنية قائمة على الخوارزميات ومعالجة البيانات، تستدل من المدخلات التي تتلقاها على كيفية توليد مخرجات، كالتنبؤات أو التوصيات أو القرارات أو المحتوى، بما قد يؤثر في البيئة المادية أو الرقمية، وتعمل بدرجات متفاوتة من الاستقلالية، وقد تتمتع بقابلية للتكيف أو التعلم بعد التشغيل. وتنبع القيمة القانونية لهذا التعريف من أنه لا يقف عند الوصف التقني المجرد، بل يبرز العناصر الأكثر اتصالًا بالتكييف القانوني وبحث المسؤولية المدنية، ولا سيما عنصر الاستقلال النسبي، وإمكان التكيف، واتصال المخرجات بوقوع الضرر. وعلى هذا الأساس، فإن ضبط مفهوم الذكاء الاصطناعي لا يعد مسألة نظرية محضة، بل يمثل خطوة لازمة لتحديد نطاق التنظيم القانوني، وبيان الأساس الذي يمكن من خلاله إسناد المسؤولية عن الأضرار التي تنشأ عن استخدام هذه الأنظمة</w:t>
      </w:r>
      <w:r w:rsidR="00C71EE0">
        <w:rPr>
          <w:rStyle w:val="FootnoteReference"/>
          <w:rFonts w:ascii="Sakkal Majalla" w:hAnsi="Sakkal Majalla" w:cs="Sakkal Majalla"/>
          <w:sz w:val="32"/>
          <w:szCs w:val="32"/>
          <w:rtl/>
          <w:lang w:bidi="ar-EG"/>
        </w:rPr>
        <w:footnoteReference w:id="16"/>
      </w:r>
    </w:p>
    <w:p w14:paraId="35C8F37B" w14:textId="440E6EB3" w:rsidR="00632091" w:rsidRPr="00A679CC" w:rsidRDefault="00632091" w:rsidP="00A679CC">
      <w:pPr>
        <w:pStyle w:val="ListParagraph"/>
        <w:numPr>
          <w:ilvl w:val="0"/>
          <w:numId w:val="3"/>
        </w:numPr>
        <w:bidi/>
        <w:spacing w:line="360" w:lineRule="auto"/>
        <w:jc w:val="mediumKashida"/>
        <w:rPr>
          <w:rFonts w:ascii="Sakkal Majalla" w:hAnsi="Sakkal Majalla" w:cs="Sakkal Majalla"/>
          <w:b/>
          <w:bCs/>
          <w:sz w:val="32"/>
          <w:szCs w:val="32"/>
          <w:rtl/>
          <w:lang w:bidi="ar-EG"/>
        </w:rPr>
      </w:pPr>
      <w:r w:rsidRPr="00A679CC">
        <w:rPr>
          <w:rFonts w:ascii="Sakkal Majalla" w:hAnsi="Sakkal Majalla" w:cs="Sakkal Majalla"/>
          <w:b/>
          <w:bCs/>
          <w:sz w:val="32"/>
          <w:szCs w:val="32"/>
          <w:rtl/>
          <w:lang w:bidi="ar-EG"/>
        </w:rPr>
        <w:t>الفرع الثاني: الخصائص التقنية للذكاء الاصطناعي</w:t>
      </w:r>
      <w:r w:rsidR="00A679CC">
        <w:rPr>
          <w:rFonts w:ascii="Sakkal Majalla" w:hAnsi="Sakkal Majalla" w:cs="Sakkal Majalla"/>
          <w:b/>
          <w:bCs/>
          <w:sz w:val="32"/>
          <w:szCs w:val="32"/>
          <w:lang w:bidi="ar-EG"/>
        </w:rPr>
        <w:t xml:space="preserve"> :</w:t>
      </w:r>
    </w:p>
    <w:p w14:paraId="6F61C418" w14:textId="33997C99"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يتميز الذكاء الاصطناعي بعدد من الخصائص التقنية التي تجعله مختلفًا عن البرمجيات التقليدية، وتكمن أهمية هذه الخصائص في أنها لا تحدد فقط طبيعته الفنية، بل تؤثر كذلك في </w:t>
      </w:r>
      <w:r w:rsidRPr="00632091">
        <w:rPr>
          <w:rFonts w:ascii="Sakkal Majalla" w:hAnsi="Sakkal Majalla" w:cs="Sakkal Majalla"/>
          <w:sz w:val="32"/>
          <w:szCs w:val="32"/>
          <w:rtl/>
          <w:lang w:bidi="ar-EG"/>
        </w:rPr>
        <w:lastRenderedPageBreak/>
        <w:t>التكييف القانوني للأفعال الصادرة عنه، وفي تحليل عناصر المسؤولية المدنية عند وقوع الضرر</w:t>
      </w:r>
      <w:r w:rsidR="00E96748">
        <w:rPr>
          <w:rFonts w:ascii="Sakkal Majalla" w:hAnsi="Sakkal Majalla" w:cs="Sakkal Majalla"/>
          <w:sz w:val="32"/>
          <w:szCs w:val="32"/>
          <w:lang w:bidi="ar-EG"/>
        </w:rPr>
        <w:t xml:space="preserve"> </w:t>
      </w:r>
      <w:r w:rsidRPr="00632091">
        <w:rPr>
          <w:rFonts w:ascii="Sakkal Majalla" w:hAnsi="Sakkal Majalla" w:cs="Sakkal Majalla"/>
          <w:sz w:val="32"/>
          <w:szCs w:val="32"/>
          <w:rtl/>
          <w:lang w:bidi="ar-EG"/>
        </w:rPr>
        <w:t>فالأنظمة الذكية لا تقتصر على تنفيذ أوامر ثابتة ومحددة سلفًا، وإنما قد تعمل بدرجات متفاوتة من الاستقلالية، وقد تظهر قابلية للتكيف بعد التشغيل، وتولد مخرجات مثل التنبؤات أو التوصيات أو القرارات التي يمكن أن تؤثر في البيئات المادية أو الرقمية. ومن ثم، فإن دراسة هذه الخصائص تمثل أساسًا ضروريًا لفهم الصعوبات التي يثيرها الذكاء الاصطناعي في مجال إسناد المسؤولية وتحديد مصدر الخطأ والضرر ومن أبرز هذه الخصائص: التعلم الذاتي، والقدرة على تحليل البيانات، والاستقلال النسبي في اتخاذ القرار</w:t>
      </w:r>
      <w:r w:rsidR="00E96748">
        <w:rPr>
          <w:rStyle w:val="FootnoteReference"/>
          <w:rFonts w:ascii="Sakkal Majalla" w:hAnsi="Sakkal Majalla" w:cs="Sakkal Majalla"/>
          <w:sz w:val="32"/>
          <w:szCs w:val="32"/>
          <w:rtl/>
          <w:lang w:bidi="ar-EG"/>
        </w:rPr>
        <w:footnoteReference w:id="17"/>
      </w:r>
      <w:r w:rsidRPr="00632091">
        <w:rPr>
          <w:rFonts w:ascii="Sakkal Majalla" w:hAnsi="Sakkal Majalla" w:cs="Sakkal Majalla"/>
          <w:sz w:val="32"/>
          <w:szCs w:val="32"/>
          <w:rtl/>
          <w:lang w:bidi="ar-EG"/>
        </w:rPr>
        <w:t>.</w:t>
      </w:r>
    </w:p>
    <w:p w14:paraId="14ACB8C5" w14:textId="14FB4193" w:rsidR="00632091" w:rsidRPr="00E96748" w:rsidRDefault="00632091" w:rsidP="00E96748">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أولًا: التعلم الذاتي</w:t>
      </w:r>
      <w:r w:rsidR="00E96748">
        <w:rPr>
          <w:rFonts w:ascii="Sakkal Majalla" w:hAnsi="Sakkal Majalla" w:cs="Sakkal Majalla"/>
          <w:b/>
          <w:bCs/>
          <w:sz w:val="32"/>
          <w:szCs w:val="32"/>
          <w:lang w:bidi="ar-EG"/>
        </w:rPr>
        <w:t xml:space="preserve"> :</w:t>
      </w:r>
    </w:p>
    <w:p w14:paraId="19862973" w14:textId="4B229770"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تعد خاصية التعلم الذاتي من أبرز السمات التي تميز أنظمة الذكاء الاصطناعي عن غيرها من الأنظمة التقليدية؛ فالبرامج العادية تعمل وفق تعليمات محددة وثابتة يضعها المبرمج مسبقًا، في حين أن كثيرًا من أنظمة الذكاء الاصطناعي، ولا سيما القائمة على التعلم الآلي والتعلم العميق، تستطيع استخلاص الأنماط من البيانات، وتعديل أدائها تدريجيًا بناءً على النتائج والخبرات المتراكمة. وبهذا المعنى، فإن النظام لا يظل مقيدًا بمنطق برمجي جامد، بل يطور من استجاباته تبعًا للبيانات التي يتعامل معها، وقد تستمر بعض الأنظمة في التكيف بعد مرحلة التطوير الأولي. وتكمن أهمية هذه الخاصية في أنها تجعل المخرجات غير ثابتة بصورة مطلقة، بحيث قد يختلف أداء النظام بمرور الوقت رغم ثبات الغاية العامة التي صمم من أجلها</w:t>
      </w:r>
      <w:r w:rsidR="00E96748">
        <w:rPr>
          <w:rStyle w:val="FootnoteReference"/>
          <w:rFonts w:ascii="Sakkal Majalla" w:hAnsi="Sakkal Majalla" w:cs="Sakkal Majalla"/>
          <w:sz w:val="32"/>
          <w:szCs w:val="32"/>
          <w:rtl/>
          <w:lang w:bidi="ar-EG"/>
        </w:rPr>
        <w:footnoteReference w:id="18"/>
      </w:r>
      <w:r w:rsidRPr="00632091">
        <w:rPr>
          <w:rFonts w:ascii="Sakkal Majalla" w:hAnsi="Sakkal Majalla" w:cs="Sakkal Majalla"/>
          <w:sz w:val="32"/>
          <w:szCs w:val="32"/>
          <w:rtl/>
          <w:lang w:bidi="ar-EG"/>
        </w:rPr>
        <w:t>.</w:t>
      </w:r>
    </w:p>
    <w:p w14:paraId="190F9ECA" w14:textId="66089A15" w:rsidR="00E96748"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lastRenderedPageBreak/>
        <w:t>وتثير هذه الخاصية أهمية قانونية خاصة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لأن سلوك النظام بعد فترة من التشغيل قد يختلف عن سلوكه عند تصميمه الأول، وهو ما يعقد مسألة نسبة الخطأ وتحديد ما إذا كان الضرر راجعًا إلى عيب في التصميم، أم إلى قصور في الرقابة، أم إلى ضعف في البيانات المستخدمة، أم إلى أثر التعلم اللاحق للنظام نفسه</w:t>
      </w:r>
      <w:r w:rsidR="0054009E">
        <w:rPr>
          <w:rStyle w:val="FootnoteReference"/>
          <w:rFonts w:ascii="Sakkal Majalla" w:hAnsi="Sakkal Majalla" w:cs="Sakkal Majalla"/>
          <w:sz w:val="32"/>
          <w:szCs w:val="32"/>
          <w:rtl/>
          <w:lang w:bidi="ar-EG"/>
        </w:rPr>
        <w:footnoteReference w:id="19"/>
      </w:r>
      <w:r w:rsidR="00E96748">
        <w:rPr>
          <w:rFonts w:ascii="Sakkal Majalla" w:hAnsi="Sakkal Majalla" w:cs="Sakkal Majalla" w:hint="cs"/>
          <w:sz w:val="32"/>
          <w:szCs w:val="32"/>
          <w:rtl/>
          <w:lang w:bidi="ar-EG"/>
        </w:rPr>
        <w:t>.</w:t>
      </w:r>
    </w:p>
    <w:p w14:paraId="16085C66" w14:textId="0B925673"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 كما أن قابلية التكيف المستمر قد تؤدي إلى درجة من عدم القابلية الكاملة للتنبؤ بالمخرجات، الأمر الذي يزيد من صعوبة إثبات العلاقة بين الفعل الضار والسبب الفني المباشر له، ويجعل مسألة إسناد المسؤولية المدنية أكثر تعقيدًا من حال البرمجيات التقليدية وقد أشارت الوثائق الأوروبية إلى أن التكيف المستمر وعدم الشفافية قد يجعلان النتائج أقل قابلية للتوقع وأكثر صعوبة في الفهم والإثبات من منظور قانوني.</w:t>
      </w:r>
    </w:p>
    <w:p w14:paraId="380A9CC3" w14:textId="43B9A6CB" w:rsidR="00632091" w:rsidRPr="00E96748" w:rsidRDefault="00632091" w:rsidP="00E96748">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ثانيًا: القدرة على تحليل البيانات</w:t>
      </w:r>
      <w:r w:rsidR="00E96748">
        <w:rPr>
          <w:rFonts w:ascii="Sakkal Majalla" w:hAnsi="Sakkal Majalla" w:cs="Sakkal Majalla" w:hint="cs"/>
          <w:b/>
          <w:bCs/>
          <w:sz w:val="32"/>
          <w:szCs w:val="32"/>
          <w:rtl/>
          <w:lang w:bidi="ar-EG"/>
        </w:rPr>
        <w:t xml:space="preserve"> :</w:t>
      </w:r>
    </w:p>
    <w:p w14:paraId="6E12739E" w14:textId="2E926321"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من الخصائص الجوهرية للذكاء الاصطناعي قدرته العالية على معالجة كميات ضخمة من البيانات وتحليلها في زمن قصير، بما يمكنه من اكتشاف الأنماط، وإجراء التنبؤات، وإنتاج نتائج قد يصعب على الإنسان الوصول إليها بالسرعة أو الدقة نفسيهما وتعتمد هذه القدرة على استخدام نماذج خوارزمية متقدمة تستوعب البيانات المتنوعة</w:t>
      </w:r>
      <w:r w:rsidR="0054009E">
        <w:rPr>
          <w:rStyle w:val="FootnoteReference"/>
          <w:rFonts w:ascii="Sakkal Majalla" w:hAnsi="Sakkal Majalla" w:cs="Sakkal Majalla"/>
          <w:sz w:val="32"/>
          <w:szCs w:val="32"/>
          <w:rtl/>
          <w:lang w:bidi="ar-EG"/>
        </w:rPr>
        <w:footnoteReference w:id="20"/>
      </w:r>
      <w:r w:rsidRPr="00632091">
        <w:rPr>
          <w:rFonts w:ascii="Sakkal Majalla" w:hAnsi="Sakkal Majalla" w:cs="Sakkal Majalla"/>
          <w:sz w:val="32"/>
          <w:szCs w:val="32"/>
          <w:rtl/>
          <w:lang w:bidi="ar-EG"/>
        </w:rPr>
        <w:t xml:space="preserve">، وتربط بين عناصرها، وتستخلص منها مؤشرات أو توصيات أو قرارات. وتفسر هذه الخاصية اتساع نطاق استخدام الذكاء الاصطناعي في المجالات المالية والطبية والأمنية والإدارية، حيث تقوم قيمة النظام العملية </w:t>
      </w:r>
      <w:r w:rsidRPr="00632091">
        <w:rPr>
          <w:rFonts w:ascii="Sakkal Majalla" w:hAnsi="Sakkal Majalla" w:cs="Sakkal Majalla"/>
          <w:sz w:val="32"/>
          <w:szCs w:val="32"/>
          <w:rtl/>
          <w:lang w:bidi="ar-EG"/>
        </w:rPr>
        <w:lastRenderedPageBreak/>
        <w:t>في كثير من الأحيان على كفاءته في قراءة البيانات وتحويلها إلى مخرجات ذات أثر مباشر في الواقع العملي.</w:t>
      </w:r>
    </w:p>
    <w:p w14:paraId="4BCA259D" w14:textId="6FD0714F" w:rsidR="00E96748"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إلا أن هذه الخاصية على أهميتها العملية، تثير في المقابل إشكالات قانونية متعددة تتعلق بمشروعية البيانات المستخدمة، ومدى احترام قواعد الخصوصية وحماية البيانات، وجودة البيانات وسلامتها، واحتمال وجود تحيزات فيها قد تنعكس على دقة النتائج أو عدالتها وقد أكدت</w:t>
      </w:r>
      <w:r w:rsidR="0054009E">
        <w:rPr>
          <w:rStyle w:val="FootnoteReference"/>
          <w:rFonts w:ascii="Sakkal Majalla" w:hAnsi="Sakkal Majalla" w:cs="Sakkal Majalla"/>
          <w:sz w:val="32"/>
          <w:szCs w:val="32"/>
          <w:rtl/>
          <w:lang w:bidi="ar-EG"/>
        </w:rPr>
        <w:footnoteReference w:id="21"/>
      </w:r>
    </w:p>
    <w:p w14:paraId="40883547" w14:textId="674616BC"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لائحة الاتحاد الأوروبي للذكاء الاصطناعي أهمية حوكمة البيانات وجودتها وارتباطها بالحد من الأخطاء والتحيزات، كما شددت على أن بعض تطبيقات الذكاء الاصطناعي ينبغي أن تعمل في إطار يراعي الشفافية وحماية الحقوق الأساسية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ومن ثم فإن الخطأ في هذا السياق قد لا يكون ناشئًا فقط عن المخرج النهائي، بل قد يرتبط كذلك بفساد البيانات أو قصور إدارتها أو عدم ملاءمتها للغرض الذي استخدمت من أجله</w:t>
      </w:r>
      <w:r w:rsidR="00E96748">
        <w:rPr>
          <w:rStyle w:val="FootnoteReference"/>
          <w:rFonts w:ascii="Sakkal Majalla" w:hAnsi="Sakkal Majalla" w:cs="Sakkal Majalla"/>
          <w:sz w:val="32"/>
          <w:szCs w:val="32"/>
          <w:rtl/>
          <w:lang w:bidi="ar-EG"/>
        </w:rPr>
        <w:footnoteReference w:id="22"/>
      </w:r>
      <w:r w:rsidRPr="00632091">
        <w:rPr>
          <w:rFonts w:ascii="Sakkal Majalla" w:hAnsi="Sakkal Majalla" w:cs="Sakkal Majalla"/>
          <w:sz w:val="32"/>
          <w:szCs w:val="32"/>
          <w:rtl/>
          <w:lang w:bidi="ar-EG"/>
        </w:rPr>
        <w:t>.</w:t>
      </w:r>
    </w:p>
    <w:p w14:paraId="4470BB43" w14:textId="555CD53A" w:rsidR="00632091" w:rsidRPr="00E96748" w:rsidRDefault="00632091" w:rsidP="00A679CC">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ثالثًا: الاستقلال النسبي في اتخاذ القرار</w:t>
      </w:r>
      <w:r w:rsidR="00E96748">
        <w:rPr>
          <w:rFonts w:ascii="Sakkal Majalla" w:hAnsi="Sakkal Majalla" w:cs="Sakkal Majalla" w:hint="cs"/>
          <w:b/>
          <w:bCs/>
          <w:sz w:val="32"/>
          <w:szCs w:val="32"/>
          <w:rtl/>
          <w:lang w:bidi="ar-EG"/>
        </w:rPr>
        <w:t xml:space="preserve"> :</w:t>
      </w:r>
    </w:p>
    <w:p w14:paraId="646B6BA3" w14:textId="260AFC05"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يقصد بالاستقلال النسبي قدرة بعض أنظمة الذكاء الاصطناعي على إنتاج قرارات أو تنفيذ أفعال استنادًا إلى معالجة آلية للبيانات، دون تدخل بشري مباشر في كل مرحلة من مراحل التشغيل</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 xml:space="preserve">غير أن هذا الاستقلال لا يعني امتلاك النظام إرادة قانونية مستقلة، وإنما يعني أنه يعمل ضمن حدود وأهداف يضعها الإنسان مسبقًا، ثم يختار الوسائل أو يولد النتائج استنادًا إلى المعطيات التي </w:t>
      </w:r>
      <w:r w:rsidRPr="00632091">
        <w:rPr>
          <w:rFonts w:ascii="Sakkal Majalla" w:hAnsi="Sakkal Majalla" w:cs="Sakkal Majalla"/>
          <w:sz w:val="32"/>
          <w:szCs w:val="32"/>
          <w:rtl/>
          <w:lang w:bidi="ar-EG"/>
        </w:rPr>
        <w:lastRenderedPageBreak/>
        <w:t>يعالجها</w:t>
      </w:r>
      <w:r w:rsidR="007F0671">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ولذلك فإن استقلال الذكاء الاصطناعي هو استقلال وظيفي وتقني لا يرقى إلى الاستقلال القانوني، إذ تظل عملية التصميم والتطوير والتشغيل والإشراف مرتبطة في أصلها بالعامل البشري وقد أوضحت المصادر الدولية أن مستويات الاستقلالية والتكيف في أنظمة الذكاء الاصطناعي تختلف من نظام إلى آخر، وأن المسؤولية والاختيار التنظيمي في النهاية تظل مسندة إلى البشر والجهات القائمة على تطوير النظام أو تشغيله</w:t>
      </w:r>
      <w:r w:rsidR="00E96748">
        <w:rPr>
          <w:rStyle w:val="FootnoteReference"/>
          <w:rFonts w:ascii="Sakkal Majalla" w:hAnsi="Sakkal Majalla" w:cs="Sakkal Majalla"/>
          <w:sz w:val="32"/>
          <w:szCs w:val="32"/>
          <w:rtl/>
          <w:lang w:bidi="ar-EG"/>
        </w:rPr>
        <w:footnoteReference w:id="23"/>
      </w:r>
      <w:r w:rsidRPr="00632091">
        <w:rPr>
          <w:rFonts w:ascii="Sakkal Majalla" w:hAnsi="Sakkal Majalla" w:cs="Sakkal Majalla"/>
          <w:sz w:val="32"/>
          <w:szCs w:val="32"/>
          <w:rtl/>
          <w:lang w:bidi="ar-EG"/>
        </w:rPr>
        <w:t>.</w:t>
      </w:r>
    </w:p>
    <w:p w14:paraId="7FDDA630" w14:textId="0E7308A9"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وتبرز أهمية هذه الخاصية في المجال القانوني عند وقوع ضرر ناتج عن قرار آلي أو سلوك تقني لم يصدر بأمر مباشر في لحظة التنفيذ من شخص طبيعي، وهو ما يثير التساؤل حول الجهة التي تنسب إليها النتيجة الضارة: هل هي الجهة المطورة، أم المشغلة، أم المستخدمة، أم غيرهم من الفاعلين المتصلين بدورة حياة النظام؟ ولهذا تبرز أهمية الإشراف البشري والقدرة على تفسير المخرجات وتتبعها، لأن وجود قدر من الاستقلال التقني في اتخاذ القرار لا ينبغي أن يؤدي إلى فراغ في المسؤولية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وقد اتجهت التنظيمات الحديثة إلى التأكيد على ضرورة تمكين الإنسان من مراقبة النظام والتدخل فيه عند الحاجة وتقليل المخاطر الناجمة عن استخدامه، وهو ما يعكس إدراكًا تشريعيًا بأن الاستقلال النسبي للآلة لا ينفي بقاء المسؤولية في الإطار البشري والقانوني</w:t>
      </w:r>
      <w:r w:rsidR="007F0671">
        <w:rPr>
          <w:rStyle w:val="FootnoteReference"/>
          <w:rFonts w:ascii="Sakkal Majalla" w:hAnsi="Sakkal Majalla" w:cs="Sakkal Majalla"/>
          <w:sz w:val="32"/>
          <w:szCs w:val="32"/>
          <w:rtl/>
          <w:lang w:bidi="ar-EG"/>
        </w:rPr>
        <w:footnoteReference w:id="24"/>
      </w:r>
      <w:r w:rsidRPr="00632091">
        <w:rPr>
          <w:rFonts w:ascii="Sakkal Majalla" w:hAnsi="Sakkal Majalla" w:cs="Sakkal Majalla"/>
          <w:sz w:val="32"/>
          <w:szCs w:val="32"/>
          <w:rtl/>
          <w:lang w:bidi="ar-EG"/>
        </w:rPr>
        <w:t>.</w:t>
      </w:r>
    </w:p>
    <w:p w14:paraId="22236581" w14:textId="704259B8" w:rsidR="00632091" w:rsidRPr="00FF4137"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 xml:space="preserve">ومجمل القول أن الخصائص التقنية للذكاء الاصطناعي تكشف عن طبيعة متميزة تتجاوز حدود البرمجة التقليدية، إذ يقوم هذا النظام على التعلم من البيانات، وتحليلها، وإنتاج مخرجات قد تصدر بدرجة من الاستقلال عن التدخل البشري المباشر وهذه السمات هي التي تمنح الذكاء الاصطناعي قيمته العملية من جهة، وهي نفسها التي تفسر الإشكاليات القانونية التي يثيرها من </w:t>
      </w:r>
      <w:r w:rsidRPr="00632091">
        <w:rPr>
          <w:rFonts w:ascii="Sakkal Majalla" w:hAnsi="Sakkal Majalla" w:cs="Sakkal Majalla"/>
          <w:sz w:val="32"/>
          <w:szCs w:val="32"/>
          <w:rtl/>
          <w:lang w:bidi="ar-EG"/>
        </w:rPr>
        <w:lastRenderedPageBreak/>
        <w:t>جهة أخرى، ولا سيما فيما يتصل بتحديد مصدر الخطأ، وإثبات العلاقة السببية، وإسناد المسؤولية عند وقوع الضرر. ومن ثم، فإن فهم هذه الخصائص لا يعد مسألة تقنية بحتة، بل يمثل خطوة لازمة لبناء تصور قانوني دقيق للمسؤولية المدنية الناشئة عن استخدام أنظمة الذكاء الاصطناعي</w:t>
      </w:r>
    </w:p>
    <w:p w14:paraId="66AFF004" w14:textId="78EB9E3E" w:rsidR="007D0833" w:rsidRPr="007D0833" w:rsidRDefault="007D0833" w:rsidP="00B84097">
      <w:pPr>
        <w:bidi/>
        <w:spacing w:line="360" w:lineRule="auto"/>
        <w:rPr>
          <w:rFonts w:ascii="Sakkal Majalla" w:hAnsi="Sakkal Majalla" w:cs="Sakkal Majalla"/>
          <w:b/>
          <w:bCs/>
          <w:sz w:val="32"/>
          <w:szCs w:val="32"/>
          <w:lang w:bidi="ar-EG"/>
        </w:rPr>
      </w:pPr>
      <w:r w:rsidRPr="007D0833">
        <w:rPr>
          <w:rFonts w:ascii="Sakkal Majalla" w:hAnsi="Sakkal Majalla" w:cs="Sakkal Majalla"/>
          <w:b/>
          <w:bCs/>
          <w:sz w:val="32"/>
          <w:szCs w:val="32"/>
          <w:rtl/>
          <w:lang w:bidi="ar-EG"/>
        </w:rPr>
        <w:t>المطلب الثاني: تصنيف الذكاء الاصطناعي وتطبيقاته</w:t>
      </w:r>
      <w:r w:rsidR="00B84097">
        <w:rPr>
          <w:rFonts w:ascii="Sakkal Majalla" w:hAnsi="Sakkal Majalla" w:cs="Sakkal Majalla" w:hint="cs"/>
          <w:b/>
          <w:bCs/>
          <w:sz w:val="32"/>
          <w:szCs w:val="32"/>
          <w:rtl/>
          <w:lang w:bidi="ar-EG"/>
        </w:rPr>
        <w:t xml:space="preserve"> : </w:t>
      </w:r>
    </w:p>
    <w:p w14:paraId="35F01266" w14:textId="53E33832" w:rsidR="007F21F7" w:rsidRPr="00011CFC"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لا يكتمل التأصيل المفاهيمي للذكاء الاصطناعي بمجرد تعريفه وبيان خصائصه التقنية، بل يقتضي الأمر أيضًا الوقوف على تصنيفاته المختلفة وأبرز تطبيقاته العملية؛ لأن تنوع أنواعه واتساع مجالات استخدامه ينعكسان بصورة مباشرة على طبيعة الآثار القانونية المترتبة عليه فالذكاء الاصطناعي ليس نمطًا واحدًا من الأنظمة، وإنما يضم صورًا متعددة تتفاوت في مستوى التعقيد، ودرجة الاستقلال، وطبيعة المهام التي تؤديها، وهو ما يجعل تصنيفه أمرًا ضروريًا لفهم نطاق عمله وحدود تأثيره داخل البيئة الرقمية</w:t>
      </w:r>
      <w:r w:rsidR="00011CFC">
        <w:rPr>
          <w:rStyle w:val="FootnoteReference"/>
          <w:rFonts w:ascii="Sakkal Majalla" w:hAnsi="Sakkal Majalla" w:cs="Sakkal Majalla"/>
          <w:sz w:val="32"/>
          <w:szCs w:val="32"/>
          <w:rtl/>
          <w:lang w:bidi="ar-EG"/>
        </w:rPr>
        <w:footnoteReference w:id="25"/>
      </w:r>
      <w:r w:rsidRPr="007F21F7">
        <w:rPr>
          <w:rFonts w:ascii="Sakkal Majalla" w:hAnsi="Sakkal Majalla" w:cs="Sakkal Majalla"/>
          <w:sz w:val="32"/>
          <w:szCs w:val="32"/>
          <w:rtl/>
          <w:lang w:bidi="ar-EG"/>
        </w:rPr>
        <w:t>.</w:t>
      </w:r>
    </w:p>
    <w:p w14:paraId="261EE029" w14:textId="004A7990"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وتزداد أهمية هذا التصنيف في الدراسات القانونية بالنظر إلى أن نوع النظام المستخدم قد يؤثر في تحديد درجة الخطورة المحتملة، ومدى تدخل العنصر البشري في تشغيله، وحدود المسؤولية التي يمكن أن تثار بشأن الأضرار الناجمة عنه كما أن استعراض تطبيقات الذكاء الاصطناعي في القطاعات المختلفة يكشف عن حضوره العملي المتزايد في الحياة المعاصرة، ويبين كيف أصبحت هذه التقنية جزءًا من البنية التشغيلية في مجالات الأمن، والمال، والتجارة، والخدمات الحكومية</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 xml:space="preserve">ومن ثم، فإن تصنيف الذكاء الاصطناعي لا يعد مجرد تقسيم فني للأنظمة الذكية، بل يمثل </w:t>
      </w:r>
      <w:r w:rsidRPr="007F21F7">
        <w:rPr>
          <w:rFonts w:ascii="Sakkal Majalla" w:hAnsi="Sakkal Majalla" w:cs="Sakkal Majalla"/>
          <w:sz w:val="32"/>
          <w:szCs w:val="32"/>
          <w:rtl/>
          <w:lang w:bidi="ar-EG"/>
        </w:rPr>
        <w:lastRenderedPageBreak/>
        <w:t>وسيلة لفهم التفاوت في آثارها القانونية، ومدى ما تثيره من إشكالات تتصل بالخطأ والضرر والعلاقة السببية وإسناد المسؤولية</w:t>
      </w:r>
      <w:r w:rsidR="00011CFC">
        <w:rPr>
          <w:rStyle w:val="FootnoteReference"/>
          <w:rFonts w:ascii="Sakkal Majalla" w:hAnsi="Sakkal Majalla" w:cs="Sakkal Majalla"/>
          <w:sz w:val="32"/>
          <w:szCs w:val="32"/>
          <w:rtl/>
          <w:lang w:bidi="ar-EG"/>
        </w:rPr>
        <w:footnoteReference w:id="26"/>
      </w:r>
      <w:r w:rsidRPr="007F21F7">
        <w:rPr>
          <w:rFonts w:ascii="Sakkal Majalla" w:hAnsi="Sakkal Majalla" w:cs="Sakkal Majalla"/>
          <w:sz w:val="32"/>
          <w:szCs w:val="32"/>
          <w:rtl/>
          <w:lang w:bidi="ar-EG"/>
        </w:rPr>
        <w:t>.</w:t>
      </w:r>
    </w:p>
    <w:p w14:paraId="16FD620C" w14:textId="24BAFC91"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وانطلاقًا من ذلك، يتناول هذا المطلب في الفرع الأول أنواع الذكاء الاصطناعي، من خلال بيان أبرز تصنيفاته بحسب مستوى القدرات والاستقلال، ثم يعرض في الفرع الثاني أهم تطبيقاته العملية في بعض القطاعات الحيوية، مع الإشارة إلى واقع استخدامه في المملكة العربية السعودية.</w:t>
      </w:r>
    </w:p>
    <w:p w14:paraId="55C193F1" w14:textId="1B0054E5" w:rsidR="007F21F7" w:rsidRPr="00011CFC" w:rsidRDefault="007F21F7" w:rsidP="00011CFC">
      <w:pPr>
        <w:pStyle w:val="ListParagraph"/>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الفرع الأول: أنواع الذكاء الاصطناعي</w:t>
      </w:r>
      <w:r w:rsidR="00011CFC" w:rsidRPr="00011CFC">
        <w:rPr>
          <w:rFonts w:ascii="Sakkal Majalla" w:hAnsi="Sakkal Majalla" w:cs="Sakkal Majalla" w:hint="cs"/>
          <w:b/>
          <w:bCs/>
          <w:sz w:val="32"/>
          <w:szCs w:val="32"/>
          <w:rtl/>
          <w:lang w:bidi="ar-EG"/>
        </w:rPr>
        <w:t xml:space="preserve"> :</w:t>
      </w:r>
    </w:p>
    <w:p w14:paraId="301245F6" w14:textId="58593B29"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يمكن تصنيف الذكاء الاصطناعي إلى عدة أنواع بحسب مستوى قدراته وطبيعة المهام التي يؤديها، ويعد هذا التصنيف مهمًا لفهم مدى تطور الأنظمة الذكية، وحدود استقلالها، وما قد يترتب عليها من آثار قانونية. فاختلاف نوع النظام لا يقتصر أثره على الجانب التقني فحسب، بل يمتد إلى تحديد طبيعة المخاطر التي قد تنشأ عنه، ومدى إمكان توقعها، وحدود السيطرة البشرية عليها. ومن أبرز هذه الأنواع ما يأتي</w:t>
      </w:r>
      <w:r w:rsidR="00011CFC">
        <w:rPr>
          <w:rStyle w:val="FootnoteReference"/>
          <w:rFonts w:ascii="Sakkal Majalla" w:hAnsi="Sakkal Majalla" w:cs="Sakkal Majalla"/>
          <w:sz w:val="32"/>
          <w:szCs w:val="32"/>
          <w:rtl/>
          <w:lang w:bidi="ar-EG"/>
        </w:rPr>
        <w:footnoteReference w:id="27"/>
      </w:r>
      <w:r w:rsidRPr="007F21F7">
        <w:rPr>
          <w:rFonts w:ascii="Sakkal Majalla" w:hAnsi="Sakkal Majalla" w:cs="Sakkal Majalla"/>
          <w:sz w:val="32"/>
          <w:szCs w:val="32"/>
          <w:rtl/>
          <w:lang w:bidi="ar-EG"/>
        </w:rPr>
        <w:t>:</w:t>
      </w:r>
    </w:p>
    <w:p w14:paraId="12277B7C" w14:textId="6F70DB80" w:rsidR="007F21F7" w:rsidRPr="00011CFC" w:rsidRDefault="007F21F7" w:rsidP="00011CFC">
      <w:p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أولًا: الذكاء الاصطناعي الضيق</w:t>
      </w:r>
      <w:r w:rsidR="00011CFC">
        <w:rPr>
          <w:rFonts w:ascii="Sakkal Majalla" w:hAnsi="Sakkal Majalla" w:cs="Sakkal Majalla" w:hint="cs"/>
          <w:b/>
          <w:bCs/>
          <w:sz w:val="32"/>
          <w:szCs w:val="32"/>
          <w:rtl/>
          <w:lang w:bidi="ar-EG"/>
        </w:rPr>
        <w:t xml:space="preserve"> :</w:t>
      </w:r>
    </w:p>
    <w:p w14:paraId="3C8C1234" w14:textId="77777777" w:rsidR="005632CE" w:rsidRDefault="007F21F7" w:rsidP="005632CE">
      <w:pPr>
        <w:bidi/>
        <w:spacing w:line="360" w:lineRule="auto"/>
        <w:jc w:val="mediumKashida"/>
        <w:rPr>
          <w:rFonts w:ascii="Sakkal Majalla" w:hAnsi="Sakkal Majalla" w:cs="Sakkal Majalla"/>
          <w:sz w:val="32"/>
          <w:szCs w:val="32"/>
          <w:rtl/>
          <w:lang w:bidi="ar-EG"/>
        </w:rPr>
      </w:pPr>
      <w:r w:rsidRPr="007F21F7">
        <w:rPr>
          <w:rFonts w:ascii="Sakkal Majalla" w:hAnsi="Sakkal Majalla" w:cs="Sakkal Majalla"/>
          <w:sz w:val="32"/>
          <w:szCs w:val="32"/>
          <w:rtl/>
          <w:lang w:bidi="ar-EG"/>
        </w:rPr>
        <w:t>يقصد بالذكاء الاصطناعي الضيق ذلك النوع من الأنظمة المصمم لأداء مهمة محددة أو مجموعة محدودة من المهام ضمن نطاق معين، دون أن يمتلك قدرة عامة على الفهم أو الانتقال الحر بين المجالات المختلفة</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 xml:space="preserve">ويعد هذا النوع الأكثر انتشارًا في الواقع العملي، إذ تعتمد عليه تطبيقات </w:t>
      </w:r>
      <w:r w:rsidRPr="007F21F7">
        <w:rPr>
          <w:rFonts w:ascii="Sakkal Majalla" w:hAnsi="Sakkal Majalla" w:cs="Sakkal Majalla"/>
          <w:sz w:val="32"/>
          <w:szCs w:val="32"/>
          <w:rtl/>
          <w:lang w:bidi="ar-EG"/>
        </w:rPr>
        <w:lastRenderedPageBreak/>
        <w:t>متعددة مثل أنظمة التوصية، والمساعدات الذكية، وبرامج التعرف على الصور، وكشف الاحتيال، وتحليل النصوص والبيانات</w:t>
      </w:r>
      <w:r w:rsidR="00011CFC">
        <w:rPr>
          <w:rStyle w:val="FootnoteReference"/>
          <w:rFonts w:ascii="Sakkal Majalla" w:hAnsi="Sakkal Majalla" w:cs="Sakkal Majalla"/>
          <w:sz w:val="32"/>
          <w:szCs w:val="32"/>
          <w:rtl/>
          <w:lang w:bidi="ar-EG"/>
        </w:rPr>
        <w:footnoteReference w:id="28"/>
      </w:r>
      <w:r w:rsidRPr="007F21F7">
        <w:rPr>
          <w:rFonts w:ascii="Sakkal Majalla" w:hAnsi="Sakkal Majalla" w:cs="Sakkal Majalla"/>
          <w:sz w:val="32"/>
          <w:szCs w:val="32"/>
          <w:rtl/>
          <w:lang w:bidi="ar-EG"/>
        </w:rPr>
        <w:t>.</w:t>
      </w:r>
    </w:p>
    <w:p w14:paraId="37AAC60C" w14:textId="76F1FD37" w:rsidR="007F21F7" w:rsidRPr="00011CFC" w:rsidRDefault="007F21F7" w:rsidP="005632CE">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ويتميز الذكاء الاصطناعي الضيق بأنه يعمل بكفاءة عالية داخل المجال الذي صمم من أجله، غير أنه يظل مقيدًا بوظيفته المحددة، فلا يستطيع تجاوزها إلى أداء مهام أخرى على نحو مستقل. ومن الناحية القانونية، فإن هذا النوع هو الأقرب إلى التطبيقات الحالية التي قد يثور بشأنها النزاع، لأنه الأكثر استخدامًا في المعاملات الرقمية والخدمات الإلكترونية، وهو ما يجعله حاضرًا بوضوح في مسائل المسؤولية المدنية الناشئة عن أخطائه أو عن إساءة استخدامه. كما أن محدودية وظيفته لا تعني بالضرورة محدودية أثره، إذ قد تترتب على خطئه نتائج جسيمة متى ارتبط بقرارات تمس حقوق الأفراد أو مصالحهم المالية أو المهنية أو الصحية</w:t>
      </w:r>
      <w:r w:rsidR="00011CFC">
        <w:rPr>
          <w:rStyle w:val="FootnoteReference"/>
          <w:rFonts w:ascii="Sakkal Majalla" w:hAnsi="Sakkal Majalla" w:cs="Sakkal Majalla"/>
          <w:sz w:val="32"/>
          <w:szCs w:val="32"/>
          <w:rtl/>
          <w:lang w:bidi="ar-EG"/>
        </w:rPr>
        <w:footnoteReference w:id="29"/>
      </w:r>
      <w:r w:rsidRPr="007F21F7">
        <w:rPr>
          <w:rFonts w:ascii="Sakkal Majalla" w:hAnsi="Sakkal Majalla" w:cs="Sakkal Majalla"/>
          <w:sz w:val="32"/>
          <w:szCs w:val="32"/>
          <w:rtl/>
          <w:lang w:bidi="ar-EG"/>
        </w:rPr>
        <w:t>.</w:t>
      </w:r>
    </w:p>
    <w:p w14:paraId="2FAD198F" w14:textId="77777777" w:rsidR="005632CE" w:rsidRDefault="007F21F7" w:rsidP="005632CE">
      <w:pPr>
        <w:pStyle w:val="ListParagraph"/>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ثانيًا: الذكاء الاصطناعي العام</w:t>
      </w:r>
      <w:r w:rsidR="00011CFC">
        <w:rPr>
          <w:rFonts w:ascii="Sakkal Majalla" w:hAnsi="Sakkal Majalla" w:cs="Sakkal Majalla" w:hint="cs"/>
          <w:b/>
          <w:bCs/>
          <w:sz w:val="32"/>
          <w:szCs w:val="32"/>
          <w:rtl/>
          <w:lang w:bidi="ar-EG"/>
        </w:rPr>
        <w:t xml:space="preserve"> :</w:t>
      </w:r>
    </w:p>
    <w:p w14:paraId="6E968079" w14:textId="413F2CF9" w:rsidR="00011CFC" w:rsidRPr="005632CE" w:rsidRDefault="007F21F7" w:rsidP="005632CE">
      <w:pPr>
        <w:bidi/>
        <w:spacing w:line="360" w:lineRule="auto"/>
        <w:jc w:val="mediumKashida"/>
        <w:rPr>
          <w:rFonts w:ascii="Sakkal Majalla" w:hAnsi="Sakkal Majalla" w:cs="Sakkal Majalla"/>
          <w:b/>
          <w:bCs/>
          <w:sz w:val="32"/>
          <w:szCs w:val="32"/>
          <w:rtl/>
          <w:lang w:bidi="ar-EG"/>
        </w:rPr>
      </w:pPr>
      <w:r w:rsidRPr="005632CE">
        <w:rPr>
          <w:rFonts w:ascii="Sakkal Majalla" w:hAnsi="Sakkal Majalla" w:cs="Sakkal Majalla"/>
          <w:sz w:val="32"/>
          <w:szCs w:val="32"/>
          <w:rtl/>
          <w:lang w:bidi="ar-EG"/>
        </w:rPr>
        <w:t>يقصد بالذكاء الاصطناعي العام ذلك المستوى الافتراضي أو المتقدم من الذكاء الاصطناعي الذي يفترض قدرته على أداء طيف واسع من المهام الذهنية بصورة تماثل أو تقارب القدرات البشرية العامة، بحيث لا يقتصر على وظيفة واحدة، بل يستطيع الفهم، والتحليل، والتعلم، والتكيف، وحل المشكلات في مجالات متعددة</w:t>
      </w:r>
      <w:r w:rsidR="00011CFC" w:rsidRPr="005632CE">
        <w:rPr>
          <w:rFonts w:ascii="Sakkal Majalla" w:hAnsi="Sakkal Majalla" w:cs="Sakkal Majalla" w:hint="cs"/>
          <w:sz w:val="32"/>
          <w:szCs w:val="32"/>
          <w:rtl/>
          <w:lang w:bidi="ar-EG"/>
        </w:rPr>
        <w:t xml:space="preserve"> </w:t>
      </w:r>
      <w:r w:rsidRPr="005632CE">
        <w:rPr>
          <w:rFonts w:ascii="Sakkal Majalla" w:hAnsi="Sakkal Majalla" w:cs="Sakkal Majalla"/>
          <w:sz w:val="32"/>
          <w:szCs w:val="32"/>
          <w:rtl/>
          <w:lang w:bidi="ar-EG"/>
        </w:rPr>
        <w:t xml:space="preserve">ويختلف هذا النوع عن الذكاء الاصطناعي الضيق في أنه لا </w:t>
      </w:r>
      <w:r w:rsidRPr="005632CE">
        <w:rPr>
          <w:rFonts w:ascii="Sakkal Majalla" w:hAnsi="Sakkal Majalla" w:cs="Sakkal Majalla"/>
          <w:sz w:val="32"/>
          <w:szCs w:val="32"/>
          <w:rtl/>
          <w:lang w:bidi="ar-EG"/>
        </w:rPr>
        <w:lastRenderedPageBreak/>
        <w:t>يكون مقصورًا على نشاط محدد، بل يفترض فيه امتلاك مرونة معرفية أوسع تمكنه من الانتقال بين المهام والبيئات المختلفة</w:t>
      </w:r>
      <w:r w:rsidR="00011CFC">
        <w:rPr>
          <w:rStyle w:val="FootnoteReference"/>
          <w:rFonts w:ascii="Sakkal Majalla" w:hAnsi="Sakkal Majalla" w:cs="Sakkal Majalla"/>
          <w:sz w:val="32"/>
          <w:szCs w:val="32"/>
          <w:rtl/>
          <w:lang w:bidi="ar-EG"/>
        </w:rPr>
        <w:footnoteReference w:id="30"/>
      </w:r>
      <w:r w:rsidRPr="005632CE">
        <w:rPr>
          <w:rFonts w:ascii="Sakkal Majalla" w:hAnsi="Sakkal Majalla" w:cs="Sakkal Majalla"/>
          <w:sz w:val="32"/>
          <w:szCs w:val="32"/>
          <w:rtl/>
          <w:lang w:bidi="ar-EG"/>
        </w:rPr>
        <w:t>.</w:t>
      </w:r>
    </w:p>
    <w:p w14:paraId="06A17925" w14:textId="5FE71BA0"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ومع أن هذا النوع لا يزال في نطاق التصورات العلمية والتطويرات المستقبلية أكثر من كونه واقعًا تطبيقيًا مكتملًا، فإن أهميته في الدراسات القانونية تكمن في أنه يثير تساؤلات أعمق بشأن حدود الاستقلال، ومدى إمكان إسناد الأفعال والنتائج إليه، وطبيعة المسؤولية التي يمكن أن تنشأ عن قراراته إذا بلغ درجة عالية من التعقيد والاعتماد الذاتي</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كما أن افتراض وجود نظام يتمتع بقدرات معرفية عامة يوسع من نطاق الإشكاليات القانونية، ولا سيما فيما يتعلق بمدى كفاية القواعد التقليدية للمسؤولية المدنية لمواجهة الأضرار التي قد تنشأ عن أنظمة تتسم باتساع الوظائف وتعدد مجالات العمل</w:t>
      </w:r>
      <w:r w:rsidR="007C2A11">
        <w:rPr>
          <w:rStyle w:val="FootnoteReference"/>
          <w:rFonts w:ascii="Sakkal Majalla" w:hAnsi="Sakkal Majalla" w:cs="Sakkal Majalla"/>
          <w:sz w:val="32"/>
          <w:szCs w:val="32"/>
          <w:rtl/>
          <w:lang w:bidi="ar-EG"/>
        </w:rPr>
        <w:footnoteReference w:id="31"/>
      </w:r>
      <w:r w:rsidRPr="007F21F7">
        <w:rPr>
          <w:rFonts w:ascii="Sakkal Majalla" w:hAnsi="Sakkal Majalla" w:cs="Sakkal Majalla"/>
          <w:sz w:val="32"/>
          <w:szCs w:val="32"/>
          <w:rtl/>
          <w:lang w:bidi="ar-EG"/>
        </w:rPr>
        <w:t>.</w:t>
      </w:r>
    </w:p>
    <w:p w14:paraId="59E7BB9C" w14:textId="4DE4827D" w:rsidR="007F21F7" w:rsidRPr="00011CFC" w:rsidRDefault="007F21F7" w:rsidP="00011CFC">
      <w:pPr>
        <w:pStyle w:val="ListParagraph"/>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ثالثًا: الأنظمة الذاتية</w:t>
      </w:r>
      <w:r w:rsidR="00011CFC">
        <w:rPr>
          <w:rFonts w:ascii="Sakkal Majalla" w:hAnsi="Sakkal Majalla" w:cs="Sakkal Majalla" w:hint="cs"/>
          <w:b/>
          <w:bCs/>
          <w:sz w:val="32"/>
          <w:szCs w:val="32"/>
          <w:rtl/>
          <w:lang w:bidi="ar-EG"/>
        </w:rPr>
        <w:t xml:space="preserve"> :</w:t>
      </w:r>
    </w:p>
    <w:p w14:paraId="08FD573B" w14:textId="7F8BD6CC"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تمثل الأنظمة الذاتية صورة متقدمة من تطبيقات الذكاء الاصطناعي، وتقوم على قدرة النظام على العمل أو اتخاذ القرار أو تنفيذ الأفعال بدرجة من الاستقلال عن التدخل البشري المباشر، وذلك في ضوء أهداف أو معايير مبرمجة مسبقًا</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ويظهر هذا النوع في المركبات ذاتية القيادة، والأنظمة الروبوتية، وبعض التطبيقات الأمنية أو الصناعية أو اللوجستية التي تتفاعل مع البيئة المحيطة وتعدل سلوكها وفقًا للمعطيات التي تستقبلها</w:t>
      </w:r>
      <w:r w:rsidR="00011CFC">
        <w:rPr>
          <w:rStyle w:val="FootnoteReference"/>
          <w:rFonts w:ascii="Sakkal Majalla" w:hAnsi="Sakkal Majalla" w:cs="Sakkal Majalla"/>
          <w:sz w:val="32"/>
          <w:szCs w:val="32"/>
          <w:rtl/>
          <w:lang w:bidi="ar-EG"/>
        </w:rPr>
        <w:footnoteReference w:id="32"/>
      </w:r>
      <w:r w:rsidRPr="007F21F7">
        <w:rPr>
          <w:rFonts w:ascii="Sakkal Majalla" w:hAnsi="Sakkal Majalla" w:cs="Sakkal Majalla"/>
          <w:sz w:val="32"/>
          <w:szCs w:val="32"/>
          <w:rtl/>
          <w:lang w:bidi="ar-EG"/>
        </w:rPr>
        <w:t>.</w:t>
      </w:r>
    </w:p>
    <w:p w14:paraId="2660E4C8" w14:textId="6D4FF495" w:rsidR="007F21F7" w:rsidRPr="007F21F7" w:rsidRDefault="007F21F7" w:rsidP="00876D0D">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lastRenderedPageBreak/>
        <w:t>وتكمن أهمية الأنظمة الذاتية في أنها تنقل الذكاء الاصطناعي من مجرد دعم القرار إلى مستوى التنفيذ المباشر للفعل أو الإجراء، وهو ما يمنحها أثرًا قانونيًا أوضح عند وقوع الضرر فكلما زادت درجة الاستقلال في عمل النظام، تعقدت مسألة تحديد الشخص المسؤول عن نتائج أفعاله، وازداد الاحتياج إلى تحليل دقيق للعلاقة بين المصمم، والمشغل، والمستخدم، ومدى مساهمة كل منهم في النتيجة الضارة كما أن هذا النوع من الأنظمة يثير إشكاليات أكثر تعقيدًا من غيره فيما يتعلق بإثبات الخطأ وتحديد السبب المباشر للضرر، خاصة عندما يصدر الفعل الضار نتيجة تفاعل النظام مع معطيات متغيرة في البيئة المحيطة دون تدخل بشري لحظي</w:t>
      </w:r>
      <w:r w:rsidR="007C2A11">
        <w:rPr>
          <w:rStyle w:val="FootnoteReference"/>
          <w:rFonts w:ascii="Sakkal Majalla" w:hAnsi="Sakkal Majalla" w:cs="Sakkal Majalla"/>
          <w:sz w:val="32"/>
          <w:szCs w:val="32"/>
          <w:rtl/>
          <w:lang w:bidi="ar-EG"/>
        </w:rPr>
        <w:footnoteReference w:id="33"/>
      </w:r>
      <w:r w:rsidRPr="007F21F7">
        <w:rPr>
          <w:rFonts w:ascii="Sakkal Majalla" w:hAnsi="Sakkal Majalla" w:cs="Sakkal Majalla"/>
          <w:sz w:val="32"/>
          <w:szCs w:val="32"/>
          <w:rtl/>
          <w:lang w:bidi="ar-EG"/>
        </w:rPr>
        <w:t>.</w:t>
      </w:r>
    </w:p>
    <w:p w14:paraId="424A8806" w14:textId="2F66EAB2" w:rsidR="007F21F7" w:rsidRDefault="007F21F7" w:rsidP="007F21F7">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ويتضح من ذلك أن أنواع الذكاء الاصطناعي تختلف من حيث مستوى القدرات والمرونة والاستقلال، وأن هذا الاختلاف لا يحمل أهمية تقنية فحسب، بل تترتب عليه آثار قانونية عملية، خاصة في مجال المسؤولية المدنية؛ إذ إن نوع النظام المستخدم ينعكس على طبيعة الخطأ، ومدى إمكان التوقع، وكيفية إسناد الضرر عند وقوعه. ومن ثم، فإن التمييز بين الذكاء الاصطناعي الضيق، والذكاء الاصطناعي العام، والأنظمة الذاتية، يسهم في بناء تصور أكثر دقة لطبيعة المخاطر القانونية المرتبطة بكل نوع، ويمهد لفهم أوضح للتطبيقات العملية التي يظهر فيها الذكاء الاصطناعي وآثارها النظامية</w:t>
      </w:r>
      <w:r w:rsidR="00876D0D">
        <w:rPr>
          <w:rStyle w:val="FootnoteReference"/>
          <w:rFonts w:ascii="Sakkal Majalla" w:hAnsi="Sakkal Majalla" w:cs="Sakkal Majalla"/>
          <w:sz w:val="32"/>
          <w:szCs w:val="32"/>
          <w:rtl/>
          <w:lang w:bidi="ar-EG"/>
        </w:rPr>
        <w:footnoteReference w:id="34"/>
      </w:r>
    </w:p>
    <w:p w14:paraId="04DBB22A" w14:textId="52E1FA42" w:rsidR="007D0833" w:rsidRDefault="007D0833" w:rsidP="007F21F7">
      <w:pPr>
        <w:bidi/>
        <w:spacing w:line="360" w:lineRule="auto"/>
        <w:jc w:val="mediumKashida"/>
        <w:rPr>
          <w:rFonts w:ascii="Sakkal Majalla" w:hAnsi="Sakkal Majalla" w:cs="Sakkal Majalla"/>
          <w:b/>
          <w:bCs/>
          <w:sz w:val="32"/>
          <w:szCs w:val="32"/>
          <w:rtl/>
          <w:lang w:bidi="ar-EG"/>
        </w:rPr>
      </w:pPr>
      <w:r w:rsidRPr="00ED5103">
        <w:rPr>
          <w:rFonts w:ascii="Sakkal Majalla" w:hAnsi="Sakkal Majalla" w:cs="Sakkal Majalla"/>
          <w:b/>
          <w:bCs/>
          <w:sz w:val="32"/>
          <w:szCs w:val="32"/>
          <w:rtl/>
          <w:lang w:bidi="ar-EG"/>
        </w:rPr>
        <w:t>الفرع الثاني: تطبيقات الذكاء الاصطناعي</w:t>
      </w:r>
      <w:r w:rsidR="00ED5103">
        <w:rPr>
          <w:rFonts w:ascii="Sakkal Majalla" w:hAnsi="Sakkal Majalla" w:cs="Sakkal Majalla" w:hint="cs"/>
          <w:b/>
          <w:bCs/>
          <w:sz w:val="32"/>
          <w:szCs w:val="32"/>
          <w:rtl/>
          <w:lang w:bidi="ar-EG"/>
        </w:rPr>
        <w:t xml:space="preserve"> :</w:t>
      </w:r>
    </w:p>
    <w:p w14:paraId="50F7E63D" w14:textId="0F610F91"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lastRenderedPageBreak/>
        <w:t>أدى التطور التقني المتسارع إلى توسيع نطاق تطبيقات الذكاء الاصطناعي في قطاعات متعددة، حتى أصبح عنصرًا فاعلًا في تشغيل الخدمات، وتحليل البيانات، ودعم القرارات في المجالات العامة والخاصة. وتبرز أهمية دراسة هذه التطبيقات في أنها تكشف عن البيئة العملية التي يعمل فيها الذكاء الاصطناعي، والتي قد تنشأ في نطاقها الأضرار أو الأفعال غير المشروعة محل البحث. كما أن اتساع مجالات استخدامه يبين أن الإشكالات القانونية المرتبطة به لم تعد تقتصر على نطاق تقني ضيق، بل أصبحت تتصل بقطاعات حيوية تمس الأمن، والمال، والتجارة، والخدمات الحكومية، وهو ما يمنح دراسة المسؤولية المدنية الناشئة عن استخدامه بعدًا عمليًا واضحًا</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وقد أكدت الأدبيات التنظيمية الحديثة وأطر تبني الذكاء الاصطناعي أن هذه التقنيات أصبحت توظف عبر قطاعات متعددة، مع تفاوت في مستوى المخاطر والآثار القانونية المرتبطة بكل قطاع</w:t>
      </w:r>
      <w:r w:rsidR="00A32D35">
        <w:rPr>
          <w:rStyle w:val="FootnoteReference"/>
          <w:rFonts w:ascii="Sakkal Majalla" w:hAnsi="Sakkal Majalla" w:cs="Sakkal Majalla"/>
          <w:sz w:val="32"/>
          <w:szCs w:val="32"/>
          <w:rtl/>
          <w:lang w:bidi="ar-EG"/>
        </w:rPr>
        <w:footnoteReference w:id="35"/>
      </w:r>
      <w:r w:rsidRPr="00B62589">
        <w:rPr>
          <w:rFonts w:ascii="Sakkal Majalla" w:hAnsi="Sakkal Majalla" w:cs="Sakkal Majalla"/>
          <w:sz w:val="32"/>
          <w:szCs w:val="32"/>
          <w:rtl/>
          <w:lang w:bidi="ar-EG"/>
        </w:rPr>
        <w:t>.</w:t>
      </w:r>
    </w:p>
    <w:p w14:paraId="69A2517A" w14:textId="6E2DE28F"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أولًا: تطبيقات الذكاء الاصطناعي في القطاع الأمني</w:t>
      </w:r>
      <w:r w:rsidR="00A32D35">
        <w:rPr>
          <w:rFonts w:ascii="Sakkal Majalla" w:hAnsi="Sakkal Majalla" w:cs="Sakkal Majalla" w:hint="cs"/>
          <w:b/>
          <w:bCs/>
          <w:sz w:val="32"/>
          <w:szCs w:val="32"/>
          <w:rtl/>
          <w:lang w:bidi="ar-EG"/>
        </w:rPr>
        <w:t xml:space="preserve"> :</w:t>
      </w:r>
    </w:p>
    <w:p w14:paraId="4CF443CE" w14:textId="7C603019" w:rsidR="00B62589" w:rsidRPr="00A32D35"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أصبح الذكاء الاصطناعي أداة مهمة في دعم القطاع الأمني، من خلال تحليل البيانات الضخمة، ورصد الأنماط غير المعتادة، والكشف المبكر عن التهديدات الرقمية، ومراقبة حركة الشبكات والأنظمة المعلوماتية. كما تستخدم بعض الأنظمة الذكية في التعرف على السلوكيات المشبوهة، وتحليل الأدلة الرقمية، وتدعيم جهود الأمن السيبراني في مواجهة الهجمات الإلكترونية ومحاولات الاختراق والاحتيال وتزداد أهمية هذه التطبيقات في ظل تنامي الاعتماد على البيئات الرقمية واتساع نطاق المخاطر السيبرانية</w:t>
      </w:r>
      <w:r w:rsidR="00A32D35">
        <w:rPr>
          <w:rStyle w:val="FootnoteReference"/>
          <w:rFonts w:ascii="Sakkal Majalla" w:hAnsi="Sakkal Majalla" w:cs="Sakkal Majalla"/>
          <w:sz w:val="32"/>
          <w:szCs w:val="32"/>
          <w:rtl/>
          <w:lang w:bidi="ar-EG"/>
        </w:rPr>
        <w:footnoteReference w:id="36"/>
      </w:r>
      <w:r w:rsidRPr="00B62589">
        <w:rPr>
          <w:rFonts w:ascii="Sakkal Majalla" w:hAnsi="Sakkal Majalla" w:cs="Sakkal Majalla"/>
          <w:sz w:val="32"/>
          <w:szCs w:val="32"/>
          <w:rtl/>
          <w:lang w:bidi="ar-EG"/>
        </w:rPr>
        <w:t xml:space="preserve">، الأمر الذي جعل الاستفادة من أدوات التحليل الذكي جزءًا </w:t>
      </w:r>
      <w:r w:rsidRPr="00B62589">
        <w:rPr>
          <w:rFonts w:ascii="Sakkal Majalla" w:hAnsi="Sakkal Majalla" w:cs="Sakkal Majalla"/>
          <w:sz w:val="32"/>
          <w:szCs w:val="32"/>
          <w:rtl/>
          <w:lang w:bidi="ar-EG"/>
        </w:rPr>
        <w:lastRenderedPageBreak/>
        <w:t>من متطلبات الحماية والاستباق الأمني في العديد من المؤسسات والقطاعات. وتؤكد المصادر الرسمية في المملكة هذا الاتجاه، إذ تبين أن الهيئة الوطنية للأمن السيبراني هي المرجع الوطني في شؤون الأمن السيبراني، وأن من خدماتها ما يتعلق بالتحقيق في التهديدات وجمع المؤشرات وتحليلها ومشاركتها لتمكين الدفاع الاستباقي ضد الهجمات السيبرانية</w:t>
      </w:r>
      <w:r w:rsidR="00A32D35">
        <w:rPr>
          <w:rStyle w:val="FootnoteReference"/>
          <w:rFonts w:ascii="Sakkal Majalla" w:hAnsi="Sakkal Majalla" w:cs="Sakkal Majalla"/>
          <w:sz w:val="32"/>
          <w:szCs w:val="32"/>
          <w:rtl/>
          <w:lang w:bidi="ar-EG"/>
        </w:rPr>
        <w:footnoteReference w:id="37"/>
      </w:r>
      <w:r w:rsidRPr="00B62589">
        <w:rPr>
          <w:rFonts w:ascii="Sakkal Majalla" w:hAnsi="Sakkal Majalla" w:cs="Sakkal Majalla"/>
          <w:sz w:val="32"/>
          <w:szCs w:val="32"/>
          <w:rtl/>
          <w:lang w:bidi="ar-EG"/>
        </w:rPr>
        <w:t>.</w:t>
      </w:r>
    </w:p>
    <w:p w14:paraId="336A8A9C" w14:textId="57E63243"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وتكتسب هذه التطبيقات أهمية خاصة في نطاق الجرائم الإلكترونية، لأنها تسهم في الوقاية والكشف والتتبع، غير أنها في الوقت ذاته قد تثير إشكالات قانونية تتعلق بالخصوصية، وحدود المراقبة الرقمية، ومشروعية معالجة البيانات، ومدى التناسب بين متطلبات الأمن وحماية الحقوق والحريات. ومن ثم، فإن توظيف الذكاء الاصطناعي في المجال الأمني لا يثير فقط مسألة الكفاءة التقنية، بل يقتضي أيضًا إطارًا تنظيميًا يضمن سلامة استخدامه ويمنع الانحراف به أو التوسع غير المشروع في آثاره على الأفراد. ويعزز هذا التوجه ما تصدره الجهات المختصة في المملكة من ضوابط ووثائق تنظيمية ومعايير للأمن السيبراني والامتثال</w:t>
      </w:r>
      <w:r w:rsidR="00A32D35">
        <w:rPr>
          <w:rStyle w:val="FootnoteReference"/>
          <w:rFonts w:ascii="Sakkal Majalla" w:hAnsi="Sakkal Majalla" w:cs="Sakkal Majalla"/>
          <w:sz w:val="32"/>
          <w:szCs w:val="32"/>
          <w:rtl/>
          <w:lang w:bidi="ar-EG"/>
        </w:rPr>
        <w:footnoteReference w:id="38"/>
      </w:r>
      <w:r w:rsidRPr="00B62589">
        <w:rPr>
          <w:rFonts w:ascii="Sakkal Majalla" w:hAnsi="Sakkal Majalla" w:cs="Sakkal Majalla"/>
          <w:sz w:val="32"/>
          <w:szCs w:val="32"/>
          <w:rtl/>
          <w:lang w:bidi="ar-EG"/>
        </w:rPr>
        <w:t>.</w:t>
      </w:r>
    </w:p>
    <w:p w14:paraId="5370EAA4" w14:textId="4E4D0907"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ثانيًا: تطبيقات الذكاء الاصطناعي في القطاع المالي</w:t>
      </w:r>
      <w:r w:rsidR="00A32D35">
        <w:rPr>
          <w:rFonts w:ascii="Sakkal Majalla" w:hAnsi="Sakkal Majalla" w:cs="Sakkal Majalla" w:hint="cs"/>
          <w:b/>
          <w:bCs/>
          <w:sz w:val="32"/>
          <w:szCs w:val="32"/>
          <w:rtl/>
          <w:lang w:bidi="ar-EG"/>
        </w:rPr>
        <w:t xml:space="preserve"> :</w:t>
      </w:r>
    </w:p>
    <w:p w14:paraId="7ED6D050" w14:textId="6B84F9A6"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 xml:space="preserve">يستخدم الذكاء الاصطناعي على نطاق واسع في القطاع المالي والمصرفي، لاسيما في تحليل المعاملات، واكتشاف الاحتيال، وتقييم الجدارة الائتمانية، وإدارة المخاطر، وتقديم الخدمات المصرفية الرقمية وتساعد هذه الأنظمة في تسريع العمليات المالية، وتقليل نسبة الأخطاء، ورفع مستوى الكفاءة في اتخاذ القرار المالي، من خلال الاعتماد على التحليل الفوري للبيانات والمؤشرات </w:t>
      </w:r>
      <w:r w:rsidRPr="00B62589">
        <w:rPr>
          <w:rFonts w:ascii="Sakkal Majalla" w:hAnsi="Sakkal Majalla" w:cs="Sakkal Majalla"/>
          <w:sz w:val="32"/>
          <w:szCs w:val="32"/>
          <w:rtl/>
          <w:lang w:bidi="ar-EG"/>
        </w:rPr>
        <w:lastRenderedPageBreak/>
        <w:t>كما أن البنية المالية الرقمية الحديثة باتت ترتبط بصورة متزايدة بتقنيات تحليل البيانات والأدوات المؤتمتة، وهو ما يفسر اتساع استخدام حلول الذكاء الاصطناعي في هذا القطاع وتنسجم هذه الصورة مع التوجهات الوطنية في المملكة التي تعزز تطوير البنية المالية الرقمية، بما في ذلك البنية القائمة على التقنيات المالية والمدفوعات الرقمية والحلول المدعومة بالذكاء الاصطناعي</w:t>
      </w:r>
      <w:r w:rsidR="00A32D35">
        <w:rPr>
          <w:rStyle w:val="FootnoteReference"/>
          <w:rFonts w:ascii="Sakkal Majalla" w:hAnsi="Sakkal Majalla" w:cs="Sakkal Majalla"/>
          <w:sz w:val="32"/>
          <w:szCs w:val="32"/>
          <w:rtl/>
          <w:lang w:bidi="ar-EG"/>
        </w:rPr>
        <w:footnoteReference w:id="39"/>
      </w:r>
      <w:r w:rsidRPr="00B62589">
        <w:rPr>
          <w:rFonts w:ascii="Sakkal Majalla" w:hAnsi="Sakkal Majalla" w:cs="Sakkal Majalla"/>
          <w:sz w:val="32"/>
          <w:szCs w:val="32"/>
          <w:rtl/>
          <w:lang w:bidi="ar-EG"/>
        </w:rPr>
        <w:t>.</w:t>
      </w:r>
    </w:p>
    <w:p w14:paraId="0548CE98" w14:textId="2AF3D8DC"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غير أن هذه التطبيقات قد تثير تحديات قانونية إذا ترتب على القرارات الآلية ضرر يلحق بالعملاء أو المتعاملين، كرفض طلبات التمويل أو تصنيفهم ضمن فئات مرتفعة المخاطر دون شفافية كافية، أو إذا نتج عن خلل النظام خسائر مالية أو تسرب بيانات حساسة</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ومن ثم، فإن تطبيقات الذكاء الاصطناعي في هذا القطاع تمثل مجالًا واضحًا لبحث المسؤولية عن الأضرار الرقمية والمالية، خاصة في الحالات التي يصعب فيها تحديد ما إذا كان مصدر الضرر راجعًا إلى خلل في النموذج الخوارزمي، أم إلى قصور في البيانات، أم إلى ضعف في الإشراف البشري على النظام</w:t>
      </w:r>
      <w:r w:rsidR="00A32D35">
        <w:rPr>
          <w:rStyle w:val="FootnoteReference"/>
          <w:rFonts w:ascii="Sakkal Majalla" w:hAnsi="Sakkal Majalla" w:cs="Sakkal Majalla"/>
          <w:sz w:val="32"/>
          <w:szCs w:val="32"/>
          <w:rtl/>
          <w:lang w:bidi="ar-EG"/>
        </w:rPr>
        <w:footnoteReference w:id="40"/>
      </w:r>
      <w:r w:rsidRPr="00B62589">
        <w:rPr>
          <w:rFonts w:ascii="Sakkal Majalla" w:hAnsi="Sakkal Majalla" w:cs="Sakkal Majalla"/>
          <w:sz w:val="32"/>
          <w:szCs w:val="32"/>
          <w:rtl/>
          <w:lang w:bidi="ar-EG"/>
        </w:rPr>
        <w:t>.</w:t>
      </w:r>
    </w:p>
    <w:p w14:paraId="53CB29CF" w14:textId="71598EA6"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ثالثًا: تطبيقات الذكاء الاصطناعي في التجارة الإلكترونية</w:t>
      </w:r>
      <w:r w:rsidR="00A32D35">
        <w:rPr>
          <w:rFonts w:ascii="Sakkal Majalla" w:hAnsi="Sakkal Majalla" w:cs="Sakkal Majalla" w:hint="cs"/>
          <w:b/>
          <w:bCs/>
          <w:sz w:val="32"/>
          <w:szCs w:val="32"/>
          <w:rtl/>
          <w:lang w:bidi="ar-EG"/>
        </w:rPr>
        <w:t xml:space="preserve"> :</w:t>
      </w:r>
    </w:p>
    <w:p w14:paraId="5D30D62C" w14:textId="5AF5C344"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أصبحت التجارة الإلكترونية من أكثر المجالات استفادة من تطبيقات الذكاء الاصطناعي، إذ تعتمد المنصات الرقمية على الأنظمة الذكية في تحليل سلوك المستهلكين، واقتراح المنتجات، وتخصيص الإعلانات، وإدارة عمليات التسعير، وخدمة العملاء عبر المساعدات الافتراضية، فضلًا عن كشف الأنشطة الاحتيالية المتعلقة بالمدفوعات والطلبات</w:t>
      </w:r>
      <w:r w:rsidR="00A32D35">
        <w:rPr>
          <w:rStyle w:val="FootnoteReference"/>
          <w:rFonts w:ascii="Sakkal Majalla" w:hAnsi="Sakkal Majalla" w:cs="Sakkal Majalla"/>
          <w:sz w:val="32"/>
          <w:szCs w:val="32"/>
          <w:rtl/>
          <w:lang w:bidi="ar-EG"/>
        </w:rPr>
        <w:footnoteReference w:id="41"/>
      </w:r>
      <w:r w:rsidRPr="00B62589">
        <w:rPr>
          <w:rFonts w:ascii="Sakkal Majalla" w:hAnsi="Sakkal Majalla" w:cs="Sakkal Majalla"/>
          <w:sz w:val="32"/>
          <w:szCs w:val="32"/>
          <w:rtl/>
          <w:lang w:bidi="ar-EG"/>
        </w:rPr>
        <w:t xml:space="preserve"> وتسهم هذه التطبيقات في تحسين تجربة </w:t>
      </w:r>
      <w:r w:rsidRPr="00B62589">
        <w:rPr>
          <w:rFonts w:ascii="Sakkal Majalla" w:hAnsi="Sakkal Majalla" w:cs="Sakkal Majalla"/>
          <w:sz w:val="32"/>
          <w:szCs w:val="32"/>
          <w:rtl/>
          <w:lang w:bidi="ar-EG"/>
        </w:rPr>
        <w:lastRenderedPageBreak/>
        <w:t>المستخدم، وزيادة كفاءة العمليات التجارية، ورفع مستوى التفاعل مع المستهلكين، بما يجعل الذكاء الاصطناعي جزءًا من البنية التشغيلية المعتادة في بيئة التجارة الرقمية الحديثة. كما أن التوسع في الاقتصاد الرقمي وتبني الأطر الوطنية للذكاء الاصطناعي يعززان حضور هذه التطبيقات في الأنشطة التجارية والخدمية.</w:t>
      </w:r>
    </w:p>
    <w:p w14:paraId="39C28785" w14:textId="66B1C55C"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إلا أن هذه التطبيقات قد ترتبط بإشكالات قانونية تتعلق بحماية المستهلك، وشفافية التسعير، واستعمال البيانات الشخصية، ومدى مشروعية بعض ممارسات الاستهداف الرقمي أو التوصية المؤتمتة. كما قد تؤدي الأعطال أو القرارات الخوارزمية غير الدقيقة إلى أضرار تمس حقوق المستهلكين أو التجار، وهو ما يبرز الجانب العملي للمسؤولية المدنية في هذا المجال. وتزداد أهمية هذا الجانب في ضوء اهتمام الجهات التنظيمية في المملكة بإصدار إرشادات وضوابط لحماية التعاملات الإلكترونية وتعزيز الأمن السيبراني في التجارة الإلكترونية، بما يكشف عن وعي تنظيمي بالمخاطر التقنية والقانونية المصاحبة للبيئات التجارية الرقمية</w:t>
      </w:r>
      <w:r w:rsidR="00A32D35">
        <w:rPr>
          <w:rStyle w:val="FootnoteReference"/>
          <w:rFonts w:ascii="Sakkal Majalla" w:hAnsi="Sakkal Majalla" w:cs="Sakkal Majalla"/>
          <w:sz w:val="32"/>
          <w:szCs w:val="32"/>
          <w:rtl/>
          <w:lang w:bidi="ar-EG"/>
        </w:rPr>
        <w:footnoteReference w:id="42"/>
      </w:r>
      <w:r w:rsidRPr="00B62589">
        <w:rPr>
          <w:rFonts w:ascii="Sakkal Majalla" w:hAnsi="Sakkal Majalla" w:cs="Sakkal Majalla"/>
          <w:sz w:val="32"/>
          <w:szCs w:val="32"/>
          <w:rtl/>
          <w:lang w:bidi="ar-EG"/>
        </w:rPr>
        <w:t>.</w:t>
      </w:r>
    </w:p>
    <w:p w14:paraId="03745E52" w14:textId="4732130A"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رابعًا: تطبيقات الذكاء الاصطناعي في الحكومة الرقمية في المملكة العربية السعودية</w:t>
      </w:r>
      <w:r w:rsidR="00A32D35">
        <w:rPr>
          <w:rFonts w:ascii="Sakkal Majalla" w:hAnsi="Sakkal Majalla" w:cs="Sakkal Majalla" w:hint="cs"/>
          <w:b/>
          <w:bCs/>
          <w:sz w:val="32"/>
          <w:szCs w:val="32"/>
          <w:rtl/>
          <w:lang w:bidi="ar-EG"/>
        </w:rPr>
        <w:t xml:space="preserve"> :</w:t>
      </w:r>
    </w:p>
    <w:p w14:paraId="69E74019" w14:textId="3DDA476A" w:rsidR="00B62589" w:rsidRPr="00B6258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يحظى الذكاء الاصطناعي باهتمام متزايد في المملكة العربية السعودية في إطار التحول الرقمي ورؤية المملكة 2030، حيث اتجهت الجهات الحكومية إلى توظيف الأنظمة الذكية في تطوير الخدمات العامة، وتحسين كفاءة الأداء الإداري، ودعم اتخاذ القرار، ورفع مستوى جودة الخدمات المقدمة للمستفيدين</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 xml:space="preserve">ويعكس هذا التوجه موقع الذكاء الاصطناعي ضمن السياسات الوطنية المرتبطة بالبيانات والتحول الرقمي، إذ تعد الهيئة السعودية للبيانات والذكاء الاصطناعي </w:t>
      </w:r>
      <w:r w:rsidRPr="00B62589">
        <w:rPr>
          <w:rFonts w:ascii="Sakkal Majalla" w:hAnsi="Sakkal Majalla" w:cs="Sakkal Majalla"/>
          <w:sz w:val="32"/>
          <w:szCs w:val="32"/>
          <w:rtl/>
          <w:lang w:bidi="ar-EG"/>
        </w:rPr>
        <w:lastRenderedPageBreak/>
        <w:t>الجهة المختصة في المملكة بشأن البيانات والذكاء الاصطناعي، وقد أنشئت بأمر ملكي رقم (أ/471) بتاريخ 29/12/1440هـ، كما تضطلع بدور وطني في تطوير الاستراتيجيات والأطر المنظمة ذات الصلة</w:t>
      </w:r>
      <w:r w:rsidR="000D33A9">
        <w:rPr>
          <w:rStyle w:val="FootnoteReference"/>
          <w:rFonts w:ascii="Sakkal Majalla" w:hAnsi="Sakkal Majalla" w:cs="Sakkal Majalla"/>
          <w:sz w:val="32"/>
          <w:szCs w:val="32"/>
          <w:rtl/>
          <w:lang w:bidi="ar-EG"/>
        </w:rPr>
        <w:footnoteReference w:id="43"/>
      </w:r>
      <w:r w:rsidRPr="00B62589">
        <w:rPr>
          <w:rFonts w:ascii="Sakkal Majalla" w:hAnsi="Sakkal Majalla" w:cs="Sakkal Majalla"/>
          <w:sz w:val="32"/>
          <w:szCs w:val="32"/>
          <w:rtl/>
          <w:lang w:bidi="ar-EG"/>
        </w:rPr>
        <w:t>.</w:t>
      </w:r>
    </w:p>
    <w:p w14:paraId="0AE5C163" w14:textId="48708115" w:rsidR="00B62589" w:rsidRPr="000D33A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وتظهر هذه التطبيقات في مجالات متعددة، مثل تحليل البيانات الحكومية، وأتمتة الإجراءات، وتقديم الخدمات الإلكترونية الذكية، وتحسين إدارة الموارد، ودعم الأمن السيبراني. كما أصدرت الهيئة السعودية للبيانات والذكاء الاصطناعي أطرًا وإرشادات تتعلق بتبني الذكاء الاصطناعي، ومبادئ أخلاقياته، واستخدام الذكاء الاصطناعي التوليدي في التعاملات الحكومية، بما يؤكد أن الاستخدام المؤسسي للذكاء الاصطناعي داخل المملكة لم يعد مجرد توجه نظري، بل أصبح مرتبطًا بأدوات تنظيمية وإرشادية عملية تستهدف ترشيد التطبيق وتعزيز الثقة فيه</w:t>
      </w:r>
      <w:r w:rsidR="000D33A9">
        <w:rPr>
          <w:rStyle w:val="FootnoteReference"/>
          <w:rFonts w:ascii="Sakkal Majalla" w:hAnsi="Sakkal Majalla" w:cs="Sakkal Majalla"/>
          <w:sz w:val="32"/>
          <w:szCs w:val="32"/>
          <w:rtl/>
          <w:lang w:bidi="ar-EG"/>
        </w:rPr>
        <w:footnoteReference w:id="44"/>
      </w:r>
      <w:r w:rsidRPr="00B62589">
        <w:rPr>
          <w:rFonts w:ascii="Sakkal Majalla" w:hAnsi="Sakkal Majalla" w:cs="Sakkal Majalla"/>
          <w:sz w:val="32"/>
          <w:szCs w:val="32"/>
          <w:rtl/>
          <w:lang w:bidi="ar-EG"/>
        </w:rPr>
        <w:t>.</w:t>
      </w:r>
    </w:p>
    <w:p w14:paraId="39ABF3D3" w14:textId="116EF9BF" w:rsidR="00B62589" w:rsidRPr="000D33A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وتنبع أهمية هذا التطبيق من أنه يعكس انتقال الذكاء الاصطناعي من الإطار النظري إلى واقع مؤسسي فعلي داخل المملكة، الأمر الذي يجعل البحث في آثاره القانونية أكثر ارتباطًا بالواقع العملي. فكلما زاد الاعتماد على الأنظمة الذكية في الخدمات الحكومية، ازدادت الحاجة إلى بيان الضوابط النظامية التي تكفل سلامة استخدامها، وتحمي الأفراد من الأضرار التي قد تنشأ عن القرارات أو الإجراءات المؤتمتة، ولا سيما في ظل تأكيد المنصات والوثائق الحكومية على الحوكمة الأخلاقية والتنظيمية للذكاء الاصطناعي في القطاع العام</w:t>
      </w:r>
      <w:r w:rsidR="000D33A9">
        <w:rPr>
          <w:rStyle w:val="FootnoteReference"/>
          <w:rFonts w:ascii="Sakkal Majalla" w:hAnsi="Sakkal Majalla" w:cs="Sakkal Majalla"/>
          <w:sz w:val="32"/>
          <w:szCs w:val="32"/>
          <w:rtl/>
          <w:lang w:bidi="ar-EG"/>
        </w:rPr>
        <w:footnoteReference w:id="45"/>
      </w:r>
      <w:r w:rsidRPr="00B62589">
        <w:rPr>
          <w:rFonts w:ascii="Sakkal Majalla" w:hAnsi="Sakkal Majalla" w:cs="Sakkal Majalla"/>
          <w:sz w:val="32"/>
          <w:szCs w:val="32"/>
          <w:rtl/>
          <w:lang w:bidi="ar-EG"/>
        </w:rPr>
        <w:t>.</w:t>
      </w:r>
    </w:p>
    <w:p w14:paraId="4FEF6A4A" w14:textId="65B7AB8D" w:rsidR="00B62589" w:rsidRDefault="00B62589" w:rsidP="00B62589">
      <w:pPr>
        <w:bidi/>
        <w:spacing w:line="360" w:lineRule="auto"/>
        <w:jc w:val="mediumKashida"/>
        <w:rPr>
          <w:rFonts w:ascii="Sakkal Majalla" w:hAnsi="Sakkal Majalla" w:cs="Sakkal Majalla"/>
          <w:sz w:val="32"/>
          <w:szCs w:val="32"/>
          <w:rtl/>
          <w:lang w:bidi="ar-EG"/>
        </w:rPr>
      </w:pPr>
      <w:r w:rsidRPr="00B62589">
        <w:rPr>
          <w:rFonts w:ascii="Sakkal Majalla" w:hAnsi="Sakkal Majalla" w:cs="Sakkal Majalla"/>
          <w:sz w:val="32"/>
          <w:szCs w:val="32"/>
          <w:rtl/>
          <w:lang w:bidi="ar-EG"/>
        </w:rPr>
        <w:lastRenderedPageBreak/>
        <w:t>ومؤدى ما تقدم أن تطبيقات الذكاء الاصطناعي لم تعد مقصورة على نطاق تقني محدود، بل أصبحت ممتدة إلى قطاعات حيوية تمس الأمن، والمال، والتجارة، والخدمات الحكومية، وهو ما يؤكد الأهمية العملية لدراسة هذه التقنية في إطار قانوني</w:t>
      </w:r>
      <w:r w:rsidR="000D33A9">
        <w:rPr>
          <w:rStyle w:val="FootnoteReference"/>
          <w:rFonts w:ascii="Sakkal Majalla" w:hAnsi="Sakkal Majalla" w:cs="Sakkal Majalla"/>
          <w:sz w:val="32"/>
          <w:szCs w:val="32"/>
          <w:rtl/>
          <w:lang w:bidi="ar-EG"/>
        </w:rPr>
        <w:footnoteReference w:id="46"/>
      </w:r>
    </w:p>
    <w:p w14:paraId="08D6F641" w14:textId="77777777" w:rsidR="00B84097" w:rsidRDefault="00B84097">
      <w:pPr>
        <w:spacing w:line="278" w:lineRule="auto"/>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70F7CB2D" w14:textId="0222B719" w:rsidR="00684AAE" w:rsidRPr="00684AAE" w:rsidRDefault="00684AAE" w:rsidP="00684AAE">
      <w:pPr>
        <w:bidi/>
        <w:spacing w:line="360" w:lineRule="auto"/>
        <w:jc w:val="center"/>
        <w:rPr>
          <w:rFonts w:ascii="Sakkal Majalla" w:hAnsi="Sakkal Majalla" w:cs="Sakkal Majalla"/>
          <w:b/>
          <w:bCs/>
          <w:sz w:val="32"/>
          <w:szCs w:val="32"/>
          <w:lang w:bidi="ar-EG"/>
        </w:rPr>
      </w:pPr>
      <w:r w:rsidRPr="00684AAE">
        <w:rPr>
          <w:rFonts w:ascii="Sakkal Majalla" w:hAnsi="Sakkal Majalla" w:cs="Sakkal Majalla"/>
          <w:b/>
          <w:bCs/>
          <w:sz w:val="32"/>
          <w:szCs w:val="32"/>
          <w:rtl/>
          <w:lang w:bidi="ar-EG"/>
        </w:rPr>
        <w:lastRenderedPageBreak/>
        <w:t>المبحث الثاني: البيئة الرقمية والجرائم الإلكترونية</w:t>
      </w:r>
    </w:p>
    <w:p w14:paraId="78DB3AE9" w14:textId="34211B95" w:rsidR="00684AAE" w:rsidRPr="00684AAE" w:rsidRDefault="00684AAE" w:rsidP="00093BEB">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يكتسب هذا المبحث أهمية خاصة في إطار الدراسة، إذ إن بحث المسؤولية المدنية الناشئة عن الجرائم الإلكترونية المرتكبة باستخدام الذكاء الاصطناعي لا يمكن أن يستقيم من دون الوقوف على البيئة الرقمية التي تقع فيها هذه الأفعال، وبيان الطبيعة القانونية للجريمة الإلكترونية والخصائص التي تميزها عن غيرها من الجرائم التقليدية</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فقد أفرز التطور التقني المتسارع فضاءً رقميًا واسعًا أصبحت فيه المعاملات والاتصالات وتبادل البيانات تتم بصورة لحظية وعابرة للحدود، وهو ما أتاح في المقابل ظهور أنماط مستحدثة من السلوك غير المشروع تتسم بخصوصية فنية وقانونية تجعل معالجتها أكثر تعقيدًا من الجرائم التقليدية</w:t>
      </w:r>
      <w:r w:rsidR="00093BEB">
        <w:rPr>
          <w:rStyle w:val="FootnoteReference"/>
          <w:rFonts w:ascii="Sakkal Majalla" w:hAnsi="Sakkal Majalla" w:cs="Sakkal Majalla"/>
          <w:sz w:val="32"/>
          <w:szCs w:val="32"/>
          <w:rtl/>
          <w:lang w:bidi="ar-EG"/>
        </w:rPr>
        <w:footnoteReference w:id="47"/>
      </w:r>
      <w:r w:rsidRPr="00684AAE">
        <w:rPr>
          <w:rFonts w:ascii="Sakkal Majalla" w:hAnsi="Sakkal Majalla" w:cs="Sakkal Majalla"/>
          <w:sz w:val="32"/>
          <w:szCs w:val="32"/>
          <w:rtl/>
          <w:lang w:bidi="ar-EG"/>
        </w:rPr>
        <w:t>.</w:t>
      </w:r>
    </w:p>
    <w:p w14:paraId="1966E37C" w14:textId="10173307" w:rsidR="00684AAE" w:rsidRPr="00684AAE" w:rsidRDefault="00684AAE" w:rsidP="00093BEB">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وتبرز أهمية هذا المبحث كذلك في أن الجريمة الإلكترونية لا تقف عند مجرد كونها فعلًا غير مشروع يقع عبر الوسائط التقنية، بل تمتاز بخصائص تجعلها أكثر صعوبة من حيث الاكتشاف والإثبات وتحديد مرتكبها، فضلًا عن اتساع نطاق آثارها وسرعة انتشارها داخل البيئة الرقمية</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كما أن ارتباط بعض هذه الجرائم بتقنيات الذكاء الاصطناعي يضاعف من تعقيدها، سواء من حيث وسائل ارتكابها أو من حيث ما تثيره من إشكالات قانونية تتصل بإسناد الفعل الضار وتحديد المسؤولية عنه</w:t>
      </w:r>
      <w:r w:rsidR="00093BEB">
        <w:rPr>
          <w:rStyle w:val="FootnoteReference"/>
          <w:rFonts w:ascii="Sakkal Majalla" w:hAnsi="Sakkal Majalla" w:cs="Sakkal Majalla"/>
          <w:sz w:val="32"/>
          <w:szCs w:val="32"/>
          <w:rtl/>
          <w:lang w:bidi="ar-EG"/>
        </w:rPr>
        <w:footnoteReference w:id="48"/>
      </w:r>
      <w:r w:rsidRPr="00684AAE">
        <w:rPr>
          <w:rFonts w:ascii="Sakkal Majalla" w:hAnsi="Sakkal Majalla" w:cs="Sakkal Majalla"/>
          <w:sz w:val="32"/>
          <w:szCs w:val="32"/>
          <w:rtl/>
          <w:lang w:bidi="ar-EG"/>
        </w:rPr>
        <w:t>.</w:t>
      </w:r>
    </w:p>
    <w:p w14:paraId="52AC103D" w14:textId="2D81B6E7" w:rsidR="00684AAE" w:rsidRPr="00684AAE" w:rsidRDefault="00684AAE" w:rsidP="00093BEB">
      <w:pPr>
        <w:bidi/>
        <w:spacing w:line="360" w:lineRule="auto"/>
        <w:jc w:val="mediumKashida"/>
        <w:rPr>
          <w:rFonts w:ascii="Sakkal Majalla" w:hAnsi="Sakkal Majalla" w:cs="Sakkal Majalla"/>
          <w:sz w:val="32"/>
          <w:szCs w:val="32"/>
          <w:rtl/>
          <w:lang w:bidi="ar-EG"/>
        </w:rPr>
      </w:pPr>
      <w:r w:rsidRPr="00684AAE">
        <w:rPr>
          <w:rFonts w:ascii="Sakkal Majalla" w:hAnsi="Sakkal Majalla" w:cs="Sakkal Majalla"/>
          <w:sz w:val="32"/>
          <w:szCs w:val="32"/>
          <w:rtl/>
          <w:lang w:bidi="ar-EG"/>
        </w:rPr>
        <w:lastRenderedPageBreak/>
        <w:t>وانطلاقًا من ذلك، يتناول هذا المبحث في المطلب الأول مفهوم الجريمة الإلكترونية وخصائصها، من خلال بيان تعريفها في الفقه والتشريعات، ثم إبراز أهم السمات التي تميزها</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أما المطلب الثاني فيخصص لعرض أبرز التحديات القانونية التي تثيرها الجرائم الرقمية</w:t>
      </w:r>
      <w:r w:rsidR="00093BEB">
        <w:rPr>
          <w:rFonts w:ascii="Sakkal Majalla" w:hAnsi="Sakkal Majalla" w:cs="Sakkal Majalla" w:hint="cs"/>
          <w:sz w:val="32"/>
          <w:szCs w:val="32"/>
          <w:rtl/>
          <w:lang w:bidi="ar-EG"/>
        </w:rPr>
        <w:t xml:space="preserve"> .</w:t>
      </w:r>
    </w:p>
    <w:p w14:paraId="6D3A7861" w14:textId="1829C418" w:rsidR="00684AAE" w:rsidRPr="00684AAE" w:rsidRDefault="00684AAE" w:rsidP="00684AAE">
      <w:pPr>
        <w:bidi/>
        <w:spacing w:line="360" w:lineRule="auto"/>
        <w:jc w:val="mediumKashida"/>
        <w:rPr>
          <w:rFonts w:ascii="Sakkal Majalla" w:hAnsi="Sakkal Majalla" w:cs="Sakkal Majalla"/>
          <w:b/>
          <w:bCs/>
          <w:sz w:val="32"/>
          <w:szCs w:val="32"/>
          <w:lang w:bidi="ar-EG"/>
        </w:rPr>
      </w:pPr>
      <w:r w:rsidRPr="00684AAE">
        <w:rPr>
          <w:rFonts w:ascii="Sakkal Majalla" w:hAnsi="Sakkal Majalla" w:cs="Sakkal Majalla"/>
          <w:b/>
          <w:bCs/>
          <w:sz w:val="32"/>
          <w:szCs w:val="32"/>
          <w:rtl/>
          <w:lang w:bidi="ar-EG"/>
        </w:rPr>
        <w:t>المطلب الأول: مفهوم الجريمة الإلكترونية وخصائصها</w:t>
      </w:r>
      <w:r w:rsidR="00B5091F">
        <w:rPr>
          <w:rFonts w:ascii="Sakkal Majalla" w:hAnsi="Sakkal Majalla" w:cs="Sakkal Majalla" w:hint="cs"/>
          <w:b/>
          <w:bCs/>
          <w:sz w:val="32"/>
          <w:szCs w:val="32"/>
          <w:rtl/>
          <w:lang w:bidi="ar-EG"/>
        </w:rPr>
        <w:t>:</w:t>
      </w:r>
    </w:p>
    <w:p w14:paraId="690CC38D" w14:textId="7F92BEB8" w:rsidR="00684AAE" w:rsidRPr="00B5091F" w:rsidRDefault="00684AAE" w:rsidP="00B5091F">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يعد تحديد مفهوم الجريمة الإلكترونية وبيان خصائصها من المسائل الأساسية لفهم الإطار القانوني الذي تتحرك في نطاقه الدراسة، إذ إن التطور الرقمي أفرز صورًا مستحدثة من الأفعال غير المشروعة تختلف في طبيعتها ووسائلها وآثارها عن الجرائم التقليدية فلم تعد الجريمة مرتبطة بالحيز المادي وحده، بل أصبحت تقع داخل بيئة رقمية تتسم بالتشابك والسرعة والاتصال العابر للحدود، وهو ما استدعى إعادة النظر في المفاهيم القانونية التقليدية بما يواكب هذا التحول</w:t>
      </w:r>
      <w:r w:rsidR="00B5091F">
        <w:rPr>
          <w:rStyle w:val="FootnoteReference"/>
          <w:rFonts w:ascii="Sakkal Majalla" w:hAnsi="Sakkal Majalla" w:cs="Sakkal Majalla"/>
          <w:sz w:val="32"/>
          <w:szCs w:val="32"/>
          <w:rtl/>
          <w:lang w:bidi="ar-EG"/>
        </w:rPr>
        <w:footnoteReference w:id="49"/>
      </w:r>
      <w:r w:rsidRPr="00684AAE">
        <w:rPr>
          <w:rFonts w:ascii="Sakkal Majalla" w:hAnsi="Sakkal Majalla" w:cs="Sakkal Majalla"/>
          <w:sz w:val="32"/>
          <w:szCs w:val="32"/>
          <w:rtl/>
          <w:lang w:bidi="ar-EG"/>
        </w:rPr>
        <w:t>.</w:t>
      </w:r>
    </w:p>
    <w:p w14:paraId="52AF9BCC" w14:textId="29B6FA86" w:rsidR="00684AAE" w:rsidRDefault="00684AAE" w:rsidP="00684AAE">
      <w:pPr>
        <w:bidi/>
        <w:spacing w:line="360" w:lineRule="auto"/>
        <w:jc w:val="mediumKashida"/>
        <w:rPr>
          <w:rFonts w:ascii="Sakkal Majalla" w:hAnsi="Sakkal Majalla" w:cs="Sakkal Majalla"/>
          <w:sz w:val="32"/>
          <w:szCs w:val="32"/>
          <w:rtl/>
          <w:lang w:bidi="ar-EG"/>
        </w:rPr>
      </w:pPr>
      <w:r w:rsidRPr="00684AAE">
        <w:rPr>
          <w:rFonts w:ascii="Sakkal Majalla" w:hAnsi="Sakkal Majalla" w:cs="Sakkal Majalla"/>
          <w:sz w:val="32"/>
          <w:szCs w:val="32"/>
          <w:rtl/>
          <w:lang w:bidi="ar-EG"/>
        </w:rPr>
        <w:t>وتزداد أهمية هذا المطلب في أن ضبط تعريف الجريمة الإلكترونية لا يقتصر على الجانب النظري، بل ينعكس مباشرة على التكييف القانوني للفعل، وعلى تحديد أركانه، وبيان نطاق الحماية القانونية المقررة له. كما أن إبراز خصائص الجرائم الإلكترونية يسهم في الكشف عن خصوصيتها، خاصة من حيث طابعها التقني، وصعوبة إثباتها، وإمكان ارتكابها عن بعد، واتساع آثارها في زمن قصير، وهي سمات تجعل مواجهتها القانونية أكثر تعقيدًا.</w:t>
      </w:r>
    </w:p>
    <w:p w14:paraId="288CE336" w14:textId="51BF8F19" w:rsidR="001B7E82" w:rsidRPr="00B5091F" w:rsidRDefault="001B7E82" w:rsidP="00B5091F">
      <w:pPr>
        <w:bidi/>
        <w:spacing w:line="360" w:lineRule="auto"/>
        <w:jc w:val="mediumKashida"/>
        <w:rPr>
          <w:rFonts w:ascii="Sakkal Majalla" w:hAnsi="Sakkal Majalla" w:cs="Sakkal Majalla"/>
          <w:b/>
          <w:bCs/>
          <w:sz w:val="32"/>
          <w:szCs w:val="32"/>
          <w:lang w:bidi="ar-EG"/>
        </w:rPr>
      </w:pPr>
      <w:r w:rsidRPr="00B5091F">
        <w:rPr>
          <w:rFonts w:ascii="Sakkal Majalla" w:hAnsi="Sakkal Majalla" w:cs="Sakkal Majalla"/>
          <w:b/>
          <w:bCs/>
          <w:sz w:val="32"/>
          <w:szCs w:val="32"/>
          <w:rtl/>
          <w:lang w:bidi="ar-EG"/>
        </w:rPr>
        <w:t>الفرع الأول: تعريف الجريمة الإلكترونية في الفقه والتشريعات</w:t>
      </w:r>
      <w:r w:rsidR="00B5091F">
        <w:rPr>
          <w:rFonts w:ascii="Sakkal Majalla" w:hAnsi="Sakkal Majalla" w:cs="Sakkal Majalla" w:hint="cs"/>
          <w:b/>
          <w:bCs/>
          <w:sz w:val="32"/>
          <w:szCs w:val="32"/>
          <w:rtl/>
          <w:lang w:bidi="ar-EG"/>
        </w:rPr>
        <w:t xml:space="preserve"> :</w:t>
      </w:r>
    </w:p>
    <w:p w14:paraId="41178BD2" w14:textId="314091B5"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يعد تعريف الجريمة الإلكترونية من المسائل التي أثارت اهتمامًا واسعًا في الفقه القانوني الحديث، وذلك بسبب ارتباط هذا النوع من الجرائم ببيئة تقنية متغيرة تتطور بوتيرة سريعة، الأمر الذي </w:t>
      </w:r>
      <w:r w:rsidRPr="001B7E82">
        <w:rPr>
          <w:rFonts w:ascii="Sakkal Majalla" w:hAnsi="Sakkal Majalla" w:cs="Sakkal Majalla"/>
          <w:sz w:val="32"/>
          <w:szCs w:val="32"/>
          <w:rtl/>
          <w:lang w:bidi="ar-EG"/>
        </w:rPr>
        <w:lastRenderedPageBreak/>
        <w:t>جعل من الصعب إخضاعها لتعريف تقليدي جامد. فالجريمة الإلكترونية لا ترتبط فقط بالفعل غير المشروع في معناه المألوف، وإنما ترتبط كذلك بالوسيلة التي ترتكب بها</w:t>
      </w:r>
      <w:r w:rsidR="00B5091F">
        <w:rPr>
          <w:rStyle w:val="FootnoteReference"/>
          <w:rFonts w:ascii="Sakkal Majalla" w:hAnsi="Sakkal Majalla" w:cs="Sakkal Majalla"/>
          <w:sz w:val="32"/>
          <w:szCs w:val="32"/>
          <w:rtl/>
          <w:lang w:bidi="ar-EG"/>
        </w:rPr>
        <w:footnoteReference w:id="50"/>
      </w:r>
      <w:r w:rsidRPr="001B7E82">
        <w:rPr>
          <w:rFonts w:ascii="Sakkal Majalla" w:hAnsi="Sakkal Majalla" w:cs="Sakkal Majalla"/>
          <w:sz w:val="32"/>
          <w:szCs w:val="32"/>
          <w:rtl/>
          <w:lang w:bidi="ar-EG"/>
        </w:rPr>
        <w:t>، وبالمحل الذي يقع عليه الاعتداء، وبالبيئة الرقمية التي تنتج فيها آثارها. ومن ثم، فإن ضبط مفهومها يمثل خطوة أساسية لفهم طبيعتها القانونية وتمييزها عن الجرائم التقليدية</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وقد أكدت المصادر الدولية المعاصرة أنه لا توجد صيغة عالمية موحدة متفق عليها لتعريف الجريمة الإلكترونية، وهو ما يفسر استمرار الجدل الفقهي والتشريعي بشأن حدود هذا المفهوم واتساعه</w:t>
      </w:r>
      <w:r w:rsidR="00B5091F">
        <w:rPr>
          <w:rStyle w:val="FootnoteReference"/>
          <w:rFonts w:ascii="Sakkal Majalla" w:hAnsi="Sakkal Majalla" w:cs="Sakkal Majalla"/>
          <w:sz w:val="32"/>
          <w:szCs w:val="32"/>
          <w:rtl/>
          <w:lang w:bidi="ar-EG"/>
        </w:rPr>
        <w:footnoteReference w:id="51"/>
      </w:r>
      <w:r w:rsidRPr="001B7E82">
        <w:rPr>
          <w:rFonts w:ascii="Sakkal Majalla" w:hAnsi="Sakkal Majalla" w:cs="Sakkal Majalla"/>
          <w:sz w:val="32"/>
          <w:szCs w:val="32"/>
          <w:rtl/>
          <w:lang w:bidi="ar-EG"/>
        </w:rPr>
        <w:t>.</w:t>
      </w:r>
    </w:p>
    <w:p w14:paraId="3E05CC98" w14:textId="05DB7DE5"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وقد اتجه الفقه إلى تقديم تعريفات متعددة للجريمة الإلكترونية، انطلاقًا من اختلاف الزاوية التي ينظر من خلالها إلى هذا النوع من الجرائم. فبعض التعريفات ركزت على الوسيلة المستخدمة في ارتكاب الجريمة، واعتبرت الجريمة الإلكترونية كل فعل غير مشروع يستخدم فيه الحاسب الآلي أو الشبكات المعلوماتية أداة أساسية في التنفيذ</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ويمتاز هذا الاتجاه بأنه يبرز العنصر التقني بوصفه الوسيلة التي منحت هذا النوع من الجرائم خصوصيته، إلا أنه قد يبدو واسعًا إلى حد يضم أفعالًا تقليدية لمجرد استخدام وسيلة رقمية في ارتكابها</w:t>
      </w:r>
      <w:r w:rsidR="00B5091F">
        <w:rPr>
          <w:rFonts w:ascii="Sakkal Majalla" w:hAnsi="Sakkal Majalla" w:cs="Sakkal Majalla" w:hint="cs"/>
          <w:sz w:val="32"/>
          <w:szCs w:val="32"/>
          <w:rtl/>
          <w:lang w:bidi="ar-EG"/>
        </w:rPr>
        <w:t xml:space="preserve"> </w:t>
      </w:r>
      <w:r w:rsidR="00B5091F">
        <w:rPr>
          <w:rStyle w:val="FootnoteReference"/>
          <w:rFonts w:ascii="Sakkal Majalla" w:hAnsi="Sakkal Majalla" w:cs="Sakkal Majalla"/>
          <w:sz w:val="32"/>
          <w:szCs w:val="32"/>
          <w:rtl/>
          <w:lang w:bidi="ar-EG"/>
        </w:rPr>
        <w:footnoteReference w:id="52"/>
      </w:r>
      <w:r w:rsidRPr="001B7E82">
        <w:rPr>
          <w:rFonts w:ascii="Sakkal Majalla" w:hAnsi="Sakkal Majalla" w:cs="Sakkal Majalla"/>
          <w:sz w:val="32"/>
          <w:szCs w:val="32"/>
          <w:rtl/>
          <w:lang w:bidi="ar-EG"/>
        </w:rPr>
        <w:t>.</w:t>
      </w:r>
    </w:p>
    <w:p w14:paraId="7D0AD4EB" w14:textId="3C7EF3DF" w:rsidR="00B5091F" w:rsidRDefault="001B7E82" w:rsidP="00160126">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وفي مقابل ذلك، اتجه جانب آخر من الفقه إلى التركيز على محل الاعتداء، فعرف الجريمة الإلكترونية بأنها كل سلوك غير مشروع يقع على الأنظمة المعلوماتية أو البيانات أو الشبكات، ويستهدف المساس بسرية المعلومات أو سلامتها أو توافرها أو حسن تشغيل النظم التقنية</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 xml:space="preserve">ويتميز هذا الاتجاه بأنه يضيق من نطاق المفهوم ويركز على الجرائم التي يكون الاعتداء فيها موجهًا إلى </w:t>
      </w:r>
      <w:r w:rsidRPr="001B7E82">
        <w:rPr>
          <w:rFonts w:ascii="Sakkal Majalla" w:hAnsi="Sakkal Majalla" w:cs="Sakkal Majalla"/>
          <w:sz w:val="32"/>
          <w:szCs w:val="32"/>
          <w:rtl/>
          <w:lang w:bidi="ar-EG"/>
        </w:rPr>
        <w:lastRenderedPageBreak/>
        <w:t>البيئة المعلوماتية ذاتها، غير أنه قد لا يستوعب بعض الأفعال التي تستخدم الوسائط الرقمية أداة لارتكاب أضرار قانونية تمس الأفراد أو الأموال أو المراكز القانونية</w:t>
      </w:r>
      <w:r w:rsidR="00B5091F">
        <w:rPr>
          <w:rStyle w:val="FootnoteReference"/>
          <w:rFonts w:ascii="Sakkal Majalla" w:hAnsi="Sakkal Majalla" w:cs="Sakkal Majalla"/>
          <w:sz w:val="32"/>
          <w:szCs w:val="32"/>
          <w:rtl/>
          <w:lang w:bidi="ar-EG"/>
        </w:rPr>
        <w:footnoteReference w:id="53"/>
      </w:r>
      <w:r w:rsidRPr="001B7E82">
        <w:rPr>
          <w:rFonts w:ascii="Sakkal Majalla" w:hAnsi="Sakkal Majalla" w:cs="Sakkal Majalla"/>
          <w:sz w:val="32"/>
          <w:szCs w:val="32"/>
          <w:rtl/>
          <w:lang w:bidi="ar-EG"/>
        </w:rPr>
        <w:t>.</w:t>
      </w:r>
    </w:p>
    <w:p w14:paraId="621658D6" w14:textId="1B52F7FA"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كما ظهر اتجاه فقهي ثالث يميل إلى الجمع بين الوسيلة والمحل معًا، ويرى أن الجريمة الإلكترونية هي كل فعل غير مشروع يرتكب باستخدام تقنيات الحاسب الآلي أو الشبكات أو يقع عليها، ويترتب عليه اعتداء على مصلحة يحميها القانون ويعد هذا الاتجاه أكثر شمولًا واتزانًا، لأنه لا يحصر الجريمة الإلكترونية في صورة واحدة، بل يستوعب الجرائم التي تكون التقنية فيها محلًا للاعتداء، وكذلك الجرائم التي تكون فيها التقنية وسيلة لارتكاب الفعل الضار. وهذا التصور يعد أقرب إلى طبيعة الجرائم الرقمية في صورتها المعاصرة، لاسيما مع اتساع نطاق المعاملات الإلكترونية وتداخل المصالح محل الحماية</w:t>
      </w:r>
      <w:r w:rsidR="005318BC">
        <w:rPr>
          <w:rStyle w:val="FootnoteReference"/>
          <w:rFonts w:ascii="Sakkal Majalla" w:hAnsi="Sakkal Majalla" w:cs="Sakkal Majalla"/>
          <w:sz w:val="32"/>
          <w:szCs w:val="32"/>
          <w:rtl/>
          <w:lang w:bidi="ar-EG"/>
        </w:rPr>
        <w:footnoteReference w:id="54"/>
      </w:r>
      <w:r w:rsidRPr="001B7E82">
        <w:rPr>
          <w:rFonts w:ascii="Sakkal Majalla" w:hAnsi="Sakkal Majalla" w:cs="Sakkal Majalla"/>
          <w:sz w:val="32"/>
          <w:szCs w:val="32"/>
          <w:rtl/>
          <w:lang w:bidi="ar-EG"/>
        </w:rPr>
        <w:t>.</w:t>
      </w:r>
    </w:p>
    <w:p w14:paraId="4D73303A" w14:textId="77777777" w:rsidR="005318BC" w:rsidRDefault="001B7E82" w:rsidP="005318BC">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 xml:space="preserve">أما على مستوى التشريعات، فلم تتجه الأنظمة القانونية إلى مسلك واحد في تعريف الجريمة الإلكترونية؛ فبعضها لم يضع تعريفًا نظريًا جامعًا مانعًا، وإنما ركز على تجريم طوائف محددة من الأفعال، مثل الدخول غير المشروع، والاعتداء على البيانات، واعتراض الاتصالات، والاحتيال المعلوماتي، وتعطيل الأنظمة أو إساءة استخدام الشبكات ويظهر هذا الاتجاه كذلك في الصكوك الدولية ذات الصلة، حيث ركزت اتفاقية بودابست بشأن الجريمة المعلوماتية على وضع إطار متكامل لتجريم صور رئيسة من الاعتداءات الواقعة على الأنظمة والبيانات والأدلة الإلكترونية، </w:t>
      </w:r>
      <w:r w:rsidRPr="001B7E82">
        <w:rPr>
          <w:rFonts w:ascii="Sakkal Majalla" w:hAnsi="Sakkal Majalla" w:cs="Sakkal Majalla"/>
          <w:sz w:val="32"/>
          <w:szCs w:val="32"/>
          <w:rtl/>
          <w:lang w:bidi="ar-EG"/>
        </w:rPr>
        <w:lastRenderedPageBreak/>
        <w:t>أكثر من تركيزها على تقرير تعريف نظري مجرد للجريمة الإلكترونية، وهو ما يعكس الطابع العملي والمرن لهذا النوع من التنظيم</w:t>
      </w:r>
      <w:r w:rsidR="005318BC">
        <w:rPr>
          <w:rStyle w:val="FootnoteReference"/>
          <w:rFonts w:ascii="Sakkal Majalla" w:hAnsi="Sakkal Majalla" w:cs="Sakkal Majalla"/>
          <w:sz w:val="32"/>
          <w:szCs w:val="32"/>
          <w:rtl/>
          <w:lang w:bidi="ar-EG"/>
        </w:rPr>
        <w:footnoteReference w:id="55"/>
      </w:r>
      <w:r w:rsidRPr="001B7E82">
        <w:rPr>
          <w:rFonts w:ascii="Sakkal Majalla" w:hAnsi="Sakkal Majalla" w:cs="Sakkal Majalla"/>
          <w:sz w:val="32"/>
          <w:szCs w:val="32"/>
          <w:rtl/>
          <w:lang w:bidi="ar-EG"/>
        </w:rPr>
        <w:t>.</w:t>
      </w:r>
    </w:p>
    <w:p w14:paraId="5033CF43" w14:textId="6EA31D3F" w:rsidR="005318BC" w:rsidRDefault="001B7E82" w:rsidP="005318BC">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وفي النظام السعودي أخذ المنظم بمسلك يجمع بين التعريف المختصر والتحديد التفصيلي للأفعال المجرمة؛ إذ نصت المادة الأولى من نظام مكافحة جرائم المعلوماتية على تعريف الجريمة المعلوماتية بما مؤداه: أي فعل ينطوي على استخدام الحاسب الآلي أو الشبكة المعلوماتية بالمخالفة لأحكام النظام، كما أوضحت المادة الثانية أهداف النظام المتمثلة في تعزيز أمن المعلومات، وحماية الحقوق الناشئة عن الاستخدام المشروع للحاسبات والشبكات، وحماية المصلحة العامة والآداب العامة والاقتصاد الوطني</w:t>
      </w:r>
      <w:r w:rsidR="005318BC">
        <w:rPr>
          <w:rStyle w:val="FootnoteReference"/>
          <w:rFonts w:ascii="Sakkal Majalla" w:hAnsi="Sakkal Majalla" w:cs="Sakkal Majalla"/>
          <w:sz w:val="32"/>
          <w:szCs w:val="32"/>
          <w:rtl/>
          <w:lang w:bidi="ar-EG"/>
        </w:rPr>
        <w:footnoteReference w:id="56"/>
      </w:r>
      <w:r w:rsidRPr="001B7E82">
        <w:rPr>
          <w:rFonts w:ascii="Sakkal Majalla" w:hAnsi="Sakkal Majalla" w:cs="Sakkal Majalla"/>
          <w:sz w:val="32"/>
          <w:szCs w:val="32"/>
          <w:rtl/>
          <w:lang w:bidi="ar-EG"/>
        </w:rPr>
        <w:t>.</w:t>
      </w:r>
    </w:p>
    <w:p w14:paraId="4A45C57A" w14:textId="65B86308" w:rsidR="001B7E82" w:rsidRPr="001B7E82" w:rsidRDefault="001B7E82" w:rsidP="005318BC">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 ثم مضى النظام بعد ذلك إلى تعداد الصور المجرمة في المواد اللاحقة، مثل التجسس على البيانات، والدخول غير المشروع، والاحتيال عبر الوسائل المعلوماتية، والاعتداء على البيانات الخاصة، وتعطيل الشبكات والخدمات. ويكشف هذا التنظيم عن اتجاه تشريعي عملي يقوم على عدم الاكتفاء بالتعريف المجرد، بل ربط المفهوم بصور التجريم التي يقع بها الاعتداء في البيئة الرقمية.</w:t>
      </w:r>
    </w:p>
    <w:p w14:paraId="62E91A97" w14:textId="10C1B6F1" w:rsidR="001B7E82" w:rsidRPr="001B7E82" w:rsidRDefault="001B7E82" w:rsidP="00595EEA">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ومن خلال استقراء الاتجاهات الفقهية والتشريعية، يتبين أن الجريمة الإلكترونية لا تقوم فقط على عنصر عدم المشروعية، وإنما تتميز كذلك بارتباطها الوثيق بالبيئة الرقمية، سواء من حيث وسيلة التنفيذ، أم محل الاعتداء، أم طبيعة الأثر الناتج عنها. كما يتضح أن الصعوبة في تعريفها ترجع إلى تنوع صورها، وتشعب مجالاتها، وسرعة تطورها، الأمر الذي يجعل من الأنسب تبني </w:t>
      </w:r>
      <w:r w:rsidRPr="001B7E82">
        <w:rPr>
          <w:rFonts w:ascii="Sakkal Majalla" w:hAnsi="Sakkal Majalla" w:cs="Sakkal Majalla"/>
          <w:sz w:val="32"/>
          <w:szCs w:val="32"/>
          <w:rtl/>
          <w:lang w:bidi="ar-EG"/>
        </w:rPr>
        <w:lastRenderedPageBreak/>
        <w:t>تعريف وظيفي مرن يراعي طبيعتها الخاصة دون أن يفقد الدقة القانونية اللازمة</w:t>
      </w:r>
      <w:r w:rsidR="005318BC">
        <w:rPr>
          <w:rStyle w:val="FootnoteReference"/>
          <w:rFonts w:ascii="Sakkal Majalla" w:hAnsi="Sakkal Majalla" w:cs="Sakkal Majalla"/>
          <w:sz w:val="32"/>
          <w:szCs w:val="32"/>
          <w:rtl/>
          <w:lang w:bidi="ar-EG"/>
        </w:rPr>
        <w:footnoteReference w:id="57"/>
      </w:r>
      <w:r w:rsidRPr="001B7E82">
        <w:rPr>
          <w:rFonts w:ascii="Sakkal Majalla" w:hAnsi="Sakkal Majalla" w:cs="Sakkal Majalla"/>
          <w:sz w:val="32"/>
          <w:szCs w:val="32"/>
          <w:rtl/>
          <w:lang w:bidi="ar-EG"/>
        </w:rPr>
        <w:t xml:space="preserve"> ويؤيد هذا الاتجاه ما تقرره الأدبيات الدولية الحديثة من أن الجريمة الإلكترونية قد تكون جريمة تعتمد على التقنية ذاتها، وقد تكون جريمة تسهلها التقنية أو تتخذ منها أداة لارتكاب الفعل غير المشروع.</w:t>
      </w:r>
    </w:p>
    <w:p w14:paraId="691AD58C" w14:textId="7DB7600B" w:rsidR="001B7E82" w:rsidRDefault="001B7E82" w:rsidP="001B7E82">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وتأسيسًا على ذلك، يمكن تعريف الجريمة الإلكترونية في إطار هذه الدراسة بأنها كل فعل غير مشروع يرتكب باستخدام نظام معلوماتي أو شبكة إلكترونية أو يقع عليهما، ويترتب عليه اعتداء على حق أو مصلحة يحميها القانون ويتميز هذا التعريف بكونه يجمع بين الوسيلة والمحل والأثر، كما أنه يتناسب مع موضوع الدراسة؛ لأنه يسمح باستيعاب الأفعال التي ترتكب في البيئة الرقمية أو بوساطتها، ويمهد لبحث خصائص هذا النوع من الجرائم، ثم التحديات القانونية التي تثيرها، وخاصة في علاقتها بالمسؤولية المدنية الناشئة عن الأضرار المترتبة عليها</w:t>
      </w:r>
      <w:r w:rsidR="00362ADF">
        <w:rPr>
          <w:rStyle w:val="FootnoteReference"/>
          <w:rFonts w:ascii="Sakkal Majalla" w:hAnsi="Sakkal Majalla" w:cs="Sakkal Majalla"/>
          <w:sz w:val="32"/>
          <w:szCs w:val="32"/>
          <w:rtl/>
          <w:lang w:bidi="ar-EG"/>
        </w:rPr>
        <w:footnoteReference w:id="58"/>
      </w:r>
      <w:r w:rsidRPr="001B7E82">
        <w:rPr>
          <w:rFonts w:ascii="Sakkal Majalla" w:hAnsi="Sakkal Majalla" w:cs="Sakkal Majalla"/>
          <w:sz w:val="32"/>
          <w:szCs w:val="32"/>
          <w:rtl/>
          <w:lang w:bidi="ar-EG"/>
        </w:rPr>
        <w:t>.</w:t>
      </w:r>
    </w:p>
    <w:p w14:paraId="7BB06EF0" w14:textId="19CD8D6D" w:rsidR="00684AAE" w:rsidRPr="001B7E82" w:rsidRDefault="00684AAE" w:rsidP="001B7E82">
      <w:pPr>
        <w:bidi/>
        <w:spacing w:line="360" w:lineRule="auto"/>
        <w:jc w:val="mediumKashida"/>
        <w:rPr>
          <w:rFonts w:ascii="Sakkal Majalla" w:hAnsi="Sakkal Majalla" w:cs="Sakkal Majalla"/>
          <w:b/>
          <w:bCs/>
          <w:sz w:val="32"/>
          <w:szCs w:val="32"/>
          <w:lang w:bidi="ar-EG"/>
        </w:rPr>
      </w:pPr>
      <w:r w:rsidRPr="001B7E82">
        <w:rPr>
          <w:rFonts w:ascii="Sakkal Majalla" w:hAnsi="Sakkal Majalla" w:cs="Sakkal Majalla"/>
          <w:b/>
          <w:bCs/>
          <w:sz w:val="32"/>
          <w:szCs w:val="32"/>
          <w:rtl/>
          <w:lang w:bidi="ar-EG"/>
        </w:rPr>
        <w:t>الفرع الثاني: خصائص الجرائم الإلكترونية</w:t>
      </w:r>
      <w:r w:rsidR="00362ADF">
        <w:rPr>
          <w:rFonts w:ascii="Sakkal Majalla" w:hAnsi="Sakkal Majalla" w:cs="Sakkal Majalla" w:hint="cs"/>
          <w:b/>
          <w:bCs/>
          <w:sz w:val="32"/>
          <w:szCs w:val="32"/>
          <w:rtl/>
          <w:lang w:bidi="ar-EG"/>
        </w:rPr>
        <w:t xml:space="preserve"> : </w:t>
      </w:r>
    </w:p>
    <w:p w14:paraId="79FC0F94" w14:textId="7D9E7E6A"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تتميز الجرائم الإلكترونية بجملة من الخصائص التي تمنحها طبيعة خاصة تختلف عن الجرائم التقليدية، سواء من حيث وسيلة ارتكابها، أو نطاقها، أو طريقة اكتشافها وإثباتها وتزداد أهمية بيان هذه الخصائص في الدراسات القانونية؛ لأنها تؤثر مباشرة في التكييف القانوني للفعل، وفي وسائل الإثبات، وفي تحديد المسؤولية المدنية أو الجنائية الناشئة عنه كما أن خصوصية هذا </w:t>
      </w:r>
      <w:r w:rsidRPr="00F00EF0">
        <w:rPr>
          <w:rFonts w:ascii="Sakkal Majalla" w:hAnsi="Sakkal Majalla" w:cs="Sakkal Majalla"/>
          <w:sz w:val="32"/>
          <w:szCs w:val="32"/>
          <w:rtl/>
          <w:lang w:bidi="ar-EG"/>
        </w:rPr>
        <w:lastRenderedPageBreak/>
        <w:t>النوع من الجرائم ترجع إلى ارتباطه الوثيق بالأنظمة المعلوماتية والبيئة الرقمية، وإلى ما تفرضه هذه البيئة من تحديات في التتبع والتحقيق وحفظ الأدلة والتعاون عبر الحدود</w:t>
      </w:r>
      <w:r w:rsidR="00362ADF">
        <w:rPr>
          <w:rStyle w:val="FootnoteReference"/>
          <w:rFonts w:ascii="Sakkal Majalla" w:hAnsi="Sakkal Majalla" w:cs="Sakkal Majalla"/>
          <w:sz w:val="32"/>
          <w:szCs w:val="32"/>
          <w:rtl/>
          <w:lang w:bidi="ar-EG"/>
        </w:rPr>
        <w:footnoteReference w:id="59"/>
      </w:r>
      <w:r w:rsidRPr="00F00EF0">
        <w:rPr>
          <w:rFonts w:ascii="Sakkal Majalla" w:hAnsi="Sakkal Majalla" w:cs="Sakkal Majalla"/>
          <w:sz w:val="32"/>
          <w:szCs w:val="32"/>
          <w:rtl/>
          <w:lang w:bidi="ar-EG"/>
        </w:rPr>
        <w:t>.</w:t>
      </w:r>
    </w:p>
    <w:p w14:paraId="3E689E6D" w14:textId="4D2B280C"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أولًا: الطابع التقني للجريمة الإلكترونية</w:t>
      </w:r>
      <w:r w:rsidR="00362ADF" w:rsidRPr="00362ADF">
        <w:rPr>
          <w:rFonts w:ascii="Sakkal Majalla" w:hAnsi="Sakkal Majalla" w:cs="Sakkal Majalla" w:hint="cs"/>
          <w:b/>
          <w:bCs/>
          <w:sz w:val="32"/>
          <w:szCs w:val="32"/>
          <w:rtl/>
          <w:lang w:bidi="ar-EG"/>
        </w:rPr>
        <w:t xml:space="preserve"> :</w:t>
      </w:r>
    </w:p>
    <w:p w14:paraId="6A504647" w14:textId="019365D4"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تقوم الجريمة الإلكترونية في الأصل على استخدام وسائط تقنية حديثة، كأجهزة الحاسب الآلي، والشبكات المعلوماتية، والبرمجيات، وقواعد البيانات، وغيرها من الأدوات الرقمية التي تشكل البيئة التي تقع فيها الجريمة أو الوسيلة التي ترتكب بها. وهذا الطابع التقني يجعل هذا النوع من الجرائم مرتبطًا ارتباطًا وثيقًا بالتطور التكنولوجي، بحيث تتجدد صوره وأساليبه كلما تطورت الوسائل التقنية المستخدمة</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ومن ثم، فإن الجريمة الإلكترونية لا تنفصل عن البنية التقنية التي تحتضنها، الأمر الذي يمنحها طابعًا متميزًا من حيث التكوين والوسيلة والأثر</w:t>
      </w:r>
      <w:r w:rsidR="00362ADF">
        <w:rPr>
          <w:rStyle w:val="FootnoteReference"/>
          <w:rFonts w:ascii="Sakkal Majalla" w:hAnsi="Sakkal Majalla" w:cs="Sakkal Majalla"/>
          <w:sz w:val="32"/>
          <w:szCs w:val="32"/>
          <w:rtl/>
          <w:lang w:bidi="ar-EG"/>
        </w:rPr>
        <w:footnoteReference w:id="60"/>
      </w:r>
      <w:r w:rsidRPr="00F00EF0">
        <w:rPr>
          <w:rFonts w:ascii="Sakkal Majalla" w:hAnsi="Sakkal Majalla" w:cs="Sakkal Majalla"/>
          <w:sz w:val="32"/>
          <w:szCs w:val="32"/>
          <w:rtl/>
          <w:lang w:bidi="ar-EG"/>
        </w:rPr>
        <w:t>.</w:t>
      </w:r>
    </w:p>
    <w:p w14:paraId="68B0B7D6" w14:textId="35332601"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وتكمن أهمية هذه الخاصية في أن فهم الجريمة الإلكترونية لا يقتصر على الجانب القانوني وحده، بل يستلزم قدرًا من الإلمام بالجوانب الفنية والتقنية التي تساعد على إدراك طريقة ارتكاب الفعل غير المشروع وآثاره</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كما أن الطابع التقني لهذه الجرائم يفرض على جهات التحقيق والقضاء الاستعانة بالخبرة الفنية المتخصصة عند فحص الأدلة وتحديد كيفية وقوع الجريمة ومصدرها، وذلك لأن الدليل في هذا المجال يرتبط غالبًا ببيانات رقمية وأنظمة وخوادم وبيئات تقنية لا يمكن التعامل معها بالوسائل التقليدية وحدها</w:t>
      </w:r>
      <w:r w:rsidR="00362ADF">
        <w:rPr>
          <w:rStyle w:val="FootnoteReference"/>
          <w:rFonts w:ascii="Sakkal Majalla" w:hAnsi="Sakkal Majalla" w:cs="Sakkal Majalla"/>
          <w:sz w:val="32"/>
          <w:szCs w:val="32"/>
          <w:rtl/>
          <w:lang w:bidi="ar-EG"/>
        </w:rPr>
        <w:footnoteReference w:id="61"/>
      </w:r>
      <w:r w:rsidRPr="00F00EF0">
        <w:rPr>
          <w:rFonts w:ascii="Sakkal Majalla" w:hAnsi="Sakkal Majalla" w:cs="Sakkal Majalla"/>
          <w:sz w:val="32"/>
          <w:szCs w:val="32"/>
          <w:rtl/>
          <w:lang w:bidi="ar-EG"/>
        </w:rPr>
        <w:t>.</w:t>
      </w:r>
    </w:p>
    <w:p w14:paraId="5C0B2771" w14:textId="01E757CA"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lastRenderedPageBreak/>
        <w:t>ثانيًا: صعوبة الاكتشاف والإثبات</w:t>
      </w:r>
      <w:r w:rsidR="00362ADF">
        <w:rPr>
          <w:rFonts w:ascii="Sakkal Majalla" w:hAnsi="Sakkal Majalla" w:cs="Sakkal Majalla" w:hint="cs"/>
          <w:b/>
          <w:bCs/>
          <w:sz w:val="32"/>
          <w:szCs w:val="32"/>
          <w:rtl/>
          <w:lang w:bidi="ar-EG"/>
        </w:rPr>
        <w:t xml:space="preserve"> :</w:t>
      </w:r>
    </w:p>
    <w:p w14:paraId="45F75887" w14:textId="77777777"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من أبرز خصائص الجرائم الإلكترونية أنها غالبًا ما ترتكب في بيئة غير مادية، وبوسائل يصعب ملاحظتها بالطرق التقليدية، الأمر الذي يجعل اكتشافها أكثر تعقيدًا من الجرائم العادية فمرتكب الجريمة الإلكترونية يستطيع تنفيذ فعله عن بعد، وفي وقت قصير، ومن خلال أدوات تقنية قد تخفي هويته أو تقلل من فرص تتبعه كما أن الطبيعة الرقمية للفعل قد تجعله يقع دون مظاهر خارجية محسوسة، وهو ما يؤدي في كثير من الأحيان إلى تأخر اكتشاف الجريمة أو عدم الانتباه إليها إلا بعد تحقق آثارها</w:t>
      </w:r>
      <w:r w:rsidR="00362ADF">
        <w:rPr>
          <w:rStyle w:val="FootnoteReference"/>
          <w:rFonts w:ascii="Sakkal Majalla" w:hAnsi="Sakkal Majalla" w:cs="Sakkal Majalla"/>
          <w:sz w:val="32"/>
          <w:szCs w:val="32"/>
          <w:rtl/>
          <w:lang w:bidi="ar-EG"/>
        </w:rPr>
        <w:footnoteReference w:id="62"/>
      </w:r>
      <w:r w:rsidRPr="00F00EF0">
        <w:rPr>
          <w:rFonts w:ascii="Sakkal Majalla" w:hAnsi="Sakkal Majalla" w:cs="Sakkal Majalla"/>
          <w:sz w:val="32"/>
          <w:szCs w:val="32"/>
          <w:rtl/>
          <w:lang w:bidi="ar-EG"/>
        </w:rPr>
        <w:t>.</w:t>
      </w:r>
    </w:p>
    <w:p w14:paraId="592EFE01" w14:textId="045EDFD1"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وتنعكس هذه الخاصية بصورة أوضح في مرحلة الإثبات، إذ إن الأدلة في هذا النوع من الجرائم تكون في الغالب أدلة رقمية قابلة للتعديل أو الإخفاء أو الزوال خلال وقت قصير، مما يتطلب سرعة في جمعها وحفظها وفق إجراءات فنية دقيقة تضمن سلامتها وحجيتها وقد أوضحت الأدبيات الدولية الخاصة بالأدلة الرقمية أن قبول هذا النوع من الأدلة يتوقف على أصالتها وسلامتها وموثوقية الإجراءات الفنية التي اتبعت في استخراجها وتحليلها كما أن صعوبة الإثبات قد تؤثر في قدرة المتضرر على إثبات الخطأ أو علاقة السببية، خاصة في الدعاوى التي تقوم على طلب التعويض عن الأضرار الناشئة عن هذه الجرائم</w:t>
      </w:r>
      <w:r w:rsidR="00362ADF">
        <w:rPr>
          <w:rStyle w:val="FootnoteReference"/>
          <w:rFonts w:ascii="Sakkal Majalla" w:hAnsi="Sakkal Majalla" w:cs="Sakkal Majalla"/>
          <w:sz w:val="32"/>
          <w:szCs w:val="32"/>
          <w:rtl/>
          <w:lang w:bidi="ar-EG"/>
        </w:rPr>
        <w:footnoteReference w:id="63"/>
      </w:r>
      <w:r w:rsidRPr="00F00EF0">
        <w:rPr>
          <w:rFonts w:ascii="Sakkal Majalla" w:hAnsi="Sakkal Majalla" w:cs="Sakkal Majalla"/>
          <w:sz w:val="32"/>
          <w:szCs w:val="32"/>
          <w:rtl/>
          <w:lang w:bidi="ar-EG"/>
        </w:rPr>
        <w:t>.</w:t>
      </w:r>
    </w:p>
    <w:p w14:paraId="17EB1709" w14:textId="277A7EB4"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ثالثًا: الطابع العابر للحدود</w:t>
      </w:r>
      <w:r w:rsidR="00362ADF">
        <w:rPr>
          <w:rFonts w:ascii="Sakkal Majalla" w:hAnsi="Sakkal Majalla" w:cs="Sakkal Majalla" w:hint="cs"/>
          <w:b/>
          <w:bCs/>
          <w:sz w:val="32"/>
          <w:szCs w:val="32"/>
          <w:rtl/>
          <w:lang w:bidi="ar-EG"/>
        </w:rPr>
        <w:t xml:space="preserve"> :</w:t>
      </w:r>
    </w:p>
    <w:p w14:paraId="0A08691C" w14:textId="669F5004"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تتسم الجرائم الإلكترونية بأنها لا تتقيد غالبًا بحدود جغرافية أو إقليمية معينة، إذ يمكن أن ترتكب من دولة، وتستهدف نظامًا أو شخصًا أو مؤسسة في دولة أخرى، بينما تكون البيانات أو الخوادم أو البنية التقنية موزعة في أكثر من مكان</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 xml:space="preserve"> وهذه السمة تجعل الجريمة الإلكترونية من الجرائم ذات الطبيعة العابرة للحدود، بما يميزها عن كثير من الجرائم التقليدية التي ترتبط غالبًا بمكان مادي محدد. وقد أكدت المصادر الدولية أن الجريمة الإلكترونية ذات طابع عابر للحدود بدرجة كبيرة، وأن الأدلة الإلكترونية كثيرًا ما تكون موزعة عبر ولايات قضائية متعددة</w:t>
      </w:r>
      <w:r w:rsidR="00362ADF">
        <w:rPr>
          <w:rStyle w:val="FootnoteReference"/>
          <w:rFonts w:ascii="Sakkal Majalla" w:hAnsi="Sakkal Majalla" w:cs="Sakkal Majalla"/>
          <w:sz w:val="32"/>
          <w:szCs w:val="32"/>
          <w:rtl/>
          <w:lang w:bidi="ar-EG"/>
        </w:rPr>
        <w:footnoteReference w:id="64"/>
      </w:r>
      <w:r w:rsidRPr="00F00EF0">
        <w:rPr>
          <w:rFonts w:ascii="Sakkal Majalla" w:hAnsi="Sakkal Majalla" w:cs="Sakkal Majalla"/>
          <w:sz w:val="32"/>
          <w:szCs w:val="32"/>
          <w:rtl/>
          <w:lang w:bidi="ar-EG"/>
        </w:rPr>
        <w:t>.</w:t>
      </w:r>
    </w:p>
    <w:p w14:paraId="5D77EA38" w14:textId="67EE2CAF"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وتثير هذه الخاصية مشكلات قانونية وعملية متعددة، تتعلق بتحديد الاختصاص القضائي، وتعيين القانون الواجب التطبيق، وآليات التعاون الدولي في جمع الأدلة وملاحقة الجناة. كما أن اتساع النطاق الجغرافي للجريمة قد يؤدي إلى تعدد المتضررين واختلاف الأنظمة القانونية التي يمكن أن تخضع لها الواقعة، وهو ما يزيد من تعقيد المعالجة القانونية لها. ولهذا السبب أولت الاتفاقيات والمبادرات الدولية أهمية خاصة لآليات حفظ البيانات على وجه السرعة، وتبادل المساعدة القانونية، وتعزيز التعاون عبر الحدود في مسائل الجريمة الإلكترونية والأدلة الإلكترونية</w:t>
      </w:r>
      <w:r w:rsidR="00362ADF">
        <w:rPr>
          <w:rStyle w:val="FootnoteReference"/>
          <w:rFonts w:ascii="Sakkal Majalla" w:hAnsi="Sakkal Majalla" w:cs="Sakkal Majalla"/>
          <w:sz w:val="32"/>
          <w:szCs w:val="32"/>
          <w:rtl/>
          <w:lang w:bidi="ar-EG"/>
        </w:rPr>
        <w:footnoteReference w:id="65"/>
      </w:r>
      <w:r w:rsidRPr="00F00EF0">
        <w:rPr>
          <w:rFonts w:ascii="Sakkal Majalla" w:hAnsi="Sakkal Majalla" w:cs="Sakkal Majalla"/>
          <w:sz w:val="32"/>
          <w:szCs w:val="32"/>
          <w:rtl/>
          <w:lang w:bidi="ar-EG"/>
        </w:rPr>
        <w:t>.</w:t>
      </w:r>
    </w:p>
    <w:p w14:paraId="1C99FDB6" w14:textId="23B4BE1D"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رابعًا: السرعة في التنفيذ والانتشار</w:t>
      </w:r>
      <w:r w:rsidR="00362ADF">
        <w:rPr>
          <w:rFonts w:ascii="Sakkal Majalla" w:hAnsi="Sakkal Majalla" w:cs="Sakkal Majalla" w:hint="cs"/>
          <w:b/>
          <w:bCs/>
          <w:sz w:val="32"/>
          <w:szCs w:val="32"/>
          <w:rtl/>
          <w:lang w:bidi="ar-EG"/>
        </w:rPr>
        <w:t xml:space="preserve"> :</w:t>
      </w:r>
    </w:p>
    <w:p w14:paraId="3DFCF2BC" w14:textId="43520C68"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 xml:space="preserve">من الخصائص المميزة للجرائم الإلكترونية أنها ترتكب غالبًا بسرعة كبيرة، وقد تنتشر آثارها في زمن قصير جدًا مقارنة بالجرائم التقليدية. فالهجمة الإلكترونية أو عملية الاحتيال الرقمي أو نشر </w:t>
      </w:r>
      <w:r w:rsidRPr="00F00EF0">
        <w:rPr>
          <w:rFonts w:ascii="Sakkal Majalla" w:hAnsi="Sakkal Majalla" w:cs="Sakkal Majalla"/>
          <w:sz w:val="32"/>
          <w:szCs w:val="32"/>
          <w:rtl/>
          <w:lang w:bidi="ar-EG"/>
        </w:rPr>
        <w:lastRenderedPageBreak/>
        <w:t>المحتوى غير المشروع قد يتم خلال لحظات، ثم يمتد أثره إلى عدد كبير من الأشخاص أو المؤسسات في وقت وجيز</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ويرجع ذلك إلى طبيعة البيئة الرقمية ذاتها، التي تسمح بنقل البيانات وتداول المحتوى وتنفيذ الأوامر التقنية بصورة لحظية تقريبًا، بما يضاعف من أثر السلوك غير المشروع فور وقوعه</w:t>
      </w:r>
      <w:r w:rsidR="00362ADF">
        <w:rPr>
          <w:rStyle w:val="FootnoteReference"/>
          <w:rFonts w:ascii="Sakkal Majalla" w:hAnsi="Sakkal Majalla" w:cs="Sakkal Majalla"/>
          <w:sz w:val="32"/>
          <w:szCs w:val="32"/>
          <w:rtl/>
          <w:lang w:bidi="ar-EG"/>
        </w:rPr>
        <w:footnoteReference w:id="66"/>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 xml:space="preserve">وتكمن خطورة هذه الخاصية في أن الضرر لا يظل محدودًا بنطاق ضيق، بل قد يتضاعف بسرعة قبل أن تتمكن الجهات المختصة من التدخل أو الاحتواء. </w:t>
      </w:r>
    </w:p>
    <w:p w14:paraId="65FE439A" w14:textId="77777777"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ومن ثم فإن السرعة في التنفيذ والانتشار تجعل من الجريمة الإلكترونية جريمة ذات أثر متسع، وقد تؤدي إلى خسائر مالية أو معنوية أو معلوماتية كبيرة خلال فترة زمنية قصيرة. وهذا ما يفسر الحاجة إلى استجابة قانونية وإجرائية عاجلة، سواء من حيث حفظ الأدلة أو من حيث اتخاذ التدابير الوقائية أو العلاجية المناسبة</w:t>
      </w:r>
      <w:r w:rsidR="00362ADF">
        <w:rPr>
          <w:rStyle w:val="FootnoteReference"/>
          <w:rFonts w:ascii="Sakkal Majalla" w:hAnsi="Sakkal Majalla" w:cs="Sakkal Majalla"/>
          <w:sz w:val="32"/>
          <w:szCs w:val="32"/>
          <w:rtl/>
          <w:lang w:bidi="ar-EG"/>
        </w:rPr>
        <w:footnoteReference w:id="67"/>
      </w:r>
      <w:r w:rsidRPr="00F00EF0">
        <w:rPr>
          <w:rFonts w:ascii="Sakkal Majalla" w:hAnsi="Sakkal Majalla" w:cs="Sakkal Majalla"/>
          <w:sz w:val="32"/>
          <w:szCs w:val="32"/>
          <w:rtl/>
          <w:lang w:bidi="ar-EG"/>
        </w:rPr>
        <w:t>.</w:t>
      </w:r>
    </w:p>
    <w:p w14:paraId="6DEB0FCE" w14:textId="62162B74"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خامسًا: إمكانية إخفاء الهوية ومحو الآثار</w:t>
      </w:r>
      <w:r w:rsidR="00362ADF">
        <w:rPr>
          <w:rFonts w:ascii="Sakkal Majalla" w:hAnsi="Sakkal Majalla" w:cs="Sakkal Majalla" w:hint="cs"/>
          <w:b/>
          <w:bCs/>
          <w:sz w:val="32"/>
          <w:szCs w:val="32"/>
          <w:rtl/>
          <w:lang w:bidi="ar-EG"/>
        </w:rPr>
        <w:t xml:space="preserve"> :</w:t>
      </w:r>
    </w:p>
    <w:p w14:paraId="020B45CD" w14:textId="69C2ED95"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يستطيع مرتكب الجريمة الإلكترونية في كثير من الأحيان أن يستخدم وسائل تقنية متعددة لإخفاء هويته، كالشبكات الافتراضية، أو الحسابات الوهمية، أو أدوات إعادة توجيه الاتصال، أو وسائل التشفير والإخفاء. وهذه القدرة على إخفاء الهوية تمنح الجاني فرصة أكبر للإفلات من التتبع، وتجعل تحديده أكثر صعوبة، لا سيما إذا ارتبط النشاط الإجرامي ببنية تقنية موزعة أو بوسائط عابرة للحدود وقد أشارت المصادر الدولية إلى أن المجرمين قد يعملون عن بعد وبدرجة عالية من إخفاء الهوية، وهو ما يمثل أحد أبرز التحديات في هذا المجال.</w:t>
      </w:r>
    </w:p>
    <w:p w14:paraId="55F92D0D" w14:textId="119B7632"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ولا تقف المشكلة عند حد إخفاء الهوية، بل تمتد كذلك إلى إمكانية محو الآثار الرقمية أو العبث بها أو نقلها، بما يضعف من فرص اكتشاف الجريمة أو إثباتها ولهذا السبب تعد المحافظة على الأدلة الرقمية وسرعة ضبطها من المسائل الجوهرية في مواجهة هذا النوع من الجرائم، لأن التأخر في ذلك قد يؤدي إلى ضياع الدليل أو المساس بسلامته كما أن سلامة الدليل الرقمي وحجية نتائجه ترتبطان ارتباطًا وثيقًا بطريقة جمعه وفحصه وتوثيق سلسلة حيازته</w:t>
      </w:r>
      <w:r w:rsidR="0001606F">
        <w:rPr>
          <w:rStyle w:val="FootnoteReference"/>
          <w:rFonts w:ascii="Sakkal Majalla" w:hAnsi="Sakkal Majalla" w:cs="Sakkal Majalla"/>
          <w:sz w:val="32"/>
          <w:szCs w:val="32"/>
          <w:rtl/>
          <w:lang w:bidi="ar-EG"/>
        </w:rPr>
        <w:footnoteReference w:id="68"/>
      </w:r>
      <w:r w:rsidRPr="00F00EF0">
        <w:rPr>
          <w:rFonts w:ascii="Sakkal Majalla" w:hAnsi="Sakkal Majalla" w:cs="Sakkal Majalla"/>
          <w:sz w:val="32"/>
          <w:szCs w:val="32"/>
          <w:rtl/>
          <w:lang w:bidi="ar-EG"/>
        </w:rPr>
        <w:t>.</w:t>
      </w:r>
    </w:p>
    <w:p w14:paraId="2D0ECACF" w14:textId="3DA1D462"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سادسًا: تعدد صور الضرر الناشئ عنها</w:t>
      </w:r>
      <w:r w:rsidR="00362ADF">
        <w:rPr>
          <w:rFonts w:ascii="Sakkal Majalla" w:hAnsi="Sakkal Majalla" w:cs="Sakkal Majalla" w:hint="cs"/>
          <w:b/>
          <w:bCs/>
          <w:sz w:val="32"/>
          <w:szCs w:val="32"/>
          <w:rtl/>
          <w:lang w:bidi="ar-EG"/>
        </w:rPr>
        <w:t xml:space="preserve"> :</w:t>
      </w:r>
    </w:p>
    <w:p w14:paraId="7BFFAF05" w14:textId="4E656658"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لا يقتصر الضرر الناتج عن الجرائم الإلكترونية على جانب واحد، بل قد يكون ضررًا ماديًا أو معنويًا أو معلوماتيًا، وقد يمس السمعة والخصوصية والاعتبار الشخصي، فضلًا عن المصالح الاقتصادية والمؤسسية. فقد يترتب على الجريمة الإلكترونية خسارة مالية مباشرة، أو تسريب بيانات شخصية، أو تعطيل خدمات إلكترونية، أو تشويه سمعة الأفراد والمؤسسات عبر المحتوى الرقمي. ويكشف هذا التعدد في صور الضرر عن أن آثار الجريمة الإلكترونية لا تتوقف عند حدود الاعتداء على النظام أو البيانات، بل تمتد إلى مصالح وحقوق متنوعة يحميها القانون</w:t>
      </w:r>
      <w:r w:rsidR="00362ADF">
        <w:rPr>
          <w:rStyle w:val="FootnoteReference"/>
          <w:rFonts w:ascii="Sakkal Majalla" w:hAnsi="Sakkal Majalla" w:cs="Sakkal Majalla"/>
          <w:sz w:val="32"/>
          <w:szCs w:val="32"/>
          <w:rtl/>
          <w:lang w:bidi="ar-EG"/>
        </w:rPr>
        <w:footnoteReference w:id="69"/>
      </w:r>
      <w:r w:rsidRPr="00F00EF0">
        <w:rPr>
          <w:rFonts w:ascii="Sakkal Majalla" w:hAnsi="Sakkal Majalla" w:cs="Sakkal Majalla"/>
          <w:sz w:val="32"/>
          <w:szCs w:val="32"/>
          <w:rtl/>
          <w:lang w:bidi="ar-EG"/>
        </w:rPr>
        <w:t>.</w:t>
      </w:r>
    </w:p>
    <w:p w14:paraId="2B740D7F" w14:textId="5220360E"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وتظهر أهمية هذه الخاصية في أنها تجعل تقدير الضرر أكثر تعقيدًا، كما تؤثر في تحديد نوع الحماية القانونية المطلوبة، سواء كانت حماية جنائية أم مدنية. وفي نطاق المسؤولية المدنية على وجه الخصوص، فإن تعدد صور الضرر ينعكس على تقدير التعويض، وعلى بيان مدى ارتباطه بالفعل غير المشروع المرتكب في البيئة الرقمية، ولا سيما إذا ترتب على الفعل ضرر متسلسل أو </w:t>
      </w:r>
      <w:r w:rsidRPr="00F00EF0">
        <w:rPr>
          <w:rFonts w:ascii="Sakkal Majalla" w:hAnsi="Sakkal Majalla" w:cs="Sakkal Majalla"/>
          <w:sz w:val="32"/>
          <w:szCs w:val="32"/>
          <w:rtl/>
          <w:lang w:bidi="ar-EG"/>
        </w:rPr>
        <w:lastRenderedPageBreak/>
        <w:t>ممتد أو أصاب أكثر من مصلحة قانونية في وقت واحد وهذه السمة تبرز بوضوح الحاجة إلى معالجة قانونية دقيقة تراعي طبيعة الضرر الرقمي وخصوصية آثاره</w:t>
      </w:r>
      <w:r w:rsidR="00362ADF">
        <w:rPr>
          <w:rStyle w:val="FootnoteReference"/>
          <w:rFonts w:ascii="Sakkal Majalla" w:hAnsi="Sakkal Majalla" w:cs="Sakkal Majalla"/>
          <w:sz w:val="32"/>
          <w:szCs w:val="32"/>
          <w:rtl/>
          <w:lang w:bidi="ar-EG"/>
        </w:rPr>
        <w:footnoteReference w:id="70"/>
      </w:r>
      <w:r w:rsidRPr="00F00EF0">
        <w:rPr>
          <w:rFonts w:ascii="Sakkal Majalla" w:hAnsi="Sakkal Majalla" w:cs="Sakkal Majalla"/>
          <w:sz w:val="32"/>
          <w:szCs w:val="32"/>
          <w:rtl/>
          <w:lang w:bidi="ar-EG"/>
        </w:rPr>
        <w:t>.</w:t>
      </w:r>
    </w:p>
    <w:p w14:paraId="2F1263EF" w14:textId="310302C8"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سابعًا: الارتباط بالتطور المستمر للتقنية</w:t>
      </w:r>
      <w:r w:rsidR="005E3775">
        <w:rPr>
          <w:rFonts w:ascii="Sakkal Majalla" w:hAnsi="Sakkal Majalla" w:cs="Sakkal Majalla" w:hint="cs"/>
          <w:b/>
          <w:bCs/>
          <w:sz w:val="32"/>
          <w:szCs w:val="32"/>
          <w:rtl/>
          <w:lang w:bidi="ar-EG"/>
        </w:rPr>
        <w:t xml:space="preserve"> :</w:t>
      </w:r>
    </w:p>
    <w:p w14:paraId="6F909B24" w14:textId="0449917D" w:rsidR="00F00EF0" w:rsidRPr="00F00EF0" w:rsidRDefault="00F00EF0" w:rsidP="00F00EF0">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تتطور الجرائم الإلكترونية بتطور الوسائل التقنية ذاتها، إذ إن كل تطور في أنظمة الاتصال أو البرمجيات أو الذكاء الاصطناعي أو وسائل المعالجة الرقمية قد يفرز صورًا جديدة من السلوك الإجرامي لم تكن معروفة من قبل ولذلك فإن هذا النوع من الجرائم يتميز بعدم الثبات، بل بالتجدد المستمر في الأدوات والوسائل والأساليب</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وهذا ما يفسر صعوبة إحاطة المشرع بجميع الصور المستحدثة في قالب جامد، ويبرر الاتجاه نحو الصياغات النظامية المرنة التي تستوعب الأفعال المستجدة في البيئة الرقمية</w:t>
      </w:r>
      <w:r w:rsidR="005E3775">
        <w:rPr>
          <w:rStyle w:val="FootnoteReference"/>
          <w:rFonts w:ascii="Sakkal Majalla" w:hAnsi="Sakkal Majalla" w:cs="Sakkal Majalla"/>
          <w:sz w:val="32"/>
          <w:szCs w:val="32"/>
          <w:rtl/>
          <w:lang w:bidi="ar-EG"/>
        </w:rPr>
        <w:footnoteReference w:id="71"/>
      </w:r>
      <w:r w:rsidRPr="00F00EF0">
        <w:rPr>
          <w:rFonts w:ascii="Sakkal Majalla" w:hAnsi="Sakkal Majalla" w:cs="Sakkal Majalla"/>
          <w:sz w:val="32"/>
          <w:szCs w:val="32"/>
          <w:rtl/>
          <w:lang w:bidi="ar-EG"/>
        </w:rPr>
        <w:t>.</w:t>
      </w:r>
    </w:p>
    <w:p w14:paraId="1A7ED227" w14:textId="53858705"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ويؤدي ذلك إلى صعوبة الإحاطة بجميع صور الجريمة الإلكترونية في إطار جامد، كما يفرض على الأنظمة القانونية أن تتسم بالمرونة والقدرة على الاستجابة للتطورات التقنية المتلاحقة ومن هنا تظهر الحاجة إلى تطوير مستمر في التشريعات، وفي وسائل المكافحة، وفي أدوات الإثبات والتحقيق، حتى تظل المواجهة القانونية مواكبة للتحولات الرقمية المستجدة، خاصة في ظل تزايد الاعتماد على الأدلة الإلكترونية واتساع صور الجريمة العابرة للحدود</w:t>
      </w:r>
      <w:r w:rsidR="00362ADF">
        <w:rPr>
          <w:rStyle w:val="FootnoteReference"/>
          <w:rFonts w:ascii="Sakkal Majalla" w:hAnsi="Sakkal Majalla" w:cs="Sakkal Majalla"/>
          <w:sz w:val="32"/>
          <w:szCs w:val="32"/>
          <w:rtl/>
          <w:lang w:bidi="ar-EG"/>
        </w:rPr>
        <w:footnoteReference w:id="72"/>
      </w:r>
      <w:r w:rsidRPr="00F00EF0">
        <w:rPr>
          <w:rFonts w:ascii="Sakkal Majalla" w:hAnsi="Sakkal Majalla" w:cs="Sakkal Majalla"/>
          <w:sz w:val="32"/>
          <w:szCs w:val="32"/>
          <w:rtl/>
          <w:lang w:bidi="ar-EG"/>
        </w:rPr>
        <w:t>.</w:t>
      </w:r>
    </w:p>
    <w:p w14:paraId="77C364F2" w14:textId="6D853420"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ومما تقدم يتبين أن الجرائم الإلكترونية تتمتع بخصائص تجعلها مختلفة في طبيعتها وآثارها عن الجرائم التقليدية؛ فهي جرائم ذات طابع تقني، عابرة للحدود، سريعة التنفيذ والانتشار، يصعب اكتشافها وإثباتها، كما أنها قد تخلّف أضرارًا متعددة ومتسعة النطاق وهذه الخصائص لا تكشف فقط عن خصوصية هذا النوع من الجرائم، بل تمهد كذلك لفهم التحديات القانونية التي تثيرها، سواء على مستوى التجريم أو الإثبات أو المسؤولية</w:t>
      </w:r>
      <w:r w:rsidR="00362ADF">
        <w:rPr>
          <w:rStyle w:val="FootnoteReference"/>
          <w:rFonts w:ascii="Sakkal Majalla" w:hAnsi="Sakkal Majalla" w:cs="Sakkal Majalla"/>
          <w:sz w:val="32"/>
          <w:szCs w:val="32"/>
          <w:rtl/>
          <w:lang w:bidi="ar-EG"/>
        </w:rPr>
        <w:footnoteReference w:id="73"/>
      </w:r>
      <w:r w:rsidR="00362ADF">
        <w:rPr>
          <w:rFonts w:ascii="Sakkal Majalla" w:hAnsi="Sakkal Majalla" w:cs="Sakkal Majalla" w:hint="cs"/>
          <w:sz w:val="32"/>
          <w:szCs w:val="32"/>
          <w:rtl/>
          <w:lang w:bidi="ar-EG"/>
        </w:rPr>
        <w:t xml:space="preserve"> .</w:t>
      </w:r>
    </w:p>
    <w:p w14:paraId="3DEDF22C" w14:textId="69214DAE" w:rsidR="001B7E82" w:rsidRDefault="00F00EF0" w:rsidP="00F00EF0">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ويؤدي ذلك إلى صعوبة الإحاطة بجميع صور الجريمة الإلكترونية في إطار جامد، كما يفرض على الأنظمة القانونية أن تتسم بالمرونة والقدرة على الاستجابة للتطورات التقنية المتلاحقة</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ومن هنا تظهر الحاجة إلى تطوير مستمر في التشريعات، وفي وسائل المكافحة، وفي أدوات الإثبات والتحقيق، حتى تظل المواجهة القانونية مواكبة للتحولات الرقمية المستجدة، خاصة في ظل تزايد الاعتماد على الأدلة الإلكترونية واتساع صور الجريمة العابرة للحدود</w:t>
      </w:r>
      <w:r w:rsidR="00A70643">
        <w:rPr>
          <w:rStyle w:val="FootnoteReference"/>
          <w:rFonts w:ascii="Sakkal Majalla" w:hAnsi="Sakkal Majalla" w:cs="Sakkal Majalla"/>
          <w:sz w:val="32"/>
          <w:szCs w:val="32"/>
          <w:rtl/>
          <w:lang w:bidi="ar-EG"/>
        </w:rPr>
        <w:footnoteReference w:id="74"/>
      </w:r>
    </w:p>
    <w:p w14:paraId="1069D6A5" w14:textId="4B6E2AE3" w:rsidR="00B84097" w:rsidRPr="00A70643" w:rsidRDefault="00684AAE" w:rsidP="00A70643">
      <w:pPr>
        <w:bidi/>
        <w:spacing w:line="360" w:lineRule="auto"/>
        <w:jc w:val="mediumKashida"/>
        <w:rPr>
          <w:rFonts w:ascii="Sakkal Majalla" w:hAnsi="Sakkal Majalla" w:cs="Sakkal Majalla"/>
          <w:b/>
          <w:bCs/>
          <w:sz w:val="32"/>
          <w:szCs w:val="32"/>
          <w:lang w:bidi="ar-EG"/>
        </w:rPr>
      </w:pPr>
      <w:r w:rsidRPr="00B84097">
        <w:rPr>
          <w:rFonts w:ascii="Sakkal Majalla" w:hAnsi="Sakkal Majalla" w:cs="Sakkal Majalla"/>
          <w:b/>
          <w:bCs/>
          <w:sz w:val="32"/>
          <w:szCs w:val="32"/>
          <w:rtl/>
          <w:lang w:bidi="ar-EG"/>
        </w:rPr>
        <w:t>المطلب الثاني: التحديات القانونية للجرائم الرقمية</w:t>
      </w:r>
      <w:r w:rsidR="00B84097">
        <w:rPr>
          <w:rFonts w:ascii="Sakkal Majalla" w:hAnsi="Sakkal Majalla" w:cs="Sakkal Majalla" w:hint="cs"/>
          <w:b/>
          <w:bCs/>
          <w:sz w:val="32"/>
          <w:szCs w:val="32"/>
          <w:rtl/>
          <w:lang w:bidi="ar-EG"/>
        </w:rPr>
        <w:t xml:space="preserve"> : </w:t>
      </w:r>
    </w:p>
    <w:p w14:paraId="347512A1" w14:textId="658796D0" w:rsidR="00CD54A1"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تثير الجرائم الرقمية عددًا من التحديات القانونية التي تجعل معالجتها أكثر تعقيدًا من الجرائم التقليدية، ذلك أن هذا النوع من الجرائم يرتبط ببيئة تقنية متغيرة، تتسم بسرعة التطور، وتعدد الوسائط، واتساع النطاق الجغرافي، فضلًا عن إمكان ارتكاب الفعل غير المشروع عن بعد وبوسائل يصعب تتبعها</w:t>
      </w:r>
      <w:r w:rsidR="001C5F30">
        <w:rPr>
          <w:rStyle w:val="FootnoteReference"/>
          <w:rFonts w:ascii="Sakkal Majalla" w:hAnsi="Sakkal Majalla" w:cs="Sakkal Majalla"/>
          <w:sz w:val="32"/>
          <w:szCs w:val="32"/>
          <w:rtl/>
          <w:lang w:bidi="ar-EG"/>
        </w:rPr>
        <w:footnoteReference w:id="75"/>
      </w:r>
      <w:r w:rsidR="00CD54A1">
        <w:rPr>
          <w:rFonts w:ascii="Sakkal Majalla" w:hAnsi="Sakkal Majalla" w:cs="Sakkal Majalla" w:hint="cs"/>
          <w:sz w:val="32"/>
          <w:szCs w:val="32"/>
          <w:rtl/>
          <w:lang w:bidi="ar-EG"/>
        </w:rPr>
        <w:t xml:space="preserve"> </w:t>
      </w:r>
    </w:p>
    <w:p w14:paraId="475C2F3D" w14:textId="685A663C" w:rsidR="00B84097" w:rsidRPr="00B84097" w:rsidRDefault="00B84097" w:rsidP="00CD54A1">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ومن ثم فإن الإشكال في الجرائم الرقمية لا ينحصر في تحديد الفعل المجرم فحسب، بل يمتد إلى مسائل أكثر دقة تتعلق بإثباته، وتحديد مرتكبه، وتعيين القانون الواجب التطبيق، وبيان الجهة المختصة بنظر النزاع</w:t>
      </w:r>
      <w:r w:rsidR="00FC655F">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ويؤكد هذا التعقيد ما اتجهت إليه الصكوك الدولية الحديثة من تعزيز التعاون في مواجهة الجريمة السيبرانية وتيسير تبادل الأدلة الإلكترونية عبر الحدود، وهو ما تجسد في اتفاقية بودابست وما لحقها من أدوات تعاون إضافية، وكذلك في الاتفاقية الأممية المعتمدة في 24 ديسمبر 2024 لمكافحة الجريمة السيبرانية</w:t>
      </w:r>
      <w:r w:rsidR="00CD54A1">
        <w:rPr>
          <w:rStyle w:val="FootnoteReference"/>
          <w:rFonts w:ascii="Sakkal Majalla" w:hAnsi="Sakkal Majalla" w:cs="Sakkal Majalla"/>
          <w:sz w:val="32"/>
          <w:szCs w:val="32"/>
          <w:rtl/>
          <w:lang w:bidi="ar-EG"/>
        </w:rPr>
        <w:footnoteReference w:id="76"/>
      </w:r>
      <w:r w:rsidRPr="00B84097">
        <w:rPr>
          <w:rFonts w:ascii="Sakkal Majalla" w:hAnsi="Sakkal Majalla" w:cs="Sakkal Majalla"/>
          <w:sz w:val="32"/>
          <w:szCs w:val="32"/>
          <w:rtl/>
          <w:lang w:bidi="ar-EG"/>
        </w:rPr>
        <w:t>.</w:t>
      </w:r>
    </w:p>
    <w:p w14:paraId="07D9EC5E" w14:textId="4E4D9176" w:rsidR="00CD54A1"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وتزداد أهمية بحث هذه التحديات في إطار الدراسة الحالية، لأن الجرائم الإلكترونية المرتكبة باستخدام الذكاء الاصطناعي تضيف إلى البيئة الرقمية قدرًا أكبر من التعقيد، سواء من حيث آلية ارتكاب الفعل، أو من حيث صعوبة تفسير السلوك التقني، أو من حيث تحديد المسؤول عن النتائج الضارة الناشئة عنه</w:t>
      </w:r>
      <w:r w:rsidR="00CD54A1">
        <w:rPr>
          <w:rStyle w:val="FootnoteReference"/>
          <w:rFonts w:ascii="Sakkal Majalla" w:hAnsi="Sakkal Majalla" w:cs="Sakkal Majalla"/>
          <w:sz w:val="32"/>
          <w:szCs w:val="32"/>
          <w:rtl/>
          <w:lang w:bidi="ar-EG"/>
        </w:rPr>
        <w:footnoteReference w:id="77"/>
      </w:r>
      <w:r w:rsidRPr="00B84097">
        <w:rPr>
          <w:rFonts w:ascii="Sakkal Majalla" w:hAnsi="Sakkal Majalla" w:cs="Sakkal Majalla"/>
          <w:sz w:val="32"/>
          <w:szCs w:val="32"/>
          <w:rtl/>
          <w:lang w:bidi="ar-EG"/>
        </w:rPr>
        <w:t>.</w:t>
      </w:r>
    </w:p>
    <w:p w14:paraId="324AA708" w14:textId="6F10EB67" w:rsidR="00B84097" w:rsidRPr="00B84097" w:rsidRDefault="00B84097" w:rsidP="00FC655F">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 xml:space="preserve"> لذلك فإن الوقوف على أبرز التحديات القانونية للجرائم الرقمية يعد خطوة لازمة لفهم طبيعة المسؤولية التي قد تنشأ عنها، وخاصة المسؤولية المدنية محل البحث</w:t>
      </w:r>
      <w:r w:rsidR="00CD54A1">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كما أن النظام السعودي ذاته يعكس هذا الإدراك حين جعل من أهداف نظام مكافحة جرائم المعلوماتية تعزيز أمن المعلومات، وحماية الحقوق الناشئة عن الاستخدام المشروع للحاسبات والشبكات، وصون المصلحة العامة.</w:t>
      </w:r>
    </w:p>
    <w:p w14:paraId="37AC0F4B" w14:textId="27EAB69F" w:rsidR="00B84097" w:rsidRPr="00184B72" w:rsidRDefault="00B84097" w:rsidP="00CD54A1">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أولًا: صعوبة تحديد الفاعل الرقمي</w:t>
      </w:r>
      <w:r w:rsidR="00CD54A1" w:rsidRPr="00184B72">
        <w:rPr>
          <w:rFonts w:ascii="Sakkal Majalla" w:hAnsi="Sakkal Majalla" w:cs="Sakkal Majalla" w:hint="cs"/>
          <w:b/>
          <w:bCs/>
          <w:sz w:val="32"/>
          <w:szCs w:val="32"/>
          <w:rtl/>
          <w:lang w:bidi="ar-EG"/>
        </w:rPr>
        <w:t xml:space="preserve"> :</w:t>
      </w:r>
    </w:p>
    <w:p w14:paraId="72881521" w14:textId="2168507E"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من أبرز التحديات القانونية في الجرائم الرقمية صعوبة تحديد الشخص الذي ارتكب الفعل غير المشروع، ذلك أن البيئة الرقمية تتيح لمرتكب الجريمة استخدام وسائل متعددة لإخفاء هويته، مثل الحسابات الوهمية، وتقنيات التشفير، وبرامج إخفاء عنوان الاتصال، والشبكات الافتراضية ويترتب على ذلك أن الوصول إلى الفاعل الحقيقي قد يصبح أمرًا معقدًا، خاصة إذا ارتكبت الجريمة عبر وسائط تقنية متعددة أو من خلال أكثر من دولة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وقد بينت الأدبيات الدولية المعاصرة في مجال الجريمة السيبرانية أن مرتكبي هذه الجرائم قد يعملون عن بعد وبدرجات مرتفعة من إخفاء الهوية، مما يجعل التعقب الفني والقانوني أكثر صعوبة</w:t>
      </w:r>
      <w:r w:rsidR="00184B72">
        <w:rPr>
          <w:rStyle w:val="FootnoteReference"/>
          <w:rFonts w:ascii="Sakkal Majalla" w:hAnsi="Sakkal Majalla" w:cs="Sakkal Majalla"/>
          <w:sz w:val="32"/>
          <w:szCs w:val="32"/>
          <w:rtl/>
          <w:lang w:bidi="ar-EG"/>
        </w:rPr>
        <w:footnoteReference w:id="78"/>
      </w:r>
      <w:r w:rsidRPr="00B84097">
        <w:rPr>
          <w:rFonts w:ascii="Sakkal Majalla" w:hAnsi="Sakkal Majalla" w:cs="Sakkal Majalla"/>
          <w:sz w:val="32"/>
          <w:szCs w:val="32"/>
          <w:rtl/>
          <w:lang w:bidi="ar-EG"/>
        </w:rPr>
        <w:t>.</w:t>
      </w:r>
    </w:p>
    <w:p w14:paraId="28D61C73" w14:textId="276B930D"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وتنعكس هذه الصعوبة على المساءلة القانونية، لأن القاعدة العامة تقتضي نسبة الفعل إلى شخص محدد حتى يمكن مساءلته عنه</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أما في الجرائم الرقمية، فقد يبدو الفاعل مجهولًا أو متخفيًا خلف طبقات تقنية متعددة، مما يجعل إسناد الفعل الضار أكثر تعقيدًا، ويؤثر في إمكان إقامة الدعوى الجنائية أو المدنية على أساس واضح. وتزداد حدة هذه الإشكالية متى كان النشاط الإجرامي متصلًا بخوادم أو مزودي خدمة أو بيانات موزعة عبر أكثر من ولاية قضائية</w:t>
      </w:r>
      <w:r w:rsidR="00184B72">
        <w:rPr>
          <w:rStyle w:val="FootnoteReference"/>
          <w:rFonts w:ascii="Sakkal Majalla" w:hAnsi="Sakkal Majalla" w:cs="Sakkal Majalla"/>
          <w:sz w:val="32"/>
          <w:szCs w:val="32"/>
          <w:rtl/>
          <w:lang w:bidi="ar-EG"/>
        </w:rPr>
        <w:footnoteReference w:id="79"/>
      </w:r>
      <w:r w:rsidRPr="00B84097">
        <w:rPr>
          <w:rFonts w:ascii="Sakkal Majalla" w:hAnsi="Sakkal Majalla" w:cs="Sakkal Majalla"/>
          <w:sz w:val="32"/>
          <w:szCs w:val="32"/>
          <w:rtl/>
          <w:lang w:bidi="ar-EG"/>
        </w:rPr>
        <w:t>.</w:t>
      </w:r>
    </w:p>
    <w:p w14:paraId="6D85FACA" w14:textId="2A440963" w:rsidR="00B84097" w:rsidRPr="00184B72" w:rsidRDefault="00B84097" w:rsidP="00184B72">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ثانيًا: صعوبة الإثبات وحجية الدليل الرقمي</w:t>
      </w:r>
      <w:r w:rsidR="00184B72" w:rsidRPr="00184B72">
        <w:rPr>
          <w:rFonts w:ascii="Sakkal Majalla" w:hAnsi="Sakkal Majalla" w:cs="Sakkal Majalla" w:hint="cs"/>
          <w:b/>
          <w:bCs/>
          <w:sz w:val="32"/>
          <w:szCs w:val="32"/>
          <w:rtl/>
          <w:lang w:bidi="ar-EG"/>
        </w:rPr>
        <w:t xml:space="preserve"> :</w:t>
      </w:r>
    </w:p>
    <w:p w14:paraId="545E0158" w14:textId="1CCA9569"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يطرح الإثبات في الجرائم الرقمية تحديًا قانونيًا مهمًا، لأن الأدلة في هذا النوع من الجرائم تكون في الغالب أدلة إلكترونية غير ملموسة، قابلة للمحو أو التعديل أو الإخفاء خلال فترة قصيرة كما أن التعامل مع هذه الأدلة يحتاج إلى خبرة فنية دقيقة تضمن جمعها وحفظها وتحليلها بطريقة سليمة، حتى تظل صالحة للاحتجاج بها أمام جهات التحقيق أو القضاء</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وتشير أدبيات الأمم </w:t>
      </w:r>
      <w:r w:rsidRPr="00B84097">
        <w:rPr>
          <w:rFonts w:ascii="Sakkal Majalla" w:hAnsi="Sakkal Majalla" w:cs="Sakkal Majalla"/>
          <w:sz w:val="32"/>
          <w:szCs w:val="32"/>
          <w:rtl/>
          <w:lang w:bidi="ar-EG"/>
        </w:rPr>
        <w:lastRenderedPageBreak/>
        <w:t>المتحدة إلى أن مسرح الجريمة في القضايا السيبرانية لا يقتصر على مكان مادي محدد، بل يمتد إلى الأجهزة والأنظمة والخوادم التي قد تحتوي على أدلة رقمية ذات صلة</w:t>
      </w:r>
      <w:r w:rsidR="00184B72">
        <w:rPr>
          <w:rStyle w:val="FootnoteReference"/>
          <w:rFonts w:ascii="Sakkal Majalla" w:hAnsi="Sakkal Majalla" w:cs="Sakkal Majalla"/>
          <w:sz w:val="32"/>
          <w:szCs w:val="32"/>
          <w:rtl/>
          <w:lang w:bidi="ar-EG"/>
        </w:rPr>
        <w:footnoteReference w:id="80"/>
      </w:r>
      <w:r w:rsidRPr="00B84097">
        <w:rPr>
          <w:rFonts w:ascii="Sakkal Majalla" w:hAnsi="Sakkal Majalla" w:cs="Sakkal Majalla"/>
          <w:sz w:val="32"/>
          <w:szCs w:val="32"/>
          <w:rtl/>
          <w:lang w:bidi="ar-EG"/>
        </w:rPr>
        <w:t>.</w:t>
      </w:r>
    </w:p>
    <w:p w14:paraId="3565FAA8" w14:textId="552778F4" w:rsidR="00B84097" w:rsidRPr="00184B72"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وتبرز الصعوبة هنا في أن الخطأ في جمع الدليل الرقمي أو حفظه قد يؤدي إلى الطعن في حجيته أو فقدان قيمته القانونية كما أن المتضرر في بعض الحالات قد لا يتمكن من الوصول إلى البيانات أو السجلات الفنية اللازمة لإثبات الضرر أو العلاقة السببية، وهو ما يجعل الإثبات في الجرائم الرقمية أكثر تعقيدًا من الإثبات في الجرائم التقليدية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ولهذا اكتسبت سلامة إجراءات التحفظ على الدليل الرقمي، وسلسلة حيازته، وموثوقية التحليل الفني أهمية محورية في العمل القضائي والتحقيقي</w:t>
      </w:r>
      <w:r w:rsidR="00184B72">
        <w:rPr>
          <w:rStyle w:val="FootnoteReference"/>
          <w:rFonts w:ascii="Sakkal Majalla" w:hAnsi="Sakkal Majalla" w:cs="Sakkal Majalla"/>
          <w:sz w:val="32"/>
          <w:szCs w:val="32"/>
          <w:rtl/>
          <w:lang w:bidi="ar-EG"/>
        </w:rPr>
        <w:footnoteReference w:id="81"/>
      </w:r>
      <w:r w:rsidRPr="00B84097">
        <w:rPr>
          <w:rFonts w:ascii="Sakkal Majalla" w:hAnsi="Sakkal Majalla" w:cs="Sakkal Majalla"/>
          <w:sz w:val="32"/>
          <w:szCs w:val="32"/>
          <w:rtl/>
          <w:lang w:bidi="ar-EG"/>
        </w:rPr>
        <w:t>.</w:t>
      </w:r>
    </w:p>
    <w:p w14:paraId="56A8B5A9" w14:textId="29FFD221" w:rsidR="00B84097" w:rsidRPr="00184B72" w:rsidRDefault="00B84097" w:rsidP="00184B72">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ثالثًا: الطابع العابر للحدود وتنازع الاختصاص</w:t>
      </w:r>
      <w:r w:rsidR="00184B72">
        <w:rPr>
          <w:rFonts w:ascii="Sakkal Majalla" w:hAnsi="Sakkal Majalla" w:cs="Sakkal Majalla" w:hint="cs"/>
          <w:b/>
          <w:bCs/>
          <w:sz w:val="32"/>
          <w:szCs w:val="32"/>
          <w:rtl/>
          <w:lang w:bidi="ar-EG"/>
        </w:rPr>
        <w:t xml:space="preserve"> :</w:t>
      </w:r>
    </w:p>
    <w:p w14:paraId="47E9CC40" w14:textId="59D9E687"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تتميز الجرائم الرقمية بأنها قد ترتكب من إقليم دولة، وتستهدف شخصًا أو مؤسسة في دولة أخرى، بينما تكون الخوادم أو البيانات أو الوسائط التقنية المستخدمة موجودة في دولة ثالثة. وهذه الطبيعة العابرة للحدود تثير إشكاليات قانونية تتعلق بتحديد المحكمة المختصة، وتعيين القانون الواجب التطبيق</w:t>
      </w:r>
      <w:r w:rsidR="00184B72">
        <w:rPr>
          <w:rStyle w:val="FootnoteReference"/>
          <w:rFonts w:ascii="Sakkal Majalla" w:hAnsi="Sakkal Majalla" w:cs="Sakkal Majalla"/>
          <w:sz w:val="32"/>
          <w:szCs w:val="32"/>
          <w:rtl/>
          <w:lang w:bidi="ar-EG"/>
        </w:rPr>
        <w:footnoteReference w:id="82"/>
      </w:r>
      <w:r w:rsidRPr="00B84097">
        <w:rPr>
          <w:rFonts w:ascii="Sakkal Majalla" w:hAnsi="Sakkal Majalla" w:cs="Sakkal Majalla"/>
          <w:sz w:val="32"/>
          <w:szCs w:val="32"/>
          <w:rtl/>
          <w:lang w:bidi="ar-EG"/>
        </w:rPr>
        <w:t>، وبيان الجهة التي تملك سلطة التحقيق أو الملاحقة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وقد أكدت </w:t>
      </w:r>
      <w:r w:rsidRPr="00B84097">
        <w:rPr>
          <w:rFonts w:ascii="Sakkal Majalla" w:hAnsi="Sakkal Majalla" w:cs="Sakkal Majalla"/>
          <w:sz w:val="32"/>
          <w:szCs w:val="32"/>
          <w:rtl/>
          <w:lang w:bidi="ar-EG"/>
        </w:rPr>
        <w:lastRenderedPageBreak/>
        <w:t>المصادر الدولية أن الأدلة الإلكترونية كثيرًا ما تكون موزعة عبر ولايات قضائية متعددة، وأن هذا التوزع يمثل أحد أكبر التحديات في التحقيقات الرقمية.</w:t>
      </w:r>
    </w:p>
    <w:p w14:paraId="249C1537" w14:textId="77777777" w:rsidR="007B6239"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 xml:space="preserve">ويؤدي هذا التداخل إلى صعوبة في تطبيق القواعد التقليدية للاختصاص المكاني، لأن الجريمة لا تقع في مكان مادي واحد يسهل تحديده. </w:t>
      </w:r>
    </w:p>
    <w:p w14:paraId="0D66DA51" w14:textId="433D3C80"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كما قد يترتب عليه بطء في الوصول إلى الأدلة أو في تبادل المعلومات بين الدول، مما يضعف من فعالية المواجهة القانونية لهذا النوع من الجرائم. ولذلك اتجهت اتفاقية بودابست والبروتوكول الإضافي الثاني الملحق بها إلى تطوير آليات أكثر فاعلية للتعاون الدولي والحصول على الأدلة الإلكترونية، بما في ذلك التعاون المباشر مع مزودي الخدمة في بعض الحالات، مع إخضاع ذلك لضمانات تتعلق بحقوق الإنسان وحماية البيانات</w:t>
      </w:r>
      <w:r w:rsidR="007B6239">
        <w:rPr>
          <w:rStyle w:val="FootnoteReference"/>
          <w:rFonts w:ascii="Sakkal Majalla" w:hAnsi="Sakkal Majalla" w:cs="Sakkal Majalla"/>
          <w:sz w:val="32"/>
          <w:szCs w:val="32"/>
          <w:rtl/>
          <w:lang w:bidi="ar-EG"/>
        </w:rPr>
        <w:footnoteReference w:id="83"/>
      </w:r>
      <w:r w:rsidRPr="00B84097">
        <w:rPr>
          <w:rFonts w:ascii="Sakkal Majalla" w:hAnsi="Sakkal Majalla" w:cs="Sakkal Majalla"/>
          <w:sz w:val="32"/>
          <w:szCs w:val="32"/>
          <w:rtl/>
          <w:lang w:bidi="ar-EG"/>
        </w:rPr>
        <w:t>.</w:t>
      </w:r>
    </w:p>
    <w:p w14:paraId="3C25692E" w14:textId="15E88468" w:rsidR="00B84097" w:rsidRPr="007B6239" w:rsidRDefault="00B84097" w:rsidP="007B6239">
      <w:pPr>
        <w:bidi/>
        <w:spacing w:line="360" w:lineRule="auto"/>
        <w:jc w:val="mediumKashida"/>
        <w:rPr>
          <w:rFonts w:ascii="Sakkal Majalla" w:hAnsi="Sakkal Majalla" w:cs="Sakkal Majalla"/>
          <w:b/>
          <w:bCs/>
          <w:sz w:val="32"/>
          <w:szCs w:val="32"/>
          <w:lang w:bidi="ar-EG"/>
        </w:rPr>
      </w:pPr>
      <w:r w:rsidRPr="007B6239">
        <w:rPr>
          <w:rFonts w:ascii="Sakkal Majalla" w:hAnsi="Sakkal Majalla" w:cs="Sakkal Majalla"/>
          <w:b/>
          <w:bCs/>
          <w:sz w:val="32"/>
          <w:szCs w:val="32"/>
          <w:rtl/>
          <w:lang w:bidi="ar-EG"/>
        </w:rPr>
        <w:t>رابعًا: إشكالية التكييف القانوني للأفعال الرقمية</w:t>
      </w:r>
      <w:r w:rsidR="007B6239">
        <w:rPr>
          <w:rFonts w:ascii="Sakkal Majalla" w:hAnsi="Sakkal Majalla" w:cs="Sakkal Majalla" w:hint="cs"/>
          <w:b/>
          <w:bCs/>
          <w:sz w:val="32"/>
          <w:szCs w:val="32"/>
          <w:rtl/>
          <w:lang w:bidi="ar-EG"/>
        </w:rPr>
        <w:t xml:space="preserve"> :</w:t>
      </w:r>
    </w:p>
    <w:p w14:paraId="0C16448A" w14:textId="039537DB" w:rsidR="00B84097" w:rsidRPr="007B6239"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من التحديات المهمة كذلك صعوبة التكييف القانوني لبعض صور الجرائم الرقمية، خاصة عندما تكون الوسائل التقنية المستخدمة حديثة، أو عندما تتخذ الأفعال صورًا غير مألوفة في الجرائم التقليدية. فقد يكون الفعل في ظاهره مجرد سلوك تقني، لكنه في حقيقته اعتداء على حق أو مصلحة يحميها القانون، الأمر الذي يتطلب جهدًا قانونيًا لتحديد الوصف الصحيح له. وتبدو هذه الصعوبة أكثر وضوحًا كلما اتسعت صور الاستخدام غير المشروع للتقنيات الحديثة أو ظهرت أنماط من الاعتداء لم تكن مألوفة عند وضع النصوص التقليدية</w:t>
      </w:r>
      <w:r w:rsidR="007B6239">
        <w:rPr>
          <w:rStyle w:val="FootnoteReference"/>
          <w:rFonts w:ascii="Sakkal Majalla" w:hAnsi="Sakkal Majalla" w:cs="Sakkal Majalla"/>
          <w:sz w:val="32"/>
          <w:szCs w:val="32"/>
          <w:rtl/>
          <w:lang w:bidi="ar-EG"/>
        </w:rPr>
        <w:footnoteReference w:id="84"/>
      </w:r>
      <w:r w:rsidRPr="00B84097">
        <w:rPr>
          <w:rFonts w:ascii="Sakkal Majalla" w:hAnsi="Sakkal Majalla" w:cs="Sakkal Majalla"/>
          <w:sz w:val="32"/>
          <w:szCs w:val="32"/>
          <w:rtl/>
          <w:lang w:bidi="ar-EG"/>
        </w:rPr>
        <w:t>.</w:t>
      </w:r>
    </w:p>
    <w:p w14:paraId="15066295" w14:textId="17010C87"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وتزداد هذه الصعوبة عندما تتداخل أكثر من مصلحة محل حماية، كما في حالات الاعتداء على البيانات والخصوصية والسمعة في الوقت نفسه، أو عندما يستخدم الذكاء الاصطناعي في إنتاج أفعال ضارة لا يمكن ردها بسهولة إلى صورة جرمية تقليدية. ومن ثم، فإن التكييف القانوني في الجرائم الرقمية يحتاج إلى مرونة تفسيرية مع المحافظة على الدقة القانونية، حتى لا يفضي التطور التقني إلى فراغ تشريعي أو إلى توسيع غير منضبط في التجريم أو المسؤولية</w:t>
      </w:r>
      <w:r w:rsidR="007B6239">
        <w:rPr>
          <w:rStyle w:val="FootnoteReference"/>
          <w:rFonts w:ascii="Sakkal Majalla" w:hAnsi="Sakkal Majalla" w:cs="Sakkal Majalla"/>
          <w:sz w:val="32"/>
          <w:szCs w:val="32"/>
          <w:rtl/>
          <w:lang w:bidi="ar-EG"/>
        </w:rPr>
        <w:footnoteReference w:id="85"/>
      </w:r>
      <w:r w:rsidRPr="00B84097">
        <w:rPr>
          <w:rFonts w:ascii="Sakkal Majalla" w:hAnsi="Sakkal Majalla" w:cs="Sakkal Majalla"/>
          <w:sz w:val="32"/>
          <w:szCs w:val="32"/>
          <w:rtl/>
          <w:lang w:bidi="ar-EG"/>
        </w:rPr>
        <w:t>.</w:t>
      </w:r>
    </w:p>
    <w:p w14:paraId="7FBD6F0E" w14:textId="77ABEEC7" w:rsidR="00B84097" w:rsidRPr="007B6239" w:rsidRDefault="00B84097" w:rsidP="007B6239">
      <w:pPr>
        <w:bidi/>
        <w:spacing w:line="360" w:lineRule="auto"/>
        <w:jc w:val="mediumKashida"/>
        <w:rPr>
          <w:rFonts w:ascii="Sakkal Majalla" w:hAnsi="Sakkal Majalla" w:cs="Sakkal Majalla"/>
          <w:b/>
          <w:bCs/>
          <w:sz w:val="32"/>
          <w:szCs w:val="32"/>
          <w:lang w:bidi="ar-EG"/>
        </w:rPr>
      </w:pPr>
      <w:r w:rsidRPr="007B6239">
        <w:rPr>
          <w:rFonts w:ascii="Sakkal Majalla" w:hAnsi="Sakkal Majalla" w:cs="Sakkal Majalla"/>
          <w:b/>
          <w:bCs/>
          <w:sz w:val="32"/>
          <w:szCs w:val="32"/>
          <w:rtl/>
          <w:lang w:bidi="ar-EG"/>
        </w:rPr>
        <w:t>خامسًا: تحديات التوفيق بين المكافحة وحماية الحقوق والحريات</w:t>
      </w:r>
      <w:r w:rsidR="007B6239">
        <w:rPr>
          <w:rFonts w:ascii="Sakkal Majalla" w:hAnsi="Sakkal Majalla" w:cs="Sakkal Majalla" w:hint="cs"/>
          <w:b/>
          <w:bCs/>
          <w:sz w:val="32"/>
          <w:szCs w:val="32"/>
          <w:rtl/>
          <w:lang w:bidi="ar-EG"/>
        </w:rPr>
        <w:t xml:space="preserve"> :</w:t>
      </w:r>
    </w:p>
    <w:p w14:paraId="252FC240" w14:textId="6C1CE638"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لا تقتصر التحديات القانونية للجرائم الرقمية على جانب الملاحقة والإثبات فقط، بل تمتد كذلك إلى ضرورة تحقيق التوازن بين مكافحة الجريمة من جهة، وحماية الحقوق والحريات من جهة أخرى. فالتوسع في المراقبة الرقمية أو جمع البيانات أو تتبع الاتصالات بدعوى مواجهة الجرائم الإلكترونية قد يمس خصوصية الأفراد أو يؤدي إلى تدخل غير مشروع في حياتهم الرقمية ولهذا ترتبط أدوات المكافحة الفعالة دائمًا بمسألة الضمانات القانونية الواجبة عند جمع الأدلة أو الوصول إلى البيانات أو تبادلها عبر الحدود</w:t>
      </w:r>
      <w:r w:rsidR="007B6239">
        <w:rPr>
          <w:rStyle w:val="FootnoteReference"/>
          <w:rFonts w:ascii="Sakkal Majalla" w:hAnsi="Sakkal Majalla" w:cs="Sakkal Majalla"/>
          <w:sz w:val="32"/>
          <w:szCs w:val="32"/>
          <w:rtl/>
          <w:lang w:bidi="ar-EG"/>
        </w:rPr>
        <w:footnoteReference w:id="86"/>
      </w:r>
      <w:r w:rsidRPr="00B84097">
        <w:rPr>
          <w:rFonts w:ascii="Sakkal Majalla" w:hAnsi="Sakkal Majalla" w:cs="Sakkal Majalla"/>
          <w:sz w:val="32"/>
          <w:szCs w:val="32"/>
          <w:rtl/>
          <w:lang w:bidi="ar-EG"/>
        </w:rPr>
        <w:t>.</w:t>
      </w:r>
    </w:p>
    <w:p w14:paraId="75BFF0AD" w14:textId="0E29D489"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ومن ثم فإن المشرع والجهات المختصة يواجهون تحديًا يتمثل في وضع آليات فعالة لمكافحة الجرائم الرقمية، دون تجاوز الحدود التي تفرضها حماية الخصوصية وضمانات العدالة والإجراءات المشروعة</w:t>
      </w:r>
      <w:r w:rsidR="003F5F5D">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وهذا التوازن يعد من أهم المسائل في التنظيم القانوني للبيئة الرقمية، لأنه </w:t>
      </w:r>
      <w:r w:rsidRPr="00B84097">
        <w:rPr>
          <w:rFonts w:ascii="Sakkal Majalla" w:hAnsi="Sakkal Majalla" w:cs="Sakkal Majalla"/>
          <w:sz w:val="32"/>
          <w:szCs w:val="32"/>
          <w:rtl/>
          <w:lang w:bidi="ar-EG"/>
        </w:rPr>
        <w:lastRenderedPageBreak/>
        <w:t>يحدد مشروعية الوسائل الإجرائية المستخدمة في التتبع والتحقيق، ويضمن ألا تتحول مكافحة الجريمة إلى مدخل للمساس غير المبرر بالحقوق الأساسية</w:t>
      </w:r>
      <w:r w:rsidR="007B6239">
        <w:rPr>
          <w:rStyle w:val="FootnoteReference"/>
          <w:rFonts w:ascii="Sakkal Majalla" w:hAnsi="Sakkal Majalla" w:cs="Sakkal Majalla"/>
          <w:sz w:val="32"/>
          <w:szCs w:val="32"/>
          <w:rtl/>
          <w:lang w:bidi="ar-EG"/>
        </w:rPr>
        <w:footnoteReference w:id="87"/>
      </w:r>
      <w:r w:rsidRPr="00B84097">
        <w:rPr>
          <w:rFonts w:ascii="Sakkal Majalla" w:hAnsi="Sakkal Majalla" w:cs="Sakkal Majalla"/>
          <w:sz w:val="32"/>
          <w:szCs w:val="32"/>
          <w:rtl/>
          <w:lang w:bidi="ar-EG"/>
        </w:rPr>
        <w:t>.</w:t>
      </w:r>
    </w:p>
    <w:p w14:paraId="0AE41BD6" w14:textId="77777777" w:rsidR="00952054" w:rsidRDefault="00B84097" w:rsidP="00952054">
      <w:pPr>
        <w:bidi/>
        <w:spacing w:line="360" w:lineRule="auto"/>
        <w:jc w:val="mediumKashida"/>
        <w:rPr>
          <w:rFonts w:ascii="Sakkal Majalla" w:hAnsi="Sakkal Majalla" w:cs="Sakkal Majalla"/>
          <w:b/>
          <w:bCs/>
          <w:sz w:val="32"/>
          <w:szCs w:val="32"/>
          <w:rtl/>
          <w:lang w:bidi="ar-EG"/>
        </w:rPr>
      </w:pPr>
      <w:r w:rsidRPr="007B6239">
        <w:rPr>
          <w:rFonts w:ascii="Sakkal Majalla" w:hAnsi="Sakkal Majalla" w:cs="Sakkal Majalla"/>
          <w:b/>
          <w:bCs/>
          <w:sz w:val="32"/>
          <w:szCs w:val="32"/>
          <w:rtl/>
          <w:lang w:bidi="ar-EG"/>
        </w:rPr>
        <w:t>سادسًا: سرعة التطور التقني مقارنة بالتطور التشريعي</w:t>
      </w:r>
    </w:p>
    <w:p w14:paraId="05193B7A" w14:textId="05F1CE2C" w:rsidR="00B84097" w:rsidRPr="00952054" w:rsidRDefault="00B84097" w:rsidP="00952054">
      <w:pPr>
        <w:bidi/>
        <w:spacing w:line="360" w:lineRule="auto"/>
        <w:jc w:val="mediumKashida"/>
        <w:rPr>
          <w:rFonts w:ascii="Sakkal Majalla" w:hAnsi="Sakkal Majalla" w:cs="Sakkal Majalla"/>
          <w:b/>
          <w:bCs/>
          <w:sz w:val="32"/>
          <w:szCs w:val="32"/>
          <w:lang w:bidi="ar-EG"/>
        </w:rPr>
      </w:pPr>
      <w:r w:rsidRPr="00B84097">
        <w:rPr>
          <w:rFonts w:ascii="Sakkal Majalla" w:hAnsi="Sakkal Majalla" w:cs="Sakkal Majalla"/>
          <w:sz w:val="32"/>
          <w:szCs w:val="32"/>
          <w:rtl/>
          <w:lang w:bidi="ar-EG"/>
        </w:rPr>
        <w:t>من الخصائص الملازمة للجرائم الرقمية أن وسائل ارتكابها تتطور بسرعة كبيرة، في حين أن التشريعات غالبًا ما تحتاج إلى وقت أطول لتعديل نصوصها أو استحداث قواعد جديدة تستوعب هذه التطورات وينتج عن ذلك فجوة بين الواقع التقني المتغير والإطار القانوني القائم، مما قد يؤدي إلى قصور في المواجهة التشريعية لبعض الصور المستحدثة للجرائم الرقمية. وهذا ما يفسر اتجاه كثير من الأطر الدولية والوطنية إلى تبني مفاهيم مرنة وأدوات تعاون قابلة للتطوير لمواكبة التغير السريع في أنماط الاعتداء الرقمي</w:t>
      </w:r>
      <w:r w:rsidR="00952054">
        <w:rPr>
          <w:rStyle w:val="FootnoteReference"/>
          <w:rFonts w:ascii="Sakkal Majalla" w:hAnsi="Sakkal Majalla" w:cs="Sakkal Majalla"/>
          <w:sz w:val="32"/>
          <w:szCs w:val="32"/>
          <w:rtl/>
          <w:lang w:bidi="ar-EG"/>
        </w:rPr>
        <w:footnoteReference w:id="88"/>
      </w:r>
      <w:r w:rsidRPr="00B84097">
        <w:rPr>
          <w:rFonts w:ascii="Sakkal Majalla" w:hAnsi="Sakkal Majalla" w:cs="Sakkal Majalla"/>
          <w:sz w:val="32"/>
          <w:szCs w:val="32"/>
          <w:rtl/>
          <w:lang w:bidi="ar-EG"/>
        </w:rPr>
        <w:t>.</w:t>
      </w:r>
    </w:p>
    <w:p w14:paraId="36D5F138" w14:textId="6FF3699A" w:rsidR="00B84097" w:rsidRPr="00B84097" w:rsidRDefault="00B84097" w:rsidP="00952054">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وهذه الفجوة تفرض على الأنظمة القانونية أن تعتمد قدرًا من المرونة في تفسير النصوص القائمة، كما تستدعي تطويرًا تشريعيًا مستمرًا يواكب المستجدات التقنية، حتى لا تصبح القواعد القانونية عاجزة عن استيعاب الأفعال الضارة المستحدثة أو عن توفير الحماية الكافية للمتضررين. ويزداد هذا الأمر أهمية في ظل ظهور صور متجددة من الاستعمال غير المشروع للذكاء الاصطناعي والأدوات المؤتمتة والبيئات الرقمية المركبة، بما يجعل التحديث التشريعي والتفسيري ضرورة مستمرة لا خيارًا إضافيًا</w:t>
      </w:r>
      <w:r w:rsidR="00952054">
        <w:rPr>
          <w:rStyle w:val="FootnoteReference"/>
          <w:rFonts w:ascii="Sakkal Majalla" w:hAnsi="Sakkal Majalla" w:cs="Sakkal Majalla"/>
          <w:sz w:val="32"/>
          <w:szCs w:val="32"/>
          <w:rtl/>
          <w:lang w:bidi="ar-EG"/>
        </w:rPr>
        <w:footnoteReference w:id="89"/>
      </w:r>
      <w:r w:rsidRPr="00B84097">
        <w:rPr>
          <w:rFonts w:ascii="Sakkal Majalla" w:hAnsi="Sakkal Majalla" w:cs="Sakkal Majalla"/>
          <w:sz w:val="32"/>
          <w:szCs w:val="32"/>
          <w:rtl/>
          <w:lang w:bidi="ar-EG"/>
        </w:rPr>
        <w:t>.</w:t>
      </w:r>
    </w:p>
    <w:p w14:paraId="21BD3F1F" w14:textId="5D08FF21" w:rsidR="00BD443B" w:rsidRDefault="00B84097" w:rsidP="00952054">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lastRenderedPageBreak/>
        <w:t>ومؤدى ما تقدم أن الجرائم الرقمية تثير تحديات قانونية متعددة تتصل بتحديد الفاعل، وإثبات الفعل، وتنازع الاختصاص، والتكييف القانوني، وتحقيق التوازن بين المكافحة وحماية الحقوق، فضلًا عن مواكبة التطور التقني المتسارع</w:t>
      </w:r>
      <w:r w:rsidR="00952054">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وهذه التحديات تكشف عن خصوصية البيئة الرقمية بوصفها مجالًا قانونيًا مغايرًا للبيئات التقليدية، كما تمهد لبحث الأساس القانوني للمسؤولية عن الأضرار الناشئة عن هذه الجرائم، وهو ما يمثل صلب الدراسة في الفصول اللاحقة</w:t>
      </w:r>
      <w:r w:rsidR="00952054">
        <w:rPr>
          <w:rStyle w:val="FootnoteReference"/>
          <w:rFonts w:ascii="Sakkal Majalla" w:hAnsi="Sakkal Majalla" w:cs="Sakkal Majalla"/>
          <w:sz w:val="32"/>
          <w:szCs w:val="32"/>
          <w:rtl/>
          <w:lang w:bidi="ar-EG"/>
        </w:rPr>
        <w:footnoteReference w:id="90"/>
      </w:r>
    </w:p>
    <w:p w14:paraId="3D308DFF" w14:textId="77777777" w:rsidR="00BD443B" w:rsidRDefault="00BD443B">
      <w:pPr>
        <w:spacing w:line="278" w:lineRule="auto"/>
        <w:rPr>
          <w:rFonts w:ascii="Sakkal Majalla" w:hAnsi="Sakkal Majalla" w:cs="Sakkal Majalla"/>
          <w:sz w:val="32"/>
          <w:szCs w:val="32"/>
          <w:rtl/>
          <w:lang w:bidi="ar-EG"/>
        </w:rPr>
      </w:pPr>
      <w:r>
        <w:rPr>
          <w:rFonts w:ascii="Sakkal Majalla" w:hAnsi="Sakkal Majalla" w:cs="Sakkal Majalla"/>
          <w:sz w:val="32"/>
          <w:szCs w:val="32"/>
          <w:rtl/>
          <w:lang w:bidi="ar-EG"/>
        </w:rPr>
        <w:br w:type="page"/>
      </w:r>
    </w:p>
    <w:p w14:paraId="338DABEA" w14:textId="59629500" w:rsidR="00FF4137" w:rsidRDefault="00BD443B" w:rsidP="00952054">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المصادر و المراجع :</w:t>
      </w:r>
    </w:p>
    <w:p w14:paraId="54264D4E" w14:textId="18B5BDB5"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آل سعود، نواف بدر فهد (2025) المسؤولية المدنية الناشئة عن أضرار أنظمة الذكاء الاصطناعي: دراسة تحليلية مقارنة بين النظام السعودي والتشريعات المقارنة. مجلة التشريع والقانون، 45.</w:t>
      </w:r>
    </w:p>
    <w:p w14:paraId="5C7090A9" w14:textId="0FC13AF1"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أبو زيد رضوان (1970) مفهوم الشخصية المعنوية بين الحقيقة والخيال. مجلة العلوم القانونية والاقتصادية، كلية الحقوق، جامعة عين شمس، 12(1).</w:t>
      </w:r>
    </w:p>
    <w:p w14:paraId="656A8FBD" w14:textId="02FEE37B"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أبو نصار، ريا جمال (2025) إشكالية تحديد الطبيعة القانونية لأنظمة الذكاء الاصطناعي. مجلة المنارة للبحوث والدراسات: سلسلة العلوم السياسية والقانون، 42(3).</w:t>
      </w:r>
    </w:p>
    <w:p w14:paraId="44193886" w14:textId="07699471"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أحمد، غادة حلمي (2025) المسؤولية الجنائية لتقنيات الذكاء الاصطناعي. المجلة الجنائية القومية، 68(2).</w:t>
      </w:r>
    </w:p>
    <w:p w14:paraId="169A57FB" w14:textId="787073B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بدوي محمد، عمرو طه (2020) النظام القانوني للروبوتات الذكية المزودة بتقنية الذكاء الاصطناعي (الإمارات العربية المتحدة كنموذج): دراسة تحليلية مقارنة لقواعد القانون المدني للروبوتات الصادرة عن الاتحاد الأوروبي سنة 2017 ومشروع ميثاق أخلاقيات الروبوت الكوري. مجلة الدراسات القانونية والاقتصادية، كلية الحقوق، جامعة القاهرة.</w:t>
      </w:r>
    </w:p>
    <w:p w14:paraId="3A2DEFDB" w14:textId="4ADED30A"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بوكراري، عبد المجيد، ومسعود، داود (2024)</w:t>
      </w:r>
      <w:r>
        <w:rPr>
          <w:rFonts w:ascii="Sakkal Majalla" w:hAnsi="Sakkal Majalla" w:cs="Sakkal Majalla" w:hint="cs"/>
          <w:sz w:val="32"/>
          <w:szCs w:val="32"/>
          <w:rtl/>
          <w:lang w:bidi="ar-EG"/>
        </w:rPr>
        <w:t xml:space="preserve"> </w:t>
      </w:r>
      <w:r w:rsidRPr="00BD443B">
        <w:rPr>
          <w:rFonts w:ascii="Sakkal Majalla" w:hAnsi="Sakkal Majalla" w:cs="Sakkal Majalla"/>
          <w:sz w:val="32"/>
          <w:szCs w:val="32"/>
          <w:rtl/>
          <w:lang w:bidi="ar-EG"/>
        </w:rPr>
        <w:t>الأنظمة الذكية مفهوم أوسع لتطبيقات الذكاء الاصطناعي في مجال التعليم. مجلة الباحث، 2(6).</w:t>
      </w:r>
    </w:p>
    <w:p w14:paraId="0F577CD4"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تحفة، فايق عوضين محمد (2022). استخدامات تقنيات الذكاء الاصطناعي بين المشروعية وعدم المشروعية: الجزء الثاني: المسؤولية الجنائية عن جرائم تقنيات الذكاء الاصطناعي. المجلة الجنائية القومية، 65(2).</w:t>
      </w:r>
    </w:p>
    <w:p w14:paraId="2A5C8372" w14:textId="463BD122"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lastRenderedPageBreak/>
        <w:t>جاد المولى، محمود عبدالغني فريد (2021)</w:t>
      </w:r>
      <w:r>
        <w:rPr>
          <w:rFonts w:ascii="Sakkal Majalla" w:hAnsi="Sakkal Majalla" w:cs="Sakkal Majalla" w:hint="cs"/>
          <w:sz w:val="32"/>
          <w:szCs w:val="32"/>
          <w:rtl/>
          <w:lang w:bidi="ar-EG"/>
        </w:rPr>
        <w:t xml:space="preserve"> </w:t>
      </w:r>
      <w:r w:rsidRPr="00BD443B">
        <w:rPr>
          <w:rFonts w:ascii="Sakkal Majalla" w:hAnsi="Sakkal Majalla" w:cs="Sakkal Majalla"/>
          <w:sz w:val="32"/>
          <w:szCs w:val="32"/>
          <w:rtl/>
          <w:lang w:bidi="ar-EG"/>
        </w:rPr>
        <w:t>الاتجاهات الحديثة في المسؤولية الجنائية للكيانات التي تعمل بتقنيات الذكاء الاصطناعي. مجلة البحوث القانونية والاقتصادية، 53.</w:t>
      </w:r>
    </w:p>
    <w:p w14:paraId="3A2B6942" w14:textId="7FD2E329"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الحجيلي، محمد عمر (2024) النظام القانوني لحقوق الملكية الفكرية في مجال الذكاء الاصطناعي. مجلة جامعة الأبار للعلوم القانونية والسياسية.</w:t>
      </w:r>
    </w:p>
    <w:p w14:paraId="2E71CF56" w14:textId="5861859E"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الحسبان، عودة عبدالكريم، والعيادة، حمزة علي سليمان (2025) مدى إمكانية منح الذكاء الاصطناعي الشخصية القانونية وبيان المسؤولية المدنية عن أضراره في التشريع الأردني. الميزان للدراسات الإسلامية والقانونية، 12(2).</w:t>
      </w:r>
    </w:p>
    <w:p w14:paraId="5F2BDF39"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حسني، محمود نجيب (1982). شرح قانون العقوبات: القسم العام. دار النهضة العربية.</w:t>
      </w:r>
    </w:p>
    <w:p w14:paraId="311F6466"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الخطيب، محمد عرفان (2018). المركز القانوني للإنسان الآلة (</w:t>
      </w:r>
      <w:r w:rsidRPr="00BD443B">
        <w:rPr>
          <w:rFonts w:ascii="Sakkal Majalla" w:hAnsi="Sakkal Majalla" w:cs="Sakkal Majalla"/>
          <w:sz w:val="32"/>
          <w:szCs w:val="32"/>
          <w:lang w:bidi="ar-EG"/>
        </w:rPr>
        <w:t>Robots</w:t>
      </w:r>
      <w:r w:rsidRPr="00BD443B">
        <w:rPr>
          <w:rFonts w:ascii="Sakkal Majalla" w:hAnsi="Sakkal Majalla" w:cs="Sakkal Majalla"/>
          <w:sz w:val="32"/>
          <w:szCs w:val="32"/>
          <w:rtl/>
          <w:lang w:bidi="ar-EG"/>
        </w:rPr>
        <w:t>): الشخصية القانونية والمسؤولية، دراسة تأصيلية مقارنة في القواعد الأوروبية للقانون المدني للإنسان الآلة لعام 2017. مجلة كلية القانون الكويتية العالمية، السنة السادسة، 4(24).</w:t>
      </w:r>
    </w:p>
    <w:p w14:paraId="1C5B7CF7"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الخولي، أحمد فتحي (2021). المسؤولية المدنية الناتجة عن الاستخدام غير المشروع لتطبيقات الذكاء الاصطناعي: الديب فيك نموذجًا. مجلة البحوث الفقهية والقانونية، (36).</w:t>
      </w:r>
    </w:p>
    <w:p w14:paraId="7CD5D662"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الدسوقي، منى محمد العترس (2022). جرائم تقنيات الذكاء الاصطناعي والشخصية القانونية الإلكترونية المستقلة: دراسة مقارنة. مجلة البحوث القانونية والاقتصادية، 81.</w:t>
      </w:r>
    </w:p>
    <w:p w14:paraId="328E78D2"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دره، سماح أحمد محمد (2025). المسؤولية الجنائية لمبرمجي أجهزة الذكاء الاصطناعي: دراسة تحليلية. مجلة الفكر القانوني والاقتصادي، 11(3).</w:t>
      </w:r>
    </w:p>
    <w:p w14:paraId="1EBDD6A6"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دهشان، يحيى إبراهيم (2019). المسؤولية الجنائية عن جرائم الذكاء الاصطناعي. مجلة الشريعة والقانون، جامعة الإمارات.</w:t>
      </w:r>
    </w:p>
    <w:p w14:paraId="73E06748"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lastRenderedPageBreak/>
        <w:t>دهشان، يحيى إبراهيم (2020). المسؤولية الجنائية عن جرائم الذكاء الاصطناعي. مجلة الشريعة والقانون، كلية القانون، جامعة الإمارات العربية المتحدة، 34(82).</w:t>
      </w:r>
    </w:p>
    <w:p w14:paraId="02E73237"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راشد، حامد (2017). النظرية العامة للجريمة. دار أبو المجد للطباعة.</w:t>
      </w:r>
    </w:p>
    <w:p w14:paraId="7A7E2199"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رضا، أزرو محمد (2025). مدى جواز الاعتراف بالشخصية القانونية للذكاء الاصطناعي. مجلة التراث، 15(1).</w:t>
      </w:r>
    </w:p>
    <w:p w14:paraId="53DBDE93"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سلامة، صفاء، وأبو قورة، خليل (2014). تحديات عصر الروبوتات وأخلاقياتها. الطبعة الأولى، مركز الإمارات للدراسات والبحوث الاستراتيجية.</w:t>
      </w:r>
    </w:p>
    <w:p w14:paraId="34F67EDA"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سرور، أحمد فتحي (1989). الوسيط في قانون العقوبات. دار النهضة العربية.</w:t>
      </w:r>
    </w:p>
    <w:p w14:paraId="6F6D35AD"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سرور، أحمد فتحي (2002). القانون الجنائي الدستوري. دار الشروق.</w:t>
      </w:r>
    </w:p>
    <w:p w14:paraId="4BB12ECD"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السحلي، محمود حسن (2021). أساس المساءلة المدنية للذكاء الاصطناعي المستقل: قوالب تقليدية برؤية جديدة. مجلة الحقوق للبحوث القانونية والاقتصادية، العدد 2، كلية الحقوق، جامعة الإسكندرية.</w:t>
      </w:r>
    </w:p>
    <w:p w14:paraId="675D392D"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شمس الدين، أشرف توفيق (2012). شرح قانون الإجراءات الجنائية: مرحلة ما قبل المحاكمة. جامعة بنها.</w:t>
      </w:r>
    </w:p>
    <w:p w14:paraId="7E6750DB"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الطائي، سميرة حسين محيسن، وعبدالحسن، إيمان حسين (2025). الطبيعة القانونية للذكاء الاصطناعي. مجلة الكوفة للعلوم القانونية والسياسية، 18(1).</w:t>
      </w:r>
    </w:p>
    <w:p w14:paraId="5C95D5C5"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عبد الهادي، زين (2000). الذكاء الاصطناعي والنظم الخبيرة في المكتبات: مدخل تجريبي للنظم الخبيرة في مجال المكتبات. الطبعة الأولى، المكتبة الأكاديمية.</w:t>
      </w:r>
    </w:p>
    <w:p w14:paraId="7B36DC47"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lastRenderedPageBreak/>
        <w:t>عبدالعزيز، هبة تيسير علي (2024). الآثار القانونية المترتبة على الاعتراف بالشخصية القانونية للذكاء الاصطناعي. رسالة ماجستير، جامعة فيلادلفيا.</w:t>
      </w:r>
    </w:p>
    <w:p w14:paraId="02AD7759"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عبدالله، شيماء عبدالرضي (2025). إشكالية المساءلة الجنائية لجرائم الروبوتات الذكية في ضوء تطور تقنيات الذكاء الاصطناعي. مجلة كلية الشريعة والقانون بطنطا، 40(2).</w:t>
      </w:r>
    </w:p>
    <w:p w14:paraId="53C84601"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العبد، رضا محمود (2023). الشخصية القانونية الافتراضية نحو الاعتراف بالشخصية القانونية للروبوتات المزودة بالذكاء الاصطناعي. مجلة القانون والتكنولوجيا، الجامعة البريطانية في مصر.</w:t>
      </w:r>
    </w:p>
    <w:p w14:paraId="453288CE"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عمار، عادل محمود أحمد (2024). الطبيعة القانونية للتعويض عن أضرار الذكاء الاصطناعي في مجال المسؤولية الإدارية: دراسة مقارنة. مجلة الفكر القانوني والاقتصادي، 14(3).</w:t>
      </w:r>
    </w:p>
    <w:p w14:paraId="3EB71BA8"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عميش، رحاب علي (2021). المسؤولية الجنائية عن جرائم الذكاء الاصطناعي. مجلة البحوث القانونية والاقتصادية، كلية الحقوق، جامعة المنصورة، عدد خاص.</w:t>
      </w:r>
    </w:p>
    <w:p w14:paraId="11ACC730"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عفيفي، جهاد (2015). الذكاء الاصطناعي والأنظمة الخبيرة. الطبعة الأولى، أمجد للنشر والتوزيع.</w:t>
      </w:r>
    </w:p>
    <w:p w14:paraId="2C623708"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العسلاوي، مشعل بدر خالد، وصالح، تامر محمد محمد (2025). تأصيل المسؤولية الجنائية للمركبات ذاتية القيادة: دراسة تحليلية مقارنة. مجلة البحوث القانونية والاقتصادية، 91.</w:t>
      </w:r>
    </w:p>
    <w:p w14:paraId="4EE60965"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غازي، خديجة (2024). الطبيعة القانونية للذكاء الاصطناعي. مجلة التراث، 14(2).</w:t>
      </w:r>
    </w:p>
    <w:p w14:paraId="6A033936"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فارس، محمد السيد (2024). نحو مفهوم جديد للذكاء الاصطناعي ومحاولة تنظيمه القانوني: دراسة مقارنة. مجلة التشريع والقانون، 43.</w:t>
      </w:r>
    </w:p>
    <w:p w14:paraId="18B6BE70"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lastRenderedPageBreak/>
        <w:t>الفلاوري، عمار كريم، والمشهدي، علي عبد الجبار رحيم (2022). المسؤولية المدنية عن تقنية الذكاء الاصطناعي المعقد: دراسة مقارنة. دار المعرفة للنشر والتوزيع.</w:t>
      </w:r>
    </w:p>
    <w:p w14:paraId="35B47ECB"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فريدة، بن عثمان (2020). الذكاء الاصطناعي: مقاربة قانونية. مجلة دفاتر السياسة والقانون، كلية الحقوق والعلوم السياسية، جامعة ورقلة.</w:t>
      </w:r>
    </w:p>
    <w:p w14:paraId="6870FCBF"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القوصي، همام (2019). نظرية الشخصية الافتراضية للروبوت وفق المنهج الإنساني: دراسة تأصيلية تحليلية استشرافية في القانون المدني الكويتي والأوروبي. مجلة جيل الأبحاث القانونية المعمقة، (35).</w:t>
      </w:r>
    </w:p>
    <w:p w14:paraId="519D24C5"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كيرة، حسن (1971). المدخل إلى القانون. الطبعة الخامسة، منشأة المعارف.</w:t>
      </w:r>
    </w:p>
    <w:p w14:paraId="14987D4D"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لطفي، خالد حسن أحمد (2021). الذكاء الاصطناعي وحمايته من الناحية المدنية والجنائية. الطبعة الأولى، دار الفكر الجامعي.</w:t>
      </w:r>
    </w:p>
    <w:p w14:paraId="390B9D62"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المملكة العربية السعودية (1440هـ). الأمر الملكي رقم (أ/471) بتاريخ 29/12/1440هـ بشأن إنشاء الهيئة السعودية للبيانات والذكاء الاصطناعي.</w:t>
      </w:r>
    </w:p>
    <w:p w14:paraId="0DA18B1A"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محمد، محمد شاكر محمود (2022). دور الذكاء الاصطناعي في تطوير قواعد المسؤولية المدنية: دراسة تحليلية. مجلة كلية القانون للعلوم القانونية والسياسية، جامعة كركوك، (42).</w:t>
      </w:r>
    </w:p>
    <w:p w14:paraId="09621766"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محفوظ، أسماء عبدالسلام (2025). الإشكاليات القانونية للذكاء الاصطناعي. مجلة المنتدى الأكاديمي للعلوم الإنسانية، 9(1).</w:t>
      </w:r>
    </w:p>
    <w:p w14:paraId="13286B51"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مجبوب، نوال (2022). إشكالات المسؤولية القانونية عن تطبيقات نظم الذكاء الاصطناعي. المركز الجامعي مغنية، الجزائر: المجموعة العلمية للنشر والتوزيع.</w:t>
      </w:r>
    </w:p>
    <w:p w14:paraId="10A9ABF0" w14:textId="77777777"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lastRenderedPageBreak/>
        <w:t>النجار، رانيا ع.، ومسعود، مازن ن. (2025). تأثير الأدوات الإدارية القائمة على الذكاء الاصطناعي على كفاءة اتخاذ القرار في المدارس: الدور الوسيط لقبول التكنولوجيا. مجلة ريحان للنشر العلمي، 66.</w:t>
      </w:r>
    </w:p>
    <w:p w14:paraId="2623E6CA" w14:textId="46435D82" w:rsidR="00BD443B" w:rsidRPr="00BD443B" w:rsidRDefault="00BD443B" w:rsidP="00BD443B">
      <w:pPr>
        <w:pStyle w:val="ListParagraph"/>
        <w:numPr>
          <w:ilvl w:val="0"/>
          <w:numId w:val="4"/>
        </w:numPr>
        <w:bidi/>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rtl/>
          <w:lang w:bidi="ar-EG"/>
        </w:rPr>
        <w:t>وزير، عبد العظيم (2009). النظرية العامة للجريمة. دار النهضة العربية.</w:t>
      </w:r>
    </w:p>
    <w:p w14:paraId="4A599625" w14:textId="0608F404" w:rsidR="00BD443B" w:rsidRPr="00BD443B" w:rsidRDefault="00BD443B" w:rsidP="00BD443B">
      <w:pPr>
        <w:bidi/>
        <w:spacing w:line="360" w:lineRule="auto"/>
        <w:jc w:val="mediumKashida"/>
        <w:rPr>
          <w:rFonts w:ascii="Sakkal Majalla" w:hAnsi="Sakkal Majalla" w:cs="Sakkal Majalla"/>
          <w:b/>
          <w:bCs/>
          <w:sz w:val="32"/>
          <w:szCs w:val="32"/>
          <w:lang w:bidi="ar-EG"/>
        </w:rPr>
      </w:pPr>
      <w:r w:rsidRPr="00BD443B">
        <w:rPr>
          <w:rFonts w:ascii="Sakkal Majalla" w:hAnsi="Sakkal Majalla" w:cs="Sakkal Majalla"/>
          <w:b/>
          <w:bCs/>
          <w:sz w:val="32"/>
          <w:szCs w:val="32"/>
          <w:rtl/>
          <w:lang w:bidi="ar-EG"/>
        </w:rPr>
        <w:t>المراجع الأجنبية</w:t>
      </w:r>
      <w:r>
        <w:rPr>
          <w:rFonts w:ascii="Sakkal Majalla" w:hAnsi="Sakkal Majalla" w:cs="Sakkal Majalla" w:hint="cs"/>
          <w:b/>
          <w:bCs/>
          <w:sz w:val="32"/>
          <w:szCs w:val="32"/>
          <w:rtl/>
          <w:lang w:bidi="ar-EG"/>
        </w:rPr>
        <w:t xml:space="preserve"> :</w:t>
      </w:r>
    </w:p>
    <w:p w14:paraId="18F03D4E" w14:textId="77777777" w:rsidR="00BD443B" w:rsidRPr="00BD443B" w:rsidRDefault="00BD443B" w:rsidP="00BD443B">
      <w:pPr>
        <w:pStyle w:val="ListParagraph"/>
        <w:numPr>
          <w:ilvl w:val="0"/>
          <w:numId w:val="5"/>
        </w:numPr>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lang w:bidi="ar-EG"/>
        </w:rPr>
        <w:t xml:space="preserve">GAGNÉ (1994). La protection </w:t>
      </w:r>
      <w:proofErr w:type="spellStart"/>
      <w:r w:rsidRPr="00BD443B">
        <w:rPr>
          <w:rFonts w:ascii="Sakkal Majalla" w:hAnsi="Sakkal Majalla" w:cs="Sakkal Majalla"/>
          <w:sz w:val="32"/>
          <w:szCs w:val="32"/>
          <w:lang w:bidi="ar-EG"/>
        </w:rPr>
        <w:t>juridique</w:t>
      </w:r>
      <w:proofErr w:type="spellEnd"/>
      <w:r w:rsidRPr="00BD443B">
        <w:rPr>
          <w:rFonts w:ascii="Sakkal Majalla" w:hAnsi="Sakkal Majalla" w:cs="Sakkal Majalla"/>
          <w:sz w:val="32"/>
          <w:szCs w:val="32"/>
          <w:lang w:bidi="ar-EG"/>
        </w:rPr>
        <w:t xml:space="preserve"> de la </w:t>
      </w:r>
      <w:proofErr w:type="spellStart"/>
      <w:r w:rsidRPr="00BD443B">
        <w:rPr>
          <w:rFonts w:ascii="Sakkal Majalla" w:hAnsi="Sakkal Majalla" w:cs="Sakkal Majalla"/>
          <w:sz w:val="32"/>
          <w:szCs w:val="32"/>
          <w:lang w:bidi="ar-EG"/>
        </w:rPr>
        <w:t>réalité</w:t>
      </w:r>
      <w:proofErr w:type="spell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virtuelle</w:t>
      </w:r>
      <w:proofErr w:type="spell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ou</w:t>
      </w:r>
      <w:proofErr w:type="spell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l'imbroglio</w:t>
      </w:r>
      <w:proofErr w:type="spell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juridique</w:t>
      </w:r>
      <w:proofErr w:type="spellEnd"/>
      <w:r w:rsidRPr="00BD443B">
        <w:rPr>
          <w:rFonts w:ascii="Sakkal Majalla" w:hAnsi="Sakkal Majalla" w:cs="Sakkal Majalla"/>
          <w:sz w:val="32"/>
          <w:szCs w:val="32"/>
          <w:lang w:bidi="ar-EG"/>
        </w:rPr>
        <w:t xml:space="preserve"> dans </w:t>
      </w:r>
      <w:proofErr w:type="spellStart"/>
      <w:r w:rsidRPr="00BD443B">
        <w:rPr>
          <w:rFonts w:ascii="Sakkal Majalla" w:hAnsi="Sakkal Majalla" w:cs="Sakkal Majalla"/>
          <w:sz w:val="32"/>
          <w:szCs w:val="32"/>
          <w:lang w:bidi="ar-EG"/>
        </w:rPr>
        <w:t>l'univers</w:t>
      </w:r>
      <w:proofErr w:type="spellEnd"/>
      <w:r w:rsidRPr="00BD443B">
        <w:rPr>
          <w:rFonts w:ascii="Sakkal Majalla" w:hAnsi="Sakkal Majalla" w:cs="Sakkal Majalla"/>
          <w:sz w:val="32"/>
          <w:szCs w:val="32"/>
          <w:lang w:bidi="ar-EG"/>
        </w:rPr>
        <w:t xml:space="preserve"> de </w:t>
      </w:r>
      <w:proofErr w:type="spellStart"/>
      <w:r w:rsidRPr="00BD443B">
        <w:rPr>
          <w:rFonts w:ascii="Sakkal Majalla" w:hAnsi="Sakkal Majalla" w:cs="Sakkal Majalla"/>
          <w:sz w:val="32"/>
          <w:szCs w:val="32"/>
          <w:lang w:bidi="ar-EG"/>
        </w:rPr>
        <w:t>l'électro</w:t>
      </w:r>
      <w:proofErr w:type="spellEnd"/>
      <w:r w:rsidRPr="00BD443B">
        <w:rPr>
          <w:rFonts w:ascii="Sakkal Majalla" w:hAnsi="Sakkal Majalla" w:cs="Sakkal Majalla"/>
          <w:sz w:val="32"/>
          <w:szCs w:val="32"/>
          <w:lang w:bidi="ar-EG"/>
        </w:rPr>
        <w:t xml:space="preserve">-bohème. Cahiers de </w:t>
      </w:r>
      <w:proofErr w:type="spellStart"/>
      <w:r w:rsidRPr="00BD443B">
        <w:rPr>
          <w:rFonts w:ascii="Sakkal Majalla" w:hAnsi="Sakkal Majalla" w:cs="Sakkal Majalla"/>
          <w:sz w:val="32"/>
          <w:szCs w:val="32"/>
          <w:lang w:bidi="ar-EG"/>
        </w:rPr>
        <w:t>propriété</w:t>
      </w:r>
      <w:proofErr w:type="spell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intellectuelle</w:t>
      </w:r>
      <w:proofErr w:type="spellEnd"/>
      <w:r w:rsidRPr="00BD443B">
        <w:rPr>
          <w:rFonts w:ascii="Sakkal Majalla" w:hAnsi="Sakkal Majalla" w:cs="Sakkal Majalla"/>
          <w:sz w:val="32"/>
          <w:szCs w:val="32"/>
          <w:lang w:bidi="ar-EG"/>
        </w:rPr>
        <w:t>, 7</w:t>
      </w:r>
      <w:r w:rsidRPr="00BD443B">
        <w:rPr>
          <w:rFonts w:ascii="Sakkal Majalla" w:hAnsi="Sakkal Majalla" w:cs="Sakkal Majalla"/>
          <w:sz w:val="32"/>
          <w:szCs w:val="32"/>
          <w:rtl/>
          <w:lang w:bidi="ar-EG"/>
        </w:rPr>
        <w:t>(2).</w:t>
      </w:r>
    </w:p>
    <w:p w14:paraId="536CA743" w14:textId="77777777" w:rsidR="00BD443B" w:rsidRPr="00BD443B" w:rsidRDefault="00BD443B" w:rsidP="00BD443B">
      <w:pPr>
        <w:pStyle w:val="ListParagraph"/>
        <w:numPr>
          <w:ilvl w:val="0"/>
          <w:numId w:val="5"/>
        </w:numPr>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lang w:bidi="ar-EG"/>
        </w:rPr>
        <w:t xml:space="preserve">GASNAULT, J. Les </w:t>
      </w:r>
      <w:proofErr w:type="spellStart"/>
      <w:r w:rsidRPr="00BD443B">
        <w:rPr>
          <w:rFonts w:ascii="Sakkal Majalla" w:hAnsi="Sakkal Majalla" w:cs="Sakkal Majalla"/>
          <w:sz w:val="32"/>
          <w:szCs w:val="32"/>
          <w:lang w:bidi="ar-EG"/>
        </w:rPr>
        <w:t>problèmes</w:t>
      </w:r>
      <w:proofErr w:type="spell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juridiques</w:t>
      </w:r>
      <w:proofErr w:type="spell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suscités</w:t>
      </w:r>
      <w:proofErr w:type="spellEnd"/>
      <w:r w:rsidRPr="00BD443B">
        <w:rPr>
          <w:rFonts w:ascii="Sakkal Majalla" w:hAnsi="Sakkal Majalla" w:cs="Sakkal Majalla"/>
          <w:sz w:val="32"/>
          <w:szCs w:val="32"/>
          <w:lang w:bidi="ar-EG"/>
        </w:rPr>
        <w:t xml:space="preserve"> par les </w:t>
      </w:r>
      <w:proofErr w:type="spellStart"/>
      <w:r w:rsidRPr="00BD443B">
        <w:rPr>
          <w:rFonts w:ascii="Sakkal Majalla" w:hAnsi="Sakkal Majalla" w:cs="Sakkal Majalla"/>
          <w:sz w:val="32"/>
          <w:szCs w:val="32"/>
          <w:lang w:bidi="ar-EG"/>
        </w:rPr>
        <w:t>systèmes</w:t>
      </w:r>
      <w:proofErr w:type="spellEnd"/>
      <w:r w:rsidRPr="00BD443B">
        <w:rPr>
          <w:rFonts w:ascii="Sakkal Majalla" w:hAnsi="Sakkal Majalla" w:cs="Sakkal Majalla"/>
          <w:sz w:val="32"/>
          <w:szCs w:val="32"/>
          <w:lang w:bidi="ar-EG"/>
        </w:rPr>
        <w:t xml:space="preserve"> </w:t>
      </w:r>
      <w:proofErr w:type="gramStart"/>
      <w:r w:rsidRPr="00BD443B">
        <w:rPr>
          <w:rFonts w:ascii="Sakkal Majalla" w:hAnsi="Sakkal Majalla" w:cs="Sakkal Majalla"/>
          <w:sz w:val="32"/>
          <w:szCs w:val="32"/>
          <w:lang w:bidi="ar-EG"/>
        </w:rPr>
        <w:t>experts</w:t>
      </w:r>
      <w:proofErr w:type="gram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ou</w:t>
      </w:r>
      <w:proofErr w:type="spell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d'aide</w:t>
      </w:r>
      <w:proofErr w:type="spellEnd"/>
      <w:r w:rsidRPr="00BD443B">
        <w:rPr>
          <w:rFonts w:ascii="Sakkal Majalla" w:hAnsi="Sakkal Majalla" w:cs="Sakkal Majalla"/>
          <w:sz w:val="32"/>
          <w:szCs w:val="32"/>
          <w:lang w:bidi="ar-EG"/>
        </w:rPr>
        <w:t xml:space="preserve"> à la </w:t>
      </w:r>
      <w:proofErr w:type="spellStart"/>
      <w:r w:rsidRPr="00BD443B">
        <w:rPr>
          <w:rFonts w:ascii="Sakkal Majalla" w:hAnsi="Sakkal Majalla" w:cs="Sakkal Majalla"/>
          <w:sz w:val="32"/>
          <w:szCs w:val="32"/>
          <w:lang w:bidi="ar-EG"/>
        </w:rPr>
        <w:t>décision</w:t>
      </w:r>
      <w:proofErr w:type="spellEnd"/>
      <w:r w:rsidRPr="00BD443B">
        <w:rPr>
          <w:rFonts w:ascii="Sakkal Majalla" w:hAnsi="Sakkal Majalla" w:cs="Sakkal Majalla"/>
          <w:sz w:val="32"/>
          <w:szCs w:val="32"/>
          <w:rtl/>
          <w:lang w:bidi="ar-EG"/>
        </w:rPr>
        <w:t>.</w:t>
      </w:r>
    </w:p>
    <w:p w14:paraId="0A598B96" w14:textId="77777777" w:rsidR="00BD443B" w:rsidRPr="00BD443B" w:rsidRDefault="00BD443B" w:rsidP="00BD443B">
      <w:pPr>
        <w:pStyle w:val="ListParagraph"/>
        <w:numPr>
          <w:ilvl w:val="0"/>
          <w:numId w:val="5"/>
        </w:numPr>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lang w:bidi="ar-EG"/>
        </w:rPr>
        <w:t>Hallevy, Gabriel (2015). Liability for Crimes Involving Artificial Intelligence Systems. Springer International Publishing</w:t>
      </w:r>
      <w:r w:rsidRPr="00BD443B">
        <w:rPr>
          <w:rFonts w:ascii="Sakkal Majalla" w:hAnsi="Sakkal Majalla" w:cs="Sakkal Majalla"/>
          <w:sz w:val="32"/>
          <w:szCs w:val="32"/>
          <w:rtl/>
          <w:lang w:bidi="ar-EG"/>
        </w:rPr>
        <w:t>.</w:t>
      </w:r>
    </w:p>
    <w:p w14:paraId="284CAF98" w14:textId="77777777" w:rsidR="00BD443B" w:rsidRPr="00BD443B" w:rsidRDefault="00BD443B" w:rsidP="00BD443B">
      <w:pPr>
        <w:pStyle w:val="ListParagraph"/>
        <w:numPr>
          <w:ilvl w:val="0"/>
          <w:numId w:val="5"/>
        </w:numPr>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lang w:bidi="ar-EG"/>
        </w:rPr>
        <w:t>OECD (2024). Explanatory memorandum on the updated OECD definition of an AI system. OECD Publishing</w:t>
      </w:r>
      <w:r w:rsidRPr="00BD443B">
        <w:rPr>
          <w:rFonts w:ascii="Sakkal Majalla" w:hAnsi="Sakkal Majalla" w:cs="Sakkal Majalla"/>
          <w:sz w:val="32"/>
          <w:szCs w:val="32"/>
          <w:rtl/>
          <w:lang w:bidi="ar-EG"/>
        </w:rPr>
        <w:t>.</w:t>
      </w:r>
    </w:p>
    <w:p w14:paraId="7A5BA5EB" w14:textId="20F9133E" w:rsidR="00BD443B" w:rsidRPr="00BD443B" w:rsidRDefault="00BD443B" w:rsidP="00BD443B">
      <w:pPr>
        <w:pStyle w:val="ListParagraph"/>
        <w:numPr>
          <w:ilvl w:val="0"/>
          <w:numId w:val="5"/>
        </w:numPr>
        <w:spacing w:line="360" w:lineRule="auto"/>
        <w:jc w:val="mediumKashida"/>
        <w:rPr>
          <w:rFonts w:ascii="Sakkal Majalla" w:hAnsi="Sakkal Majalla" w:cs="Sakkal Majalla"/>
          <w:sz w:val="32"/>
          <w:szCs w:val="32"/>
          <w:lang w:bidi="ar-EG"/>
        </w:rPr>
      </w:pPr>
      <w:r w:rsidRPr="00BD443B">
        <w:rPr>
          <w:rFonts w:ascii="Sakkal Majalla" w:hAnsi="Sakkal Majalla" w:cs="Sakkal Majalla"/>
          <w:sz w:val="32"/>
          <w:szCs w:val="32"/>
          <w:lang w:bidi="ar-EG"/>
        </w:rPr>
        <w:t xml:space="preserve">SADIN, E. </w:t>
      </w:r>
      <w:proofErr w:type="spellStart"/>
      <w:r w:rsidRPr="00BD443B">
        <w:rPr>
          <w:rFonts w:ascii="Sakkal Majalla" w:hAnsi="Sakkal Majalla" w:cs="Sakkal Majalla"/>
          <w:sz w:val="32"/>
          <w:szCs w:val="32"/>
          <w:lang w:bidi="ar-EG"/>
        </w:rPr>
        <w:t>L’intelligence</w:t>
      </w:r>
      <w:proofErr w:type="spell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artificielle</w:t>
      </w:r>
      <w:proofErr w:type="spell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ou</w:t>
      </w:r>
      <w:proofErr w:type="spellEnd"/>
      <w:r w:rsidRPr="00BD443B">
        <w:rPr>
          <w:rFonts w:ascii="Sakkal Majalla" w:hAnsi="Sakkal Majalla" w:cs="Sakkal Majalla"/>
          <w:sz w:val="32"/>
          <w:szCs w:val="32"/>
          <w:lang w:bidi="ar-EG"/>
        </w:rPr>
        <w:t xml:space="preserve"> </w:t>
      </w:r>
      <w:proofErr w:type="spellStart"/>
      <w:r w:rsidRPr="00BD443B">
        <w:rPr>
          <w:rFonts w:ascii="Sakkal Majalla" w:hAnsi="Sakkal Majalla" w:cs="Sakkal Majalla"/>
          <w:sz w:val="32"/>
          <w:szCs w:val="32"/>
          <w:lang w:bidi="ar-EG"/>
        </w:rPr>
        <w:t>l’enjeu</w:t>
      </w:r>
      <w:proofErr w:type="spellEnd"/>
      <w:r w:rsidRPr="00BD443B">
        <w:rPr>
          <w:rFonts w:ascii="Sakkal Majalla" w:hAnsi="Sakkal Majalla" w:cs="Sakkal Majalla"/>
          <w:sz w:val="32"/>
          <w:szCs w:val="32"/>
          <w:lang w:bidi="ar-EG"/>
        </w:rPr>
        <w:t xml:space="preserve"> du siècle. </w:t>
      </w:r>
      <w:proofErr w:type="spellStart"/>
      <w:r w:rsidRPr="00BD443B">
        <w:rPr>
          <w:rFonts w:ascii="Sakkal Majalla" w:hAnsi="Sakkal Majalla" w:cs="Sakkal Majalla"/>
          <w:sz w:val="32"/>
          <w:szCs w:val="32"/>
          <w:lang w:bidi="ar-EG"/>
        </w:rPr>
        <w:t>Anatomie</w:t>
      </w:r>
      <w:proofErr w:type="spellEnd"/>
      <w:r w:rsidRPr="00BD443B">
        <w:rPr>
          <w:rFonts w:ascii="Sakkal Majalla" w:hAnsi="Sakkal Majalla" w:cs="Sakkal Majalla"/>
          <w:sz w:val="32"/>
          <w:szCs w:val="32"/>
          <w:lang w:bidi="ar-EG"/>
        </w:rPr>
        <w:t xml:space="preserve"> d’un </w:t>
      </w:r>
      <w:proofErr w:type="spellStart"/>
      <w:r w:rsidRPr="00BD443B">
        <w:rPr>
          <w:rFonts w:ascii="Sakkal Majalla" w:hAnsi="Sakkal Majalla" w:cs="Sakkal Majalla"/>
          <w:sz w:val="32"/>
          <w:szCs w:val="32"/>
          <w:lang w:bidi="ar-EG"/>
        </w:rPr>
        <w:t>antihumanisme</w:t>
      </w:r>
      <w:proofErr w:type="spellEnd"/>
      <w:r w:rsidRPr="00BD443B">
        <w:rPr>
          <w:rFonts w:ascii="Sakkal Majalla" w:hAnsi="Sakkal Majalla" w:cs="Sakkal Majalla"/>
          <w:sz w:val="32"/>
          <w:szCs w:val="32"/>
          <w:lang w:bidi="ar-EG"/>
        </w:rPr>
        <w:t xml:space="preserve"> radical</w:t>
      </w:r>
      <w:r w:rsidRPr="00BD443B">
        <w:rPr>
          <w:rFonts w:ascii="Sakkal Majalla" w:hAnsi="Sakkal Majalla" w:cs="Sakkal Majalla"/>
          <w:sz w:val="32"/>
          <w:szCs w:val="32"/>
          <w:rtl/>
          <w:lang w:bidi="ar-EG"/>
        </w:rPr>
        <w:t>.</w:t>
      </w:r>
    </w:p>
    <w:sectPr w:rsidR="00BD443B" w:rsidRPr="00BD443B" w:rsidSect="00B7509F">
      <w:footerReference w:type="default" r:id="rId9"/>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AFCC9" w14:textId="77777777" w:rsidR="006F6AD1" w:rsidRDefault="006F6AD1" w:rsidP="00FF4137">
      <w:pPr>
        <w:spacing w:after="0" w:line="240" w:lineRule="auto"/>
      </w:pPr>
      <w:r>
        <w:separator/>
      </w:r>
    </w:p>
  </w:endnote>
  <w:endnote w:type="continuationSeparator" w:id="0">
    <w:p w14:paraId="6B316CD6" w14:textId="77777777" w:rsidR="006F6AD1" w:rsidRDefault="006F6AD1" w:rsidP="00FF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9859535"/>
      <w:docPartObj>
        <w:docPartGallery w:val="Page Numbers (Bottom of Page)"/>
        <w:docPartUnique/>
      </w:docPartObj>
    </w:sdtPr>
    <w:sdtEndPr>
      <w:rPr>
        <w:noProof/>
      </w:rPr>
    </w:sdtEndPr>
    <w:sdtContent>
      <w:p w14:paraId="4C67084D" w14:textId="414907FC" w:rsidR="00B7509F" w:rsidRDefault="00B750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9CE02D" w14:textId="77777777" w:rsidR="00B7509F" w:rsidRDefault="00B750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CCB73" w14:textId="77777777" w:rsidR="006F6AD1" w:rsidRDefault="006F6AD1" w:rsidP="00FF4137">
      <w:pPr>
        <w:spacing w:after="0" w:line="240" w:lineRule="auto"/>
      </w:pPr>
      <w:r>
        <w:separator/>
      </w:r>
    </w:p>
  </w:footnote>
  <w:footnote w:type="continuationSeparator" w:id="0">
    <w:p w14:paraId="6FF7B9E7" w14:textId="77777777" w:rsidR="006F6AD1" w:rsidRDefault="006F6AD1" w:rsidP="00FF4137">
      <w:pPr>
        <w:spacing w:after="0" w:line="240" w:lineRule="auto"/>
      </w:pPr>
      <w:r>
        <w:continuationSeparator/>
      </w:r>
    </w:p>
  </w:footnote>
  <w:footnote w:id="1">
    <w:p w14:paraId="392BB42D" w14:textId="77777777" w:rsidR="00BA5115" w:rsidRPr="00473704" w:rsidRDefault="00BA5115" w:rsidP="00BA5115">
      <w:pPr>
        <w:pStyle w:val="FootnoteText"/>
        <w:bidi/>
        <w:jc w:val="lowKashida"/>
        <w:rPr>
          <w:rFonts w:ascii="Sakkal Majalla" w:hAnsi="Sakkal Majalla" w:cs="Sakkal Majalla"/>
          <w:sz w:val="24"/>
          <w:szCs w:val="24"/>
          <w:rtl/>
          <w:lang w:bidi="ar-EG"/>
        </w:rPr>
      </w:pPr>
      <w:r w:rsidRPr="00473704">
        <w:rPr>
          <w:rStyle w:val="FootnoteReference"/>
          <w:rFonts w:ascii="Sakkal Majalla" w:hAnsi="Sakkal Majalla" w:cs="Sakkal Majalla"/>
          <w:sz w:val="24"/>
          <w:szCs w:val="24"/>
        </w:rPr>
        <w:footnoteRef/>
      </w:r>
      <w:r w:rsidRPr="00473704">
        <w:rPr>
          <w:rFonts w:ascii="Sakkal Majalla" w:hAnsi="Sakkal Majalla" w:cs="Sakkal Majalla"/>
          <w:sz w:val="24"/>
          <w:szCs w:val="24"/>
        </w:rPr>
        <w:t xml:space="preserve"> </w:t>
      </w:r>
      <w:r>
        <w:rPr>
          <w:rFonts w:ascii="Sakkal Majalla" w:hAnsi="Sakkal Majalla" w:cs="Sakkal Majalla"/>
          <w:sz w:val="24"/>
          <w:szCs w:val="24"/>
          <w:rtl/>
        </w:rPr>
        <w:t>المعيبد</w:t>
      </w:r>
      <w:r>
        <w:rPr>
          <w:rFonts w:ascii="Sakkal Majalla" w:hAnsi="Sakkal Majalla" w:cs="Sakkal Majalla" w:hint="cs"/>
          <w:sz w:val="24"/>
          <w:szCs w:val="24"/>
          <w:rtl/>
        </w:rPr>
        <w:t xml:space="preserve">، </w:t>
      </w:r>
      <w:r>
        <w:rPr>
          <w:rFonts w:ascii="Sakkal Majalla" w:hAnsi="Sakkal Majalla" w:cs="Sakkal Majalla"/>
          <w:sz w:val="24"/>
          <w:szCs w:val="24"/>
          <w:rtl/>
        </w:rPr>
        <w:t>عمر إبراهيم</w:t>
      </w:r>
      <w:r>
        <w:rPr>
          <w:rFonts w:ascii="Sakkal Majalla" w:hAnsi="Sakkal Majalla" w:cs="Sakkal Majalla" w:hint="cs"/>
          <w:sz w:val="24"/>
          <w:szCs w:val="24"/>
          <w:rtl/>
        </w:rPr>
        <w:t>،</w:t>
      </w:r>
      <w:r w:rsidRPr="0064325E">
        <w:rPr>
          <w:rFonts w:ascii="Sakkal Majalla" w:hAnsi="Sakkal Majalla" w:cs="Sakkal Majalla"/>
          <w:sz w:val="24"/>
          <w:szCs w:val="24"/>
          <w:rtl/>
        </w:rPr>
        <w:t xml:space="preserve"> "المسؤوليَّة الجزائيَّة الناجمة عن استخدام تقنيات الذكاء الاصطناعي في النظام </w:t>
      </w:r>
      <w:r>
        <w:rPr>
          <w:rFonts w:ascii="Sakkal Majalla" w:hAnsi="Sakkal Majalla" w:cs="Sakkal Majalla"/>
          <w:sz w:val="24"/>
          <w:szCs w:val="24"/>
          <w:rtl/>
        </w:rPr>
        <w:t>السعودي: دراسة تحليلية مقارنة</w:t>
      </w:r>
      <w:r>
        <w:rPr>
          <w:rFonts w:ascii="Sakkal Majalla" w:hAnsi="Sakkal Majalla" w:cs="Sakkal Majalla" w:hint="cs"/>
          <w:sz w:val="24"/>
          <w:szCs w:val="24"/>
          <w:rtl/>
        </w:rPr>
        <w:t xml:space="preserve">"، </w:t>
      </w:r>
      <w:r w:rsidRPr="0064325E">
        <w:rPr>
          <w:rFonts w:ascii="Sakkal Majalla" w:hAnsi="Sakkal Majalla" w:cs="Sakkal Majalla"/>
          <w:sz w:val="24"/>
          <w:szCs w:val="24"/>
          <w:rtl/>
        </w:rPr>
        <w:t>المجلة العربية للدراسات الأمنية</w:t>
      </w:r>
      <w:r>
        <w:rPr>
          <w:rFonts w:ascii="Sakkal Majalla" w:hAnsi="Sakkal Majalla" w:cs="Sakkal Majalla" w:hint="cs"/>
          <w:sz w:val="24"/>
          <w:szCs w:val="24"/>
          <w:rtl/>
        </w:rPr>
        <w:t xml:space="preserve">،مج (40)، ع (2)، </w:t>
      </w:r>
      <w:r>
        <w:rPr>
          <w:rFonts w:ascii="Sakkal Majalla" w:hAnsi="Sakkal Majalla" w:cs="Sakkal Majalla"/>
          <w:sz w:val="24"/>
          <w:szCs w:val="24"/>
          <w:rtl/>
        </w:rPr>
        <w:t>(2023)</w:t>
      </w:r>
      <w:r>
        <w:rPr>
          <w:rFonts w:ascii="Sakkal Majalla" w:hAnsi="Sakkal Majalla" w:cs="Sakkal Majalla" w:hint="cs"/>
          <w:sz w:val="24"/>
          <w:szCs w:val="24"/>
          <w:rtl/>
        </w:rPr>
        <w:t>، ص 144.</w:t>
      </w:r>
    </w:p>
  </w:footnote>
  <w:footnote w:id="2">
    <w:p w14:paraId="5CABF1C5" w14:textId="77777777" w:rsidR="00BA5115" w:rsidRPr="00473704" w:rsidRDefault="00BA5115" w:rsidP="00BA5115">
      <w:pPr>
        <w:pStyle w:val="FootnoteText"/>
        <w:bidi/>
        <w:jc w:val="lowKashida"/>
        <w:rPr>
          <w:rFonts w:ascii="Sakkal Majalla" w:hAnsi="Sakkal Majalla" w:cs="Sakkal Majalla"/>
          <w:sz w:val="24"/>
          <w:szCs w:val="24"/>
          <w:rtl/>
          <w:lang w:bidi="ar-EG"/>
        </w:rPr>
      </w:pPr>
      <w:r w:rsidRPr="00473704">
        <w:rPr>
          <w:rStyle w:val="FootnoteReference"/>
          <w:rFonts w:ascii="Sakkal Majalla" w:hAnsi="Sakkal Majalla" w:cs="Sakkal Majalla"/>
          <w:sz w:val="24"/>
          <w:szCs w:val="24"/>
        </w:rPr>
        <w:footnoteRef/>
      </w:r>
      <w:r>
        <w:rPr>
          <w:rFonts w:ascii="Sakkal Majalla" w:hAnsi="Sakkal Majalla" w:cs="Sakkal Majalla" w:hint="cs"/>
          <w:sz w:val="24"/>
          <w:szCs w:val="24"/>
          <w:rtl/>
        </w:rPr>
        <w:t xml:space="preserve">  </w:t>
      </w:r>
      <w:r w:rsidRPr="009E5C0E">
        <w:rPr>
          <w:rFonts w:ascii="Sakkal Majalla" w:hAnsi="Sakkal Majalla" w:cs="Sakkal Majalla"/>
          <w:sz w:val="24"/>
          <w:szCs w:val="24"/>
          <w:rtl/>
        </w:rPr>
        <w:t>المالكي</w:t>
      </w:r>
      <w:r>
        <w:rPr>
          <w:rFonts w:ascii="Sakkal Majalla" w:hAnsi="Sakkal Majalla" w:cs="Sakkal Majalla" w:hint="cs"/>
          <w:sz w:val="24"/>
          <w:szCs w:val="24"/>
          <w:rtl/>
        </w:rPr>
        <w:t xml:space="preserve">، </w:t>
      </w:r>
      <w:r>
        <w:rPr>
          <w:rFonts w:ascii="Sakkal Majalla" w:hAnsi="Sakkal Majalla" w:cs="Sakkal Majalla"/>
          <w:sz w:val="24"/>
          <w:szCs w:val="24"/>
          <w:rtl/>
        </w:rPr>
        <w:t>خالد بن عبد الرحيم بن جابر</w:t>
      </w:r>
      <w:r>
        <w:rPr>
          <w:rFonts w:ascii="Sakkal Majalla" w:hAnsi="Sakkal Majalla" w:cs="Sakkal Majalla" w:hint="cs"/>
          <w:sz w:val="24"/>
          <w:szCs w:val="24"/>
          <w:rtl/>
        </w:rPr>
        <w:t>، "</w:t>
      </w:r>
      <w:r w:rsidRPr="009E5C0E">
        <w:rPr>
          <w:rFonts w:ascii="Sakkal Majalla" w:hAnsi="Sakkal Majalla" w:cs="Sakkal Majalla"/>
          <w:sz w:val="24"/>
          <w:szCs w:val="24"/>
          <w:rtl/>
        </w:rPr>
        <w:t>المسؤولية المدنية عن فعل الذكاء الاصطناعي في النظام السعودي دراسة تحليلية تأصيلية</w:t>
      </w:r>
      <w:r>
        <w:rPr>
          <w:rFonts w:ascii="Sakkal Majalla" w:hAnsi="Sakkal Majalla" w:cs="Sakkal Majalla" w:hint="cs"/>
          <w:sz w:val="24"/>
          <w:szCs w:val="24"/>
          <w:rtl/>
        </w:rPr>
        <w:t xml:space="preserve">"، </w:t>
      </w:r>
      <w:r w:rsidRPr="009E5C0E">
        <w:rPr>
          <w:rFonts w:ascii="Sakkal Majalla" w:hAnsi="Sakkal Majalla" w:cs="Sakkal Majalla"/>
          <w:sz w:val="24"/>
          <w:szCs w:val="24"/>
          <w:rtl/>
        </w:rPr>
        <w:t>مجلة البحوث الفقهية والقانونية</w:t>
      </w:r>
      <w:r>
        <w:rPr>
          <w:rFonts w:ascii="Sakkal Majalla" w:hAnsi="Sakkal Majalla" w:cs="Sakkal Majalla" w:hint="cs"/>
          <w:sz w:val="24"/>
          <w:szCs w:val="24"/>
          <w:rtl/>
        </w:rPr>
        <w:t>،</w:t>
      </w:r>
      <w:r w:rsidRPr="009E5C0E">
        <w:rPr>
          <w:rFonts w:ascii="Sakkal Majalla" w:hAnsi="Sakkal Majalla" w:cs="Sakkal Majalla"/>
          <w:sz w:val="24"/>
          <w:szCs w:val="24"/>
          <w:rtl/>
        </w:rPr>
        <w:t xml:space="preserve"> </w:t>
      </w:r>
      <w:r>
        <w:rPr>
          <w:rFonts w:ascii="Sakkal Majalla" w:hAnsi="Sakkal Majalla" w:cs="Sakkal Majalla" w:hint="cs"/>
          <w:sz w:val="24"/>
          <w:szCs w:val="24"/>
          <w:rtl/>
        </w:rPr>
        <w:t xml:space="preserve">مج (47)، ع (47)، </w:t>
      </w:r>
      <w:r>
        <w:rPr>
          <w:rFonts w:ascii="Sakkal Majalla" w:hAnsi="Sakkal Majalla" w:cs="Sakkal Majalla"/>
          <w:sz w:val="24"/>
          <w:szCs w:val="24"/>
          <w:rtl/>
        </w:rPr>
        <w:t>(2024)</w:t>
      </w:r>
      <w:r>
        <w:rPr>
          <w:rFonts w:ascii="Sakkal Majalla" w:hAnsi="Sakkal Majalla" w:cs="Sakkal Majalla" w:hint="cs"/>
          <w:sz w:val="24"/>
          <w:szCs w:val="24"/>
          <w:rtl/>
        </w:rPr>
        <w:t>، ص 1771.</w:t>
      </w:r>
    </w:p>
  </w:footnote>
  <w:footnote w:id="3">
    <w:p w14:paraId="4B670116" w14:textId="77777777" w:rsidR="00BA5115" w:rsidRPr="007A0F08" w:rsidRDefault="00BA5115" w:rsidP="00BA5115">
      <w:pPr>
        <w:pStyle w:val="FootnoteText"/>
        <w:bidi/>
        <w:jc w:val="lowKashida"/>
        <w:rPr>
          <w:rFonts w:ascii="Sakkal Majalla" w:hAnsi="Sakkal Majalla" w:cs="Sakkal Majalla"/>
          <w:sz w:val="24"/>
          <w:szCs w:val="24"/>
          <w:rtl/>
          <w:lang w:bidi="ar-EG"/>
        </w:rPr>
      </w:pPr>
      <w:r w:rsidRPr="007A0F08">
        <w:rPr>
          <w:rStyle w:val="FootnoteReference"/>
          <w:rFonts w:ascii="Sakkal Majalla" w:hAnsi="Sakkal Majalla" w:cs="Sakkal Majalla"/>
          <w:sz w:val="24"/>
          <w:szCs w:val="24"/>
        </w:rPr>
        <w:footnoteRef/>
      </w:r>
      <w:r w:rsidRPr="007A0F08">
        <w:rPr>
          <w:rFonts w:ascii="Sakkal Majalla" w:hAnsi="Sakkal Majalla" w:cs="Sakkal Majalla"/>
          <w:sz w:val="24"/>
          <w:szCs w:val="24"/>
        </w:rPr>
        <w:t xml:space="preserve"> </w:t>
      </w:r>
      <w:r w:rsidRPr="00855EBB">
        <w:rPr>
          <w:rFonts w:ascii="Sakkal Majalla" w:hAnsi="Sakkal Majalla" w:cs="Sakkal Majalla"/>
          <w:sz w:val="24"/>
          <w:szCs w:val="24"/>
          <w:rtl/>
        </w:rPr>
        <w:t>التونسي</w:t>
      </w:r>
      <w:r>
        <w:rPr>
          <w:rFonts w:ascii="Sakkal Majalla" w:hAnsi="Sakkal Majalla" w:cs="Sakkal Majalla" w:hint="cs"/>
          <w:sz w:val="24"/>
          <w:szCs w:val="24"/>
          <w:rtl/>
        </w:rPr>
        <w:t xml:space="preserve">، </w:t>
      </w:r>
      <w:r>
        <w:rPr>
          <w:rFonts w:ascii="Sakkal Majalla" w:hAnsi="Sakkal Majalla" w:cs="Sakkal Majalla"/>
          <w:sz w:val="24"/>
          <w:szCs w:val="24"/>
          <w:rtl/>
        </w:rPr>
        <w:t>آيات بنت أحمد</w:t>
      </w:r>
      <w:r>
        <w:rPr>
          <w:rFonts w:ascii="Sakkal Majalla" w:hAnsi="Sakkal Majalla" w:cs="Sakkal Majalla" w:hint="cs"/>
          <w:sz w:val="24"/>
          <w:szCs w:val="24"/>
          <w:rtl/>
        </w:rPr>
        <w:t xml:space="preserve">، </w:t>
      </w:r>
      <w:r w:rsidRPr="00855EBB">
        <w:rPr>
          <w:rFonts w:ascii="Sakkal Majalla" w:hAnsi="Sakkal Majalla" w:cs="Sakkal Majalla"/>
          <w:sz w:val="24"/>
          <w:szCs w:val="24"/>
          <w:rtl/>
        </w:rPr>
        <w:t>"القواعد والإجراءات المنظمة لاستخدامات الذكاء الاصطناعي بالمملكة العربية السعودية وآثارها القانونية</w:t>
      </w:r>
      <w:r>
        <w:rPr>
          <w:rFonts w:ascii="Sakkal Majalla" w:hAnsi="Sakkal Majalla" w:cs="Sakkal Majalla" w:hint="cs"/>
          <w:sz w:val="24"/>
          <w:szCs w:val="24"/>
          <w:rtl/>
        </w:rPr>
        <w:t xml:space="preserve"> </w:t>
      </w:r>
      <w:r w:rsidRPr="00855EBB">
        <w:rPr>
          <w:rFonts w:ascii="Sakkal Majalla" w:hAnsi="Sakkal Majalla" w:cs="Sakkal Majalla"/>
          <w:sz w:val="24"/>
          <w:szCs w:val="24"/>
          <w:rtl/>
        </w:rPr>
        <w:t>(دراسة تحليلية مقارنة)</w:t>
      </w:r>
      <w:r>
        <w:rPr>
          <w:rFonts w:ascii="Sakkal Majalla" w:hAnsi="Sakkal Majalla" w:cs="Sakkal Majalla" w:hint="cs"/>
          <w:sz w:val="24"/>
          <w:szCs w:val="24"/>
          <w:rtl/>
        </w:rPr>
        <w:t xml:space="preserve">"، </w:t>
      </w:r>
      <w:r w:rsidRPr="00855EBB">
        <w:rPr>
          <w:rFonts w:ascii="Sakkal Majalla" w:hAnsi="Sakkal Majalla" w:cs="Sakkal Majalla"/>
          <w:sz w:val="24"/>
          <w:szCs w:val="24"/>
          <w:rtl/>
        </w:rPr>
        <w:t xml:space="preserve">المجلة </w:t>
      </w:r>
      <w:r>
        <w:rPr>
          <w:rFonts w:ascii="Sakkal Majalla" w:hAnsi="Sakkal Majalla" w:cs="Sakkal Majalla" w:hint="cs"/>
          <w:sz w:val="24"/>
          <w:szCs w:val="24"/>
          <w:rtl/>
        </w:rPr>
        <w:t>العربية</w:t>
      </w:r>
      <w:r w:rsidRPr="00855EBB">
        <w:rPr>
          <w:rFonts w:ascii="Sakkal Majalla" w:hAnsi="Sakkal Majalla" w:cs="Sakkal Majalla"/>
          <w:sz w:val="24"/>
          <w:szCs w:val="24"/>
          <w:rtl/>
        </w:rPr>
        <w:t xml:space="preserve"> </w:t>
      </w:r>
      <w:r>
        <w:rPr>
          <w:rFonts w:ascii="Sakkal Majalla" w:hAnsi="Sakkal Majalla" w:cs="Sakkal Majalla" w:hint="cs"/>
          <w:sz w:val="24"/>
          <w:szCs w:val="24"/>
          <w:rtl/>
        </w:rPr>
        <w:t>للنشر</w:t>
      </w:r>
      <w:r w:rsidRPr="00855EBB">
        <w:rPr>
          <w:rFonts w:ascii="Sakkal Majalla" w:hAnsi="Sakkal Majalla" w:cs="Sakkal Majalla"/>
          <w:sz w:val="24"/>
          <w:szCs w:val="24"/>
          <w:rtl/>
        </w:rPr>
        <w:t xml:space="preserve"> العلمي</w:t>
      </w:r>
      <w:r>
        <w:rPr>
          <w:rFonts w:ascii="Sakkal Majalla" w:hAnsi="Sakkal Majalla" w:cs="Sakkal Majalla" w:hint="cs"/>
          <w:sz w:val="24"/>
          <w:szCs w:val="24"/>
          <w:rtl/>
        </w:rPr>
        <w:t>، مج (7)، ع (73)، (2024)، ص 370.</w:t>
      </w:r>
    </w:p>
  </w:footnote>
  <w:footnote w:id="4">
    <w:p w14:paraId="49A17FC2" w14:textId="77777777" w:rsidR="00BA5115" w:rsidRPr="009E5C0E" w:rsidRDefault="00BA5115" w:rsidP="00BA5115">
      <w:pPr>
        <w:pStyle w:val="FootnoteText"/>
        <w:bidi/>
        <w:jc w:val="lowKashida"/>
        <w:rPr>
          <w:rFonts w:ascii="Sakkal Majalla" w:hAnsi="Sakkal Majalla" w:cs="Sakkal Majalla"/>
          <w:sz w:val="24"/>
          <w:szCs w:val="24"/>
          <w:rtl/>
          <w:lang w:bidi="ar-EG"/>
        </w:rPr>
      </w:pPr>
      <w:r w:rsidRPr="009E5C0E">
        <w:rPr>
          <w:rStyle w:val="FootnoteReference"/>
          <w:rFonts w:ascii="Sakkal Majalla" w:hAnsi="Sakkal Majalla" w:cs="Sakkal Majalla"/>
          <w:sz w:val="24"/>
          <w:szCs w:val="24"/>
        </w:rPr>
        <w:footnoteRef/>
      </w:r>
      <w:r w:rsidRPr="009E5C0E">
        <w:rPr>
          <w:rFonts w:ascii="Sakkal Majalla" w:hAnsi="Sakkal Majalla" w:cs="Sakkal Majalla"/>
          <w:sz w:val="24"/>
          <w:szCs w:val="24"/>
        </w:rPr>
        <w:t xml:space="preserve"> </w:t>
      </w:r>
      <w:r w:rsidRPr="009E5C0E">
        <w:rPr>
          <w:rFonts w:ascii="Sakkal Majalla" w:hAnsi="Sakkal Majalla" w:cs="Sakkal Majalla"/>
          <w:sz w:val="24"/>
          <w:szCs w:val="24"/>
          <w:rtl/>
        </w:rPr>
        <w:t>داغر</w:t>
      </w:r>
      <w:r>
        <w:rPr>
          <w:rFonts w:ascii="Sakkal Majalla" w:hAnsi="Sakkal Majalla" w:cs="Sakkal Majalla" w:hint="cs"/>
          <w:sz w:val="24"/>
          <w:szCs w:val="24"/>
          <w:rtl/>
        </w:rPr>
        <w:t xml:space="preserve">، </w:t>
      </w:r>
      <w:r>
        <w:rPr>
          <w:rFonts w:ascii="Sakkal Majalla" w:hAnsi="Sakkal Majalla" w:cs="Sakkal Majalla"/>
          <w:sz w:val="24"/>
          <w:szCs w:val="24"/>
          <w:rtl/>
        </w:rPr>
        <w:t>سارة محمد</w:t>
      </w:r>
      <w:r>
        <w:rPr>
          <w:rFonts w:ascii="Sakkal Majalla" w:hAnsi="Sakkal Majalla" w:cs="Sakkal Majalla" w:hint="cs"/>
          <w:sz w:val="24"/>
          <w:szCs w:val="24"/>
          <w:rtl/>
        </w:rPr>
        <w:t>، "</w:t>
      </w:r>
      <w:r w:rsidRPr="009E5C0E">
        <w:rPr>
          <w:rFonts w:ascii="Sakkal Majalla" w:hAnsi="Sakkal Majalla" w:cs="Sakkal Majalla"/>
          <w:sz w:val="24"/>
          <w:szCs w:val="24"/>
          <w:rtl/>
        </w:rPr>
        <w:t>المسؤولية المدنية عن اضرار الروبوت</w:t>
      </w:r>
      <w:r>
        <w:rPr>
          <w:rFonts w:ascii="Sakkal Majalla" w:hAnsi="Sakkal Majalla" w:cs="Sakkal Majalla" w:hint="cs"/>
          <w:sz w:val="24"/>
          <w:szCs w:val="24"/>
          <w:rtl/>
        </w:rPr>
        <w:t xml:space="preserve">: </w:t>
      </w:r>
      <w:r w:rsidRPr="009E5C0E">
        <w:rPr>
          <w:rFonts w:ascii="Sakkal Majalla" w:hAnsi="Sakkal Majalla" w:cs="Sakkal Majalla"/>
          <w:sz w:val="24"/>
          <w:szCs w:val="24"/>
          <w:rtl/>
        </w:rPr>
        <w:t>درا</w:t>
      </w:r>
      <w:r>
        <w:rPr>
          <w:rFonts w:ascii="Sakkal Majalla" w:hAnsi="Sakkal Majalla" w:cs="Sakkal Majalla"/>
          <w:sz w:val="24"/>
          <w:szCs w:val="24"/>
          <w:rtl/>
        </w:rPr>
        <w:t>سة مقارنة</w:t>
      </w:r>
      <w:r>
        <w:rPr>
          <w:rFonts w:ascii="Sakkal Majalla" w:hAnsi="Sakkal Majalla" w:cs="Sakkal Majalla" w:hint="cs"/>
          <w:sz w:val="24"/>
          <w:szCs w:val="24"/>
          <w:rtl/>
        </w:rPr>
        <w:t xml:space="preserve">"، </w:t>
      </w:r>
      <w:r w:rsidRPr="009E5C0E">
        <w:rPr>
          <w:rFonts w:ascii="Sakkal Majalla" w:hAnsi="Sakkal Majalla" w:cs="Sakkal Majalla"/>
          <w:sz w:val="24"/>
          <w:szCs w:val="24"/>
          <w:rtl/>
        </w:rPr>
        <w:t>جامعة ميسان</w:t>
      </w:r>
      <w:r>
        <w:rPr>
          <w:rFonts w:ascii="Sakkal Majalla" w:hAnsi="Sakkal Majalla" w:cs="Sakkal Majalla" w:hint="cs"/>
          <w:sz w:val="24"/>
          <w:szCs w:val="24"/>
          <w:rtl/>
        </w:rPr>
        <w:t xml:space="preserve">، </w:t>
      </w:r>
      <w:r w:rsidRPr="009E5C0E">
        <w:rPr>
          <w:rFonts w:ascii="Sakkal Majalla" w:hAnsi="Sakkal Majalla" w:cs="Sakkal Majalla"/>
          <w:sz w:val="24"/>
          <w:szCs w:val="24"/>
          <w:rtl/>
        </w:rPr>
        <w:t>كلية القانون قسم القانون الخاص</w:t>
      </w:r>
      <w:r>
        <w:rPr>
          <w:rFonts w:ascii="Sakkal Majalla" w:hAnsi="Sakkal Majalla" w:cs="Sakkal Majalla" w:hint="cs"/>
          <w:sz w:val="24"/>
          <w:szCs w:val="24"/>
          <w:rtl/>
        </w:rPr>
        <w:t>، (2023)، ص 24.</w:t>
      </w:r>
    </w:p>
  </w:footnote>
  <w:footnote w:id="5">
    <w:p w14:paraId="34019817" w14:textId="28742379" w:rsidR="00FF4137" w:rsidRPr="00C71EE0" w:rsidRDefault="00FF4137" w:rsidP="00FF4137">
      <w:pPr>
        <w:pStyle w:val="FootnoteText"/>
        <w:bidi/>
        <w:rPr>
          <w:rFonts w:ascii="Sakkal Majalla" w:hAnsi="Sakkal Majalla" w:cs="Sakkal Majalla"/>
          <w:sz w:val="24"/>
          <w:szCs w:val="24"/>
          <w:rtl/>
        </w:rPr>
      </w:pPr>
      <w:r w:rsidRPr="00C71EE0">
        <w:rPr>
          <w:rStyle w:val="FootnoteReference"/>
          <w:rFonts w:ascii="Sakkal Majalla" w:hAnsi="Sakkal Majalla" w:cs="Sakkal Majalla"/>
          <w:sz w:val="24"/>
          <w:szCs w:val="24"/>
        </w:rPr>
        <w:footnoteRef/>
      </w:r>
      <w:r w:rsidRPr="00C71EE0">
        <w:rPr>
          <w:rFonts w:ascii="Sakkal Majalla" w:hAnsi="Sakkal Majalla" w:cs="Sakkal Majalla"/>
          <w:sz w:val="24"/>
          <w:szCs w:val="24"/>
        </w:rPr>
        <w:t xml:space="preserve"> </w:t>
      </w:r>
      <w:r w:rsidRPr="00C71EE0">
        <w:rPr>
          <w:rFonts w:ascii="Sakkal Majalla" w:hAnsi="Sakkal Majalla" w:cs="Sakkal Majalla"/>
          <w:sz w:val="24"/>
          <w:szCs w:val="24"/>
          <w:rtl/>
        </w:rPr>
        <w:t xml:space="preserve">تحفة، </w:t>
      </w:r>
      <w:r w:rsidRPr="00C71EE0">
        <w:rPr>
          <w:rFonts w:ascii="Sakkal Majalla" w:hAnsi="Sakkal Majalla" w:cs="Sakkal Majalla"/>
          <w:sz w:val="24"/>
          <w:szCs w:val="24"/>
          <w:rtl/>
        </w:rPr>
        <w:t>فايق عوضين محمد (2022) استخدامات تقنيات الذكاء الاصطناعي بين المشروعية وعدم المشروعية: الجزء الثاني: المسؤولية الجنائية عن جرائم تقنيات الذكاء الاصطناعي ، المجلة الجنائية القومية، 65(2)، ص 32</w:t>
      </w:r>
    </w:p>
  </w:footnote>
  <w:footnote w:id="6">
    <w:p w14:paraId="5A883189" w14:textId="62B017F5" w:rsidR="00FF4137" w:rsidRPr="00C71EE0" w:rsidRDefault="00FF4137" w:rsidP="00FF4137">
      <w:pPr>
        <w:pStyle w:val="FootnoteText"/>
        <w:bidi/>
        <w:rPr>
          <w:rFonts w:ascii="Sakkal Majalla" w:hAnsi="Sakkal Majalla" w:cs="Sakkal Majalla"/>
          <w:sz w:val="24"/>
          <w:szCs w:val="24"/>
          <w:rtl/>
          <w:lang w:bidi="ar-EG"/>
        </w:rPr>
      </w:pPr>
      <w:r w:rsidRPr="00C71EE0">
        <w:rPr>
          <w:rStyle w:val="FootnoteReference"/>
          <w:rFonts w:ascii="Sakkal Majalla" w:hAnsi="Sakkal Majalla" w:cs="Sakkal Majalla"/>
          <w:sz w:val="24"/>
          <w:szCs w:val="24"/>
        </w:rPr>
        <w:footnoteRef/>
      </w:r>
      <w:r w:rsidRPr="00C71EE0">
        <w:rPr>
          <w:rFonts w:ascii="Sakkal Majalla" w:hAnsi="Sakkal Majalla" w:cs="Sakkal Majalla"/>
          <w:sz w:val="24"/>
          <w:szCs w:val="24"/>
        </w:rPr>
        <w:t xml:space="preserve"> </w:t>
      </w:r>
      <w:r w:rsidRPr="00C71EE0">
        <w:rPr>
          <w:rFonts w:ascii="Sakkal Majalla" w:hAnsi="Sakkal Majalla" w:cs="Sakkal Majalla"/>
          <w:sz w:val="24"/>
          <w:szCs w:val="24"/>
          <w:rtl/>
        </w:rPr>
        <w:t>الحسبان، عودة عبدالكريم، والعيادة، حمزة علي سليمان (2025) مدى إمكانية منح الذكاء الاصطناعي الشخصية القانونية وبيان المسؤولية المدنية عن أضراره في التشريع الأردني. الميزان للدراسات الإسلامية والقانونية، 12(2)، ص330</w:t>
      </w:r>
    </w:p>
  </w:footnote>
  <w:footnote w:id="7">
    <w:p w14:paraId="6507351A" w14:textId="26A314BD" w:rsidR="00FF4137" w:rsidRPr="00C71EE0" w:rsidRDefault="00FF4137" w:rsidP="00FF4137">
      <w:pPr>
        <w:pStyle w:val="FootnoteText"/>
        <w:bidi/>
        <w:rPr>
          <w:rFonts w:ascii="Sakkal Majalla" w:hAnsi="Sakkal Majalla" w:cs="Sakkal Majalla"/>
          <w:sz w:val="24"/>
          <w:szCs w:val="24"/>
          <w:rtl/>
          <w:lang w:bidi="ar-EG"/>
        </w:rPr>
      </w:pPr>
      <w:r w:rsidRPr="00C71EE0">
        <w:rPr>
          <w:rStyle w:val="FootnoteReference"/>
          <w:rFonts w:ascii="Sakkal Majalla" w:hAnsi="Sakkal Majalla" w:cs="Sakkal Majalla"/>
          <w:sz w:val="24"/>
          <w:szCs w:val="24"/>
        </w:rPr>
        <w:footnoteRef/>
      </w:r>
      <w:r w:rsidRPr="00C71EE0">
        <w:rPr>
          <w:rFonts w:ascii="Sakkal Majalla" w:hAnsi="Sakkal Majalla" w:cs="Sakkal Majalla"/>
          <w:sz w:val="24"/>
          <w:szCs w:val="24"/>
        </w:rPr>
        <w:t xml:space="preserve"> </w:t>
      </w:r>
      <w:r w:rsidRPr="00C71EE0">
        <w:rPr>
          <w:rFonts w:ascii="Sakkal Majalla" w:hAnsi="Sakkal Majalla" w:cs="Sakkal Majalla"/>
          <w:sz w:val="24"/>
          <w:szCs w:val="24"/>
          <w:rtl/>
        </w:rPr>
        <w:t>الطائي، سميرة حسين محيسن، وعبدالحسن، إيمان حسين (2025) الطبيعة القانونية للذكاء الاصطناعي. مجلة الكوفة للعلوم القانونية والسياسية، 18(1)، ص230</w:t>
      </w:r>
    </w:p>
  </w:footnote>
  <w:footnote w:id="8">
    <w:p w14:paraId="3835EC2E" w14:textId="1B09C20D" w:rsidR="00FF4137" w:rsidRPr="00C71EE0" w:rsidRDefault="00FF4137" w:rsidP="00FF4137">
      <w:pPr>
        <w:pStyle w:val="FootnoteText"/>
        <w:bidi/>
        <w:rPr>
          <w:rFonts w:ascii="Sakkal Majalla" w:hAnsi="Sakkal Majalla" w:cs="Sakkal Majalla"/>
          <w:sz w:val="24"/>
          <w:szCs w:val="24"/>
          <w:rtl/>
          <w:lang w:bidi="ar-EG"/>
        </w:rPr>
      </w:pPr>
      <w:r w:rsidRPr="00C71EE0">
        <w:rPr>
          <w:rStyle w:val="FootnoteReference"/>
          <w:rFonts w:ascii="Sakkal Majalla" w:hAnsi="Sakkal Majalla" w:cs="Sakkal Majalla"/>
          <w:sz w:val="24"/>
          <w:szCs w:val="24"/>
        </w:rPr>
        <w:footnoteRef/>
      </w:r>
      <w:r w:rsidRPr="00C71EE0">
        <w:rPr>
          <w:rFonts w:ascii="Sakkal Majalla" w:hAnsi="Sakkal Majalla" w:cs="Sakkal Majalla"/>
          <w:sz w:val="24"/>
          <w:szCs w:val="24"/>
        </w:rPr>
        <w:t xml:space="preserve"> </w:t>
      </w:r>
      <w:r w:rsidRPr="00C71EE0">
        <w:rPr>
          <w:rFonts w:ascii="Sakkal Majalla" w:hAnsi="Sakkal Majalla" w:cs="Sakkal Majalla"/>
          <w:sz w:val="24"/>
          <w:szCs w:val="24"/>
          <w:rtl/>
        </w:rPr>
        <w:t>أبو نصار، ريا جمال (2025) إشكالية تحديد الطبيعة القانونية لأنظمة الذكاء الاصطناعي ، مجلة المنارة للبحوث والدراسات: سلسلة العلوم السياسية والقانون، 42(3)، 252</w:t>
      </w:r>
    </w:p>
  </w:footnote>
  <w:footnote w:id="9">
    <w:p w14:paraId="1E66A080" w14:textId="43D63E9A" w:rsidR="00C71EE0" w:rsidRPr="00C71EE0" w:rsidRDefault="00C71EE0" w:rsidP="00C71EE0">
      <w:pPr>
        <w:pStyle w:val="FootnoteText"/>
        <w:bidi/>
        <w:rPr>
          <w:rFonts w:ascii="Sakkal Majalla" w:hAnsi="Sakkal Majalla" w:cs="Sakkal Majalla"/>
          <w:sz w:val="24"/>
          <w:szCs w:val="24"/>
          <w:rtl/>
          <w:lang w:bidi="ar-EG"/>
        </w:rPr>
      </w:pPr>
      <w:r w:rsidRPr="00C71EE0">
        <w:rPr>
          <w:rStyle w:val="FootnoteReference"/>
          <w:rFonts w:ascii="Sakkal Majalla" w:hAnsi="Sakkal Majalla" w:cs="Sakkal Majalla"/>
          <w:sz w:val="24"/>
          <w:szCs w:val="24"/>
        </w:rPr>
        <w:footnoteRef/>
      </w:r>
      <w:r w:rsidRPr="00C71EE0">
        <w:rPr>
          <w:rFonts w:ascii="Sakkal Majalla" w:hAnsi="Sakkal Majalla" w:cs="Sakkal Majalla"/>
          <w:sz w:val="24"/>
          <w:szCs w:val="24"/>
        </w:rPr>
        <w:t xml:space="preserve"> </w:t>
      </w:r>
      <w:r w:rsidRPr="00C71EE0">
        <w:rPr>
          <w:rFonts w:ascii="Sakkal Majalla" w:hAnsi="Sakkal Majalla" w:cs="Sakkal Majalla"/>
          <w:sz w:val="24"/>
          <w:szCs w:val="24"/>
          <w:rtl/>
        </w:rPr>
        <w:t>فارس، محمد السيد (2024) نحو مفهوم جديد للذكاء الاصطناعي ومحاولة تنظيمه القانوني: دراسة مقارنة ،  مجلة التشريع والقانون، 43، ص 1858</w:t>
      </w:r>
    </w:p>
  </w:footnote>
  <w:footnote w:id="10">
    <w:p w14:paraId="0256E759" w14:textId="0C154A62" w:rsidR="00C71EE0" w:rsidRPr="00C71EE0" w:rsidRDefault="00C71EE0" w:rsidP="00C71EE0">
      <w:pPr>
        <w:pStyle w:val="FootnoteText"/>
        <w:bidi/>
        <w:rPr>
          <w:rFonts w:ascii="Sakkal Majalla" w:hAnsi="Sakkal Majalla" w:cs="Sakkal Majalla"/>
          <w:sz w:val="24"/>
          <w:szCs w:val="24"/>
          <w:rtl/>
          <w:lang w:bidi="ar-EG"/>
        </w:rPr>
      </w:pPr>
      <w:r w:rsidRPr="00C71EE0">
        <w:rPr>
          <w:rStyle w:val="FootnoteReference"/>
          <w:rFonts w:ascii="Sakkal Majalla" w:hAnsi="Sakkal Majalla" w:cs="Sakkal Majalla"/>
          <w:sz w:val="24"/>
          <w:szCs w:val="24"/>
        </w:rPr>
        <w:footnoteRef/>
      </w:r>
      <w:r w:rsidRPr="00C71EE0">
        <w:rPr>
          <w:rFonts w:ascii="Sakkal Majalla" w:hAnsi="Sakkal Majalla" w:cs="Sakkal Majalla"/>
          <w:sz w:val="24"/>
          <w:szCs w:val="24"/>
        </w:rPr>
        <w:t xml:space="preserve"> </w:t>
      </w:r>
      <w:r w:rsidRPr="00C71EE0">
        <w:rPr>
          <w:rFonts w:ascii="Sakkal Majalla" w:hAnsi="Sakkal Majalla" w:cs="Sakkal Majalla"/>
          <w:sz w:val="24"/>
          <w:szCs w:val="24"/>
          <w:rtl/>
        </w:rPr>
        <w:t>آل سعود، نواف بدر فهد (2025) المسؤولية المدنية الناشئة عن أضرار أنظمة الذكاء الاصطناعي: دراسة تحليلية مقارنة بين النظام السعودي والتشريعات المقارنة ، مجلة التشريع والقانون، 45، ص1202</w:t>
      </w:r>
    </w:p>
  </w:footnote>
  <w:footnote w:id="11">
    <w:p w14:paraId="10183B81" w14:textId="59AEF2C5" w:rsidR="00C71EE0" w:rsidRDefault="00C71EE0" w:rsidP="00C71EE0">
      <w:pPr>
        <w:pStyle w:val="FootnoteText"/>
        <w:bidi/>
      </w:pPr>
      <w:r>
        <w:rPr>
          <w:rStyle w:val="FootnoteReference"/>
        </w:rPr>
        <w:footnoteRef/>
      </w:r>
      <w:r>
        <w:t xml:space="preserve"> </w:t>
      </w:r>
      <w:r w:rsidRPr="008D2993">
        <w:rPr>
          <w:rFonts w:ascii="Sakkal Majalla" w:hAnsi="Sakkal Majalla" w:cs="Sakkal Majalla"/>
          <w:sz w:val="24"/>
          <w:szCs w:val="24"/>
          <w:rtl/>
        </w:rPr>
        <w:t xml:space="preserve">أبو نصار، ريا جمال (2025) إشكالية تحديد الطبيعة القانونية لأنظمة الذكاء الاصطناعي ، مجلة المنارة للبحوث والدراسات: سلسلة العلوم السياسية والقانون، 42(3)، </w:t>
      </w:r>
      <w:r w:rsidRPr="008D2993">
        <w:rPr>
          <w:rFonts w:ascii="Sakkal Majalla" w:hAnsi="Sakkal Majalla" w:cs="Sakkal Majalla"/>
          <w:sz w:val="24"/>
          <w:szCs w:val="24"/>
          <w:rtl/>
          <w:lang w:bidi="ar-EG"/>
        </w:rPr>
        <w:t>ص 252</w:t>
      </w:r>
    </w:p>
  </w:footnote>
  <w:footnote w:id="12">
    <w:p w14:paraId="3DF252CE" w14:textId="61F2DF85" w:rsidR="00C71EE0" w:rsidRDefault="00C71EE0" w:rsidP="00C71EE0">
      <w:pPr>
        <w:pStyle w:val="FootnoteText"/>
        <w:bidi/>
      </w:pPr>
      <w:r>
        <w:rPr>
          <w:rStyle w:val="FootnoteReference"/>
        </w:rPr>
        <w:footnoteRef/>
      </w:r>
      <w:r>
        <w:t xml:space="preserve"> </w:t>
      </w:r>
      <w:r w:rsidRPr="008D2993">
        <w:rPr>
          <w:rFonts w:ascii="Sakkal Majalla" w:hAnsi="Sakkal Majalla" w:cs="Sakkal Majalla"/>
          <w:sz w:val="24"/>
          <w:szCs w:val="24"/>
          <w:rtl/>
        </w:rPr>
        <w:t>عمار، عادل محمود أحمد (2024) الطبيعة القانونية للتعويض عن أضرار الذكاء الاصطناعي في مجال المسؤولية الإدارية: دراسة مقارنة. مجلة الفكر القانوني والاقتصادي، 14(3)، ص 110</w:t>
      </w:r>
    </w:p>
  </w:footnote>
  <w:footnote w:id="13">
    <w:p w14:paraId="102B36B2" w14:textId="7A54A354" w:rsidR="00C71EE0" w:rsidRDefault="00C71EE0" w:rsidP="00C71EE0">
      <w:pPr>
        <w:pStyle w:val="FootnoteText"/>
        <w:bidi/>
      </w:pPr>
      <w:r>
        <w:rPr>
          <w:rStyle w:val="FootnoteReference"/>
        </w:rPr>
        <w:footnoteRef/>
      </w:r>
      <w:r>
        <w:t xml:space="preserve"> </w:t>
      </w:r>
      <w:r w:rsidRPr="008D2993">
        <w:rPr>
          <w:rFonts w:ascii="Sakkal Majalla" w:hAnsi="Sakkal Majalla" w:cs="Sakkal Majalla"/>
          <w:sz w:val="24"/>
          <w:szCs w:val="24"/>
          <w:rtl/>
        </w:rPr>
        <w:t>عبدالله، شيماء عبدالرضي (2025) إشكالية المساءلة الجنائية لجرائم الروبوتات الذكية في ضوء تطور تقنيات الذكاء الاصطناعي ، مجلة كلية الشريعة والقانون بطنطا، 40(2)، 920</w:t>
      </w:r>
    </w:p>
  </w:footnote>
  <w:footnote w:id="14">
    <w:p w14:paraId="00228FE4" w14:textId="00D66C22" w:rsidR="00A679CC" w:rsidRDefault="00A679CC" w:rsidP="00A679CC">
      <w:pPr>
        <w:pStyle w:val="FootnoteText"/>
      </w:pPr>
      <w:r>
        <w:rPr>
          <w:rStyle w:val="FootnoteReference"/>
        </w:rPr>
        <w:footnoteRef/>
      </w:r>
      <w:r w:rsidRPr="00A679CC">
        <w:t>OECD. (2024). Explanatory memorandum on the updated OECD definition of an AI system. OECD Publishing</w:t>
      </w:r>
    </w:p>
  </w:footnote>
  <w:footnote w:id="15">
    <w:p w14:paraId="1F61A4FB" w14:textId="066E9911" w:rsidR="00C71EE0" w:rsidRDefault="00C71EE0" w:rsidP="00C71EE0">
      <w:pPr>
        <w:pStyle w:val="FootnoteText"/>
        <w:bidi/>
      </w:pPr>
      <w:r>
        <w:rPr>
          <w:rStyle w:val="FootnoteReference"/>
        </w:rPr>
        <w:footnoteRef/>
      </w:r>
      <w:r>
        <w:t xml:space="preserve"> </w:t>
      </w:r>
      <w:r w:rsidR="00A679CC" w:rsidRPr="008D2993">
        <w:rPr>
          <w:rFonts w:ascii="Sakkal Majalla" w:hAnsi="Sakkal Majalla" w:cs="Sakkal Majalla"/>
          <w:sz w:val="24"/>
          <w:szCs w:val="24"/>
          <w:rtl/>
        </w:rPr>
        <w:t>جاد المولى، محمود عبدالغني فريد (2021) الاتجاهات الحديثة في المسؤولية الجنائية للكيانات التي تعمل بتقنيات الذكاء الاصطناعي. مجلة البحوث القانونية والاقتصادية، 53، ص550</w:t>
      </w:r>
    </w:p>
  </w:footnote>
  <w:footnote w:id="16">
    <w:p w14:paraId="316195B4" w14:textId="05CBB104" w:rsidR="00C71EE0" w:rsidRDefault="00C71EE0" w:rsidP="00C71EE0">
      <w:pPr>
        <w:pStyle w:val="FootnoteText"/>
        <w:bidi/>
      </w:pPr>
      <w:r>
        <w:rPr>
          <w:rStyle w:val="FootnoteReference"/>
        </w:rPr>
        <w:footnoteRef/>
      </w:r>
      <w:r>
        <w:t xml:space="preserve"> </w:t>
      </w:r>
      <w:r w:rsidRPr="008D2993">
        <w:rPr>
          <w:rFonts w:ascii="Sakkal Majalla" w:hAnsi="Sakkal Majalla" w:cs="Sakkal Majalla"/>
          <w:sz w:val="24"/>
          <w:szCs w:val="24"/>
          <w:rtl/>
        </w:rPr>
        <w:t>محفوظ، أسماء عبدالسلام (2025) الإشكاليات القانونية للذكاء الاصطناعي ، مجلة المنتدى الأكاديمي للعلوم الإنسانية، 9(1)، ص 735</w:t>
      </w:r>
    </w:p>
  </w:footnote>
  <w:footnote w:id="17">
    <w:p w14:paraId="224DD17A" w14:textId="79ED6533" w:rsidR="00E96748" w:rsidRDefault="00E96748" w:rsidP="00E96748">
      <w:pPr>
        <w:pStyle w:val="FootnoteText"/>
        <w:bidi/>
        <w:rPr>
          <w:rFonts w:hint="cs"/>
          <w:rtl/>
          <w:lang w:bidi="ar-EG"/>
        </w:rPr>
      </w:pPr>
      <w:r>
        <w:rPr>
          <w:rStyle w:val="FootnoteReference"/>
        </w:rPr>
        <w:footnoteRef/>
      </w:r>
      <w:r>
        <w:t xml:space="preserve"> </w:t>
      </w:r>
      <w:r w:rsidR="0054009E" w:rsidRPr="008D2993">
        <w:rPr>
          <w:rFonts w:ascii="Sakkal Majalla" w:hAnsi="Sakkal Majalla" w:cs="Sakkal Majalla"/>
          <w:sz w:val="24"/>
          <w:szCs w:val="24"/>
          <w:rtl/>
        </w:rPr>
        <w:t>الدسوقي، منى محمد العترس (2022) جرائم تقنيات الذكاء الاصطناعي والشخصية القانونية الإلكترونية المستقلة: دراسة مقارنة ، مجلة البحوث القانونية والاقتصادية، 81، ص 1149</w:t>
      </w:r>
    </w:p>
  </w:footnote>
  <w:footnote w:id="18">
    <w:p w14:paraId="09187E48" w14:textId="59546803" w:rsidR="00E96748" w:rsidRDefault="00E96748" w:rsidP="00E96748">
      <w:pPr>
        <w:pStyle w:val="FootnoteText"/>
        <w:bidi/>
        <w:rPr>
          <w:rFonts w:hint="cs"/>
          <w:rtl/>
          <w:lang w:bidi="ar-EG"/>
        </w:rPr>
      </w:pPr>
      <w:r>
        <w:rPr>
          <w:rStyle w:val="FootnoteReference"/>
        </w:rPr>
        <w:footnoteRef/>
      </w:r>
      <w:r>
        <w:t xml:space="preserve"> </w:t>
      </w:r>
      <w:r w:rsidR="0054009E" w:rsidRPr="008D2993">
        <w:rPr>
          <w:rFonts w:ascii="Sakkal Majalla" w:hAnsi="Sakkal Majalla" w:cs="Sakkal Majalla"/>
          <w:sz w:val="24"/>
          <w:szCs w:val="24"/>
          <w:rtl/>
        </w:rPr>
        <w:t xml:space="preserve">أبو نصار، ريا جمال (2025) </w:t>
      </w:r>
      <w:r w:rsidR="0054009E" w:rsidRPr="008D2993">
        <w:rPr>
          <w:rFonts w:ascii="Sakkal Majalla" w:hAnsi="Sakkal Majalla" w:cs="Sakkal Majalla"/>
          <w:b/>
          <w:bCs/>
          <w:sz w:val="24"/>
          <w:szCs w:val="24"/>
          <w:u w:val="single"/>
          <w:rtl/>
        </w:rPr>
        <w:t>مرجع سابق</w:t>
      </w:r>
      <w:r w:rsidR="0054009E" w:rsidRPr="008D2993">
        <w:rPr>
          <w:rFonts w:ascii="Sakkal Majalla" w:hAnsi="Sakkal Majalla" w:cs="Sakkal Majalla"/>
          <w:sz w:val="24"/>
          <w:szCs w:val="24"/>
          <w:rtl/>
        </w:rPr>
        <w:t xml:space="preserve"> ، </w:t>
      </w:r>
      <w:r w:rsidR="0054009E" w:rsidRPr="008D2993">
        <w:rPr>
          <w:rFonts w:ascii="Sakkal Majalla" w:hAnsi="Sakkal Majalla" w:cs="Sakkal Majalla"/>
          <w:sz w:val="24"/>
          <w:szCs w:val="24"/>
          <w:rtl/>
          <w:lang w:bidi="ar-EG"/>
        </w:rPr>
        <w:t>ص 256</w:t>
      </w:r>
    </w:p>
  </w:footnote>
  <w:footnote w:id="19">
    <w:p w14:paraId="730C150E" w14:textId="29640457" w:rsidR="0054009E" w:rsidRPr="0054009E" w:rsidRDefault="0054009E" w:rsidP="0054009E">
      <w:pPr>
        <w:pStyle w:val="FootnoteText"/>
        <w:bidi/>
        <w:rPr>
          <w:rFonts w:ascii="Sakkal Majalla" w:hAnsi="Sakkal Majalla" w:cs="Sakkal Majalla" w:hint="cs"/>
          <w:sz w:val="24"/>
          <w:szCs w:val="24"/>
          <w:rtl/>
        </w:rPr>
      </w:pPr>
      <w:r>
        <w:rPr>
          <w:rStyle w:val="FootnoteReference"/>
        </w:rPr>
        <w:footnoteRef/>
      </w:r>
      <w:r>
        <w:t xml:space="preserve"> </w:t>
      </w:r>
      <w:r w:rsidRPr="008D2993">
        <w:rPr>
          <w:rFonts w:ascii="Sakkal Majalla" w:hAnsi="Sakkal Majalla" w:cs="Sakkal Majalla"/>
          <w:sz w:val="24"/>
          <w:szCs w:val="24"/>
          <w:rtl/>
        </w:rPr>
        <w:t>رضا، أزرو محمد (2025) مدى جواز الاعتراف بالشخصية القانونية للذكاء الاصطناعي. مجلة التراث، 15(1)، ص 54</w:t>
      </w:r>
    </w:p>
  </w:footnote>
  <w:footnote w:id="20">
    <w:p w14:paraId="40F1BFD5" w14:textId="2984851B" w:rsidR="0054009E" w:rsidRDefault="0054009E" w:rsidP="0054009E">
      <w:pPr>
        <w:pStyle w:val="FootnoteText"/>
        <w:bidi/>
        <w:rPr>
          <w:rFonts w:hint="cs"/>
          <w:rtl/>
          <w:lang w:bidi="ar-EG"/>
        </w:rPr>
      </w:pPr>
      <w:r>
        <w:rPr>
          <w:rStyle w:val="FootnoteReference"/>
        </w:rPr>
        <w:footnoteRef/>
      </w:r>
      <w:r>
        <w:t xml:space="preserve"> </w:t>
      </w:r>
      <w:r w:rsidRPr="008D2993">
        <w:rPr>
          <w:rFonts w:ascii="Sakkal Majalla" w:hAnsi="Sakkal Majalla" w:cs="Sakkal Majalla"/>
          <w:sz w:val="24"/>
          <w:szCs w:val="24"/>
          <w:rtl/>
        </w:rPr>
        <w:t>العسلاوي، مشعل بدر خالد، وصالح، تامر محمد محمد (2025) تأصيل المسؤولية الجنائية للمركبات ذاتية القيادة: دراسة تحليلية مقارنة. مجلة البحوث القانونية والاقتصادية، 91، ص 46</w:t>
      </w:r>
    </w:p>
  </w:footnote>
  <w:footnote w:id="21">
    <w:p w14:paraId="2A97D96A" w14:textId="6BD2C70B" w:rsidR="0054009E" w:rsidRDefault="0054009E" w:rsidP="0054009E">
      <w:pPr>
        <w:pStyle w:val="FootnoteText"/>
        <w:bidi/>
        <w:rPr>
          <w:rFonts w:hint="cs"/>
          <w:rtl/>
          <w:lang w:bidi="ar-EG"/>
        </w:rPr>
      </w:pPr>
      <w:r>
        <w:rPr>
          <w:rStyle w:val="FootnoteReference"/>
        </w:rPr>
        <w:footnoteRef/>
      </w:r>
      <w:r>
        <w:t xml:space="preserve"> </w:t>
      </w:r>
      <w:r w:rsidR="007F0671" w:rsidRPr="008D2993">
        <w:rPr>
          <w:rFonts w:ascii="Sakkal Majalla" w:hAnsi="Sakkal Majalla" w:cs="Sakkal Majalla"/>
          <w:sz w:val="24"/>
          <w:szCs w:val="24"/>
          <w:rtl/>
        </w:rPr>
        <w:t>أحمد، غادة حلمي (2025) المسؤولية الجنائية لتقنيات الذكاء الاصطناعي. المجلة الجنائية القومية، 68(2)، ص 112</w:t>
      </w:r>
    </w:p>
  </w:footnote>
  <w:footnote w:id="22">
    <w:p w14:paraId="06E31779" w14:textId="0F194CDC" w:rsidR="00E96748" w:rsidRDefault="00E96748" w:rsidP="0054009E">
      <w:pPr>
        <w:pStyle w:val="FootnoteText"/>
        <w:bidi/>
        <w:rPr>
          <w:rFonts w:hint="cs"/>
          <w:rtl/>
          <w:lang w:bidi="ar-EG"/>
        </w:rPr>
      </w:pPr>
      <w:r>
        <w:rPr>
          <w:rStyle w:val="FootnoteReference"/>
        </w:rPr>
        <w:footnoteRef/>
      </w:r>
      <w:r>
        <w:t xml:space="preserve"> </w:t>
      </w:r>
      <w:r w:rsidR="007F0671" w:rsidRPr="008D2993">
        <w:rPr>
          <w:rFonts w:ascii="Sakkal Majalla" w:hAnsi="Sakkal Majalla" w:cs="Sakkal Majalla"/>
          <w:sz w:val="24"/>
          <w:szCs w:val="24"/>
          <w:rtl/>
          <w:lang w:bidi="ar-EG"/>
        </w:rPr>
        <w:t>النجار، رانيا ع.، ومسعود، مازن ن. (2025). تأثير الأدوات الإدارية القائمة على الذكاء الاصطناعي على كفاءة اتخاذ القرار في المدارس: الدور الوسيط لقبول التكنولوجيا. مجلة ريحان للنشر العلمي، 66، ص301</w:t>
      </w:r>
    </w:p>
  </w:footnote>
  <w:footnote w:id="23">
    <w:p w14:paraId="792CCCA8" w14:textId="3B00C876" w:rsidR="00E96748" w:rsidRDefault="00E96748" w:rsidP="007F0671">
      <w:pPr>
        <w:pStyle w:val="FootnoteText"/>
        <w:bidi/>
        <w:rPr>
          <w:rFonts w:hint="cs"/>
          <w:rtl/>
          <w:lang w:bidi="ar-EG"/>
        </w:rPr>
      </w:pPr>
      <w:r>
        <w:rPr>
          <w:rStyle w:val="FootnoteReference"/>
        </w:rPr>
        <w:footnoteRef/>
      </w:r>
      <w:r>
        <w:t xml:space="preserve"> </w:t>
      </w:r>
      <w:r w:rsidR="00481FBB" w:rsidRPr="008D2993">
        <w:rPr>
          <w:rFonts w:ascii="Sakkal Majalla" w:hAnsi="Sakkal Majalla" w:cs="Sakkal Majalla"/>
          <w:sz w:val="24"/>
          <w:szCs w:val="24"/>
          <w:rtl/>
        </w:rPr>
        <w:t xml:space="preserve">عمار، عادل محمود أحمد (2024) </w:t>
      </w:r>
      <w:r w:rsidR="00481FBB" w:rsidRPr="008D2993">
        <w:rPr>
          <w:rFonts w:ascii="Sakkal Majalla" w:hAnsi="Sakkal Majalla" w:cs="Sakkal Majalla"/>
          <w:b/>
          <w:bCs/>
          <w:sz w:val="24"/>
          <w:szCs w:val="24"/>
          <w:u w:val="single"/>
          <w:rtl/>
        </w:rPr>
        <w:t>مرجع سابق</w:t>
      </w:r>
      <w:r w:rsidR="00481FBB" w:rsidRPr="008D2993">
        <w:rPr>
          <w:rFonts w:ascii="Sakkal Majalla" w:hAnsi="Sakkal Majalla" w:cs="Sakkal Majalla"/>
          <w:sz w:val="24"/>
          <w:szCs w:val="24"/>
          <w:rtl/>
        </w:rPr>
        <w:t xml:space="preserve"> ، ص 115</w:t>
      </w:r>
    </w:p>
  </w:footnote>
  <w:footnote w:id="24">
    <w:p w14:paraId="6E2001C0" w14:textId="7DCC76DA" w:rsidR="007F0671" w:rsidRDefault="007F0671" w:rsidP="007F0671">
      <w:pPr>
        <w:pStyle w:val="FootnoteText"/>
        <w:bidi/>
        <w:rPr>
          <w:rFonts w:hint="cs"/>
          <w:rtl/>
          <w:lang w:bidi="ar-EG"/>
        </w:rPr>
      </w:pPr>
      <w:r>
        <w:rPr>
          <w:rStyle w:val="FootnoteReference"/>
        </w:rPr>
        <w:footnoteRef/>
      </w:r>
      <w:r>
        <w:t xml:space="preserve"> </w:t>
      </w:r>
      <w:r w:rsidR="00481FBB" w:rsidRPr="008D2993">
        <w:rPr>
          <w:rFonts w:ascii="Sakkal Majalla" w:hAnsi="Sakkal Majalla" w:cs="Sakkal Majalla"/>
          <w:sz w:val="24"/>
          <w:szCs w:val="24"/>
          <w:rtl/>
        </w:rPr>
        <w:t xml:space="preserve">فارس، محمد السيد (2024) </w:t>
      </w:r>
      <w:r w:rsidR="00481FBB" w:rsidRPr="008D2993">
        <w:rPr>
          <w:rFonts w:ascii="Sakkal Majalla" w:hAnsi="Sakkal Majalla" w:cs="Sakkal Majalla"/>
          <w:b/>
          <w:bCs/>
          <w:sz w:val="24"/>
          <w:szCs w:val="24"/>
          <w:u w:val="single"/>
          <w:rtl/>
        </w:rPr>
        <w:t>مرجع سابق</w:t>
      </w:r>
      <w:r w:rsidR="00481FBB" w:rsidRPr="008D2993">
        <w:rPr>
          <w:rFonts w:ascii="Sakkal Majalla" w:hAnsi="Sakkal Majalla" w:cs="Sakkal Majalla"/>
          <w:sz w:val="24"/>
          <w:szCs w:val="24"/>
          <w:rtl/>
        </w:rPr>
        <w:t xml:space="preserve"> ،</w:t>
      </w:r>
      <w:r w:rsidR="00481FBB" w:rsidRPr="008D2993">
        <w:rPr>
          <w:rFonts w:ascii="Sakkal Majalla" w:hAnsi="Sakkal Majalla" w:cs="Sakkal Majalla"/>
          <w:sz w:val="24"/>
          <w:szCs w:val="24"/>
          <w:rtl/>
          <w:lang w:bidi="ar-EG"/>
        </w:rPr>
        <w:t xml:space="preserve"> ،ص 1901</w:t>
      </w:r>
    </w:p>
  </w:footnote>
  <w:footnote w:id="25">
    <w:p w14:paraId="4EEFAC2E" w14:textId="0245BD90" w:rsidR="00011CFC" w:rsidRDefault="00011CFC" w:rsidP="00011CFC">
      <w:pPr>
        <w:pStyle w:val="FootnoteText"/>
        <w:bidi/>
        <w:rPr>
          <w:rFonts w:hint="cs"/>
          <w:rtl/>
          <w:lang w:bidi="ar-EG"/>
        </w:rPr>
      </w:pPr>
      <w:r>
        <w:rPr>
          <w:rStyle w:val="FootnoteReference"/>
        </w:rPr>
        <w:footnoteRef/>
      </w:r>
      <w:r>
        <w:t xml:space="preserve"> </w:t>
      </w:r>
      <w:r w:rsidRPr="008D2993">
        <w:rPr>
          <w:rFonts w:ascii="Sakkal Majalla" w:hAnsi="Sakkal Majalla" w:cs="Sakkal Majalla"/>
          <w:sz w:val="24"/>
          <w:szCs w:val="24"/>
          <w:rtl/>
          <w:lang w:bidi="ar-EG"/>
        </w:rPr>
        <w:t>بوكراري، عبد المجيد، ومسعود، داود (2024) الأنظمة الذكية مفهوم أوسع لتطبيقات الذكاء الاصطناعي في مجال التعليم ، مجلة الباحث، 2(6)، ص710</w:t>
      </w:r>
    </w:p>
  </w:footnote>
  <w:footnote w:id="26">
    <w:p w14:paraId="4426451B" w14:textId="69F8C079" w:rsidR="00011CFC" w:rsidRDefault="00011CFC" w:rsidP="00011CFC">
      <w:pPr>
        <w:pStyle w:val="FootnoteText"/>
        <w:bidi/>
        <w:rPr>
          <w:rFonts w:hint="cs"/>
          <w:rtl/>
          <w:lang w:bidi="ar-EG"/>
        </w:rPr>
      </w:pPr>
      <w:r>
        <w:rPr>
          <w:rStyle w:val="FootnoteReference"/>
        </w:rPr>
        <w:footnoteRef/>
      </w:r>
      <w:r>
        <w:t xml:space="preserve"> </w:t>
      </w:r>
      <w:r w:rsidR="00B422DD" w:rsidRPr="008D2993">
        <w:rPr>
          <w:rFonts w:ascii="Sakkal Majalla" w:hAnsi="Sakkal Majalla" w:cs="Sakkal Majalla"/>
          <w:sz w:val="24"/>
          <w:szCs w:val="24"/>
          <w:rtl/>
        </w:rPr>
        <w:t xml:space="preserve">الطائي، سميرة حسين محيسن، وعبدالحسن، إيمان حسين (2025) </w:t>
      </w:r>
      <w:r w:rsidR="00B422DD" w:rsidRPr="008D2993">
        <w:rPr>
          <w:rFonts w:ascii="Sakkal Majalla" w:hAnsi="Sakkal Majalla" w:cs="Sakkal Majalla"/>
          <w:b/>
          <w:bCs/>
          <w:sz w:val="24"/>
          <w:szCs w:val="24"/>
          <w:u w:val="single"/>
          <w:rtl/>
        </w:rPr>
        <w:t>مرجع سابق</w:t>
      </w:r>
      <w:r w:rsidR="00B422DD" w:rsidRPr="008D2993">
        <w:rPr>
          <w:rFonts w:ascii="Sakkal Majalla" w:hAnsi="Sakkal Majalla" w:cs="Sakkal Majalla"/>
          <w:sz w:val="24"/>
          <w:szCs w:val="24"/>
          <w:rtl/>
        </w:rPr>
        <w:t xml:space="preserve"> ،  ص239</w:t>
      </w:r>
    </w:p>
  </w:footnote>
  <w:footnote w:id="27">
    <w:p w14:paraId="723F65DD" w14:textId="2AA73A96" w:rsidR="00011CFC" w:rsidRDefault="00011CFC" w:rsidP="00011CFC">
      <w:pPr>
        <w:pStyle w:val="FootnoteText"/>
        <w:bidi/>
        <w:rPr>
          <w:rFonts w:hint="cs"/>
          <w:rtl/>
          <w:lang w:bidi="ar-EG"/>
        </w:rPr>
      </w:pPr>
      <w:r>
        <w:rPr>
          <w:rStyle w:val="FootnoteReference"/>
        </w:rPr>
        <w:footnoteRef/>
      </w:r>
      <w:r>
        <w:t xml:space="preserve"> </w:t>
      </w:r>
      <w:r w:rsidR="00B422DD" w:rsidRPr="008D2993">
        <w:rPr>
          <w:rFonts w:ascii="Sakkal Majalla" w:hAnsi="Sakkal Majalla" w:cs="Sakkal Majalla"/>
          <w:sz w:val="24"/>
          <w:szCs w:val="24"/>
          <w:rtl/>
        </w:rPr>
        <w:t xml:space="preserve">أحمد، غادة حلمي (2025) </w:t>
      </w:r>
      <w:r w:rsidR="00B422DD" w:rsidRPr="008D2993">
        <w:rPr>
          <w:rFonts w:ascii="Sakkal Majalla" w:hAnsi="Sakkal Majalla" w:cs="Sakkal Majalla"/>
          <w:b/>
          <w:bCs/>
          <w:sz w:val="24"/>
          <w:szCs w:val="24"/>
          <w:u w:val="single"/>
          <w:rtl/>
        </w:rPr>
        <w:t>مرجع سابق</w:t>
      </w:r>
      <w:r w:rsidR="00B422DD" w:rsidRPr="008D2993">
        <w:rPr>
          <w:rFonts w:ascii="Sakkal Majalla" w:hAnsi="Sakkal Majalla" w:cs="Sakkal Majalla"/>
          <w:sz w:val="24"/>
          <w:szCs w:val="24"/>
          <w:rtl/>
        </w:rPr>
        <w:t xml:space="preserve"> ، ص </w:t>
      </w:r>
      <w:r w:rsidR="00B422DD" w:rsidRPr="008D2993">
        <w:rPr>
          <w:rFonts w:ascii="Sakkal Majalla" w:hAnsi="Sakkal Majalla" w:cs="Sakkal Majalla"/>
          <w:sz w:val="24"/>
          <w:szCs w:val="24"/>
          <w:rtl/>
          <w:lang w:bidi="ar-EG"/>
        </w:rPr>
        <w:t>118</w:t>
      </w:r>
    </w:p>
  </w:footnote>
  <w:footnote w:id="28">
    <w:p w14:paraId="57119D54" w14:textId="59F070AB" w:rsidR="00011CFC" w:rsidRDefault="00011CFC" w:rsidP="00011CFC">
      <w:pPr>
        <w:pStyle w:val="FootnoteText"/>
        <w:bidi/>
        <w:rPr>
          <w:rFonts w:hint="cs"/>
          <w:rtl/>
          <w:lang w:bidi="ar-EG"/>
        </w:rPr>
      </w:pPr>
      <w:r>
        <w:rPr>
          <w:rStyle w:val="FootnoteReference"/>
        </w:rPr>
        <w:footnoteRef/>
      </w:r>
      <w:r>
        <w:t xml:space="preserve"> </w:t>
      </w:r>
      <w:r w:rsidR="005632CE" w:rsidRPr="008D2993">
        <w:rPr>
          <w:rFonts w:ascii="Sakkal Majalla" w:hAnsi="Sakkal Majalla" w:cs="Sakkal Majalla"/>
          <w:sz w:val="24"/>
          <w:szCs w:val="24"/>
          <w:rtl/>
        </w:rPr>
        <w:t xml:space="preserve">فارس، محمد السيد (2024)  </w:t>
      </w:r>
      <w:r w:rsidR="005632CE" w:rsidRPr="008D2993">
        <w:rPr>
          <w:rFonts w:ascii="Sakkal Majalla" w:hAnsi="Sakkal Majalla" w:cs="Sakkal Majalla"/>
          <w:b/>
          <w:bCs/>
          <w:sz w:val="24"/>
          <w:szCs w:val="24"/>
          <w:u w:val="single"/>
          <w:rtl/>
        </w:rPr>
        <w:t>مرجع سابق</w:t>
      </w:r>
      <w:r w:rsidR="005632CE" w:rsidRPr="008D2993">
        <w:rPr>
          <w:rFonts w:ascii="Sakkal Majalla" w:hAnsi="Sakkal Majalla" w:cs="Sakkal Majalla"/>
          <w:sz w:val="24"/>
          <w:szCs w:val="24"/>
          <w:rtl/>
        </w:rPr>
        <w:t xml:space="preserve"> ، ص 1898</w:t>
      </w:r>
    </w:p>
  </w:footnote>
  <w:footnote w:id="29">
    <w:p w14:paraId="57FB2306" w14:textId="3AF3ADD5" w:rsidR="00011CFC" w:rsidRDefault="00011CFC" w:rsidP="00011CFC">
      <w:pPr>
        <w:pStyle w:val="FootnoteText"/>
        <w:bidi/>
        <w:rPr>
          <w:rFonts w:hint="cs"/>
          <w:rtl/>
          <w:lang w:bidi="ar-EG"/>
        </w:rPr>
      </w:pPr>
      <w:r>
        <w:rPr>
          <w:rStyle w:val="FootnoteReference"/>
        </w:rPr>
        <w:footnoteRef/>
      </w:r>
      <w:r>
        <w:t xml:space="preserve"> </w:t>
      </w:r>
      <w:r w:rsidR="005632CE" w:rsidRPr="008D2993">
        <w:rPr>
          <w:rFonts w:ascii="Sakkal Majalla" w:hAnsi="Sakkal Majalla" w:cs="Sakkal Majalla"/>
          <w:sz w:val="24"/>
          <w:szCs w:val="24"/>
          <w:rtl/>
        </w:rPr>
        <w:t>دره ، سماح أحمد محمد (2025) المسؤولية الجنائية لمبرمجي أجهزة الذكاء الاصطناعي: دراسة تحليلية ، مجلة الفكر القانوني والاقتصادي، 11(3)، ص 23</w:t>
      </w:r>
    </w:p>
  </w:footnote>
  <w:footnote w:id="30">
    <w:p w14:paraId="4AA8E4EE" w14:textId="7E3E4677" w:rsidR="00011CFC" w:rsidRDefault="00011CFC" w:rsidP="00011CFC">
      <w:pPr>
        <w:pStyle w:val="FootnoteText"/>
        <w:bidi/>
        <w:rPr>
          <w:rFonts w:hint="cs"/>
          <w:rtl/>
          <w:lang w:bidi="ar-EG"/>
        </w:rPr>
      </w:pPr>
      <w:r>
        <w:rPr>
          <w:rStyle w:val="FootnoteReference"/>
        </w:rPr>
        <w:footnoteRef/>
      </w:r>
      <w:r>
        <w:t xml:space="preserve"> </w:t>
      </w:r>
      <w:r w:rsidR="005632CE" w:rsidRPr="008D2993">
        <w:rPr>
          <w:rFonts w:ascii="Sakkal Majalla" w:hAnsi="Sakkal Majalla" w:cs="Sakkal Majalla"/>
          <w:sz w:val="24"/>
          <w:szCs w:val="24"/>
          <w:rtl/>
        </w:rPr>
        <w:t>عبدالعزيز، هبة تيسير علي (2024) الآثار القانونية المترتبة على الاعتراف بالشخصية القانونية للذكاء الاصطناعي (رسالة ماجستير، جامعة فيلادلفيا) ، ص  38</w:t>
      </w:r>
    </w:p>
  </w:footnote>
  <w:footnote w:id="31">
    <w:p w14:paraId="401BB925" w14:textId="16CA06F9" w:rsidR="007C2A11" w:rsidRDefault="007C2A11" w:rsidP="007C2A11">
      <w:pPr>
        <w:pStyle w:val="FootnoteText"/>
        <w:bidi/>
        <w:rPr>
          <w:rFonts w:hint="cs"/>
          <w:rtl/>
          <w:lang w:bidi="ar-EG"/>
        </w:rPr>
      </w:pPr>
      <w:r>
        <w:rPr>
          <w:rStyle w:val="FootnoteReference"/>
        </w:rPr>
        <w:footnoteRef/>
      </w:r>
      <w:r>
        <w:t xml:space="preserve"> </w:t>
      </w:r>
      <w:r w:rsidR="00DB42B7" w:rsidRPr="008D2993">
        <w:rPr>
          <w:rFonts w:ascii="Sakkal Majalla" w:hAnsi="Sakkal Majalla" w:cs="Sakkal Majalla"/>
          <w:sz w:val="24"/>
          <w:szCs w:val="24"/>
          <w:rtl/>
        </w:rPr>
        <w:t>الدسوقي، منى محمد العترس (2022) جرائم تقنيات الذكاء الاصطناعي والشخصية القانونية الإلكترونية المستقلة: دراسة مقارنة ، مجلة البحوث القانونية والاقتصادية، 81، ص 1149</w:t>
      </w:r>
    </w:p>
  </w:footnote>
  <w:footnote w:id="32">
    <w:p w14:paraId="32BC429A" w14:textId="4B78361D" w:rsidR="00011CFC" w:rsidRDefault="00011CFC" w:rsidP="007C2A11">
      <w:pPr>
        <w:pStyle w:val="FootnoteText"/>
        <w:bidi/>
        <w:rPr>
          <w:rFonts w:hint="cs"/>
          <w:rtl/>
          <w:lang w:bidi="ar-EG"/>
        </w:rPr>
      </w:pPr>
      <w:r>
        <w:rPr>
          <w:rStyle w:val="FootnoteReference"/>
        </w:rPr>
        <w:footnoteRef/>
      </w:r>
      <w:r>
        <w:t xml:space="preserve"> </w:t>
      </w:r>
      <w:r w:rsidR="00DB42B7" w:rsidRPr="008D2993">
        <w:rPr>
          <w:rFonts w:ascii="Sakkal Majalla" w:hAnsi="Sakkal Majalla" w:cs="Sakkal Majalla"/>
          <w:sz w:val="24"/>
          <w:szCs w:val="24"/>
          <w:rtl/>
        </w:rPr>
        <w:t xml:space="preserve">أبو نصار، ريا جمال (2025) </w:t>
      </w:r>
      <w:r w:rsidR="00DB42B7" w:rsidRPr="008D2993">
        <w:rPr>
          <w:rFonts w:ascii="Sakkal Majalla" w:hAnsi="Sakkal Majalla" w:cs="Sakkal Majalla"/>
          <w:b/>
          <w:bCs/>
          <w:sz w:val="24"/>
          <w:szCs w:val="24"/>
          <w:u w:val="single"/>
          <w:rtl/>
        </w:rPr>
        <w:t>مرجع سابق</w:t>
      </w:r>
      <w:r w:rsidR="00DB42B7" w:rsidRPr="008D2993">
        <w:rPr>
          <w:rFonts w:ascii="Sakkal Majalla" w:hAnsi="Sakkal Majalla" w:cs="Sakkal Majalla"/>
          <w:sz w:val="24"/>
          <w:szCs w:val="24"/>
          <w:rtl/>
        </w:rPr>
        <w:t xml:space="preserve"> ، </w:t>
      </w:r>
      <w:r w:rsidR="00DB42B7" w:rsidRPr="008D2993">
        <w:rPr>
          <w:rFonts w:ascii="Sakkal Majalla" w:hAnsi="Sakkal Majalla" w:cs="Sakkal Majalla"/>
          <w:sz w:val="24"/>
          <w:szCs w:val="24"/>
          <w:rtl/>
          <w:lang w:bidi="ar-EG"/>
        </w:rPr>
        <w:t>ص 256</w:t>
      </w:r>
    </w:p>
  </w:footnote>
  <w:footnote w:id="33">
    <w:p w14:paraId="391928D8" w14:textId="6BAF3992" w:rsidR="007C2A11" w:rsidRDefault="007C2A11" w:rsidP="00620947">
      <w:pPr>
        <w:pStyle w:val="FootnoteText"/>
        <w:bidi/>
        <w:rPr>
          <w:rFonts w:hint="cs"/>
          <w:rtl/>
          <w:lang w:bidi="ar-EG"/>
        </w:rPr>
      </w:pPr>
      <w:r>
        <w:rPr>
          <w:rStyle w:val="FootnoteReference"/>
        </w:rPr>
        <w:footnoteRef/>
      </w:r>
      <w:r>
        <w:t xml:space="preserve"> </w:t>
      </w:r>
      <w:r w:rsidR="00A32D35" w:rsidRPr="008D2993">
        <w:rPr>
          <w:rFonts w:ascii="Sakkal Majalla" w:hAnsi="Sakkal Majalla" w:cs="Sakkal Majalla"/>
          <w:sz w:val="24"/>
          <w:szCs w:val="24"/>
          <w:rtl/>
        </w:rPr>
        <w:t>رضا، أزرو محمد (2025) مدى جواز الاعتراف بالشخصية القانونية للذكاء الاصطناعي. مجلة التراث، 15(1)، ص 54</w:t>
      </w:r>
    </w:p>
  </w:footnote>
  <w:footnote w:id="34">
    <w:p w14:paraId="1A467E2A" w14:textId="2CD9F588" w:rsidR="00876D0D" w:rsidRDefault="00876D0D" w:rsidP="00620947">
      <w:pPr>
        <w:pStyle w:val="FootnoteText"/>
        <w:bidi/>
        <w:rPr>
          <w:rFonts w:hint="cs"/>
          <w:rtl/>
          <w:lang w:bidi="ar-EG"/>
        </w:rPr>
      </w:pPr>
      <w:r>
        <w:rPr>
          <w:rStyle w:val="FootnoteReference"/>
        </w:rPr>
        <w:footnoteRef/>
      </w:r>
      <w:r>
        <w:t xml:space="preserve"> </w:t>
      </w:r>
      <w:r w:rsidR="00A32D35" w:rsidRPr="008D2993">
        <w:rPr>
          <w:rFonts w:ascii="Sakkal Majalla" w:hAnsi="Sakkal Majalla" w:cs="Sakkal Majalla"/>
          <w:sz w:val="24"/>
          <w:szCs w:val="24"/>
          <w:rtl/>
        </w:rPr>
        <w:t>العسلاوي، مشعل بدر خالد، وصالح، تامر محمد محمد (2025) تأصيل المسؤولية الجنائية للمركبات ذاتية القيادة: دراسة تحليلية مقارنة. مجلة البحوث القانونية والاقتصادية، 91، ص 46</w:t>
      </w:r>
    </w:p>
  </w:footnote>
  <w:footnote w:id="35">
    <w:p w14:paraId="199EE0B4" w14:textId="7EA0CB2B" w:rsidR="00A32D35" w:rsidRDefault="00A32D35" w:rsidP="00A32D35">
      <w:pPr>
        <w:pStyle w:val="FootnoteText"/>
        <w:bidi/>
        <w:rPr>
          <w:rFonts w:hint="cs"/>
          <w:rtl/>
          <w:lang w:bidi="ar-EG"/>
        </w:rPr>
      </w:pPr>
      <w:r>
        <w:rPr>
          <w:rStyle w:val="FootnoteReference"/>
        </w:rPr>
        <w:footnoteRef/>
      </w:r>
      <w:r>
        <w:t xml:space="preserve"> </w:t>
      </w:r>
      <w:r w:rsidR="004E66E8" w:rsidRPr="008D2993">
        <w:rPr>
          <w:rFonts w:ascii="Sakkal Majalla" w:hAnsi="Sakkal Majalla" w:cs="Sakkal Majalla"/>
          <w:sz w:val="24"/>
          <w:szCs w:val="24"/>
          <w:rtl/>
        </w:rPr>
        <w:t>أحمد، غادة حلمي (2025) المسؤولية الجنائية لتقنيات الذكاء الاصطناعي. المجلة الجنائية القومية، 68(2)، ص 112</w:t>
      </w:r>
    </w:p>
  </w:footnote>
  <w:footnote w:id="36">
    <w:p w14:paraId="12367870" w14:textId="65987371" w:rsidR="00A32D35" w:rsidRDefault="00A32D35" w:rsidP="00A32D35">
      <w:pPr>
        <w:pStyle w:val="FootnoteText"/>
        <w:bidi/>
        <w:rPr>
          <w:rFonts w:hint="cs"/>
          <w:rtl/>
          <w:lang w:bidi="ar-EG"/>
        </w:rPr>
      </w:pPr>
      <w:r>
        <w:rPr>
          <w:rStyle w:val="FootnoteReference"/>
        </w:rPr>
        <w:footnoteRef/>
      </w:r>
      <w:r>
        <w:t xml:space="preserve"> </w:t>
      </w:r>
      <w:r w:rsidR="004E66E8" w:rsidRPr="008D2993">
        <w:rPr>
          <w:rFonts w:ascii="Sakkal Majalla" w:hAnsi="Sakkal Majalla" w:cs="Sakkal Majalla"/>
          <w:sz w:val="24"/>
          <w:szCs w:val="24"/>
          <w:rtl/>
        </w:rPr>
        <w:t xml:space="preserve">عبدالله، شيماء عبدالرضي (2025) </w:t>
      </w:r>
      <w:r w:rsidR="004E66E8" w:rsidRPr="008D2993">
        <w:rPr>
          <w:rFonts w:ascii="Sakkal Majalla" w:hAnsi="Sakkal Majalla" w:cs="Sakkal Majalla"/>
          <w:b/>
          <w:bCs/>
          <w:sz w:val="24"/>
          <w:szCs w:val="24"/>
          <w:u w:val="single"/>
          <w:rtl/>
        </w:rPr>
        <w:t>مرجع سابق</w:t>
      </w:r>
      <w:r w:rsidR="004E66E8" w:rsidRPr="008D2993">
        <w:rPr>
          <w:rFonts w:ascii="Sakkal Majalla" w:hAnsi="Sakkal Majalla" w:cs="Sakkal Majalla"/>
          <w:sz w:val="24"/>
          <w:szCs w:val="24"/>
          <w:rtl/>
        </w:rPr>
        <w:t xml:space="preserve"> ، ص 925</w:t>
      </w:r>
    </w:p>
  </w:footnote>
  <w:footnote w:id="37">
    <w:p w14:paraId="11223821" w14:textId="3B0EB2B5" w:rsidR="00A32D35" w:rsidRDefault="00A32D35" w:rsidP="00A32D35">
      <w:pPr>
        <w:pStyle w:val="FootnoteText"/>
        <w:bidi/>
        <w:rPr>
          <w:rFonts w:hint="cs"/>
          <w:rtl/>
          <w:lang w:bidi="ar-EG"/>
        </w:rPr>
      </w:pPr>
      <w:r>
        <w:rPr>
          <w:rStyle w:val="FootnoteReference"/>
        </w:rPr>
        <w:footnoteRef/>
      </w:r>
      <w:r>
        <w:t xml:space="preserve"> </w:t>
      </w:r>
      <w:r w:rsidR="00C36A93" w:rsidRPr="008D2993">
        <w:rPr>
          <w:rFonts w:ascii="Sakkal Majalla" w:hAnsi="Sakkal Majalla" w:cs="Sakkal Majalla"/>
          <w:sz w:val="24"/>
          <w:szCs w:val="24"/>
          <w:rtl/>
        </w:rPr>
        <w:t xml:space="preserve">دره ، سماح أحمد محمد (2025) </w:t>
      </w:r>
      <w:r w:rsidR="00C36A93" w:rsidRPr="008D2993">
        <w:rPr>
          <w:rFonts w:ascii="Sakkal Majalla" w:hAnsi="Sakkal Majalla" w:cs="Sakkal Majalla"/>
          <w:b/>
          <w:bCs/>
          <w:sz w:val="24"/>
          <w:szCs w:val="24"/>
          <w:u w:val="single"/>
          <w:rtl/>
        </w:rPr>
        <w:t>مرجع سابق</w:t>
      </w:r>
      <w:r w:rsidR="00C36A93" w:rsidRPr="008D2993">
        <w:rPr>
          <w:rFonts w:ascii="Sakkal Majalla" w:hAnsi="Sakkal Majalla" w:cs="Sakkal Majalla"/>
          <w:sz w:val="24"/>
          <w:szCs w:val="24"/>
          <w:rtl/>
        </w:rPr>
        <w:t xml:space="preserve"> ،  ص 26</w:t>
      </w:r>
    </w:p>
  </w:footnote>
  <w:footnote w:id="38">
    <w:p w14:paraId="6E13316E" w14:textId="13F96032" w:rsidR="00A32D35" w:rsidRDefault="00A32D35" w:rsidP="006E06C2">
      <w:pPr>
        <w:pStyle w:val="FootnoteText"/>
        <w:rPr>
          <w:rFonts w:hint="cs"/>
          <w:rtl/>
          <w:lang w:bidi="ar-EG"/>
        </w:rPr>
      </w:pPr>
      <w:r>
        <w:rPr>
          <w:rStyle w:val="FootnoteReference"/>
        </w:rPr>
        <w:footnoteRef/>
      </w:r>
      <w:r>
        <w:t xml:space="preserve"> </w:t>
      </w:r>
      <w:r w:rsidR="006E06C2" w:rsidRPr="008D2993">
        <w:rPr>
          <w:rFonts w:ascii="Sakkal Majalla" w:hAnsi="Sakkal Majalla" w:cs="Sakkal Majalla"/>
          <w:sz w:val="24"/>
          <w:szCs w:val="24"/>
        </w:rPr>
        <w:t xml:space="preserve">GAGNÉ, « La protection </w:t>
      </w:r>
      <w:proofErr w:type="spellStart"/>
      <w:r w:rsidR="006E06C2" w:rsidRPr="008D2993">
        <w:rPr>
          <w:rFonts w:ascii="Sakkal Majalla" w:hAnsi="Sakkal Majalla" w:cs="Sakkal Majalla"/>
          <w:sz w:val="24"/>
          <w:szCs w:val="24"/>
        </w:rPr>
        <w:t>juridique</w:t>
      </w:r>
      <w:proofErr w:type="spellEnd"/>
      <w:r w:rsidR="006E06C2" w:rsidRPr="008D2993">
        <w:rPr>
          <w:rFonts w:ascii="Sakkal Majalla" w:hAnsi="Sakkal Majalla" w:cs="Sakkal Majalla"/>
          <w:sz w:val="24"/>
          <w:szCs w:val="24"/>
        </w:rPr>
        <w:t xml:space="preserve"> de la </w:t>
      </w:r>
      <w:proofErr w:type="spellStart"/>
      <w:r w:rsidR="006E06C2" w:rsidRPr="008D2993">
        <w:rPr>
          <w:rFonts w:ascii="Sakkal Majalla" w:hAnsi="Sakkal Majalla" w:cs="Sakkal Majalla"/>
          <w:sz w:val="24"/>
          <w:szCs w:val="24"/>
        </w:rPr>
        <w:t>réalité</w:t>
      </w:r>
      <w:proofErr w:type="spellEnd"/>
      <w:r w:rsidR="006E06C2" w:rsidRPr="008D2993">
        <w:rPr>
          <w:rFonts w:ascii="Sakkal Majalla" w:hAnsi="Sakkal Majalla" w:cs="Sakkal Majalla"/>
          <w:sz w:val="24"/>
          <w:szCs w:val="24"/>
        </w:rPr>
        <w:t xml:space="preserve"> </w:t>
      </w:r>
      <w:proofErr w:type="spellStart"/>
      <w:r w:rsidR="006E06C2" w:rsidRPr="008D2993">
        <w:rPr>
          <w:rFonts w:ascii="Sakkal Majalla" w:hAnsi="Sakkal Majalla" w:cs="Sakkal Majalla"/>
          <w:sz w:val="24"/>
          <w:szCs w:val="24"/>
        </w:rPr>
        <w:t>virtuelle</w:t>
      </w:r>
      <w:proofErr w:type="spellEnd"/>
      <w:r w:rsidR="006E06C2" w:rsidRPr="008D2993">
        <w:rPr>
          <w:rFonts w:ascii="Sakkal Majalla" w:hAnsi="Sakkal Majalla" w:cs="Sakkal Majalla"/>
          <w:sz w:val="24"/>
          <w:szCs w:val="24"/>
        </w:rPr>
        <w:t xml:space="preserve"> </w:t>
      </w:r>
      <w:proofErr w:type="spellStart"/>
      <w:r w:rsidR="006E06C2" w:rsidRPr="008D2993">
        <w:rPr>
          <w:rFonts w:ascii="Sakkal Majalla" w:hAnsi="Sakkal Majalla" w:cs="Sakkal Majalla"/>
          <w:sz w:val="24"/>
          <w:szCs w:val="24"/>
        </w:rPr>
        <w:t>ou</w:t>
      </w:r>
      <w:proofErr w:type="spellEnd"/>
      <w:r w:rsidR="006E06C2" w:rsidRPr="008D2993">
        <w:rPr>
          <w:rFonts w:ascii="Sakkal Majalla" w:hAnsi="Sakkal Majalla" w:cs="Sakkal Majalla"/>
          <w:sz w:val="24"/>
          <w:szCs w:val="24"/>
        </w:rPr>
        <w:t xml:space="preserve"> </w:t>
      </w:r>
      <w:proofErr w:type="spellStart"/>
      <w:r w:rsidR="006E06C2" w:rsidRPr="008D2993">
        <w:rPr>
          <w:rFonts w:ascii="Sakkal Majalla" w:hAnsi="Sakkal Majalla" w:cs="Sakkal Majalla"/>
          <w:sz w:val="24"/>
          <w:szCs w:val="24"/>
        </w:rPr>
        <w:t>l'imbroglio</w:t>
      </w:r>
      <w:proofErr w:type="spellEnd"/>
      <w:r w:rsidR="006E06C2" w:rsidRPr="008D2993">
        <w:rPr>
          <w:rFonts w:ascii="Sakkal Majalla" w:hAnsi="Sakkal Majalla" w:cs="Sakkal Majalla"/>
          <w:sz w:val="24"/>
          <w:szCs w:val="24"/>
        </w:rPr>
        <w:t xml:space="preserve"> </w:t>
      </w:r>
      <w:proofErr w:type="spellStart"/>
      <w:r w:rsidR="006E06C2" w:rsidRPr="008D2993">
        <w:rPr>
          <w:rFonts w:ascii="Sakkal Majalla" w:hAnsi="Sakkal Majalla" w:cs="Sakkal Majalla"/>
          <w:sz w:val="24"/>
          <w:szCs w:val="24"/>
        </w:rPr>
        <w:t>juridique</w:t>
      </w:r>
      <w:proofErr w:type="spellEnd"/>
      <w:r w:rsidR="006E06C2" w:rsidRPr="008D2993">
        <w:rPr>
          <w:rFonts w:ascii="Sakkal Majalla" w:hAnsi="Sakkal Majalla" w:cs="Sakkal Majalla"/>
          <w:sz w:val="24"/>
          <w:szCs w:val="24"/>
        </w:rPr>
        <w:t xml:space="preserve"> dans </w:t>
      </w:r>
      <w:proofErr w:type="spellStart"/>
      <w:r w:rsidR="006E06C2" w:rsidRPr="008D2993">
        <w:rPr>
          <w:rFonts w:ascii="Sakkal Majalla" w:hAnsi="Sakkal Majalla" w:cs="Sakkal Majalla"/>
          <w:sz w:val="24"/>
          <w:szCs w:val="24"/>
        </w:rPr>
        <w:t>l'univers</w:t>
      </w:r>
      <w:proofErr w:type="spellEnd"/>
      <w:r w:rsidR="006E06C2" w:rsidRPr="008D2993">
        <w:rPr>
          <w:rFonts w:ascii="Sakkal Majalla" w:hAnsi="Sakkal Majalla" w:cs="Sakkal Majalla"/>
          <w:sz w:val="24"/>
          <w:szCs w:val="24"/>
        </w:rPr>
        <w:t xml:space="preserve"> de </w:t>
      </w:r>
      <w:proofErr w:type="spellStart"/>
      <w:r w:rsidR="006E06C2" w:rsidRPr="008D2993">
        <w:rPr>
          <w:rFonts w:ascii="Sakkal Majalla" w:hAnsi="Sakkal Majalla" w:cs="Sakkal Majalla"/>
          <w:sz w:val="24"/>
          <w:szCs w:val="24"/>
        </w:rPr>
        <w:t>l'électro</w:t>
      </w:r>
      <w:proofErr w:type="spellEnd"/>
      <w:r w:rsidR="006E06C2" w:rsidRPr="008D2993">
        <w:rPr>
          <w:rFonts w:ascii="Sakkal Majalla" w:hAnsi="Sakkal Majalla" w:cs="Sakkal Majalla"/>
          <w:sz w:val="24"/>
          <w:szCs w:val="24"/>
        </w:rPr>
        <w:t xml:space="preserve">-bohème », Cah. propr. </w:t>
      </w:r>
      <w:proofErr w:type="spellStart"/>
      <w:r w:rsidR="006E06C2" w:rsidRPr="008D2993">
        <w:rPr>
          <w:rFonts w:ascii="Sakkal Majalla" w:hAnsi="Sakkal Majalla" w:cs="Sakkal Majalla"/>
          <w:sz w:val="24"/>
          <w:szCs w:val="24"/>
        </w:rPr>
        <w:t>intell</w:t>
      </w:r>
      <w:proofErr w:type="spellEnd"/>
      <w:r w:rsidR="006E06C2" w:rsidRPr="008D2993">
        <w:rPr>
          <w:rFonts w:ascii="Sakkal Majalla" w:hAnsi="Sakkal Majalla" w:cs="Sakkal Majalla"/>
          <w:sz w:val="24"/>
          <w:szCs w:val="24"/>
        </w:rPr>
        <w:t>. 1994, vol. 7, no 2, p. 181</w:t>
      </w:r>
      <w:r w:rsidR="006E06C2" w:rsidRPr="008D2993">
        <w:rPr>
          <w:rFonts w:ascii="Sakkal Majalla" w:hAnsi="Sakkal Majalla" w:cs="Sakkal Majalla"/>
          <w:sz w:val="24"/>
          <w:szCs w:val="24"/>
          <w:rtl/>
        </w:rPr>
        <w:t>.</w:t>
      </w:r>
    </w:p>
  </w:footnote>
  <w:footnote w:id="39">
    <w:p w14:paraId="38240A7A" w14:textId="21D7215B" w:rsidR="00A32D35" w:rsidRDefault="00A32D35" w:rsidP="00A32D35">
      <w:pPr>
        <w:pStyle w:val="FootnoteText"/>
        <w:bidi/>
        <w:rPr>
          <w:rFonts w:hint="cs"/>
          <w:rtl/>
          <w:lang w:bidi="ar-EG"/>
        </w:rPr>
      </w:pPr>
      <w:r>
        <w:rPr>
          <w:rStyle w:val="FootnoteReference"/>
        </w:rPr>
        <w:footnoteRef/>
      </w:r>
      <w:r>
        <w:t xml:space="preserve"> </w:t>
      </w:r>
      <w:r w:rsidR="00EA7AF6" w:rsidRPr="008D2993">
        <w:rPr>
          <w:rFonts w:ascii="Sakkal Majalla" w:hAnsi="Sakkal Majalla" w:cs="Sakkal Majalla"/>
          <w:sz w:val="24"/>
          <w:szCs w:val="24"/>
          <w:rtl/>
          <w:lang w:bidi="ar-EG"/>
        </w:rPr>
        <w:t>عبد الهادي، زين (2000) الذكاء الاصطناعي والنظم الخبيرة في المكتبات: مدخل تجريبي للنظم الخبيرة في مجال المكتبات (الطبعة الأولى). المكتبة الأكاديمية. ، ص 19</w:t>
      </w:r>
    </w:p>
  </w:footnote>
  <w:footnote w:id="40">
    <w:p w14:paraId="50C09BA4" w14:textId="0CA80D5F" w:rsidR="00A32D35" w:rsidRDefault="00A32D35" w:rsidP="00A32D35">
      <w:pPr>
        <w:pStyle w:val="FootnoteText"/>
        <w:bidi/>
        <w:rPr>
          <w:rFonts w:hint="cs"/>
          <w:rtl/>
          <w:lang w:bidi="ar-EG"/>
        </w:rPr>
      </w:pPr>
      <w:r>
        <w:rPr>
          <w:rStyle w:val="FootnoteReference"/>
        </w:rPr>
        <w:footnoteRef/>
      </w:r>
      <w:r>
        <w:t xml:space="preserve"> </w:t>
      </w:r>
      <w:r w:rsidR="00EA7AF6" w:rsidRPr="008D2993">
        <w:rPr>
          <w:rFonts w:ascii="Sakkal Majalla" w:hAnsi="Sakkal Majalla" w:cs="Sakkal Majalla"/>
          <w:sz w:val="24"/>
          <w:szCs w:val="24"/>
          <w:rtl/>
        </w:rPr>
        <w:t xml:space="preserve">غازي، خديجة (2024) الطبيعة القانونية للذكاء الاصطناعي. مجلة التراث، 14(2)، </w:t>
      </w:r>
      <w:r w:rsidR="00EA7AF6" w:rsidRPr="008D2993">
        <w:rPr>
          <w:rFonts w:ascii="Sakkal Majalla" w:hAnsi="Sakkal Majalla" w:cs="Sakkal Majalla"/>
          <w:sz w:val="24"/>
          <w:szCs w:val="24"/>
        </w:rPr>
        <w:t xml:space="preserve"> </w:t>
      </w:r>
      <w:r w:rsidR="00EA7AF6" w:rsidRPr="008D2993">
        <w:rPr>
          <w:rFonts w:ascii="Sakkal Majalla" w:hAnsi="Sakkal Majalla" w:cs="Sakkal Majalla"/>
          <w:sz w:val="24"/>
          <w:szCs w:val="24"/>
          <w:rtl/>
          <w:lang w:bidi="ar-EG"/>
        </w:rPr>
        <w:t>ص 75</w:t>
      </w:r>
    </w:p>
  </w:footnote>
  <w:footnote w:id="41">
    <w:p w14:paraId="17133957" w14:textId="5B05F20B" w:rsidR="00A32D35" w:rsidRDefault="00A32D35" w:rsidP="00A32D35">
      <w:pPr>
        <w:pStyle w:val="FootnoteText"/>
        <w:bidi/>
        <w:rPr>
          <w:rFonts w:hint="cs"/>
          <w:rtl/>
          <w:lang w:bidi="ar-EG"/>
        </w:rPr>
      </w:pPr>
      <w:r>
        <w:rPr>
          <w:rStyle w:val="FootnoteReference"/>
        </w:rPr>
        <w:footnoteRef/>
      </w:r>
      <w:r>
        <w:t xml:space="preserve"> </w:t>
      </w:r>
      <w:r w:rsidR="00EA7AF6" w:rsidRPr="008D2993">
        <w:rPr>
          <w:rFonts w:ascii="Sakkal Majalla" w:hAnsi="Sakkal Majalla" w:cs="Sakkal Majalla"/>
          <w:sz w:val="24"/>
          <w:szCs w:val="24"/>
          <w:rtl/>
          <w:lang w:bidi="ar-EG"/>
        </w:rPr>
        <w:t>عفيفي، جهاد (2015) الذكاء الاصطناعي والأنظمة الخبيرة (الطبعة الأولى). أمجد للنشر والتوزيع ، ص 75</w:t>
      </w:r>
    </w:p>
  </w:footnote>
  <w:footnote w:id="42">
    <w:p w14:paraId="3B7B4E88" w14:textId="018229A2" w:rsidR="00A32D35" w:rsidRDefault="00A32D35" w:rsidP="00E61291">
      <w:pPr>
        <w:pStyle w:val="FootnoteText"/>
        <w:bidi/>
        <w:rPr>
          <w:rFonts w:hint="cs"/>
          <w:rtl/>
          <w:lang w:bidi="ar-EG"/>
        </w:rPr>
      </w:pPr>
      <w:r>
        <w:rPr>
          <w:rStyle w:val="FootnoteReference"/>
        </w:rPr>
        <w:footnoteRef/>
      </w:r>
      <w:r>
        <w:t xml:space="preserve"> </w:t>
      </w:r>
      <w:r w:rsidR="00E61291" w:rsidRPr="008D2993">
        <w:rPr>
          <w:rFonts w:ascii="Sakkal Majalla" w:hAnsi="Sakkal Majalla" w:cs="Sakkal Majalla"/>
          <w:sz w:val="24"/>
          <w:szCs w:val="24"/>
          <w:rtl/>
          <w:lang w:bidi="ar-EG"/>
        </w:rPr>
        <w:t>الخولي، أحمد فتحي (2021 ) المسؤولية المدنية الناتجة عن الاستخدام غير المشروع لتطبيقات الذكاء الاصطناعي: الديب فيك نموذجًا. مجلة البحوث الفقهية والقانونية، (36) ، ص3</w:t>
      </w:r>
    </w:p>
  </w:footnote>
  <w:footnote w:id="43">
    <w:p w14:paraId="692FDE7E" w14:textId="10EBB70E" w:rsidR="000D33A9" w:rsidRDefault="000D33A9" w:rsidP="000D33A9">
      <w:pPr>
        <w:pStyle w:val="FootnoteText"/>
        <w:bidi/>
      </w:pPr>
      <w:r>
        <w:rPr>
          <w:rStyle w:val="FootnoteReference"/>
        </w:rPr>
        <w:footnoteRef/>
      </w:r>
      <w:r>
        <w:t xml:space="preserve"> </w:t>
      </w:r>
      <w:r w:rsidRPr="000D33A9">
        <w:rPr>
          <w:rFonts w:cs="Arial"/>
          <w:rtl/>
        </w:rPr>
        <w:t>المملكة العربية السعودية. (1440هـ). الأمر الملكي رقم (أ/471) بتاريخ 29/12/1440هـ بشأن إنشاء الهيئة السعودية للبيانات والذكاء الاصطناعي</w:t>
      </w:r>
    </w:p>
  </w:footnote>
  <w:footnote w:id="44">
    <w:p w14:paraId="1F14DC65" w14:textId="708001BE" w:rsidR="000D33A9" w:rsidRDefault="000D33A9" w:rsidP="004E66E8">
      <w:pPr>
        <w:pStyle w:val="FootnoteText"/>
        <w:bidi/>
      </w:pPr>
      <w:r>
        <w:rPr>
          <w:rStyle w:val="FootnoteReference"/>
        </w:rPr>
        <w:footnoteRef/>
      </w:r>
      <w:r>
        <w:t xml:space="preserve"> </w:t>
      </w:r>
      <w:r w:rsidR="00E61291" w:rsidRPr="008D2993">
        <w:rPr>
          <w:rFonts w:ascii="Sakkal Majalla" w:hAnsi="Sakkal Majalla" w:cs="Sakkal Majalla"/>
          <w:sz w:val="24"/>
          <w:szCs w:val="24"/>
          <w:rtl/>
        </w:rPr>
        <w:t>ا</w:t>
      </w:r>
      <w:r w:rsidR="00E61291" w:rsidRPr="008D2993">
        <w:rPr>
          <w:rFonts w:ascii="Sakkal Majalla" w:hAnsi="Sakkal Majalla" w:cs="Sakkal Majalla"/>
          <w:sz w:val="24"/>
          <w:szCs w:val="24"/>
        </w:rPr>
        <w:t xml:space="preserve"> </w:t>
      </w:r>
      <w:r w:rsidR="00E61291" w:rsidRPr="008D2993">
        <w:rPr>
          <w:rFonts w:ascii="Sakkal Majalla" w:hAnsi="Sakkal Majalla" w:cs="Sakkal Majalla"/>
          <w:sz w:val="24"/>
          <w:szCs w:val="24"/>
          <w:rtl/>
        </w:rPr>
        <w:t xml:space="preserve">بو نصار، ريا جمال (2025) </w:t>
      </w:r>
      <w:r w:rsidR="00E61291" w:rsidRPr="008D2993">
        <w:rPr>
          <w:rFonts w:ascii="Sakkal Majalla" w:hAnsi="Sakkal Majalla" w:cs="Sakkal Majalla"/>
          <w:b/>
          <w:bCs/>
          <w:sz w:val="24"/>
          <w:szCs w:val="24"/>
          <w:u w:val="single"/>
          <w:rtl/>
        </w:rPr>
        <w:t>مرجع سابق</w:t>
      </w:r>
      <w:r w:rsidR="00E61291" w:rsidRPr="008D2993">
        <w:rPr>
          <w:rFonts w:ascii="Sakkal Majalla" w:hAnsi="Sakkal Majalla" w:cs="Sakkal Majalla"/>
          <w:sz w:val="24"/>
          <w:szCs w:val="24"/>
          <w:rtl/>
        </w:rPr>
        <w:t xml:space="preserve"> ، </w:t>
      </w:r>
      <w:r w:rsidR="00E61291" w:rsidRPr="008D2993">
        <w:rPr>
          <w:rFonts w:ascii="Sakkal Majalla" w:hAnsi="Sakkal Majalla" w:cs="Sakkal Majalla"/>
          <w:sz w:val="24"/>
          <w:szCs w:val="24"/>
          <w:rtl/>
          <w:lang w:bidi="ar-EG"/>
        </w:rPr>
        <w:t>ص 262</w:t>
      </w:r>
    </w:p>
  </w:footnote>
  <w:footnote w:id="45">
    <w:p w14:paraId="696FBD4C" w14:textId="26A52314" w:rsidR="000D33A9" w:rsidRDefault="000D33A9" w:rsidP="004E66E8">
      <w:pPr>
        <w:pStyle w:val="FootnoteText"/>
        <w:bidi/>
      </w:pPr>
      <w:r>
        <w:rPr>
          <w:rStyle w:val="FootnoteReference"/>
        </w:rPr>
        <w:footnoteRef/>
      </w:r>
      <w:r>
        <w:t xml:space="preserve"> </w:t>
      </w:r>
      <w:r w:rsidR="00E61291" w:rsidRPr="008D2993">
        <w:rPr>
          <w:rFonts w:ascii="Sakkal Majalla" w:hAnsi="Sakkal Majalla" w:cs="Sakkal Majalla"/>
          <w:sz w:val="24"/>
          <w:szCs w:val="24"/>
          <w:rtl/>
          <w:lang w:bidi="ar-EG"/>
        </w:rPr>
        <w:t>سلامة، صفاء، وأبو قورة، خليل (2014) تحديات عصر الروبوتات وأخلاقياتها (الطبعة الأولى) مركز الإمارات للدراسات والبحوث الاستراتيجية ، ص40</w:t>
      </w:r>
    </w:p>
  </w:footnote>
  <w:footnote w:id="46">
    <w:p w14:paraId="2989C619" w14:textId="6584BB79" w:rsidR="000D33A9" w:rsidRDefault="000D33A9" w:rsidP="00E61291">
      <w:pPr>
        <w:pStyle w:val="FootnoteText"/>
        <w:bidi/>
      </w:pPr>
      <w:r>
        <w:rPr>
          <w:rStyle w:val="FootnoteReference"/>
        </w:rPr>
        <w:footnoteRef/>
      </w:r>
      <w:r>
        <w:t xml:space="preserve"> </w:t>
      </w:r>
      <w:r w:rsidR="00FA5DE4" w:rsidRPr="008D2993">
        <w:rPr>
          <w:rFonts w:ascii="Sakkal Majalla" w:hAnsi="Sakkal Majalla" w:cs="Sakkal Majalla"/>
          <w:sz w:val="24"/>
          <w:szCs w:val="24"/>
          <w:rtl/>
        </w:rPr>
        <w:t xml:space="preserve">دره ، سماح أحمد محمد (2025) </w:t>
      </w:r>
      <w:r w:rsidR="00FA5DE4" w:rsidRPr="008D2993">
        <w:rPr>
          <w:rFonts w:ascii="Sakkal Majalla" w:hAnsi="Sakkal Majalla" w:cs="Sakkal Majalla"/>
          <w:b/>
          <w:bCs/>
          <w:sz w:val="24"/>
          <w:szCs w:val="24"/>
          <w:u w:val="single"/>
          <w:rtl/>
        </w:rPr>
        <w:t>مرجع سابق</w:t>
      </w:r>
      <w:r w:rsidR="00FA5DE4" w:rsidRPr="008D2993">
        <w:rPr>
          <w:rFonts w:ascii="Sakkal Majalla" w:hAnsi="Sakkal Majalla" w:cs="Sakkal Majalla"/>
          <w:sz w:val="24"/>
          <w:szCs w:val="24"/>
          <w:rtl/>
        </w:rPr>
        <w:t xml:space="preserve"> ،  ص 32</w:t>
      </w:r>
    </w:p>
  </w:footnote>
  <w:footnote w:id="47">
    <w:p w14:paraId="46FF95C0" w14:textId="0A187025" w:rsidR="00093BEB" w:rsidRPr="00966B9F" w:rsidRDefault="00093BEB" w:rsidP="00966B9F">
      <w:pPr>
        <w:bidi/>
        <w:spacing w:after="0" w:line="240" w:lineRule="auto"/>
        <w:rPr>
          <w:rFonts w:ascii="Sakkal Majalla" w:hAnsi="Sakkal Majalla" w:cs="Sakkal Majalla" w:hint="cs"/>
          <w:sz w:val="24"/>
          <w:szCs w:val="24"/>
          <w:rtl/>
        </w:rPr>
      </w:pPr>
      <w:r>
        <w:rPr>
          <w:rStyle w:val="FootnoteReference"/>
        </w:rPr>
        <w:footnoteRef/>
      </w:r>
      <w:r>
        <w:t xml:space="preserve"> </w:t>
      </w:r>
      <w:r w:rsidR="00966B9F" w:rsidRPr="008D2993">
        <w:rPr>
          <w:rFonts w:ascii="Sakkal Majalla" w:hAnsi="Sakkal Majalla" w:cs="Sakkal Majalla"/>
          <w:sz w:val="24"/>
          <w:szCs w:val="24"/>
          <w:rtl/>
        </w:rPr>
        <w:t>حسني، محمود نجيب (1982) شرح قانون العقوبات: القسم العام. دار النهضة العربية، ص 670.</w:t>
      </w:r>
    </w:p>
  </w:footnote>
  <w:footnote w:id="48">
    <w:p w14:paraId="7EBFA05E" w14:textId="6692F55C" w:rsidR="00093BEB" w:rsidRDefault="00093BEB" w:rsidP="00D242A6">
      <w:pPr>
        <w:pStyle w:val="FootnoteText"/>
        <w:bidi/>
        <w:rPr>
          <w:rFonts w:hint="cs"/>
          <w:rtl/>
          <w:lang w:bidi="ar-EG"/>
        </w:rPr>
      </w:pPr>
      <w:r>
        <w:rPr>
          <w:rStyle w:val="FootnoteReference"/>
        </w:rPr>
        <w:footnoteRef/>
      </w:r>
      <w:r>
        <w:t xml:space="preserve"> </w:t>
      </w:r>
      <w:r w:rsidR="00966B9F" w:rsidRPr="008D2993">
        <w:rPr>
          <w:rFonts w:ascii="Sakkal Majalla" w:hAnsi="Sakkal Majalla" w:cs="Sakkal Majalla"/>
          <w:sz w:val="24"/>
          <w:szCs w:val="24"/>
          <w:rtl/>
        </w:rPr>
        <w:t>سرور، أحمد فتحي. (1989). الوسيط في قانون العقوبات. دار النهضة العربية، ص 85.</w:t>
      </w:r>
    </w:p>
  </w:footnote>
  <w:footnote w:id="49">
    <w:p w14:paraId="3BABA410" w14:textId="23C292BC" w:rsidR="00B5091F" w:rsidRDefault="00B5091F" w:rsidP="00B5091F">
      <w:pPr>
        <w:pStyle w:val="FootnoteText"/>
        <w:bidi/>
        <w:rPr>
          <w:rFonts w:hint="cs"/>
          <w:rtl/>
          <w:lang w:bidi="ar-EG"/>
        </w:rPr>
      </w:pPr>
      <w:r>
        <w:rPr>
          <w:rStyle w:val="FootnoteReference"/>
        </w:rPr>
        <w:footnoteRef/>
      </w:r>
      <w:r>
        <w:t xml:space="preserve"> </w:t>
      </w:r>
      <w:r w:rsidR="00160126" w:rsidRPr="008D2993">
        <w:rPr>
          <w:rFonts w:ascii="Sakkal Majalla" w:hAnsi="Sakkal Majalla" w:cs="Sakkal Majalla"/>
          <w:sz w:val="24"/>
          <w:szCs w:val="24"/>
          <w:rtl/>
        </w:rPr>
        <w:t>راشد، حامد (2017) النظرية العامة للجريمة ، دار أبو المجد للطباعة، ص 15.</w:t>
      </w:r>
    </w:p>
  </w:footnote>
  <w:footnote w:id="50">
    <w:p w14:paraId="356B1B44" w14:textId="2489909C" w:rsidR="00B5091F" w:rsidRDefault="00B5091F" w:rsidP="00B5091F">
      <w:pPr>
        <w:pStyle w:val="FootnoteText"/>
        <w:bidi/>
        <w:rPr>
          <w:rFonts w:hint="cs"/>
          <w:rtl/>
          <w:lang w:bidi="ar-EG"/>
        </w:rPr>
      </w:pPr>
      <w:r>
        <w:rPr>
          <w:rStyle w:val="FootnoteReference"/>
        </w:rPr>
        <w:footnoteRef/>
      </w:r>
      <w:r>
        <w:t xml:space="preserve"> </w:t>
      </w:r>
      <w:r w:rsidR="00160126" w:rsidRPr="008D2993">
        <w:rPr>
          <w:rFonts w:ascii="Sakkal Majalla" w:hAnsi="Sakkal Majalla" w:cs="Sakkal Majalla"/>
          <w:sz w:val="24"/>
          <w:szCs w:val="24"/>
          <w:rtl/>
        </w:rPr>
        <w:t>وزير، عبد العظيم (2009) النظرية العامة للجريمة ، دار النهضة العربية، ص 188.</w:t>
      </w:r>
    </w:p>
  </w:footnote>
  <w:footnote w:id="51">
    <w:p w14:paraId="15229DAE" w14:textId="48076FC3" w:rsidR="00B5091F" w:rsidRDefault="00B5091F" w:rsidP="006131AF">
      <w:pPr>
        <w:pStyle w:val="FootnoteText"/>
        <w:bidi/>
        <w:rPr>
          <w:rFonts w:hint="cs"/>
          <w:rtl/>
          <w:lang w:bidi="ar-EG"/>
        </w:rPr>
      </w:pPr>
      <w:r>
        <w:rPr>
          <w:rStyle w:val="FootnoteReference"/>
        </w:rPr>
        <w:footnoteRef/>
      </w:r>
      <w:r>
        <w:t xml:space="preserve"> </w:t>
      </w:r>
      <w:r w:rsidR="00160126" w:rsidRPr="008D2993">
        <w:rPr>
          <w:rFonts w:ascii="Sakkal Majalla" w:hAnsi="Sakkal Majalla" w:cs="Sakkal Majalla"/>
          <w:sz w:val="24"/>
          <w:szCs w:val="24"/>
          <w:rtl/>
        </w:rPr>
        <w:t xml:space="preserve">الطائي، سميرة حسين محيسن، وعبدالحسن، إيمان حسين (2025) </w:t>
      </w:r>
      <w:r w:rsidR="00160126" w:rsidRPr="008D2993">
        <w:rPr>
          <w:rFonts w:ascii="Sakkal Majalla" w:hAnsi="Sakkal Majalla" w:cs="Sakkal Majalla"/>
          <w:b/>
          <w:bCs/>
          <w:sz w:val="24"/>
          <w:szCs w:val="24"/>
          <w:u w:val="single"/>
          <w:rtl/>
        </w:rPr>
        <w:t>مرجع سابق</w:t>
      </w:r>
      <w:r w:rsidR="00160126" w:rsidRPr="008D2993">
        <w:rPr>
          <w:rFonts w:ascii="Sakkal Majalla" w:hAnsi="Sakkal Majalla" w:cs="Sakkal Majalla"/>
          <w:sz w:val="24"/>
          <w:szCs w:val="24"/>
          <w:rtl/>
        </w:rPr>
        <w:t xml:space="preserve"> ،  ص2</w:t>
      </w:r>
      <w:r w:rsidR="00160126" w:rsidRPr="008D2993">
        <w:rPr>
          <w:rFonts w:ascii="Sakkal Majalla" w:hAnsi="Sakkal Majalla" w:cs="Sakkal Majalla"/>
          <w:sz w:val="24"/>
          <w:szCs w:val="24"/>
          <w:rtl/>
          <w:lang w:bidi="ar-EG"/>
        </w:rPr>
        <w:t>49</w:t>
      </w:r>
    </w:p>
  </w:footnote>
  <w:footnote w:id="52">
    <w:p w14:paraId="507960A1" w14:textId="7268D285" w:rsidR="00B5091F" w:rsidRDefault="00B5091F" w:rsidP="00160126">
      <w:pPr>
        <w:pStyle w:val="FootnoteText"/>
        <w:rPr>
          <w:rFonts w:hint="cs"/>
          <w:rtl/>
          <w:lang w:bidi="ar-EG"/>
        </w:rPr>
      </w:pPr>
      <w:r>
        <w:rPr>
          <w:rStyle w:val="FootnoteReference"/>
        </w:rPr>
        <w:footnoteRef/>
      </w:r>
      <w:r>
        <w:t xml:space="preserve"> </w:t>
      </w:r>
      <w:r w:rsidR="00160126" w:rsidRPr="008D2993">
        <w:rPr>
          <w:rFonts w:ascii="Sakkal Majalla" w:hAnsi="Sakkal Majalla" w:cs="Sakkal Majalla"/>
          <w:sz w:val="24"/>
          <w:szCs w:val="24"/>
        </w:rPr>
        <w:t xml:space="preserve">E. SADIN, </w:t>
      </w:r>
      <w:proofErr w:type="spellStart"/>
      <w:r w:rsidR="00160126" w:rsidRPr="008D2993">
        <w:rPr>
          <w:rFonts w:ascii="Sakkal Majalla" w:hAnsi="Sakkal Majalla" w:cs="Sakkal Majalla"/>
          <w:sz w:val="24"/>
          <w:szCs w:val="24"/>
        </w:rPr>
        <w:t>L’intelligence</w:t>
      </w:r>
      <w:proofErr w:type="spellEnd"/>
      <w:r w:rsidR="00160126" w:rsidRPr="008D2993">
        <w:rPr>
          <w:rFonts w:ascii="Sakkal Majalla" w:hAnsi="Sakkal Majalla" w:cs="Sakkal Majalla"/>
          <w:sz w:val="24"/>
          <w:szCs w:val="24"/>
        </w:rPr>
        <w:t xml:space="preserve"> </w:t>
      </w:r>
      <w:proofErr w:type="spellStart"/>
      <w:r w:rsidR="00160126" w:rsidRPr="008D2993">
        <w:rPr>
          <w:rFonts w:ascii="Sakkal Majalla" w:hAnsi="Sakkal Majalla" w:cs="Sakkal Majalla"/>
          <w:sz w:val="24"/>
          <w:szCs w:val="24"/>
        </w:rPr>
        <w:t>artificielle</w:t>
      </w:r>
      <w:proofErr w:type="spellEnd"/>
      <w:r w:rsidR="00160126" w:rsidRPr="008D2993">
        <w:rPr>
          <w:rFonts w:ascii="Sakkal Majalla" w:hAnsi="Sakkal Majalla" w:cs="Sakkal Majalla"/>
          <w:sz w:val="24"/>
          <w:szCs w:val="24"/>
        </w:rPr>
        <w:t xml:space="preserve"> </w:t>
      </w:r>
      <w:proofErr w:type="spellStart"/>
      <w:r w:rsidR="00160126" w:rsidRPr="008D2993">
        <w:rPr>
          <w:rFonts w:ascii="Sakkal Majalla" w:hAnsi="Sakkal Majalla" w:cs="Sakkal Majalla"/>
          <w:sz w:val="24"/>
          <w:szCs w:val="24"/>
        </w:rPr>
        <w:t>ou</w:t>
      </w:r>
      <w:proofErr w:type="spellEnd"/>
      <w:r w:rsidR="00160126" w:rsidRPr="008D2993">
        <w:rPr>
          <w:rFonts w:ascii="Sakkal Majalla" w:hAnsi="Sakkal Majalla" w:cs="Sakkal Majalla"/>
          <w:sz w:val="24"/>
          <w:szCs w:val="24"/>
        </w:rPr>
        <w:t xml:space="preserve"> </w:t>
      </w:r>
      <w:proofErr w:type="spellStart"/>
      <w:r w:rsidR="00160126" w:rsidRPr="008D2993">
        <w:rPr>
          <w:rFonts w:ascii="Sakkal Majalla" w:hAnsi="Sakkal Majalla" w:cs="Sakkal Majalla"/>
          <w:sz w:val="24"/>
          <w:szCs w:val="24"/>
        </w:rPr>
        <w:t>l’enjeu</w:t>
      </w:r>
      <w:proofErr w:type="spellEnd"/>
      <w:r w:rsidR="00160126" w:rsidRPr="008D2993">
        <w:rPr>
          <w:rFonts w:ascii="Sakkal Majalla" w:hAnsi="Sakkal Majalla" w:cs="Sakkal Majalla"/>
          <w:sz w:val="24"/>
          <w:szCs w:val="24"/>
        </w:rPr>
        <w:t xml:space="preserve"> du siècle. </w:t>
      </w:r>
      <w:proofErr w:type="spellStart"/>
      <w:r w:rsidR="00160126" w:rsidRPr="008D2993">
        <w:rPr>
          <w:rFonts w:ascii="Sakkal Majalla" w:hAnsi="Sakkal Majalla" w:cs="Sakkal Majalla"/>
          <w:sz w:val="24"/>
          <w:szCs w:val="24"/>
        </w:rPr>
        <w:t>Anatomie</w:t>
      </w:r>
      <w:proofErr w:type="spellEnd"/>
      <w:r w:rsidR="00160126" w:rsidRPr="008D2993">
        <w:rPr>
          <w:rFonts w:ascii="Sakkal Majalla" w:hAnsi="Sakkal Majalla" w:cs="Sakkal Majalla"/>
          <w:sz w:val="24"/>
          <w:szCs w:val="24"/>
        </w:rPr>
        <w:t xml:space="preserve"> d’un </w:t>
      </w:r>
      <w:proofErr w:type="spellStart"/>
      <w:r w:rsidR="00160126" w:rsidRPr="008D2993">
        <w:rPr>
          <w:rFonts w:ascii="Sakkal Majalla" w:hAnsi="Sakkal Majalla" w:cs="Sakkal Majalla"/>
          <w:sz w:val="24"/>
          <w:szCs w:val="24"/>
        </w:rPr>
        <w:t>antihumanisme</w:t>
      </w:r>
      <w:proofErr w:type="spellEnd"/>
      <w:r w:rsidR="00160126" w:rsidRPr="008D2993">
        <w:rPr>
          <w:rFonts w:ascii="Sakkal Majalla" w:hAnsi="Sakkal Majalla" w:cs="Sakkal Majalla"/>
          <w:sz w:val="24"/>
          <w:szCs w:val="24"/>
        </w:rPr>
        <w:t xml:space="preserve"> radical, </w:t>
      </w:r>
      <w:proofErr w:type="spellStart"/>
      <w:r w:rsidR="00160126" w:rsidRPr="008D2993">
        <w:rPr>
          <w:rFonts w:ascii="Sakkal Majalla" w:hAnsi="Sakkal Majalla" w:cs="Sakkal Majalla"/>
          <w:sz w:val="24"/>
          <w:szCs w:val="24"/>
        </w:rPr>
        <w:t>préc</w:t>
      </w:r>
      <w:proofErr w:type="spellEnd"/>
      <w:r w:rsidR="00160126" w:rsidRPr="008D2993">
        <w:rPr>
          <w:rFonts w:ascii="Sakkal Majalla" w:hAnsi="Sakkal Majalla" w:cs="Sakkal Majalla"/>
          <w:sz w:val="24"/>
          <w:szCs w:val="24"/>
        </w:rPr>
        <w:t>., p. 13.</w:t>
      </w:r>
    </w:p>
  </w:footnote>
  <w:footnote w:id="53">
    <w:p w14:paraId="0EDCD2B5" w14:textId="19B595DE" w:rsidR="00B5091F" w:rsidRDefault="00B5091F" w:rsidP="006131AF">
      <w:pPr>
        <w:pStyle w:val="FootnoteText"/>
        <w:bidi/>
        <w:rPr>
          <w:rFonts w:hint="cs"/>
          <w:rtl/>
          <w:lang w:bidi="ar-EG"/>
        </w:rPr>
      </w:pPr>
      <w:r>
        <w:rPr>
          <w:rStyle w:val="FootnoteReference"/>
        </w:rPr>
        <w:footnoteRef/>
      </w:r>
      <w:r>
        <w:t xml:space="preserve"> </w:t>
      </w:r>
      <w:r w:rsidR="00575117" w:rsidRPr="008D2993">
        <w:rPr>
          <w:rFonts w:ascii="Sakkal Majalla" w:hAnsi="Sakkal Majalla" w:cs="Sakkal Majalla"/>
          <w:sz w:val="24"/>
          <w:szCs w:val="24"/>
          <w:rtl/>
        </w:rPr>
        <w:t>شمس الدين، أشرف توفيق. (2012) شرح قانون الإجراءات الجنائية: مرحلة ما قبل المحاكمة. جامعة بنها، ص 43.</w:t>
      </w:r>
    </w:p>
  </w:footnote>
  <w:footnote w:id="54">
    <w:p w14:paraId="59000151" w14:textId="7FE3D414" w:rsidR="005318BC" w:rsidRDefault="005318BC" w:rsidP="005318BC">
      <w:pPr>
        <w:pStyle w:val="FootnoteText"/>
        <w:bidi/>
        <w:rPr>
          <w:rFonts w:hint="cs"/>
          <w:rtl/>
          <w:lang w:bidi="ar-EG"/>
        </w:rPr>
      </w:pPr>
      <w:r>
        <w:rPr>
          <w:rStyle w:val="FootnoteReference"/>
        </w:rPr>
        <w:footnoteRef/>
      </w:r>
      <w:r>
        <w:t xml:space="preserve"> </w:t>
      </w:r>
      <w:r w:rsidR="00575117" w:rsidRPr="008D2993">
        <w:rPr>
          <w:rFonts w:ascii="Sakkal Majalla" w:hAnsi="Sakkal Majalla" w:cs="Sakkal Majalla"/>
          <w:sz w:val="24"/>
          <w:szCs w:val="24"/>
          <w:rtl/>
        </w:rPr>
        <w:t>دهشان، يحيى إبراهيم</w:t>
      </w:r>
      <w:r w:rsidR="00575117" w:rsidRPr="008D2993">
        <w:rPr>
          <w:rFonts w:ascii="Sakkal Majalla" w:hAnsi="Sakkal Majalla" w:cs="Sakkal Majalla"/>
          <w:sz w:val="24"/>
          <w:szCs w:val="24"/>
        </w:rPr>
        <w:t xml:space="preserve"> </w:t>
      </w:r>
      <w:r w:rsidR="00575117" w:rsidRPr="008D2993">
        <w:rPr>
          <w:rFonts w:ascii="Sakkal Majalla" w:hAnsi="Sakkal Majalla" w:cs="Sakkal Majalla"/>
          <w:sz w:val="24"/>
          <w:szCs w:val="24"/>
          <w:rtl/>
        </w:rPr>
        <w:t xml:space="preserve"> (2020</w:t>
      </w:r>
      <w:r w:rsidR="00575117" w:rsidRPr="008D2993">
        <w:rPr>
          <w:rFonts w:ascii="Sakkal Majalla" w:hAnsi="Sakkal Majalla" w:cs="Sakkal Majalla"/>
          <w:sz w:val="24"/>
          <w:szCs w:val="24"/>
        </w:rPr>
        <w:t>(</w:t>
      </w:r>
      <w:r w:rsidR="00575117" w:rsidRPr="008D2993">
        <w:rPr>
          <w:rFonts w:ascii="Sakkal Majalla" w:hAnsi="Sakkal Majalla" w:cs="Sakkal Majalla"/>
          <w:sz w:val="24"/>
          <w:szCs w:val="24"/>
          <w:rtl/>
        </w:rPr>
        <w:t xml:space="preserve"> المسؤولية الجنائية عن جرائم الذكاء الاصطناعي ، مجلة الشريعة والقانون – كلية القانون، جامعة الإمارات العربية المتحدة، 34(82)،</w:t>
      </w:r>
      <w:r w:rsidR="00575117" w:rsidRPr="008D2993">
        <w:rPr>
          <w:rFonts w:ascii="Sakkal Majalla" w:hAnsi="Sakkal Majalla" w:cs="Sakkal Majalla"/>
          <w:sz w:val="24"/>
          <w:szCs w:val="24"/>
          <w:rtl/>
          <w:lang w:bidi="ar-EG"/>
        </w:rPr>
        <w:t>ص</w:t>
      </w:r>
      <w:r w:rsidR="00575117" w:rsidRPr="008D2993">
        <w:rPr>
          <w:rFonts w:ascii="Sakkal Majalla" w:hAnsi="Sakkal Majalla" w:cs="Sakkal Majalla"/>
          <w:sz w:val="24"/>
          <w:szCs w:val="24"/>
          <w:rtl/>
        </w:rPr>
        <w:t xml:space="preserve"> 100</w:t>
      </w:r>
    </w:p>
  </w:footnote>
  <w:footnote w:id="55">
    <w:p w14:paraId="07FB3544" w14:textId="59DB1BA1" w:rsidR="005318BC" w:rsidRDefault="005318BC" w:rsidP="00595EEA">
      <w:pPr>
        <w:pStyle w:val="FootnoteText"/>
        <w:rPr>
          <w:rFonts w:hint="cs"/>
          <w:rtl/>
          <w:lang w:bidi="ar-EG"/>
        </w:rPr>
      </w:pPr>
      <w:r>
        <w:rPr>
          <w:rStyle w:val="FootnoteReference"/>
        </w:rPr>
        <w:footnoteRef/>
      </w:r>
      <w:r>
        <w:t xml:space="preserve"> </w:t>
      </w:r>
      <w:r w:rsidR="00595EEA" w:rsidRPr="008D2993">
        <w:rPr>
          <w:rFonts w:ascii="Sakkal Majalla" w:hAnsi="Sakkal Majalla" w:cs="Sakkal Majalla"/>
          <w:sz w:val="24"/>
          <w:szCs w:val="24"/>
        </w:rPr>
        <w:t xml:space="preserve">Hallevy, Gabriel. (2015). Liability for Crimes Involving Artificial Intelligence Systems. Springer International </w:t>
      </w:r>
      <w:proofErr w:type="gramStart"/>
      <w:r w:rsidR="00595EEA" w:rsidRPr="008D2993">
        <w:rPr>
          <w:rFonts w:ascii="Sakkal Majalla" w:hAnsi="Sakkal Majalla" w:cs="Sakkal Majalla"/>
          <w:sz w:val="24"/>
          <w:szCs w:val="24"/>
        </w:rPr>
        <w:t>Publishing .</w:t>
      </w:r>
      <w:proofErr w:type="gramEnd"/>
      <w:r w:rsidR="00595EEA" w:rsidRPr="008D2993">
        <w:rPr>
          <w:rFonts w:ascii="Sakkal Majalla" w:hAnsi="Sakkal Majalla" w:cs="Sakkal Majalla"/>
          <w:sz w:val="24"/>
          <w:szCs w:val="24"/>
        </w:rPr>
        <w:t xml:space="preserve"> p7</w:t>
      </w:r>
    </w:p>
  </w:footnote>
  <w:footnote w:id="56">
    <w:p w14:paraId="02A5E6E9" w14:textId="224C00E5" w:rsidR="005318BC" w:rsidRDefault="005318BC" w:rsidP="005318BC">
      <w:pPr>
        <w:pStyle w:val="FootnoteText"/>
        <w:bidi/>
        <w:rPr>
          <w:rFonts w:hint="cs"/>
          <w:rtl/>
          <w:lang w:bidi="ar-EG"/>
        </w:rPr>
      </w:pPr>
      <w:r>
        <w:rPr>
          <w:rStyle w:val="FootnoteReference"/>
        </w:rPr>
        <w:footnoteRef/>
      </w:r>
      <w:r>
        <w:t xml:space="preserve"> </w:t>
      </w:r>
      <w:r w:rsidR="00595EEA" w:rsidRPr="008D2993">
        <w:rPr>
          <w:rFonts w:ascii="Sakkal Majalla" w:hAnsi="Sakkal Majalla" w:cs="Sakkal Majalla"/>
          <w:sz w:val="24"/>
          <w:szCs w:val="24"/>
          <w:rtl/>
        </w:rPr>
        <w:t>دهشان، يحيى إبراهيم (2019</w:t>
      </w:r>
      <w:r w:rsidR="00595EEA" w:rsidRPr="008D2993">
        <w:rPr>
          <w:rFonts w:ascii="Sakkal Majalla" w:hAnsi="Sakkal Majalla" w:cs="Sakkal Majalla"/>
          <w:sz w:val="24"/>
          <w:szCs w:val="24"/>
        </w:rPr>
        <w:t xml:space="preserve"> </w:t>
      </w:r>
      <w:r w:rsidR="00595EEA" w:rsidRPr="008D2993">
        <w:rPr>
          <w:rFonts w:ascii="Sakkal Majalla" w:hAnsi="Sakkal Majalla" w:cs="Sakkal Majalla"/>
          <w:sz w:val="24"/>
          <w:szCs w:val="24"/>
          <w:rtl/>
          <w:lang w:bidi="ar-EG"/>
        </w:rPr>
        <w:t>)</w:t>
      </w:r>
      <w:r w:rsidR="00595EEA" w:rsidRPr="008D2993">
        <w:rPr>
          <w:rFonts w:ascii="Sakkal Majalla" w:hAnsi="Sakkal Majalla" w:cs="Sakkal Majalla"/>
          <w:sz w:val="24"/>
          <w:szCs w:val="24"/>
          <w:rtl/>
        </w:rPr>
        <w:t xml:space="preserve"> المسؤولية الجنائية عن جرائم الذكاء الاصطناعي. مجلة الشريعة والقانون، جامعة الإمارات، ص 106.</w:t>
      </w:r>
    </w:p>
  </w:footnote>
  <w:footnote w:id="57">
    <w:p w14:paraId="661E4C0D" w14:textId="6A957716" w:rsidR="005318BC" w:rsidRDefault="005318BC" w:rsidP="005318BC">
      <w:pPr>
        <w:pStyle w:val="FootnoteText"/>
        <w:bidi/>
        <w:rPr>
          <w:rFonts w:hint="cs"/>
          <w:rtl/>
          <w:lang w:bidi="ar-EG"/>
        </w:rPr>
      </w:pPr>
      <w:r>
        <w:rPr>
          <w:rStyle w:val="FootnoteReference"/>
        </w:rPr>
        <w:footnoteRef/>
      </w:r>
      <w:r>
        <w:t xml:space="preserve"> </w:t>
      </w:r>
      <w:r w:rsidR="00595EEA" w:rsidRPr="008D2993">
        <w:rPr>
          <w:rFonts w:ascii="Sakkal Majalla" w:hAnsi="Sakkal Majalla" w:cs="Sakkal Majalla"/>
          <w:sz w:val="24"/>
          <w:szCs w:val="24"/>
          <w:rtl/>
        </w:rPr>
        <w:t>الح</w:t>
      </w:r>
      <w:r w:rsidR="00595EEA" w:rsidRPr="008D2993">
        <w:rPr>
          <w:rFonts w:ascii="Sakkal Majalla" w:hAnsi="Sakkal Majalla" w:cs="Sakkal Majalla"/>
          <w:sz w:val="24"/>
          <w:szCs w:val="24"/>
          <w:rtl/>
          <w:lang w:bidi="ar-EG"/>
        </w:rPr>
        <w:t>جي</w:t>
      </w:r>
      <w:r w:rsidR="00595EEA" w:rsidRPr="008D2993">
        <w:rPr>
          <w:rFonts w:ascii="Sakkal Majalla" w:hAnsi="Sakkal Majalla" w:cs="Sakkal Majalla"/>
          <w:sz w:val="24"/>
          <w:szCs w:val="24"/>
          <w:rtl/>
        </w:rPr>
        <w:t>لي، محمد عمر (2024) النظام القانوني لحقوق الملكية الفكرية في مجال الذكاء الاصطناعي. مجلة جامعة الأبار للعلوم القانونية والسياسية ،ص 389</w:t>
      </w:r>
    </w:p>
  </w:footnote>
  <w:footnote w:id="58">
    <w:p w14:paraId="7EEC70D7" w14:textId="5D3D1109" w:rsidR="00362ADF" w:rsidRDefault="00362ADF" w:rsidP="00362ADF">
      <w:pPr>
        <w:pStyle w:val="FootnoteText"/>
        <w:bidi/>
        <w:rPr>
          <w:rFonts w:hint="cs"/>
          <w:rtl/>
          <w:lang w:bidi="ar-EG"/>
        </w:rPr>
      </w:pPr>
      <w:r>
        <w:rPr>
          <w:rStyle w:val="FootnoteReference"/>
        </w:rPr>
        <w:footnoteRef/>
      </w:r>
      <w:r>
        <w:t xml:space="preserve"> </w:t>
      </w:r>
      <w:r w:rsidR="00595EEA" w:rsidRPr="008D2993">
        <w:rPr>
          <w:rFonts w:ascii="Sakkal Majalla" w:hAnsi="Sakkal Majalla" w:cs="Sakkal Majalla"/>
          <w:sz w:val="24"/>
          <w:szCs w:val="24"/>
          <w:rtl/>
        </w:rPr>
        <w:t>عميش، رحاب علي (2021</w:t>
      </w:r>
      <w:r w:rsidR="00595EEA" w:rsidRPr="008D2993">
        <w:rPr>
          <w:rFonts w:ascii="Sakkal Majalla" w:hAnsi="Sakkal Majalla" w:cs="Sakkal Majalla"/>
          <w:sz w:val="24"/>
          <w:szCs w:val="24"/>
        </w:rPr>
        <w:t xml:space="preserve">( </w:t>
      </w:r>
      <w:r w:rsidR="00595EEA" w:rsidRPr="008D2993">
        <w:rPr>
          <w:rFonts w:ascii="Sakkal Majalla" w:hAnsi="Sakkal Majalla" w:cs="Sakkal Majalla"/>
          <w:sz w:val="24"/>
          <w:szCs w:val="24"/>
          <w:rtl/>
        </w:rPr>
        <w:t>المسؤولية الجنائية عن جرائم الذكاء الاصطناعي. مجلة البحوث القانونية والاقتصادية – كلية الحقوق، جامعة المنصورة، عدد خاص، 7</w:t>
      </w:r>
      <w:r w:rsidR="00595EEA" w:rsidRPr="008D2993">
        <w:rPr>
          <w:rFonts w:ascii="Sakkal Majalla" w:hAnsi="Sakkal Majalla" w:cs="Sakkal Majalla"/>
          <w:sz w:val="24"/>
          <w:szCs w:val="24"/>
          <w:rtl/>
          <w:lang w:bidi="ar-EG"/>
        </w:rPr>
        <w:t>27</w:t>
      </w:r>
    </w:p>
  </w:footnote>
  <w:footnote w:id="59">
    <w:p w14:paraId="0854D82C" w14:textId="2FBF02AF" w:rsidR="00362ADF" w:rsidRDefault="00362ADF" w:rsidP="00362ADF">
      <w:pPr>
        <w:pStyle w:val="FootnoteText"/>
        <w:bidi/>
        <w:rPr>
          <w:rFonts w:hint="cs"/>
          <w:rtl/>
          <w:lang w:bidi="ar-EG"/>
        </w:rPr>
      </w:pPr>
      <w:r>
        <w:rPr>
          <w:rStyle w:val="FootnoteReference"/>
        </w:rPr>
        <w:footnoteRef/>
      </w:r>
      <w:r>
        <w:t xml:space="preserve"> </w:t>
      </w:r>
      <w:r w:rsidR="005D6DE4" w:rsidRPr="008D2993">
        <w:rPr>
          <w:rFonts w:ascii="Sakkal Majalla" w:hAnsi="Sakkal Majalla" w:cs="Sakkal Majalla"/>
          <w:sz w:val="24"/>
          <w:szCs w:val="24"/>
          <w:rtl/>
        </w:rPr>
        <w:t xml:space="preserve">عميش، رحاب علي (2021) </w:t>
      </w:r>
      <w:r w:rsidR="005D6DE4" w:rsidRPr="008D2993">
        <w:rPr>
          <w:rFonts w:ascii="Sakkal Majalla" w:hAnsi="Sakkal Majalla" w:cs="Sakkal Majalla"/>
          <w:b/>
          <w:bCs/>
          <w:sz w:val="24"/>
          <w:szCs w:val="24"/>
          <w:u w:val="single"/>
          <w:rtl/>
        </w:rPr>
        <w:t>مرجع سابق</w:t>
      </w:r>
      <w:r w:rsidR="005D6DE4" w:rsidRPr="008D2993">
        <w:rPr>
          <w:rFonts w:ascii="Sakkal Majalla" w:hAnsi="Sakkal Majalla" w:cs="Sakkal Majalla"/>
          <w:sz w:val="24"/>
          <w:szCs w:val="24"/>
          <w:rtl/>
        </w:rPr>
        <w:t xml:space="preserve"> ،  728</w:t>
      </w:r>
    </w:p>
  </w:footnote>
  <w:footnote w:id="60">
    <w:p w14:paraId="699D135E" w14:textId="72DFA98E" w:rsidR="00362ADF" w:rsidRDefault="00362ADF" w:rsidP="00362ADF">
      <w:pPr>
        <w:pStyle w:val="FootnoteText"/>
        <w:bidi/>
        <w:rPr>
          <w:rFonts w:hint="cs"/>
          <w:rtl/>
          <w:lang w:bidi="ar-EG"/>
        </w:rPr>
      </w:pPr>
      <w:r>
        <w:rPr>
          <w:rStyle w:val="FootnoteReference"/>
        </w:rPr>
        <w:footnoteRef/>
      </w:r>
      <w:r>
        <w:t xml:space="preserve"> </w:t>
      </w:r>
      <w:r w:rsidR="005D6DE4" w:rsidRPr="008D2993">
        <w:rPr>
          <w:rFonts w:ascii="Sakkal Majalla" w:hAnsi="Sakkal Majalla" w:cs="Sakkal Majalla"/>
          <w:sz w:val="24"/>
          <w:szCs w:val="24"/>
          <w:rtl/>
        </w:rPr>
        <w:t>محمد، محمد شاكر محمود (2022) دور الذكاء الاصطناعي في تطوير قواعد المسؤولية المدنية: دراسة تحليلية. مجلة كلية القانون للعلوم القانونية والسياسية – جامعة كركوك، (42)، ص 628</w:t>
      </w:r>
    </w:p>
  </w:footnote>
  <w:footnote w:id="61">
    <w:p w14:paraId="7EE986DB" w14:textId="6B111923" w:rsidR="00362ADF" w:rsidRDefault="00362ADF" w:rsidP="005D6DE4">
      <w:pPr>
        <w:pStyle w:val="FootnoteText"/>
        <w:rPr>
          <w:rFonts w:hint="cs"/>
          <w:rtl/>
          <w:lang w:bidi="ar-EG"/>
        </w:rPr>
      </w:pPr>
      <w:r>
        <w:rPr>
          <w:rStyle w:val="FootnoteReference"/>
        </w:rPr>
        <w:footnoteRef/>
      </w:r>
      <w:r>
        <w:t xml:space="preserve"> </w:t>
      </w:r>
      <w:r w:rsidR="005D6DE4" w:rsidRPr="008D2993">
        <w:rPr>
          <w:rFonts w:ascii="Sakkal Majalla" w:hAnsi="Sakkal Majalla" w:cs="Sakkal Majalla"/>
          <w:sz w:val="24"/>
          <w:szCs w:val="24"/>
        </w:rPr>
        <w:t xml:space="preserve">J. GASNAULT, « Les </w:t>
      </w:r>
      <w:proofErr w:type="spellStart"/>
      <w:r w:rsidR="005D6DE4" w:rsidRPr="008D2993">
        <w:rPr>
          <w:rFonts w:ascii="Sakkal Majalla" w:hAnsi="Sakkal Majalla" w:cs="Sakkal Majalla"/>
          <w:sz w:val="24"/>
          <w:szCs w:val="24"/>
        </w:rPr>
        <w:t>problèmes</w:t>
      </w:r>
      <w:proofErr w:type="spellEnd"/>
      <w:r w:rsidR="005D6DE4" w:rsidRPr="008D2993">
        <w:rPr>
          <w:rFonts w:ascii="Sakkal Majalla" w:hAnsi="Sakkal Majalla" w:cs="Sakkal Majalla"/>
          <w:sz w:val="24"/>
          <w:szCs w:val="24"/>
        </w:rPr>
        <w:t xml:space="preserve"> </w:t>
      </w:r>
      <w:proofErr w:type="spellStart"/>
      <w:r w:rsidR="005D6DE4" w:rsidRPr="008D2993">
        <w:rPr>
          <w:rFonts w:ascii="Sakkal Majalla" w:hAnsi="Sakkal Majalla" w:cs="Sakkal Majalla"/>
          <w:sz w:val="24"/>
          <w:szCs w:val="24"/>
        </w:rPr>
        <w:t>juridiques</w:t>
      </w:r>
      <w:proofErr w:type="spellEnd"/>
      <w:r w:rsidR="005D6DE4" w:rsidRPr="008D2993">
        <w:rPr>
          <w:rFonts w:ascii="Sakkal Majalla" w:hAnsi="Sakkal Majalla" w:cs="Sakkal Majalla"/>
          <w:sz w:val="24"/>
          <w:szCs w:val="24"/>
        </w:rPr>
        <w:t xml:space="preserve"> </w:t>
      </w:r>
      <w:proofErr w:type="spellStart"/>
      <w:r w:rsidR="005D6DE4" w:rsidRPr="008D2993">
        <w:rPr>
          <w:rFonts w:ascii="Sakkal Majalla" w:hAnsi="Sakkal Majalla" w:cs="Sakkal Majalla"/>
          <w:sz w:val="24"/>
          <w:szCs w:val="24"/>
        </w:rPr>
        <w:t>suscités</w:t>
      </w:r>
      <w:proofErr w:type="spellEnd"/>
      <w:r w:rsidR="005D6DE4" w:rsidRPr="008D2993">
        <w:rPr>
          <w:rFonts w:ascii="Sakkal Majalla" w:hAnsi="Sakkal Majalla" w:cs="Sakkal Majalla"/>
          <w:sz w:val="24"/>
          <w:szCs w:val="24"/>
        </w:rPr>
        <w:t xml:space="preserve"> par les </w:t>
      </w:r>
      <w:proofErr w:type="spellStart"/>
      <w:r w:rsidR="005D6DE4" w:rsidRPr="008D2993">
        <w:rPr>
          <w:rFonts w:ascii="Sakkal Majalla" w:hAnsi="Sakkal Majalla" w:cs="Sakkal Majalla"/>
          <w:sz w:val="24"/>
          <w:szCs w:val="24"/>
        </w:rPr>
        <w:t>systèmes</w:t>
      </w:r>
      <w:proofErr w:type="spellEnd"/>
      <w:r w:rsidR="005D6DE4" w:rsidRPr="008D2993">
        <w:rPr>
          <w:rFonts w:ascii="Sakkal Majalla" w:hAnsi="Sakkal Majalla" w:cs="Sakkal Majalla"/>
          <w:sz w:val="24"/>
          <w:szCs w:val="24"/>
        </w:rPr>
        <w:t xml:space="preserve"> </w:t>
      </w:r>
      <w:proofErr w:type="gramStart"/>
      <w:r w:rsidR="005D6DE4" w:rsidRPr="008D2993">
        <w:rPr>
          <w:rFonts w:ascii="Sakkal Majalla" w:hAnsi="Sakkal Majalla" w:cs="Sakkal Majalla"/>
          <w:sz w:val="24"/>
          <w:szCs w:val="24"/>
        </w:rPr>
        <w:t>experts</w:t>
      </w:r>
      <w:proofErr w:type="gramEnd"/>
      <w:r w:rsidR="005D6DE4" w:rsidRPr="008D2993">
        <w:rPr>
          <w:rFonts w:ascii="Sakkal Majalla" w:hAnsi="Sakkal Majalla" w:cs="Sakkal Majalla"/>
          <w:sz w:val="24"/>
          <w:szCs w:val="24"/>
        </w:rPr>
        <w:t xml:space="preserve"> </w:t>
      </w:r>
      <w:proofErr w:type="spellStart"/>
      <w:r w:rsidR="005D6DE4" w:rsidRPr="008D2993">
        <w:rPr>
          <w:rFonts w:ascii="Sakkal Majalla" w:hAnsi="Sakkal Majalla" w:cs="Sakkal Majalla"/>
          <w:sz w:val="24"/>
          <w:szCs w:val="24"/>
        </w:rPr>
        <w:t>ou</w:t>
      </w:r>
      <w:proofErr w:type="spellEnd"/>
      <w:r w:rsidR="005D6DE4" w:rsidRPr="008D2993">
        <w:rPr>
          <w:rFonts w:ascii="Sakkal Majalla" w:hAnsi="Sakkal Majalla" w:cs="Sakkal Majalla"/>
          <w:sz w:val="24"/>
          <w:szCs w:val="24"/>
        </w:rPr>
        <w:t xml:space="preserve"> </w:t>
      </w:r>
      <w:proofErr w:type="spellStart"/>
      <w:r w:rsidR="005D6DE4" w:rsidRPr="008D2993">
        <w:rPr>
          <w:rFonts w:ascii="Sakkal Majalla" w:hAnsi="Sakkal Majalla" w:cs="Sakkal Majalla"/>
          <w:sz w:val="24"/>
          <w:szCs w:val="24"/>
        </w:rPr>
        <w:t>d'aide</w:t>
      </w:r>
      <w:proofErr w:type="spellEnd"/>
      <w:r w:rsidR="005D6DE4" w:rsidRPr="008D2993">
        <w:rPr>
          <w:rFonts w:ascii="Sakkal Majalla" w:hAnsi="Sakkal Majalla" w:cs="Sakkal Majalla"/>
          <w:sz w:val="24"/>
          <w:szCs w:val="24"/>
        </w:rPr>
        <w:t xml:space="preserve"> à la </w:t>
      </w:r>
      <w:proofErr w:type="spellStart"/>
      <w:r w:rsidR="005D6DE4" w:rsidRPr="008D2993">
        <w:rPr>
          <w:rFonts w:ascii="Sakkal Majalla" w:hAnsi="Sakkal Majalla" w:cs="Sakkal Majalla"/>
          <w:sz w:val="24"/>
          <w:szCs w:val="24"/>
        </w:rPr>
        <w:t>décision</w:t>
      </w:r>
      <w:proofErr w:type="spellEnd"/>
      <w:r w:rsidR="005D6DE4" w:rsidRPr="008D2993">
        <w:rPr>
          <w:rFonts w:ascii="Sakkal Majalla" w:hAnsi="Sakkal Majalla" w:cs="Sakkal Majalla"/>
          <w:sz w:val="24"/>
          <w:szCs w:val="24"/>
        </w:rPr>
        <w:t xml:space="preserve"> », op. cit., p. 155.</w:t>
      </w:r>
    </w:p>
  </w:footnote>
  <w:footnote w:id="62">
    <w:p w14:paraId="6BE530A6" w14:textId="25781C89" w:rsidR="00362ADF" w:rsidRDefault="00362ADF" w:rsidP="00362ADF">
      <w:pPr>
        <w:pStyle w:val="FootnoteText"/>
        <w:bidi/>
        <w:rPr>
          <w:rFonts w:hint="cs"/>
          <w:rtl/>
          <w:lang w:bidi="ar-EG"/>
        </w:rPr>
      </w:pPr>
      <w:r>
        <w:rPr>
          <w:rStyle w:val="FootnoteReference"/>
        </w:rPr>
        <w:footnoteRef/>
      </w:r>
      <w:r>
        <w:t xml:space="preserve"> </w:t>
      </w:r>
      <w:r w:rsidR="005D6DE4" w:rsidRPr="008D2993">
        <w:rPr>
          <w:rFonts w:ascii="Sakkal Majalla" w:hAnsi="Sakkal Majalla" w:cs="Sakkal Majalla"/>
          <w:sz w:val="24"/>
          <w:szCs w:val="24"/>
          <w:rtl/>
        </w:rPr>
        <w:t>الح</w:t>
      </w:r>
      <w:r w:rsidR="005D6DE4" w:rsidRPr="008D2993">
        <w:rPr>
          <w:rFonts w:ascii="Sakkal Majalla" w:hAnsi="Sakkal Majalla" w:cs="Sakkal Majalla"/>
          <w:sz w:val="24"/>
          <w:szCs w:val="24"/>
          <w:rtl/>
          <w:lang w:bidi="ar-EG"/>
        </w:rPr>
        <w:t>جي</w:t>
      </w:r>
      <w:r w:rsidR="005D6DE4" w:rsidRPr="008D2993">
        <w:rPr>
          <w:rFonts w:ascii="Sakkal Majalla" w:hAnsi="Sakkal Majalla" w:cs="Sakkal Majalla"/>
          <w:sz w:val="24"/>
          <w:szCs w:val="24"/>
          <w:rtl/>
        </w:rPr>
        <w:t xml:space="preserve">لي، محمد عمر (2024) </w:t>
      </w:r>
      <w:r w:rsidR="005D6DE4" w:rsidRPr="008D2993">
        <w:rPr>
          <w:rFonts w:ascii="Sakkal Majalla" w:hAnsi="Sakkal Majalla" w:cs="Sakkal Majalla"/>
          <w:b/>
          <w:bCs/>
          <w:sz w:val="24"/>
          <w:szCs w:val="24"/>
          <w:u w:val="single"/>
          <w:rtl/>
        </w:rPr>
        <w:t>مرجع سابق</w:t>
      </w:r>
      <w:r w:rsidR="005D6DE4" w:rsidRPr="008D2993">
        <w:rPr>
          <w:rFonts w:ascii="Sakkal Majalla" w:hAnsi="Sakkal Majalla" w:cs="Sakkal Majalla"/>
          <w:sz w:val="24"/>
          <w:szCs w:val="24"/>
          <w:rtl/>
        </w:rPr>
        <w:t xml:space="preserve">  ،ص 392</w:t>
      </w:r>
    </w:p>
  </w:footnote>
  <w:footnote w:id="63">
    <w:p w14:paraId="477ABE3A" w14:textId="6D5654F2" w:rsidR="00362ADF" w:rsidRDefault="00362ADF" w:rsidP="00362ADF">
      <w:pPr>
        <w:pStyle w:val="FootnoteText"/>
        <w:bidi/>
        <w:rPr>
          <w:rFonts w:hint="cs"/>
          <w:rtl/>
          <w:lang w:bidi="ar-EG"/>
        </w:rPr>
      </w:pPr>
      <w:r>
        <w:rPr>
          <w:rStyle w:val="FootnoteReference"/>
        </w:rPr>
        <w:footnoteRef/>
      </w:r>
      <w:r>
        <w:t xml:space="preserve"> </w:t>
      </w:r>
      <w:r w:rsidR="005D6DE4" w:rsidRPr="008D2993">
        <w:rPr>
          <w:rFonts w:ascii="Sakkal Majalla" w:hAnsi="Sakkal Majalla" w:cs="Sakkal Majalla"/>
          <w:sz w:val="24"/>
          <w:szCs w:val="24"/>
          <w:rtl/>
        </w:rPr>
        <w:t>لطفي، خالد حسن أحمد (2021) الذكاء الاصطناعي وحمايته من الناحية المدنية والجنائية (الطبعة الأولى). دار الفكر الجامعي، ص 100.</w:t>
      </w:r>
    </w:p>
  </w:footnote>
  <w:footnote w:id="64">
    <w:p w14:paraId="08CDA504" w14:textId="4F942B3D" w:rsidR="00362ADF" w:rsidRDefault="00362ADF" w:rsidP="00362ADF">
      <w:pPr>
        <w:pStyle w:val="FootnoteText"/>
        <w:bidi/>
        <w:rPr>
          <w:rFonts w:hint="cs"/>
          <w:rtl/>
          <w:lang w:bidi="ar-EG"/>
        </w:rPr>
      </w:pPr>
      <w:r>
        <w:rPr>
          <w:rStyle w:val="FootnoteReference"/>
        </w:rPr>
        <w:footnoteRef/>
      </w:r>
      <w:r>
        <w:t xml:space="preserve"> </w:t>
      </w:r>
      <w:r w:rsidR="007D6A05" w:rsidRPr="008D2993">
        <w:rPr>
          <w:rFonts w:ascii="Sakkal Majalla" w:hAnsi="Sakkal Majalla" w:cs="Sakkal Majalla"/>
          <w:sz w:val="24"/>
          <w:szCs w:val="24"/>
          <w:rtl/>
          <w:lang w:bidi="ar-EG"/>
        </w:rPr>
        <w:t>الفلاوري، عمار كريم، والمشهدي، علي عبد الجبار رحيم. (2022). المسؤولية المدنية عن تقنية الذكاء الاصطناعي المعقد: دراسة مقارنة. دار المعرفة للنشر والتوزيع، ص 28.</w:t>
      </w:r>
    </w:p>
  </w:footnote>
  <w:footnote w:id="65">
    <w:p w14:paraId="373520B9" w14:textId="226880B4" w:rsidR="00362ADF" w:rsidRDefault="00362ADF" w:rsidP="00362ADF">
      <w:pPr>
        <w:pStyle w:val="FootnoteText"/>
        <w:bidi/>
        <w:rPr>
          <w:rFonts w:hint="cs"/>
          <w:rtl/>
          <w:lang w:bidi="ar-EG"/>
        </w:rPr>
      </w:pPr>
      <w:r>
        <w:rPr>
          <w:rStyle w:val="FootnoteReference"/>
        </w:rPr>
        <w:footnoteRef/>
      </w:r>
      <w:r>
        <w:t xml:space="preserve"> </w:t>
      </w:r>
      <w:r w:rsidR="007D6A05" w:rsidRPr="008D2993">
        <w:rPr>
          <w:rFonts w:ascii="Sakkal Majalla" w:hAnsi="Sakkal Majalla" w:cs="Sakkal Majalla"/>
          <w:sz w:val="24"/>
          <w:szCs w:val="24"/>
          <w:rtl/>
        </w:rPr>
        <w:t xml:space="preserve">شمس الدين، أشرف توفيق. (2012) </w:t>
      </w:r>
      <w:r w:rsidR="007D6A05" w:rsidRPr="008D2993">
        <w:rPr>
          <w:rFonts w:ascii="Sakkal Majalla" w:hAnsi="Sakkal Majalla" w:cs="Sakkal Majalla"/>
          <w:b/>
          <w:bCs/>
          <w:sz w:val="24"/>
          <w:szCs w:val="24"/>
          <w:u w:val="single"/>
          <w:rtl/>
        </w:rPr>
        <w:t>مرجع سابق</w:t>
      </w:r>
      <w:r w:rsidR="007D6A05" w:rsidRPr="008D2993">
        <w:rPr>
          <w:rFonts w:ascii="Sakkal Majalla" w:hAnsi="Sakkal Majalla" w:cs="Sakkal Majalla"/>
          <w:sz w:val="24"/>
          <w:szCs w:val="24"/>
          <w:rtl/>
        </w:rPr>
        <w:t xml:space="preserve"> ، ص 4</w:t>
      </w:r>
      <w:r w:rsidR="007D6A05" w:rsidRPr="008D2993">
        <w:rPr>
          <w:rFonts w:ascii="Sakkal Majalla" w:hAnsi="Sakkal Majalla" w:cs="Sakkal Majalla"/>
          <w:sz w:val="24"/>
          <w:szCs w:val="24"/>
          <w:rtl/>
          <w:lang w:bidi="ar-EG"/>
        </w:rPr>
        <w:t>8</w:t>
      </w:r>
    </w:p>
  </w:footnote>
  <w:footnote w:id="66">
    <w:p w14:paraId="1FB918C2" w14:textId="250DE9E9" w:rsidR="00362ADF" w:rsidRDefault="00362ADF" w:rsidP="00362ADF">
      <w:pPr>
        <w:pStyle w:val="FootnoteText"/>
        <w:bidi/>
        <w:rPr>
          <w:rFonts w:hint="cs"/>
          <w:rtl/>
          <w:lang w:bidi="ar-EG"/>
        </w:rPr>
      </w:pPr>
      <w:r>
        <w:rPr>
          <w:rStyle w:val="FootnoteReference"/>
        </w:rPr>
        <w:footnoteRef/>
      </w:r>
      <w:r>
        <w:t xml:space="preserve"> </w:t>
      </w:r>
      <w:r w:rsidR="0001606F" w:rsidRPr="008D2993">
        <w:rPr>
          <w:rFonts w:ascii="Sakkal Majalla" w:hAnsi="Sakkal Majalla" w:cs="Sakkal Majalla"/>
          <w:sz w:val="24"/>
          <w:szCs w:val="24"/>
          <w:rtl/>
        </w:rPr>
        <w:t>فريدة ، بن عثمان (2020) فريدة الذكاء الاصطناعي: مقاربة قانونية. مجلة دفاتر السياسة والقانون، كلية الحقوق والعلوم السياسية، جامعة ورقلة، ص 159.</w:t>
      </w:r>
    </w:p>
  </w:footnote>
  <w:footnote w:id="67">
    <w:p w14:paraId="18F572A4" w14:textId="273008CD" w:rsidR="00362ADF" w:rsidRDefault="00362ADF" w:rsidP="00362ADF">
      <w:pPr>
        <w:pStyle w:val="FootnoteText"/>
        <w:bidi/>
        <w:rPr>
          <w:rFonts w:hint="cs"/>
          <w:rtl/>
          <w:lang w:bidi="ar-EG"/>
        </w:rPr>
      </w:pPr>
      <w:r>
        <w:rPr>
          <w:rStyle w:val="FootnoteReference"/>
        </w:rPr>
        <w:footnoteRef/>
      </w:r>
      <w:r>
        <w:t xml:space="preserve"> </w:t>
      </w:r>
      <w:r w:rsidR="0001606F" w:rsidRPr="008D2993">
        <w:rPr>
          <w:rFonts w:ascii="Sakkal Majalla" w:hAnsi="Sakkal Majalla" w:cs="Sakkal Majalla"/>
          <w:sz w:val="24"/>
          <w:szCs w:val="24"/>
          <w:rtl/>
        </w:rPr>
        <w:t xml:space="preserve">دهشان، أحمد إبراهيم (2019) </w:t>
      </w:r>
      <w:r w:rsidR="0001606F" w:rsidRPr="008D2993">
        <w:rPr>
          <w:rFonts w:ascii="Sakkal Majalla" w:hAnsi="Sakkal Majalla" w:cs="Sakkal Majalla"/>
          <w:b/>
          <w:bCs/>
          <w:sz w:val="24"/>
          <w:szCs w:val="24"/>
          <w:u w:val="single"/>
          <w:rtl/>
        </w:rPr>
        <w:t>مرجع سابق</w:t>
      </w:r>
      <w:r w:rsidR="0001606F" w:rsidRPr="008D2993">
        <w:rPr>
          <w:rFonts w:ascii="Sakkal Majalla" w:hAnsi="Sakkal Majalla" w:cs="Sakkal Majalla"/>
          <w:sz w:val="24"/>
          <w:szCs w:val="24"/>
          <w:rtl/>
        </w:rPr>
        <w:t xml:space="preserve"> ، ص 32</w:t>
      </w:r>
    </w:p>
  </w:footnote>
  <w:footnote w:id="68">
    <w:p w14:paraId="14120F7E" w14:textId="222235D7" w:rsidR="0001606F" w:rsidRDefault="0001606F" w:rsidP="0001606F">
      <w:pPr>
        <w:pStyle w:val="FootnoteText"/>
        <w:bidi/>
        <w:rPr>
          <w:rFonts w:hint="cs"/>
          <w:rtl/>
          <w:lang w:bidi="ar-EG"/>
        </w:rPr>
      </w:pPr>
      <w:r>
        <w:rPr>
          <w:rStyle w:val="FootnoteReference"/>
        </w:rPr>
        <w:footnoteRef/>
      </w:r>
      <w:r>
        <w:t xml:space="preserve"> </w:t>
      </w:r>
      <w:r w:rsidR="005E3775" w:rsidRPr="008D2993">
        <w:rPr>
          <w:rFonts w:ascii="Sakkal Majalla" w:hAnsi="Sakkal Majalla" w:cs="Sakkal Majalla"/>
          <w:sz w:val="24"/>
          <w:szCs w:val="24"/>
          <w:rtl/>
        </w:rPr>
        <w:t>الح</w:t>
      </w:r>
      <w:r w:rsidR="005E3775" w:rsidRPr="008D2993">
        <w:rPr>
          <w:rFonts w:ascii="Sakkal Majalla" w:hAnsi="Sakkal Majalla" w:cs="Sakkal Majalla"/>
          <w:sz w:val="24"/>
          <w:szCs w:val="24"/>
          <w:rtl/>
          <w:lang w:bidi="ar-EG"/>
        </w:rPr>
        <w:t>جي</w:t>
      </w:r>
      <w:r w:rsidR="005E3775" w:rsidRPr="008D2993">
        <w:rPr>
          <w:rFonts w:ascii="Sakkal Majalla" w:hAnsi="Sakkal Majalla" w:cs="Sakkal Majalla"/>
          <w:sz w:val="24"/>
          <w:szCs w:val="24"/>
          <w:rtl/>
        </w:rPr>
        <w:t>لي، محمد عمر (2024) مرجع سابق  ،ص 395</w:t>
      </w:r>
    </w:p>
  </w:footnote>
  <w:footnote w:id="69">
    <w:p w14:paraId="23142DC4" w14:textId="4D801530" w:rsidR="00362ADF" w:rsidRDefault="00362ADF" w:rsidP="005E3775">
      <w:pPr>
        <w:pStyle w:val="FootnoteText"/>
        <w:rPr>
          <w:rFonts w:hint="cs"/>
          <w:rtl/>
          <w:lang w:bidi="ar-EG"/>
        </w:rPr>
      </w:pPr>
      <w:r>
        <w:rPr>
          <w:rStyle w:val="FootnoteReference"/>
        </w:rPr>
        <w:footnoteRef/>
      </w:r>
      <w:r>
        <w:t xml:space="preserve"> </w:t>
      </w:r>
      <w:r w:rsidR="005E3775" w:rsidRPr="008D2993">
        <w:rPr>
          <w:rFonts w:ascii="Sakkal Majalla" w:hAnsi="Sakkal Majalla" w:cs="Sakkal Majalla"/>
          <w:sz w:val="24"/>
          <w:szCs w:val="24"/>
        </w:rPr>
        <w:t>Hallevy, Gabriel (2015), Liability for Crimes Involving Artificial Intelligence Systems, op. cit.</w:t>
      </w:r>
      <w:r w:rsidR="005E3775" w:rsidRPr="008D2993">
        <w:rPr>
          <w:rFonts w:ascii="Sakkal Majalla" w:hAnsi="Sakkal Majalla" w:cs="Sakkal Majalla"/>
          <w:sz w:val="24"/>
          <w:szCs w:val="24"/>
          <w:rtl/>
        </w:rPr>
        <w:t xml:space="preserve"> </w:t>
      </w:r>
      <w:r w:rsidR="005E3775" w:rsidRPr="008D2993">
        <w:rPr>
          <w:rFonts w:ascii="Sakkal Majalla" w:hAnsi="Sakkal Majalla" w:cs="Sakkal Majalla"/>
          <w:sz w:val="24"/>
          <w:szCs w:val="24"/>
        </w:rPr>
        <w:t>p. 16</w:t>
      </w:r>
    </w:p>
  </w:footnote>
  <w:footnote w:id="70">
    <w:p w14:paraId="38C686CF" w14:textId="0A81DB8E" w:rsidR="00362ADF" w:rsidRDefault="00362ADF" w:rsidP="005E3775">
      <w:pPr>
        <w:pStyle w:val="FootnoteText"/>
        <w:bidi/>
        <w:rPr>
          <w:rFonts w:hint="cs"/>
          <w:rtl/>
          <w:lang w:bidi="ar-EG"/>
        </w:rPr>
      </w:pPr>
      <w:r>
        <w:rPr>
          <w:rStyle w:val="FootnoteReference"/>
        </w:rPr>
        <w:footnoteRef/>
      </w:r>
      <w:r>
        <w:t xml:space="preserve"> </w:t>
      </w:r>
      <w:r w:rsidR="001C5F30" w:rsidRPr="008D2993">
        <w:rPr>
          <w:rFonts w:ascii="Sakkal Majalla" w:hAnsi="Sakkal Majalla" w:cs="Sakkal Majalla"/>
          <w:sz w:val="24"/>
          <w:szCs w:val="24"/>
          <w:rtl/>
        </w:rPr>
        <w:t>القوصي، همام (2019</w:t>
      </w:r>
      <w:r w:rsidR="001C5F30" w:rsidRPr="008D2993">
        <w:rPr>
          <w:rFonts w:ascii="Sakkal Majalla" w:hAnsi="Sakkal Majalla" w:cs="Sakkal Majalla"/>
          <w:sz w:val="24"/>
          <w:szCs w:val="24"/>
          <w:rtl/>
          <w:lang w:bidi="ar-EG"/>
        </w:rPr>
        <w:t>)</w:t>
      </w:r>
      <w:r w:rsidR="001C5F30" w:rsidRPr="008D2993">
        <w:rPr>
          <w:rFonts w:ascii="Sakkal Majalla" w:hAnsi="Sakkal Majalla" w:cs="Sakkal Majalla"/>
          <w:sz w:val="24"/>
          <w:szCs w:val="24"/>
          <w:rtl/>
        </w:rPr>
        <w:t xml:space="preserve"> نظرية الشخصية الافتراضية للروبوت وفق المنهج الإنساني: دراسة تأصيلية تحليلية استشرافية في القانون المدني الكويتي والأوروبي. مجلة جيل الأبحاث القانونية المعمقة، (35)، ص 20.</w:t>
      </w:r>
    </w:p>
  </w:footnote>
  <w:footnote w:id="71">
    <w:p w14:paraId="155F1AFD" w14:textId="2584F32C" w:rsidR="005E3775" w:rsidRDefault="005E3775" w:rsidP="005E3775">
      <w:pPr>
        <w:pStyle w:val="FootnoteText"/>
        <w:bidi/>
        <w:rPr>
          <w:rFonts w:hint="cs"/>
          <w:rtl/>
          <w:lang w:bidi="ar-EG"/>
        </w:rPr>
      </w:pPr>
      <w:r>
        <w:rPr>
          <w:rStyle w:val="FootnoteReference"/>
        </w:rPr>
        <w:footnoteRef/>
      </w:r>
      <w:r>
        <w:t xml:space="preserve"> </w:t>
      </w:r>
      <w:r w:rsidR="001C5F30" w:rsidRPr="008D2993">
        <w:rPr>
          <w:rFonts w:ascii="Sakkal Majalla" w:hAnsi="Sakkal Majalla" w:cs="Sakkal Majalla"/>
          <w:sz w:val="24"/>
          <w:szCs w:val="24"/>
          <w:rtl/>
        </w:rPr>
        <w:t xml:space="preserve">محمد، محمد شاكر محمود (2022) </w:t>
      </w:r>
      <w:r w:rsidR="001C5F30" w:rsidRPr="008D2993">
        <w:rPr>
          <w:rFonts w:ascii="Sakkal Majalla" w:hAnsi="Sakkal Majalla" w:cs="Sakkal Majalla"/>
          <w:b/>
          <w:bCs/>
          <w:sz w:val="24"/>
          <w:szCs w:val="24"/>
          <w:u w:val="single"/>
          <w:rtl/>
        </w:rPr>
        <w:t>مرجع سابق</w:t>
      </w:r>
      <w:r w:rsidR="001C5F30" w:rsidRPr="008D2993">
        <w:rPr>
          <w:rFonts w:ascii="Sakkal Majalla" w:hAnsi="Sakkal Majalla" w:cs="Sakkal Majalla"/>
          <w:sz w:val="24"/>
          <w:szCs w:val="24"/>
          <w:rtl/>
        </w:rPr>
        <w:t xml:space="preserve"> ،  ص 632</w:t>
      </w:r>
    </w:p>
  </w:footnote>
  <w:footnote w:id="72">
    <w:p w14:paraId="1525FC39" w14:textId="029C726D" w:rsidR="00362ADF" w:rsidRDefault="00362ADF" w:rsidP="00A70643">
      <w:pPr>
        <w:pStyle w:val="FootnoteText"/>
        <w:bidi/>
        <w:rPr>
          <w:rFonts w:hint="cs"/>
          <w:rtl/>
          <w:lang w:bidi="ar-EG"/>
        </w:rPr>
      </w:pPr>
      <w:r>
        <w:rPr>
          <w:rStyle w:val="FootnoteReference"/>
        </w:rPr>
        <w:footnoteRef/>
      </w:r>
      <w:r>
        <w:t xml:space="preserve"> </w:t>
      </w:r>
      <w:r w:rsidR="001C5F30" w:rsidRPr="008D2993">
        <w:rPr>
          <w:rFonts w:ascii="Sakkal Majalla" w:hAnsi="Sakkal Majalla" w:cs="Sakkal Majalla"/>
          <w:sz w:val="24"/>
          <w:szCs w:val="24"/>
          <w:rtl/>
        </w:rPr>
        <w:t xml:space="preserve">شمس الدين، أشرف توفيق. (2012) </w:t>
      </w:r>
      <w:r w:rsidR="001C5F30" w:rsidRPr="008D2993">
        <w:rPr>
          <w:rFonts w:ascii="Sakkal Majalla" w:hAnsi="Sakkal Majalla" w:cs="Sakkal Majalla"/>
          <w:b/>
          <w:bCs/>
          <w:sz w:val="24"/>
          <w:szCs w:val="24"/>
          <w:u w:val="single"/>
          <w:rtl/>
        </w:rPr>
        <w:t>مرجع سابق</w:t>
      </w:r>
      <w:r w:rsidR="001C5F30" w:rsidRPr="008D2993">
        <w:rPr>
          <w:rFonts w:ascii="Sakkal Majalla" w:hAnsi="Sakkal Majalla" w:cs="Sakkal Majalla"/>
          <w:sz w:val="24"/>
          <w:szCs w:val="24"/>
          <w:rtl/>
        </w:rPr>
        <w:t xml:space="preserve"> ، ص 52</w:t>
      </w:r>
    </w:p>
  </w:footnote>
  <w:footnote w:id="73">
    <w:p w14:paraId="5C555D37" w14:textId="33405513" w:rsidR="00362ADF" w:rsidRDefault="00362ADF" w:rsidP="00A70643">
      <w:pPr>
        <w:pStyle w:val="FootnoteText"/>
        <w:bidi/>
        <w:rPr>
          <w:rFonts w:hint="cs"/>
          <w:rtl/>
          <w:lang w:bidi="ar-EG"/>
        </w:rPr>
      </w:pPr>
      <w:r>
        <w:rPr>
          <w:rStyle w:val="FootnoteReference"/>
        </w:rPr>
        <w:footnoteRef/>
      </w:r>
      <w:r>
        <w:t xml:space="preserve"> </w:t>
      </w:r>
      <w:r w:rsidR="00FC655F" w:rsidRPr="008D2993">
        <w:rPr>
          <w:rFonts w:ascii="Sakkal Majalla" w:hAnsi="Sakkal Majalla" w:cs="Sakkal Majalla"/>
          <w:sz w:val="24"/>
          <w:szCs w:val="24"/>
          <w:rtl/>
        </w:rPr>
        <w:t>الخطيب، محمد عرفان (2018</w:t>
      </w:r>
      <w:r w:rsidR="00FC655F" w:rsidRPr="008D2993">
        <w:rPr>
          <w:rFonts w:ascii="Sakkal Majalla" w:hAnsi="Sakkal Majalla" w:cs="Sakkal Majalla"/>
          <w:sz w:val="24"/>
          <w:szCs w:val="24"/>
        </w:rPr>
        <w:t>(</w:t>
      </w:r>
      <w:r w:rsidR="00FC655F" w:rsidRPr="008D2993">
        <w:rPr>
          <w:rFonts w:ascii="Sakkal Majalla" w:hAnsi="Sakkal Majalla" w:cs="Sakkal Majalla"/>
          <w:sz w:val="24"/>
          <w:szCs w:val="24"/>
          <w:rtl/>
        </w:rPr>
        <w:t xml:space="preserve"> المركز القانوني للإنسان الآلة (</w:t>
      </w:r>
      <w:r w:rsidR="00FC655F" w:rsidRPr="008D2993">
        <w:rPr>
          <w:rFonts w:ascii="Sakkal Majalla" w:hAnsi="Sakkal Majalla" w:cs="Sakkal Majalla"/>
          <w:sz w:val="24"/>
          <w:szCs w:val="24"/>
        </w:rPr>
        <w:t>Robots</w:t>
      </w:r>
      <w:r w:rsidR="00FC655F" w:rsidRPr="008D2993">
        <w:rPr>
          <w:rFonts w:ascii="Sakkal Majalla" w:hAnsi="Sakkal Majalla" w:cs="Sakkal Majalla"/>
          <w:sz w:val="24"/>
          <w:szCs w:val="24"/>
          <w:rtl/>
        </w:rPr>
        <w:t>): الشخصية القانونية والمسؤولية، دراسة تأصيلية مقارنة في القواعد الأوروبية للقانون المدني للإنسان الآلة لعام 2017. مجلة كلية القانون الكويتية العالمية، السنة السادسة، 4(24)</w:t>
      </w:r>
      <w:r w:rsidR="00FC655F" w:rsidRPr="008D2993">
        <w:rPr>
          <w:rFonts w:ascii="Sakkal Majalla" w:hAnsi="Sakkal Majalla" w:cs="Sakkal Majalla"/>
          <w:sz w:val="24"/>
          <w:szCs w:val="24"/>
        </w:rPr>
        <w:t xml:space="preserve"> </w:t>
      </w:r>
      <w:r w:rsidR="00FC655F" w:rsidRPr="008D2993">
        <w:rPr>
          <w:rFonts w:ascii="Sakkal Majalla" w:hAnsi="Sakkal Majalla" w:cs="Sakkal Majalla"/>
          <w:sz w:val="24"/>
          <w:szCs w:val="24"/>
          <w:rtl/>
          <w:lang w:bidi="ar-EG"/>
        </w:rPr>
        <w:t>، ص122</w:t>
      </w:r>
    </w:p>
  </w:footnote>
  <w:footnote w:id="74">
    <w:p w14:paraId="3DAE0CDD" w14:textId="561ECA86" w:rsidR="00A70643" w:rsidRDefault="00A70643" w:rsidP="00A70643">
      <w:pPr>
        <w:pStyle w:val="FootnoteText"/>
        <w:bidi/>
        <w:rPr>
          <w:rFonts w:hint="cs"/>
          <w:rtl/>
          <w:lang w:bidi="ar-EG"/>
        </w:rPr>
      </w:pPr>
      <w:r>
        <w:rPr>
          <w:rStyle w:val="FootnoteReference"/>
        </w:rPr>
        <w:footnoteRef/>
      </w:r>
      <w:r>
        <w:t xml:space="preserve"> </w:t>
      </w:r>
      <w:r w:rsidR="00FC655F" w:rsidRPr="008D2993">
        <w:rPr>
          <w:rFonts w:ascii="Sakkal Majalla" w:hAnsi="Sakkal Majalla" w:cs="Sakkal Majalla"/>
          <w:sz w:val="24"/>
          <w:szCs w:val="24"/>
          <w:rtl/>
        </w:rPr>
        <w:t>كيرة، حسن (197</w:t>
      </w:r>
      <w:r w:rsidR="00FC655F" w:rsidRPr="008D2993">
        <w:rPr>
          <w:rFonts w:ascii="Sakkal Majalla" w:hAnsi="Sakkal Majalla" w:cs="Sakkal Majalla"/>
          <w:sz w:val="24"/>
          <w:szCs w:val="24"/>
          <w:rtl/>
          <w:lang w:bidi="ar-EG"/>
        </w:rPr>
        <w:t>1</w:t>
      </w:r>
      <w:r w:rsidR="00FC655F" w:rsidRPr="008D2993">
        <w:rPr>
          <w:rFonts w:ascii="Sakkal Majalla" w:hAnsi="Sakkal Majalla" w:cs="Sakkal Majalla"/>
          <w:sz w:val="24"/>
          <w:szCs w:val="24"/>
          <w:rtl/>
        </w:rPr>
        <w:t>) المدخل إلى القانون (الطبعة الخامسة). منشأة المعارف، ص 514.</w:t>
      </w:r>
    </w:p>
  </w:footnote>
  <w:footnote w:id="75">
    <w:p w14:paraId="1DB18E6B" w14:textId="1E4ACDC8" w:rsidR="001C5F30" w:rsidRDefault="001C5F30" w:rsidP="001C5F30">
      <w:pPr>
        <w:pStyle w:val="FootnoteText"/>
        <w:bidi/>
        <w:rPr>
          <w:rFonts w:hint="cs"/>
          <w:rtl/>
          <w:lang w:bidi="ar-EG"/>
        </w:rPr>
      </w:pPr>
      <w:r>
        <w:rPr>
          <w:rStyle w:val="FootnoteReference"/>
        </w:rPr>
        <w:footnoteRef/>
      </w:r>
      <w:r>
        <w:t xml:space="preserve"> </w:t>
      </w:r>
      <w:r w:rsidR="00FC655F" w:rsidRPr="008D2993">
        <w:rPr>
          <w:rFonts w:ascii="Sakkal Majalla" w:hAnsi="Sakkal Majalla" w:cs="Sakkal Majalla"/>
          <w:sz w:val="24"/>
          <w:szCs w:val="24"/>
          <w:rtl/>
        </w:rPr>
        <w:t>دهشان، يحيى إبراهيم</w:t>
      </w:r>
      <w:r w:rsidR="00FC655F" w:rsidRPr="008D2993">
        <w:rPr>
          <w:rFonts w:ascii="Sakkal Majalla" w:hAnsi="Sakkal Majalla" w:cs="Sakkal Majalla"/>
          <w:sz w:val="24"/>
          <w:szCs w:val="24"/>
        </w:rPr>
        <w:t xml:space="preserve"> </w:t>
      </w:r>
      <w:r w:rsidR="00FC655F" w:rsidRPr="008D2993">
        <w:rPr>
          <w:rFonts w:ascii="Sakkal Majalla" w:hAnsi="Sakkal Majalla" w:cs="Sakkal Majalla"/>
          <w:sz w:val="24"/>
          <w:szCs w:val="24"/>
          <w:rtl/>
        </w:rPr>
        <w:t xml:space="preserve"> (2020</w:t>
      </w:r>
      <w:r w:rsidR="00FC655F" w:rsidRPr="008D2993">
        <w:rPr>
          <w:rFonts w:ascii="Sakkal Majalla" w:hAnsi="Sakkal Majalla" w:cs="Sakkal Majalla"/>
          <w:sz w:val="24"/>
          <w:szCs w:val="24"/>
        </w:rPr>
        <w:t>(</w:t>
      </w:r>
      <w:r w:rsidR="00FC655F" w:rsidRPr="008D2993">
        <w:rPr>
          <w:rFonts w:ascii="Sakkal Majalla" w:hAnsi="Sakkal Majalla" w:cs="Sakkal Majalla"/>
          <w:sz w:val="24"/>
          <w:szCs w:val="24"/>
          <w:rtl/>
        </w:rPr>
        <w:t xml:space="preserve"> </w:t>
      </w:r>
      <w:r w:rsidR="00FC655F" w:rsidRPr="008D2993">
        <w:rPr>
          <w:rFonts w:ascii="Sakkal Majalla" w:hAnsi="Sakkal Majalla" w:cs="Sakkal Majalla"/>
          <w:b/>
          <w:bCs/>
          <w:sz w:val="24"/>
          <w:szCs w:val="24"/>
          <w:u w:val="single"/>
          <w:rtl/>
        </w:rPr>
        <w:t>مرجع سابق</w:t>
      </w:r>
      <w:r w:rsidR="00FC655F" w:rsidRPr="008D2993">
        <w:rPr>
          <w:rFonts w:ascii="Sakkal Majalla" w:hAnsi="Sakkal Majalla" w:cs="Sakkal Majalla"/>
          <w:sz w:val="24"/>
          <w:szCs w:val="24"/>
          <w:rtl/>
        </w:rPr>
        <w:t xml:space="preserve"> ، ص118</w:t>
      </w:r>
    </w:p>
  </w:footnote>
  <w:footnote w:id="76">
    <w:p w14:paraId="6AF73DD6" w14:textId="48C31ACC" w:rsidR="00CD54A1" w:rsidRDefault="00CD54A1" w:rsidP="00CD54A1">
      <w:pPr>
        <w:pStyle w:val="FootnoteText"/>
        <w:bidi/>
        <w:rPr>
          <w:rFonts w:hint="cs"/>
          <w:rtl/>
          <w:lang w:bidi="ar-EG"/>
        </w:rPr>
      </w:pPr>
      <w:r>
        <w:rPr>
          <w:rStyle w:val="FootnoteReference"/>
        </w:rPr>
        <w:footnoteRef/>
      </w:r>
      <w:r>
        <w:t xml:space="preserve"> </w:t>
      </w:r>
      <w:r w:rsidR="00FC655F" w:rsidRPr="008D2993">
        <w:rPr>
          <w:rFonts w:ascii="Sakkal Majalla" w:hAnsi="Sakkal Majalla" w:cs="Sakkal Majalla"/>
          <w:sz w:val="24"/>
          <w:szCs w:val="24"/>
          <w:rtl/>
        </w:rPr>
        <w:t>السحلي، محمود حسن (2021) أساس المساءلة المدنية للذكاء الاصطناعي المستقل: قوالب تقليدية برؤية جديدة. مجلة الحقوق للبحوث القانونية والاقتصادية، العدد 2، كلية الحقوق، جامعة الإسكندرية، ص 113</w:t>
      </w:r>
    </w:p>
  </w:footnote>
  <w:footnote w:id="77">
    <w:p w14:paraId="10D2485E" w14:textId="1EF67ED3" w:rsidR="00CD54A1" w:rsidRDefault="00CD54A1" w:rsidP="00CD54A1">
      <w:pPr>
        <w:pStyle w:val="FootnoteText"/>
        <w:bidi/>
        <w:rPr>
          <w:rFonts w:hint="cs"/>
          <w:rtl/>
          <w:lang w:bidi="ar-EG"/>
        </w:rPr>
      </w:pPr>
      <w:r>
        <w:rPr>
          <w:rStyle w:val="FootnoteReference"/>
        </w:rPr>
        <w:footnoteRef/>
      </w:r>
      <w:r>
        <w:t xml:space="preserve"> </w:t>
      </w:r>
      <w:r w:rsidR="00882DF1" w:rsidRPr="008D2993">
        <w:rPr>
          <w:rFonts w:ascii="Sakkal Majalla" w:hAnsi="Sakkal Majalla" w:cs="Sakkal Majalla"/>
          <w:sz w:val="24"/>
          <w:szCs w:val="24"/>
          <w:rtl/>
        </w:rPr>
        <w:t>الح</w:t>
      </w:r>
      <w:r w:rsidR="00882DF1" w:rsidRPr="008D2993">
        <w:rPr>
          <w:rFonts w:ascii="Sakkal Majalla" w:hAnsi="Sakkal Majalla" w:cs="Sakkal Majalla"/>
          <w:sz w:val="24"/>
          <w:szCs w:val="24"/>
          <w:rtl/>
          <w:lang w:bidi="ar-EG"/>
        </w:rPr>
        <w:t>جي</w:t>
      </w:r>
      <w:r w:rsidR="00882DF1" w:rsidRPr="008D2993">
        <w:rPr>
          <w:rFonts w:ascii="Sakkal Majalla" w:hAnsi="Sakkal Majalla" w:cs="Sakkal Majalla"/>
          <w:sz w:val="24"/>
          <w:szCs w:val="24"/>
          <w:rtl/>
        </w:rPr>
        <w:t>لي، محمد عمر (2024) مرجع سابق  ،ص 398</w:t>
      </w:r>
    </w:p>
  </w:footnote>
  <w:footnote w:id="78">
    <w:p w14:paraId="39E4B00A" w14:textId="37C2EB09" w:rsidR="00184B72" w:rsidRDefault="00184B72" w:rsidP="00597473">
      <w:pPr>
        <w:pStyle w:val="FootnoteText"/>
        <w:rPr>
          <w:rFonts w:hint="cs"/>
          <w:rtl/>
          <w:lang w:bidi="ar-EG"/>
        </w:rPr>
      </w:pPr>
      <w:r>
        <w:rPr>
          <w:rStyle w:val="FootnoteReference"/>
        </w:rPr>
        <w:footnoteRef/>
      </w:r>
      <w:r>
        <w:t xml:space="preserve"> </w:t>
      </w:r>
      <w:r w:rsidR="00597473" w:rsidRPr="008D2993">
        <w:rPr>
          <w:rFonts w:ascii="Sakkal Majalla" w:hAnsi="Sakkal Majalla" w:cs="Sakkal Majalla"/>
          <w:sz w:val="24"/>
          <w:szCs w:val="24"/>
        </w:rPr>
        <w:t>Hallevy, Gabriel (2015), Liability for Crimes Involving Artificial Intelligence Systems, op. cit., p. 17</w:t>
      </w:r>
    </w:p>
  </w:footnote>
  <w:footnote w:id="79">
    <w:p w14:paraId="64F51D15" w14:textId="1141D421" w:rsidR="00184B72" w:rsidRDefault="00184B72" w:rsidP="00184B72">
      <w:pPr>
        <w:pStyle w:val="FootnoteText"/>
        <w:bidi/>
        <w:rPr>
          <w:rFonts w:hint="cs"/>
          <w:rtl/>
          <w:lang w:bidi="ar-EG"/>
        </w:rPr>
      </w:pPr>
      <w:r>
        <w:rPr>
          <w:rStyle w:val="FootnoteReference"/>
        </w:rPr>
        <w:footnoteRef/>
      </w:r>
      <w:r>
        <w:t xml:space="preserve"> </w:t>
      </w:r>
      <w:r w:rsidR="00597473" w:rsidRPr="008D2993">
        <w:rPr>
          <w:rFonts w:ascii="Sakkal Majalla" w:hAnsi="Sakkal Majalla" w:cs="Sakkal Majalla"/>
          <w:sz w:val="24"/>
          <w:szCs w:val="24"/>
          <w:rtl/>
        </w:rPr>
        <w:t xml:space="preserve">عميش، رحاب علي (2021 </w:t>
      </w:r>
      <w:r w:rsidR="00597473" w:rsidRPr="008D2993">
        <w:rPr>
          <w:rFonts w:ascii="Sakkal Majalla" w:hAnsi="Sakkal Majalla" w:cs="Sakkal Majalla"/>
          <w:sz w:val="24"/>
          <w:szCs w:val="24"/>
        </w:rPr>
        <w:t>(</w:t>
      </w:r>
      <w:r w:rsidR="00597473" w:rsidRPr="008D2993">
        <w:rPr>
          <w:rFonts w:ascii="Sakkal Majalla" w:hAnsi="Sakkal Majalla" w:cs="Sakkal Majalla"/>
          <w:sz w:val="24"/>
          <w:szCs w:val="24"/>
          <w:rtl/>
        </w:rPr>
        <w:t xml:space="preserve"> </w:t>
      </w:r>
      <w:r w:rsidR="00597473" w:rsidRPr="008D2993">
        <w:rPr>
          <w:rFonts w:ascii="Sakkal Majalla" w:hAnsi="Sakkal Majalla" w:cs="Sakkal Majalla"/>
          <w:b/>
          <w:bCs/>
          <w:sz w:val="24"/>
          <w:szCs w:val="24"/>
          <w:u w:val="single"/>
          <w:rtl/>
        </w:rPr>
        <w:t>مرجع سابق</w:t>
      </w:r>
      <w:r w:rsidR="00597473" w:rsidRPr="008D2993">
        <w:rPr>
          <w:rFonts w:ascii="Sakkal Majalla" w:hAnsi="Sakkal Majalla" w:cs="Sakkal Majalla"/>
          <w:sz w:val="24"/>
          <w:szCs w:val="24"/>
          <w:rtl/>
        </w:rPr>
        <w:t xml:space="preserve">  ،ص  7</w:t>
      </w:r>
      <w:r w:rsidR="00597473" w:rsidRPr="008D2993">
        <w:rPr>
          <w:rFonts w:ascii="Sakkal Majalla" w:hAnsi="Sakkal Majalla" w:cs="Sakkal Majalla"/>
          <w:sz w:val="24"/>
          <w:szCs w:val="24"/>
          <w:rtl/>
          <w:lang w:bidi="ar-EG"/>
        </w:rPr>
        <w:t>38</w:t>
      </w:r>
    </w:p>
  </w:footnote>
  <w:footnote w:id="80">
    <w:p w14:paraId="22D2975E" w14:textId="25790E05" w:rsidR="00184B72" w:rsidRDefault="00184B72" w:rsidP="00184B72">
      <w:pPr>
        <w:pStyle w:val="FootnoteText"/>
        <w:bidi/>
        <w:rPr>
          <w:rFonts w:hint="cs"/>
          <w:rtl/>
          <w:lang w:bidi="ar-EG"/>
        </w:rPr>
      </w:pPr>
      <w:r>
        <w:rPr>
          <w:rStyle w:val="FootnoteReference"/>
        </w:rPr>
        <w:footnoteRef/>
      </w:r>
      <w:r>
        <w:t xml:space="preserve"> </w:t>
      </w:r>
      <w:r w:rsidR="008715C2" w:rsidRPr="008D2993">
        <w:rPr>
          <w:rFonts w:ascii="Sakkal Majalla" w:hAnsi="Sakkal Majalla" w:cs="Sakkal Majalla"/>
          <w:sz w:val="24"/>
          <w:szCs w:val="24"/>
          <w:rtl/>
        </w:rPr>
        <w:t>أبو زيد رضوان(1970) مفهوم الشخصية المعنوية بين الحقيقة والخيال، مجلة العلوم القانونية والاقتصادية، كلية الحقوق جامعة عين شمس، مجلد 12، العدد 1، ص 168</w:t>
      </w:r>
    </w:p>
  </w:footnote>
  <w:footnote w:id="81">
    <w:p w14:paraId="665810B7" w14:textId="4CE0C0E5" w:rsidR="00184B72" w:rsidRDefault="00184B72" w:rsidP="00184B72">
      <w:pPr>
        <w:pStyle w:val="FootnoteText"/>
        <w:bidi/>
        <w:rPr>
          <w:rFonts w:hint="cs"/>
          <w:rtl/>
          <w:lang w:bidi="ar-EG"/>
        </w:rPr>
      </w:pPr>
      <w:r>
        <w:rPr>
          <w:rStyle w:val="FootnoteReference"/>
        </w:rPr>
        <w:footnoteRef/>
      </w:r>
      <w:r>
        <w:t xml:space="preserve"> </w:t>
      </w:r>
      <w:r w:rsidR="008715C2" w:rsidRPr="008D2993">
        <w:rPr>
          <w:rFonts w:ascii="Sakkal Majalla" w:hAnsi="Sakkal Majalla" w:cs="Sakkal Majalla"/>
          <w:sz w:val="24"/>
          <w:szCs w:val="24"/>
          <w:rtl/>
          <w:lang w:bidi="ar-EG"/>
        </w:rPr>
        <w:t xml:space="preserve">الفلاوري، عمار كريم، والمشهدي، علي عبد الجبار رحيم. (2022) </w:t>
      </w:r>
      <w:r w:rsidR="008715C2" w:rsidRPr="008D2993">
        <w:rPr>
          <w:rFonts w:ascii="Sakkal Majalla" w:hAnsi="Sakkal Majalla" w:cs="Sakkal Majalla"/>
          <w:b/>
          <w:bCs/>
          <w:sz w:val="24"/>
          <w:szCs w:val="24"/>
          <w:u w:val="single"/>
          <w:rtl/>
          <w:lang w:bidi="ar-EG"/>
        </w:rPr>
        <w:t>مرجع سابق</w:t>
      </w:r>
      <w:r w:rsidR="008715C2" w:rsidRPr="008D2993">
        <w:rPr>
          <w:rFonts w:ascii="Sakkal Majalla" w:hAnsi="Sakkal Majalla" w:cs="Sakkal Majalla"/>
          <w:sz w:val="24"/>
          <w:szCs w:val="24"/>
          <w:rtl/>
          <w:lang w:bidi="ar-EG"/>
        </w:rPr>
        <w:t>، ص 32</w:t>
      </w:r>
    </w:p>
  </w:footnote>
  <w:footnote w:id="82">
    <w:p w14:paraId="176DAA3A" w14:textId="7CF11C38" w:rsidR="00184B72" w:rsidRDefault="00184B72" w:rsidP="00184B72">
      <w:pPr>
        <w:pStyle w:val="FootnoteText"/>
        <w:bidi/>
        <w:rPr>
          <w:rFonts w:hint="cs"/>
          <w:rtl/>
          <w:lang w:bidi="ar-EG"/>
        </w:rPr>
      </w:pPr>
      <w:r>
        <w:rPr>
          <w:rStyle w:val="FootnoteReference"/>
        </w:rPr>
        <w:footnoteRef/>
      </w:r>
      <w:r>
        <w:t xml:space="preserve"> </w:t>
      </w:r>
      <w:r w:rsidR="008715C2" w:rsidRPr="008D2993">
        <w:rPr>
          <w:rFonts w:ascii="Sakkal Majalla" w:hAnsi="Sakkal Majalla" w:cs="Sakkal Majalla"/>
          <w:sz w:val="24"/>
          <w:szCs w:val="24"/>
          <w:rtl/>
        </w:rPr>
        <w:t>بدوي محمد، عمرو طه (2020) النظام القانوني للروبوتات الذكية المزودة بتقنية الذكاء الاصطناعي (الإمارات العربية المتحدة كنموذج): دراسة تحليلية مقارنة لقواعد القانون المدني للروبوتات الصادرة عن الاتحاد الأوروبي سنة 2017 ومشروع ميثاق أخلاقيات الروبوت الكوري. مجلة الدراسات القانونية والاقتصادية، كلية الحقوق، جامعة القاهرة</w:t>
      </w:r>
    </w:p>
  </w:footnote>
  <w:footnote w:id="83">
    <w:p w14:paraId="32F4DF85" w14:textId="5FB4E637" w:rsidR="007B6239" w:rsidRDefault="007B6239" w:rsidP="007B6239">
      <w:pPr>
        <w:pStyle w:val="FootnoteText"/>
        <w:bidi/>
        <w:rPr>
          <w:rFonts w:hint="cs"/>
          <w:rtl/>
          <w:lang w:bidi="ar-EG"/>
        </w:rPr>
      </w:pPr>
      <w:r>
        <w:rPr>
          <w:rStyle w:val="FootnoteReference"/>
        </w:rPr>
        <w:footnoteRef/>
      </w:r>
      <w:r>
        <w:t xml:space="preserve"> </w:t>
      </w:r>
      <w:r w:rsidR="00391BCC" w:rsidRPr="008D2993">
        <w:rPr>
          <w:rFonts w:ascii="Sakkal Majalla" w:hAnsi="Sakkal Majalla" w:cs="Sakkal Majalla"/>
          <w:sz w:val="24"/>
          <w:szCs w:val="24"/>
          <w:rtl/>
        </w:rPr>
        <w:t>الخطيب، محمد عرفان (2018</w:t>
      </w:r>
      <w:r w:rsidR="00391BCC" w:rsidRPr="008D2993">
        <w:rPr>
          <w:rFonts w:ascii="Sakkal Majalla" w:hAnsi="Sakkal Majalla" w:cs="Sakkal Majalla"/>
          <w:sz w:val="24"/>
          <w:szCs w:val="24"/>
        </w:rPr>
        <w:t>(</w:t>
      </w:r>
      <w:r w:rsidR="00391BCC" w:rsidRPr="008D2993">
        <w:rPr>
          <w:rFonts w:ascii="Sakkal Majalla" w:hAnsi="Sakkal Majalla" w:cs="Sakkal Majalla"/>
          <w:sz w:val="24"/>
          <w:szCs w:val="24"/>
          <w:rtl/>
        </w:rPr>
        <w:t xml:space="preserve"> المركز القانوني للإنسان الآلة (</w:t>
      </w:r>
      <w:r w:rsidR="00391BCC" w:rsidRPr="008D2993">
        <w:rPr>
          <w:rFonts w:ascii="Sakkal Majalla" w:hAnsi="Sakkal Majalla" w:cs="Sakkal Majalla"/>
          <w:sz w:val="24"/>
          <w:szCs w:val="24"/>
        </w:rPr>
        <w:t>Robots</w:t>
      </w:r>
      <w:r w:rsidR="00391BCC" w:rsidRPr="008D2993">
        <w:rPr>
          <w:rFonts w:ascii="Sakkal Majalla" w:hAnsi="Sakkal Majalla" w:cs="Sakkal Majalla"/>
          <w:sz w:val="24"/>
          <w:szCs w:val="24"/>
          <w:rtl/>
        </w:rPr>
        <w:t xml:space="preserve">): مرجع سابق </w:t>
      </w:r>
      <w:r w:rsidR="00391BCC" w:rsidRPr="008D2993">
        <w:rPr>
          <w:rFonts w:ascii="Sakkal Majalla" w:hAnsi="Sakkal Majalla" w:cs="Sakkal Majalla"/>
          <w:sz w:val="24"/>
          <w:szCs w:val="24"/>
        </w:rPr>
        <w:t xml:space="preserve"> </w:t>
      </w:r>
      <w:r w:rsidR="00391BCC" w:rsidRPr="008D2993">
        <w:rPr>
          <w:rFonts w:ascii="Sakkal Majalla" w:hAnsi="Sakkal Majalla" w:cs="Sakkal Majalla"/>
          <w:sz w:val="24"/>
          <w:szCs w:val="24"/>
          <w:rtl/>
          <w:lang w:bidi="ar-EG"/>
        </w:rPr>
        <w:t>، ص125</w:t>
      </w:r>
    </w:p>
  </w:footnote>
  <w:footnote w:id="84">
    <w:p w14:paraId="0E8C76E5" w14:textId="78076C03" w:rsidR="007B6239" w:rsidRPr="00391BCC" w:rsidRDefault="007B6239" w:rsidP="00391BCC">
      <w:pPr>
        <w:bidi/>
        <w:spacing w:after="0" w:line="240" w:lineRule="auto"/>
        <w:rPr>
          <w:rFonts w:ascii="Sakkal Majalla" w:hAnsi="Sakkal Majalla" w:cs="Sakkal Majalla" w:hint="cs"/>
          <w:sz w:val="24"/>
          <w:szCs w:val="24"/>
          <w:rtl/>
        </w:rPr>
      </w:pPr>
      <w:r>
        <w:rPr>
          <w:rStyle w:val="FootnoteReference"/>
        </w:rPr>
        <w:footnoteRef/>
      </w:r>
      <w:r>
        <w:t xml:space="preserve"> </w:t>
      </w:r>
      <w:r w:rsidR="00391BCC" w:rsidRPr="008D2993">
        <w:rPr>
          <w:rFonts w:ascii="Sakkal Majalla" w:hAnsi="Sakkal Majalla" w:cs="Sakkal Majalla"/>
          <w:sz w:val="24"/>
          <w:szCs w:val="24"/>
          <w:rtl/>
        </w:rPr>
        <w:t>العبد، رضا محمود (2023) الشخصية القانونية الافتراضية نحو الاعتراف بالشخصية القانونية للروبوتات المزودة بالذكاء الاصطناعي. مجلة القانون والتكنولوجيا – الجامعة البريطانية في مصر ، ص 235</w:t>
      </w:r>
    </w:p>
  </w:footnote>
  <w:footnote w:id="85">
    <w:p w14:paraId="3D85D207" w14:textId="1DE0693D" w:rsidR="007B6239" w:rsidRDefault="007B6239" w:rsidP="007B6239">
      <w:pPr>
        <w:pStyle w:val="FootnoteText"/>
        <w:bidi/>
        <w:rPr>
          <w:rFonts w:hint="cs"/>
          <w:rtl/>
          <w:lang w:bidi="ar-EG"/>
        </w:rPr>
      </w:pPr>
      <w:r>
        <w:rPr>
          <w:rStyle w:val="FootnoteReference"/>
        </w:rPr>
        <w:footnoteRef/>
      </w:r>
      <w:r>
        <w:t xml:space="preserve"> </w:t>
      </w:r>
      <w:r w:rsidR="003F5F5D" w:rsidRPr="008D2993">
        <w:rPr>
          <w:rFonts w:ascii="Sakkal Majalla" w:hAnsi="Sakkal Majalla" w:cs="Sakkal Majalla"/>
          <w:sz w:val="24"/>
          <w:szCs w:val="24"/>
          <w:rtl/>
        </w:rPr>
        <w:t>سرور، أحمد فتحي (2002) القانون الجنائي الدستوري ، دار الشروق، ص 197.</w:t>
      </w:r>
    </w:p>
  </w:footnote>
  <w:footnote w:id="86">
    <w:p w14:paraId="3E22EE9D" w14:textId="18194DA7" w:rsidR="007B6239" w:rsidRDefault="007B6239" w:rsidP="007B6239">
      <w:pPr>
        <w:pStyle w:val="FootnoteText"/>
        <w:bidi/>
        <w:rPr>
          <w:rFonts w:hint="cs"/>
          <w:rtl/>
          <w:lang w:bidi="ar-EG"/>
        </w:rPr>
      </w:pPr>
      <w:r>
        <w:rPr>
          <w:rStyle w:val="FootnoteReference"/>
        </w:rPr>
        <w:footnoteRef/>
      </w:r>
      <w:r>
        <w:t xml:space="preserve"> </w:t>
      </w:r>
      <w:r w:rsidR="00B06E6A" w:rsidRPr="008D2993">
        <w:rPr>
          <w:rFonts w:ascii="Sakkal Majalla" w:hAnsi="Sakkal Majalla" w:cs="Sakkal Majalla"/>
          <w:sz w:val="24"/>
          <w:szCs w:val="24"/>
          <w:rtl/>
        </w:rPr>
        <w:t xml:space="preserve">عميش، رحاب علي (2021 </w:t>
      </w:r>
      <w:r w:rsidR="00B06E6A" w:rsidRPr="008D2993">
        <w:rPr>
          <w:rFonts w:ascii="Sakkal Majalla" w:hAnsi="Sakkal Majalla" w:cs="Sakkal Majalla"/>
          <w:sz w:val="24"/>
          <w:szCs w:val="24"/>
        </w:rPr>
        <w:t>(</w:t>
      </w:r>
      <w:r w:rsidR="00B06E6A" w:rsidRPr="008D2993">
        <w:rPr>
          <w:rFonts w:ascii="Sakkal Majalla" w:hAnsi="Sakkal Majalla" w:cs="Sakkal Majalla"/>
          <w:sz w:val="24"/>
          <w:szCs w:val="24"/>
          <w:rtl/>
        </w:rPr>
        <w:t xml:space="preserve"> </w:t>
      </w:r>
      <w:r w:rsidR="00B06E6A" w:rsidRPr="008D2993">
        <w:rPr>
          <w:rFonts w:ascii="Sakkal Majalla" w:hAnsi="Sakkal Majalla" w:cs="Sakkal Majalla"/>
          <w:b/>
          <w:bCs/>
          <w:sz w:val="24"/>
          <w:szCs w:val="24"/>
          <w:u w:val="single"/>
          <w:rtl/>
        </w:rPr>
        <w:t>مرجع سابق</w:t>
      </w:r>
      <w:r w:rsidR="00B06E6A" w:rsidRPr="008D2993">
        <w:rPr>
          <w:rFonts w:ascii="Sakkal Majalla" w:hAnsi="Sakkal Majalla" w:cs="Sakkal Majalla"/>
          <w:sz w:val="24"/>
          <w:szCs w:val="24"/>
          <w:rtl/>
        </w:rPr>
        <w:t xml:space="preserve">  ،ص  7</w:t>
      </w:r>
      <w:r w:rsidR="00B06E6A" w:rsidRPr="008D2993">
        <w:rPr>
          <w:rFonts w:ascii="Sakkal Majalla" w:hAnsi="Sakkal Majalla" w:cs="Sakkal Majalla"/>
          <w:sz w:val="24"/>
          <w:szCs w:val="24"/>
          <w:rtl/>
          <w:lang w:bidi="ar-EG"/>
        </w:rPr>
        <w:t>42</w:t>
      </w:r>
    </w:p>
  </w:footnote>
  <w:footnote w:id="87">
    <w:p w14:paraId="6E217A80" w14:textId="218D02E3" w:rsidR="007B6239" w:rsidRDefault="007B6239" w:rsidP="007B6239">
      <w:pPr>
        <w:pStyle w:val="FootnoteText"/>
        <w:bidi/>
        <w:rPr>
          <w:rFonts w:hint="cs"/>
          <w:rtl/>
          <w:lang w:bidi="ar-EG"/>
        </w:rPr>
      </w:pPr>
      <w:r>
        <w:rPr>
          <w:rStyle w:val="FootnoteReference"/>
        </w:rPr>
        <w:footnoteRef/>
      </w:r>
      <w:r>
        <w:t xml:space="preserve"> </w:t>
      </w:r>
      <w:r w:rsidR="00BD443B" w:rsidRPr="008D2993">
        <w:rPr>
          <w:rFonts w:ascii="Sakkal Majalla" w:hAnsi="Sakkal Majalla" w:cs="Sakkal Majalla"/>
          <w:sz w:val="24"/>
          <w:szCs w:val="24"/>
          <w:rtl/>
        </w:rPr>
        <w:t>مجبوب، نوال</w:t>
      </w:r>
      <w:r w:rsidR="00BD443B" w:rsidRPr="008D2993">
        <w:rPr>
          <w:rFonts w:ascii="Sakkal Majalla" w:hAnsi="Sakkal Majalla" w:cs="Sakkal Majalla"/>
          <w:sz w:val="24"/>
          <w:szCs w:val="24"/>
        </w:rPr>
        <w:t xml:space="preserve"> </w:t>
      </w:r>
      <w:r w:rsidR="00BD443B" w:rsidRPr="008D2993">
        <w:rPr>
          <w:rFonts w:ascii="Sakkal Majalla" w:hAnsi="Sakkal Majalla" w:cs="Sakkal Majalla"/>
          <w:sz w:val="24"/>
          <w:szCs w:val="24"/>
          <w:rtl/>
        </w:rPr>
        <w:t>(2022) إشكالات المسؤولية القانونية عن تطبيقات نظم الذكاء الاصطناعي. المركز الجامعي مغنية، الجزائر: المجموعة العلمية للنشر والتوزيع، ص 66 وما بعدها.</w:t>
      </w:r>
    </w:p>
  </w:footnote>
  <w:footnote w:id="88">
    <w:p w14:paraId="57D8CD08" w14:textId="28AE9F3E" w:rsidR="00952054" w:rsidRDefault="00952054" w:rsidP="00952054">
      <w:pPr>
        <w:pStyle w:val="FootnoteText"/>
        <w:bidi/>
        <w:rPr>
          <w:rFonts w:hint="cs"/>
          <w:rtl/>
          <w:lang w:bidi="ar-EG"/>
        </w:rPr>
      </w:pPr>
      <w:r>
        <w:rPr>
          <w:rStyle w:val="FootnoteReference"/>
        </w:rPr>
        <w:footnoteRef/>
      </w:r>
      <w:r>
        <w:t xml:space="preserve"> </w:t>
      </w:r>
      <w:r w:rsidR="00BD443B" w:rsidRPr="008D2993">
        <w:rPr>
          <w:rFonts w:ascii="Sakkal Majalla" w:hAnsi="Sakkal Majalla" w:cs="Sakkal Majalla"/>
          <w:sz w:val="24"/>
          <w:szCs w:val="24"/>
          <w:rtl/>
        </w:rPr>
        <w:t>الح</w:t>
      </w:r>
      <w:r w:rsidR="00BD443B" w:rsidRPr="008D2993">
        <w:rPr>
          <w:rFonts w:ascii="Sakkal Majalla" w:hAnsi="Sakkal Majalla" w:cs="Sakkal Majalla"/>
          <w:sz w:val="24"/>
          <w:szCs w:val="24"/>
          <w:rtl/>
          <w:lang w:bidi="ar-EG"/>
        </w:rPr>
        <w:t>جي</w:t>
      </w:r>
      <w:r w:rsidR="00BD443B" w:rsidRPr="008D2993">
        <w:rPr>
          <w:rFonts w:ascii="Sakkal Majalla" w:hAnsi="Sakkal Majalla" w:cs="Sakkal Majalla"/>
          <w:sz w:val="24"/>
          <w:szCs w:val="24"/>
          <w:rtl/>
        </w:rPr>
        <w:t xml:space="preserve">لي، محمد عمر (2024) </w:t>
      </w:r>
      <w:r w:rsidR="00BD443B" w:rsidRPr="008D2993">
        <w:rPr>
          <w:rFonts w:ascii="Sakkal Majalla" w:hAnsi="Sakkal Majalla" w:cs="Sakkal Majalla"/>
          <w:b/>
          <w:bCs/>
          <w:sz w:val="24"/>
          <w:szCs w:val="24"/>
          <w:u w:val="single"/>
          <w:rtl/>
        </w:rPr>
        <w:t>مرجع سابق</w:t>
      </w:r>
      <w:r w:rsidR="00BD443B" w:rsidRPr="008D2993">
        <w:rPr>
          <w:rFonts w:ascii="Sakkal Majalla" w:hAnsi="Sakkal Majalla" w:cs="Sakkal Majalla"/>
          <w:sz w:val="24"/>
          <w:szCs w:val="24"/>
          <w:rtl/>
        </w:rPr>
        <w:t xml:space="preserve">  ،ص 401</w:t>
      </w:r>
    </w:p>
  </w:footnote>
  <w:footnote w:id="89">
    <w:p w14:paraId="31E2B5A3" w14:textId="18DAD4CC" w:rsidR="00952054" w:rsidRDefault="00952054" w:rsidP="00BD443B">
      <w:pPr>
        <w:pStyle w:val="FootnoteText"/>
        <w:rPr>
          <w:rFonts w:hint="cs"/>
          <w:rtl/>
          <w:lang w:bidi="ar-EG"/>
        </w:rPr>
      </w:pPr>
      <w:r>
        <w:rPr>
          <w:rStyle w:val="FootnoteReference"/>
        </w:rPr>
        <w:footnoteRef/>
      </w:r>
      <w:r>
        <w:t xml:space="preserve"> </w:t>
      </w:r>
      <w:r w:rsidR="00BD443B" w:rsidRPr="008D2993">
        <w:rPr>
          <w:rFonts w:ascii="Sakkal Majalla" w:hAnsi="Sakkal Majalla" w:cs="Sakkal Majalla"/>
          <w:sz w:val="24"/>
          <w:szCs w:val="24"/>
        </w:rPr>
        <w:t>Hallevy, Gabriel (2015), Liability for Crimes Involving Artificial Intelligence Systems, op. cit., p. 18</w:t>
      </w:r>
    </w:p>
  </w:footnote>
  <w:footnote w:id="90">
    <w:p w14:paraId="404D20A5" w14:textId="78E67B63" w:rsidR="00952054" w:rsidRDefault="00952054" w:rsidP="00952054">
      <w:pPr>
        <w:pStyle w:val="FootnoteText"/>
        <w:bidi/>
        <w:rPr>
          <w:rFonts w:hint="cs"/>
          <w:rtl/>
          <w:lang w:bidi="ar-EG"/>
        </w:rPr>
      </w:pPr>
      <w:r>
        <w:rPr>
          <w:rStyle w:val="FootnoteReference"/>
        </w:rPr>
        <w:footnoteRef/>
      </w:r>
      <w:r>
        <w:t xml:space="preserve"> </w:t>
      </w:r>
      <w:r w:rsidR="00BD443B" w:rsidRPr="008D2993">
        <w:rPr>
          <w:rFonts w:ascii="Sakkal Majalla" w:hAnsi="Sakkal Majalla" w:cs="Sakkal Majalla"/>
          <w:sz w:val="24"/>
          <w:szCs w:val="24"/>
          <w:rtl/>
        </w:rPr>
        <w:t xml:space="preserve">العبد، رضا محمود (2023) </w:t>
      </w:r>
      <w:r w:rsidR="00BD443B" w:rsidRPr="008D2993">
        <w:rPr>
          <w:rFonts w:ascii="Sakkal Majalla" w:hAnsi="Sakkal Majalla" w:cs="Sakkal Majalla"/>
          <w:b/>
          <w:bCs/>
          <w:sz w:val="24"/>
          <w:szCs w:val="24"/>
          <w:u w:val="single"/>
          <w:rtl/>
        </w:rPr>
        <w:t>مرجع سابق</w:t>
      </w:r>
      <w:r w:rsidR="00BD443B" w:rsidRPr="008D2993">
        <w:rPr>
          <w:rFonts w:ascii="Sakkal Majalla" w:hAnsi="Sakkal Majalla" w:cs="Sakkal Majalla"/>
          <w:sz w:val="24"/>
          <w:szCs w:val="24"/>
          <w:rtl/>
        </w:rPr>
        <w:t xml:space="preserve"> ، ص 242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2653F"/>
    <w:multiLevelType w:val="hybridMultilevel"/>
    <w:tmpl w:val="489029B0"/>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D64600"/>
    <w:multiLevelType w:val="hybridMultilevel"/>
    <w:tmpl w:val="D2488B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230B1F"/>
    <w:multiLevelType w:val="hybridMultilevel"/>
    <w:tmpl w:val="CCC41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B37CFE"/>
    <w:multiLevelType w:val="hybridMultilevel"/>
    <w:tmpl w:val="FC0E3BD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DA30726"/>
    <w:multiLevelType w:val="hybridMultilevel"/>
    <w:tmpl w:val="44A612EE"/>
    <w:lvl w:ilvl="0" w:tplc="31B66A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364185"/>
    <w:multiLevelType w:val="hybridMultilevel"/>
    <w:tmpl w:val="7D3E4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C249C0"/>
    <w:multiLevelType w:val="hybridMultilevel"/>
    <w:tmpl w:val="1FBE382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8737FC"/>
    <w:multiLevelType w:val="hybridMultilevel"/>
    <w:tmpl w:val="FA3A2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501969"/>
    <w:multiLevelType w:val="hybridMultilevel"/>
    <w:tmpl w:val="C03AFC68"/>
    <w:lvl w:ilvl="0" w:tplc="877AC01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4395600">
    <w:abstractNumId w:val="0"/>
  </w:num>
  <w:num w:numId="2" w16cid:durableId="1879472173">
    <w:abstractNumId w:val="4"/>
  </w:num>
  <w:num w:numId="3" w16cid:durableId="720135826">
    <w:abstractNumId w:val="8"/>
  </w:num>
  <w:num w:numId="4" w16cid:durableId="379135626">
    <w:abstractNumId w:val="3"/>
  </w:num>
  <w:num w:numId="5" w16cid:durableId="835420040">
    <w:abstractNumId w:val="6"/>
  </w:num>
  <w:num w:numId="6" w16cid:durableId="948661699">
    <w:abstractNumId w:val="1"/>
  </w:num>
  <w:num w:numId="7" w16cid:durableId="1242981260">
    <w:abstractNumId w:val="5"/>
  </w:num>
  <w:num w:numId="8" w16cid:durableId="34474371">
    <w:abstractNumId w:val="2"/>
  </w:num>
  <w:num w:numId="9" w16cid:durableId="11181786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567"/>
    <w:rsid w:val="00011CFC"/>
    <w:rsid w:val="0001606F"/>
    <w:rsid w:val="00093BEB"/>
    <w:rsid w:val="000D0C8D"/>
    <w:rsid w:val="000D33A9"/>
    <w:rsid w:val="00160126"/>
    <w:rsid w:val="00184B72"/>
    <w:rsid w:val="001B7E82"/>
    <w:rsid w:val="001C5F30"/>
    <w:rsid w:val="002D0A8F"/>
    <w:rsid w:val="00351D0B"/>
    <w:rsid w:val="00362ADF"/>
    <w:rsid w:val="00391BCC"/>
    <w:rsid w:val="003F5F5D"/>
    <w:rsid w:val="00481FBB"/>
    <w:rsid w:val="004E66E8"/>
    <w:rsid w:val="005318BC"/>
    <w:rsid w:val="0054009E"/>
    <w:rsid w:val="005632CE"/>
    <w:rsid w:val="00575117"/>
    <w:rsid w:val="00595EEA"/>
    <w:rsid w:val="00597473"/>
    <w:rsid w:val="005D6DE4"/>
    <w:rsid w:val="005E3775"/>
    <w:rsid w:val="006131AF"/>
    <w:rsid w:val="00620947"/>
    <w:rsid w:val="00632091"/>
    <w:rsid w:val="00684AAE"/>
    <w:rsid w:val="006A315A"/>
    <w:rsid w:val="006E06C2"/>
    <w:rsid w:val="006F6AD1"/>
    <w:rsid w:val="007B6239"/>
    <w:rsid w:val="007C2A11"/>
    <w:rsid w:val="007D0833"/>
    <w:rsid w:val="007D6A05"/>
    <w:rsid w:val="007F0671"/>
    <w:rsid w:val="007F21F7"/>
    <w:rsid w:val="00847049"/>
    <w:rsid w:val="008715C2"/>
    <w:rsid w:val="00876D0D"/>
    <w:rsid w:val="00882DF1"/>
    <w:rsid w:val="00911084"/>
    <w:rsid w:val="00952054"/>
    <w:rsid w:val="00966B9F"/>
    <w:rsid w:val="00A32D35"/>
    <w:rsid w:val="00A679CC"/>
    <w:rsid w:val="00A70643"/>
    <w:rsid w:val="00A8020A"/>
    <w:rsid w:val="00A82A8D"/>
    <w:rsid w:val="00AD309F"/>
    <w:rsid w:val="00B06E6A"/>
    <w:rsid w:val="00B31002"/>
    <w:rsid w:val="00B422DD"/>
    <w:rsid w:val="00B5091F"/>
    <w:rsid w:val="00B62589"/>
    <w:rsid w:val="00B7509F"/>
    <w:rsid w:val="00B84097"/>
    <w:rsid w:val="00BA5115"/>
    <w:rsid w:val="00BB2CE5"/>
    <w:rsid w:val="00BD443B"/>
    <w:rsid w:val="00C36A93"/>
    <w:rsid w:val="00C71EE0"/>
    <w:rsid w:val="00CD54A1"/>
    <w:rsid w:val="00CF4567"/>
    <w:rsid w:val="00D242A6"/>
    <w:rsid w:val="00D35ECF"/>
    <w:rsid w:val="00DB42B7"/>
    <w:rsid w:val="00E61291"/>
    <w:rsid w:val="00E96748"/>
    <w:rsid w:val="00EA7AF6"/>
    <w:rsid w:val="00ED5103"/>
    <w:rsid w:val="00F00EF0"/>
    <w:rsid w:val="00FA5DE4"/>
    <w:rsid w:val="00FC655F"/>
    <w:rsid w:val="00FF41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9BB60"/>
  <w15:chartTrackingRefBased/>
  <w15:docId w15:val="{7D80D2F6-B3BB-470D-B609-E6DB0220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37"/>
    <w:pPr>
      <w:spacing w:line="259" w:lineRule="auto"/>
    </w:pPr>
    <w:rPr>
      <w:kern w:val="0"/>
      <w:sz w:val="22"/>
      <w:szCs w:val="22"/>
      <w14:ligatures w14:val="none"/>
    </w:rPr>
  </w:style>
  <w:style w:type="paragraph" w:styleId="Heading1">
    <w:name w:val="heading 1"/>
    <w:basedOn w:val="Normal"/>
    <w:next w:val="Normal"/>
    <w:link w:val="Heading1Char"/>
    <w:uiPriority w:val="9"/>
    <w:qFormat/>
    <w:rsid w:val="00CF45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45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45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45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45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4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5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45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45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45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45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4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567"/>
    <w:rPr>
      <w:rFonts w:eastAsiaTheme="majorEastAsia" w:cstheme="majorBidi"/>
      <w:color w:val="272727" w:themeColor="text1" w:themeTint="D8"/>
    </w:rPr>
  </w:style>
  <w:style w:type="paragraph" w:styleId="Title">
    <w:name w:val="Title"/>
    <w:basedOn w:val="Normal"/>
    <w:next w:val="Normal"/>
    <w:link w:val="TitleChar"/>
    <w:uiPriority w:val="10"/>
    <w:qFormat/>
    <w:rsid w:val="00CF4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567"/>
    <w:pPr>
      <w:spacing w:before="160"/>
      <w:jc w:val="center"/>
    </w:pPr>
    <w:rPr>
      <w:i/>
      <w:iCs/>
      <w:color w:val="404040" w:themeColor="text1" w:themeTint="BF"/>
    </w:rPr>
  </w:style>
  <w:style w:type="character" w:customStyle="1" w:styleId="QuoteChar">
    <w:name w:val="Quote Char"/>
    <w:basedOn w:val="DefaultParagraphFont"/>
    <w:link w:val="Quote"/>
    <w:uiPriority w:val="29"/>
    <w:rsid w:val="00CF4567"/>
    <w:rPr>
      <w:i/>
      <w:iCs/>
      <w:color w:val="404040" w:themeColor="text1" w:themeTint="BF"/>
    </w:rPr>
  </w:style>
  <w:style w:type="paragraph" w:styleId="ListParagraph">
    <w:name w:val="List Paragraph"/>
    <w:basedOn w:val="Normal"/>
    <w:uiPriority w:val="34"/>
    <w:qFormat/>
    <w:rsid w:val="00CF4567"/>
    <w:pPr>
      <w:ind w:left="720"/>
      <w:contextualSpacing/>
    </w:pPr>
  </w:style>
  <w:style w:type="character" w:styleId="IntenseEmphasis">
    <w:name w:val="Intense Emphasis"/>
    <w:basedOn w:val="DefaultParagraphFont"/>
    <w:uiPriority w:val="21"/>
    <w:qFormat/>
    <w:rsid w:val="00CF4567"/>
    <w:rPr>
      <w:i/>
      <w:iCs/>
      <w:color w:val="2F5496" w:themeColor="accent1" w:themeShade="BF"/>
    </w:rPr>
  </w:style>
  <w:style w:type="paragraph" w:styleId="IntenseQuote">
    <w:name w:val="Intense Quote"/>
    <w:basedOn w:val="Normal"/>
    <w:next w:val="Normal"/>
    <w:link w:val="IntenseQuoteChar"/>
    <w:uiPriority w:val="30"/>
    <w:qFormat/>
    <w:rsid w:val="00CF45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4567"/>
    <w:rPr>
      <w:i/>
      <w:iCs/>
      <w:color w:val="2F5496" w:themeColor="accent1" w:themeShade="BF"/>
    </w:rPr>
  </w:style>
  <w:style w:type="character" w:styleId="IntenseReference">
    <w:name w:val="Intense Reference"/>
    <w:basedOn w:val="DefaultParagraphFont"/>
    <w:uiPriority w:val="32"/>
    <w:qFormat/>
    <w:rsid w:val="00CF4567"/>
    <w:rPr>
      <w:b/>
      <w:bCs/>
      <w:smallCaps/>
      <w:color w:val="2F5496" w:themeColor="accent1" w:themeShade="BF"/>
      <w:spacing w:val="5"/>
    </w:rPr>
  </w:style>
  <w:style w:type="paragraph" w:styleId="FootnoteText">
    <w:name w:val="footnote text"/>
    <w:basedOn w:val="Normal"/>
    <w:link w:val="FootnoteTextChar"/>
    <w:uiPriority w:val="99"/>
    <w:unhideWhenUsed/>
    <w:rsid w:val="00FF4137"/>
    <w:pPr>
      <w:spacing w:after="0" w:line="240" w:lineRule="auto"/>
    </w:pPr>
    <w:rPr>
      <w:sz w:val="20"/>
      <w:szCs w:val="20"/>
    </w:rPr>
  </w:style>
  <w:style w:type="character" w:customStyle="1" w:styleId="FootnoteTextChar">
    <w:name w:val="Footnote Text Char"/>
    <w:basedOn w:val="DefaultParagraphFont"/>
    <w:link w:val="FootnoteText"/>
    <w:uiPriority w:val="99"/>
    <w:rsid w:val="00FF4137"/>
    <w:rPr>
      <w:kern w:val="0"/>
      <w:sz w:val="20"/>
      <w:szCs w:val="20"/>
      <w14:ligatures w14:val="none"/>
    </w:rPr>
  </w:style>
  <w:style w:type="character" w:styleId="FootnoteReference">
    <w:name w:val="footnote reference"/>
    <w:basedOn w:val="DefaultParagraphFont"/>
    <w:uiPriority w:val="99"/>
    <w:semiHidden/>
    <w:unhideWhenUsed/>
    <w:rsid w:val="00FF4137"/>
    <w:rPr>
      <w:vertAlign w:val="superscript"/>
    </w:rPr>
  </w:style>
  <w:style w:type="paragraph" w:styleId="Header">
    <w:name w:val="header"/>
    <w:basedOn w:val="Normal"/>
    <w:link w:val="HeaderChar"/>
    <w:uiPriority w:val="99"/>
    <w:unhideWhenUsed/>
    <w:rsid w:val="007D08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0833"/>
    <w:rPr>
      <w:kern w:val="0"/>
      <w:sz w:val="22"/>
      <w:szCs w:val="22"/>
      <w14:ligatures w14:val="none"/>
    </w:rPr>
  </w:style>
  <w:style w:type="paragraph" w:styleId="Footer">
    <w:name w:val="footer"/>
    <w:basedOn w:val="Normal"/>
    <w:link w:val="FooterChar"/>
    <w:uiPriority w:val="99"/>
    <w:unhideWhenUsed/>
    <w:rsid w:val="007D08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0833"/>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D7D97-C20B-49F7-86D8-F75127FA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60</Pages>
  <Words>10609</Words>
  <Characters>60477</Characters>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2026-03-22T20:06:00Z</dcterms:created>
  <dcterms:modified xsi:type="dcterms:W3CDTF">2026-03-22T22:53:00Z</dcterms:modified>
</cp:coreProperties>
</file>