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3BA44"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6EACF8F1">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6778">
        <w:rPr>
          <w:rFonts w:ascii="Simplified Arabic" w:eastAsia="Calibri" w:hAnsi="Simplified Arabic" w:cs="Simplified Arabic" w:hint="cs"/>
          <w:b/>
          <w:bCs/>
          <w:noProof/>
          <w:sz w:val="32"/>
          <w:szCs w:val="32"/>
          <w:rtl/>
        </w:rPr>
        <w:t xml:space="preserve"> </w:t>
      </w:r>
      <w:r w:rsidR="006300CC">
        <w:rPr>
          <w:rFonts w:ascii="Simplified Arabic" w:eastAsia="Calibri" w:hAnsi="Simplified Arabic" w:cs="Simplified Arabic" w:hint="cs"/>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جامعة</w:t>
      </w:r>
      <w:r w:rsidR="00522AEF">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522AEF">
        <w:rPr>
          <w:rFonts w:ascii="Simplified Arabic" w:eastAsia="Calibri" w:hAnsi="Simplified Arabic" w:cs="Simplified Arabic"/>
          <w:b/>
          <w:bCs/>
          <w:noProof/>
          <w:sz w:val="32"/>
          <w:szCs w:val="32"/>
          <w:rtl/>
          <w:lang w:bidi="ar-SY"/>
        </w:rPr>
        <w:t xml:space="preserve">                                 </w:t>
      </w:r>
    </w:p>
    <w:p w14:paraId="1B3D94D4" w14:textId="77777777" w:rsidR="003220EB" w:rsidRPr="003220EB" w:rsidRDefault="006300CC" w:rsidP="003220EB">
      <w:pPr>
        <w:spacing w:after="0" w:line="257" w:lineRule="auto"/>
        <w:ind w:firstLine="284"/>
        <w:jc w:val="both"/>
        <w:rPr>
          <w:rFonts w:ascii="Simplified Arabic" w:eastAsia="Calibri" w:hAnsi="Simplified Arabic" w:cs="Simplified Arabic"/>
          <w:b/>
          <w:bCs/>
          <w:noProof/>
          <w:sz w:val="32"/>
          <w:szCs w:val="32"/>
          <w:rtl/>
          <w:lang w:bidi="ar-SY"/>
        </w:rPr>
      </w:pPr>
      <w:r>
        <w:rPr>
          <w:rFonts w:ascii="Simplified Arabic" w:eastAsia="Calibri" w:hAnsi="Simplified Arabic" w:cs="Simplified Arabic" w:hint="cs"/>
          <w:b/>
          <w:bCs/>
          <w:color w:val="000000"/>
          <w:sz w:val="32"/>
          <w:szCs w:val="32"/>
          <w:rtl/>
        </w:rPr>
        <w:t xml:space="preserve">       </w:t>
      </w:r>
      <w:r w:rsidR="003220EB" w:rsidRPr="003220EB">
        <w:rPr>
          <w:rFonts w:ascii="Simplified Arabic" w:eastAsia="Calibri" w:hAnsi="Simplified Arabic" w:cs="Simplified Arabic"/>
          <w:b/>
          <w:bCs/>
          <w:color w:val="000000"/>
          <w:sz w:val="32"/>
          <w:szCs w:val="32"/>
          <w:rtl/>
        </w:rPr>
        <w:t>كلية</w:t>
      </w:r>
      <w:r w:rsidR="00522AEF">
        <w:rPr>
          <w:rFonts w:ascii="Simplified Arabic" w:eastAsia="Calibri" w:hAnsi="Simplified Arabic" w:cs="Simplified Arabic"/>
          <w:b/>
          <w:bCs/>
          <w:noProof/>
          <w:sz w:val="32"/>
          <w:szCs w:val="32"/>
          <w:rtl/>
          <w:lang w:bidi="ar-SY"/>
        </w:rPr>
        <w:t xml:space="preserve"> </w:t>
      </w:r>
      <w:r w:rsidR="008B0D19">
        <w:rPr>
          <w:rFonts w:ascii="Simplified Arabic" w:eastAsia="Calibri" w:hAnsi="Simplified Arabic" w:cs="Simplified Arabic" w:hint="cs"/>
          <w:b/>
          <w:bCs/>
          <w:noProof/>
          <w:sz w:val="32"/>
          <w:szCs w:val="32"/>
          <w:rtl/>
          <w:lang w:bidi="ar-SY"/>
        </w:rPr>
        <w:t>الإدارة</w:t>
      </w:r>
    </w:p>
    <w:p w14:paraId="24833F7E" w14:textId="5121D5D2" w:rsidR="003220EB" w:rsidRPr="003220EB" w:rsidRDefault="008B0D19"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522AEF">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522AEF">
        <w:rPr>
          <w:rFonts w:ascii="Simplified Arabic" w:eastAsia="Calibri" w:hAnsi="Simplified Arabic" w:cs="Simplified Arabic" w:hint="cs"/>
          <w:b/>
          <w:bCs/>
          <w:noProof/>
          <w:sz w:val="32"/>
          <w:szCs w:val="32"/>
          <w:rtl/>
          <w:lang w:bidi="ar-SY"/>
        </w:rPr>
        <w:t xml:space="preserve"> </w:t>
      </w:r>
      <w:r>
        <w:rPr>
          <w:rFonts w:ascii="Simplified Arabic" w:eastAsia="Calibri" w:hAnsi="Simplified Arabic" w:cs="Simplified Arabic" w:hint="cs"/>
          <w:b/>
          <w:bCs/>
          <w:noProof/>
          <w:sz w:val="32"/>
          <w:szCs w:val="32"/>
          <w:rtl/>
          <w:lang w:bidi="ar-SY"/>
        </w:rPr>
        <w:t>إدارة</w:t>
      </w:r>
      <w:r w:rsidR="00522AEF">
        <w:rPr>
          <w:rFonts w:ascii="Simplified Arabic" w:eastAsia="Calibri" w:hAnsi="Simplified Arabic" w:cs="Simplified Arabic" w:hint="cs"/>
          <w:b/>
          <w:bCs/>
          <w:noProof/>
          <w:sz w:val="32"/>
          <w:szCs w:val="32"/>
          <w:rtl/>
          <w:lang w:bidi="ar-SY"/>
        </w:rPr>
        <w:t xml:space="preserve"> </w:t>
      </w:r>
      <w:r w:rsidR="00CA5875">
        <w:rPr>
          <w:rFonts w:ascii="Simplified Arabic" w:eastAsia="Calibri" w:hAnsi="Simplified Arabic" w:cs="Simplified Arabic" w:hint="cs"/>
          <w:b/>
          <w:bCs/>
          <w:noProof/>
          <w:sz w:val="32"/>
          <w:szCs w:val="32"/>
          <w:rtl/>
          <w:lang w:bidi="ar-SY"/>
        </w:rPr>
        <w:t>الموارد البشرية</w:t>
      </w:r>
    </w:p>
    <w:p w14:paraId="5A277A45"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78A9D6E"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5BC6622C" w14:textId="77777777" w:rsidR="003220EB" w:rsidRDefault="003220EB" w:rsidP="008B0D19">
      <w:pPr>
        <w:spacing w:line="257" w:lineRule="auto"/>
        <w:jc w:val="both"/>
        <w:rPr>
          <w:rFonts w:ascii="Simplified Arabic" w:eastAsia="Calibri" w:hAnsi="Simplified Arabic" w:cs="Simplified Arabic"/>
          <w:sz w:val="14"/>
          <w:szCs w:val="14"/>
          <w:rtl/>
        </w:rPr>
      </w:pPr>
    </w:p>
    <w:p w14:paraId="2C9EBC91" w14:textId="77777777" w:rsidR="00067695" w:rsidRPr="00C84DB0" w:rsidRDefault="00067695" w:rsidP="008B0D19">
      <w:pPr>
        <w:spacing w:line="257" w:lineRule="auto"/>
        <w:jc w:val="both"/>
        <w:rPr>
          <w:rFonts w:ascii="Simplified Arabic" w:eastAsia="Calibri" w:hAnsi="Simplified Arabic" w:cs="Simplified Arabic"/>
          <w:sz w:val="14"/>
          <w:szCs w:val="14"/>
          <w:rtl/>
        </w:rPr>
      </w:pPr>
    </w:p>
    <w:bookmarkEnd w:id="0"/>
    <w:p w14:paraId="76E5F1E8" w14:textId="2CB06DFC" w:rsidR="00E0434F" w:rsidRDefault="00CA5875" w:rsidP="00217D8D">
      <w:pPr>
        <w:spacing w:line="257" w:lineRule="auto"/>
        <w:ind w:firstLine="284"/>
        <w:jc w:val="center"/>
        <w:rPr>
          <w:rFonts w:ascii="Simplified Arabic" w:eastAsia="Calibri" w:hAnsi="Simplified Arabic" w:cs="Simplified Arabic"/>
          <w:b/>
          <w:bCs/>
          <w:sz w:val="14"/>
          <w:szCs w:val="14"/>
          <w:rtl/>
        </w:rPr>
      </w:pPr>
      <w:r w:rsidRPr="00CA5875">
        <w:rPr>
          <w:rFonts w:ascii="Times New Roman" w:eastAsia="Calibri" w:hAnsi="Times New Roman" w:cs="Simplified Arabic"/>
          <w:b/>
          <w:bCs/>
          <w:sz w:val="36"/>
          <w:szCs w:val="40"/>
          <w:rtl/>
        </w:rPr>
        <w:t>أثر الممارسات الخضراء للموارد البشرية على الاستدامة البيئية في المنشآت الصناعية بالرياض</w:t>
      </w:r>
    </w:p>
    <w:p w14:paraId="2824B8A6" w14:textId="77777777" w:rsidR="00CA5875" w:rsidRPr="00CF5C0F" w:rsidRDefault="00CA5875" w:rsidP="00217D8D">
      <w:pPr>
        <w:spacing w:line="257" w:lineRule="auto"/>
        <w:ind w:firstLine="284"/>
        <w:jc w:val="center"/>
        <w:rPr>
          <w:rFonts w:ascii="Simplified Arabic" w:eastAsia="Calibri" w:hAnsi="Simplified Arabic" w:cs="Simplified Arabic"/>
          <w:b/>
          <w:bCs/>
          <w:sz w:val="14"/>
          <w:szCs w:val="14"/>
          <w:rtl/>
        </w:rPr>
      </w:pPr>
    </w:p>
    <w:p w14:paraId="6E7E56BA" w14:textId="77777777"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r w:rsidR="00522AEF">
        <w:rPr>
          <w:rFonts w:ascii="Simplified Arabic" w:eastAsia="Calibri" w:hAnsi="Simplified Arabic" w:cs="Simplified Arabic" w:hint="cs"/>
          <w:b/>
          <w:bCs/>
          <w:sz w:val="32"/>
          <w:szCs w:val="32"/>
          <w:rtl/>
          <w:lang w:bidi="ar-SY"/>
        </w:rPr>
        <w:t>:</w:t>
      </w:r>
    </w:p>
    <w:p w14:paraId="2744AFF6" w14:textId="78841DD6" w:rsidR="002D6106" w:rsidRPr="002D6106" w:rsidRDefault="00CA5875" w:rsidP="002D6106">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rPr>
        <w:t xml:space="preserve">روان </w:t>
      </w:r>
      <w:r w:rsidR="003503D3">
        <w:rPr>
          <w:rFonts w:ascii="Simplified Arabic" w:eastAsia="Calibri" w:hAnsi="Simplified Arabic" w:cs="Simplified Arabic"/>
          <w:b/>
          <w:bCs/>
          <w:sz w:val="32"/>
          <w:szCs w:val="32"/>
          <w:rtl/>
        </w:rPr>
        <w:t>خالد الفارس</w:t>
      </w:r>
    </w:p>
    <w:p w14:paraId="37F2E787" w14:textId="4A6C2B51" w:rsidR="008B0D19" w:rsidRPr="008B0D19" w:rsidRDefault="008B0D19" w:rsidP="00594922">
      <w:pPr>
        <w:spacing w:line="257" w:lineRule="auto"/>
        <w:ind w:firstLine="284"/>
        <w:jc w:val="center"/>
        <w:rPr>
          <w:rFonts w:ascii="Simplified Arabic" w:eastAsia="Calibri" w:hAnsi="Simplified Arabic" w:cs="Simplified Arabic"/>
          <w:b/>
          <w:bCs/>
          <w:sz w:val="32"/>
          <w:szCs w:val="32"/>
          <w:rtl/>
          <w:lang w:bidi="ar-EG"/>
        </w:rPr>
      </w:pPr>
      <w:r w:rsidRPr="008B0D19">
        <w:rPr>
          <w:rFonts w:ascii="Simplified Arabic" w:eastAsia="Calibri" w:hAnsi="Simplified Arabic" w:cs="Simplified Arabic" w:hint="cs"/>
          <w:b/>
          <w:bCs/>
          <w:sz w:val="32"/>
          <w:szCs w:val="32"/>
          <w:rtl/>
          <w:lang w:bidi="ar-EG"/>
        </w:rPr>
        <w:t>الرقم</w:t>
      </w:r>
      <w:r w:rsidR="00522AEF">
        <w:rPr>
          <w:rFonts w:ascii="Simplified Arabic" w:eastAsia="Calibri" w:hAnsi="Simplified Arabic" w:cs="Simplified Arabic" w:hint="cs"/>
          <w:b/>
          <w:bCs/>
          <w:sz w:val="32"/>
          <w:szCs w:val="32"/>
          <w:rtl/>
          <w:lang w:bidi="ar-EG"/>
        </w:rPr>
        <w:t xml:space="preserve"> </w:t>
      </w:r>
      <w:r w:rsidRPr="008B0D19">
        <w:rPr>
          <w:rFonts w:ascii="Simplified Arabic" w:eastAsia="Calibri" w:hAnsi="Simplified Arabic" w:cs="Simplified Arabic" w:hint="cs"/>
          <w:b/>
          <w:bCs/>
          <w:sz w:val="32"/>
          <w:szCs w:val="32"/>
          <w:rtl/>
          <w:lang w:bidi="ar-EG"/>
        </w:rPr>
        <w:t>الأكاديمي</w:t>
      </w:r>
      <w:r w:rsidR="00522AEF">
        <w:rPr>
          <w:rFonts w:ascii="Simplified Arabic" w:eastAsia="Calibri" w:hAnsi="Simplified Arabic" w:cs="Simplified Arabic" w:hint="cs"/>
          <w:b/>
          <w:bCs/>
          <w:sz w:val="32"/>
          <w:szCs w:val="32"/>
          <w:rtl/>
          <w:lang w:bidi="ar-EG"/>
        </w:rPr>
        <w:t xml:space="preserve">: </w:t>
      </w:r>
    </w:p>
    <w:p w14:paraId="7CA8EB0C" w14:textId="385392E1" w:rsidR="003747FA" w:rsidRDefault="003503D3" w:rsidP="00217D8D">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b/>
          <w:bCs/>
          <w:sz w:val="32"/>
          <w:szCs w:val="32"/>
          <w:rtl/>
          <w:lang w:bidi="ar-EG"/>
        </w:rPr>
        <w:t>252001511</w:t>
      </w:r>
    </w:p>
    <w:p w14:paraId="774E36B9" w14:textId="77777777"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522AEF">
        <w:rPr>
          <w:rFonts w:ascii="Simplified Arabic" w:eastAsia="Calibri" w:hAnsi="Simplified Arabic" w:cs="Simplified Arabic" w:hint="cs"/>
          <w:b/>
          <w:bCs/>
          <w:sz w:val="32"/>
          <w:szCs w:val="32"/>
          <w:rtl/>
          <w:lang w:bidi="ar-SY"/>
        </w:rPr>
        <w:t xml:space="preserve"> </w:t>
      </w:r>
    </w:p>
    <w:p w14:paraId="0E9651B8" w14:textId="77777777" w:rsidR="00CF5C0F" w:rsidRDefault="00376DB0" w:rsidP="00CF5C0F">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أ</w:t>
      </w:r>
      <w:r w:rsidR="00522AEF">
        <w:rPr>
          <w:rFonts w:ascii="Simplified Arabic" w:eastAsia="Calibri" w:hAnsi="Simplified Arabic" w:cs="Simplified Arabic" w:hint="cs"/>
          <w:b/>
          <w:bCs/>
          <w:sz w:val="32"/>
          <w:szCs w:val="32"/>
          <w:rtl/>
          <w:lang w:bidi="ar-EG"/>
        </w:rPr>
        <w:t>.</w:t>
      </w:r>
      <w:r w:rsidR="00CF5C0F" w:rsidRPr="00CF5C0F">
        <w:rPr>
          <w:rFonts w:ascii="Simplified Arabic" w:eastAsia="Calibri" w:hAnsi="Simplified Arabic" w:cs="Simplified Arabic" w:hint="cs"/>
          <w:b/>
          <w:bCs/>
          <w:sz w:val="32"/>
          <w:szCs w:val="32"/>
          <w:rtl/>
          <w:lang w:bidi="ar-EG"/>
        </w:rPr>
        <w:t>د</w:t>
      </w:r>
      <w:r w:rsidR="00522AEF">
        <w:rPr>
          <w:rFonts w:ascii="Simplified Arabic" w:eastAsia="Calibri" w:hAnsi="Simplified Arabic" w:cs="Simplified Arabic" w:hint="cs"/>
          <w:b/>
          <w:bCs/>
          <w:sz w:val="32"/>
          <w:szCs w:val="32"/>
          <w:rtl/>
          <w:lang w:bidi="ar-EG"/>
        </w:rPr>
        <w:t xml:space="preserve">. </w:t>
      </w:r>
      <w:r w:rsidR="00E0434F">
        <w:rPr>
          <w:rFonts w:ascii="Simplified Arabic" w:eastAsia="Calibri" w:hAnsi="Simplified Arabic" w:cs="Simplified Arabic" w:hint="cs"/>
          <w:b/>
          <w:bCs/>
          <w:sz w:val="32"/>
          <w:szCs w:val="32"/>
          <w:rtl/>
          <w:lang w:bidi="ar-EG"/>
        </w:rPr>
        <w:t>الفيصل عبدالحميد</w:t>
      </w:r>
    </w:p>
    <w:p w14:paraId="37C9B2B9" w14:textId="77777777" w:rsidR="00376DB0" w:rsidRPr="00CF5C0F" w:rsidRDefault="00376DB0" w:rsidP="00CF5C0F">
      <w:pPr>
        <w:spacing w:line="257" w:lineRule="auto"/>
        <w:ind w:firstLine="284"/>
        <w:jc w:val="center"/>
        <w:rPr>
          <w:rFonts w:ascii="Simplified Arabic" w:eastAsia="Calibri" w:hAnsi="Simplified Arabic" w:cs="Simplified Arabic"/>
          <w:b/>
          <w:bCs/>
          <w:sz w:val="32"/>
          <w:szCs w:val="32"/>
          <w:rtl/>
          <w:lang w:bidi="ar-EG"/>
        </w:rPr>
      </w:pPr>
      <w:r>
        <w:rPr>
          <w:rFonts w:ascii="Simplified Arabic" w:eastAsia="Calibri" w:hAnsi="Simplified Arabic" w:cs="Simplified Arabic" w:hint="cs"/>
          <w:b/>
          <w:bCs/>
          <w:sz w:val="32"/>
          <w:szCs w:val="32"/>
          <w:rtl/>
          <w:lang w:bidi="ar-EG"/>
        </w:rPr>
        <w:t xml:space="preserve">أ.د. </w:t>
      </w:r>
      <w:r w:rsidRPr="00CF5C0F">
        <w:rPr>
          <w:rFonts w:ascii="Simplified Arabic" w:eastAsia="Calibri" w:hAnsi="Simplified Arabic" w:cs="Simplified Arabic" w:hint="cs"/>
          <w:b/>
          <w:bCs/>
          <w:sz w:val="29"/>
          <w:szCs w:val="29"/>
          <w:rtl/>
        </w:rPr>
        <w:t>فايز</w:t>
      </w:r>
      <w:r>
        <w:rPr>
          <w:rFonts w:ascii="Simplified Arabic" w:eastAsia="Calibri" w:hAnsi="Simplified Arabic" w:cs="Simplified Arabic" w:hint="cs"/>
          <w:b/>
          <w:bCs/>
          <w:sz w:val="29"/>
          <w:szCs w:val="29"/>
          <w:rtl/>
        </w:rPr>
        <w:t xml:space="preserve"> </w:t>
      </w:r>
      <w:r w:rsidRPr="00CF5C0F">
        <w:rPr>
          <w:rFonts w:ascii="Simplified Arabic" w:eastAsia="Calibri" w:hAnsi="Simplified Arabic" w:cs="Simplified Arabic" w:hint="cs"/>
          <w:b/>
          <w:bCs/>
          <w:sz w:val="29"/>
          <w:szCs w:val="29"/>
          <w:rtl/>
        </w:rPr>
        <w:t>علي</w:t>
      </w:r>
      <w:r>
        <w:rPr>
          <w:rFonts w:ascii="Simplified Arabic" w:eastAsia="Calibri" w:hAnsi="Simplified Arabic" w:cs="Simplified Arabic" w:hint="cs"/>
          <w:b/>
          <w:bCs/>
          <w:sz w:val="29"/>
          <w:szCs w:val="29"/>
          <w:rtl/>
        </w:rPr>
        <w:t xml:space="preserve"> </w:t>
      </w:r>
      <w:r w:rsidRPr="00CF5C0F">
        <w:rPr>
          <w:rFonts w:ascii="Simplified Arabic" w:eastAsia="Calibri" w:hAnsi="Simplified Arabic" w:cs="Simplified Arabic" w:hint="cs"/>
          <w:b/>
          <w:bCs/>
          <w:sz w:val="29"/>
          <w:szCs w:val="29"/>
          <w:rtl/>
        </w:rPr>
        <w:t>جراد</w:t>
      </w:r>
    </w:p>
    <w:p w14:paraId="4FDA237F" w14:textId="77777777" w:rsidR="00594922" w:rsidRPr="00217D8D" w:rsidRDefault="00594922" w:rsidP="00217D8D">
      <w:pPr>
        <w:spacing w:line="257" w:lineRule="auto"/>
        <w:ind w:firstLine="284"/>
        <w:jc w:val="center"/>
        <w:rPr>
          <w:rFonts w:ascii="Simplified Arabic" w:eastAsia="Calibri" w:hAnsi="Simplified Arabic" w:cs="Simplified Arabic"/>
          <w:sz w:val="32"/>
          <w:szCs w:val="32"/>
          <w:rtl/>
          <w:lang w:bidi="ar-SY"/>
        </w:rPr>
      </w:pPr>
    </w:p>
    <w:p w14:paraId="7E909321" w14:textId="7777777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522AEF">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0B694A95" w14:textId="77777777" w:rsidR="00217D8D" w:rsidRPr="00217D8D" w:rsidRDefault="00217D8D" w:rsidP="00217D8D">
      <w:pPr>
        <w:spacing w:line="257" w:lineRule="auto"/>
        <w:ind w:firstLine="284"/>
        <w:jc w:val="center"/>
        <w:rPr>
          <w:rFonts w:ascii="Simplified Arabic" w:eastAsia="Calibri" w:hAnsi="Simplified Arabic" w:cs="Simplified Arabic"/>
          <w:b/>
          <w:bCs/>
          <w:sz w:val="28"/>
          <w:szCs w:val="28"/>
          <w:rtl/>
          <w:lang w:bidi="ar-SY"/>
        </w:rPr>
      </w:pPr>
      <w:r w:rsidRPr="00217D8D">
        <w:rPr>
          <w:rFonts w:ascii="Simplified Arabic" w:eastAsia="Calibri" w:hAnsi="Simplified Arabic" w:cs="Simplified Arabic" w:hint="cs"/>
          <w:b/>
          <w:bCs/>
          <w:sz w:val="28"/>
          <w:szCs w:val="28"/>
          <w:rtl/>
          <w:lang w:bidi="ar-SY"/>
        </w:rPr>
        <w:t>202</w:t>
      </w:r>
      <w:r w:rsidR="00E0434F">
        <w:rPr>
          <w:rFonts w:ascii="Simplified Arabic" w:eastAsia="Calibri" w:hAnsi="Simplified Arabic" w:cs="Simplified Arabic" w:hint="cs"/>
          <w:b/>
          <w:bCs/>
          <w:sz w:val="28"/>
          <w:szCs w:val="28"/>
          <w:rtl/>
          <w:lang w:bidi="ar-SY"/>
        </w:rPr>
        <w:t>6</w:t>
      </w:r>
      <w:r w:rsidRPr="00217D8D">
        <w:rPr>
          <w:rFonts w:ascii="Simplified Arabic" w:eastAsia="Calibri" w:hAnsi="Simplified Arabic" w:cs="Simplified Arabic" w:hint="cs"/>
          <w:b/>
          <w:bCs/>
          <w:sz w:val="28"/>
          <w:szCs w:val="28"/>
          <w:rtl/>
          <w:lang w:bidi="ar-SY"/>
        </w:rPr>
        <w:t>م</w:t>
      </w:r>
    </w:p>
    <w:bookmarkEnd w:id="1"/>
    <w:p w14:paraId="615EF7B1" w14:textId="77777777" w:rsidR="00730DB6" w:rsidRPr="00217D8D" w:rsidRDefault="006D4E55" w:rsidP="00217D8D">
      <w:pPr>
        <w:spacing w:line="257" w:lineRule="auto"/>
        <w:ind w:firstLine="284"/>
        <w:jc w:val="both"/>
        <w:rPr>
          <w:rFonts w:ascii="Simplified Arabic" w:eastAsia="Calibri" w:hAnsi="Simplified Arabic" w:cs="Simplified Arabic"/>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52E4246F">
                <wp:simplePos x="0" y="0"/>
                <wp:positionH relativeFrom="column">
                  <wp:posOffset>2169111</wp:posOffset>
                </wp:positionH>
                <wp:positionV relativeFrom="paragraph">
                  <wp:posOffset>378460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6E8109FB" id="مستطيل 1" o:spid="_x0000_s1026" style="position:absolute;left:0;text-align:left;margin-left:170.8pt;margin-top:29.8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" fillcolor="window" stroked="f" strokeweight="2pt"/>
            </w:pict>
          </mc:Fallback>
        </mc:AlternateContent>
      </w:r>
    </w:p>
    <w:p w14:paraId="3F00873A" w14:textId="77777777" w:rsidR="00586478" w:rsidRPr="00586478" w:rsidRDefault="00586478" w:rsidP="00B03B33">
      <w:pPr>
        <w:spacing w:after="0" w:line="360" w:lineRule="auto"/>
        <w:jc w:val="both"/>
        <w:rPr>
          <w:rFonts w:ascii="Simplified Arabic" w:hAnsi="Simplified Arabic" w:cs="Simplified Arabic"/>
          <w:sz w:val="28"/>
          <w:szCs w:val="28"/>
          <w:rtl/>
        </w:rPr>
      </w:pPr>
    </w:p>
    <w:p w14:paraId="12508F9E" w14:textId="77777777" w:rsidR="00586478" w:rsidRPr="00586478" w:rsidRDefault="00586478" w:rsidP="00B03B33">
      <w:pPr>
        <w:spacing w:after="0" w:line="360" w:lineRule="auto"/>
      </w:pPr>
    </w:p>
    <w:p w14:paraId="37A2682E" w14:textId="77777777" w:rsidR="00586478" w:rsidRPr="00586478" w:rsidRDefault="00586478" w:rsidP="00B03B33">
      <w:pPr>
        <w:spacing w:after="0" w:line="360" w:lineRule="auto"/>
        <w:jc w:val="center"/>
        <w:rPr>
          <w:rFonts w:ascii="Simplified Arabic" w:hAnsi="Simplified Arabic" w:cs="Simplified Arabic"/>
          <w:sz w:val="28"/>
          <w:szCs w:val="28"/>
          <w:rtl/>
        </w:rPr>
      </w:pPr>
    </w:p>
    <w:p w14:paraId="6C8386FF" w14:textId="77777777" w:rsidR="00586478" w:rsidRPr="00586478" w:rsidRDefault="00586478" w:rsidP="00B03B33">
      <w:pPr>
        <w:spacing w:after="0" w:line="360" w:lineRule="auto"/>
        <w:jc w:val="center"/>
        <w:rPr>
          <w:rFonts w:ascii="Simplified Arabic" w:hAnsi="Simplified Arabic" w:cs="PT Bold Heading"/>
          <w:rtl/>
        </w:rPr>
      </w:pPr>
    </w:p>
    <w:p w14:paraId="0CDEE01F"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الأول</w:t>
      </w:r>
    </w:p>
    <w:p w14:paraId="5D48C5EC" w14:textId="77777777" w:rsidR="00586478" w:rsidRPr="00586478" w:rsidRDefault="00586478" w:rsidP="00B03B33">
      <w:pPr>
        <w:spacing w:after="0" w:line="360" w:lineRule="auto"/>
        <w:ind w:firstLine="284"/>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العام للدراسة</w:t>
      </w:r>
    </w:p>
    <w:p w14:paraId="4BDDE592" w14:textId="77777777" w:rsidR="00586478" w:rsidRPr="00586478" w:rsidRDefault="00586478" w:rsidP="002A79E1">
      <w:pPr>
        <w:spacing w:after="0" w:line="276" w:lineRule="auto"/>
        <w:ind w:left="720" w:firstLine="284"/>
        <w:contextualSpacing/>
        <w:jc w:val="both"/>
        <w:rPr>
          <w:rFonts w:ascii="Simplified Arabic" w:eastAsia="Calibri" w:hAnsi="Simplified Arabic" w:cs="Simplified Arabic"/>
          <w:b/>
          <w:bCs/>
          <w:sz w:val="24"/>
          <w:szCs w:val="24"/>
          <w:rtl/>
        </w:rPr>
      </w:pPr>
    </w:p>
    <w:p w14:paraId="1ABCEF07"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tl/>
        </w:rPr>
      </w:pPr>
      <w:r w:rsidRPr="00586478">
        <w:rPr>
          <w:rFonts w:ascii="Simplified Arabic" w:eastAsia="Calibri" w:hAnsi="Simplified Arabic" w:cs="Monotype Koufi"/>
          <w:sz w:val="42"/>
          <w:szCs w:val="42"/>
          <w:rtl/>
        </w:rPr>
        <w:t>المقدمة.</w:t>
      </w:r>
    </w:p>
    <w:p w14:paraId="5D2AA2FA"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مشكلة الدراسة.</w:t>
      </w:r>
    </w:p>
    <w:p w14:paraId="47BB3CF1" w14:textId="77777777" w:rsidR="009B4B26" w:rsidRPr="00586478" w:rsidRDefault="009B4B26" w:rsidP="009B4B26">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تساؤلات الدراسة.</w:t>
      </w:r>
    </w:p>
    <w:p w14:paraId="751DC782"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أهمية الدراسة.</w:t>
      </w:r>
    </w:p>
    <w:p w14:paraId="127BBDE4"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أهداف الدراسة.</w:t>
      </w:r>
    </w:p>
    <w:p w14:paraId="30308A74"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متغيرات وأبعاد الدراسة.</w:t>
      </w:r>
    </w:p>
    <w:p w14:paraId="513C4793" w14:textId="77777777" w:rsidR="00586478" w:rsidRP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فرضيات الدراسة.</w:t>
      </w:r>
    </w:p>
    <w:p w14:paraId="1092BE87" w14:textId="77777777" w:rsidR="00586478" w:rsidRDefault="00586478" w:rsidP="002A79E1">
      <w:pPr>
        <w:numPr>
          <w:ilvl w:val="0"/>
          <w:numId w:val="2"/>
        </w:numPr>
        <w:spacing w:after="0" w:line="276" w:lineRule="auto"/>
        <w:contextualSpacing/>
        <w:jc w:val="both"/>
        <w:rPr>
          <w:rFonts w:ascii="Simplified Arabic" w:eastAsia="Calibri" w:hAnsi="Simplified Arabic" w:cs="Monotype Koufi"/>
          <w:sz w:val="42"/>
          <w:szCs w:val="42"/>
        </w:rPr>
      </w:pPr>
      <w:r w:rsidRPr="00586478">
        <w:rPr>
          <w:rFonts w:ascii="Simplified Arabic" w:eastAsia="Calibri" w:hAnsi="Simplified Arabic" w:cs="Monotype Koufi"/>
          <w:sz w:val="42"/>
          <w:szCs w:val="42"/>
          <w:rtl/>
        </w:rPr>
        <w:t>حدود الدراسة.</w:t>
      </w:r>
    </w:p>
    <w:p w14:paraId="68A3F8A3" w14:textId="5F4597D7" w:rsidR="002A79E1" w:rsidRPr="00586478" w:rsidRDefault="00BB2499" w:rsidP="002A79E1">
      <w:pPr>
        <w:numPr>
          <w:ilvl w:val="0"/>
          <w:numId w:val="2"/>
        </w:numPr>
        <w:spacing w:after="0" w:line="276"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مصطلحات الدراسة.</w:t>
      </w:r>
    </w:p>
    <w:p w14:paraId="75867CDF" w14:textId="77777777" w:rsidR="00586478" w:rsidRPr="00586478" w:rsidRDefault="00586478" w:rsidP="00B03B33">
      <w:pPr>
        <w:spacing w:after="0" w:line="360" w:lineRule="auto"/>
        <w:ind w:firstLine="284"/>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br w:type="page"/>
      </w:r>
    </w:p>
    <w:p w14:paraId="43717A49"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bookmarkStart w:id="2" w:name="_Hlk192448459"/>
      <w:r w:rsidRPr="00586478">
        <w:rPr>
          <w:rFonts w:ascii="Simplified Arabic" w:eastAsia="Calibri" w:hAnsi="Simplified Arabic" w:cs="PT Bold Heading"/>
          <w:sz w:val="32"/>
          <w:szCs w:val="32"/>
          <w:rtl/>
        </w:rPr>
        <w:t>الفصل الأول</w:t>
      </w:r>
    </w:p>
    <w:p w14:paraId="736D2559"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العام للدراسة</w:t>
      </w:r>
    </w:p>
    <w:p w14:paraId="3D3EB793" w14:textId="77777777" w:rsidR="00266060" w:rsidRDefault="00266060" w:rsidP="00B03B33">
      <w:pPr>
        <w:spacing w:after="0" w:line="360" w:lineRule="auto"/>
        <w:ind w:firstLine="510"/>
        <w:jc w:val="both"/>
        <w:rPr>
          <w:rFonts w:ascii="Times New Roman" w:eastAsia="Calibri" w:hAnsi="Times New Roman" w:cs="Simplified Arabic"/>
          <w:b/>
          <w:bCs/>
          <w:sz w:val="24"/>
          <w:szCs w:val="28"/>
          <w:rtl/>
        </w:rPr>
      </w:pPr>
    </w:p>
    <w:p w14:paraId="2A156024" w14:textId="77777777" w:rsidR="00586478" w:rsidRPr="00586478" w:rsidRDefault="00586478" w:rsidP="00B03B33">
      <w:pPr>
        <w:spacing w:after="0" w:line="360" w:lineRule="auto"/>
        <w:ind w:firstLine="510"/>
        <w:jc w:val="both"/>
        <w:rPr>
          <w:rFonts w:ascii="Times New Roman" w:eastAsia="Calibri" w:hAnsi="Times New Roman" w:cs="Simplified Arabic"/>
          <w:b/>
          <w:bCs/>
          <w:sz w:val="24"/>
          <w:szCs w:val="28"/>
          <w:rtl/>
        </w:rPr>
      </w:pPr>
      <w:r w:rsidRPr="00586478">
        <w:rPr>
          <w:rFonts w:ascii="Times New Roman" w:eastAsia="Calibri" w:hAnsi="Times New Roman" w:cs="Simplified Arabic"/>
          <w:b/>
          <w:bCs/>
          <w:sz w:val="24"/>
          <w:szCs w:val="28"/>
          <w:rtl/>
        </w:rPr>
        <w:t>تمهيد</w:t>
      </w:r>
    </w:p>
    <w:p w14:paraId="102BB13C"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يتناول هذا الفصل الأسس المنهجية التي قامت عليها الدراسة، مستعرضاً المقدمة التي تؤطر الموضوع، ومشكلة الدراسة التي تبرز الفجوة البحثية، وصولاً إلى التساؤلات التي تسعى الدراسة للإجابة عنها بدقة.</w:t>
      </w:r>
    </w:p>
    <w:p w14:paraId="773B0FCE" w14:textId="77777777" w:rsidR="00BB2499" w:rsidRPr="00BB2499" w:rsidRDefault="00BB2499" w:rsidP="00BB2499">
      <w:pPr>
        <w:spacing w:before="120" w:after="120" w:line="360" w:lineRule="auto"/>
        <w:ind w:firstLine="397"/>
        <w:jc w:val="both"/>
        <w:rPr>
          <w:rFonts w:ascii="Times New Roman" w:eastAsia="Calibri" w:hAnsi="Times New Roman" w:cs="Simplified Arabic"/>
          <w:b/>
          <w:bCs/>
          <w:sz w:val="24"/>
          <w:szCs w:val="28"/>
          <w:rtl/>
        </w:rPr>
      </w:pPr>
      <w:r w:rsidRPr="00BB2499">
        <w:rPr>
          <w:rFonts w:ascii="Times New Roman" w:eastAsia="Calibri" w:hAnsi="Times New Roman" w:cs="Simplified Arabic"/>
          <w:b/>
          <w:bCs/>
          <w:sz w:val="24"/>
          <w:szCs w:val="28"/>
        </w:rPr>
        <w:t>1</w:t>
      </w:r>
      <w:r w:rsidRPr="00BB2499">
        <w:rPr>
          <w:rFonts w:ascii="Times New Roman" w:eastAsia="Calibri" w:hAnsi="Times New Roman" w:cs="Simplified Arabic"/>
          <w:b/>
          <w:bCs/>
          <w:sz w:val="24"/>
          <w:szCs w:val="28"/>
          <w:rtl/>
        </w:rPr>
        <w:t>. المقدمة</w:t>
      </w:r>
    </w:p>
    <w:p w14:paraId="2FDA36D7"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يشهد العالم تحولات جذرية في مفاهيم الإدارة الحديثة، حيث لم تعد الكفاءة الاقتصادية المعيار الوحيد لنجاح المنظمات، بل برزت المسؤولية البيئية كركيزة أساسية لضمان البقاء والنمو في بيئة أعمال تتسم بالتنافسية الشديدة والوعي المجتمعي المتزايد. وفي هذا السياق، تبرز المنشآت الصناعية كلاعب محوري في معادلة التوازن بين الإنتاج والحفاظ على البيئة، مما يستدعي تبني استراتيجيات إدارية مبتكرة تتجاوز الأساليب التقليدية.</w:t>
      </w:r>
    </w:p>
    <w:p w14:paraId="6176AA40"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وفي خضم هذه التحولات، تظهر الاستدامة البيئية كمتغير حيوي يعكس قدرة المنظمات على إدارة عملياتها بطريقة تحافظ على الموارد الطبيعية وتقلل من الآثار السلبية على النظام البيئي. وتُعد الاستدامة البيئية هدفاً استراتيجياً تسعى إليه الدول والمنظمات على حد سواء، لا سيما في ظل التحديات المناخية العالمية. وقد أشارت الدراسات الحديثة إلى أن تحقيق هذا النوع من الاستدامة يتطلب دمج الاعتبارات البيئية في كافة العمليات التشغيلية، بدءاً من التصميم وصولاً إلى التخلص من النفايات، وهو ما أكدته دراسة (</w:t>
      </w:r>
      <w:r w:rsidRPr="00BB2499">
        <w:rPr>
          <w:rFonts w:ascii="Times New Roman" w:eastAsia="Calibri" w:hAnsi="Times New Roman" w:cs="Simplified Arabic"/>
          <w:sz w:val="24"/>
          <w:szCs w:val="28"/>
        </w:rPr>
        <w:t>Ba et al., 2023</w:t>
      </w:r>
      <w:r w:rsidRPr="00BB2499">
        <w:rPr>
          <w:rFonts w:ascii="Times New Roman" w:eastAsia="Calibri" w:hAnsi="Times New Roman" w:cs="Simplified Arabic"/>
          <w:sz w:val="24"/>
          <w:szCs w:val="28"/>
          <w:rtl/>
        </w:rPr>
        <w:t>) التي ربطت بين الأداء البيئي والسياسات الداخلية للمنظمات. إن التركيز على الاستدامة البيئية في القطاع الصناعي لم يعد ترفاً، بل ضرورة ملحة لضمان الامتثال للتشريعات البيئية الصارمة وتحقيق ميزة تنافسية مستدامة (</w:t>
      </w:r>
      <w:r w:rsidRPr="00BB2499">
        <w:rPr>
          <w:rFonts w:ascii="Times New Roman" w:eastAsia="Calibri" w:hAnsi="Times New Roman" w:cs="Simplified Arabic"/>
          <w:sz w:val="24"/>
          <w:szCs w:val="28"/>
        </w:rPr>
        <w:t>Gelagay, 2024</w:t>
      </w:r>
      <w:r w:rsidRPr="00BB2499">
        <w:rPr>
          <w:rFonts w:ascii="Times New Roman" w:eastAsia="Calibri" w:hAnsi="Times New Roman" w:cs="Simplified Arabic"/>
          <w:sz w:val="24"/>
          <w:szCs w:val="28"/>
          <w:rtl/>
        </w:rPr>
        <w:t>).</w:t>
      </w:r>
    </w:p>
    <w:p w14:paraId="206E326B"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وعلى الجانب الآخر، تبرز الممارسات الخضراء للموارد البشرية كمدخل إداري حديث يهدف إلى مواءمة العنصر البشري مع الأهداف البيئية للمنظمة. وتتضمن هذه الممارسات دمج المعايير البيئية في وظائف الموارد البشرية المختلفة، مثل استقطاب الكفاءات التي تمتلك وعياً بيئياً، وتدريب الموظفين على تقنيات الإنتاج النظيف، وربط تقييم الأداء والمكافآت بمدى الالتزام بالأهداف البيئية. وقد أوضحت دراسة أحمد (2019) أن هذه الممارسات تسهم بشكل فاعل في تحسين أداء المنظمة ككل، بينما بينت دراسة (</w:t>
      </w:r>
      <w:r w:rsidRPr="00BB2499">
        <w:rPr>
          <w:rFonts w:ascii="Times New Roman" w:eastAsia="Calibri" w:hAnsi="Times New Roman" w:cs="Simplified Arabic"/>
          <w:sz w:val="24"/>
          <w:szCs w:val="28"/>
        </w:rPr>
        <w:t>Austen &amp; Piwowar-Sulej, 2024</w:t>
      </w:r>
      <w:r w:rsidRPr="00BB2499">
        <w:rPr>
          <w:rFonts w:ascii="Times New Roman" w:eastAsia="Calibri" w:hAnsi="Times New Roman" w:cs="Simplified Arabic"/>
          <w:sz w:val="24"/>
          <w:szCs w:val="28"/>
          <w:rtl/>
        </w:rPr>
        <w:t>) أن القطاع الصناعي هو الأكثر حاجة لتبني هذه الممارسات نظراً لطبيعة عملياته المؤثرة في البيئة. وتؤدي هذه الممارسات دوراً جوهرياً في خلق ثقافة تنظيمية خضراء تعزز من سلوكيات الموظفين الداعمة للبيئة (</w:t>
      </w:r>
      <w:r w:rsidRPr="00BB2499">
        <w:rPr>
          <w:rFonts w:ascii="Times New Roman" w:eastAsia="Calibri" w:hAnsi="Times New Roman" w:cs="Simplified Arabic"/>
          <w:sz w:val="24"/>
          <w:szCs w:val="28"/>
        </w:rPr>
        <w:t>Saeed et al., 2019</w:t>
      </w:r>
      <w:r w:rsidRPr="00BB2499">
        <w:rPr>
          <w:rFonts w:ascii="Times New Roman" w:eastAsia="Calibri" w:hAnsi="Times New Roman" w:cs="Simplified Arabic"/>
          <w:sz w:val="24"/>
          <w:szCs w:val="28"/>
          <w:rtl/>
        </w:rPr>
        <w:t>).</w:t>
      </w:r>
    </w:p>
    <w:p w14:paraId="3E90EC31"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وتأسيساً على ما سبق، فإن العلاقة بين الممارسات الخضراء للموارد البشرية والاستدامة البيئية تمثل تكاملاً استراتيجياً؛ حيث تُعد الموارد البشرية المحرك الأساسي لتنفيذ السياسات البيئية. فالتكنولوجيا وحدها لا تكفي لتحقيق الاستدامة دون وجود كوادر بشرية مؤهلة ومحفزة لتطبيقها. وقد أظهرت العديد من الدراسات وجود علاقة ارتباط وثيقة بين تطبيق ممارسات الموارد البشرية الخضراء وتحسين الأداء البيئي للمنظمات، حيث أكدت دراسة الزفتاوي وآخرون (2024) أن هذه الممارسات تؤثر إيجاباً على التنمية المستدامة، كما أشارت دراسة (</w:t>
      </w:r>
      <w:r w:rsidRPr="00BB2499">
        <w:rPr>
          <w:rFonts w:ascii="Times New Roman" w:eastAsia="Calibri" w:hAnsi="Times New Roman" w:cs="Simplified Arabic"/>
          <w:sz w:val="24"/>
          <w:szCs w:val="28"/>
        </w:rPr>
        <w:t>Al-Ghazali &amp; Al-Rifai, 2022</w:t>
      </w:r>
      <w:r w:rsidRPr="00BB2499">
        <w:rPr>
          <w:rFonts w:ascii="Times New Roman" w:eastAsia="Calibri" w:hAnsi="Times New Roman" w:cs="Simplified Arabic"/>
          <w:sz w:val="24"/>
          <w:szCs w:val="28"/>
          <w:rtl/>
        </w:rPr>
        <w:t>) إلى دورها في تحقيق أهداف التنمية المستدامة في الشركات الصناعية.</w:t>
      </w:r>
    </w:p>
    <w:p w14:paraId="58C1EBEA"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وفي سياق بيئة الدراسة الحالية، تكتسب هذه العلاقة أهمية خاصة في المملكة العربية السعودية، وتحديداً في مدينة الرياض التي تشهد نهضة صناعية كبرى، تزامناً مع إطلاق مبادرات طموحة مثل "مبادرة السعودية الخضراء". حيث تواجه المنشآت الصناعية في الرياض تحديات تتعلق بضرورة التوافق مع المعايير البيئية الجديدة، مما يفرض عليها إعادة النظر في استراتيجيات إدارة مواردها البشرية لتكون داعمة لهذا التحول الأخضر. وتأتي هذه الدراسة لتسلط الضوء على واقع هذه المنشآت ومدى جاهزيتها لتبني هذا المدخل الإداري الحديث.</w:t>
      </w:r>
    </w:p>
    <w:p w14:paraId="2284613A"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وختاماً، تتطلع الدراسة الحالية إلى تقديم إطار عملي يساعد المنشآت الصناعية في الرياض على استثمار رأس مالها البشري لتعزيز استدامتها البيئية، بما يسهم في تحقيق التوازن المنشود بين التنمية الصناعية والحفاظ على البيئة.</w:t>
      </w:r>
    </w:p>
    <w:p w14:paraId="4B92B327" w14:textId="77777777" w:rsidR="00BB2499" w:rsidRPr="00BB2499" w:rsidRDefault="00BB2499" w:rsidP="00BB2499">
      <w:pPr>
        <w:spacing w:before="120" w:after="120" w:line="360" w:lineRule="auto"/>
        <w:ind w:firstLine="397"/>
        <w:jc w:val="both"/>
        <w:rPr>
          <w:rFonts w:ascii="Times New Roman" w:eastAsia="Calibri" w:hAnsi="Times New Roman" w:cs="Simplified Arabic"/>
          <w:b/>
          <w:bCs/>
          <w:sz w:val="24"/>
          <w:szCs w:val="28"/>
          <w:rtl/>
        </w:rPr>
      </w:pPr>
      <w:r w:rsidRPr="00BB2499">
        <w:rPr>
          <w:rFonts w:ascii="Times New Roman" w:eastAsia="Calibri" w:hAnsi="Times New Roman" w:cs="Simplified Arabic"/>
          <w:b/>
          <w:bCs/>
          <w:sz w:val="24"/>
          <w:szCs w:val="28"/>
        </w:rPr>
        <w:t>2</w:t>
      </w:r>
      <w:r w:rsidRPr="00BB2499">
        <w:rPr>
          <w:rFonts w:ascii="Times New Roman" w:eastAsia="Calibri" w:hAnsi="Times New Roman" w:cs="Simplified Arabic"/>
          <w:b/>
          <w:bCs/>
          <w:sz w:val="24"/>
          <w:szCs w:val="28"/>
          <w:rtl/>
        </w:rPr>
        <w:t>. مشكلة الدراسة</w:t>
      </w:r>
    </w:p>
    <w:p w14:paraId="55EFCB23"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يواجه القطاع الصناعي في المملكة العربية السعودية، وتحديداً في مدينة الرياض، تحديات متزايدة تتعلق بضرورة المواءمة بين التوسع الصناعي ومتطلبات حماية البيئة، في ظل التوجهات الوطنية الصارمة نحو تحقيق الاستدامة. ورغم الجهود المبذولة لتبني تكنولوجيات صديقة للبيئة، إلا أن الجانب البشري والإداري لا يزال يواجه قصوراً في التكامل مع هذه التوجهات، حيث تعاني العديد من المنشآت من فجوة في دمج المعايير البيئية ضمن سياسات الموارد البشرية، مما يحد من فاعلية مبادراتها البيئية.</w:t>
      </w:r>
    </w:p>
    <w:p w14:paraId="6B50F419"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وقد تبلور الإحساس بمشكلة الدراسة من خلال الملاحظة الميدانية للباحث لواقع المنشآت الصناعية، حيث لوحظ أن الاهتمام بالاستدامة البيئية غالباً ما ينصب على الجوانب الفنية والتقنية، مع إغفال الدور المحوري للممارسات الخضراء للموارد البشرية في تعزيز السلوك البيئي للموظفين. وتؤكد المؤشرات الأولية أن ضعف الوعي بأهمية التوظيف والتدريب والتقييم وفق معايير خضراء قد يكون سبباً رئيساً في عدم تحقيق المستهدفات البيئية المرجوة.</w:t>
      </w:r>
    </w:p>
    <w:p w14:paraId="1BB162FD"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وتدعيماً لهذا الطرح، أشارت دراسة الصحفي والقرني (2023) إلى وجود تباين في مستويات الأداء البيئي للمنشآت نتيجة اختلاف تبني ممارسات الموارد البشرية الخضراء، كما أوضحت دراسة العولقي (2021) أن هناك حاجة ماسة لتعزيز المعرفة البيئية والسلوك الأخضر للموظفين لضمان الأداء المستدام. وعلى المستوى الدولي، أكد تقرير (</w:t>
      </w:r>
      <w:r w:rsidRPr="00BB2499">
        <w:rPr>
          <w:rFonts w:ascii="Times New Roman" w:eastAsia="Calibri" w:hAnsi="Times New Roman" w:cs="Simplified Arabic"/>
          <w:sz w:val="24"/>
          <w:szCs w:val="28"/>
        </w:rPr>
        <w:t>Jabbour et al., 2018</w:t>
      </w:r>
      <w:r w:rsidRPr="00BB2499">
        <w:rPr>
          <w:rFonts w:ascii="Times New Roman" w:eastAsia="Calibri" w:hAnsi="Times New Roman" w:cs="Simplified Arabic"/>
          <w:sz w:val="24"/>
          <w:szCs w:val="28"/>
          <w:rtl/>
        </w:rPr>
        <w:t>) أن إهمال الجانب البشري في المعادلات البيئية يمثل عائقاً رئيساً أمام التحول نحو الاقتصاد الدائري.</w:t>
      </w:r>
    </w:p>
    <w:p w14:paraId="7F2F39C8"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وبناءً على ما تقدم، تتلخص مشكلة الدراسة في التساؤل الرئيس الآتي: </w:t>
      </w:r>
      <w:r w:rsidRPr="00BB2499">
        <w:rPr>
          <w:rFonts w:ascii="Times New Roman" w:eastAsia="Calibri" w:hAnsi="Times New Roman" w:cs="Simplified Arabic"/>
          <w:b/>
          <w:bCs/>
          <w:sz w:val="24"/>
          <w:szCs w:val="28"/>
          <w:rtl/>
        </w:rPr>
        <w:t>ما أثر الممارسات الخضراء للموارد البشرية على الاستدامة البيئية في المنشآت الصناعية بالرياض؟</w:t>
      </w:r>
    </w:p>
    <w:p w14:paraId="51C89E7F"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Pr>
        <w:t>3</w:t>
      </w:r>
      <w:r w:rsidRPr="00BB2499">
        <w:rPr>
          <w:rFonts w:ascii="Times New Roman" w:eastAsia="Calibri" w:hAnsi="Times New Roman" w:cs="Simplified Arabic"/>
          <w:b/>
          <w:bCs/>
          <w:sz w:val="24"/>
          <w:szCs w:val="28"/>
          <w:rtl/>
        </w:rPr>
        <w:t>. أسئلة الدراسة</w:t>
      </w:r>
    </w:p>
    <w:p w14:paraId="18755D42"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انطلاقاً من التساؤل الرئيس، تتفرع الأسئلة الفرعية الآتية:</w:t>
      </w:r>
    </w:p>
    <w:p w14:paraId="69876EC3" w14:textId="77777777" w:rsidR="00BB2499" w:rsidRPr="00BB2499" w:rsidRDefault="00BB2499" w:rsidP="00B057C9">
      <w:pPr>
        <w:numPr>
          <w:ilvl w:val="0"/>
          <w:numId w:val="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السؤال الأول: </w:t>
      </w:r>
      <w:r w:rsidRPr="00BB2499">
        <w:rPr>
          <w:rFonts w:ascii="Times New Roman" w:eastAsia="Calibri" w:hAnsi="Times New Roman" w:cs="Simplified Arabic"/>
          <w:sz w:val="24"/>
          <w:szCs w:val="28"/>
          <w:rtl/>
        </w:rPr>
        <w:t>ما مستوى توافر الممارسات الخضراء للموارد البشرية (الاستقطاب والتعيين، التدريب والتطوير، تقييم الأداء، المكافآت والتعويضات) في المنشآت الصناعية بالرياض؟</w:t>
      </w:r>
    </w:p>
    <w:p w14:paraId="0BB11B1D" w14:textId="77777777" w:rsidR="00BB2499" w:rsidRPr="00BB2499" w:rsidRDefault="00BB2499" w:rsidP="00B057C9">
      <w:pPr>
        <w:numPr>
          <w:ilvl w:val="0"/>
          <w:numId w:val="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السؤال الثاني: </w:t>
      </w:r>
      <w:r w:rsidRPr="00BB2499">
        <w:rPr>
          <w:rFonts w:ascii="Times New Roman" w:eastAsia="Calibri" w:hAnsi="Times New Roman" w:cs="Simplified Arabic"/>
          <w:sz w:val="24"/>
          <w:szCs w:val="28"/>
          <w:rtl/>
        </w:rPr>
        <w:t>ما مستوى تحقيق الاستدامة البيئية في المنشآت الصناعية بالرياض؟</w:t>
      </w:r>
    </w:p>
    <w:p w14:paraId="2469ED12" w14:textId="77777777" w:rsidR="00BB2499" w:rsidRPr="00BB2499" w:rsidRDefault="00BB2499" w:rsidP="00B057C9">
      <w:pPr>
        <w:numPr>
          <w:ilvl w:val="0"/>
          <w:numId w:val="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السؤال الثالث: </w:t>
      </w:r>
      <w:r w:rsidRPr="00BB2499">
        <w:rPr>
          <w:rFonts w:ascii="Times New Roman" w:eastAsia="Calibri" w:hAnsi="Times New Roman" w:cs="Simplified Arabic"/>
          <w:sz w:val="24"/>
          <w:szCs w:val="28"/>
          <w:rtl/>
        </w:rPr>
        <w:t>هل توجد علاقة ارتباطية ذات دلالة إحصائية بين الممارسات الخضراء للموارد البشرية والاستدامة البيئية في المنشآت الصناعية بالرياض؟</w:t>
      </w:r>
    </w:p>
    <w:p w14:paraId="0EB89499" w14:textId="77777777" w:rsidR="00BB2499" w:rsidRPr="00BB2499" w:rsidRDefault="00BB2499" w:rsidP="00B057C9">
      <w:pPr>
        <w:numPr>
          <w:ilvl w:val="0"/>
          <w:numId w:val="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السؤال الرابع: </w:t>
      </w:r>
      <w:r w:rsidRPr="00BB2499">
        <w:rPr>
          <w:rFonts w:ascii="Times New Roman" w:eastAsia="Calibri" w:hAnsi="Times New Roman" w:cs="Simplified Arabic"/>
          <w:sz w:val="24"/>
          <w:szCs w:val="28"/>
          <w:rtl/>
        </w:rPr>
        <w:t>ما أثر الممارسات الخضراء للموارد البشرية بأبعادها (الاستقطاب والتعيين الأخضر، التدريب والتطوير الأخضر، تقييم الأداء الأخضر، المكافآت والتعويضات الخضراء) في الاستدامة البيئية في المنشآت الصناعية بالرياض؟</w:t>
      </w:r>
    </w:p>
    <w:p w14:paraId="5A2968E1" w14:textId="77777777" w:rsidR="00BB2499" w:rsidRPr="00BB2499" w:rsidRDefault="00BB2499" w:rsidP="006F1136">
      <w:pPr>
        <w:spacing w:before="120" w:after="120" w:line="360" w:lineRule="auto"/>
        <w:ind w:left="1080"/>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وينبثق منه الأسئلة الفرعية الآتية:</w:t>
      </w:r>
    </w:p>
    <w:p w14:paraId="01A95B88" w14:textId="77777777" w:rsidR="00BB2499" w:rsidRPr="00BB2499" w:rsidRDefault="00BB2499" w:rsidP="00B057C9">
      <w:pPr>
        <w:numPr>
          <w:ilvl w:val="2"/>
          <w:numId w:val="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ما أثر الاستقطاب والتعيين الأخضر في الاستدامة البيئية بالمنشآت الصناعية بالرياض؟</w:t>
      </w:r>
    </w:p>
    <w:p w14:paraId="59291113" w14:textId="77777777" w:rsidR="00BB2499" w:rsidRPr="00BB2499" w:rsidRDefault="00BB2499" w:rsidP="00B057C9">
      <w:pPr>
        <w:numPr>
          <w:ilvl w:val="2"/>
          <w:numId w:val="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ما أثر التدريب والتطوير الأخضر في الاستدامة البيئية بالمنشآت الصناعية بالرياض؟</w:t>
      </w:r>
    </w:p>
    <w:p w14:paraId="1780E73D" w14:textId="77777777" w:rsidR="00BB2499" w:rsidRPr="00BB2499" w:rsidRDefault="00BB2499" w:rsidP="00B057C9">
      <w:pPr>
        <w:numPr>
          <w:ilvl w:val="2"/>
          <w:numId w:val="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ما أثر تقييم الأداء الأخضر في الاستدامة البيئية بالمنشآت الصناعية بالرياض؟</w:t>
      </w:r>
    </w:p>
    <w:p w14:paraId="4733CC3A" w14:textId="77777777" w:rsidR="00BB2499" w:rsidRPr="00BB2499" w:rsidRDefault="00BB2499" w:rsidP="00B057C9">
      <w:pPr>
        <w:numPr>
          <w:ilvl w:val="2"/>
          <w:numId w:val="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ما أثر المكافآت والتعويضات الخضراء في الاستدامة البيئية بالمنشآت الصناعية بالرياض؟</w:t>
      </w:r>
    </w:p>
    <w:p w14:paraId="292EA856"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Pr>
        <w:t>4</w:t>
      </w:r>
      <w:r w:rsidRPr="00BB2499">
        <w:rPr>
          <w:rFonts w:ascii="Times New Roman" w:eastAsia="Calibri" w:hAnsi="Times New Roman" w:cs="Simplified Arabic"/>
          <w:b/>
          <w:bCs/>
          <w:sz w:val="24"/>
          <w:szCs w:val="28"/>
          <w:rtl/>
        </w:rPr>
        <w:t>. أهداف الدراسة</w:t>
      </w:r>
    </w:p>
    <w:p w14:paraId="7DFCA7DB"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تسعى هذه الدراسة بشكل رئيس إلى تحديد أثر الممارسات الخضراء للموارد البشرية على الاستدامة البيئية في المنشآت الصناعية بمدينة الرياض، وينبثق من هذا الهدف الرئيس الأهداف الفرعية الآتية:</w:t>
      </w:r>
    </w:p>
    <w:p w14:paraId="60C07ABC" w14:textId="77777777" w:rsidR="00BB2499" w:rsidRPr="00BB2499" w:rsidRDefault="00BB2499" w:rsidP="00B057C9">
      <w:pPr>
        <w:numPr>
          <w:ilvl w:val="0"/>
          <w:numId w:val="4"/>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تشخيص واقع تطبيق الممارسات الخضراء للموارد البشرية (الاستقطاب والتعيين، التدريب والتطوير، تقييم الأداء، المكافآت والتعويضات) في المنشآت الصناعية بمدينة الرياض.</w:t>
      </w:r>
    </w:p>
    <w:p w14:paraId="53317A01" w14:textId="77777777" w:rsidR="00BB2499" w:rsidRPr="00BB2499" w:rsidRDefault="00BB2499" w:rsidP="00B057C9">
      <w:pPr>
        <w:numPr>
          <w:ilvl w:val="0"/>
          <w:numId w:val="4"/>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تحديد مستوى تحقيق الاستدامة البيئية في المنشآت الصناعية بمدينة الرياض.</w:t>
      </w:r>
    </w:p>
    <w:p w14:paraId="2C224DEF" w14:textId="77777777" w:rsidR="00BB2499" w:rsidRPr="00BB2499" w:rsidRDefault="00BB2499" w:rsidP="00B057C9">
      <w:pPr>
        <w:numPr>
          <w:ilvl w:val="0"/>
          <w:numId w:val="4"/>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الكشف عن طبيعة العلاقة الارتباطية بين الممارسات الخضراء للموارد البشرية والاستدامة البيئية في المنشآت الصناعية بمدينة الرياض.</w:t>
      </w:r>
    </w:p>
    <w:p w14:paraId="3B148DEF" w14:textId="77777777" w:rsidR="00BB2499" w:rsidRPr="00BB2499" w:rsidRDefault="00BB2499" w:rsidP="00B057C9">
      <w:pPr>
        <w:numPr>
          <w:ilvl w:val="0"/>
          <w:numId w:val="4"/>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قياس أثر الممارسات الخضراء للموارد البشرية بأبعادها المختلفة في تعزيز الاستدامة البيئية بالمنشآت الصناعية بمدينة الرياض.</w:t>
      </w:r>
    </w:p>
    <w:p w14:paraId="1E95E7F0"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Pr>
        <w:t>5</w:t>
      </w:r>
      <w:r w:rsidRPr="00BB2499">
        <w:rPr>
          <w:rFonts w:ascii="Times New Roman" w:eastAsia="Calibri" w:hAnsi="Times New Roman" w:cs="Simplified Arabic"/>
          <w:b/>
          <w:bCs/>
          <w:sz w:val="24"/>
          <w:szCs w:val="28"/>
          <w:rtl/>
        </w:rPr>
        <w:t>. أهمية الدراسة</w:t>
      </w:r>
    </w:p>
    <w:p w14:paraId="77EF9B0E"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تكتسب هذه الدراسة أهميتها من حيوية الموضوع الذي تتناوله، وتبرز قيمتها من خلال الجوانب الآتية:</w:t>
      </w:r>
    </w:p>
    <w:p w14:paraId="3E1C631E"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الأهمية العلمية:</w:t>
      </w:r>
    </w:p>
    <w:p w14:paraId="621359A0" w14:textId="77777777" w:rsidR="00BB2499" w:rsidRPr="00BB2499" w:rsidRDefault="00BB2499" w:rsidP="00B057C9">
      <w:pPr>
        <w:numPr>
          <w:ilvl w:val="0"/>
          <w:numId w:val="5"/>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إثراء المكتبة العربية بدراسة أكاديمية حديثة تتناول العلاقة بين إدارة الموارد البشرية والاستدامة البيئية في سياق صناعي، وهو مجال لا يزال بحاجة لمزيد من البحث والتقصي في البيئة المحلية.</w:t>
      </w:r>
    </w:p>
    <w:p w14:paraId="1B624643" w14:textId="77777777" w:rsidR="00BB2499" w:rsidRPr="00BB2499" w:rsidRDefault="00BB2499" w:rsidP="00B057C9">
      <w:pPr>
        <w:numPr>
          <w:ilvl w:val="0"/>
          <w:numId w:val="5"/>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تقديم إطار نظري متكامل يربط بين مفاهيم الإدارة الخضراء والأداء البيئي، مما يسهم في تأصيل هذه المفاهيم وتوضيح آليات تفاعلها.</w:t>
      </w:r>
    </w:p>
    <w:p w14:paraId="242E4AD7" w14:textId="77777777" w:rsidR="00BB2499" w:rsidRPr="00BB2499" w:rsidRDefault="00BB2499" w:rsidP="00B057C9">
      <w:pPr>
        <w:numPr>
          <w:ilvl w:val="0"/>
          <w:numId w:val="5"/>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فتح آفاق بحثية جديدة أمام الباحثين لدراسة متغيرات وسيطة أو معدلة قد تؤثر في العلاقة بين الممارسات الخضراء والاستدامة في قطاعات أخرى.</w:t>
      </w:r>
    </w:p>
    <w:p w14:paraId="1EF9CD0F"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الأهمية العملية:</w:t>
      </w:r>
    </w:p>
    <w:p w14:paraId="703C7FB4" w14:textId="77777777" w:rsidR="00BB2499" w:rsidRPr="00BB2499" w:rsidRDefault="00BB2499" w:rsidP="00B057C9">
      <w:pPr>
        <w:numPr>
          <w:ilvl w:val="0"/>
          <w:numId w:val="6"/>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توجيه أنظار القيادات الإدارية في المنشآت الصناعية بالرياض نحو أهمية دمج البعد البيئي في استراتيجيات الموارد البشرية لتعزيز التنافسية والامتثال للتشريعات.</w:t>
      </w:r>
    </w:p>
    <w:p w14:paraId="5BFC12A0" w14:textId="77777777" w:rsidR="00BB2499" w:rsidRPr="00BB2499" w:rsidRDefault="00BB2499" w:rsidP="00B057C9">
      <w:pPr>
        <w:numPr>
          <w:ilvl w:val="0"/>
          <w:numId w:val="6"/>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تزويد صناع القرار بأدوات ومؤشرات عملية تساعد في تقييم وتطوير ممارساتهم الحالية بما يخدم التوجهات الوطنية نحو الاقتصاد الأخضر.</w:t>
      </w:r>
    </w:p>
    <w:p w14:paraId="7063763D" w14:textId="77777777" w:rsidR="00BB2499" w:rsidRPr="00BB2499" w:rsidRDefault="00BB2499" w:rsidP="00B057C9">
      <w:pPr>
        <w:numPr>
          <w:ilvl w:val="0"/>
          <w:numId w:val="6"/>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المساهمة في دعم جهود المملكة لتحقيق مستهدفات رؤية 2030، وتحديداً فيما يتعلق بمبادرة "السعودية الخضراء"، من خلال تقديم توصيات قابلة للتطبيق في القطاع الصناعي.</w:t>
      </w:r>
    </w:p>
    <w:p w14:paraId="09C03928" w14:textId="77777777" w:rsidR="006F1136" w:rsidRDefault="006F1136" w:rsidP="00BB2499">
      <w:pPr>
        <w:spacing w:before="120" w:after="120" w:line="360" w:lineRule="auto"/>
        <w:ind w:firstLine="397"/>
        <w:jc w:val="both"/>
        <w:rPr>
          <w:rFonts w:ascii="Times New Roman" w:eastAsia="Calibri" w:hAnsi="Times New Roman" w:cs="Simplified Arabic"/>
          <w:b/>
          <w:bCs/>
          <w:sz w:val="24"/>
          <w:szCs w:val="28"/>
          <w:rtl/>
        </w:rPr>
      </w:pPr>
    </w:p>
    <w:p w14:paraId="32BBF480" w14:textId="4112CFF1"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القيمة المضافة:</w:t>
      </w:r>
    </w:p>
    <w:p w14:paraId="6F9FB388" w14:textId="77777777" w:rsidR="00BB2499" w:rsidRPr="00BB2499" w:rsidRDefault="00BB2499" w:rsidP="00B057C9">
      <w:pPr>
        <w:numPr>
          <w:ilvl w:val="0"/>
          <w:numId w:val="7"/>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تتمثل القيمة المضافة لهذه الدراسة في محاولتها بناء نموذج قياسي يوضح الأثر الكمي لممارسات الموارد البشرية الخضراء على الاستدامة البيئية في بيئة صناعية سعودية، مما يوفر دليلاً تجريبياً يدعم التحول نحو الإدارة المستدامة.</w:t>
      </w:r>
    </w:p>
    <w:p w14:paraId="5CB74ADC"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Pr>
        <w:t>6</w:t>
      </w:r>
      <w:r w:rsidRPr="00BB2499">
        <w:rPr>
          <w:rFonts w:ascii="Times New Roman" w:eastAsia="Calibri" w:hAnsi="Times New Roman" w:cs="Simplified Arabic"/>
          <w:b/>
          <w:bCs/>
          <w:sz w:val="24"/>
          <w:szCs w:val="28"/>
          <w:rtl/>
        </w:rPr>
        <w:t>. متغيرات وأبعاد الدراسة</w:t>
      </w:r>
    </w:p>
    <w:p w14:paraId="7EBFCDD5"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تتحدد متغيرات الدراسة وأبعادها على النحو الآتي:</w:t>
      </w:r>
    </w:p>
    <w:p w14:paraId="1F486482" w14:textId="77777777" w:rsidR="00BB2499" w:rsidRPr="00BB2499" w:rsidRDefault="00BB2499" w:rsidP="00B057C9">
      <w:pPr>
        <w:numPr>
          <w:ilvl w:val="0"/>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المتغير المستقل: </w:t>
      </w:r>
      <w:r w:rsidRPr="00BB2499">
        <w:rPr>
          <w:rFonts w:ascii="Times New Roman" w:eastAsia="Calibri" w:hAnsi="Times New Roman" w:cs="Simplified Arabic"/>
          <w:sz w:val="24"/>
          <w:szCs w:val="28"/>
          <w:rtl/>
        </w:rPr>
        <w:t>الممارسات الخضراء للموارد البشرية، ويشمل الأبعاد الآتية:</w:t>
      </w:r>
    </w:p>
    <w:p w14:paraId="37449A15" w14:textId="77777777" w:rsidR="00BB2499" w:rsidRPr="00BB2499" w:rsidRDefault="00BB2499" w:rsidP="00B057C9">
      <w:pPr>
        <w:numPr>
          <w:ilvl w:val="1"/>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الاستقطاب والتعيين الأخضر.</w:t>
      </w:r>
    </w:p>
    <w:p w14:paraId="5DD7DCB6" w14:textId="77777777" w:rsidR="00BB2499" w:rsidRPr="00BB2499" w:rsidRDefault="00BB2499" w:rsidP="00B057C9">
      <w:pPr>
        <w:numPr>
          <w:ilvl w:val="1"/>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التدريب والتطوير الأخضر.</w:t>
      </w:r>
    </w:p>
    <w:p w14:paraId="3D3B1E17" w14:textId="77777777" w:rsidR="00BB2499" w:rsidRPr="00BB2499" w:rsidRDefault="00BB2499" w:rsidP="00B057C9">
      <w:pPr>
        <w:numPr>
          <w:ilvl w:val="1"/>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تقييم الأداء الأخضر.</w:t>
      </w:r>
    </w:p>
    <w:p w14:paraId="1FFE2862" w14:textId="77777777" w:rsidR="00BB2499" w:rsidRPr="00BB2499" w:rsidRDefault="00BB2499" w:rsidP="00B057C9">
      <w:pPr>
        <w:numPr>
          <w:ilvl w:val="1"/>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المكافآت والتعويضات الخضراء.</w:t>
      </w:r>
    </w:p>
    <w:p w14:paraId="745FEAC6" w14:textId="77777777" w:rsidR="00BB2499" w:rsidRPr="00BB2499" w:rsidRDefault="00BB2499" w:rsidP="00B057C9">
      <w:pPr>
        <w:numPr>
          <w:ilvl w:val="0"/>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المتغير التابع: </w:t>
      </w:r>
      <w:r w:rsidRPr="00BB2499">
        <w:rPr>
          <w:rFonts w:ascii="Times New Roman" w:eastAsia="Calibri" w:hAnsi="Times New Roman" w:cs="Simplified Arabic"/>
          <w:sz w:val="24"/>
          <w:szCs w:val="28"/>
          <w:rtl/>
        </w:rPr>
        <w:t>الاستدامة البيئية، ويشمل الأبعاد الآتية:</w:t>
      </w:r>
    </w:p>
    <w:p w14:paraId="1EBEB075" w14:textId="77777777" w:rsidR="00BB2499" w:rsidRPr="00BB2499" w:rsidRDefault="00BB2499" w:rsidP="00B057C9">
      <w:pPr>
        <w:numPr>
          <w:ilvl w:val="1"/>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الحد من التلوث والنفايات.</w:t>
      </w:r>
    </w:p>
    <w:p w14:paraId="14843C2B" w14:textId="77777777" w:rsidR="00BB2499" w:rsidRPr="00BB2499" w:rsidRDefault="00BB2499" w:rsidP="00B057C9">
      <w:pPr>
        <w:numPr>
          <w:ilvl w:val="1"/>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كفاءة استخدام الموارد والطاقة.</w:t>
      </w:r>
    </w:p>
    <w:p w14:paraId="3004F1EC" w14:textId="77777777" w:rsidR="00BB2499" w:rsidRPr="00BB2499" w:rsidRDefault="00BB2499" w:rsidP="00B057C9">
      <w:pPr>
        <w:numPr>
          <w:ilvl w:val="1"/>
          <w:numId w:val="8"/>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الامتثال البيئي.</w:t>
      </w:r>
    </w:p>
    <w:p w14:paraId="48C1BC55"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Pr>
        <w:t>7</w:t>
      </w:r>
      <w:r w:rsidRPr="00BB2499">
        <w:rPr>
          <w:rFonts w:ascii="Times New Roman" w:eastAsia="Calibri" w:hAnsi="Times New Roman" w:cs="Simplified Arabic"/>
          <w:b/>
          <w:bCs/>
          <w:sz w:val="24"/>
          <w:szCs w:val="28"/>
          <w:rtl/>
        </w:rPr>
        <w:t>. فرضيات الدراسة</w:t>
      </w:r>
    </w:p>
    <w:p w14:paraId="4B62DB4D"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استناداً إلى مشكلة الدراسة وأهدافها، ومراجعة الأدبيات ذات الصلة، تم صياغة الفرضيات الآتية:</w:t>
      </w:r>
    </w:p>
    <w:p w14:paraId="2A83EB52"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tl/>
        </w:rPr>
      </w:pPr>
      <w:r w:rsidRPr="00BB2499">
        <w:rPr>
          <w:rFonts w:ascii="Times New Roman" w:eastAsia="Calibri" w:hAnsi="Times New Roman" w:cs="Simplified Arabic"/>
          <w:b/>
          <w:bCs/>
          <w:sz w:val="24"/>
          <w:szCs w:val="28"/>
          <w:rtl/>
        </w:rPr>
        <w:t>الفرضية الرئيسة:</w:t>
      </w:r>
    </w:p>
    <w:p w14:paraId="21E7742B"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يوجد أثر ذو دلالة إحصائية للممارسات الخضراء للموارد البشرية بأبعادها (الاستقطاب والتعيين الأخضر، التدريب والتطوير الأخضر، تقييم الأداء الأخضر، المكافآت والتعويضات الخضراء) في الاستدامة البيئية بالمنشآت الصناعية بمدينة الرياض عند مستوى دلالة </w:t>
      </w:r>
      <w:r w:rsidRPr="00BB2499">
        <w:rPr>
          <w:rFonts w:ascii="Times New Roman" w:eastAsia="Calibri" w:hAnsi="Times New Roman" w:cs="Simplified Arabic"/>
          <w:sz w:val="24"/>
          <w:szCs w:val="28"/>
        </w:rPr>
        <w:t>(α ≤ 0.05)</w:t>
      </w:r>
      <w:r w:rsidRPr="00BB2499">
        <w:rPr>
          <w:rFonts w:ascii="Times New Roman" w:eastAsia="Calibri" w:hAnsi="Times New Roman" w:cs="Simplified Arabic"/>
          <w:sz w:val="24"/>
          <w:szCs w:val="28"/>
          <w:rtl/>
        </w:rPr>
        <w:t>.</w:t>
      </w:r>
    </w:p>
    <w:p w14:paraId="4760651F"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وينبثق منها الفرضيات الفرعية الآتية:</w:t>
      </w:r>
    </w:p>
    <w:p w14:paraId="58142563" w14:textId="77777777" w:rsidR="00BB2499" w:rsidRPr="00BB2499" w:rsidRDefault="00BB2499" w:rsidP="00B057C9">
      <w:pPr>
        <w:numPr>
          <w:ilvl w:val="0"/>
          <w:numId w:val="9"/>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يوجد أثر ذو دلالة إحصائية للاستقطاب والتعيين الأخضر في الاستدامة البيئية بالمنشآت الصناعية بمدينة الرياض عند مستوى دلالة </w:t>
      </w:r>
      <w:r w:rsidRPr="00BB2499">
        <w:rPr>
          <w:rFonts w:ascii="Times New Roman" w:eastAsia="Calibri" w:hAnsi="Times New Roman" w:cs="Simplified Arabic"/>
          <w:sz w:val="24"/>
          <w:szCs w:val="28"/>
        </w:rPr>
        <w:t>(α ≤ 0.05)</w:t>
      </w:r>
      <w:r w:rsidRPr="00BB2499">
        <w:rPr>
          <w:rFonts w:ascii="Times New Roman" w:eastAsia="Calibri" w:hAnsi="Times New Roman" w:cs="Simplified Arabic"/>
          <w:sz w:val="24"/>
          <w:szCs w:val="28"/>
          <w:rtl/>
        </w:rPr>
        <w:t>.</w:t>
      </w:r>
    </w:p>
    <w:p w14:paraId="17EB199D" w14:textId="77777777" w:rsidR="00BB2499" w:rsidRPr="00BB2499" w:rsidRDefault="00BB2499" w:rsidP="00B057C9">
      <w:pPr>
        <w:numPr>
          <w:ilvl w:val="0"/>
          <w:numId w:val="9"/>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يوجد أثر ذو دلالة إحصائية للتدريب والتطوير الأخضر في الاستدامة البيئية بالمنشآت الصناعية بمدينة الرياض عند مستوى دلالة </w:t>
      </w:r>
      <w:r w:rsidRPr="00BB2499">
        <w:rPr>
          <w:rFonts w:ascii="Times New Roman" w:eastAsia="Calibri" w:hAnsi="Times New Roman" w:cs="Simplified Arabic"/>
          <w:sz w:val="24"/>
          <w:szCs w:val="28"/>
        </w:rPr>
        <w:t>(α ≤ 0.05)</w:t>
      </w:r>
      <w:r w:rsidRPr="00BB2499">
        <w:rPr>
          <w:rFonts w:ascii="Times New Roman" w:eastAsia="Calibri" w:hAnsi="Times New Roman" w:cs="Simplified Arabic"/>
          <w:sz w:val="24"/>
          <w:szCs w:val="28"/>
          <w:rtl/>
        </w:rPr>
        <w:t>.</w:t>
      </w:r>
    </w:p>
    <w:p w14:paraId="31425CED" w14:textId="77777777" w:rsidR="00BB2499" w:rsidRPr="00BB2499" w:rsidRDefault="00BB2499" w:rsidP="00B057C9">
      <w:pPr>
        <w:numPr>
          <w:ilvl w:val="0"/>
          <w:numId w:val="9"/>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يوجد أثر ذو دلالة إحصائية لتقييم الأداء الأخضر في الاستدامة البيئية بالمنشآت الصناعية بمدينة الرياض عند مستوى دلالة </w:t>
      </w:r>
      <w:r w:rsidRPr="00BB2499">
        <w:rPr>
          <w:rFonts w:ascii="Times New Roman" w:eastAsia="Calibri" w:hAnsi="Times New Roman" w:cs="Simplified Arabic"/>
          <w:sz w:val="24"/>
          <w:szCs w:val="28"/>
        </w:rPr>
        <w:t>(α ≤ 0.05)</w:t>
      </w:r>
      <w:r w:rsidRPr="00BB2499">
        <w:rPr>
          <w:rFonts w:ascii="Times New Roman" w:eastAsia="Calibri" w:hAnsi="Times New Roman" w:cs="Simplified Arabic"/>
          <w:sz w:val="24"/>
          <w:szCs w:val="28"/>
          <w:rtl/>
        </w:rPr>
        <w:t>.</w:t>
      </w:r>
    </w:p>
    <w:p w14:paraId="59F3AF1C" w14:textId="77777777" w:rsidR="00BB2499" w:rsidRPr="00BB2499" w:rsidRDefault="00BB2499" w:rsidP="00B057C9">
      <w:pPr>
        <w:numPr>
          <w:ilvl w:val="0"/>
          <w:numId w:val="9"/>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يوجد أثر ذو دلالة إحصائية للمكافآت والتعويضات الخضراء في الاستدامة البيئية بالمنشآت الصناعية بمدينة الرياض عند مستوى دلالة </w:t>
      </w:r>
      <w:r w:rsidRPr="00BB2499">
        <w:rPr>
          <w:rFonts w:ascii="Times New Roman" w:eastAsia="Calibri" w:hAnsi="Times New Roman" w:cs="Simplified Arabic"/>
          <w:sz w:val="24"/>
          <w:szCs w:val="28"/>
        </w:rPr>
        <w:t>(α ≤ 0.05)</w:t>
      </w:r>
      <w:r w:rsidRPr="00BB2499">
        <w:rPr>
          <w:rFonts w:ascii="Times New Roman" w:eastAsia="Calibri" w:hAnsi="Times New Roman" w:cs="Simplified Arabic"/>
          <w:sz w:val="24"/>
          <w:szCs w:val="28"/>
          <w:rtl/>
        </w:rPr>
        <w:t>.</w:t>
      </w:r>
    </w:p>
    <w:p w14:paraId="7491BC28"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Pr>
        <w:t>8</w:t>
      </w:r>
      <w:r w:rsidRPr="00BB2499">
        <w:rPr>
          <w:rFonts w:ascii="Times New Roman" w:eastAsia="Calibri" w:hAnsi="Times New Roman" w:cs="Simplified Arabic"/>
          <w:b/>
          <w:bCs/>
          <w:sz w:val="24"/>
          <w:szCs w:val="28"/>
          <w:rtl/>
        </w:rPr>
        <w:t>. حدود الدراسة</w:t>
      </w:r>
    </w:p>
    <w:p w14:paraId="15EC3575" w14:textId="77777777" w:rsidR="00BB2499" w:rsidRPr="00BB2499" w:rsidRDefault="00BB2499" w:rsidP="00BB2499">
      <w:pPr>
        <w:spacing w:before="120" w:after="120" w:line="360" w:lineRule="auto"/>
        <w:ind w:left="360"/>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تتحدد معالم الدراسة الحالية بالحدود الآتية:</w:t>
      </w:r>
    </w:p>
    <w:p w14:paraId="21CB84C6" w14:textId="77777777" w:rsidR="00BB2499" w:rsidRPr="00BB2499" w:rsidRDefault="00BB2499" w:rsidP="00B057C9">
      <w:pPr>
        <w:numPr>
          <w:ilvl w:val="0"/>
          <w:numId w:val="27"/>
        </w:numPr>
        <w:spacing w:before="120" w:after="120" w:line="360" w:lineRule="auto"/>
        <w:jc w:val="both"/>
        <w:rPr>
          <w:rFonts w:ascii="Times New Roman" w:eastAsia="Calibri" w:hAnsi="Times New Roman" w:cs="Simplified Arabic"/>
          <w:sz w:val="24"/>
          <w:szCs w:val="28"/>
          <w:rtl/>
        </w:rPr>
      </w:pPr>
      <w:r w:rsidRPr="00BB2499">
        <w:rPr>
          <w:rFonts w:ascii="Times New Roman" w:eastAsia="Calibri" w:hAnsi="Times New Roman" w:cs="Simplified Arabic"/>
          <w:b/>
          <w:bCs/>
          <w:sz w:val="24"/>
          <w:szCs w:val="28"/>
          <w:rtl/>
        </w:rPr>
        <w:t>الحدود العلمية (الموضوعية):</w:t>
      </w:r>
    </w:p>
    <w:p w14:paraId="17B16D69" w14:textId="77777777" w:rsidR="00BB2499" w:rsidRPr="00BB2499" w:rsidRDefault="00BB2499" w:rsidP="00B057C9">
      <w:pPr>
        <w:numPr>
          <w:ilvl w:val="1"/>
          <w:numId w:val="27"/>
        </w:numPr>
        <w:spacing w:before="120" w:after="120" w:line="360" w:lineRule="auto"/>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 xml:space="preserve">تقتصر الدراسة على بحث أثر </w:t>
      </w:r>
      <w:r w:rsidRPr="00BB2499">
        <w:rPr>
          <w:rFonts w:ascii="Times New Roman" w:eastAsia="Calibri" w:hAnsi="Times New Roman" w:cs="Simplified Arabic"/>
          <w:b/>
          <w:bCs/>
          <w:sz w:val="24"/>
          <w:szCs w:val="28"/>
          <w:rtl/>
        </w:rPr>
        <w:t>الممارسات الخضراء للموارد البشرية</w:t>
      </w:r>
      <w:r w:rsidRPr="00BB2499">
        <w:rPr>
          <w:rFonts w:ascii="Times New Roman" w:eastAsia="Calibri" w:hAnsi="Times New Roman" w:cs="Simplified Arabic"/>
          <w:sz w:val="24"/>
          <w:szCs w:val="28"/>
          <w:rtl/>
        </w:rPr>
        <w:t xml:space="preserve"> (بأبعادها: الاستقطاب والتعيين، التدريب والتطوير، تقييم الأداء، والمكافآت والتعويضات) كمتغير مستقل.</w:t>
      </w:r>
    </w:p>
    <w:p w14:paraId="0CBF0195" w14:textId="77777777" w:rsidR="00BB2499" w:rsidRPr="00BB2499" w:rsidRDefault="00BB2499" w:rsidP="00B057C9">
      <w:pPr>
        <w:numPr>
          <w:ilvl w:val="1"/>
          <w:numId w:val="27"/>
        </w:numPr>
        <w:spacing w:before="120" w:after="120" w:line="360" w:lineRule="auto"/>
        <w:jc w:val="both"/>
        <w:rPr>
          <w:rFonts w:ascii="Times New Roman" w:eastAsia="Calibri" w:hAnsi="Times New Roman" w:cs="Simplified Arabic"/>
          <w:sz w:val="24"/>
          <w:szCs w:val="28"/>
          <w:rtl/>
        </w:rPr>
      </w:pPr>
      <w:r w:rsidRPr="00BB2499">
        <w:rPr>
          <w:rFonts w:ascii="Times New Roman" w:eastAsia="Calibri" w:hAnsi="Times New Roman" w:cs="Simplified Arabic"/>
          <w:sz w:val="24"/>
          <w:szCs w:val="28"/>
          <w:rtl/>
        </w:rPr>
        <w:t xml:space="preserve">قياس أثرها على </w:t>
      </w:r>
      <w:r w:rsidRPr="00BB2499">
        <w:rPr>
          <w:rFonts w:ascii="Times New Roman" w:eastAsia="Calibri" w:hAnsi="Times New Roman" w:cs="Simplified Arabic"/>
          <w:b/>
          <w:bCs/>
          <w:sz w:val="24"/>
          <w:szCs w:val="28"/>
          <w:rtl/>
        </w:rPr>
        <w:t>الاستدامة البيئية</w:t>
      </w:r>
      <w:r w:rsidRPr="00BB2499">
        <w:rPr>
          <w:rFonts w:ascii="Times New Roman" w:eastAsia="Calibri" w:hAnsi="Times New Roman" w:cs="Simplified Arabic"/>
          <w:sz w:val="24"/>
          <w:szCs w:val="28"/>
          <w:rtl/>
        </w:rPr>
        <w:t xml:space="preserve"> (بأبعادها: الحد من التلوث والنفايات، كفاءة استخدام الموارد والطاقة، والامتثال البيئي) كمتغير تابع.</w:t>
      </w:r>
    </w:p>
    <w:p w14:paraId="16AC5998" w14:textId="77777777" w:rsidR="00BB2499" w:rsidRPr="00BB2499" w:rsidRDefault="00BB2499" w:rsidP="00B057C9">
      <w:pPr>
        <w:numPr>
          <w:ilvl w:val="0"/>
          <w:numId w:val="27"/>
        </w:numPr>
        <w:spacing w:before="120" w:after="120" w:line="360" w:lineRule="auto"/>
        <w:jc w:val="both"/>
        <w:rPr>
          <w:rFonts w:ascii="Times New Roman" w:eastAsia="Calibri" w:hAnsi="Times New Roman" w:cs="Simplified Arabic"/>
          <w:sz w:val="24"/>
          <w:szCs w:val="28"/>
          <w:rtl/>
        </w:rPr>
      </w:pPr>
      <w:r w:rsidRPr="00BB2499">
        <w:rPr>
          <w:rFonts w:ascii="Times New Roman" w:eastAsia="Calibri" w:hAnsi="Times New Roman" w:cs="Simplified Arabic"/>
          <w:b/>
          <w:bCs/>
          <w:sz w:val="24"/>
          <w:szCs w:val="28"/>
          <w:rtl/>
        </w:rPr>
        <w:t xml:space="preserve">الحدود المكانية: </w:t>
      </w:r>
      <w:r w:rsidRPr="00BB2499">
        <w:rPr>
          <w:rFonts w:ascii="Times New Roman" w:eastAsia="Calibri" w:hAnsi="Times New Roman" w:cs="Simplified Arabic" w:hint="cs"/>
          <w:sz w:val="24"/>
          <w:szCs w:val="28"/>
          <w:rtl/>
        </w:rPr>
        <w:t>اقتصرت</w:t>
      </w:r>
      <w:r w:rsidRPr="00BB2499">
        <w:rPr>
          <w:rFonts w:ascii="Times New Roman" w:eastAsia="Calibri" w:hAnsi="Times New Roman" w:cs="Simplified Arabic"/>
          <w:sz w:val="24"/>
          <w:szCs w:val="28"/>
          <w:rtl/>
        </w:rPr>
        <w:t xml:space="preserve"> الدراسة على المنشآت الصناعية العاملة في المدن الصناعية (المدن الأولى، الثانية، والثالثة) بمدينة الرياض في المملكة العربية السعودية.</w:t>
      </w:r>
    </w:p>
    <w:p w14:paraId="6CF5D2FD" w14:textId="77777777" w:rsidR="00BB2499" w:rsidRPr="00BB2499" w:rsidRDefault="00BB2499" w:rsidP="00B057C9">
      <w:pPr>
        <w:numPr>
          <w:ilvl w:val="0"/>
          <w:numId w:val="27"/>
        </w:numPr>
        <w:spacing w:before="120" w:after="120" w:line="360" w:lineRule="auto"/>
        <w:jc w:val="both"/>
        <w:rPr>
          <w:rFonts w:ascii="Times New Roman" w:eastAsia="Calibri" w:hAnsi="Times New Roman" w:cs="Simplified Arabic"/>
          <w:sz w:val="24"/>
          <w:szCs w:val="28"/>
          <w:rtl/>
        </w:rPr>
      </w:pPr>
      <w:r w:rsidRPr="00BB2499">
        <w:rPr>
          <w:rFonts w:ascii="Times New Roman" w:eastAsia="Calibri" w:hAnsi="Times New Roman" w:cs="Simplified Arabic"/>
          <w:b/>
          <w:bCs/>
          <w:sz w:val="24"/>
          <w:szCs w:val="28"/>
          <w:rtl/>
        </w:rPr>
        <w:t xml:space="preserve">الحدود البشرية: </w:t>
      </w:r>
      <w:r w:rsidRPr="00BB2499">
        <w:rPr>
          <w:rFonts w:ascii="Times New Roman" w:eastAsia="Calibri" w:hAnsi="Times New Roman" w:cs="Simplified Arabic"/>
          <w:sz w:val="24"/>
          <w:szCs w:val="28"/>
          <w:rtl/>
        </w:rPr>
        <w:t>تستهدف الدراسة الفئة القيادية والإشرافية في المنشآت المبحوثة، وتشمل: (مديري الموارد البشرية، مديري الإنتاج، مسؤولي البيئة والسلامة، والمشرفين).</w:t>
      </w:r>
    </w:p>
    <w:p w14:paraId="2DAC2BA6" w14:textId="77777777" w:rsidR="00BB2499" w:rsidRPr="00BB2499" w:rsidRDefault="00BB2499" w:rsidP="00B057C9">
      <w:pPr>
        <w:numPr>
          <w:ilvl w:val="0"/>
          <w:numId w:val="27"/>
        </w:numPr>
        <w:spacing w:before="120" w:after="120" w:line="360" w:lineRule="auto"/>
        <w:jc w:val="both"/>
        <w:rPr>
          <w:rFonts w:ascii="Times New Roman" w:eastAsia="Calibri" w:hAnsi="Times New Roman" w:cs="Simplified Arabic"/>
          <w:sz w:val="24"/>
          <w:szCs w:val="28"/>
          <w:rtl/>
        </w:rPr>
      </w:pPr>
      <w:r w:rsidRPr="00BB2499">
        <w:rPr>
          <w:rFonts w:ascii="Times New Roman" w:eastAsia="Calibri" w:hAnsi="Times New Roman" w:cs="Simplified Arabic"/>
          <w:b/>
          <w:bCs/>
          <w:sz w:val="24"/>
          <w:szCs w:val="28"/>
          <w:rtl/>
        </w:rPr>
        <w:t xml:space="preserve">الحدود الزمنية: </w:t>
      </w:r>
      <w:r w:rsidRPr="00BB2499">
        <w:rPr>
          <w:rFonts w:ascii="Times New Roman" w:eastAsia="Calibri" w:hAnsi="Times New Roman" w:cs="Simplified Arabic" w:hint="cs"/>
          <w:sz w:val="24"/>
          <w:szCs w:val="28"/>
          <w:rtl/>
        </w:rPr>
        <w:t>طُبقت</w:t>
      </w:r>
      <w:r w:rsidRPr="00BB2499">
        <w:rPr>
          <w:rFonts w:ascii="Times New Roman" w:eastAsia="Calibri" w:hAnsi="Times New Roman" w:cs="Simplified Arabic"/>
          <w:sz w:val="24"/>
          <w:szCs w:val="28"/>
          <w:rtl/>
        </w:rPr>
        <w:t xml:space="preserve"> الدراسة ميدانياً وجمع البيانات خلال الفصل الدراسي الثاني من العام الحالي، وتحديداً خلال شهر يناير 2026م.</w:t>
      </w:r>
    </w:p>
    <w:p w14:paraId="41133CF9"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Pr>
        <w:t>9</w:t>
      </w:r>
      <w:r w:rsidRPr="00BB2499">
        <w:rPr>
          <w:rFonts w:ascii="Times New Roman" w:eastAsia="Calibri" w:hAnsi="Times New Roman" w:cs="Simplified Arabic"/>
          <w:b/>
          <w:bCs/>
          <w:sz w:val="24"/>
          <w:szCs w:val="28"/>
          <w:rtl/>
        </w:rPr>
        <w:t>. مصطلحات الدراسة</w:t>
      </w:r>
    </w:p>
    <w:p w14:paraId="1A16E2BE"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أولاً: الممارسات الخضراء للموارد البشرية </w:t>
      </w:r>
      <w:r w:rsidRPr="00BB2499">
        <w:rPr>
          <w:rFonts w:ascii="Times New Roman" w:eastAsia="Calibri" w:hAnsi="Times New Roman" w:cs="Simplified Arabic"/>
          <w:b/>
          <w:bCs/>
          <w:sz w:val="24"/>
          <w:szCs w:val="28"/>
        </w:rPr>
        <w:t>(Green Human Resource Management - GHRM)</w:t>
      </w:r>
      <w:r w:rsidRPr="00BB2499">
        <w:rPr>
          <w:rFonts w:ascii="Times New Roman" w:eastAsia="Calibri" w:hAnsi="Times New Roman" w:cs="Simplified Arabic"/>
          <w:b/>
          <w:bCs/>
          <w:sz w:val="24"/>
          <w:szCs w:val="28"/>
          <w:rtl/>
        </w:rPr>
        <w:t>:</w:t>
      </w:r>
    </w:p>
    <w:p w14:paraId="7B055508" w14:textId="77777777" w:rsidR="00BB2499" w:rsidRPr="00BB2499" w:rsidRDefault="00BB2499" w:rsidP="00B057C9">
      <w:pPr>
        <w:numPr>
          <w:ilvl w:val="0"/>
          <w:numId w:val="10"/>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عرفها </w:t>
      </w:r>
      <w:r w:rsidRPr="00BB2499">
        <w:rPr>
          <w:rFonts w:ascii="Times New Roman" w:eastAsia="Calibri" w:hAnsi="Times New Roman" w:cs="Simplified Arabic"/>
          <w:sz w:val="24"/>
          <w:szCs w:val="28"/>
        </w:rPr>
        <w:t>(Zahrani, 2024)</w:t>
      </w:r>
      <w:r w:rsidRPr="00BB2499">
        <w:rPr>
          <w:rFonts w:ascii="Times New Roman" w:eastAsia="Calibri" w:hAnsi="Times New Roman" w:cs="Simplified Arabic"/>
          <w:sz w:val="24"/>
          <w:szCs w:val="28"/>
          <w:rtl/>
        </w:rPr>
        <w:t xml:space="preserve"> بأنها: مجموعة من السياسات والممارسات التي تهدف إلى تعزيز السلوكيات الصديقة للبيئة لدى الموظفين، من خلال دمج الأهداف البيئية في عمليات التوظيف والتدريب والتقييم والمكافآت، لتحقيق الاستدامة التنظيمية.</w:t>
      </w:r>
    </w:p>
    <w:p w14:paraId="169C1516" w14:textId="77777777" w:rsidR="00BB2499" w:rsidRPr="00BB2499" w:rsidRDefault="00BB2499" w:rsidP="00B057C9">
      <w:pPr>
        <w:numPr>
          <w:ilvl w:val="0"/>
          <w:numId w:val="10"/>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وعرفها العولقي (2021) بأنها: استخدام سياسات وممارسات إدارة الموارد البشرية لتعزيز الاستخدام المستدام للموارد داخل منظمات الأعمال، وتعزيز قضية الاستدامة البيئية بشكل عام.</w:t>
      </w:r>
    </w:p>
    <w:p w14:paraId="7CE1A629" w14:textId="77777777" w:rsidR="00BB2499" w:rsidRPr="00BB2499" w:rsidRDefault="00BB2499" w:rsidP="00B057C9">
      <w:pPr>
        <w:numPr>
          <w:ilvl w:val="0"/>
          <w:numId w:val="10"/>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كما عرفها </w:t>
      </w:r>
      <w:r w:rsidRPr="00BB2499">
        <w:rPr>
          <w:rFonts w:ascii="Times New Roman" w:eastAsia="Calibri" w:hAnsi="Times New Roman" w:cs="Simplified Arabic"/>
          <w:sz w:val="24"/>
          <w:szCs w:val="28"/>
        </w:rPr>
        <w:t>(Ren et al., 2018)</w:t>
      </w:r>
      <w:r w:rsidRPr="00BB2499">
        <w:rPr>
          <w:rFonts w:ascii="Times New Roman" w:eastAsia="Calibri" w:hAnsi="Times New Roman" w:cs="Simplified Arabic"/>
          <w:sz w:val="24"/>
          <w:szCs w:val="28"/>
          <w:rtl/>
        </w:rPr>
        <w:t xml:space="preserve"> بأنها: الظواهر المتعلقة بفهم العلاقات بين الأنشطة التنظيمية التي تؤثر على البيئة الطبيعية، وتصميم وتطور وتنفيذ وإدارة أنظمة الموارد البشرية التي تؤثر على السلوك الأخضر للموظفين.</w:t>
      </w:r>
    </w:p>
    <w:p w14:paraId="77B0636F" w14:textId="77777777" w:rsidR="00BB2499" w:rsidRPr="00BB2499" w:rsidRDefault="00BB2499" w:rsidP="00B057C9">
      <w:pPr>
        <w:numPr>
          <w:ilvl w:val="0"/>
          <w:numId w:val="10"/>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وفي سياق هذه الدراسة، يُعرف مصطلح الممارسات الخضراء للموارد البشرية إجرائياً، بأنه: </w:t>
      </w:r>
      <w:r w:rsidRPr="00BB2499">
        <w:rPr>
          <w:rFonts w:ascii="Times New Roman" w:eastAsia="Calibri" w:hAnsi="Times New Roman" w:cs="Simplified Arabic"/>
          <w:sz w:val="24"/>
          <w:szCs w:val="28"/>
          <w:rtl/>
        </w:rPr>
        <w:t>منظومة متكاملة من الأنشطة والعمليات التي تطبقها المنشآت الصناعية بالرياض، وتتضمن استقطاب وتعيين الكفاءات المؤهلة بيئياً، وتدريبهم لتعزيز وعيهم البيئي، وتقييم أدائهم بناءً على معايير بيئية، ومنحهم مكافآت تحفيزية لقاء التزامهم البيئي، ويقاس بالدرجة التي يحصل عليها المستجيبون عبر أداة الدراسة المعدة لذلك.</w:t>
      </w:r>
    </w:p>
    <w:p w14:paraId="44E392EF"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تعريفات أبعاد الممارسات الخضراء للموارد البشرية:</w:t>
      </w:r>
    </w:p>
    <w:p w14:paraId="6988AD2B" w14:textId="77777777" w:rsidR="00BB2499" w:rsidRPr="00BB2499" w:rsidRDefault="00BB2499" w:rsidP="00B057C9">
      <w:pPr>
        <w:numPr>
          <w:ilvl w:val="0"/>
          <w:numId w:val="11"/>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الاستقطاب والتعيين الأخضر: </w:t>
      </w:r>
      <w:r w:rsidRPr="00BB2499">
        <w:rPr>
          <w:rFonts w:ascii="Times New Roman" w:eastAsia="Calibri" w:hAnsi="Times New Roman" w:cs="Simplified Arabic"/>
          <w:sz w:val="24"/>
          <w:szCs w:val="28"/>
          <w:rtl/>
        </w:rPr>
        <w:t xml:space="preserve">عرفه </w:t>
      </w:r>
      <w:r w:rsidRPr="00BB2499">
        <w:rPr>
          <w:rFonts w:ascii="Times New Roman" w:eastAsia="Calibri" w:hAnsi="Times New Roman" w:cs="Simplified Arabic"/>
          <w:sz w:val="24"/>
          <w:szCs w:val="28"/>
        </w:rPr>
        <w:t>(Miah, 2024)</w:t>
      </w:r>
      <w:r w:rsidRPr="00BB2499">
        <w:rPr>
          <w:rFonts w:ascii="Times New Roman" w:eastAsia="Calibri" w:hAnsi="Times New Roman" w:cs="Simplified Arabic"/>
          <w:sz w:val="24"/>
          <w:szCs w:val="28"/>
          <w:rtl/>
        </w:rPr>
        <w:t xml:space="preserve"> بأنه: عملية جذب واختيار المرشحين الذين يمتلكون وعياً بيئياً وقيمًا تتوافق مع الأهداف البيئية للمنظمة، مع تفضيل أولئك الذين لديهم سجل حافل في الممارسات المستدامة.</w:t>
      </w:r>
    </w:p>
    <w:p w14:paraId="3B683C5D" w14:textId="77777777" w:rsidR="00BB2499" w:rsidRPr="00BB2499" w:rsidRDefault="00BB2499" w:rsidP="00B057C9">
      <w:pPr>
        <w:numPr>
          <w:ilvl w:val="1"/>
          <w:numId w:val="11"/>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التعريف الإجرائي: </w:t>
      </w:r>
      <w:r w:rsidRPr="00BB2499">
        <w:rPr>
          <w:rFonts w:ascii="Times New Roman" w:eastAsia="Calibri" w:hAnsi="Times New Roman" w:cs="Simplified Arabic"/>
          <w:sz w:val="24"/>
          <w:szCs w:val="28"/>
          <w:rtl/>
        </w:rPr>
        <w:t>الإجراءات التي تتبعها المنشآت الصناعية بالرياض لجذب واختيار موظفين لديهم اهتمام وقدرات تخدم التوجهات البيئية للمنشأة.</w:t>
      </w:r>
    </w:p>
    <w:p w14:paraId="28E08B49" w14:textId="77777777" w:rsidR="00BB2499" w:rsidRPr="00BB2499" w:rsidRDefault="00BB2499" w:rsidP="00B057C9">
      <w:pPr>
        <w:numPr>
          <w:ilvl w:val="0"/>
          <w:numId w:val="11"/>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التدريب والتطوير الأخضر: </w:t>
      </w:r>
      <w:r w:rsidRPr="00BB2499">
        <w:rPr>
          <w:rFonts w:ascii="Times New Roman" w:eastAsia="Calibri" w:hAnsi="Times New Roman" w:cs="Simplified Arabic"/>
          <w:sz w:val="24"/>
          <w:szCs w:val="28"/>
          <w:rtl/>
        </w:rPr>
        <w:t xml:space="preserve">عرفه </w:t>
      </w:r>
      <w:r w:rsidRPr="00BB2499">
        <w:rPr>
          <w:rFonts w:ascii="Times New Roman" w:eastAsia="Calibri" w:hAnsi="Times New Roman" w:cs="Simplified Arabic"/>
          <w:sz w:val="24"/>
          <w:szCs w:val="28"/>
        </w:rPr>
        <w:t>(Ogiemwonyi et al., 2023)</w:t>
      </w:r>
      <w:r w:rsidRPr="00BB2499">
        <w:rPr>
          <w:rFonts w:ascii="Times New Roman" w:eastAsia="Calibri" w:hAnsi="Times New Roman" w:cs="Simplified Arabic"/>
          <w:sz w:val="24"/>
          <w:szCs w:val="28"/>
          <w:rtl/>
        </w:rPr>
        <w:t xml:space="preserve"> بأنه: برامج تعليمية وتطويرية مصممة لتزويد الموظفين بالمعرفة والمهارات اللازمة لفهم القضايا البيئية، وتطبيق الممارسات المستدامة في أعمالهم اليومية، وحل المشكلات البيئية.</w:t>
      </w:r>
    </w:p>
    <w:p w14:paraId="494C3EA5" w14:textId="77777777" w:rsidR="00BB2499" w:rsidRPr="00BB2499" w:rsidRDefault="00BB2499" w:rsidP="00B057C9">
      <w:pPr>
        <w:numPr>
          <w:ilvl w:val="1"/>
          <w:numId w:val="11"/>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التعريف الإجرائي: </w:t>
      </w:r>
      <w:r w:rsidRPr="00BB2499">
        <w:rPr>
          <w:rFonts w:ascii="Times New Roman" w:eastAsia="Calibri" w:hAnsi="Times New Roman" w:cs="Simplified Arabic"/>
          <w:sz w:val="24"/>
          <w:szCs w:val="28"/>
          <w:rtl/>
        </w:rPr>
        <w:t>البرامج والأنشطة التي توفرها المنشآت الصناعية بالرياض لرفع الوعي البيئي لدى موظفيها وتنمية مهاراتهم في التعامل مع القضايا البيئية.</w:t>
      </w:r>
    </w:p>
    <w:p w14:paraId="0D0C1297" w14:textId="77777777" w:rsidR="00BB2499" w:rsidRPr="00BB2499" w:rsidRDefault="00BB2499" w:rsidP="00B057C9">
      <w:pPr>
        <w:numPr>
          <w:ilvl w:val="0"/>
          <w:numId w:val="11"/>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تقييم الأداء الأخضر: </w:t>
      </w:r>
      <w:r w:rsidRPr="00BB2499">
        <w:rPr>
          <w:rFonts w:ascii="Times New Roman" w:eastAsia="Calibri" w:hAnsi="Times New Roman" w:cs="Simplified Arabic"/>
          <w:sz w:val="24"/>
          <w:szCs w:val="28"/>
          <w:rtl/>
        </w:rPr>
        <w:t xml:space="preserve">عرفه </w:t>
      </w:r>
      <w:r w:rsidRPr="00BB2499">
        <w:rPr>
          <w:rFonts w:ascii="Times New Roman" w:eastAsia="Calibri" w:hAnsi="Times New Roman" w:cs="Simplified Arabic"/>
          <w:sz w:val="24"/>
          <w:szCs w:val="28"/>
        </w:rPr>
        <w:t>(Coelho et al., 2024)</w:t>
      </w:r>
      <w:r w:rsidRPr="00BB2499">
        <w:rPr>
          <w:rFonts w:ascii="Times New Roman" w:eastAsia="Calibri" w:hAnsi="Times New Roman" w:cs="Simplified Arabic"/>
          <w:sz w:val="24"/>
          <w:szCs w:val="28"/>
          <w:rtl/>
        </w:rPr>
        <w:t xml:space="preserve"> بأنه: نظام لتقييم أداء الموظفين يتضمن معايير ومؤشرات بيئية محددة، لقياس مدى مساهمتهم في تحقيق الأهداف البيئية للمنظمة، وتحديد نقاط القوة والضعف في أدائهم البيئي.</w:t>
      </w:r>
    </w:p>
    <w:p w14:paraId="2331EBBF" w14:textId="77777777" w:rsidR="00BB2499" w:rsidRPr="00BB2499" w:rsidRDefault="00BB2499" w:rsidP="00B057C9">
      <w:pPr>
        <w:numPr>
          <w:ilvl w:val="1"/>
          <w:numId w:val="11"/>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التعريف الإجرائي: </w:t>
      </w:r>
      <w:r w:rsidRPr="00BB2499">
        <w:rPr>
          <w:rFonts w:ascii="Times New Roman" w:eastAsia="Calibri" w:hAnsi="Times New Roman" w:cs="Simplified Arabic"/>
          <w:sz w:val="24"/>
          <w:szCs w:val="28"/>
          <w:rtl/>
        </w:rPr>
        <w:t>الآلية التي تعتمدها المنشآت الصناعية بالرياض لقياس ومراجعة أداء موظفيها استناداً إلى مدى التزامهم بالمعايير والأهداف البيئية المحددة.</w:t>
      </w:r>
    </w:p>
    <w:p w14:paraId="4D2DBD67" w14:textId="77777777" w:rsidR="00BB2499" w:rsidRPr="00BB2499" w:rsidRDefault="00BB2499" w:rsidP="00B057C9">
      <w:pPr>
        <w:numPr>
          <w:ilvl w:val="0"/>
          <w:numId w:val="11"/>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المكافآت والتعويضات الخضراء: </w:t>
      </w:r>
      <w:r w:rsidRPr="00BB2499">
        <w:rPr>
          <w:rFonts w:ascii="Times New Roman" w:eastAsia="Calibri" w:hAnsi="Times New Roman" w:cs="Simplified Arabic"/>
          <w:sz w:val="24"/>
          <w:szCs w:val="28"/>
          <w:rtl/>
        </w:rPr>
        <w:t xml:space="preserve">عرفها </w:t>
      </w:r>
      <w:r w:rsidRPr="00BB2499">
        <w:rPr>
          <w:rFonts w:ascii="Times New Roman" w:eastAsia="Calibri" w:hAnsi="Times New Roman" w:cs="Simplified Arabic"/>
          <w:sz w:val="24"/>
          <w:szCs w:val="28"/>
        </w:rPr>
        <w:t>(Gelagay, 2024)</w:t>
      </w:r>
      <w:r w:rsidRPr="00BB2499">
        <w:rPr>
          <w:rFonts w:ascii="Times New Roman" w:eastAsia="Calibri" w:hAnsi="Times New Roman" w:cs="Simplified Arabic"/>
          <w:sz w:val="24"/>
          <w:szCs w:val="28"/>
          <w:rtl/>
        </w:rPr>
        <w:t xml:space="preserve"> بأنها: نظام للحوافز المالية وغير المالية يهدف إلى مكافأة الموظفين والفرق التي تظهر أداءً بيئياً متميزاً، وتشجيعهم على تبني سلوكيات مستدامة والمساهمة في المبادرات البيئية.</w:t>
      </w:r>
    </w:p>
    <w:p w14:paraId="6EC7E90A" w14:textId="77777777" w:rsidR="00BB2499" w:rsidRPr="00BB2499" w:rsidRDefault="00BB2499" w:rsidP="00B057C9">
      <w:pPr>
        <w:numPr>
          <w:ilvl w:val="1"/>
          <w:numId w:val="11"/>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التعريف الإجرائي: </w:t>
      </w:r>
      <w:r w:rsidRPr="00BB2499">
        <w:rPr>
          <w:rFonts w:ascii="Times New Roman" w:eastAsia="Calibri" w:hAnsi="Times New Roman" w:cs="Simplified Arabic"/>
          <w:sz w:val="24"/>
          <w:szCs w:val="28"/>
          <w:rtl/>
        </w:rPr>
        <w:t>الحوافز المادية والمعنوية التي تقدمها المنشآت الصناعية بالرياض لموظفيها تقديراً لجهودهم ومساهماتهم في تحسين الأداء البيئي للمنشأة.</w:t>
      </w:r>
    </w:p>
    <w:p w14:paraId="06440F8F"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ثانياً: الاستدامة البيئية </w:t>
      </w:r>
      <w:r w:rsidRPr="00BB2499">
        <w:rPr>
          <w:rFonts w:ascii="Times New Roman" w:eastAsia="Calibri" w:hAnsi="Times New Roman" w:cs="Simplified Arabic"/>
          <w:b/>
          <w:bCs/>
          <w:sz w:val="24"/>
          <w:szCs w:val="28"/>
        </w:rPr>
        <w:t>(Environmental Sustainability)</w:t>
      </w:r>
      <w:r w:rsidRPr="00BB2499">
        <w:rPr>
          <w:rFonts w:ascii="Times New Roman" w:eastAsia="Calibri" w:hAnsi="Times New Roman" w:cs="Simplified Arabic"/>
          <w:b/>
          <w:bCs/>
          <w:sz w:val="24"/>
          <w:szCs w:val="28"/>
          <w:rtl/>
        </w:rPr>
        <w:t>:</w:t>
      </w:r>
    </w:p>
    <w:p w14:paraId="7C159C37" w14:textId="77777777" w:rsidR="00BB2499" w:rsidRPr="00BB2499" w:rsidRDefault="00BB2499" w:rsidP="00B057C9">
      <w:pPr>
        <w:numPr>
          <w:ilvl w:val="0"/>
          <w:numId w:val="12"/>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عرفها </w:t>
      </w:r>
      <w:r w:rsidRPr="00BB2499">
        <w:rPr>
          <w:rFonts w:ascii="Times New Roman" w:eastAsia="Calibri" w:hAnsi="Times New Roman" w:cs="Simplified Arabic"/>
          <w:sz w:val="24"/>
          <w:szCs w:val="28"/>
        </w:rPr>
        <w:t>(Ba et al., 2023)</w:t>
      </w:r>
      <w:r w:rsidRPr="00BB2499">
        <w:rPr>
          <w:rFonts w:ascii="Times New Roman" w:eastAsia="Calibri" w:hAnsi="Times New Roman" w:cs="Simplified Arabic"/>
          <w:sz w:val="24"/>
          <w:szCs w:val="28"/>
          <w:rtl/>
        </w:rPr>
        <w:t xml:space="preserve"> بأنها: قدرة المنظمة على إدارة عملياتها وأنشطتها بطريقة تقلل من الآثار السلبية على البيئة الطبيعية، وتحافظ على الموارد للأجيال القادمة، مع ضمان الامتثال للوائح البيئية وتحقيق الكفاءة البيئية.</w:t>
      </w:r>
    </w:p>
    <w:p w14:paraId="6416DDD1" w14:textId="77777777" w:rsidR="00BB2499" w:rsidRPr="00BB2499" w:rsidRDefault="00BB2499" w:rsidP="00B057C9">
      <w:pPr>
        <w:numPr>
          <w:ilvl w:val="0"/>
          <w:numId w:val="12"/>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وعرفها جبر والجنابي (2022) بأنها: الحالة التي يتم فيها تلبية احتياجات الحاضر دون المساس بقدرة الأجيال القادمة على تلبية احتياجاتها الخاصة، من خلال الحفاظ على التوازن البيئي وحماية النظم الطبيعية.</w:t>
      </w:r>
    </w:p>
    <w:p w14:paraId="5C48943C" w14:textId="77777777" w:rsidR="00BB2499" w:rsidRPr="00BB2499" w:rsidRDefault="00BB2499" w:rsidP="00B057C9">
      <w:pPr>
        <w:numPr>
          <w:ilvl w:val="0"/>
          <w:numId w:val="12"/>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 xml:space="preserve">كما عرفها </w:t>
      </w:r>
      <w:r w:rsidRPr="00BB2499">
        <w:rPr>
          <w:rFonts w:ascii="Times New Roman" w:eastAsia="Calibri" w:hAnsi="Times New Roman" w:cs="Simplified Arabic"/>
          <w:sz w:val="24"/>
          <w:szCs w:val="28"/>
        </w:rPr>
        <w:t>(Yusoff et al., 2018)</w:t>
      </w:r>
      <w:r w:rsidRPr="00BB2499">
        <w:rPr>
          <w:rFonts w:ascii="Times New Roman" w:eastAsia="Calibri" w:hAnsi="Times New Roman" w:cs="Simplified Arabic"/>
          <w:sz w:val="24"/>
          <w:szCs w:val="28"/>
          <w:rtl/>
        </w:rPr>
        <w:t xml:space="preserve"> بأنها: عملية الحفاظ على عوامل البيئة الطبيعية وجودتها على المدى الطويل، من خلال ممارسات الأعمال التي لا تستنزف الموارد الطبيعية ولا تضر بالنظام البيئي.</w:t>
      </w:r>
    </w:p>
    <w:p w14:paraId="676B9E8E" w14:textId="77777777" w:rsidR="00BB2499" w:rsidRPr="00BB2499" w:rsidRDefault="00BB2499" w:rsidP="00B057C9">
      <w:pPr>
        <w:numPr>
          <w:ilvl w:val="0"/>
          <w:numId w:val="12"/>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وفي سياق هذه الدراسة، يُعرف مصطلح الاستدامة البيئية إجرائياً، بأنه: </w:t>
      </w:r>
      <w:r w:rsidRPr="00BB2499">
        <w:rPr>
          <w:rFonts w:ascii="Times New Roman" w:eastAsia="Calibri" w:hAnsi="Times New Roman" w:cs="Simplified Arabic"/>
          <w:sz w:val="24"/>
          <w:szCs w:val="28"/>
          <w:rtl/>
        </w:rPr>
        <w:t>قدرة المنشآت الصناعية بالرياض على ممارسة أنشطتها الإنتاجية بكفاءة تضمن الحد من التلوث والنفايات، والترشيد في استهلاك الموارد والطاقة، والالتزام التام بالأنظمة والتشريعات البيئية، وتقاس بالدرجة التي يحصل عليها المستجيبون عبر أداة الدراسة المعدة لذلك.</w:t>
      </w:r>
    </w:p>
    <w:p w14:paraId="26AEA8D8"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تعريفات أبعاد الاستدامة البيئية:</w:t>
      </w:r>
    </w:p>
    <w:p w14:paraId="15903898" w14:textId="77777777" w:rsidR="00BB2499" w:rsidRPr="00BB2499" w:rsidRDefault="00BB2499" w:rsidP="00B057C9">
      <w:pPr>
        <w:numPr>
          <w:ilvl w:val="0"/>
          <w:numId w:val="1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الحد من التلوث والنفايات: </w:t>
      </w:r>
      <w:r w:rsidRPr="00BB2499">
        <w:rPr>
          <w:rFonts w:ascii="Times New Roman" w:eastAsia="Calibri" w:hAnsi="Times New Roman" w:cs="Simplified Arabic"/>
          <w:sz w:val="24"/>
          <w:szCs w:val="28"/>
          <w:rtl/>
        </w:rPr>
        <w:t xml:space="preserve">عرفه </w:t>
      </w:r>
      <w:r w:rsidRPr="00BB2499">
        <w:rPr>
          <w:rFonts w:ascii="Times New Roman" w:eastAsia="Calibri" w:hAnsi="Times New Roman" w:cs="Simplified Arabic"/>
          <w:sz w:val="24"/>
          <w:szCs w:val="28"/>
        </w:rPr>
        <w:t>(Roscoe et al., 2019)</w:t>
      </w:r>
      <w:r w:rsidRPr="00BB2499">
        <w:rPr>
          <w:rFonts w:ascii="Times New Roman" w:eastAsia="Calibri" w:hAnsi="Times New Roman" w:cs="Simplified Arabic"/>
          <w:sz w:val="24"/>
          <w:szCs w:val="28"/>
          <w:rtl/>
        </w:rPr>
        <w:t xml:space="preserve"> بأنه: الاستراتيجيات والممارسات التي تهدف إلى تقليل الانبعاثات الضارة والنفايات الصلبة والسائلة الناتجة عن العمليات التشغيلية، ومعالجتها بطرق آمنة بيئياً.</w:t>
      </w:r>
    </w:p>
    <w:p w14:paraId="58D7D5B1" w14:textId="77777777" w:rsidR="00BB2499" w:rsidRPr="00BB2499" w:rsidRDefault="00BB2499" w:rsidP="00B057C9">
      <w:pPr>
        <w:numPr>
          <w:ilvl w:val="1"/>
          <w:numId w:val="1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التعريف الإجرائي: </w:t>
      </w:r>
      <w:r w:rsidRPr="00BB2499">
        <w:rPr>
          <w:rFonts w:ascii="Times New Roman" w:eastAsia="Calibri" w:hAnsi="Times New Roman" w:cs="Simplified Arabic"/>
          <w:sz w:val="24"/>
          <w:szCs w:val="28"/>
          <w:rtl/>
        </w:rPr>
        <w:t>الإجراءات التي تتخذها المنشآت الصناعية بالرياض لتقليل الآثار السلبية لعملياتها على البيئة من خلال خفض الانبعاثات وإدارة النفايات بفعالية.</w:t>
      </w:r>
    </w:p>
    <w:p w14:paraId="6B2DC329" w14:textId="77777777" w:rsidR="00BB2499" w:rsidRPr="00BB2499" w:rsidRDefault="00BB2499" w:rsidP="00B057C9">
      <w:pPr>
        <w:numPr>
          <w:ilvl w:val="0"/>
          <w:numId w:val="1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كفاءة استخدام الموارد والطاقة: </w:t>
      </w:r>
      <w:r w:rsidRPr="00BB2499">
        <w:rPr>
          <w:rFonts w:ascii="Times New Roman" w:eastAsia="Calibri" w:hAnsi="Times New Roman" w:cs="Simplified Arabic"/>
          <w:sz w:val="24"/>
          <w:szCs w:val="28"/>
          <w:rtl/>
        </w:rPr>
        <w:t xml:space="preserve">عرفه </w:t>
      </w:r>
      <w:r w:rsidRPr="00BB2499">
        <w:rPr>
          <w:rFonts w:ascii="Times New Roman" w:eastAsia="Calibri" w:hAnsi="Times New Roman" w:cs="Simplified Arabic"/>
          <w:sz w:val="24"/>
          <w:szCs w:val="28"/>
        </w:rPr>
        <w:t>(Singh et al., 2020)</w:t>
      </w:r>
      <w:r w:rsidRPr="00BB2499">
        <w:rPr>
          <w:rFonts w:ascii="Times New Roman" w:eastAsia="Calibri" w:hAnsi="Times New Roman" w:cs="Simplified Arabic"/>
          <w:sz w:val="24"/>
          <w:szCs w:val="28"/>
          <w:rtl/>
        </w:rPr>
        <w:t xml:space="preserve"> بأنه: الاستخدام الأمثل للموارد الطبيعية والطاقة في العمليات الإنتاجية، بهدف تحقيق أقصى إنتاجية بأقل قدر من المدخلات، وتقليل الهدر في الموارد.</w:t>
      </w:r>
    </w:p>
    <w:p w14:paraId="55A4F042" w14:textId="77777777" w:rsidR="00BB2499" w:rsidRPr="00BB2499" w:rsidRDefault="00BB2499" w:rsidP="00B057C9">
      <w:pPr>
        <w:numPr>
          <w:ilvl w:val="1"/>
          <w:numId w:val="1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التعريف الإجرائي: </w:t>
      </w:r>
      <w:r w:rsidRPr="00BB2499">
        <w:rPr>
          <w:rFonts w:ascii="Times New Roman" w:eastAsia="Calibri" w:hAnsi="Times New Roman" w:cs="Simplified Arabic"/>
          <w:sz w:val="24"/>
          <w:szCs w:val="28"/>
          <w:rtl/>
        </w:rPr>
        <w:t>الممارسات التي تتبعها المنشآت الصناعية بالرياض لضمان الاستخدام الرشيد للمواد الخام والمياه والطاقة في عملياتها المختلفة.</w:t>
      </w:r>
    </w:p>
    <w:p w14:paraId="33A1F143" w14:textId="77777777" w:rsidR="00BB2499" w:rsidRPr="00BB2499" w:rsidRDefault="00BB2499" w:rsidP="00B057C9">
      <w:pPr>
        <w:numPr>
          <w:ilvl w:val="0"/>
          <w:numId w:val="1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الامتثال البيئي: </w:t>
      </w:r>
      <w:r w:rsidRPr="00BB2499">
        <w:rPr>
          <w:rFonts w:ascii="Times New Roman" w:eastAsia="Calibri" w:hAnsi="Times New Roman" w:cs="Simplified Arabic"/>
          <w:sz w:val="24"/>
          <w:szCs w:val="28"/>
          <w:rtl/>
        </w:rPr>
        <w:t xml:space="preserve">عرفه </w:t>
      </w:r>
      <w:r w:rsidRPr="00BB2499">
        <w:rPr>
          <w:rFonts w:ascii="Times New Roman" w:eastAsia="Calibri" w:hAnsi="Times New Roman" w:cs="Simplified Arabic"/>
          <w:sz w:val="24"/>
          <w:szCs w:val="28"/>
        </w:rPr>
        <w:t>(Zaid et al., 2018)</w:t>
      </w:r>
      <w:r w:rsidRPr="00BB2499">
        <w:rPr>
          <w:rFonts w:ascii="Times New Roman" w:eastAsia="Calibri" w:hAnsi="Times New Roman" w:cs="Simplified Arabic"/>
          <w:sz w:val="24"/>
          <w:szCs w:val="28"/>
          <w:rtl/>
        </w:rPr>
        <w:t xml:space="preserve"> بأنه: التزام المنظمة بجميع القوانين واللوائح والمعايير البيئية المحلية والدولية ذات الصلة بأنشطتها، وتجنب المخالفات والعقوبات البيئية.</w:t>
      </w:r>
    </w:p>
    <w:p w14:paraId="66B176A6" w14:textId="77777777" w:rsidR="00BB2499" w:rsidRPr="00BB2499" w:rsidRDefault="00BB2499" w:rsidP="00B057C9">
      <w:pPr>
        <w:numPr>
          <w:ilvl w:val="1"/>
          <w:numId w:val="13"/>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التعريف الإجرائي: </w:t>
      </w:r>
      <w:r w:rsidRPr="00BB2499">
        <w:rPr>
          <w:rFonts w:ascii="Times New Roman" w:eastAsia="Calibri" w:hAnsi="Times New Roman" w:cs="Simplified Arabic"/>
          <w:sz w:val="24"/>
          <w:szCs w:val="28"/>
          <w:rtl/>
        </w:rPr>
        <w:t>مدى تقيد المنشآت الصناعية بالرياض بالأنظمة والتشريعات البيئية الصادرة عن الجهات المعنية في المملكة.</w:t>
      </w:r>
    </w:p>
    <w:p w14:paraId="412199F1" w14:textId="77777777" w:rsidR="00BB2499" w:rsidRPr="00BB2499" w:rsidRDefault="00BB2499" w:rsidP="00BB2499">
      <w:pPr>
        <w:spacing w:before="120" w:after="120" w:line="360" w:lineRule="auto"/>
        <w:ind w:firstLine="397"/>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ثالثاً: المنشآت الصناعية </w:t>
      </w:r>
      <w:r w:rsidRPr="00BB2499">
        <w:rPr>
          <w:rFonts w:ascii="Times New Roman" w:eastAsia="Calibri" w:hAnsi="Times New Roman" w:cs="Simplified Arabic"/>
          <w:b/>
          <w:bCs/>
          <w:sz w:val="24"/>
          <w:szCs w:val="28"/>
        </w:rPr>
        <w:t>(Industrial Establishments)</w:t>
      </w:r>
      <w:r w:rsidRPr="00BB2499">
        <w:rPr>
          <w:rFonts w:ascii="Times New Roman" w:eastAsia="Calibri" w:hAnsi="Times New Roman" w:cs="Simplified Arabic"/>
          <w:b/>
          <w:bCs/>
          <w:sz w:val="24"/>
          <w:szCs w:val="28"/>
          <w:rtl/>
        </w:rPr>
        <w:t>:</w:t>
      </w:r>
    </w:p>
    <w:p w14:paraId="411B9202" w14:textId="77777777" w:rsidR="00BB2499" w:rsidRPr="00BB2499" w:rsidRDefault="00BB2499" w:rsidP="00B057C9">
      <w:pPr>
        <w:numPr>
          <w:ilvl w:val="0"/>
          <w:numId w:val="14"/>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sz w:val="24"/>
          <w:szCs w:val="28"/>
          <w:rtl/>
        </w:rPr>
        <w:t>عرفها شماسنة (2023) بأنها: وحدات اقتصادية تهدف إلى تحويل المواد الخام إلى منتجات تامة الصنع أو نصف مصنعة باستخدام الآلات والمعدات والقوى العاملة، وتسعى لتحقيق الربح وتلبية احتياجات السوق.</w:t>
      </w:r>
    </w:p>
    <w:p w14:paraId="59BD404D" w14:textId="77777777" w:rsidR="00BB2499" w:rsidRPr="00BB2499" w:rsidRDefault="00BB2499" w:rsidP="00B057C9">
      <w:pPr>
        <w:numPr>
          <w:ilvl w:val="0"/>
          <w:numId w:val="14"/>
        </w:numPr>
        <w:spacing w:before="120" w:after="120" w:line="360" w:lineRule="auto"/>
        <w:jc w:val="both"/>
        <w:rPr>
          <w:rFonts w:ascii="Times New Roman" w:eastAsia="Calibri" w:hAnsi="Times New Roman" w:cs="Simplified Arabic"/>
          <w:sz w:val="24"/>
          <w:szCs w:val="28"/>
        </w:rPr>
      </w:pPr>
      <w:r w:rsidRPr="00BB2499">
        <w:rPr>
          <w:rFonts w:ascii="Times New Roman" w:eastAsia="Calibri" w:hAnsi="Times New Roman" w:cs="Simplified Arabic"/>
          <w:b/>
          <w:bCs/>
          <w:sz w:val="24"/>
          <w:szCs w:val="28"/>
          <w:rtl/>
        </w:rPr>
        <w:t xml:space="preserve">وفي سياق هذه الدراسة، يُعرف مصطلح المنشآت الصناعية إجرائياً، بأنه: </w:t>
      </w:r>
      <w:r w:rsidRPr="00BB2499">
        <w:rPr>
          <w:rFonts w:ascii="Times New Roman" w:eastAsia="Calibri" w:hAnsi="Times New Roman" w:cs="Simplified Arabic"/>
          <w:sz w:val="24"/>
          <w:szCs w:val="28"/>
          <w:rtl/>
        </w:rPr>
        <w:t>المصانع والشركات العاملة في القطاع الصناعي والمسجلة رسمياً في المدن الصناعية بمدينة الرياض، والتي تمارس أنشطة تحويلية وإنتاجية وتخضع للدراسة الحالية.</w:t>
      </w:r>
    </w:p>
    <w:p w14:paraId="5F3E1DA1" w14:textId="77777777" w:rsidR="00586478" w:rsidRPr="00586478" w:rsidRDefault="00586478" w:rsidP="00B03B33">
      <w:pPr>
        <w:spacing w:after="0" w:line="360" w:lineRule="auto"/>
        <w:ind w:firstLine="510"/>
        <w:jc w:val="both"/>
        <w:rPr>
          <w:rFonts w:ascii="Times New Roman" w:eastAsia="Calibri" w:hAnsi="Times New Roman" w:cs="Simplified Arabic"/>
          <w:sz w:val="24"/>
          <w:szCs w:val="28"/>
          <w:rtl/>
        </w:rPr>
      </w:pPr>
      <w:r w:rsidRPr="00586478">
        <w:rPr>
          <w:rFonts w:ascii="Times New Roman" w:eastAsia="Calibri" w:hAnsi="Times New Roman" w:cs="Simplified Arabic"/>
          <w:sz w:val="24"/>
          <w:szCs w:val="28"/>
          <w:rtl/>
        </w:rPr>
        <w:br w:type="page"/>
      </w:r>
    </w:p>
    <w:p w14:paraId="6D038C3E" w14:textId="77777777" w:rsidR="00586478" w:rsidRPr="00586478" w:rsidRDefault="00586478" w:rsidP="00B03B33">
      <w:pPr>
        <w:spacing w:after="0" w:line="360" w:lineRule="auto"/>
        <w:ind w:firstLine="284"/>
        <w:jc w:val="both"/>
        <w:rPr>
          <w:rFonts w:ascii="Times New Roman" w:eastAsia="Calibri" w:hAnsi="Times New Roman" w:cs="Simplified Arabic"/>
          <w:sz w:val="24"/>
          <w:szCs w:val="28"/>
          <w:rtl/>
        </w:rPr>
      </w:pPr>
    </w:p>
    <w:p w14:paraId="3C280FCC" w14:textId="77777777" w:rsidR="00586478" w:rsidRPr="00586478" w:rsidRDefault="00586478" w:rsidP="00B03B33">
      <w:pPr>
        <w:spacing w:after="0" w:line="360" w:lineRule="auto"/>
        <w:ind w:firstLine="284"/>
        <w:jc w:val="both"/>
        <w:rPr>
          <w:rFonts w:ascii="Times New Roman" w:eastAsia="Calibri" w:hAnsi="Times New Roman" w:cs="Simplified Arabic"/>
          <w:sz w:val="24"/>
          <w:szCs w:val="28"/>
          <w:rtl/>
        </w:rPr>
      </w:pPr>
    </w:p>
    <w:p w14:paraId="67F2E6E4" w14:textId="77777777" w:rsidR="00586478" w:rsidRPr="00586478" w:rsidRDefault="00586478" w:rsidP="00B03B33">
      <w:pPr>
        <w:spacing w:after="0" w:line="360" w:lineRule="auto"/>
        <w:rPr>
          <w:rFonts w:ascii="Simplified Arabic" w:eastAsia="Calibri" w:hAnsi="Simplified Arabic" w:cs="PT Bold Heading"/>
          <w:sz w:val="48"/>
          <w:szCs w:val="48"/>
          <w:rtl/>
        </w:rPr>
      </w:pPr>
      <w:bookmarkStart w:id="3" w:name="_Hlk200813560"/>
      <w:bookmarkEnd w:id="2"/>
    </w:p>
    <w:p w14:paraId="6C90943D"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الفصل الثاني</w:t>
      </w:r>
    </w:p>
    <w:p w14:paraId="0193D915"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r w:rsidRPr="00586478">
        <w:rPr>
          <w:rFonts w:ascii="Simplified Arabic" w:eastAsia="Calibri" w:hAnsi="Simplified Arabic" w:cs="PT Bold Heading"/>
          <w:sz w:val="48"/>
          <w:szCs w:val="48"/>
          <w:rtl/>
        </w:rPr>
        <w:t>الإطار النظري والدراسات السابقة</w:t>
      </w:r>
    </w:p>
    <w:p w14:paraId="1FFBA3EB" w14:textId="77777777" w:rsidR="00586478" w:rsidRPr="00586478" w:rsidRDefault="00586478" w:rsidP="00B03B33">
      <w:pPr>
        <w:spacing w:after="0" w:line="360" w:lineRule="auto"/>
        <w:jc w:val="center"/>
        <w:rPr>
          <w:rFonts w:ascii="Simplified Arabic" w:eastAsia="Calibri" w:hAnsi="Simplified Arabic" w:cs="PT Bold Heading"/>
          <w:sz w:val="48"/>
          <w:szCs w:val="48"/>
          <w:rtl/>
        </w:rPr>
      </w:pPr>
    </w:p>
    <w:p w14:paraId="13CC2513"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مقدمة</w:t>
      </w:r>
    </w:p>
    <w:p w14:paraId="19B6F972" w14:textId="77777777" w:rsidR="00586478" w:rsidRPr="00586478" w:rsidRDefault="00586478" w:rsidP="00B03B33">
      <w:pPr>
        <w:spacing w:after="0" w:line="360" w:lineRule="auto"/>
        <w:ind w:left="1077"/>
        <w:rPr>
          <w:rFonts w:ascii="Simplified Arabic" w:eastAsia="Calibri" w:hAnsi="Simplified Arabic" w:cs="PT Bold Heading"/>
          <w:sz w:val="2"/>
          <w:szCs w:val="2"/>
          <w:rtl/>
        </w:rPr>
      </w:pPr>
    </w:p>
    <w:p w14:paraId="1B8C5AB4"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 xml:space="preserve">المحور الأول: الدراسات السابقة </w:t>
      </w:r>
    </w:p>
    <w:p w14:paraId="728063C5" w14:textId="77777777" w:rsidR="00586478" w:rsidRPr="00586478" w:rsidRDefault="00586478" w:rsidP="00B03B33">
      <w:pPr>
        <w:spacing w:after="0" w:line="360" w:lineRule="auto"/>
        <w:ind w:left="1077"/>
        <w:rPr>
          <w:rFonts w:ascii="Simplified Arabic" w:eastAsia="Calibri" w:hAnsi="Simplified Arabic" w:cs="PT Bold Heading"/>
          <w:sz w:val="2"/>
          <w:szCs w:val="2"/>
          <w:rtl/>
        </w:rPr>
      </w:pPr>
    </w:p>
    <w:p w14:paraId="428083D9" w14:textId="77777777" w:rsidR="00586478" w:rsidRPr="00586478" w:rsidRDefault="00586478" w:rsidP="00B03B33">
      <w:pPr>
        <w:numPr>
          <w:ilvl w:val="0"/>
          <w:numId w:val="1"/>
        </w:numPr>
        <w:spacing w:after="0" w:line="360" w:lineRule="auto"/>
        <w:contextualSpacing/>
        <w:rPr>
          <w:rFonts w:ascii="Simplified Arabic" w:eastAsia="Calibri" w:hAnsi="Simplified Arabic" w:cs="PT Bold Heading"/>
          <w:sz w:val="36"/>
          <w:szCs w:val="36"/>
          <w:rtl/>
        </w:rPr>
      </w:pPr>
      <w:r w:rsidRPr="00586478">
        <w:rPr>
          <w:rFonts w:ascii="Simplified Arabic" w:eastAsia="Calibri" w:hAnsi="Simplified Arabic" w:cs="PT Bold Heading"/>
          <w:sz w:val="36"/>
          <w:szCs w:val="36"/>
          <w:rtl/>
        </w:rPr>
        <w:t>المحور الثاني: الإطار النظري للدراسة</w:t>
      </w:r>
    </w:p>
    <w:bookmarkEnd w:id="3"/>
    <w:p w14:paraId="574F070E" w14:textId="77777777" w:rsidR="00586478" w:rsidRPr="00586478" w:rsidRDefault="00586478" w:rsidP="00B03B33">
      <w:pPr>
        <w:spacing w:after="0" w:line="360" w:lineRule="auto"/>
        <w:jc w:val="center"/>
        <w:rPr>
          <w:rFonts w:ascii="Simplified Arabic" w:eastAsia="Calibri" w:hAnsi="Simplified Arabic" w:cs="PT Bold Heading"/>
          <w:sz w:val="42"/>
          <w:szCs w:val="42"/>
          <w:rtl/>
        </w:rPr>
      </w:pPr>
    </w:p>
    <w:p w14:paraId="0DCE7B28" w14:textId="77777777" w:rsidR="00586478" w:rsidRPr="00586478" w:rsidRDefault="00586478" w:rsidP="00B03B33">
      <w:pPr>
        <w:spacing w:after="0" w:line="360" w:lineRule="auto"/>
        <w:ind w:firstLine="284"/>
        <w:jc w:val="center"/>
        <w:rPr>
          <w:rFonts w:ascii="Simplified Arabic" w:eastAsia="Calibri" w:hAnsi="Simplified Arabic" w:cs="Simplified Arabic"/>
          <w:sz w:val="28"/>
          <w:szCs w:val="28"/>
          <w:lang w:bidi="ar-EG"/>
        </w:rPr>
      </w:pPr>
      <w:r w:rsidRPr="00586478">
        <w:rPr>
          <w:rFonts w:ascii="Simplified Arabic" w:eastAsia="Calibri" w:hAnsi="Simplified Arabic" w:cs="PT Bold Heading"/>
          <w:sz w:val="48"/>
          <w:szCs w:val="48"/>
          <w:rtl/>
        </w:rPr>
        <w:br w:type="page"/>
      </w:r>
    </w:p>
    <w:p w14:paraId="4557638E"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الفصل الثاني</w:t>
      </w:r>
    </w:p>
    <w:p w14:paraId="44931700" w14:textId="77777777" w:rsidR="00586478" w:rsidRPr="00586478" w:rsidRDefault="00586478" w:rsidP="00B03B33">
      <w:pPr>
        <w:spacing w:after="0" w:line="360" w:lineRule="auto"/>
        <w:jc w:val="center"/>
        <w:rPr>
          <w:rFonts w:ascii="Simplified Arabic" w:eastAsia="Calibri" w:hAnsi="Simplified Arabic" w:cs="PT Bold Heading"/>
          <w:sz w:val="32"/>
          <w:szCs w:val="32"/>
          <w:rtl/>
        </w:rPr>
      </w:pPr>
      <w:r w:rsidRPr="00586478">
        <w:rPr>
          <w:rFonts w:ascii="Simplified Arabic" w:eastAsia="Calibri" w:hAnsi="Simplified Arabic" w:cs="PT Bold Heading"/>
          <w:sz w:val="32"/>
          <w:szCs w:val="32"/>
          <w:rtl/>
        </w:rPr>
        <w:t>الإطار النظري والدراسات السابقة</w:t>
      </w:r>
    </w:p>
    <w:p w14:paraId="59E641BA" w14:textId="77777777" w:rsidR="0039762B" w:rsidRDefault="0039762B" w:rsidP="00B03B33">
      <w:pPr>
        <w:spacing w:after="0" w:line="360" w:lineRule="auto"/>
        <w:ind w:firstLine="284"/>
        <w:jc w:val="both"/>
        <w:rPr>
          <w:rFonts w:ascii="Times New Roman" w:eastAsia="Calibri" w:hAnsi="Times New Roman" w:cs="Simplified Arabic"/>
          <w:b/>
          <w:bCs/>
          <w:sz w:val="24"/>
          <w:szCs w:val="28"/>
          <w:rtl/>
        </w:rPr>
      </w:pPr>
    </w:p>
    <w:p w14:paraId="71745788" w14:textId="77777777" w:rsidR="00903814" w:rsidRPr="00A23936" w:rsidRDefault="00586478" w:rsidP="00A23936">
      <w:pPr>
        <w:spacing w:after="0" w:line="360" w:lineRule="auto"/>
        <w:ind w:firstLine="284"/>
        <w:jc w:val="both"/>
        <w:rPr>
          <w:rFonts w:ascii="Times New Roman" w:eastAsia="Calibri" w:hAnsi="Times New Roman" w:cs="Simplified Arabic"/>
          <w:b/>
          <w:bCs/>
          <w:sz w:val="24"/>
          <w:szCs w:val="28"/>
        </w:rPr>
      </w:pPr>
      <w:r w:rsidRPr="00586478">
        <w:rPr>
          <w:rFonts w:ascii="Times New Roman" w:eastAsia="Calibri" w:hAnsi="Times New Roman" w:cs="Simplified Arabic"/>
          <w:b/>
          <w:bCs/>
          <w:sz w:val="24"/>
          <w:szCs w:val="28"/>
          <w:rtl/>
        </w:rPr>
        <w:t>مقدمة</w:t>
      </w:r>
    </w:p>
    <w:p w14:paraId="04BCF417"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يتناول هذا الفصل محورين رئيسيين؛ يستعرض المحور الأول الدراسات السابقة (المحلية، والعربية، والأجنبية) ذات الصلة بموضوع الدراسة الحالية، مع تقديم تعقيب تحليلي يبرز أوجه الاتفاق والاختلاف والفجوة البحثية. بينما يتناول المحور الثاني الإطار النظري للموضوع، مفصلاً في ثلاثة مباحث تغطي المتغيرات المستقلة والتابعة والعلاقة بينهما.</w:t>
      </w:r>
    </w:p>
    <w:p w14:paraId="68CD7C91" w14:textId="77777777" w:rsidR="007E5EA8" w:rsidRDefault="007E5EA8" w:rsidP="007E5EA8">
      <w:pPr>
        <w:spacing w:before="120" w:after="120" w:line="360" w:lineRule="auto"/>
        <w:ind w:firstLine="397"/>
        <w:jc w:val="center"/>
        <w:rPr>
          <w:rFonts w:ascii="Times New Roman" w:eastAsia="Calibri" w:hAnsi="Times New Roman" w:cs="Simplified Arabic"/>
          <w:b/>
          <w:bCs/>
          <w:sz w:val="28"/>
          <w:szCs w:val="32"/>
          <w:rtl/>
        </w:rPr>
      </w:pPr>
    </w:p>
    <w:p w14:paraId="5FECB839" w14:textId="5ED33CB9" w:rsidR="007E5EA8" w:rsidRPr="007E5EA8" w:rsidRDefault="007E5EA8" w:rsidP="007E5EA8">
      <w:pPr>
        <w:spacing w:before="120" w:after="120" w:line="360" w:lineRule="auto"/>
        <w:ind w:firstLine="397"/>
        <w:jc w:val="center"/>
        <w:rPr>
          <w:rFonts w:ascii="Times New Roman" w:eastAsia="Calibri" w:hAnsi="Times New Roman" w:cs="Simplified Arabic"/>
          <w:b/>
          <w:bCs/>
          <w:sz w:val="28"/>
          <w:szCs w:val="32"/>
        </w:rPr>
      </w:pPr>
      <w:r w:rsidRPr="007E5EA8">
        <w:rPr>
          <w:rFonts w:ascii="Times New Roman" w:eastAsia="Calibri" w:hAnsi="Times New Roman" w:cs="Simplified Arabic"/>
          <w:b/>
          <w:bCs/>
          <w:sz w:val="28"/>
          <w:szCs w:val="32"/>
          <w:rtl/>
        </w:rPr>
        <w:t>المحور الأول: الدراسات السابقة</w:t>
      </w:r>
    </w:p>
    <w:p w14:paraId="17644072"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تمهيد:</w:t>
      </w:r>
      <w:r w:rsidRPr="007E5EA8">
        <w:rPr>
          <w:rFonts w:ascii="Times New Roman" w:eastAsia="Calibri" w:hAnsi="Times New Roman" w:cs="Simplified Arabic"/>
          <w:sz w:val="24"/>
          <w:szCs w:val="28"/>
        </w:rPr>
        <w:br/>
      </w:r>
      <w:r w:rsidRPr="007E5EA8">
        <w:rPr>
          <w:rFonts w:ascii="Times New Roman" w:eastAsia="Calibri" w:hAnsi="Times New Roman" w:cs="Simplified Arabic"/>
          <w:sz w:val="24"/>
          <w:szCs w:val="28"/>
          <w:rtl/>
        </w:rPr>
        <w:t>يستعرض هذا المحور مجموعة من الدراسات السابقة التي تناولت متغيرات الدراسة الحالية، سواء بشكل مباشر أو غير مباشر، وتم تصنيفها إلى ثلاثة أقسام: دراسات محلية، ودراسات عربية، ودراسات أجنبية، مرتبة زمنياً من الأحدث إلى الأقدم.</w:t>
      </w:r>
    </w:p>
    <w:p w14:paraId="7C0911CE"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Pr>
      </w:pPr>
      <w:r w:rsidRPr="007E5EA8">
        <w:rPr>
          <w:rFonts w:ascii="Times New Roman" w:eastAsia="Calibri" w:hAnsi="Times New Roman" w:cs="Simplified Arabic"/>
          <w:b/>
          <w:bCs/>
          <w:sz w:val="24"/>
          <w:szCs w:val="28"/>
          <w:rtl/>
        </w:rPr>
        <w:t>أولاً: دراسات محلية</w:t>
      </w:r>
    </w:p>
    <w:p w14:paraId="02FCF51D" w14:textId="77777777" w:rsidR="007E5EA8" w:rsidRPr="007E5EA8" w:rsidRDefault="007E5EA8" w:rsidP="00B057C9">
      <w:pPr>
        <w:numPr>
          <w:ilvl w:val="0"/>
          <w:numId w:val="15"/>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الصحفي والقرني (2023)، المملكة العربية السعودية، "أثر ممارسات إدارة الموارد البشرية الخضراء في تعزيز الأداء البيئي في المنشآت الصغيرة والمتوسطة: دراسة ميدانية على عينة من المنشآت في محافظة جدة</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التعرف على أثر ممارسات إدارة الموارد البشرية الخضراء في تعزيز الأداء البيئي. اعتمدت الدراسة المنهج الوصفي التحليلي. استخدمت الاستبانة كأداة لجمع البيانات. تكونت العينة من (384) موظفاً وموظفة في المنشآت الصغيرة والمتوسطة بمحافظة جدة. توصلت النتائج إلى وجود أثر ذي دلالة إحصائية لممارسات إدارة الموارد البشرية الخضراء (التوظيف الأخضر، التدريب والتطوير الأخضر، تقييم الأداء الأخضر، المكافآت الخضراء) في تعزيز الأداء البيئي، وأن مستوى تطبيق هذه الممارسات جاء متوسطاً. أوصت الدراسة بضرورة تبني المنشآت استراتيجيات واضحة لدمج الأهداف البيئية في وظائف الموارد البشرية.</w:t>
      </w:r>
    </w:p>
    <w:p w14:paraId="3D5414F4" w14:textId="77777777" w:rsidR="007E5EA8" w:rsidRPr="007E5EA8" w:rsidRDefault="007E5EA8" w:rsidP="00B057C9">
      <w:pPr>
        <w:numPr>
          <w:ilvl w:val="0"/>
          <w:numId w:val="15"/>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أحمد (2022)، المملكة العربية السعودية، "أثر تطبيق إدارة الموارد البشرية الخضراء في تحقيق التنمية المستدامة: دراسة حالة على عضوات هيئة التدريس والموظفات بكلية المجتمع بخميس مشيط – شطر الطالبات</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بيان أثر تطبيق إدارة الموارد البشرية الخضراء في تحقيق التنمية المستدامة. اتبعت الدراسة المنهج الوصفي التحليلي. استخدمت الاستبانة كأداة لجمع البيانات. شملت العينة (110) من عضوات هيئة التدريس والموظفات. أظهرت النتائج وجود علاقة طردية قوية بين ممارسات إدارة الموارد البشرية الخضراء وأبعاد التنمية المستدامة، وأن تطبيق هذه الممارسات يساهم بشكل فعال في تحقيق الاستدامة البيئية والاجتماعية والاقتصادية. أوصت الدراسة بتعزيز الثقافة التنظيمية الخضراء وتوفير برامج تدريبية متخصصة في المجال البيئي.</w:t>
      </w:r>
    </w:p>
    <w:p w14:paraId="5DB4B00E" w14:textId="77777777" w:rsidR="007E5EA8" w:rsidRPr="007E5EA8" w:rsidRDefault="007E5EA8" w:rsidP="00B057C9">
      <w:pPr>
        <w:numPr>
          <w:ilvl w:val="0"/>
          <w:numId w:val="15"/>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زيادة (2022)، المملكة العربية السعودية، "دور ممارسات إدارة الموارد البشرية الخضراء في تحقيق الإنتاجية الخضراء لمنظمات الأعمال الصناعية بمدينة أبها</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الكشف عن دور ممارسات إدارة الموارد البشرية الخضراء في تحقيق الإنتاجية الخضراء. اعتمدت الدراسة المنهج الوصفي التحليلي. استخدمت الاستبانة كأداة لجمع البيانات. طبقت الدراسة على عينة من العاملين في المنظمات الصناعية بمدينة أبها. توصلت النتائج إلى وجود دور إيجابي لممارسات الموارد البشرية الخضراء في تعزيز الإنتاجية الخضراء، حيث يساهم التدريب الأخضر والتحفيز الأخضر في تحسين كفاءة العمليات وتقليل الهدر. أوصت الدراسة بضرورة ربط أنظمة الحوافز والمكافآت بمؤشرات الأداء البيئي والإنتاجية الخضراء.</w:t>
      </w:r>
    </w:p>
    <w:p w14:paraId="77D2EAA4" w14:textId="77777777" w:rsidR="007E5EA8" w:rsidRPr="007E5EA8" w:rsidRDefault="007E5EA8" w:rsidP="00B057C9">
      <w:pPr>
        <w:numPr>
          <w:ilvl w:val="0"/>
          <w:numId w:val="15"/>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العولقي (2021)، المملكة العربية السعودية، "أثر ممارسات إدارة الموارد البشرية الخضراء في تعزيز الأداء المستدام: الدور الوسيط للمعرفة البيئية والسلوك الأخضر للموظفين</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اختبار أثر ممارسات إدارة الموارد البشرية الخضراء في الأداء المستدام بوجود المعرفة البيئية والسلوك الأخضر كمتغيرات وسيطة. اتبعت الدراسة المنهج الوصفي التحليلي. استخدمت الاستبانة كأداة لجمع البيانات. تكونت العينة من موظفي الشركات الصناعية. بينت النتائج أن ممارسات الموارد البشرية الخضراء تؤثر بشكل مباشر وغير مباشر في الأداء المستدام من خلال تعزيز المعرفة البيئية والسلوك الأخضر للموظفين. أوصت الدراسة بالتركيز على بناء رأس المال البشري الأخضر من خلال برامج التوعية والتدريب المستمر.</w:t>
      </w:r>
    </w:p>
    <w:p w14:paraId="71808272" w14:textId="77777777" w:rsidR="007E5EA8" w:rsidRPr="007E5EA8" w:rsidRDefault="007E5EA8" w:rsidP="00B057C9">
      <w:pPr>
        <w:numPr>
          <w:ilvl w:val="0"/>
          <w:numId w:val="15"/>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العولقي والكبسي (2020)، اليمن (دراسة مطبقة في بيئة مشابهة ونشرت في مجلة سعودية)، "واقع تبني ممارسات إدارة سلسلة التوريد الخضراء في الشركات الصناعية اليمنية</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التعرف على واقع تبني ممارسات إدارة سلسلة التوريد الخضراء وعلاقتها بالأداء البيئي. اعتمدت المنهج الوصفي التحليلي. استخدمت الاستبانة كأداة لجمع البيانات. شملت العينة مدراء الشركات الصناعية. أظهرت النتائج أن مستوى تبني الممارسات الخضراء كان متوسطاً، وأن هناك علاقة ارتباطية موجبة بين هذه الممارسات وتحسين الأداء البيئي للشركات. أوصت الدراسة بضرورة دمج المعايير البيئية في جميع مراحل سلسلة التوريد، بدءاً من الشراء الأخضر وصولاً إلى التوزيع العكسي.</w:t>
      </w:r>
    </w:p>
    <w:p w14:paraId="6A194CC4"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Pr>
      </w:pPr>
      <w:r w:rsidRPr="007E5EA8">
        <w:rPr>
          <w:rFonts w:ascii="Times New Roman" w:eastAsia="Calibri" w:hAnsi="Times New Roman" w:cs="Simplified Arabic"/>
          <w:b/>
          <w:bCs/>
          <w:sz w:val="24"/>
          <w:szCs w:val="28"/>
          <w:rtl/>
        </w:rPr>
        <w:t>ثانياً: دراسات عربية</w:t>
      </w:r>
    </w:p>
    <w:p w14:paraId="67A2F70F" w14:textId="77777777" w:rsidR="007E5EA8" w:rsidRPr="007E5EA8" w:rsidRDefault="007E5EA8" w:rsidP="00B057C9">
      <w:pPr>
        <w:numPr>
          <w:ilvl w:val="0"/>
          <w:numId w:val="1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شمس الدين (2025)، العراق، "الدور الوسيط لممارسات إدارة الموارد البشرية الخضراء في العلاقة بين استراتيجيات التصنيع الأخضر وأبعاد الميزة التنافسية المستدامة: بحث تحليلي لآراء عينة من العاملين في معمل سمنت بادوش</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تحديد الدور الوسيط لممارسات الموارد البشرية الخضراء في العلاقة بين التصنيع الأخضر والميزة التنافسية المستدامة. اعتمدت المنهج الوصفي التحليلي. استخدمت الاستبانة لجمع البيانات. طبقت على عينة من العاملين في معمل سمنت بادوش. توصلت النتائج إلى أن ممارسات الموارد البشرية الخضراء تتوسط العلاقة وتعزز من تأثير استراتيجيات التصنيع الأخضر في تحقيق الاستدامة والميزة التنافسية. أوصت الدراسة بضرورة مواءمة استراتيجيات الموارد البشرية مع التوجهات البيئية للمصنع.</w:t>
      </w:r>
    </w:p>
    <w:p w14:paraId="71ECDDF4" w14:textId="77777777" w:rsidR="007E5EA8" w:rsidRPr="007E5EA8" w:rsidRDefault="007E5EA8" w:rsidP="00B057C9">
      <w:pPr>
        <w:numPr>
          <w:ilvl w:val="0"/>
          <w:numId w:val="1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اسماعيل (2025)، العراق، "تأثير ممارسات إدارة الموارد البشرية الخضراء في تحقيق التنمية المستدامة: بحث استطلاعي لآراء عينة من المدراء- معمل ألبان أبو غريب</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استطلاع آراء المدراء حول تأثير ممارسات الموارد البشرية الخضراء في التنمية المستدامة. اتبعت المنهج الاستطلاعي التحليلي. استخدمت الاستبانة كأداة رئيسة. شملت العينة مدراء معمل ألبان أبو غريب. أظهرت النتائج وجود تأثير معنوي لممارسات التوظيف والتدريب والتقييم الأخضر في أبعاد التنمية المستدامة، وخاصة البعد البيئي. أوصت الدراسة بتعزيز الوعي البيئي لدى القيادات الإدارية لضمان تطبيق فعال لهذه الممارسات.</w:t>
      </w:r>
    </w:p>
    <w:p w14:paraId="270BBBE0" w14:textId="77777777" w:rsidR="007E5EA8" w:rsidRPr="007E5EA8" w:rsidRDefault="007E5EA8" w:rsidP="00B057C9">
      <w:pPr>
        <w:numPr>
          <w:ilvl w:val="0"/>
          <w:numId w:val="1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الزفتاوي وآخرون (2024)، مصر، "أثر ممارسات إدارة الموارد البشرية الخضراء على التنمية المستدامة</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قياس أثر ممارسات إدارة الموارد البشرية الخضراء على التنمية المستدامة. اعتمدت المنهج الوصفي التحليلي. استخدمت الاستبانة لجمع البيانات. طبقت على عينة من العاملين في قطاعات مختلفة. بينت النتائج وجود أثر إيجابي دال إحصائياً لممارسات الموارد البشرية الخضراء على تحقيق أبعاد التنمية المستدامة الثلاثة (البيئي، الاقتصادي، الاجتماعي). أوصت الدراسة بتبني سياسات تحفيزية تشجع الموظفين على الانخراط في المبادرات البيئية.</w:t>
      </w:r>
    </w:p>
    <w:p w14:paraId="083338F3" w14:textId="77777777" w:rsidR="007E5EA8" w:rsidRPr="007E5EA8" w:rsidRDefault="007E5EA8" w:rsidP="00B057C9">
      <w:pPr>
        <w:numPr>
          <w:ilvl w:val="0"/>
          <w:numId w:val="1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شحاتة (2024)، مصر، "أثر ممارسات إدارة الموارد البشرية الخضراء في تحقيق التنمية البيئية المستدامة: تحليل الدور الوسيط للالتزام بالمسئولية الاجتماعية: دراسة تطبيقية على أعضاء هيئة التدريس والهيئة المعاونة بجامعة 6 أكتوبر</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اختبار أثر الممارسات الخضراء في التنمية البيئية المستدامة بوجود المسؤولية الاجتماعية كمتغير وسيط. اتبعت المنهج الوصفي التحليلي. استخدمت الاستبانة. شملت العينة أعضاء هيئة التدريس. توصلت النتائج إلى أن الالتزام بالمسئولية الاجتماعية يعزز من أثر ممارسات الموارد البشرية الخضراء في تحقيق الاستدامة البيئية. أوصت الدراسة بتضمين القيم البيئية والاجتماعية في برامج التوجيه للموظفين الجدد.</w:t>
      </w:r>
    </w:p>
    <w:p w14:paraId="301C7B13" w14:textId="77777777" w:rsidR="007E5EA8" w:rsidRPr="007E5EA8" w:rsidRDefault="007E5EA8" w:rsidP="00B057C9">
      <w:pPr>
        <w:numPr>
          <w:ilvl w:val="0"/>
          <w:numId w:val="1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إبراهيم (2023)، مصر، "الابتكار الأخضر كمتغير وسيط في العلاقة بين ممارسات إدارة الموارد البشرية الخضراء والتميز المؤسسي</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الكشف عن دور الابتكار الأخضر في العلاقة بين ممارسات الموارد البشرية الخضراء والتميز المؤسسي. اعتمدت المنهج الوصفي التحليلي. استخدمت الاستبانة. طبقت على عينة من الشركات. أظهرت النتائج أن الممارسات الخضراء تحفز الابتكار الأخضر، والذي بدوره يقود إلى التميز المؤسسي والاستدامة. أوصت الدراسة بتشجيع الموظفين على تقديم أفكار مبتكرة لحل المشكلات البيئية.</w:t>
      </w:r>
    </w:p>
    <w:p w14:paraId="4FAA559A" w14:textId="77777777" w:rsidR="007E5EA8" w:rsidRPr="007E5EA8" w:rsidRDefault="007E5EA8" w:rsidP="00B057C9">
      <w:pPr>
        <w:numPr>
          <w:ilvl w:val="0"/>
          <w:numId w:val="1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شماسنة (2023)، فلسطين، "أثر الممارسات الخضراء لإدارة الموارد البشرية على الصورة المؤسسية في قطاع الصناعة التحويلية الفلسطينية</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معرفة أثر الممارسات الخضراء لإدارة الموارد البشرية على الصورة المؤسسية. اعتمدت المنهج الوصفي التحليلي. استخدمت الاستبانة. شملت العينة (185) مديراً في شركات الصناعة التحويلية. بينت النتائج وجود أثر إيجابي للممارسات الخضراء (التوظيف، التدريب، تقييم الأداء، المكافآت) على تحسين الصورة الذهنية للمؤسسة ككيان مسؤول بيئياً. أوصت الدراسة باستثمار الممارسات الخضراء كأداة تسويقية لتعزيز مكانة الشركة.</w:t>
      </w:r>
    </w:p>
    <w:p w14:paraId="54A2DCA5" w14:textId="77777777" w:rsidR="007E5EA8" w:rsidRPr="007E5EA8" w:rsidRDefault="007E5EA8" w:rsidP="00B057C9">
      <w:pPr>
        <w:numPr>
          <w:ilvl w:val="0"/>
          <w:numId w:val="1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عبد الرؤوف وآخرون (2023)، مصر، "أثر ممارسات إدارة الموارد البشرية الخضراء على تحسين أداء العاملين: دراسة تطبيقية على الكليات التكنولوجية المصرية</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قياس أثر ممارسات إدارة الموارد البشرية الخضراء على أداء العاملين. اتبعت المنهج الوصفي التحليلي. استخدمت الاستبانة. طبقت على عينة من العاملين بالكليات التكنولوجية. توصلت النتائج إلى أن تطبيق الممارسات الخضراء يساهم في رفع كفاءة وإنتاجية العاملين ويعزز من انتمائهم للمؤسسة. أوصت الدراسة بتوفير بيئة عمل خضراء تدعم الصحة والسلامة المهنية.</w:t>
      </w:r>
    </w:p>
    <w:p w14:paraId="06F78EC5" w14:textId="77777777" w:rsidR="007E5EA8" w:rsidRPr="007E5EA8" w:rsidRDefault="007E5EA8" w:rsidP="00B057C9">
      <w:pPr>
        <w:numPr>
          <w:ilvl w:val="0"/>
          <w:numId w:val="1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دراسة عطا الله (2023)، مصر، "أثر الممارسات الخضراء لإدارة الموارد البشرية في دعم الأداء المستدام: دراسة تطبيقية على شركات قطاع الأعمال الصناعي العام بوسط الدلتا</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تحديد أثر الممارسات الخضراء للموارد البشرية في دعم الأداء المستدام. اعتمدت المنهج الوصفي التحليلي. استخدمت الاستبانة. شملت العينة (348) مفردة من العاملين في الشركات الصناعية. أظهرت النتائج وجود تأثير معنوي إيجابي للممارسات الخضراء (الاختيار والتعيين، التدريب، تقييم الأداء، التعويضات) على الأداء المستدام بأبعاده الاقتصادية والبيئية والاجتماعية. أوصت الدراسة بضرورة مراجعة سياسات الموارد البشرية لتتوافق مع متطلبات الاستدامة.</w:t>
      </w:r>
    </w:p>
    <w:p w14:paraId="622CD376"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Pr>
      </w:pPr>
      <w:r w:rsidRPr="007E5EA8">
        <w:rPr>
          <w:rFonts w:ascii="Times New Roman" w:eastAsia="Calibri" w:hAnsi="Times New Roman" w:cs="Simplified Arabic"/>
          <w:b/>
          <w:bCs/>
          <w:sz w:val="24"/>
          <w:szCs w:val="28"/>
          <w:rtl/>
        </w:rPr>
        <w:t>ثالثاً: دراسات أجنبية</w:t>
      </w:r>
    </w:p>
    <w:p w14:paraId="6CB94309" w14:textId="77777777" w:rsidR="007E5EA8" w:rsidRPr="007E5EA8" w:rsidRDefault="007E5EA8" w:rsidP="00B057C9">
      <w:pPr>
        <w:numPr>
          <w:ilvl w:val="0"/>
          <w:numId w:val="17"/>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دراسة </w:t>
      </w:r>
      <w:r w:rsidRPr="007E5EA8">
        <w:rPr>
          <w:rFonts w:ascii="Times New Roman" w:eastAsia="Calibri" w:hAnsi="Times New Roman" w:cs="Simplified Arabic"/>
          <w:b/>
          <w:bCs/>
          <w:sz w:val="24"/>
          <w:szCs w:val="28"/>
        </w:rPr>
        <w:t>(Chowdhury, 2025)</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جوانب وممارسات إدارة الموارد البشرية الخضراء: مراجعة منهجية للمواضيع الرئيسية</w:t>
      </w:r>
      <w:r w:rsidRPr="007E5EA8">
        <w:rPr>
          <w:rFonts w:ascii="Times New Roman" w:eastAsia="Calibri" w:hAnsi="Times New Roman" w:cs="Simplified Arabic"/>
          <w:b/>
          <w:bCs/>
          <w:sz w:val="24"/>
          <w:szCs w:val="28"/>
        </w:rPr>
        <w:t>" (Aspects and practices of green human resource management: Systematic review of key themes)</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 xml:space="preserve">هدفت الدراسة إلى تقديم مراجعة منهجية شاملة للأدبيات المتعلقة بممارسات إدارة الموارد البشرية الخضراء. اتبعت منهجية المراجعة المنهجية </w:t>
      </w:r>
      <w:r w:rsidRPr="007E5EA8">
        <w:rPr>
          <w:rFonts w:ascii="Times New Roman" w:eastAsia="Calibri" w:hAnsi="Times New Roman" w:cs="Simplified Arabic"/>
          <w:sz w:val="24"/>
          <w:szCs w:val="28"/>
        </w:rPr>
        <w:t>(Systematic Review)</w:t>
      </w:r>
      <w:r w:rsidRPr="007E5EA8">
        <w:rPr>
          <w:rFonts w:ascii="Times New Roman" w:eastAsia="Calibri" w:hAnsi="Times New Roman" w:cs="Simplified Arabic"/>
          <w:sz w:val="24"/>
          <w:szCs w:val="28"/>
          <w:rtl/>
        </w:rPr>
        <w:t>. قامت بتحليل مجموعة واسعة من الدراسات السابقة. لم تستخدم عينة بشرية بل عينة من الأبحاث. توصلت النتائج إلى تحديد المواضيع الرئيسية والاتجاهات الحديثة في المجال، مؤكدة على الدور الحاسم لهذه الممارسات في تعزيز الاستدامة البيئية والأداء التنظيمي. أوصت الدراسة بضرورة إجراء المزيد من البحوث التطبيقية في سياقات ثقافية واقتصادية مختلفة.</w:t>
      </w:r>
    </w:p>
    <w:p w14:paraId="1A4DA310" w14:textId="77777777" w:rsidR="007E5EA8" w:rsidRPr="007E5EA8" w:rsidRDefault="007E5EA8" w:rsidP="00B057C9">
      <w:pPr>
        <w:numPr>
          <w:ilvl w:val="0"/>
          <w:numId w:val="17"/>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دراسة </w:t>
      </w:r>
      <w:r w:rsidRPr="007E5EA8">
        <w:rPr>
          <w:rFonts w:ascii="Times New Roman" w:eastAsia="Calibri" w:hAnsi="Times New Roman" w:cs="Simplified Arabic"/>
          <w:b/>
          <w:bCs/>
          <w:sz w:val="24"/>
          <w:szCs w:val="28"/>
        </w:rPr>
        <w:t>(Austen &amp; Piwowar-Sulej, 2024)</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إدارة الموارد البشرية الخضراء في قطاع التصنيع: مراجعة للأدبيات الببليومترية</w:t>
      </w:r>
      <w:r w:rsidRPr="007E5EA8">
        <w:rPr>
          <w:rFonts w:ascii="Times New Roman" w:eastAsia="Calibri" w:hAnsi="Times New Roman" w:cs="Simplified Arabic"/>
          <w:b/>
          <w:bCs/>
          <w:sz w:val="24"/>
          <w:szCs w:val="28"/>
        </w:rPr>
        <w:t>" (Green human resource management in the manufacturing sector: A bibliometric literature review)</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تحليل واقع البحث العلمي حول إدارة الموارد البشرية الخضراء في قطاع التصنيع. اعتمدت منهج التحليل الببليومتري. حللت قاعدة بيانات واسعة من المقالات العلمية. لم تستخدم عينة بشرية. أظهرت النتائج نمواً ملحوظاً في الاهتمام البحثي بهذا المجال، مع تركيز الدراسات على العلاقة بين الممارسات الخضراء والأداء البيئي والابتكار. أوصت الدراسة بالتركيز على دراسة العوائق التي تحول دون تطبيق هذه الممارسات في المصانع.</w:t>
      </w:r>
    </w:p>
    <w:p w14:paraId="2F755AC8" w14:textId="77777777" w:rsidR="007E5EA8" w:rsidRPr="007E5EA8" w:rsidRDefault="007E5EA8" w:rsidP="00B057C9">
      <w:pPr>
        <w:numPr>
          <w:ilvl w:val="0"/>
          <w:numId w:val="17"/>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دراسة </w:t>
      </w:r>
      <w:r w:rsidRPr="007E5EA8">
        <w:rPr>
          <w:rFonts w:ascii="Times New Roman" w:eastAsia="Calibri" w:hAnsi="Times New Roman" w:cs="Simplified Arabic"/>
          <w:b/>
          <w:bCs/>
          <w:sz w:val="24"/>
          <w:szCs w:val="28"/>
        </w:rPr>
        <w:t>(Gelagay, 2024)</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تأثير إدارة الموارد البشرية الخضراء والاستراتيجيات الداخلية على الاستدامة البيئية</w:t>
      </w:r>
      <w:r w:rsidRPr="007E5EA8">
        <w:rPr>
          <w:rFonts w:ascii="Times New Roman" w:eastAsia="Calibri" w:hAnsi="Times New Roman" w:cs="Simplified Arabic"/>
          <w:b/>
          <w:bCs/>
          <w:sz w:val="24"/>
          <w:szCs w:val="28"/>
        </w:rPr>
        <w:t>" (Impact of green human resource management and internal strategies on environmental sustainability)</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فحص تأثير إدارة الموارد البشرية الخضراء والاستراتيجيات الداخلية على الاستدامة البيئية. اعتمدت المنهج الكمي. استخدمت الاستبانة لجمع البيانات. طبقت على عينة من الشركات. بينت النتائج أن ممارسات الموارد البشرية الخضراء، مدعومة باستراتيجيات داخلية قوية، تؤثر بشكل كبير وإيجابي على تحقيق الاستدامة البيئية. أوصت الدراسة بدمج الأهداف البيئية في التخطيط الاستراتيجي للموارد البشرية.</w:t>
      </w:r>
    </w:p>
    <w:p w14:paraId="44286673" w14:textId="77777777" w:rsidR="007E5EA8" w:rsidRPr="007E5EA8" w:rsidRDefault="007E5EA8" w:rsidP="00B057C9">
      <w:pPr>
        <w:numPr>
          <w:ilvl w:val="0"/>
          <w:numId w:val="17"/>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دراسة </w:t>
      </w:r>
      <w:r w:rsidRPr="007E5EA8">
        <w:rPr>
          <w:rFonts w:ascii="Times New Roman" w:eastAsia="Calibri" w:hAnsi="Times New Roman" w:cs="Simplified Arabic"/>
          <w:b/>
          <w:bCs/>
          <w:sz w:val="24"/>
          <w:szCs w:val="28"/>
        </w:rPr>
        <w:t>(Coelho et al., 2024)</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إدارة الموارد البشرية الخضراء: الممارسات والفوائد والمعوقات - أدلة من السياق البرتغالي</w:t>
      </w:r>
      <w:r w:rsidRPr="007E5EA8">
        <w:rPr>
          <w:rFonts w:ascii="Times New Roman" w:eastAsia="Calibri" w:hAnsi="Times New Roman" w:cs="Simplified Arabic"/>
          <w:b/>
          <w:bCs/>
          <w:sz w:val="24"/>
          <w:szCs w:val="28"/>
        </w:rPr>
        <w:t>" (Green Human Resource Management: Practices, Benefits, and Constraints—Evidence from the Portuguese Context)</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 xml:space="preserve">هدفت الدراسة إلى استكشاف ممارسات وفوائد ومعوقات إدارة الموارد البشرية الخضراء في البرتغال. اتبعت المنهج النوعي </w:t>
      </w:r>
      <w:r w:rsidRPr="007E5EA8">
        <w:rPr>
          <w:rFonts w:ascii="Times New Roman" w:eastAsia="Calibri" w:hAnsi="Times New Roman" w:cs="Simplified Arabic"/>
          <w:sz w:val="24"/>
          <w:szCs w:val="28"/>
        </w:rPr>
        <w:t>(Qualitative)</w:t>
      </w:r>
      <w:r w:rsidRPr="007E5EA8">
        <w:rPr>
          <w:rFonts w:ascii="Times New Roman" w:eastAsia="Calibri" w:hAnsi="Times New Roman" w:cs="Simplified Arabic"/>
          <w:sz w:val="24"/>
          <w:szCs w:val="28"/>
          <w:rtl/>
        </w:rPr>
        <w:t>. استخدمت المقابلات شبه المنظمة. شملت العينة مدراء الموارد البشرية في شركات برتغالية. توصلت النتائج إلى أن الشركات تدرك فوائد الممارسات الخضراء في تحسين السمعة وخفض التكاليف، لكنها تواجه معوقات مثل نقص الموارد والوعي. أوصت الدراسة بتعزيز التعاون بين القطاعين العام والخاص لدعم المبادرات الخضراء.</w:t>
      </w:r>
    </w:p>
    <w:p w14:paraId="5CEF21AB" w14:textId="77777777" w:rsidR="007E5EA8" w:rsidRPr="007E5EA8" w:rsidRDefault="007E5EA8" w:rsidP="00B057C9">
      <w:pPr>
        <w:numPr>
          <w:ilvl w:val="0"/>
          <w:numId w:val="17"/>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دراسة </w:t>
      </w:r>
      <w:r w:rsidRPr="007E5EA8">
        <w:rPr>
          <w:rFonts w:ascii="Times New Roman" w:eastAsia="Calibri" w:hAnsi="Times New Roman" w:cs="Simplified Arabic"/>
          <w:b/>
          <w:bCs/>
          <w:sz w:val="24"/>
          <w:szCs w:val="28"/>
        </w:rPr>
        <w:t>(Ba et al., 2023)</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تقييم تأثير ممارسات إدارة الموارد البشرية الخضراء على الأداء البيئي في الصين: دور التعليم العالي</w:t>
      </w:r>
      <w:r w:rsidRPr="007E5EA8">
        <w:rPr>
          <w:rFonts w:ascii="Times New Roman" w:eastAsia="Calibri" w:hAnsi="Times New Roman" w:cs="Simplified Arabic"/>
          <w:b/>
          <w:bCs/>
          <w:sz w:val="24"/>
          <w:szCs w:val="28"/>
        </w:rPr>
        <w:t>" (Assessing the impact of green human resource management practices on environmental performance in China: Role of higher education)</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تقييم تأثير ممارسات الموارد البشرية الخضراء على الأداء البيئي مع التركيز على دور التعليم العالي. اعتمدت المنهج الكمي. استخدمت الاستبانة. طبقت على عينة من الشركات الصينية. أظهرت النتائج أن الممارسات الخضراء تحسن الأداء البيئي بشكل ملحوظ، وأن مستوى تعليم الموظفين يعزز من هذا التأثير. أوصت الدراسة بالاستثمار في تعليم وتدريب الموظفين لرفع وعيهم البيئي.</w:t>
      </w:r>
    </w:p>
    <w:p w14:paraId="5CEB796E" w14:textId="77777777" w:rsidR="007E5EA8" w:rsidRPr="007E5EA8" w:rsidRDefault="007E5EA8" w:rsidP="00B057C9">
      <w:pPr>
        <w:numPr>
          <w:ilvl w:val="0"/>
          <w:numId w:val="17"/>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دراسة </w:t>
      </w:r>
      <w:r w:rsidRPr="007E5EA8">
        <w:rPr>
          <w:rFonts w:ascii="Times New Roman" w:eastAsia="Calibri" w:hAnsi="Times New Roman" w:cs="Simplified Arabic"/>
          <w:b/>
          <w:bCs/>
          <w:sz w:val="24"/>
          <w:szCs w:val="28"/>
        </w:rPr>
        <w:t>(Ogiemwonyi et al., 2023)</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مسارات نحو الأداء البيئي: الرابط بين إدارة الموارد البشرية الخضراء والابتكار الأخضر والسلوك الأخضر في العمل في شركات التصنيع</w:t>
      </w:r>
      <w:r w:rsidRPr="007E5EA8">
        <w:rPr>
          <w:rFonts w:ascii="Times New Roman" w:eastAsia="Calibri" w:hAnsi="Times New Roman" w:cs="Simplified Arabic"/>
          <w:b/>
          <w:bCs/>
          <w:sz w:val="24"/>
          <w:szCs w:val="28"/>
        </w:rPr>
        <w:t>" (Pathways toward environmental performance: Link between green human resource management, green innovation, and green behavior at work in manufacturing companies)</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اختبار العلاقة بين إدارة الموارد البشرية الخضراء والأداء البيئي عبر الابتكار والسلوك الأخضر. اعتمدت المنهج الكمي (نمذجة المعادلات الهيكلية). استخدمت الاستبانة. شملت العينة موظفي شركات التصنيع. توصلت النتائج إلى وجود مسارات تأثير مباشرة وغير مباشرة للممارسات الخضراء على الأداء البيئي من خلال تحفيز الابتكار والسلوكيات الإيجابية. أوصت الدراسة بخلق بيئة عمل تشجع على الإبداع البيئي.</w:t>
      </w:r>
    </w:p>
    <w:p w14:paraId="509E68C5" w14:textId="77777777" w:rsidR="007E5EA8" w:rsidRPr="007E5EA8" w:rsidRDefault="007E5EA8" w:rsidP="00B057C9">
      <w:pPr>
        <w:numPr>
          <w:ilvl w:val="0"/>
          <w:numId w:val="17"/>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دراسة </w:t>
      </w:r>
      <w:r w:rsidRPr="007E5EA8">
        <w:rPr>
          <w:rFonts w:ascii="Times New Roman" w:eastAsia="Calibri" w:hAnsi="Times New Roman" w:cs="Simplified Arabic"/>
          <w:b/>
          <w:bCs/>
          <w:sz w:val="24"/>
          <w:szCs w:val="28"/>
        </w:rPr>
        <w:t>(Al-Ghazali &amp; Al-Rifai, 2022)</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b/>
          <w:bCs/>
          <w:sz w:val="24"/>
          <w:szCs w:val="28"/>
        </w:rPr>
        <w:t>"</w:t>
      </w:r>
      <w:r w:rsidRPr="007E5EA8">
        <w:rPr>
          <w:rFonts w:ascii="Times New Roman" w:eastAsia="Calibri" w:hAnsi="Times New Roman" w:cs="Simplified Arabic"/>
          <w:b/>
          <w:bCs/>
          <w:sz w:val="24"/>
          <w:szCs w:val="28"/>
          <w:rtl/>
        </w:rPr>
        <w:t>إدارة الموارد البشرية الخضراء وتأثيرها على تحقيق أهداف التنمية المستدامة في الشركات الصناعية</w:t>
      </w:r>
      <w:r w:rsidRPr="007E5EA8">
        <w:rPr>
          <w:rFonts w:ascii="Times New Roman" w:eastAsia="Calibri" w:hAnsi="Times New Roman" w:cs="Simplified Arabic"/>
          <w:b/>
          <w:bCs/>
          <w:sz w:val="24"/>
          <w:szCs w:val="28"/>
        </w:rPr>
        <w:t>" (Green human resource management and its impact on achieving sustainable development goals in industrial companies)</w:t>
      </w:r>
      <w:r w:rsidRPr="007E5EA8">
        <w:rPr>
          <w:rFonts w:ascii="Times New Roman" w:eastAsia="Calibri" w:hAnsi="Times New Roman" w:cs="Simplified Arabic"/>
          <w:b/>
          <w:bCs/>
          <w:sz w:val="24"/>
          <w:szCs w:val="28"/>
          <w:rtl/>
        </w:rPr>
        <w:t xml:space="preserve">. </w:t>
      </w:r>
      <w:r w:rsidRPr="007E5EA8">
        <w:rPr>
          <w:rFonts w:ascii="Times New Roman" w:eastAsia="Calibri" w:hAnsi="Times New Roman" w:cs="Simplified Arabic"/>
          <w:sz w:val="24"/>
          <w:szCs w:val="28"/>
          <w:rtl/>
        </w:rPr>
        <w:t>هدفت الدراسة إلى تحديد أثر إدارة الموارد البشرية الخضراء في تحقيق أهداف التنمية المستدامة. اعتمدت المنهج الوصفي التحليلي. استخدمت الاستبانة. طبقت على عينة من الشركات الصناعية في الأردن. بينت النتائج أن تطبيق ممارسات الموارد البشرية الخضراء يساهم بشكل فعال في تحقيق أهداف التنمية المستدامة، وخاصة الهدف المتعلق بالصناعة والابتكار والهياكل الأساسية. أوصت الدراسة بتبني معايير دولية في إدارة الموارد البشرية لتعزيز الاستدامة.</w:t>
      </w:r>
    </w:p>
    <w:p w14:paraId="68263869"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Pr>
      </w:pPr>
      <w:r w:rsidRPr="007E5EA8">
        <w:rPr>
          <w:rFonts w:ascii="Times New Roman" w:eastAsia="Calibri" w:hAnsi="Times New Roman" w:cs="Simplified Arabic"/>
          <w:b/>
          <w:bCs/>
          <w:sz w:val="24"/>
          <w:szCs w:val="28"/>
          <w:rtl/>
        </w:rPr>
        <w:t>رابعاً: تعقيب تحليلي عام على الدراسات السابقة</w:t>
      </w:r>
    </w:p>
    <w:p w14:paraId="1D4F1519"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استناداً إلى العرض المنهجي للدراسات السابقة (المحلية، والعربية، والأجنبية) التي تناولت متغيرات الدراسة الحالية، يمكن تقديم تعقيب تحليلي يوضح موقع الدراسة الحالية من التراث العلمي المتراكم، وذلك من خلال النقاط الآتية:</w:t>
      </w:r>
    </w:p>
    <w:p w14:paraId="7DE92AB5"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Pr>
        <w:t>1</w:t>
      </w:r>
      <w:r w:rsidRPr="007E5EA8">
        <w:rPr>
          <w:rFonts w:ascii="Times New Roman" w:eastAsia="Calibri" w:hAnsi="Times New Roman" w:cs="Simplified Arabic"/>
          <w:b/>
          <w:bCs/>
          <w:sz w:val="24"/>
          <w:szCs w:val="28"/>
          <w:rtl/>
        </w:rPr>
        <w:t>. اتساق الدراسة الحالية مع الدراسات السابقة:</w:t>
      </w:r>
    </w:p>
    <w:p w14:paraId="75185EA8" w14:textId="77777777" w:rsid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تتسق الدراسة الحالية في توجهها العام مع الأدبيات السابقة التي أكدت على الدور المحوري للمورد البشري في تحقيق الأهداف البيئية للمنظمات. فهي تتماشى مع الطرح الذي قدمته دراسات مثل (الصحفي والقرني، 2023) و</w:t>
      </w:r>
      <w:r w:rsidRPr="007E5EA8">
        <w:rPr>
          <w:rFonts w:ascii="Times New Roman" w:eastAsia="Calibri" w:hAnsi="Times New Roman" w:cs="Simplified Arabic"/>
          <w:sz w:val="24"/>
          <w:szCs w:val="28"/>
        </w:rPr>
        <w:t>(Al-Ghazali &amp; Al-Rifai, 2022)</w:t>
      </w:r>
      <w:r w:rsidRPr="007E5EA8">
        <w:rPr>
          <w:rFonts w:ascii="Times New Roman" w:eastAsia="Calibri" w:hAnsi="Times New Roman" w:cs="Simplified Arabic"/>
          <w:sz w:val="24"/>
          <w:szCs w:val="28"/>
          <w:rtl/>
        </w:rPr>
        <w:t xml:space="preserve"> حول أهمية دمج المعايير البيئية في وظائف الموارد البشرية. كما تتفق الدراسة الحالية مع التوجه العالمي نحو الاستدامة الذي أبرزته دراسات </w:t>
      </w:r>
      <w:r w:rsidRPr="007E5EA8">
        <w:rPr>
          <w:rFonts w:ascii="Times New Roman" w:eastAsia="Calibri" w:hAnsi="Times New Roman" w:cs="Simplified Arabic"/>
          <w:sz w:val="24"/>
          <w:szCs w:val="28"/>
        </w:rPr>
        <w:t>(Gelagay, 2024)</w:t>
      </w:r>
      <w:r w:rsidRPr="007E5EA8">
        <w:rPr>
          <w:rFonts w:ascii="Times New Roman" w:eastAsia="Calibri" w:hAnsi="Times New Roman" w:cs="Simplified Arabic"/>
          <w:sz w:val="24"/>
          <w:szCs w:val="28"/>
          <w:rtl/>
        </w:rPr>
        <w:t xml:space="preserve"> و</w:t>
      </w:r>
      <w:r w:rsidRPr="007E5EA8">
        <w:rPr>
          <w:rFonts w:ascii="Times New Roman" w:eastAsia="Calibri" w:hAnsi="Times New Roman" w:cs="Simplified Arabic"/>
          <w:sz w:val="24"/>
          <w:szCs w:val="28"/>
        </w:rPr>
        <w:t>(Ba et al., 2023)</w:t>
      </w:r>
      <w:r w:rsidRPr="007E5EA8">
        <w:rPr>
          <w:rFonts w:ascii="Times New Roman" w:eastAsia="Calibri" w:hAnsi="Times New Roman" w:cs="Simplified Arabic"/>
          <w:sz w:val="24"/>
          <w:szCs w:val="28"/>
          <w:rtl/>
        </w:rPr>
        <w:t>، حيث تنطلق من نفس المنطلقات النظرية التي ترى في "الممارسات الخضراء" مدخلاً استراتيجياً وليس مجرد إجراءات تشغيلية.</w:t>
      </w:r>
    </w:p>
    <w:p w14:paraId="457FAD8C" w14:textId="77777777" w:rsidR="001D3B31" w:rsidRDefault="001D3B31" w:rsidP="007E5EA8">
      <w:pPr>
        <w:spacing w:before="120" w:after="120" w:line="360" w:lineRule="auto"/>
        <w:ind w:firstLine="397"/>
        <w:jc w:val="both"/>
        <w:rPr>
          <w:rFonts w:ascii="Times New Roman" w:eastAsia="Calibri" w:hAnsi="Times New Roman" w:cs="Simplified Arabic"/>
          <w:sz w:val="24"/>
          <w:szCs w:val="28"/>
          <w:rtl/>
        </w:rPr>
      </w:pPr>
    </w:p>
    <w:p w14:paraId="62A80049" w14:textId="77777777" w:rsidR="001D3B31" w:rsidRDefault="001D3B31" w:rsidP="007E5EA8">
      <w:pPr>
        <w:spacing w:before="120" w:after="120" w:line="360" w:lineRule="auto"/>
        <w:ind w:firstLine="397"/>
        <w:jc w:val="both"/>
        <w:rPr>
          <w:rFonts w:ascii="Times New Roman" w:eastAsia="Calibri" w:hAnsi="Times New Roman" w:cs="Simplified Arabic"/>
          <w:sz w:val="24"/>
          <w:szCs w:val="28"/>
          <w:rtl/>
        </w:rPr>
      </w:pPr>
    </w:p>
    <w:p w14:paraId="796C340A" w14:textId="77777777" w:rsidR="001D3B31" w:rsidRPr="007E5EA8" w:rsidRDefault="001D3B31" w:rsidP="007E5EA8">
      <w:pPr>
        <w:spacing w:before="120" w:after="120" w:line="360" w:lineRule="auto"/>
        <w:ind w:firstLine="397"/>
        <w:jc w:val="both"/>
        <w:rPr>
          <w:rFonts w:ascii="Times New Roman" w:eastAsia="Calibri" w:hAnsi="Times New Roman" w:cs="Simplified Arabic"/>
          <w:sz w:val="24"/>
          <w:szCs w:val="28"/>
        </w:rPr>
      </w:pPr>
    </w:p>
    <w:p w14:paraId="42F44B71"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Pr>
        <w:t>2</w:t>
      </w:r>
      <w:r w:rsidRPr="007E5EA8">
        <w:rPr>
          <w:rFonts w:ascii="Times New Roman" w:eastAsia="Calibri" w:hAnsi="Times New Roman" w:cs="Simplified Arabic"/>
          <w:b/>
          <w:bCs/>
          <w:sz w:val="24"/>
          <w:szCs w:val="28"/>
          <w:rtl/>
        </w:rPr>
        <w:t>. جوانب اتفاق الدراسة الحالية مع الدراسات السابقة:</w:t>
      </w:r>
    </w:p>
    <w:p w14:paraId="30FF03FF" w14:textId="77777777" w:rsidR="007E5EA8" w:rsidRPr="007E5EA8" w:rsidRDefault="007E5EA8" w:rsidP="00B057C9">
      <w:pPr>
        <w:numPr>
          <w:ilvl w:val="0"/>
          <w:numId w:val="18"/>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المتغيرات: </w:t>
      </w:r>
      <w:r w:rsidRPr="007E5EA8">
        <w:rPr>
          <w:rFonts w:ascii="Times New Roman" w:eastAsia="Calibri" w:hAnsi="Times New Roman" w:cs="Simplified Arabic"/>
          <w:sz w:val="24"/>
          <w:szCs w:val="28"/>
          <w:rtl/>
        </w:rPr>
        <w:t xml:space="preserve">تتفق الدراسة الحالية مع معظم الدراسات السابقة مثل دراسة (أحمد، 2022) ودراسة </w:t>
      </w:r>
      <w:r w:rsidRPr="007E5EA8">
        <w:rPr>
          <w:rFonts w:ascii="Times New Roman" w:eastAsia="Calibri" w:hAnsi="Times New Roman" w:cs="Simplified Arabic"/>
          <w:sz w:val="24"/>
          <w:szCs w:val="28"/>
        </w:rPr>
        <w:t>(Ogiemwonyi et al., 2023)</w:t>
      </w:r>
      <w:r w:rsidRPr="007E5EA8">
        <w:rPr>
          <w:rFonts w:ascii="Times New Roman" w:eastAsia="Calibri" w:hAnsi="Times New Roman" w:cs="Simplified Arabic"/>
          <w:sz w:val="24"/>
          <w:szCs w:val="28"/>
          <w:rtl/>
        </w:rPr>
        <w:t xml:space="preserve"> في تناول "الممارسات الخضراء للموارد البشرية" كمتغير مستقل رئيس، و"الاستدامة البيئية" أو "الأداء البيئي" كمتغير تابع.</w:t>
      </w:r>
    </w:p>
    <w:p w14:paraId="42490E3A" w14:textId="77777777" w:rsidR="007E5EA8" w:rsidRPr="007E5EA8" w:rsidRDefault="007E5EA8" w:rsidP="00B057C9">
      <w:pPr>
        <w:numPr>
          <w:ilvl w:val="0"/>
          <w:numId w:val="18"/>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الأبعاد: </w:t>
      </w:r>
      <w:r w:rsidRPr="007E5EA8">
        <w:rPr>
          <w:rFonts w:ascii="Times New Roman" w:eastAsia="Calibri" w:hAnsi="Times New Roman" w:cs="Simplified Arabic"/>
          <w:sz w:val="24"/>
          <w:szCs w:val="28"/>
          <w:rtl/>
        </w:rPr>
        <w:t>تتفق الدراسة مع دراسات (زيادة، 2022) و(شماسنة، 2023) في اعتماد الأبعاد الأساسية للموارد البشرية الخضراء (الاستقطاب، التدريب، التقييم، المكافآت) كركائز للقياس.</w:t>
      </w:r>
    </w:p>
    <w:p w14:paraId="07B39094" w14:textId="77777777" w:rsidR="007E5EA8" w:rsidRPr="007E5EA8" w:rsidRDefault="007E5EA8" w:rsidP="00B057C9">
      <w:pPr>
        <w:numPr>
          <w:ilvl w:val="0"/>
          <w:numId w:val="18"/>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المنهجية: </w:t>
      </w:r>
      <w:r w:rsidRPr="007E5EA8">
        <w:rPr>
          <w:rFonts w:ascii="Times New Roman" w:eastAsia="Calibri" w:hAnsi="Times New Roman" w:cs="Simplified Arabic"/>
          <w:sz w:val="24"/>
          <w:szCs w:val="28"/>
          <w:rtl/>
        </w:rPr>
        <w:t>تتفق الدراسة الحالية مع الغالبية العظمى من الدراسات السابقة (مثل: العولقي، 2021؛ الزفتاوي وآخرون، 2024) في استخدام المنهج الوصفي التحليلي كونه الأنسب لدراسة الظواهر الإدارية وقياس العلاقات بين المتغيرات.</w:t>
      </w:r>
    </w:p>
    <w:p w14:paraId="0EBE3883" w14:textId="77777777" w:rsidR="007E5EA8" w:rsidRPr="007E5EA8" w:rsidRDefault="007E5EA8" w:rsidP="00B057C9">
      <w:pPr>
        <w:numPr>
          <w:ilvl w:val="0"/>
          <w:numId w:val="18"/>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النتائج المتوقعة: </w:t>
      </w:r>
      <w:r w:rsidRPr="007E5EA8">
        <w:rPr>
          <w:rFonts w:ascii="Times New Roman" w:eastAsia="Calibri" w:hAnsi="Times New Roman" w:cs="Simplified Arabic"/>
          <w:sz w:val="24"/>
          <w:szCs w:val="28"/>
          <w:rtl/>
        </w:rPr>
        <w:t>تشير المؤشرات الأولية إلى اتفاق الدراسة الحالية مع نتائج دراسات (شمس الدين، 2025) و</w:t>
      </w:r>
      <w:r w:rsidRPr="007E5EA8">
        <w:rPr>
          <w:rFonts w:ascii="Times New Roman" w:eastAsia="Calibri" w:hAnsi="Times New Roman" w:cs="Simplified Arabic"/>
          <w:sz w:val="24"/>
          <w:szCs w:val="28"/>
        </w:rPr>
        <w:t>(Coelho et al., 2024)</w:t>
      </w:r>
      <w:r w:rsidRPr="007E5EA8">
        <w:rPr>
          <w:rFonts w:ascii="Times New Roman" w:eastAsia="Calibri" w:hAnsi="Times New Roman" w:cs="Simplified Arabic"/>
          <w:sz w:val="24"/>
          <w:szCs w:val="28"/>
          <w:rtl/>
        </w:rPr>
        <w:t xml:space="preserve"> التي تتوقع وجود علاقة إيجابية بين تطبيق الممارسات الخضراء وتحسين الأداء المستدام.</w:t>
      </w:r>
    </w:p>
    <w:p w14:paraId="328ABCA7"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Pr>
        <w:t>3</w:t>
      </w:r>
      <w:r w:rsidRPr="007E5EA8">
        <w:rPr>
          <w:rFonts w:ascii="Times New Roman" w:eastAsia="Calibri" w:hAnsi="Times New Roman" w:cs="Simplified Arabic"/>
          <w:b/>
          <w:bCs/>
          <w:sz w:val="24"/>
          <w:szCs w:val="28"/>
          <w:rtl/>
        </w:rPr>
        <w:t>. جوانب اختلاف الدراسة الحالية مع الدراسات السابقة:</w:t>
      </w:r>
    </w:p>
    <w:p w14:paraId="0F741BF3" w14:textId="77777777" w:rsidR="007E5EA8" w:rsidRPr="007E5EA8" w:rsidRDefault="007E5EA8" w:rsidP="00B057C9">
      <w:pPr>
        <w:numPr>
          <w:ilvl w:val="0"/>
          <w:numId w:val="19"/>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بيئة التطبيق: </w:t>
      </w:r>
      <w:r w:rsidRPr="007E5EA8">
        <w:rPr>
          <w:rFonts w:ascii="Times New Roman" w:eastAsia="Calibri" w:hAnsi="Times New Roman" w:cs="Simplified Arabic"/>
          <w:sz w:val="24"/>
          <w:szCs w:val="28"/>
          <w:rtl/>
        </w:rPr>
        <w:t>تختلف الدراسة الحالية عن دراسات (شماسنة، 2023) التي طبقت في فلسطين، ودراسات (شمس الدين، 2025) في العراق، و(الزفتاوي، 2024) في مصر، و</w:t>
      </w:r>
      <w:r w:rsidRPr="007E5EA8">
        <w:rPr>
          <w:rFonts w:ascii="Times New Roman" w:eastAsia="Calibri" w:hAnsi="Times New Roman" w:cs="Simplified Arabic"/>
          <w:sz w:val="24"/>
          <w:szCs w:val="28"/>
        </w:rPr>
        <w:t>(Ba et al., 2023)</w:t>
      </w:r>
      <w:r w:rsidRPr="007E5EA8">
        <w:rPr>
          <w:rFonts w:ascii="Times New Roman" w:eastAsia="Calibri" w:hAnsi="Times New Roman" w:cs="Simplified Arabic"/>
          <w:sz w:val="24"/>
          <w:szCs w:val="28"/>
          <w:rtl/>
        </w:rPr>
        <w:t xml:space="preserve"> في الصين، بكونها تركز حصرياً على المنشآت الصناعية في "مدينة الرياض" كبيئة لها خصوصيتها الاقتصادية والتشريعية ضمن رؤية 2030.</w:t>
      </w:r>
    </w:p>
    <w:p w14:paraId="7461057A" w14:textId="77777777" w:rsidR="007E5EA8" w:rsidRPr="007E5EA8" w:rsidRDefault="007E5EA8" w:rsidP="00B057C9">
      <w:pPr>
        <w:numPr>
          <w:ilvl w:val="0"/>
          <w:numId w:val="19"/>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طبيعة العينة: </w:t>
      </w:r>
      <w:r w:rsidRPr="007E5EA8">
        <w:rPr>
          <w:rFonts w:ascii="Times New Roman" w:eastAsia="Calibri" w:hAnsi="Times New Roman" w:cs="Simplified Arabic"/>
          <w:sz w:val="24"/>
          <w:szCs w:val="28"/>
          <w:rtl/>
        </w:rPr>
        <w:t>بينما ركزت بعض الدراسات السابقة على قطاعات خدمية أو تعليمية مثل دراسة (أحمد، 2022) ودراسة (عبد الرؤوف وآخرون، 2023)، تركز الدراسة الحالية بشكل دقيق على "القطاع الصناعي"، مما يعطي نتائجها طابعاً تخصصياً موجهاً لهذا القطاع الحيوي.</w:t>
      </w:r>
    </w:p>
    <w:p w14:paraId="491C0F1B" w14:textId="77777777" w:rsidR="007E5EA8" w:rsidRPr="007E5EA8" w:rsidRDefault="007E5EA8" w:rsidP="00B057C9">
      <w:pPr>
        <w:numPr>
          <w:ilvl w:val="0"/>
          <w:numId w:val="19"/>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المتغيرات الوسيطة: </w:t>
      </w:r>
      <w:r w:rsidRPr="007E5EA8">
        <w:rPr>
          <w:rFonts w:ascii="Times New Roman" w:eastAsia="Calibri" w:hAnsi="Times New Roman" w:cs="Simplified Arabic"/>
          <w:sz w:val="24"/>
          <w:szCs w:val="28"/>
          <w:rtl/>
        </w:rPr>
        <w:t>تختلف الدراسة الحالية عن دراسة (العولقي، 2021) التي أدخلت المعرفة البيئية كمتغير وسيط، وعن دراسة (شحاتة، 2024) التي ركزت على المسؤولية الاجتماعية، حيث تسعى الدراسة الحالية لقياس الأثر المباشر والصريح للممارسات الخضراء على أبعاد الاستدامة البيئية الثلاثة (التلوث، الموارد، الامتثال) بشكل مركز ومكثف.</w:t>
      </w:r>
    </w:p>
    <w:p w14:paraId="547C6D54"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Pr>
        <w:t>4</w:t>
      </w:r>
      <w:r w:rsidRPr="007E5EA8">
        <w:rPr>
          <w:rFonts w:ascii="Times New Roman" w:eastAsia="Calibri" w:hAnsi="Times New Roman" w:cs="Simplified Arabic"/>
          <w:b/>
          <w:bCs/>
          <w:sz w:val="24"/>
          <w:szCs w:val="28"/>
          <w:rtl/>
        </w:rPr>
        <w:t>. الفجوة البحثية:</w:t>
      </w:r>
    </w:p>
    <w:p w14:paraId="447B0648"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 xml:space="preserve">على الرغم من ثراء الأدبيات السابقة، إلا أن هناك ندرة واضحة في الدراسات التي تناولت أثر الممارسات الخضراء للموارد البشرية على الاستدامة البيئية في </w:t>
      </w:r>
      <w:r w:rsidRPr="007E5EA8">
        <w:rPr>
          <w:rFonts w:ascii="Times New Roman" w:eastAsia="Calibri" w:hAnsi="Times New Roman" w:cs="Simplified Arabic"/>
          <w:b/>
          <w:bCs/>
          <w:sz w:val="24"/>
          <w:szCs w:val="28"/>
          <w:rtl/>
        </w:rPr>
        <w:t>المنشآت الصناعية بمدينة الرياض</w:t>
      </w:r>
      <w:r w:rsidRPr="007E5EA8">
        <w:rPr>
          <w:rFonts w:ascii="Times New Roman" w:eastAsia="Calibri" w:hAnsi="Times New Roman" w:cs="Simplified Arabic"/>
          <w:sz w:val="24"/>
          <w:szCs w:val="28"/>
          <w:rtl/>
        </w:rPr>
        <w:t xml:space="preserve"> تحديداً، خاصة في ظل التشريعات البيئية الحديثة المتسارعة في المملكة (مثل مبادرة السعودية الخضراء). كما لوحظ أن معظم الدراسات المحلية ركزت على "الأداء البيئي" بشكل عام دون تفصيل دقيق لأبعاد "الاستدامة البيئية" (الامتثال، كفاءة الموارد، الحد من التلوث) مجتمعة في نموذج واحد شامل، وهو ما تسعى الدراسة الحالية لتغطيته.</w:t>
      </w:r>
    </w:p>
    <w:p w14:paraId="3EACDF08"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Pr>
        <w:t>5</w:t>
      </w:r>
      <w:r w:rsidRPr="007E5EA8">
        <w:rPr>
          <w:rFonts w:ascii="Times New Roman" w:eastAsia="Calibri" w:hAnsi="Times New Roman" w:cs="Simplified Arabic"/>
          <w:b/>
          <w:bCs/>
          <w:sz w:val="24"/>
          <w:szCs w:val="28"/>
          <w:rtl/>
        </w:rPr>
        <w:t>. جوانب استفادة الدراسة الحالية من الدراسات السابقة:</w:t>
      </w:r>
    </w:p>
    <w:p w14:paraId="08F51ECF" w14:textId="77777777" w:rsidR="007E5EA8" w:rsidRPr="007E5EA8" w:rsidRDefault="007E5EA8" w:rsidP="00B057C9">
      <w:pPr>
        <w:numPr>
          <w:ilvl w:val="0"/>
          <w:numId w:val="20"/>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بناء الإطار النظري: </w:t>
      </w:r>
      <w:r w:rsidRPr="007E5EA8">
        <w:rPr>
          <w:rFonts w:ascii="Times New Roman" w:eastAsia="Calibri" w:hAnsi="Times New Roman" w:cs="Simplified Arabic"/>
          <w:sz w:val="24"/>
          <w:szCs w:val="28"/>
          <w:rtl/>
        </w:rPr>
        <w:t>استفادت الدراسة من الأدبيات السابقة في تأصيل مفاهيم الموارد البشرية الخضراء والاستدامة البيئية وتحديد أبعادهما بدقة.</w:t>
      </w:r>
    </w:p>
    <w:p w14:paraId="3EABAA11" w14:textId="77777777" w:rsidR="007E5EA8" w:rsidRPr="007E5EA8" w:rsidRDefault="007E5EA8" w:rsidP="00B057C9">
      <w:pPr>
        <w:numPr>
          <w:ilvl w:val="0"/>
          <w:numId w:val="20"/>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تصميم أداة الدراسة: </w:t>
      </w:r>
      <w:r w:rsidRPr="007E5EA8">
        <w:rPr>
          <w:rFonts w:ascii="Times New Roman" w:eastAsia="Calibri" w:hAnsi="Times New Roman" w:cs="Simplified Arabic"/>
          <w:sz w:val="24"/>
          <w:szCs w:val="28"/>
          <w:rtl/>
        </w:rPr>
        <w:t xml:space="preserve">تم الاسترشاد بمقاييس ومؤشرات استخدمت في دراسات رصينة مثل </w:t>
      </w:r>
      <w:r w:rsidRPr="007E5EA8">
        <w:rPr>
          <w:rFonts w:ascii="Times New Roman" w:eastAsia="Calibri" w:hAnsi="Times New Roman" w:cs="Simplified Arabic"/>
          <w:sz w:val="24"/>
          <w:szCs w:val="28"/>
        </w:rPr>
        <w:t>(Gelagay, 2024)</w:t>
      </w:r>
      <w:r w:rsidRPr="007E5EA8">
        <w:rPr>
          <w:rFonts w:ascii="Times New Roman" w:eastAsia="Calibri" w:hAnsi="Times New Roman" w:cs="Simplified Arabic"/>
          <w:sz w:val="24"/>
          <w:szCs w:val="28"/>
          <w:rtl/>
        </w:rPr>
        <w:t xml:space="preserve"> و</w:t>
      </w:r>
      <w:r w:rsidRPr="007E5EA8">
        <w:rPr>
          <w:rFonts w:ascii="Times New Roman" w:eastAsia="Calibri" w:hAnsi="Times New Roman" w:cs="Simplified Arabic"/>
          <w:sz w:val="24"/>
          <w:szCs w:val="28"/>
        </w:rPr>
        <w:t>(</w:t>
      </w:r>
      <w:r w:rsidRPr="007E5EA8">
        <w:rPr>
          <w:rFonts w:ascii="Times New Roman" w:eastAsia="Calibri" w:hAnsi="Times New Roman" w:cs="Simplified Arabic"/>
          <w:sz w:val="24"/>
          <w:szCs w:val="28"/>
          <w:rtl/>
        </w:rPr>
        <w:t>الصحفي والقرني، 2023) لبناء استبانة الدراسة الحالية وصياغة فقراتها بما يتناسب مع البيئة المحلية.</w:t>
      </w:r>
    </w:p>
    <w:p w14:paraId="5AA810DC" w14:textId="77777777" w:rsidR="007E5EA8" w:rsidRPr="007E5EA8" w:rsidRDefault="007E5EA8" w:rsidP="00B057C9">
      <w:pPr>
        <w:numPr>
          <w:ilvl w:val="0"/>
          <w:numId w:val="20"/>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صياغة الفرضيات: </w:t>
      </w:r>
      <w:r w:rsidRPr="007E5EA8">
        <w:rPr>
          <w:rFonts w:ascii="Times New Roman" w:eastAsia="Calibri" w:hAnsi="Times New Roman" w:cs="Simplified Arabic"/>
          <w:sz w:val="24"/>
          <w:szCs w:val="28"/>
          <w:rtl/>
        </w:rPr>
        <w:t>ساعدت نتائج الدراسات السابقة في بناء فرضيات الدراسة الحالية وتوجيه مسار البحث نحو العلاقات الأكثر تأثيراً.</w:t>
      </w:r>
    </w:p>
    <w:p w14:paraId="7C9BBB15" w14:textId="77777777" w:rsidR="007E5EA8" w:rsidRPr="007E5EA8" w:rsidRDefault="007E5EA8" w:rsidP="00B057C9">
      <w:pPr>
        <w:numPr>
          <w:ilvl w:val="0"/>
          <w:numId w:val="20"/>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تفسير النتائج: </w:t>
      </w:r>
      <w:r w:rsidRPr="007E5EA8">
        <w:rPr>
          <w:rFonts w:ascii="Times New Roman" w:eastAsia="Calibri" w:hAnsi="Times New Roman" w:cs="Simplified Arabic"/>
          <w:sz w:val="24"/>
          <w:szCs w:val="28"/>
          <w:rtl/>
        </w:rPr>
        <w:t>ستشكل نتائج الدراسات السابقة مرجعية أساسية لمناقشة وتفسير نتائج الدراسة الحالية، سواء بالاتفاق أو الاختلاف.</w:t>
      </w:r>
    </w:p>
    <w:p w14:paraId="7D651BCC"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Pr>
        <w:t>6</w:t>
      </w:r>
      <w:r w:rsidRPr="007E5EA8">
        <w:rPr>
          <w:rFonts w:ascii="Times New Roman" w:eastAsia="Calibri" w:hAnsi="Times New Roman" w:cs="Simplified Arabic"/>
          <w:b/>
          <w:bCs/>
          <w:sz w:val="24"/>
          <w:szCs w:val="28"/>
          <w:rtl/>
        </w:rPr>
        <w:t>. الجوانب المميزة للدراسة الحالية عن الدراسات السابقة:</w:t>
      </w:r>
    </w:p>
    <w:p w14:paraId="2AE85506" w14:textId="77777777" w:rsidR="007E5EA8" w:rsidRPr="007E5EA8" w:rsidRDefault="007E5EA8" w:rsidP="00B057C9">
      <w:pPr>
        <w:numPr>
          <w:ilvl w:val="0"/>
          <w:numId w:val="21"/>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الحداثة والمواكبة: </w:t>
      </w:r>
      <w:r w:rsidRPr="007E5EA8">
        <w:rPr>
          <w:rFonts w:ascii="Times New Roman" w:eastAsia="Calibri" w:hAnsi="Times New Roman" w:cs="Simplified Arabic"/>
          <w:sz w:val="24"/>
          <w:szCs w:val="28"/>
          <w:rtl/>
        </w:rPr>
        <w:t>تتميز الدراسة بمواكبتها لأحدث التوجهات الوطنية في المملكة العربية السعودية (رؤية 2030)، وتركيزها على مدينة الرياض كمركز ثقل صناعي يشهد تحولات بيئية كبرى.</w:t>
      </w:r>
    </w:p>
    <w:p w14:paraId="2E12A105" w14:textId="77777777" w:rsidR="007E5EA8" w:rsidRPr="007E5EA8" w:rsidRDefault="007E5EA8" w:rsidP="00B057C9">
      <w:pPr>
        <w:numPr>
          <w:ilvl w:val="0"/>
          <w:numId w:val="21"/>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الشمولية في الأبعاد: </w:t>
      </w:r>
      <w:r w:rsidRPr="007E5EA8">
        <w:rPr>
          <w:rFonts w:ascii="Times New Roman" w:eastAsia="Calibri" w:hAnsi="Times New Roman" w:cs="Simplified Arabic"/>
          <w:sz w:val="24"/>
          <w:szCs w:val="28"/>
          <w:rtl/>
        </w:rPr>
        <w:t>تتميز الدراسة بدمجها لأبعاد شاملة للاستدامة البيئية (الامتثال القانوني، الكفاءة التشغيلية، والحد من الأثر البيئي) وربطها المباشر بوظائف الموارد البشرية، مما يوفر نموذجاً تطبيقياً متكاملاً للمنشآت الصناعية.</w:t>
      </w:r>
    </w:p>
    <w:p w14:paraId="1BB80E7E" w14:textId="77777777" w:rsidR="007E5EA8" w:rsidRPr="007E5EA8" w:rsidRDefault="007E5EA8" w:rsidP="00B057C9">
      <w:pPr>
        <w:numPr>
          <w:ilvl w:val="0"/>
          <w:numId w:val="21"/>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التوقيت: </w:t>
      </w:r>
      <w:r w:rsidRPr="007E5EA8">
        <w:rPr>
          <w:rFonts w:ascii="Times New Roman" w:eastAsia="Calibri" w:hAnsi="Times New Roman" w:cs="Simplified Arabic"/>
          <w:sz w:val="24"/>
          <w:szCs w:val="28"/>
          <w:rtl/>
        </w:rPr>
        <w:t>تأتي الدراسة في توقيت حيوي (2025-2026) حيث تتزايد الضغوط التشريعية والمجتمعية على المصانع للتحول الأخضر، مما يجعل نتائجها ذات قيمة تطبيقية عالية لصناع القرار في الوقت الراهن.</w:t>
      </w:r>
    </w:p>
    <w:p w14:paraId="7F10AACC"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br w:type="page"/>
      </w:r>
    </w:p>
    <w:p w14:paraId="3D7548B3" w14:textId="77777777" w:rsidR="007E5EA8" w:rsidRPr="007E5EA8" w:rsidRDefault="007E5EA8" w:rsidP="007E5EA8">
      <w:pPr>
        <w:spacing w:before="120" w:after="120" w:line="360" w:lineRule="auto"/>
        <w:ind w:firstLine="397"/>
        <w:jc w:val="center"/>
        <w:rPr>
          <w:rFonts w:ascii="Times New Roman" w:eastAsia="Calibri" w:hAnsi="Times New Roman" w:cs="Simplified Arabic"/>
          <w:b/>
          <w:bCs/>
          <w:sz w:val="28"/>
          <w:szCs w:val="32"/>
        </w:rPr>
      </w:pPr>
      <w:r w:rsidRPr="007E5EA8">
        <w:rPr>
          <w:rFonts w:ascii="Times New Roman" w:eastAsia="Calibri" w:hAnsi="Times New Roman" w:cs="Simplified Arabic" w:hint="cs"/>
          <w:b/>
          <w:bCs/>
          <w:sz w:val="28"/>
          <w:szCs w:val="32"/>
          <w:rtl/>
        </w:rPr>
        <w:t xml:space="preserve">المحور الثاني: </w:t>
      </w:r>
      <w:r w:rsidRPr="007E5EA8">
        <w:rPr>
          <w:rFonts w:ascii="Times New Roman" w:eastAsia="Calibri" w:hAnsi="Times New Roman" w:cs="Simplified Arabic"/>
          <w:b/>
          <w:bCs/>
          <w:sz w:val="28"/>
          <w:szCs w:val="32"/>
          <w:rtl/>
        </w:rPr>
        <w:t>الإطار النظري للدراسة</w:t>
      </w:r>
    </w:p>
    <w:p w14:paraId="1C930238" w14:textId="77777777" w:rsid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p>
    <w:p w14:paraId="5772C6C7" w14:textId="2E30AE14"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تمهيد:</w:t>
      </w:r>
    </w:p>
    <w:p w14:paraId="6940B2A2"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 xml:space="preserve">يتناول هذا </w:t>
      </w:r>
      <w:r w:rsidRPr="007E5EA8">
        <w:rPr>
          <w:rFonts w:ascii="Times New Roman" w:eastAsia="Calibri" w:hAnsi="Times New Roman" w:cs="Simplified Arabic" w:hint="cs"/>
          <w:sz w:val="24"/>
          <w:szCs w:val="28"/>
          <w:rtl/>
        </w:rPr>
        <w:t>المحور</w:t>
      </w:r>
      <w:r w:rsidRPr="007E5EA8">
        <w:rPr>
          <w:rFonts w:ascii="Times New Roman" w:eastAsia="Calibri" w:hAnsi="Times New Roman" w:cs="Simplified Arabic"/>
          <w:sz w:val="24"/>
          <w:szCs w:val="28"/>
          <w:rtl/>
        </w:rPr>
        <w:t xml:space="preserve"> التأصيل النظري لمتغيرات الدراسة، حيث يستعرض المبحث الأول ماهية الممارسات الخضراء للموارد البشرية وأبعادها وأهميتها، بينما يتناول المبحث الثاني مفهوم الاستدامة البيئية في القطاع الصناعي ومؤشراتها، ويناقش المبحث الثالث العلاقة التكاملية بين الممارسات الخضراء والاستدامة، مبرزاً الدور الذي تؤديه الموارد البشرية في تحقيق التحول البيئي المنشود.</w:t>
      </w:r>
    </w:p>
    <w:p w14:paraId="7211D1BB" w14:textId="77777777" w:rsidR="007E5EA8" w:rsidRPr="007E5EA8" w:rsidRDefault="007E5EA8" w:rsidP="007E5EA8">
      <w:pPr>
        <w:spacing w:before="120" w:after="120" w:line="360" w:lineRule="auto"/>
        <w:ind w:firstLine="397"/>
        <w:jc w:val="center"/>
        <w:rPr>
          <w:rFonts w:ascii="Times New Roman" w:eastAsia="Calibri" w:hAnsi="Times New Roman" w:cs="Simplified Arabic"/>
          <w:b/>
          <w:bCs/>
          <w:sz w:val="24"/>
          <w:szCs w:val="28"/>
          <w:rtl/>
        </w:rPr>
      </w:pPr>
    </w:p>
    <w:p w14:paraId="30A7EDD1" w14:textId="77777777" w:rsidR="007E5EA8" w:rsidRPr="007E5EA8" w:rsidRDefault="007E5EA8" w:rsidP="007E5EA8">
      <w:pPr>
        <w:spacing w:before="120" w:after="120" w:line="360" w:lineRule="auto"/>
        <w:ind w:firstLine="397"/>
        <w:jc w:val="center"/>
        <w:rPr>
          <w:rFonts w:ascii="Times New Roman" w:eastAsia="Calibri" w:hAnsi="Times New Roman" w:cs="Simplified Arabic"/>
          <w:b/>
          <w:bCs/>
          <w:sz w:val="24"/>
          <w:szCs w:val="28"/>
        </w:rPr>
      </w:pPr>
      <w:r w:rsidRPr="007E5EA8">
        <w:rPr>
          <w:rFonts w:ascii="Times New Roman" w:eastAsia="Calibri" w:hAnsi="Times New Roman" w:cs="Simplified Arabic"/>
          <w:b/>
          <w:bCs/>
          <w:sz w:val="24"/>
          <w:szCs w:val="28"/>
          <w:rtl/>
        </w:rPr>
        <w:t xml:space="preserve">المبحث الأول: الممارسات الخضراء للموارد البشرية </w:t>
      </w:r>
      <w:r w:rsidRPr="007E5EA8">
        <w:rPr>
          <w:rFonts w:ascii="Times New Roman" w:eastAsia="Calibri" w:hAnsi="Times New Roman" w:cs="Simplified Arabic"/>
          <w:b/>
          <w:bCs/>
          <w:sz w:val="24"/>
          <w:szCs w:val="28"/>
        </w:rPr>
        <w:t>(GHRM)</w:t>
      </w:r>
    </w:p>
    <w:p w14:paraId="355B4092"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يُعد مفهوم إدارة الموارد البشرية الخضراء من المفاهيم الإدارية الحديثة التي برزت استجابة للتحديات البيئية العالمية. يركز هذا المبحث على توضيح المفهوم، الأهمية، والأبعاد الرئيسية لهذا المدخل الإداري.</w:t>
      </w:r>
    </w:p>
    <w:p w14:paraId="08C8EC1F"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b/>
          <w:bCs/>
          <w:sz w:val="24"/>
          <w:szCs w:val="28"/>
          <w:rtl/>
        </w:rPr>
        <w:t>أولاً: مفهوم إدارة الموارد البشرية الخضراء ونشأته</w:t>
      </w:r>
    </w:p>
    <w:p w14:paraId="1F1714E4"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 xml:space="preserve">يُشير مفهوم إدارة الموارد البشرية الخضراء </w:t>
      </w:r>
      <w:r w:rsidRPr="007E5EA8">
        <w:rPr>
          <w:rFonts w:ascii="Times New Roman" w:eastAsia="Calibri" w:hAnsi="Times New Roman" w:cs="Simplified Arabic"/>
          <w:sz w:val="24"/>
          <w:szCs w:val="28"/>
        </w:rPr>
        <w:t>(GHRM)</w:t>
      </w:r>
      <w:r w:rsidRPr="007E5EA8">
        <w:rPr>
          <w:rFonts w:ascii="Times New Roman" w:eastAsia="Calibri" w:hAnsi="Times New Roman" w:cs="Simplified Arabic"/>
          <w:sz w:val="24"/>
          <w:szCs w:val="28"/>
          <w:rtl/>
        </w:rPr>
        <w:t xml:space="preserve"> إلى دمج الإدارة البيئية في إدارة الموارد البشرية. وبمعنى أدق، هو استخدام سياسات وممارسات الموارد البشرية لتعزيز الاستخدام المستدام للموارد داخل منظمات الأعمال، وتعزيز قضية الاستدامة البيئية بشكل عام </w:t>
      </w:r>
      <w:r w:rsidRPr="007E5EA8">
        <w:rPr>
          <w:rFonts w:ascii="Times New Roman" w:eastAsia="Calibri" w:hAnsi="Times New Roman" w:cs="Simplified Arabic"/>
          <w:sz w:val="24"/>
          <w:szCs w:val="28"/>
        </w:rPr>
        <w:t>(Miah, 2024)</w:t>
      </w:r>
      <w:r w:rsidRPr="007E5EA8">
        <w:rPr>
          <w:rFonts w:ascii="Times New Roman" w:eastAsia="Calibri" w:hAnsi="Times New Roman" w:cs="Simplified Arabic"/>
          <w:sz w:val="24"/>
          <w:szCs w:val="28"/>
          <w:rtl/>
        </w:rPr>
        <w:t xml:space="preserve">. وقد تطور هذا المفهوم نتيجة لزيادة الوعي البيئي والضغوط التشريعية التي تفرض على المنظمات تبني ممارسات صديقة للبيئة. وتؤكد دراسة </w:t>
      </w:r>
      <w:r w:rsidRPr="007E5EA8">
        <w:rPr>
          <w:rFonts w:ascii="Times New Roman" w:eastAsia="Calibri" w:hAnsi="Times New Roman" w:cs="Simplified Arabic"/>
          <w:sz w:val="24"/>
          <w:szCs w:val="28"/>
        </w:rPr>
        <w:t>(Ren et al., 2018)</w:t>
      </w:r>
      <w:r w:rsidRPr="007E5EA8">
        <w:rPr>
          <w:rFonts w:ascii="Times New Roman" w:eastAsia="Calibri" w:hAnsi="Times New Roman" w:cs="Simplified Arabic"/>
          <w:sz w:val="24"/>
          <w:szCs w:val="28"/>
          <w:rtl/>
        </w:rPr>
        <w:t xml:space="preserve"> أن </w:t>
      </w:r>
      <w:r w:rsidRPr="007E5EA8">
        <w:rPr>
          <w:rFonts w:ascii="Times New Roman" w:eastAsia="Calibri" w:hAnsi="Times New Roman" w:cs="Simplified Arabic"/>
          <w:sz w:val="24"/>
          <w:szCs w:val="28"/>
        </w:rPr>
        <w:t>GHRM</w:t>
      </w:r>
      <w:r w:rsidRPr="007E5EA8">
        <w:rPr>
          <w:rFonts w:ascii="Times New Roman" w:eastAsia="Calibri" w:hAnsi="Times New Roman" w:cs="Simplified Arabic"/>
          <w:sz w:val="24"/>
          <w:szCs w:val="28"/>
          <w:rtl/>
        </w:rPr>
        <w:t xml:space="preserve"> ليست مجرد وظيفة إضافية، بل هي فلسفة إدارية تسعى لخلق "قوى عاملة خضراء" تفهم وتقدر وتمارس المبادرات الخضراء. ويرى الدلال (2023) أن هذا المنهج يمثل تحولاً من الدور التقليدي للموارد البشرية إلى دور استراتيجي يساهم في تحقيق الميزة التنافسية المستدامة.</w:t>
      </w:r>
    </w:p>
    <w:p w14:paraId="53892813"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ثانياً: أهمية الممارسات الخضراء للموارد البشرية في القطاع الصناعي</w:t>
      </w:r>
    </w:p>
    <w:p w14:paraId="4FD3320D"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تكتسب هذه الممارسات أهمية مضاعفة في القطاع الصناعي نظراً لطبيعة عملياته المؤثرة في البيئة. وتتجلى هذه الأهمية في عدة جوانب:</w:t>
      </w:r>
    </w:p>
    <w:p w14:paraId="7433EBB2" w14:textId="77777777" w:rsidR="007E5EA8" w:rsidRPr="007E5EA8" w:rsidRDefault="007E5EA8" w:rsidP="00B057C9">
      <w:pPr>
        <w:numPr>
          <w:ilvl w:val="0"/>
          <w:numId w:val="22"/>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تعزيز الامتثال البيئي: </w:t>
      </w:r>
      <w:r w:rsidRPr="007E5EA8">
        <w:rPr>
          <w:rFonts w:ascii="Times New Roman" w:eastAsia="Calibri" w:hAnsi="Times New Roman" w:cs="Simplified Arabic"/>
          <w:sz w:val="24"/>
          <w:szCs w:val="28"/>
          <w:rtl/>
        </w:rPr>
        <w:t xml:space="preserve">تساعد الممارسات الخضراء المنشآت على الالتزام بالقوانين واللوائح البيئية الصارمة، مما يجنبها العقوبات والمخالفات، وهو ما أكدته دراسة </w:t>
      </w:r>
      <w:r w:rsidRPr="007E5EA8">
        <w:rPr>
          <w:rFonts w:ascii="Times New Roman" w:eastAsia="Calibri" w:hAnsi="Times New Roman" w:cs="Simplified Arabic"/>
          <w:sz w:val="24"/>
          <w:szCs w:val="28"/>
        </w:rPr>
        <w:t>(Zahrani, 2024)</w:t>
      </w:r>
      <w:r w:rsidRPr="007E5EA8">
        <w:rPr>
          <w:rFonts w:ascii="Times New Roman" w:eastAsia="Calibri" w:hAnsi="Times New Roman" w:cs="Simplified Arabic"/>
          <w:sz w:val="24"/>
          <w:szCs w:val="28"/>
          <w:rtl/>
        </w:rPr>
        <w:t>.</w:t>
      </w:r>
    </w:p>
    <w:p w14:paraId="06E5F6BE" w14:textId="77777777" w:rsidR="007E5EA8" w:rsidRPr="007E5EA8" w:rsidRDefault="007E5EA8" w:rsidP="00B057C9">
      <w:pPr>
        <w:numPr>
          <w:ilvl w:val="0"/>
          <w:numId w:val="22"/>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تحسين الصورة الذهنية: </w:t>
      </w:r>
      <w:r w:rsidRPr="007E5EA8">
        <w:rPr>
          <w:rFonts w:ascii="Times New Roman" w:eastAsia="Calibri" w:hAnsi="Times New Roman" w:cs="Simplified Arabic"/>
          <w:sz w:val="24"/>
          <w:szCs w:val="28"/>
          <w:rtl/>
        </w:rPr>
        <w:t>يساهم تبني هذه الممارسات في بناء سمعة قوية للمنشأة ككيان مسؤول اجتماعياً وبيئياً، مما يجذب العملاء والمستثمرين (شماسنة، 2023).</w:t>
      </w:r>
    </w:p>
    <w:p w14:paraId="3F3779DE" w14:textId="77777777" w:rsidR="007E5EA8" w:rsidRPr="007E5EA8" w:rsidRDefault="007E5EA8" w:rsidP="00B057C9">
      <w:pPr>
        <w:numPr>
          <w:ilvl w:val="0"/>
          <w:numId w:val="22"/>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جذب الكفاءات: </w:t>
      </w:r>
      <w:r w:rsidRPr="007E5EA8">
        <w:rPr>
          <w:rFonts w:ascii="Times New Roman" w:eastAsia="Calibri" w:hAnsi="Times New Roman" w:cs="Simplified Arabic"/>
          <w:sz w:val="24"/>
          <w:szCs w:val="28"/>
          <w:rtl/>
        </w:rPr>
        <w:t xml:space="preserve">يفضل الموظفون الموهوبون، وخاصة من الأجيال الشابة، العمل في منظمات تتبنى قيماً بيئية ومستدامة </w:t>
      </w:r>
      <w:r w:rsidRPr="007E5EA8">
        <w:rPr>
          <w:rFonts w:ascii="Times New Roman" w:eastAsia="Calibri" w:hAnsi="Times New Roman" w:cs="Simplified Arabic"/>
          <w:sz w:val="24"/>
          <w:szCs w:val="28"/>
        </w:rPr>
        <w:t>(Al-Swidi et al., 2021)</w:t>
      </w:r>
      <w:r w:rsidRPr="007E5EA8">
        <w:rPr>
          <w:rFonts w:ascii="Times New Roman" w:eastAsia="Calibri" w:hAnsi="Times New Roman" w:cs="Simplified Arabic"/>
          <w:sz w:val="24"/>
          <w:szCs w:val="28"/>
          <w:rtl/>
        </w:rPr>
        <w:t>.</w:t>
      </w:r>
    </w:p>
    <w:p w14:paraId="4E4AFEE2" w14:textId="77777777" w:rsidR="007E5EA8" w:rsidRPr="007E5EA8" w:rsidRDefault="007E5EA8" w:rsidP="00B057C9">
      <w:pPr>
        <w:numPr>
          <w:ilvl w:val="0"/>
          <w:numId w:val="22"/>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خفض التكاليف: </w:t>
      </w:r>
      <w:r w:rsidRPr="007E5EA8">
        <w:rPr>
          <w:rFonts w:ascii="Times New Roman" w:eastAsia="Calibri" w:hAnsi="Times New Roman" w:cs="Simplified Arabic"/>
          <w:sz w:val="24"/>
          <w:szCs w:val="28"/>
          <w:rtl/>
        </w:rPr>
        <w:t xml:space="preserve">من خلال تشجيع سلوكيات ترشيد الطاقة وتقليل الهدر، تساهم هذه الممارسات في خفض التكاليف التشغيلية على المدى الطويل </w:t>
      </w:r>
      <w:r w:rsidRPr="007E5EA8">
        <w:rPr>
          <w:rFonts w:ascii="Times New Roman" w:eastAsia="Calibri" w:hAnsi="Times New Roman" w:cs="Simplified Arabic"/>
          <w:sz w:val="24"/>
          <w:szCs w:val="28"/>
        </w:rPr>
        <w:t>(Yong et al., 2020)</w:t>
      </w:r>
      <w:r w:rsidRPr="007E5EA8">
        <w:rPr>
          <w:rFonts w:ascii="Times New Roman" w:eastAsia="Calibri" w:hAnsi="Times New Roman" w:cs="Simplified Arabic"/>
          <w:sz w:val="24"/>
          <w:szCs w:val="28"/>
          <w:rtl/>
        </w:rPr>
        <w:t>.</w:t>
      </w:r>
    </w:p>
    <w:p w14:paraId="2E20F7A6"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b/>
          <w:bCs/>
          <w:sz w:val="24"/>
          <w:szCs w:val="28"/>
          <w:rtl/>
        </w:rPr>
        <w:t>ثالثاً: أبعاد الممارسات الخضراء للموارد البشرية</w:t>
      </w:r>
    </w:p>
    <w:p w14:paraId="41C96316"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 xml:space="preserve">تتعدد أبعاد </w:t>
      </w:r>
      <w:r w:rsidRPr="007E5EA8">
        <w:rPr>
          <w:rFonts w:ascii="Times New Roman" w:eastAsia="Calibri" w:hAnsi="Times New Roman" w:cs="Simplified Arabic"/>
          <w:sz w:val="24"/>
          <w:szCs w:val="28"/>
        </w:rPr>
        <w:t>GHRM</w:t>
      </w:r>
      <w:r w:rsidRPr="007E5EA8">
        <w:rPr>
          <w:rFonts w:ascii="Times New Roman" w:eastAsia="Calibri" w:hAnsi="Times New Roman" w:cs="Simplified Arabic"/>
          <w:sz w:val="24"/>
          <w:szCs w:val="28"/>
          <w:rtl/>
        </w:rPr>
        <w:t>، ولكن الدراسة الحالية تركز على الأبعاد الأربعة الأكثر تأثيراً في السياق الصناعي:</w:t>
      </w:r>
    </w:p>
    <w:p w14:paraId="65EB1D47"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الاستقطاب والتعيين الأخضر (</w:t>
      </w:r>
      <w:r w:rsidRPr="007E5EA8">
        <w:rPr>
          <w:rFonts w:ascii="Times New Roman" w:eastAsia="Calibri" w:hAnsi="Times New Roman" w:cs="Simplified Arabic"/>
          <w:b/>
          <w:bCs/>
          <w:sz w:val="24"/>
          <w:szCs w:val="28"/>
        </w:rPr>
        <w:t>Green Recruitment and Selection</w:t>
      </w:r>
      <w:r w:rsidRPr="007E5EA8">
        <w:rPr>
          <w:rFonts w:ascii="Times New Roman" w:eastAsia="Calibri" w:hAnsi="Times New Roman" w:cs="Simplified Arabic"/>
          <w:b/>
          <w:bCs/>
          <w:sz w:val="24"/>
          <w:szCs w:val="28"/>
          <w:rtl/>
        </w:rPr>
        <w:t>):</w:t>
      </w:r>
    </w:p>
    <w:p w14:paraId="07CF2847"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تتضمن هذه العملية جذب وتوظيف أفراد يشاركون المنظمة قيمها البيئية. وتشير دراسة (</w:t>
      </w:r>
      <w:r w:rsidRPr="007E5EA8">
        <w:rPr>
          <w:rFonts w:ascii="Times New Roman" w:eastAsia="Calibri" w:hAnsi="Times New Roman" w:cs="Simplified Arabic"/>
          <w:sz w:val="24"/>
          <w:szCs w:val="28"/>
        </w:rPr>
        <w:t>Austen &amp; Piwowar-Sulej, 2024</w:t>
      </w:r>
      <w:r w:rsidRPr="007E5EA8">
        <w:rPr>
          <w:rFonts w:ascii="Times New Roman" w:eastAsia="Calibri" w:hAnsi="Times New Roman" w:cs="Simplified Arabic"/>
          <w:sz w:val="24"/>
          <w:szCs w:val="28"/>
          <w:rtl/>
        </w:rPr>
        <w:t>) إلى أن التوظيف الأخضر يشمل ثلاثة جوانب: التأكيد على الاهتمام البيئي في توصيف الوظائف، واستخدام قنوات توظيف صديقة للبيئة (مثل التوظيف الإلكتروني)، وتقييم وعي المرشحين البيئي أثناء المقابلات. ويهدف هذا البعد إلى بناء قاعدة من الموظفين المستعدين للمشاركة في المبادرات البيئية منذ اليوم الأول لعملهم (علي، 2022).</w:t>
      </w:r>
    </w:p>
    <w:p w14:paraId="3148EC75"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التدريب والتطوير الأخضر (</w:t>
      </w:r>
      <w:r w:rsidRPr="007E5EA8">
        <w:rPr>
          <w:rFonts w:ascii="Times New Roman" w:eastAsia="Calibri" w:hAnsi="Times New Roman" w:cs="Simplified Arabic"/>
          <w:b/>
          <w:bCs/>
          <w:sz w:val="24"/>
          <w:szCs w:val="28"/>
        </w:rPr>
        <w:t>Green Training and Development</w:t>
      </w:r>
      <w:r w:rsidRPr="007E5EA8">
        <w:rPr>
          <w:rFonts w:ascii="Times New Roman" w:eastAsia="Calibri" w:hAnsi="Times New Roman" w:cs="Simplified Arabic"/>
          <w:b/>
          <w:bCs/>
          <w:sz w:val="24"/>
          <w:szCs w:val="28"/>
          <w:rtl/>
        </w:rPr>
        <w:t>):</w:t>
      </w:r>
    </w:p>
    <w:p w14:paraId="55A414FA"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يُعد التدريب حجر الزاوية في التحول الأخضر. ويركز التدريب الأخضر على تزويد الموظفين بالمعارف والمهارات اللازمة لفهم القضايا البيئية وتطبيق ممارسات العمل المستدامة (</w:t>
      </w:r>
      <w:r w:rsidRPr="007E5EA8">
        <w:rPr>
          <w:rFonts w:ascii="Times New Roman" w:eastAsia="Calibri" w:hAnsi="Times New Roman" w:cs="Simplified Arabic"/>
          <w:sz w:val="24"/>
          <w:szCs w:val="28"/>
        </w:rPr>
        <w:t>Saeed et al., 2019</w:t>
      </w:r>
      <w:r w:rsidRPr="007E5EA8">
        <w:rPr>
          <w:rFonts w:ascii="Times New Roman" w:eastAsia="Calibri" w:hAnsi="Times New Roman" w:cs="Simplified Arabic"/>
          <w:sz w:val="24"/>
          <w:szCs w:val="28"/>
          <w:rtl/>
        </w:rPr>
        <w:t>). ويشمل ذلك ورش عمل حول إدارة النفايات، وكفاءة الطاقة، والامتثال البيئي. وتؤكد دراسة (</w:t>
      </w:r>
      <w:r w:rsidRPr="007E5EA8">
        <w:rPr>
          <w:rFonts w:ascii="Times New Roman" w:eastAsia="Calibri" w:hAnsi="Times New Roman" w:cs="Simplified Arabic"/>
          <w:sz w:val="24"/>
          <w:szCs w:val="28"/>
        </w:rPr>
        <w:t>Ba et al., 2023</w:t>
      </w:r>
      <w:r w:rsidRPr="007E5EA8">
        <w:rPr>
          <w:rFonts w:ascii="Times New Roman" w:eastAsia="Calibri" w:hAnsi="Times New Roman" w:cs="Simplified Arabic"/>
          <w:sz w:val="24"/>
          <w:szCs w:val="28"/>
          <w:rtl/>
        </w:rPr>
        <w:t>) أن التعليم والتدريب المستمر يعززان من قدرة الموظفين على ابتكار حلول للمشكلات البيئية التي تواجه المنشأة.</w:t>
      </w:r>
    </w:p>
    <w:p w14:paraId="12C597CF"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تقييم الأداء الأخضر (</w:t>
      </w:r>
      <w:r w:rsidRPr="007E5EA8">
        <w:rPr>
          <w:rFonts w:ascii="Times New Roman" w:eastAsia="Calibri" w:hAnsi="Times New Roman" w:cs="Simplified Arabic"/>
          <w:b/>
          <w:bCs/>
          <w:sz w:val="24"/>
          <w:szCs w:val="28"/>
        </w:rPr>
        <w:t>Green Performance Appraisal</w:t>
      </w:r>
      <w:r w:rsidRPr="007E5EA8">
        <w:rPr>
          <w:rFonts w:ascii="Times New Roman" w:eastAsia="Calibri" w:hAnsi="Times New Roman" w:cs="Simplified Arabic"/>
          <w:b/>
          <w:bCs/>
          <w:sz w:val="24"/>
          <w:szCs w:val="28"/>
          <w:rtl/>
        </w:rPr>
        <w:t>):</w:t>
      </w:r>
    </w:p>
    <w:p w14:paraId="415DA3A3"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يتطلب نجاح الإدارة البيئية وجود نظام لقياس الأداء يربط بين أهداف الموظف والأهداف البيئية للمنظمة. ويتضمن تقييم الأداء الأخضر وضع معايير ومؤشرات أداء بيئية (</w:t>
      </w:r>
      <w:r w:rsidRPr="007E5EA8">
        <w:rPr>
          <w:rFonts w:ascii="Times New Roman" w:eastAsia="Calibri" w:hAnsi="Times New Roman" w:cs="Simplified Arabic"/>
          <w:sz w:val="24"/>
          <w:szCs w:val="28"/>
        </w:rPr>
        <w:t>KPIs</w:t>
      </w:r>
      <w:r w:rsidRPr="007E5EA8">
        <w:rPr>
          <w:rFonts w:ascii="Times New Roman" w:eastAsia="Calibri" w:hAnsi="Times New Roman" w:cs="Simplified Arabic"/>
          <w:sz w:val="24"/>
          <w:szCs w:val="28"/>
          <w:rtl/>
        </w:rPr>
        <w:t>) ضمن نماذج التقييم السنوية، مثل: كمية النفايات المخفضة، أو الالتزام بإجراءات السلامة البيئية (</w:t>
      </w:r>
      <w:r w:rsidRPr="007E5EA8">
        <w:rPr>
          <w:rFonts w:ascii="Times New Roman" w:eastAsia="Calibri" w:hAnsi="Times New Roman" w:cs="Simplified Arabic"/>
          <w:sz w:val="24"/>
          <w:szCs w:val="28"/>
        </w:rPr>
        <w:t>Coelho et al., 2024</w:t>
      </w:r>
      <w:r w:rsidRPr="007E5EA8">
        <w:rPr>
          <w:rFonts w:ascii="Times New Roman" w:eastAsia="Calibri" w:hAnsi="Times New Roman" w:cs="Simplified Arabic"/>
          <w:sz w:val="24"/>
          <w:szCs w:val="28"/>
          <w:rtl/>
        </w:rPr>
        <w:t>). ويشير الطراونة والشورة (2022) إلى أن دمج المعايير البيئية في التقييم يرسل رسالة واضحة للموظفين بأن المسؤولية البيئية جزء لا يتجزأ من واجباتهم الوظيفية.</w:t>
      </w:r>
    </w:p>
    <w:p w14:paraId="405B69F9"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المكافآت والتعويضات الخضراء (</w:t>
      </w:r>
      <w:r w:rsidRPr="007E5EA8">
        <w:rPr>
          <w:rFonts w:ascii="Times New Roman" w:eastAsia="Calibri" w:hAnsi="Times New Roman" w:cs="Simplified Arabic"/>
          <w:b/>
          <w:bCs/>
          <w:sz w:val="24"/>
          <w:szCs w:val="28"/>
        </w:rPr>
        <w:t>Green Rewards and Compensation</w:t>
      </w:r>
      <w:r w:rsidRPr="007E5EA8">
        <w:rPr>
          <w:rFonts w:ascii="Times New Roman" w:eastAsia="Calibri" w:hAnsi="Times New Roman" w:cs="Simplified Arabic"/>
          <w:b/>
          <w:bCs/>
          <w:sz w:val="24"/>
          <w:szCs w:val="28"/>
          <w:rtl/>
        </w:rPr>
        <w:t>):</w:t>
      </w:r>
    </w:p>
    <w:p w14:paraId="0DFD536C"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لضمان استمرارية السلوك البيئي، يجب ربط الأداء البيئي بنظام الحوافز. وتشمل المكافآت الخضراء الحوافز المالية (مثل العلاوات والمكافآت المرتبطة بتحقيق أهداف بيئية) والحوافز المعنوية (مثل التقدير والجوائز العامة للموظفين المتميزين بيئياً) (</w:t>
      </w:r>
      <w:r w:rsidRPr="007E5EA8">
        <w:rPr>
          <w:rFonts w:ascii="Times New Roman" w:eastAsia="Calibri" w:hAnsi="Times New Roman" w:cs="Simplified Arabic"/>
          <w:sz w:val="24"/>
          <w:szCs w:val="28"/>
        </w:rPr>
        <w:t>Gelagay, 2024</w:t>
      </w:r>
      <w:r w:rsidRPr="007E5EA8">
        <w:rPr>
          <w:rFonts w:ascii="Times New Roman" w:eastAsia="Calibri" w:hAnsi="Times New Roman" w:cs="Simplified Arabic"/>
          <w:sz w:val="24"/>
          <w:szCs w:val="28"/>
          <w:rtl/>
        </w:rPr>
        <w:t>). وتوضح دراسة (زيادة، 2022) أن نظام المكافآت الفعال يحفز الموظفين على تبني مبادرات خضراء والمشاركة بفاعلية في برامج الاستدامة.</w:t>
      </w:r>
    </w:p>
    <w:p w14:paraId="4A76012B"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رابعاً: تحديات تطبيق الممارسات الخضراء للموارد البشرية</w:t>
      </w:r>
    </w:p>
    <w:p w14:paraId="2C17AB89"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على الرغم من الفوائد العديدة، تواجه المنشآت تحديات في التطبيق، منها: نقص الوعي البيئي لدى الإدارة العليا، ومقاومة التغيير من قبل الموظفين، وارتفاع التكاليف الأولية لتنفيذ البرامج الخضراء، وصعوبة قياس الأداء البيئي الفردي بدقة (الهاشم والشعار، 2022). وتتطلب مواجهة هذه التحديات التزاماً استراتيجياً من القيادة وتغييراً في الثقافة التنظيمية (</w:t>
      </w:r>
      <w:r w:rsidRPr="007E5EA8">
        <w:rPr>
          <w:rFonts w:ascii="Times New Roman" w:eastAsia="Calibri" w:hAnsi="Times New Roman" w:cs="Simplified Arabic"/>
          <w:sz w:val="24"/>
          <w:szCs w:val="28"/>
        </w:rPr>
        <w:t>Ichdan &amp; Maryani, 2024</w:t>
      </w:r>
      <w:r w:rsidRPr="007E5EA8">
        <w:rPr>
          <w:rFonts w:ascii="Times New Roman" w:eastAsia="Calibri" w:hAnsi="Times New Roman" w:cs="Simplified Arabic"/>
          <w:sz w:val="24"/>
          <w:szCs w:val="28"/>
          <w:rtl/>
        </w:rPr>
        <w:t>).</w:t>
      </w:r>
    </w:p>
    <w:p w14:paraId="231C633D"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 xml:space="preserve">خامساً: متطلبات نجاح تطبيق </w:t>
      </w:r>
      <w:r w:rsidRPr="007E5EA8">
        <w:rPr>
          <w:rFonts w:ascii="Times New Roman" w:eastAsia="Calibri" w:hAnsi="Times New Roman" w:cs="Simplified Arabic"/>
          <w:b/>
          <w:bCs/>
          <w:sz w:val="24"/>
          <w:szCs w:val="28"/>
        </w:rPr>
        <w:t>GHRM</w:t>
      </w:r>
      <w:r w:rsidRPr="007E5EA8">
        <w:rPr>
          <w:rFonts w:ascii="Times New Roman" w:eastAsia="Calibri" w:hAnsi="Times New Roman" w:cs="Simplified Arabic"/>
          <w:b/>
          <w:bCs/>
          <w:sz w:val="24"/>
          <w:szCs w:val="28"/>
          <w:rtl/>
        </w:rPr>
        <w:t xml:space="preserve"> في البيئة السعودية</w:t>
      </w:r>
    </w:p>
    <w:p w14:paraId="1317E50B"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في سياق المملكة العربية السعودية، يتطلب نجاح هذه الممارسات مواءمتها مع الثقافة المحلية والتشريعات الوطنية. ويشمل ذلك الاستفادة من برامج الدعم الحكومي للمبادرات الخضراء، وتعزيز الشراكات مع المؤسسات التعليمية لتوفير كوادر مؤهلة، وتطوير سياسات داخلية مرنة تتناسب مع طبيعة القطاع الصناعي السعودي (الصحفي والقرني، 2023).</w:t>
      </w:r>
    </w:p>
    <w:p w14:paraId="16BA8E39"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تعقيب على المبحث الأول:</w:t>
      </w:r>
    </w:p>
    <w:p w14:paraId="0DEECF2A"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يتضح مما سبق أن الممارسات الخضراء للموارد البشرية تمثل منظومة متكاملة لا يمكن تجزئتها؛ فالاستقطاب الجيد يسهل التدريب، والتدريب الفعال يحسن الأداء، والتقييم العادل يوجه المكافآت. و</w:t>
      </w:r>
      <w:r w:rsidRPr="007E5EA8">
        <w:rPr>
          <w:rFonts w:ascii="Times New Roman" w:eastAsia="Calibri" w:hAnsi="Times New Roman" w:cs="Simplified Arabic" w:hint="cs"/>
          <w:sz w:val="24"/>
          <w:szCs w:val="28"/>
          <w:rtl/>
        </w:rPr>
        <w:t>ت</w:t>
      </w:r>
      <w:r w:rsidRPr="007E5EA8">
        <w:rPr>
          <w:rFonts w:ascii="Times New Roman" w:eastAsia="Calibri" w:hAnsi="Times New Roman" w:cs="Simplified Arabic"/>
          <w:sz w:val="24"/>
          <w:szCs w:val="28"/>
          <w:rtl/>
        </w:rPr>
        <w:t>ستنتج الباحث</w:t>
      </w:r>
      <w:r w:rsidRPr="007E5EA8">
        <w:rPr>
          <w:rFonts w:ascii="Times New Roman" w:eastAsia="Calibri" w:hAnsi="Times New Roman" w:cs="Simplified Arabic" w:hint="cs"/>
          <w:sz w:val="24"/>
          <w:szCs w:val="28"/>
          <w:rtl/>
        </w:rPr>
        <w:t>ة</w:t>
      </w:r>
      <w:r w:rsidRPr="007E5EA8">
        <w:rPr>
          <w:rFonts w:ascii="Times New Roman" w:eastAsia="Calibri" w:hAnsi="Times New Roman" w:cs="Simplified Arabic"/>
          <w:sz w:val="24"/>
          <w:szCs w:val="28"/>
          <w:rtl/>
        </w:rPr>
        <w:t xml:space="preserve"> أن نجاح المنشآت الصناعية في الرياض في تبني هذا المفهوم يعتمد بشكل أساسي على مدى قناعة الإدارة العليا بأن الاستثمار في "الموظف الأخضر" هو استثمار في مستقبل المنشأة واستدامتها، وليس مجرد تكلفة إضافية.</w:t>
      </w:r>
    </w:p>
    <w:p w14:paraId="1D8E496A"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p>
    <w:p w14:paraId="76A32219" w14:textId="77777777" w:rsidR="007E5EA8" w:rsidRPr="007E5EA8" w:rsidRDefault="007E5EA8" w:rsidP="007E5EA8">
      <w:pPr>
        <w:spacing w:before="120" w:after="120" w:line="360" w:lineRule="auto"/>
        <w:ind w:firstLine="397"/>
        <w:jc w:val="center"/>
        <w:rPr>
          <w:rFonts w:ascii="Times New Roman" w:eastAsia="Calibri" w:hAnsi="Times New Roman" w:cs="Simplified Arabic"/>
          <w:b/>
          <w:bCs/>
          <w:sz w:val="28"/>
          <w:szCs w:val="32"/>
        </w:rPr>
      </w:pPr>
      <w:r w:rsidRPr="007E5EA8">
        <w:rPr>
          <w:rFonts w:ascii="Times New Roman" w:eastAsia="Calibri" w:hAnsi="Times New Roman" w:cs="Simplified Arabic"/>
          <w:b/>
          <w:bCs/>
          <w:sz w:val="28"/>
          <w:szCs w:val="32"/>
          <w:rtl/>
        </w:rPr>
        <w:t>المبحث الثاني: الاستدامة البيئية في القطاع الصناعي</w:t>
      </w:r>
    </w:p>
    <w:p w14:paraId="6B601AEE"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يُركز هذا المبحث على مفهوم الاستدامة البيئية كركيزة أساسية لضمان بقاء ونمو المنشآت الصناعية في ظل التحديات البيئية الراهنة، مستعرضاً أبعادها ومؤشراتها وآليات تحقيقها.</w:t>
      </w:r>
    </w:p>
    <w:p w14:paraId="60F6146B"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b/>
          <w:bCs/>
          <w:sz w:val="24"/>
          <w:szCs w:val="28"/>
          <w:rtl/>
        </w:rPr>
        <w:t>أولاً: مفهوم الاستدامة البيئية وتطوره</w:t>
      </w:r>
    </w:p>
    <w:p w14:paraId="5B7A45BB"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 xml:space="preserve">تُعد الاستدامة البيئية </w:t>
      </w:r>
      <w:r w:rsidRPr="007E5EA8">
        <w:rPr>
          <w:rFonts w:ascii="Times New Roman" w:eastAsia="Calibri" w:hAnsi="Times New Roman" w:cs="Simplified Arabic"/>
          <w:sz w:val="24"/>
          <w:szCs w:val="28"/>
        </w:rPr>
        <w:t>(Environmental Sustainability)</w:t>
      </w:r>
      <w:r w:rsidRPr="007E5EA8">
        <w:rPr>
          <w:rFonts w:ascii="Times New Roman" w:eastAsia="Calibri" w:hAnsi="Times New Roman" w:cs="Simplified Arabic"/>
          <w:sz w:val="24"/>
          <w:szCs w:val="28"/>
          <w:rtl/>
        </w:rPr>
        <w:t xml:space="preserve"> مفهوماً محورياً في الفكر الإداري والاقتصادي المعاصر، حيث تتجاوز مجرد الامتثال للقوانين البيئية لتشمل تبني استراتيجيات استباقية للحفاظ على الموارد الطبيعية وتقليل البصمة البيئية للمنظمات. ويُعرفها </w:t>
      </w:r>
      <w:r w:rsidRPr="007E5EA8">
        <w:rPr>
          <w:rFonts w:ascii="Times New Roman" w:eastAsia="Calibri" w:hAnsi="Times New Roman" w:cs="Simplified Arabic"/>
          <w:sz w:val="24"/>
          <w:szCs w:val="28"/>
        </w:rPr>
        <w:t>(Yusoff et al., 2018)</w:t>
      </w:r>
      <w:r w:rsidRPr="007E5EA8">
        <w:rPr>
          <w:rFonts w:ascii="Times New Roman" w:eastAsia="Calibri" w:hAnsi="Times New Roman" w:cs="Simplified Arabic"/>
          <w:sz w:val="24"/>
          <w:szCs w:val="28"/>
          <w:rtl/>
        </w:rPr>
        <w:t xml:space="preserve"> بأنها قدرة المنظمة على الحفاظ على معدلات الموارد المتجددة أو استبدال الموارد غير المتجددة ببدائل مستدامة، مع ضمان عدم تجاوز قدرة النظام البيئي على استيعاب الملوثات. ويرى </w:t>
      </w:r>
      <w:r w:rsidRPr="007E5EA8">
        <w:rPr>
          <w:rFonts w:ascii="Times New Roman" w:eastAsia="Calibri" w:hAnsi="Times New Roman" w:cs="Simplified Arabic"/>
          <w:sz w:val="24"/>
          <w:szCs w:val="28"/>
        </w:rPr>
        <w:t>(Ba et al., 2023)</w:t>
      </w:r>
      <w:r w:rsidRPr="007E5EA8">
        <w:rPr>
          <w:rFonts w:ascii="Times New Roman" w:eastAsia="Calibri" w:hAnsi="Times New Roman" w:cs="Simplified Arabic"/>
          <w:sz w:val="24"/>
          <w:szCs w:val="28"/>
          <w:rtl/>
        </w:rPr>
        <w:t xml:space="preserve"> أن الاستدامة البيئية في السياق الصناعي تعني تحقيق التوازن الدقيق بين الأهداف الاقتصادية والاعتبارات البيئية، لضمان استمرارية العمليات الإنتاجية دون الإضرار بالبيئة المحيطة. وقد تطور المفهوم من التركيز الضيق على "مكافحة التلوث" في السبعينيات إلى مفهوم شامل يدمج "الإنتاج الأنظف" و"الاقتصاد الدائري" في استراتيجيات الأعمال </w:t>
      </w:r>
      <w:r w:rsidRPr="007E5EA8">
        <w:rPr>
          <w:rFonts w:ascii="Times New Roman" w:eastAsia="Calibri" w:hAnsi="Times New Roman" w:cs="Simplified Arabic"/>
          <w:sz w:val="24"/>
          <w:szCs w:val="28"/>
        </w:rPr>
        <w:t>(Jabbour et al., 2018)</w:t>
      </w:r>
      <w:r w:rsidRPr="007E5EA8">
        <w:rPr>
          <w:rFonts w:ascii="Times New Roman" w:eastAsia="Calibri" w:hAnsi="Times New Roman" w:cs="Simplified Arabic"/>
          <w:sz w:val="24"/>
          <w:szCs w:val="28"/>
          <w:rtl/>
        </w:rPr>
        <w:t>.</w:t>
      </w:r>
    </w:p>
    <w:p w14:paraId="7CD1F03F"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b/>
          <w:bCs/>
          <w:sz w:val="24"/>
          <w:szCs w:val="28"/>
          <w:rtl/>
        </w:rPr>
        <w:t>ثانياً: أهمية الاستدامة البيئية للمنشآت الصناعية</w:t>
      </w:r>
    </w:p>
    <w:p w14:paraId="1CFA8E82"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تكتسب الاستدامة البيئية أهمية استراتيجية للمنشآت الصناعية، وتتمثل في:</w:t>
      </w:r>
    </w:p>
    <w:p w14:paraId="5339E12D" w14:textId="77777777" w:rsidR="007E5EA8" w:rsidRPr="007E5EA8" w:rsidRDefault="007E5EA8" w:rsidP="00B057C9">
      <w:pPr>
        <w:numPr>
          <w:ilvl w:val="0"/>
          <w:numId w:val="23"/>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ضمان استمرارية الأعمال: </w:t>
      </w:r>
      <w:r w:rsidRPr="007E5EA8">
        <w:rPr>
          <w:rFonts w:ascii="Times New Roman" w:eastAsia="Calibri" w:hAnsi="Times New Roman" w:cs="Simplified Arabic"/>
          <w:sz w:val="24"/>
          <w:szCs w:val="28"/>
          <w:rtl/>
        </w:rPr>
        <w:t xml:space="preserve">حيث يؤدي استنزاف الموارد وتدهور البيئة إلى تهديد مباشر لسلاسل التوريد وتوافر المواد الخام، مما يجعل الاستدامة ضرورة للبقاء </w:t>
      </w:r>
      <w:r w:rsidRPr="007E5EA8">
        <w:rPr>
          <w:rFonts w:ascii="Times New Roman" w:eastAsia="Calibri" w:hAnsi="Times New Roman" w:cs="Simplified Arabic"/>
          <w:sz w:val="24"/>
          <w:szCs w:val="28"/>
        </w:rPr>
        <w:t>(Zaid et al., 2018)</w:t>
      </w:r>
      <w:r w:rsidRPr="007E5EA8">
        <w:rPr>
          <w:rFonts w:ascii="Times New Roman" w:eastAsia="Calibri" w:hAnsi="Times New Roman" w:cs="Simplified Arabic"/>
          <w:sz w:val="24"/>
          <w:szCs w:val="28"/>
          <w:rtl/>
        </w:rPr>
        <w:t>.</w:t>
      </w:r>
    </w:p>
    <w:p w14:paraId="6E804DEB" w14:textId="77777777" w:rsidR="007E5EA8" w:rsidRPr="007E5EA8" w:rsidRDefault="007E5EA8" w:rsidP="00B057C9">
      <w:pPr>
        <w:numPr>
          <w:ilvl w:val="0"/>
          <w:numId w:val="23"/>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تعزيز الميزة التنافسية: </w:t>
      </w:r>
      <w:r w:rsidRPr="007E5EA8">
        <w:rPr>
          <w:rFonts w:ascii="Times New Roman" w:eastAsia="Calibri" w:hAnsi="Times New Roman" w:cs="Simplified Arabic"/>
          <w:sz w:val="24"/>
          <w:szCs w:val="28"/>
          <w:rtl/>
        </w:rPr>
        <w:t>تساهم الممارسات المستدامة في خفض التكاليف التشغيلية من خلال كفاءة الطاقة وتقليل الهدر، كما تفتح أسواقاً جديدة للمنتجات الخضراء التي يفضلها المستهلكون الواعون بيئياً (شمس الدين، 2025).</w:t>
      </w:r>
    </w:p>
    <w:p w14:paraId="4B3A10A7" w14:textId="77777777" w:rsidR="007E5EA8" w:rsidRPr="007E5EA8" w:rsidRDefault="007E5EA8" w:rsidP="00B057C9">
      <w:pPr>
        <w:numPr>
          <w:ilvl w:val="0"/>
          <w:numId w:val="23"/>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الامتثال للتشريعات: </w:t>
      </w:r>
      <w:r w:rsidRPr="007E5EA8">
        <w:rPr>
          <w:rFonts w:ascii="Times New Roman" w:eastAsia="Calibri" w:hAnsi="Times New Roman" w:cs="Simplified Arabic"/>
          <w:sz w:val="24"/>
          <w:szCs w:val="28"/>
          <w:rtl/>
        </w:rPr>
        <w:t>مع تزايد صرامة القوانين البيئية عالمياً ومحلياً (مثل مبادرة السعودية الخضراء)، يصبح الامتثال البيئي شرطاً أساسياً لتجنب الغرامات والعقوبات القانونية التي قد تصل لإغلاق المنشأة (القصبي وعطا الله، 2023).</w:t>
      </w:r>
    </w:p>
    <w:p w14:paraId="0D9DC03F" w14:textId="77777777" w:rsidR="007E5EA8" w:rsidRPr="007E5EA8" w:rsidRDefault="007E5EA8" w:rsidP="00B057C9">
      <w:pPr>
        <w:numPr>
          <w:ilvl w:val="0"/>
          <w:numId w:val="23"/>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تحسين العلاقات مع أصحاب المصلحة: </w:t>
      </w:r>
      <w:r w:rsidRPr="007E5EA8">
        <w:rPr>
          <w:rFonts w:ascii="Times New Roman" w:eastAsia="Calibri" w:hAnsi="Times New Roman" w:cs="Simplified Arabic"/>
          <w:sz w:val="24"/>
          <w:szCs w:val="28"/>
          <w:rtl/>
        </w:rPr>
        <w:t xml:space="preserve">يعزز الأداء البيئي الجيد ثقة المستثمرين والمجتمعات المحلية والجهات الحكومية في المنشأة، مما يسهل الحصول على التمويل والتراخيص </w:t>
      </w:r>
      <w:r w:rsidRPr="007E5EA8">
        <w:rPr>
          <w:rFonts w:ascii="Times New Roman" w:eastAsia="Calibri" w:hAnsi="Times New Roman" w:cs="Simplified Arabic"/>
          <w:sz w:val="24"/>
          <w:szCs w:val="28"/>
        </w:rPr>
        <w:t>(Roscoe et al., 2019)</w:t>
      </w:r>
      <w:r w:rsidRPr="007E5EA8">
        <w:rPr>
          <w:rFonts w:ascii="Times New Roman" w:eastAsia="Calibri" w:hAnsi="Times New Roman" w:cs="Simplified Arabic"/>
          <w:sz w:val="24"/>
          <w:szCs w:val="28"/>
          <w:rtl/>
        </w:rPr>
        <w:t>.</w:t>
      </w:r>
    </w:p>
    <w:p w14:paraId="77E4E1BD"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b/>
          <w:bCs/>
          <w:sz w:val="24"/>
          <w:szCs w:val="28"/>
          <w:rtl/>
        </w:rPr>
        <w:t>ثالثاً: أبعاد ومؤشرات الاستدامة البيئية</w:t>
      </w:r>
    </w:p>
    <w:p w14:paraId="22B4F9FC"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تتعدد أبعاد الاستدامة البيئية، وتركز الدراسة الحالية على الأبعاد الثلاثة الأكثر ارتباطاً بالعمليات الصناعية:</w:t>
      </w:r>
    </w:p>
    <w:p w14:paraId="13E708CC" w14:textId="77777777" w:rsidR="007E5EA8" w:rsidRPr="007E5EA8" w:rsidRDefault="007E5EA8" w:rsidP="00B057C9">
      <w:pPr>
        <w:numPr>
          <w:ilvl w:val="0"/>
          <w:numId w:val="24"/>
        </w:numPr>
        <w:spacing w:before="120" w:after="120" w:line="360" w:lineRule="auto"/>
        <w:jc w:val="both"/>
        <w:rPr>
          <w:rFonts w:ascii="Times New Roman" w:eastAsia="Calibri" w:hAnsi="Times New Roman" w:cs="Simplified Arabic"/>
          <w:sz w:val="24"/>
          <w:szCs w:val="28"/>
          <w:rtl/>
        </w:rPr>
      </w:pPr>
      <w:r w:rsidRPr="007E5EA8">
        <w:rPr>
          <w:rFonts w:ascii="Times New Roman" w:eastAsia="Calibri" w:hAnsi="Times New Roman" w:cs="Simplified Arabic"/>
          <w:b/>
          <w:bCs/>
          <w:sz w:val="24"/>
          <w:szCs w:val="28"/>
          <w:rtl/>
        </w:rPr>
        <w:t>الحد من التلوث والنفايات (</w:t>
      </w:r>
      <w:r w:rsidRPr="007E5EA8">
        <w:rPr>
          <w:rFonts w:ascii="Times New Roman" w:eastAsia="Calibri" w:hAnsi="Times New Roman" w:cs="Simplified Arabic"/>
          <w:b/>
          <w:bCs/>
          <w:sz w:val="24"/>
          <w:szCs w:val="28"/>
        </w:rPr>
        <w:t>Pollution and Waste Reduction</w:t>
      </w:r>
      <w:r w:rsidRPr="007E5EA8">
        <w:rPr>
          <w:rFonts w:ascii="Times New Roman" w:eastAsia="Calibri" w:hAnsi="Times New Roman" w:cs="Simplified Arabic"/>
          <w:b/>
          <w:bCs/>
          <w:sz w:val="24"/>
          <w:szCs w:val="28"/>
          <w:rtl/>
        </w:rPr>
        <w:t>):</w:t>
      </w:r>
    </w:p>
    <w:p w14:paraId="21494231" w14:textId="77777777" w:rsidR="007E5EA8" w:rsidRPr="007E5EA8" w:rsidRDefault="007E5EA8" w:rsidP="007E5EA8">
      <w:pPr>
        <w:spacing w:before="120" w:after="120" w:line="360" w:lineRule="auto"/>
        <w:ind w:left="360"/>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يُعد التلوث الناتج عن العمليات الصناعية أحد أكبر التحديات البيئية. ويتضمن هذا البعد تبني تقنيات وإجراءات لتقليل الانبعاثات الغازية، ومعالجة مياه الصرف الصناعي، وإدارة النفايات الصلبة والخطرة بطرق آمنة (</w:t>
      </w:r>
      <w:r w:rsidRPr="007E5EA8">
        <w:rPr>
          <w:rFonts w:ascii="Times New Roman" w:eastAsia="Calibri" w:hAnsi="Times New Roman" w:cs="Simplified Arabic"/>
          <w:sz w:val="24"/>
          <w:szCs w:val="28"/>
        </w:rPr>
        <w:t>Singh et al., 2020</w:t>
      </w:r>
      <w:r w:rsidRPr="007E5EA8">
        <w:rPr>
          <w:rFonts w:ascii="Times New Roman" w:eastAsia="Calibri" w:hAnsi="Times New Roman" w:cs="Simplified Arabic"/>
          <w:sz w:val="24"/>
          <w:szCs w:val="28"/>
          <w:rtl/>
        </w:rPr>
        <w:t>). وتشير دراسة (</w:t>
      </w:r>
      <w:r w:rsidRPr="007E5EA8">
        <w:rPr>
          <w:rFonts w:ascii="Times New Roman" w:eastAsia="Calibri" w:hAnsi="Times New Roman" w:cs="Simplified Arabic"/>
          <w:sz w:val="24"/>
          <w:szCs w:val="28"/>
        </w:rPr>
        <w:t>Gelagay, 2024</w:t>
      </w:r>
      <w:r w:rsidRPr="007E5EA8">
        <w:rPr>
          <w:rFonts w:ascii="Times New Roman" w:eastAsia="Calibri" w:hAnsi="Times New Roman" w:cs="Simplified Arabic"/>
          <w:sz w:val="24"/>
          <w:szCs w:val="28"/>
          <w:rtl/>
        </w:rPr>
        <w:t>) إلى أن تطبيق مبادئ "الحد من المصدر" و"إعادة التدوير" يساهم بشكل فعال في خفض الأثر البيئي للمنشأة.</w:t>
      </w:r>
    </w:p>
    <w:p w14:paraId="127D219A" w14:textId="77777777" w:rsidR="007E5EA8" w:rsidRPr="007E5EA8" w:rsidRDefault="007E5EA8" w:rsidP="00B057C9">
      <w:pPr>
        <w:numPr>
          <w:ilvl w:val="1"/>
          <w:numId w:val="24"/>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مؤشرات القياس: </w:t>
      </w:r>
      <w:r w:rsidRPr="007E5EA8">
        <w:rPr>
          <w:rFonts w:ascii="Times New Roman" w:eastAsia="Calibri" w:hAnsi="Times New Roman" w:cs="Simplified Arabic"/>
          <w:sz w:val="24"/>
          <w:szCs w:val="28"/>
          <w:rtl/>
        </w:rPr>
        <w:t>كمية النفايات الناتجة لكل وحدة إنتاج، نسبة المواد المعاد تدويرها، ومعدلات انبعاثات الكربون.</w:t>
      </w:r>
    </w:p>
    <w:p w14:paraId="657ED594" w14:textId="77777777" w:rsidR="007E5EA8" w:rsidRPr="007E5EA8" w:rsidRDefault="007E5EA8" w:rsidP="00B057C9">
      <w:pPr>
        <w:numPr>
          <w:ilvl w:val="0"/>
          <w:numId w:val="24"/>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كفاءة استخدام الموارد والطاقة </w:t>
      </w:r>
      <w:r w:rsidRPr="007E5EA8">
        <w:rPr>
          <w:rFonts w:ascii="Times New Roman" w:eastAsia="Calibri" w:hAnsi="Times New Roman" w:cs="Simplified Arabic"/>
          <w:b/>
          <w:bCs/>
          <w:sz w:val="24"/>
          <w:szCs w:val="28"/>
        </w:rPr>
        <w:t>(Resource and Energy Efficiency)</w:t>
      </w:r>
      <w:r w:rsidRPr="007E5EA8">
        <w:rPr>
          <w:rFonts w:ascii="Times New Roman" w:eastAsia="Calibri" w:hAnsi="Times New Roman" w:cs="Simplified Arabic"/>
          <w:b/>
          <w:bCs/>
          <w:sz w:val="24"/>
          <w:szCs w:val="28"/>
          <w:rtl/>
        </w:rPr>
        <w:t>:</w:t>
      </w:r>
      <w:r w:rsidRPr="007E5EA8">
        <w:rPr>
          <w:rFonts w:ascii="Times New Roman" w:eastAsia="Calibri" w:hAnsi="Times New Roman" w:cs="Simplified Arabic" w:hint="cs"/>
          <w:sz w:val="24"/>
          <w:szCs w:val="28"/>
          <w:rtl/>
        </w:rPr>
        <w:t xml:space="preserve"> </w:t>
      </w:r>
    </w:p>
    <w:p w14:paraId="4DD4774A" w14:textId="77777777" w:rsidR="007E5EA8" w:rsidRPr="007E5EA8" w:rsidRDefault="007E5EA8" w:rsidP="007E5EA8">
      <w:pPr>
        <w:spacing w:before="120" w:after="120" w:line="360" w:lineRule="auto"/>
        <w:ind w:left="720"/>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 xml:space="preserve">يركز هذا البعد على الاستخدام الأمثل للموارد الطبيعية (المياه، المواد الخام) والطاقة في العمليات الإنتاجية. وتهدف كفاءة الموارد إلى تحقيق "المزيد من القيمة بموارد أقل"، مما يقلل من الضغط على البيئة ويخفض التكاليف </w:t>
      </w:r>
      <w:r w:rsidRPr="007E5EA8">
        <w:rPr>
          <w:rFonts w:ascii="Times New Roman" w:eastAsia="Calibri" w:hAnsi="Times New Roman" w:cs="Simplified Arabic"/>
          <w:sz w:val="24"/>
          <w:szCs w:val="28"/>
        </w:rPr>
        <w:t>(Yong et al., 2020)</w:t>
      </w:r>
      <w:r w:rsidRPr="007E5EA8">
        <w:rPr>
          <w:rFonts w:ascii="Times New Roman" w:eastAsia="Calibri" w:hAnsi="Times New Roman" w:cs="Simplified Arabic"/>
          <w:sz w:val="24"/>
          <w:szCs w:val="28"/>
          <w:rtl/>
        </w:rPr>
        <w:t>. وتوضح دراسة (جبر والجنابي، 2022) أن التحول نحو مصادر الطاقة المتجددة (مثل الطاقة الشمسية) وتبني تقنيات ترشيد الاستهلاك يعدان من أهم استراتيجيات هذا البعد.</w:t>
      </w:r>
    </w:p>
    <w:p w14:paraId="6AF13AA1" w14:textId="77777777" w:rsidR="007E5EA8" w:rsidRPr="007E5EA8" w:rsidRDefault="007E5EA8" w:rsidP="00B057C9">
      <w:pPr>
        <w:numPr>
          <w:ilvl w:val="1"/>
          <w:numId w:val="24"/>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مؤشرات القياس: </w:t>
      </w:r>
      <w:r w:rsidRPr="007E5EA8">
        <w:rPr>
          <w:rFonts w:ascii="Times New Roman" w:eastAsia="Calibri" w:hAnsi="Times New Roman" w:cs="Simplified Arabic"/>
          <w:sz w:val="24"/>
          <w:szCs w:val="28"/>
          <w:rtl/>
        </w:rPr>
        <w:t>استهلاك الطاقة لكل وحدة منتجة، نسبة استخدام الطاقة المتجددة، ومعدل استهلاك المياه.</w:t>
      </w:r>
    </w:p>
    <w:p w14:paraId="43633025" w14:textId="77777777" w:rsidR="007E5EA8" w:rsidRPr="007E5EA8" w:rsidRDefault="007E5EA8" w:rsidP="00B057C9">
      <w:pPr>
        <w:numPr>
          <w:ilvl w:val="0"/>
          <w:numId w:val="24"/>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الامتثال البيئي </w:t>
      </w:r>
      <w:r w:rsidRPr="007E5EA8">
        <w:rPr>
          <w:rFonts w:ascii="Times New Roman" w:eastAsia="Calibri" w:hAnsi="Times New Roman" w:cs="Simplified Arabic"/>
          <w:b/>
          <w:bCs/>
          <w:sz w:val="24"/>
          <w:szCs w:val="28"/>
        </w:rPr>
        <w:t>(Environmental Compliance)</w:t>
      </w:r>
      <w:r w:rsidRPr="007E5EA8">
        <w:rPr>
          <w:rFonts w:ascii="Times New Roman" w:eastAsia="Calibri" w:hAnsi="Times New Roman" w:cs="Simplified Arabic"/>
          <w:b/>
          <w:bCs/>
          <w:sz w:val="24"/>
          <w:szCs w:val="28"/>
          <w:rtl/>
        </w:rPr>
        <w:t>:</w:t>
      </w:r>
    </w:p>
    <w:p w14:paraId="4F3AC672" w14:textId="77777777" w:rsidR="007E5EA8" w:rsidRPr="007E5EA8" w:rsidRDefault="007E5EA8" w:rsidP="007E5EA8">
      <w:pPr>
        <w:spacing w:before="120" w:after="120" w:line="360" w:lineRule="auto"/>
        <w:ind w:left="720"/>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 xml:space="preserve">يمثل الامتثال البيئي الحد الأدنى من المسؤولية البيئية للمنشأة، ويتضمن الالتزام بجميع القوانين واللوائح والمعايير البيئية المحلية والدولية </w:t>
      </w:r>
      <w:r w:rsidRPr="007E5EA8">
        <w:rPr>
          <w:rFonts w:ascii="Times New Roman" w:eastAsia="Calibri" w:hAnsi="Times New Roman" w:cs="Simplified Arabic"/>
          <w:sz w:val="24"/>
          <w:szCs w:val="28"/>
        </w:rPr>
        <w:t>(</w:t>
      </w:r>
      <w:r w:rsidRPr="007E5EA8">
        <w:rPr>
          <w:rFonts w:ascii="Times New Roman" w:eastAsia="Calibri" w:hAnsi="Times New Roman" w:cs="Simplified Arabic"/>
          <w:sz w:val="24"/>
          <w:szCs w:val="28"/>
          <w:rtl/>
        </w:rPr>
        <w:t xml:space="preserve">مثل </w:t>
      </w:r>
      <w:r w:rsidRPr="007E5EA8">
        <w:rPr>
          <w:rFonts w:ascii="Times New Roman" w:eastAsia="Calibri" w:hAnsi="Times New Roman" w:cs="Simplified Arabic"/>
          <w:sz w:val="24"/>
          <w:szCs w:val="28"/>
        </w:rPr>
        <w:t>ISO 14001)</w:t>
      </w:r>
      <w:r w:rsidRPr="007E5EA8">
        <w:rPr>
          <w:rFonts w:ascii="Times New Roman" w:eastAsia="Calibri" w:hAnsi="Times New Roman" w:cs="Simplified Arabic"/>
          <w:sz w:val="24"/>
          <w:szCs w:val="28"/>
          <w:rtl/>
        </w:rPr>
        <w:t xml:space="preserve">. ويشير </w:t>
      </w:r>
      <w:r w:rsidRPr="007E5EA8">
        <w:rPr>
          <w:rFonts w:ascii="Times New Roman" w:eastAsia="Calibri" w:hAnsi="Times New Roman" w:cs="Simplified Arabic"/>
          <w:sz w:val="24"/>
          <w:szCs w:val="28"/>
        </w:rPr>
        <w:t>(Zahrani, 2024)</w:t>
      </w:r>
      <w:r w:rsidRPr="007E5EA8">
        <w:rPr>
          <w:rFonts w:ascii="Times New Roman" w:eastAsia="Calibri" w:hAnsi="Times New Roman" w:cs="Simplified Arabic"/>
          <w:sz w:val="24"/>
          <w:szCs w:val="28"/>
          <w:rtl/>
        </w:rPr>
        <w:t xml:space="preserve"> إلى أن الامتثال ليس مجرد إجراء قانوني، بل هو مؤشر على نضج النظام الإداري البيئي للمنشأة وقدرتها على إدارة المخاطر البيئية.</w:t>
      </w:r>
    </w:p>
    <w:p w14:paraId="1CDBD670" w14:textId="77777777" w:rsidR="007E5EA8" w:rsidRPr="007E5EA8" w:rsidRDefault="007E5EA8" w:rsidP="00B057C9">
      <w:pPr>
        <w:numPr>
          <w:ilvl w:val="1"/>
          <w:numId w:val="24"/>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مؤشرات القياس: </w:t>
      </w:r>
      <w:r w:rsidRPr="007E5EA8">
        <w:rPr>
          <w:rFonts w:ascii="Times New Roman" w:eastAsia="Calibri" w:hAnsi="Times New Roman" w:cs="Simplified Arabic"/>
          <w:sz w:val="24"/>
          <w:szCs w:val="28"/>
          <w:rtl/>
        </w:rPr>
        <w:t>عدد المخالفات البيئية المسجلة، الحصول على شهادات بيئية معتمدة، ووجود سياسات بيئية موثقة.</w:t>
      </w:r>
    </w:p>
    <w:p w14:paraId="38BE440E"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b/>
          <w:bCs/>
          <w:sz w:val="24"/>
          <w:szCs w:val="28"/>
          <w:rtl/>
        </w:rPr>
        <w:t>رابعاً: تحديات تحقيق الاستدامة البيئية في الصناعة السعودية</w:t>
      </w:r>
    </w:p>
    <w:p w14:paraId="76459DDB"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تواجه المنشآت الصناعية في المملكة تحديات متعددة في مسيرتها نحو الاستدامة، منها:</w:t>
      </w:r>
    </w:p>
    <w:p w14:paraId="67C5D36A" w14:textId="77777777" w:rsidR="007E5EA8" w:rsidRPr="007E5EA8" w:rsidRDefault="007E5EA8" w:rsidP="00B057C9">
      <w:pPr>
        <w:numPr>
          <w:ilvl w:val="0"/>
          <w:numId w:val="25"/>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التكلفة العالية للتقنيات الخضراء: </w:t>
      </w:r>
      <w:r w:rsidRPr="007E5EA8">
        <w:rPr>
          <w:rFonts w:ascii="Times New Roman" w:eastAsia="Calibri" w:hAnsi="Times New Roman" w:cs="Simplified Arabic"/>
          <w:sz w:val="24"/>
          <w:szCs w:val="28"/>
          <w:rtl/>
        </w:rPr>
        <w:t>يتطلب التحول نحو الإنتاج النظيف استثمارات رأسمالية كبيرة قد لا تتوفر للمنشآت الصغيرة والمتوسطة (الصحفي والقرني، 2023).</w:t>
      </w:r>
    </w:p>
    <w:p w14:paraId="2B4C8943" w14:textId="77777777" w:rsidR="007E5EA8" w:rsidRPr="007E5EA8" w:rsidRDefault="007E5EA8" w:rsidP="00B057C9">
      <w:pPr>
        <w:numPr>
          <w:ilvl w:val="0"/>
          <w:numId w:val="25"/>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نقص الخبرات الفنية: </w:t>
      </w:r>
      <w:r w:rsidRPr="007E5EA8">
        <w:rPr>
          <w:rFonts w:ascii="Times New Roman" w:eastAsia="Calibri" w:hAnsi="Times New Roman" w:cs="Simplified Arabic"/>
          <w:sz w:val="24"/>
          <w:szCs w:val="28"/>
          <w:rtl/>
        </w:rPr>
        <w:t>تعاني بعض المنشآت من نقص في الكوادر المؤهلة القادرة على إدارة وتشغيل الأنظمة البيئية المتطورة (العولقي، 2021).</w:t>
      </w:r>
    </w:p>
    <w:p w14:paraId="323A9D91" w14:textId="77777777" w:rsidR="007E5EA8" w:rsidRPr="007E5EA8" w:rsidRDefault="007E5EA8" w:rsidP="00B057C9">
      <w:pPr>
        <w:numPr>
          <w:ilvl w:val="0"/>
          <w:numId w:val="25"/>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ضعف الوعي البيئي: </w:t>
      </w:r>
      <w:r w:rsidRPr="007E5EA8">
        <w:rPr>
          <w:rFonts w:ascii="Times New Roman" w:eastAsia="Calibri" w:hAnsi="Times New Roman" w:cs="Simplified Arabic"/>
          <w:sz w:val="24"/>
          <w:szCs w:val="28"/>
          <w:rtl/>
        </w:rPr>
        <w:t>لا يزال الوعي بأهمية الاستدامة البيئية محدوداً لدى بعض القيادات والعاملين في القطاع الصناعي، مما يعيق تبني المبادرات الخضراء (حافظ ومكارم، 2025).</w:t>
      </w:r>
    </w:p>
    <w:p w14:paraId="0DBB8F6F"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b/>
          <w:bCs/>
          <w:sz w:val="24"/>
          <w:szCs w:val="28"/>
          <w:rtl/>
        </w:rPr>
        <w:t>خامساً: استراتيجيات تعزيز الاستدامة البيئية</w:t>
      </w:r>
    </w:p>
    <w:p w14:paraId="6F7A3AF0"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للتغلب على هذه التحديات، تقترح الأدبيات عدة استراتيجيات، منها:</w:t>
      </w:r>
    </w:p>
    <w:p w14:paraId="3F33EA12" w14:textId="77777777" w:rsidR="007E5EA8" w:rsidRPr="007E5EA8" w:rsidRDefault="007E5EA8" w:rsidP="00B057C9">
      <w:pPr>
        <w:numPr>
          <w:ilvl w:val="0"/>
          <w:numId w:val="2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تبني الاقتصاد الدائري: </w:t>
      </w:r>
      <w:r w:rsidRPr="007E5EA8">
        <w:rPr>
          <w:rFonts w:ascii="Times New Roman" w:eastAsia="Calibri" w:hAnsi="Times New Roman" w:cs="Simplified Arabic"/>
          <w:sz w:val="24"/>
          <w:szCs w:val="28"/>
          <w:rtl/>
        </w:rPr>
        <w:t xml:space="preserve">التحول من نموذج "خذ-صنع-تخلص" إلى نموذج دائري يعتمد على إعادة استخدام الموارد وتدويرها </w:t>
      </w:r>
      <w:r w:rsidRPr="007E5EA8">
        <w:rPr>
          <w:rFonts w:ascii="Times New Roman" w:eastAsia="Calibri" w:hAnsi="Times New Roman" w:cs="Simplified Arabic"/>
          <w:sz w:val="24"/>
          <w:szCs w:val="28"/>
        </w:rPr>
        <w:t>(Jabbour et al., 2018)</w:t>
      </w:r>
      <w:r w:rsidRPr="007E5EA8">
        <w:rPr>
          <w:rFonts w:ascii="Times New Roman" w:eastAsia="Calibri" w:hAnsi="Times New Roman" w:cs="Simplified Arabic"/>
          <w:sz w:val="24"/>
          <w:szCs w:val="28"/>
          <w:rtl/>
        </w:rPr>
        <w:t>.</w:t>
      </w:r>
    </w:p>
    <w:p w14:paraId="45A78922" w14:textId="77777777" w:rsidR="007E5EA8" w:rsidRPr="007E5EA8" w:rsidRDefault="007E5EA8" w:rsidP="00B057C9">
      <w:pPr>
        <w:numPr>
          <w:ilvl w:val="0"/>
          <w:numId w:val="2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الاستثمار في الابتكار الأخضر: </w:t>
      </w:r>
      <w:r w:rsidRPr="007E5EA8">
        <w:rPr>
          <w:rFonts w:ascii="Times New Roman" w:eastAsia="Calibri" w:hAnsi="Times New Roman" w:cs="Simplified Arabic"/>
          <w:sz w:val="24"/>
          <w:szCs w:val="28"/>
          <w:rtl/>
        </w:rPr>
        <w:t xml:space="preserve">تشجيع البحث والتطوير لابتكار منتجات وعمليات صديقة للبيئة </w:t>
      </w:r>
      <w:r w:rsidRPr="007E5EA8">
        <w:rPr>
          <w:rFonts w:ascii="Times New Roman" w:eastAsia="Calibri" w:hAnsi="Times New Roman" w:cs="Simplified Arabic"/>
          <w:sz w:val="24"/>
          <w:szCs w:val="28"/>
        </w:rPr>
        <w:t>(Suganthi, 2019)</w:t>
      </w:r>
      <w:r w:rsidRPr="007E5EA8">
        <w:rPr>
          <w:rFonts w:ascii="Times New Roman" w:eastAsia="Calibri" w:hAnsi="Times New Roman" w:cs="Simplified Arabic"/>
          <w:sz w:val="24"/>
          <w:szCs w:val="28"/>
          <w:rtl/>
        </w:rPr>
        <w:t>.</w:t>
      </w:r>
    </w:p>
    <w:p w14:paraId="4744B9F6" w14:textId="77777777" w:rsidR="007E5EA8" w:rsidRPr="007E5EA8" w:rsidRDefault="007E5EA8" w:rsidP="00B057C9">
      <w:pPr>
        <w:numPr>
          <w:ilvl w:val="0"/>
          <w:numId w:val="26"/>
        </w:numPr>
        <w:spacing w:before="120" w:after="120" w:line="360" w:lineRule="auto"/>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 xml:space="preserve">الشراكات والتعاون: </w:t>
      </w:r>
      <w:r w:rsidRPr="007E5EA8">
        <w:rPr>
          <w:rFonts w:ascii="Times New Roman" w:eastAsia="Calibri" w:hAnsi="Times New Roman" w:cs="Simplified Arabic"/>
          <w:sz w:val="24"/>
          <w:szCs w:val="28"/>
          <w:rtl/>
        </w:rPr>
        <w:t xml:space="preserve">بناء شراكات مع الجامعات والمراكز البحثية والجهات الحكومية لتبادل المعرفة والخبرات في مجال الاستدامة </w:t>
      </w:r>
      <w:r w:rsidRPr="007E5EA8">
        <w:rPr>
          <w:rFonts w:ascii="Times New Roman" w:eastAsia="Calibri" w:hAnsi="Times New Roman" w:cs="Simplified Arabic"/>
          <w:sz w:val="24"/>
          <w:szCs w:val="28"/>
        </w:rPr>
        <w:t>(Ba et al., 2023)</w:t>
      </w:r>
      <w:r w:rsidRPr="007E5EA8">
        <w:rPr>
          <w:rFonts w:ascii="Times New Roman" w:eastAsia="Calibri" w:hAnsi="Times New Roman" w:cs="Simplified Arabic"/>
          <w:sz w:val="24"/>
          <w:szCs w:val="28"/>
          <w:rtl/>
        </w:rPr>
        <w:t>.</w:t>
      </w:r>
    </w:p>
    <w:p w14:paraId="329EFFB0"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تعقيب على المبحث الثاني:</w:t>
      </w:r>
    </w:p>
    <w:p w14:paraId="18C3DD4E"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hint="cs"/>
          <w:sz w:val="24"/>
          <w:szCs w:val="28"/>
          <w:rtl/>
        </w:rPr>
        <w:t>ت</w:t>
      </w:r>
      <w:r w:rsidRPr="007E5EA8">
        <w:rPr>
          <w:rFonts w:ascii="Times New Roman" w:eastAsia="Calibri" w:hAnsi="Times New Roman" w:cs="Simplified Arabic"/>
          <w:sz w:val="24"/>
          <w:szCs w:val="28"/>
          <w:rtl/>
        </w:rPr>
        <w:t>خلص الباحث</w:t>
      </w:r>
      <w:r w:rsidRPr="007E5EA8">
        <w:rPr>
          <w:rFonts w:ascii="Times New Roman" w:eastAsia="Calibri" w:hAnsi="Times New Roman" w:cs="Simplified Arabic" w:hint="cs"/>
          <w:sz w:val="24"/>
          <w:szCs w:val="28"/>
          <w:rtl/>
        </w:rPr>
        <w:t>ة</w:t>
      </w:r>
      <w:r w:rsidRPr="007E5EA8">
        <w:rPr>
          <w:rFonts w:ascii="Times New Roman" w:eastAsia="Calibri" w:hAnsi="Times New Roman" w:cs="Simplified Arabic"/>
          <w:sz w:val="24"/>
          <w:szCs w:val="28"/>
          <w:rtl/>
        </w:rPr>
        <w:t xml:space="preserve"> إلى أن الاستدامة البيئية لم تعد خياراً ترفيهياً للمنشآت الصناعية في الرياض، بل أصبحت ضرورة حتمية تفرضها المتغيرات المحلية والعالمية. وأن النجاح في تحقيق هذه الاستدامة لا يعتمد فقط على التكنولوجيا، بل يتطلب تغييراً جذرياً في الثقافة المؤسسية وسلوكيات الأفراد، وهو ما يؤكد الدور المحوري للموارد البشرية في قيادة هذا التحول.</w:t>
      </w:r>
    </w:p>
    <w:p w14:paraId="0101B55C" w14:textId="77777777" w:rsidR="007E5EA8" w:rsidRPr="007E5EA8" w:rsidRDefault="007E5EA8" w:rsidP="007E5EA8">
      <w:pPr>
        <w:spacing w:before="120" w:after="120" w:line="360" w:lineRule="auto"/>
        <w:ind w:firstLine="397"/>
        <w:jc w:val="center"/>
        <w:rPr>
          <w:rFonts w:ascii="Times New Roman" w:eastAsia="Calibri" w:hAnsi="Times New Roman" w:cs="Simplified Arabic"/>
          <w:b/>
          <w:bCs/>
          <w:sz w:val="28"/>
          <w:szCs w:val="32"/>
        </w:rPr>
      </w:pPr>
      <w:r w:rsidRPr="007E5EA8">
        <w:rPr>
          <w:rFonts w:ascii="Times New Roman" w:eastAsia="Calibri" w:hAnsi="Times New Roman" w:cs="Simplified Arabic"/>
          <w:b/>
          <w:bCs/>
          <w:sz w:val="28"/>
          <w:szCs w:val="32"/>
          <w:rtl/>
        </w:rPr>
        <w:t>المبحث الثالث: أثر الممارسات الخضراء للموارد البشرية في تعزيز الاستدامة البيئية</w:t>
      </w:r>
    </w:p>
    <w:p w14:paraId="399734E8"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يتناول هذا المبحث العلاقة التكاملية والتأثيرية بين ممارسات الموارد البشرية الخضراء والاستدامة البيئية، موضحاً كيف تساهم وظائف الموارد البشرية في تحقيق الأهداف البيئية للمنظمة.</w:t>
      </w:r>
    </w:p>
    <w:p w14:paraId="78D581BE"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 xml:space="preserve">أولاً: الإطار المفاهيمي للعلاقة بين </w:t>
      </w:r>
      <w:r w:rsidRPr="007E5EA8">
        <w:rPr>
          <w:rFonts w:ascii="Times New Roman" w:eastAsia="Calibri" w:hAnsi="Times New Roman" w:cs="Simplified Arabic"/>
          <w:b/>
          <w:bCs/>
          <w:sz w:val="24"/>
          <w:szCs w:val="28"/>
        </w:rPr>
        <w:t>GHRM</w:t>
      </w:r>
      <w:r w:rsidRPr="007E5EA8">
        <w:rPr>
          <w:rFonts w:ascii="Times New Roman" w:eastAsia="Calibri" w:hAnsi="Times New Roman" w:cs="Simplified Arabic"/>
          <w:b/>
          <w:bCs/>
          <w:sz w:val="24"/>
          <w:szCs w:val="28"/>
          <w:rtl/>
        </w:rPr>
        <w:t xml:space="preserve"> والاستدامة البيئية</w:t>
      </w:r>
    </w:p>
    <w:p w14:paraId="31DF5D0C"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تستند العلاقة بين المتغيرين إلى نظرية "القدرة-الدافعية-الفرصة" (</w:t>
      </w:r>
      <w:r w:rsidRPr="007E5EA8">
        <w:rPr>
          <w:rFonts w:ascii="Times New Roman" w:eastAsia="Calibri" w:hAnsi="Times New Roman" w:cs="Simplified Arabic"/>
          <w:sz w:val="24"/>
          <w:szCs w:val="28"/>
        </w:rPr>
        <w:t>AMO Theory</w:t>
      </w:r>
      <w:r w:rsidRPr="007E5EA8">
        <w:rPr>
          <w:rFonts w:ascii="Times New Roman" w:eastAsia="Calibri" w:hAnsi="Times New Roman" w:cs="Simplified Arabic"/>
          <w:sz w:val="24"/>
          <w:szCs w:val="28"/>
          <w:rtl/>
        </w:rPr>
        <w:t>)، التي تفترض أن أداء الموظفين (بما في ذلك الأداء البيئي) يعتمد على قدراتهم (التي تعززها ممارسات التوظيف والتدريب)، ودافعيتهم (التي تعززها المكافآت والتقييم)، والفرص المتاحة لهم للمشاركة (التي توفرها بيئة العمل الداعمة) (</w:t>
      </w:r>
      <w:r w:rsidRPr="007E5EA8">
        <w:rPr>
          <w:rFonts w:ascii="Times New Roman" w:eastAsia="Calibri" w:hAnsi="Times New Roman" w:cs="Simplified Arabic"/>
          <w:sz w:val="24"/>
          <w:szCs w:val="28"/>
        </w:rPr>
        <w:t>Ren et al., 2018</w:t>
      </w:r>
      <w:r w:rsidRPr="007E5EA8">
        <w:rPr>
          <w:rFonts w:ascii="Times New Roman" w:eastAsia="Calibri" w:hAnsi="Times New Roman" w:cs="Simplified Arabic"/>
          <w:sz w:val="24"/>
          <w:szCs w:val="28"/>
          <w:rtl/>
        </w:rPr>
        <w:t>). فالممارسات الخضراء للموارد البشرية تعمل كآلية لترجمة الاستراتيجيات البيئية العليا إلى سلوكيات يومية للموظفين، مما ينعكس إيجاباً على الاستدامة البيئية للمنظمة ككل (</w:t>
      </w:r>
      <w:r w:rsidRPr="007E5EA8">
        <w:rPr>
          <w:rFonts w:ascii="Times New Roman" w:eastAsia="Calibri" w:hAnsi="Times New Roman" w:cs="Simplified Arabic"/>
          <w:sz w:val="24"/>
          <w:szCs w:val="28"/>
        </w:rPr>
        <w:t>Ogiemwonyi et al., 2023</w:t>
      </w:r>
      <w:r w:rsidRPr="007E5EA8">
        <w:rPr>
          <w:rFonts w:ascii="Times New Roman" w:eastAsia="Calibri" w:hAnsi="Times New Roman" w:cs="Simplified Arabic"/>
          <w:sz w:val="24"/>
          <w:szCs w:val="28"/>
          <w:rtl/>
        </w:rPr>
        <w:t>).</w:t>
      </w:r>
    </w:p>
    <w:p w14:paraId="6101551F"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ثانياً: دور الاستقطاب والتعيين الأخضر في الاستدامة البيئية</w:t>
      </w:r>
    </w:p>
    <w:p w14:paraId="0B2B7635"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يساهم التوظيف الأخضر في بناء قاعدة بشرية تمتلك الوعي والقيم البيئية اللازمة لدعم مبادرات الاستدامة. فعندما تنجح المنظمة في جذب موظفين يهتمون بالبيئة، فإنها تقلل من الحاجة إلى جهود تدريبية مكثفة لتغيير سلوكياتهم لاحقاً، وتضمن انخراطهم السريع في برامج الحد من التلوث وترشيد الموارد (</w:t>
      </w:r>
      <w:r w:rsidRPr="007E5EA8">
        <w:rPr>
          <w:rFonts w:ascii="Times New Roman" w:eastAsia="Calibri" w:hAnsi="Times New Roman" w:cs="Simplified Arabic"/>
          <w:sz w:val="24"/>
          <w:szCs w:val="28"/>
        </w:rPr>
        <w:t>Miah, 2024</w:t>
      </w:r>
      <w:r w:rsidRPr="007E5EA8">
        <w:rPr>
          <w:rFonts w:ascii="Times New Roman" w:eastAsia="Calibri" w:hAnsi="Times New Roman" w:cs="Simplified Arabic"/>
          <w:sz w:val="24"/>
          <w:szCs w:val="28"/>
          <w:rtl/>
        </w:rPr>
        <w:t>). وتؤكد دراسة (</w:t>
      </w:r>
      <w:r w:rsidRPr="007E5EA8">
        <w:rPr>
          <w:rFonts w:ascii="Times New Roman" w:eastAsia="Calibri" w:hAnsi="Times New Roman" w:cs="Simplified Arabic"/>
          <w:sz w:val="24"/>
          <w:szCs w:val="28"/>
        </w:rPr>
        <w:t>Austen &amp; Piwowar-Sulej, 2024</w:t>
      </w:r>
      <w:r w:rsidRPr="007E5EA8">
        <w:rPr>
          <w:rFonts w:ascii="Times New Roman" w:eastAsia="Calibri" w:hAnsi="Times New Roman" w:cs="Simplified Arabic"/>
          <w:sz w:val="24"/>
          <w:szCs w:val="28"/>
          <w:rtl/>
        </w:rPr>
        <w:t>) أن الموظفين الذين يتم اختيارهم بناءً على معايير خضراء يكونون أكثر ميلاً لتقديم مقترحات مبتكرة لتحسين الأداء البيئي.</w:t>
      </w:r>
    </w:p>
    <w:p w14:paraId="1795FDAB" w14:textId="77777777" w:rsidR="001D3B31" w:rsidRDefault="001D3B31" w:rsidP="007E5EA8">
      <w:pPr>
        <w:spacing w:before="120" w:after="120" w:line="360" w:lineRule="auto"/>
        <w:ind w:firstLine="397"/>
        <w:jc w:val="both"/>
        <w:rPr>
          <w:rFonts w:ascii="Times New Roman" w:eastAsia="Calibri" w:hAnsi="Times New Roman" w:cs="Simplified Arabic"/>
          <w:b/>
          <w:bCs/>
          <w:sz w:val="24"/>
          <w:szCs w:val="28"/>
          <w:rtl/>
        </w:rPr>
      </w:pPr>
    </w:p>
    <w:p w14:paraId="2E2A9185" w14:textId="77777777" w:rsidR="001D3B31" w:rsidRDefault="001D3B31" w:rsidP="007E5EA8">
      <w:pPr>
        <w:spacing w:before="120" w:after="120" w:line="360" w:lineRule="auto"/>
        <w:ind w:firstLine="397"/>
        <w:jc w:val="both"/>
        <w:rPr>
          <w:rFonts w:ascii="Times New Roman" w:eastAsia="Calibri" w:hAnsi="Times New Roman" w:cs="Simplified Arabic"/>
          <w:b/>
          <w:bCs/>
          <w:sz w:val="24"/>
          <w:szCs w:val="28"/>
          <w:rtl/>
        </w:rPr>
      </w:pPr>
    </w:p>
    <w:p w14:paraId="1D6290F8" w14:textId="70314B81"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ثالثاً: أثر التدريب والتطوير الأخضر في كفاءة الموارد والامتثال</w:t>
      </w:r>
    </w:p>
    <w:p w14:paraId="69603908"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يلعب التدريب الأخضر دوراً حاسماً في تزويد الموظفين بالمهارات الفنية اللازمة لتشغيل التقنيات النظيفة وإدارة النفايات بكفاءة. وتظهر الدراسات أن برامج التدريب البيئي تزيد من وعي الموظفين بأهمية الامتثال للتشريعات البيئية، وتقلل من الأخطاء التشغيلية التي قد تؤدي إلى حوادث بيئية (</w:t>
      </w:r>
      <w:r w:rsidRPr="007E5EA8">
        <w:rPr>
          <w:rFonts w:ascii="Times New Roman" w:eastAsia="Calibri" w:hAnsi="Times New Roman" w:cs="Simplified Arabic"/>
          <w:sz w:val="24"/>
          <w:szCs w:val="28"/>
        </w:rPr>
        <w:t>Saeed et al., 2019</w:t>
      </w:r>
      <w:r w:rsidRPr="007E5EA8">
        <w:rPr>
          <w:rFonts w:ascii="Times New Roman" w:eastAsia="Calibri" w:hAnsi="Times New Roman" w:cs="Simplified Arabic"/>
          <w:sz w:val="24"/>
          <w:szCs w:val="28"/>
          <w:rtl/>
        </w:rPr>
        <w:t>). كما يساهم التدريب في تعزيز ثقافة "التعلم المستمر" التي تعد ضرورية لمواكبة التطورات المتسارعة في مجال الاستدامة (</w:t>
      </w:r>
      <w:r w:rsidRPr="007E5EA8">
        <w:rPr>
          <w:rFonts w:ascii="Times New Roman" w:eastAsia="Calibri" w:hAnsi="Times New Roman" w:cs="Simplified Arabic"/>
          <w:sz w:val="24"/>
          <w:szCs w:val="28"/>
        </w:rPr>
        <w:t>Ba et al., 2023</w:t>
      </w:r>
      <w:r w:rsidRPr="007E5EA8">
        <w:rPr>
          <w:rFonts w:ascii="Times New Roman" w:eastAsia="Calibri" w:hAnsi="Times New Roman" w:cs="Simplified Arabic"/>
          <w:sz w:val="24"/>
          <w:szCs w:val="28"/>
          <w:rtl/>
        </w:rPr>
        <w:t>).</w:t>
      </w:r>
    </w:p>
    <w:p w14:paraId="2B78D7ED"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رابعاً: دور تقييم الأداء والمكافآت الخضراء في تحفيز السلوك البيئي</w:t>
      </w:r>
    </w:p>
    <w:p w14:paraId="560067C7"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tl/>
        </w:rPr>
      </w:pPr>
      <w:r w:rsidRPr="007E5EA8">
        <w:rPr>
          <w:rFonts w:ascii="Times New Roman" w:eastAsia="Calibri" w:hAnsi="Times New Roman" w:cs="Simplified Arabic"/>
          <w:sz w:val="24"/>
          <w:szCs w:val="28"/>
          <w:rtl/>
        </w:rPr>
        <w:t>يُعد ربط الأداء البيئي بنظام التقييم والمكافآت أداة فعالة لتوجيه سلوك الموظفين نحو تحقيق أهداف الاستدامة. فعندما يدرك الموظفون أن التزامهم بالمعايير البيئية يؤثر في تقييمهم الوظيفي ومكافآتهم المالية، فإنهم يصبحون أكثر حرصاً على تبني ممارسات صديقة للبيئة في أعمالهم اليومية (</w:t>
      </w:r>
      <w:r w:rsidRPr="007E5EA8">
        <w:rPr>
          <w:rFonts w:ascii="Times New Roman" w:eastAsia="Calibri" w:hAnsi="Times New Roman" w:cs="Simplified Arabic"/>
          <w:sz w:val="24"/>
          <w:szCs w:val="28"/>
        </w:rPr>
        <w:t>Coelho et al., 2024</w:t>
      </w:r>
      <w:r w:rsidRPr="007E5EA8">
        <w:rPr>
          <w:rFonts w:ascii="Times New Roman" w:eastAsia="Calibri" w:hAnsi="Times New Roman" w:cs="Simplified Arabic"/>
          <w:sz w:val="24"/>
          <w:szCs w:val="28"/>
          <w:rtl/>
        </w:rPr>
        <w:t>). وتوضح دراسة (</w:t>
      </w:r>
      <w:r w:rsidRPr="007E5EA8">
        <w:rPr>
          <w:rFonts w:ascii="Times New Roman" w:eastAsia="Calibri" w:hAnsi="Times New Roman" w:cs="Simplified Arabic"/>
          <w:sz w:val="24"/>
          <w:szCs w:val="28"/>
        </w:rPr>
        <w:t>Gelagay, 2024</w:t>
      </w:r>
      <w:r w:rsidRPr="007E5EA8">
        <w:rPr>
          <w:rFonts w:ascii="Times New Roman" w:eastAsia="Calibri" w:hAnsi="Times New Roman" w:cs="Simplified Arabic"/>
          <w:sz w:val="24"/>
          <w:szCs w:val="28"/>
          <w:rtl/>
        </w:rPr>
        <w:t>) أن الحوافز الخضراء تعزز من دافعية الموظفين للمشاركة في فرق العمل البيئية والمساهمة في تحقيق أهداف الحد من التلوث.</w:t>
      </w:r>
    </w:p>
    <w:p w14:paraId="689A1E79" w14:textId="77777777" w:rsidR="007E5EA8" w:rsidRPr="007E5EA8" w:rsidRDefault="007E5EA8" w:rsidP="007E5EA8">
      <w:pPr>
        <w:spacing w:before="120" w:after="120" w:line="360" w:lineRule="auto"/>
        <w:ind w:firstLine="397"/>
        <w:jc w:val="both"/>
        <w:rPr>
          <w:rFonts w:ascii="Times New Roman" w:eastAsia="Calibri" w:hAnsi="Times New Roman" w:cs="Simplified Arabic"/>
          <w:b/>
          <w:bCs/>
          <w:sz w:val="24"/>
          <w:szCs w:val="28"/>
          <w:rtl/>
        </w:rPr>
      </w:pPr>
      <w:r w:rsidRPr="007E5EA8">
        <w:rPr>
          <w:rFonts w:ascii="Times New Roman" w:eastAsia="Calibri" w:hAnsi="Times New Roman" w:cs="Simplified Arabic"/>
          <w:b/>
          <w:bCs/>
          <w:sz w:val="24"/>
          <w:szCs w:val="28"/>
          <w:rtl/>
        </w:rPr>
        <w:t>خامساً: الدراسات التجريبية حول العلاقة والأثر</w:t>
      </w:r>
    </w:p>
    <w:p w14:paraId="7B8FF859"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 xml:space="preserve">أثبتت العديد من الدراسات التجريبية وجود علاقة إيجابية قوية بين </w:t>
      </w:r>
      <w:r w:rsidRPr="007E5EA8">
        <w:rPr>
          <w:rFonts w:ascii="Times New Roman" w:eastAsia="Calibri" w:hAnsi="Times New Roman" w:cs="Simplified Arabic"/>
          <w:sz w:val="24"/>
          <w:szCs w:val="28"/>
        </w:rPr>
        <w:t>GHRM</w:t>
      </w:r>
      <w:r w:rsidRPr="007E5EA8">
        <w:rPr>
          <w:rFonts w:ascii="Times New Roman" w:eastAsia="Calibri" w:hAnsi="Times New Roman" w:cs="Simplified Arabic"/>
          <w:sz w:val="24"/>
          <w:szCs w:val="28"/>
          <w:rtl/>
        </w:rPr>
        <w:t xml:space="preserve"> والاستدامة البيئية. فقد توصلت دراسة (</w:t>
      </w:r>
      <w:r w:rsidRPr="007E5EA8">
        <w:rPr>
          <w:rFonts w:ascii="Times New Roman" w:eastAsia="Calibri" w:hAnsi="Times New Roman" w:cs="Simplified Arabic"/>
          <w:sz w:val="24"/>
          <w:szCs w:val="28"/>
        </w:rPr>
        <w:t>Yong et al., 2020</w:t>
      </w:r>
      <w:r w:rsidRPr="007E5EA8">
        <w:rPr>
          <w:rFonts w:ascii="Times New Roman" w:eastAsia="Calibri" w:hAnsi="Times New Roman" w:cs="Simplified Arabic"/>
          <w:sz w:val="24"/>
          <w:szCs w:val="28"/>
          <w:rtl/>
        </w:rPr>
        <w:t>) إلى أن الممارسات الخضراء تفسر تبايناً كبيراً في الأداء البيئي للشركات الصناعية. كما أكدت دراسة (</w:t>
      </w:r>
      <w:r w:rsidRPr="007E5EA8">
        <w:rPr>
          <w:rFonts w:ascii="Times New Roman" w:eastAsia="Calibri" w:hAnsi="Times New Roman" w:cs="Simplified Arabic"/>
          <w:sz w:val="24"/>
          <w:szCs w:val="28"/>
        </w:rPr>
        <w:t>Al-Ghazali &amp; Al-Rifai, 2022</w:t>
      </w:r>
      <w:r w:rsidRPr="007E5EA8">
        <w:rPr>
          <w:rFonts w:ascii="Times New Roman" w:eastAsia="Calibri" w:hAnsi="Times New Roman" w:cs="Simplified Arabic"/>
          <w:sz w:val="24"/>
          <w:szCs w:val="28"/>
          <w:rtl/>
        </w:rPr>
        <w:t>) أن تطبيق حزمة متكاملة من ممارسات الموارد البشرية الخضراء يؤدي إلى تحسين مؤشرات الاستدامة بشكل ملحوظ. وفي السياق العربي، أظهرت دراسة (الزفتاوي وآخرون، 2024) أن هذه الممارسات تساهم في تحقيق التوازن بين الأبعاد الاقتصادية والبيئية للتنمية المستدامة.</w:t>
      </w:r>
    </w:p>
    <w:p w14:paraId="5D3759DA" w14:textId="77777777" w:rsidR="007E5EA8" w:rsidRPr="007E5EA8" w:rsidRDefault="007E5EA8" w:rsidP="00EC2A2D">
      <w:pPr>
        <w:spacing w:after="0" w:line="360" w:lineRule="auto"/>
        <w:jc w:val="center"/>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 xml:space="preserve">جدول (1): ملخص لأبرز الدراسات التي تناولت أثر </w:t>
      </w:r>
      <w:r w:rsidRPr="007E5EA8">
        <w:rPr>
          <w:rFonts w:ascii="Times New Roman" w:eastAsia="Calibri" w:hAnsi="Times New Roman" w:cs="Simplified Arabic"/>
          <w:b/>
          <w:bCs/>
          <w:sz w:val="20"/>
          <w:szCs w:val="24"/>
        </w:rPr>
        <w:t>GHRM</w:t>
      </w:r>
      <w:r w:rsidRPr="007E5EA8">
        <w:rPr>
          <w:rFonts w:ascii="Times New Roman" w:eastAsia="Calibri" w:hAnsi="Times New Roman" w:cs="Simplified Arabic"/>
          <w:b/>
          <w:bCs/>
          <w:sz w:val="20"/>
          <w:szCs w:val="24"/>
          <w:rtl/>
        </w:rPr>
        <w:t xml:space="preserve"> على الاستدامة البيئية</w:t>
      </w:r>
    </w:p>
    <w:tbl>
      <w:tblPr>
        <w:tblStyle w:val="4-6"/>
        <w:bidiVisual/>
        <w:tblW w:w="0" w:type="auto"/>
        <w:tblLook w:val="04A0" w:firstRow="1" w:lastRow="0" w:firstColumn="1" w:lastColumn="0" w:noHBand="0" w:noVBand="1"/>
      </w:tblPr>
      <w:tblGrid>
        <w:gridCol w:w="1327"/>
        <w:gridCol w:w="636"/>
        <w:gridCol w:w="896"/>
        <w:gridCol w:w="5579"/>
      </w:tblGrid>
      <w:tr w:rsidR="007E5EA8" w:rsidRPr="007E5EA8" w14:paraId="41589B07" w14:textId="77777777" w:rsidTr="00192FC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7EF336" w14:textId="77777777" w:rsidR="007E5EA8" w:rsidRPr="007E5EA8" w:rsidRDefault="007E5EA8" w:rsidP="00192FCD">
            <w:pPr>
              <w:spacing w:after="0" w:line="360" w:lineRule="auto"/>
              <w:jc w:val="center"/>
              <w:rPr>
                <w:rFonts w:ascii="Times New Roman" w:eastAsia="Calibri" w:hAnsi="Times New Roman" w:cs="Simplified Arabic"/>
                <w:sz w:val="20"/>
                <w:szCs w:val="24"/>
              </w:rPr>
            </w:pPr>
            <w:r w:rsidRPr="007E5EA8">
              <w:rPr>
                <w:rFonts w:ascii="Times New Roman" w:eastAsia="Calibri" w:hAnsi="Times New Roman" w:cs="Simplified Arabic"/>
                <w:sz w:val="20"/>
                <w:szCs w:val="24"/>
                <w:rtl/>
              </w:rPr>
              <w:t>الدراسة</w:t>
            </w:r>
          </w:p>
        </w:tc>
        <w:tc>
          <w:tcPr>
            <w:tcW w:w="0" w:type="auto"/>
            <w:vAlign w:val="center"/>
            <w:hideMark/>
          </w:tcPr>
          <w:p w14:paraId="3445317D" w14:textId="77777777" w:rsidR="007E5EA8" w:rsidRPr="007E5EA8" w:rsidRDefault="007E5EA8" w:rsidP="00192FC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7E5EA8">
              <w:rPr>
                <w:rFonts w:ascii="Times New Roman" w:eastAsia="Calibri" w:hAnsi="Times New Roman" w:cs="Simplified Arabic"/>
                <w:sz w:val="20"/>
                <w:szCs w:val="24"/>
                <w:rtl/>
              </w:rPr>
              <w:t>السنة</w:t>
            </w:r>
          </w:p>
        </w:tc>
        <w:tc>
          <w:tcPr>
            <w:tcW w:w="0" w:type="auto"/>
            <w:vAlign w:val="center"/>
            <w:hideMark/>
          </w:tcPr>
          <w:p w14:paraId="5D885E34" w14:textId="77777777" w:rsidR="007E5EA8" w:rsidRPr="007E5EA8" w:rsidRDefault="007E5EA8" w:rsidP="00192FC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7E5EA8">
              <w:rPr>
                <w:rFonts w:ascii="Times New Roman" w:eastAsia="Calibri" w:hAnsi="Times New Roman" w:cs="Simplified Arabic"/>
                <w:sz w:val="20"/>
                <w:szCs w:val="24"/>
                <w:rtl/>
              </w:rPr>
              <w:t>الدولة</w:t>
            </w:r>
          </w:p>
        </w:tc>
        <w:tc>
          <w:tcPr>
            <w:tcW w:w="0" w:type="auto"/>
            <w:vAlign w:val="center"/>
            <w:hideMark/>
          </w:tcPr>
          <w:p w14:paraId="5392C9E8" w14:textId="77777777" w:rsidR="007E5EA8" w:rsidRPr="007E5EA8" w:rsidRDefault="007E5EA8" w:rsidP="00192FCD">
            <w:pPr>
              <w:spacing w:after="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Simplified Arabic"/>
                <w:sz w:val="20"/>
                <w:szCs w:val="24"/>
              </w:rPr>
            </w:pPr>
            <w:r w:rsidRPr="007E5EA8">
              <w:rPr>
                <w:rFonts w:ascii="Times New Roman" w:eastAsia="Calibri" w:hAnsi="Times New Roman" w:cs="Simplified Arabic"/>
                <w:sz w:val="20"/>
                <w:szCs w:val="24"/>
                <w:rtl/>
              </w:rPr>
              <w:t>أبرز النتائج</w:t>
            </w:r>
          </w:p>
        </w:tc>
      </w:tr>
      <w:tr w:rsidR="007E5EA8" w:rsidRPr="007E5EA8" w14:paraId="1569ECB4" w14:textId="77777777" w:rsidTr="00192FC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403BE6" w14:textId="77777777" w:rsidR="007E5EA8" w:rsidRPr="007E5EA8" w:rsidRDefault="007E5EA8" w:rsidP="00192FCD">
            <w:pPr>
              <w:spacing w:after="0" w:line="360" w:lineRule="auto"/>
              <w:jc w:val="center"/>
              <w:rPr>
                <w:rFonts w:ascii="Times New Roman" w:eastAsia="Calibri" w:hAnsi="Times New Roman" w:cs="Simplified Arabic"/>
                <w:sz w:val="20"/>
                <w:szCs w:val="24"/>
              </w:rPr>
            </w:pPr>
            <w:r w:rsidRPr="007E5EA8">
              <w:rPr>
                <w:rFonts w:ascii="Times New Roman" w:eastAsia="Calibri" w:hAnsi="Times New Roman" w:cs="Simplified Arabic"/>
                <w:sz w:val="20"/>
                <w:szCs w:val="24"/>
                <w:rtl/>
              </w:rPr>
              <w:t>الصحفي والقرني</w:t>
            </w:r>
          </w:p>
        </w:tc>
        <w:tc>
          <w:tcPr>
            <w:tcW w:w="0" w:type="auto"/>
            <w:vAlign w:val="center"/>
            <w:hideMark/>
          </w:tcPr>
          <w:p w14:paraId="5E46D705" w14:textId="77777777" w:rsidR="007E5EA8" w:rsidRPr="007E5EA8" w:rsidRDefault="007E5EA8" w:rsidP="00192FC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Pr>
              <w:t>2023</w:t>
            </w:r>
          </w:p>
        </w:tc>
        <w:tc>
          <w:tcPr>
            <w:tcW w:w="0" w:type="auto"/>
            <w:vAlign w:val="center"/>
            <w:hideMark/>
          </w:tcPr>
          <w:p w14:paraId="5EB3CD61" w14:textId="77777777" w:rsidR="007E5EA8" w:rsidRPr="007E5EA8" w:rsidRDefault="007E5EA8" w:rsidP="00192FC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السعودية</w:t>
            </w:r>
          </w:p>
        </w:tc>
        <w:tc>
          <w:tcPr>
            <w:tcW w:w="0" w:type="auto"/>
            <w:vAlign w:val="center"/>
            <w:hideMark/>
          </w:tcPr>
          <w:p w14:paraId="32DAF807" w14:textId="77777777" w:rsidR="007E5EA8" w:rsidRPr="007E5EA8" w:rsidRDefault="007E5EA8" w:rsidP="00192FC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أثر إيجابي للممارسات الخضراء على الأداء البيئي في المنشآت الصغيرة والمتوسطة.</w:t>
            </w:r>
          </w:p>
        </w:tc>
      </w:tr>
      <w:tr w:rsidR="007E5EA8" w:rsidRPr="007E5EA8" w14:paraId="11A2BFD0" w14:textId="77777777" w:rsidTr="00192FCD">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AA65CC" w14:textId="77777777" w:rsidR="007E5EA8" w:rsidRPr="007E5EA8" w:rsidRDefault="007E5EA8" w:rsidP="00192FCD">
            <w:pPr>
              <w:spacing w:after="0" w:line="360" w:lineRule="auto"/>
              <w:jc w:val="center"/>
              <w:rPr>
                <w:rFonts w:ascii="Times New Roman" w:eastAsia="Calibri" w:hAnsi="Times New Roman" w:cs="Simplified Arabic"/>
                <w:sz w:val="20"/>
                <w:szCs w:val="24"/>
              </w:rPr>
            </w:pPr>
            <w:r w:rsidRPr="007E5EA8">
              <w:rPr>
                <w:rFonts w:ascii="Times New Roman" w:eastAsia="Calibri" w:hAnsi="Times New Roman" w:cs="Simplified Arabic"/>
                <w:sz w:val="20"/>
                <w:szCs w:val="24"/>
              </w:rPr>
              <w:t>Gelagay</w:t>
            </w:r>
          </w:p>
        </w:tc>
        <w:tc>
          <w:tcPr>
            <w:tcW w:w="0" w:type="auto"/>
            <w:vAlign w:val="center"/>
            <w:hideMark/>
          </w:tcPr>
          <w:p w14:paraId="7310039F" w14:textId="77777777" w:rsidR="007E5EA8" w:rsidRPr="007E5EA8" w:rsidRDefault="007E5EA8" w:rsidP="00192FC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Pr>
              <w:t>2024</w:t>
            </w:r>
          </w:p>
        </w:tc>
        <w:tc>
          <w:tcPr>
            <w:tcW w:w="0" w:type="auto"/>
            <w:vAlign w:val="center"/>
            <w:hideMark/>
          </w:tcPr>
          <w:p w14:paraId="4867D3A9" w14:textId="77777777" w:rsidR="007E5EA8" w:rsidRPr="007E5EA8" w:rsidRDefault="007E5EA8" w:rsidP="00192FC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إثيوبيا</w:t>
            </w:r>
          </w:p>
        </w:tc>
        <w:tc>
          <w:tcPr>
            <w:tcW w:w="0" w:type="auto"/>
            <w:vAlign w:val="center"/>
            <w:hideMark/>
          </w:tcPr>
          <w:p w14:paraId="522FDF9F" w14:textId="77777777" w:rsidR="007E5EA8" w:rsidRPr="007E5EA8" w:rsidRDefault="007E5EA8" w:rsidP="00192FC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الممارسات الخضراء والاستراتيجيات الداخلية تعزز الاستدامة البيئية بشكل كبير.</w:t>
            </w:r>
          </w:p>
        </w:tc>
      </w:tr>
      <w:tr w:rsidR="007E5EA8" w:rsidRPr="007E5EA8" w14:paraId="366DB096" w14:textId="77777777" w:rsidTr="00192FC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A55B5E" w14:textId="77777777" w:rsidR="007E5EA8" w:rsidRPr="007E5EA8" w:rsidRDefault="007E5EA8" w:rsidP="00192FCD">
            <w:pPr>
              <w:spacing w:after="0" w:line="360" w:lineRule="auto"/>
              <w:jc w:val="center"/>
              <w:rPr>
                <w:rFonts w:ascii="Times New Roman" w:eastAsia="Calibri" w:hAnsi="Times New Roman" w:cs="Simplified Arabic"/>
                <w:sz w:val="20"/>
                <w:szCs w:val="24"/>
              </w:rPr>
            </w:pPr>
            <w:r w:rsidRPr="007E5EA8">
              <w:rPr>
                <w:rFonts w:ascii="Times New Roman" w:eastAsia="Calibri" w:hAnsi="Times New Roman" w:cs="Simplified Arabic"/>
                <w:sz w:val="20"/>
                <w:szCs w:val="24"/>
                <w:rtl/>
              </w:rPr>
              <w:t>شمس الدين</w:t>
            </w:r>
          </w:p>
        </w:tc>
        <w:tc>
          <w:tcPr>
            <w:tcW w:w="0" w:type="auto"/>
            <w:vAlign w:val="center"/>
            <w:hideMark/>
          </w:tcPr>
          <w:p w14:paraId="01AEDF99" w14:textId="77777777" w:rsidR="007E5EA8" w:rsidRPr="007E5EA8" w:rsidRDefault="007E5EA8" w:rsidP="00192FC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Pr>
              <w:t>2025</w:t>
            </w:r>
          </w:p>
        </w:tc>
        <w:tc>
          <w:tcPr>
            <w:tcW w:w="0" w:type="auto"/>
            <w:vAlign w:val="center"/>
            <w:hideMark/>
          </w:tcPr>
          <w:p w14:paraId="2CC497C5" w14:textId="77777777" w:rsidR="007E5EA8" w:rsidRPr="007E5EA8" w:rsidRDefault="007E5EA8" w:rsidP="00192FC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العراق</w:t>
            </w:r>
          </w:p>
        </w:tc>
        <w:tc>
          <w:tcPr>
            <w:tcW w:w="0" w:type="auto"/>
            <w:vAlign w:val="center"/>
            <w:hideMark/>
          </w:tcPr>
          <w:p w14:paraId="0CFF3A56" w14:textId="77777777" w:rsidR="007E5EA8" w:rsidRPr="007E5EA8" w:rsidRDefault="007E5EA8" w:rsidP="00192FCD">
            <w:pPr>
              <w:spacing w:after="0"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دور وسيط للممارسات الخضراء في تعزيز العلاقة بين التصنيع الأخضر والميزة التنافسية.</w:t>
            </w:r>
          </w:p>
        </w:tc>
      </w:tr>
      <w:tr w:rsidR="007E5EA8" w:rsidRPr="007E5EA8" w14:paraId="5FC9B886" w14:textId="77777777" w:rsidTr="00192FCD">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1C3EF0" w14:textId="77777777" w:rsidR="007E5EA8" w:rsidRPr="007E5EA8" w:rsidRDefault="007E5EA8" w:rsidP="00192FCD">
            <w:pPr>
              <w:spacing w:after="0" w:line="360" w:lineRule="auto"/>
              <w:jc w:val="center"/>
              <w:rPr>
                <w:rFonts w:ascii="Times New Roman" w:eastAsia="Calibri" w:hAnsi="Times New Roman" w:cs="Simplified Arabic"/>
                <w:sz w:val="20"/>
                <w:szCs w:val="24"/>
              </w:rPr>
            </w:pPr>
            <w:r w:rsidRPr="007E5EA8">
              <w:rPr>
                <w:rFonts w:ascii="Times New Roman" w:eastAsia="Calibri" w:hAnsi="Times New Roman" w:cs="Simplified Arabic"/>
                <w:sz w:val="20"/>
                <w:szCs w:val="24"/>
              </w:rPr>
              <w:t>Ba et al</w:t>
            </w:r>
            <w:r w:rsidRPr="007E5EA8">
              <w:rPr>
                <w:rFonts w:ascii="Times New Roman" w:eastAsia="Calibri" w:hAnsi="Times New Roman" w:cs="Simplified Arabic"/>
                <w:sz w:val="20"/>
                <w:szCs w:val="24"/>
                <w:rtl/>
              </w:rPr>
              <w:t>.</w:t>
            </w:r>
          </w:p>
        </w:tc>
        <w:tc>
          <w:tcPr>
            <w:tcW w:w="0" w:type="auto"/>
            <w:vAlign w:val="center"/>
            <w:hideMark/>
          </w:tcPr>
          <w:p w14:paraId="3BA74BDD" w14:textId="77777777" w:rsidR="007E5EA8" w:rsidRPr="007E5EA8" w:rsidRDefault="007E5EA8" w:rsidP="00192FC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Pr>
              <w:t>2023</w:t>
            </w:r>
          </w:p>
        </w:tc>
        <w:tc>
          <w:tcPr>
            <w:tcW w:w="0" w:type="auto"/>
            <w:vAlign w:val="center"/>
            <w:hideMark/>
          </w:tcPr>
          <w:p w14:paraId="1C162C7D" w14:textId="77777777" w:rsidR="007E5EA8" w:rsidRPr="007E5EA8" w:rsidRDefault="007E5EA8" w:rsidP="00192FC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الصين</w:t>
            </w:r>
          </w:p>
        </w:tc>
        <w:tc>
          <w:tcPr>
            <w:tcW w:w="0" w:type="auto"/>
            <w:vAlign w:val="center"/>
            <w:hideMark/>
          </w:tcPr>
          <w:p w14:paraId="19B56AAA" w14:textId="77777777" w:rsidR="007E5EA8" w:rsidRPr="007E5EA8" w:rsidRDefault="007E5EA8" w:rsidP="00192FCD">
            <w:pPr>
              <w:spacing w:after="0"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Simplified Arabic"/>
                <w:b/>
                <w:bCs/>
                <w:sz w:val="20"/>
                <w:szCs w:val="24"/>
              </w:rPr>
            </w:pPr>
            <w:r w:rsidRPr="007E5EA8">
              <w:rPr>
                <w:rFonts w:ascii="Times New Roman" w:eastAsia="Calibri" w:hAnsi="Times New Roman" w:cs="Simplified Arabic"/>
                <w:b/>
                <w:bCs/>
                <w:sz w:val="20"/>
                <w:szCs w:val="24"/>
                <w:rtl/>
              </w:rPr>
              <w:t>التعليم العالي يعزز من تأثير الممارسات الخضراء على الأداء البيئي.</w:t>
            </w:r>
          </w:p>
        </w:tc>
      </w:tr>
    </w:tbl>
    <w:p w14:paraId="7785DFC8" w14:textId="77777777" w:rsidR="00DF3D52" w:rsidRPr="00DF3D52" w:rsidRDefault="007E5EA8" w:rsidP="00DF3D52">
      <w:pPr>
        <w:spacing w:after="0" w:line="360" w:lineRule="auto"/>
        <w:jc w:val="center"/>
        <w:rPr>
          <w:rFonts w:ascii="Times New Roman" w:eastAsia="Calibri" w:hAnsi="Times New Roman" w:cs="Simplified Arabic"/>
          <w:sz w:val="2"/>
          <w:szCs w:val="2"/>
          <w:rtl/>
        </w:rPr>
      </w:pPr>
      <w:r w:rsidRPr="007E5EA8">
        <w:rPr>
          <w:rFonts w:ascii="Times New Roman" w:eastAsia="Calibri" w:hAnsi="Times New Roman" w:cs="Simplified Arabic"/>
          <w:b/>
          <w:bCs/>
          <w:i/>
          <w:iCs/>
          <w:sz w:val="20"/>
          <w:szCs w:val="24"/>
          <w:rtl/>
        </w:rPr>
        <w:t>المصدر: إعداد الباحث</w:t>
      </w:r>
      <w:r w:rsidRPr="007E5EA8">
        <w:rPr>
          <w:rFonts w:ascii="Times New Roman" w:eastAsia="Calibri" w:hAnsi="Times New Roman" w:cs="Simplified Arabic" w:hint="cs"/>
          <w:b/>
          <w:bCs/>
          <w:i/>
          <w:iCs/>
          <w:sz w:val="20"/>
          <w:szCs w:val="24"/>
          <w:rtl/>
        </w:rPr>
        <w:t>ة</w:t>
      </w:r>
      <w:r w:rsidRPr="007E5EA8">
        <w:rPr>
          <w:rFonts w:ascii="Times New Roman" w:eastAsia="Calibri" w:hAnsi="Times New Roman" w:cs="Simplified Arabic"/>
          <w:b/>
          <w:bCs/>
          <w:i/>
          <w:iCs/>
          <w:sz w:val="20"/>
          <w:szCs w:val="24"/>
          <w:rtl/>
        </w:rPr>
        <w:t xml:space="preserve"> بالاعتماد على الدراسات السابقة.</w:t>
      </w:r>
      <w:r w:rsidRPr="007E5EA8">
        <w:rPr>
          <w:rFonts w:ascii="Times New Roman" w:eastAsia="Calibri" w:hAnsi="Times New Roman" w:cs="Simplified Arabic"/>
          <w:b/>
          <w:bCs/>
          <w:sz w:val="20"/>
          <w:szCs w:val="24"/>
        </w:rPr>
        <w:br/>
      </w:r>
    </w:p>
    <w:p w14:paraId="58B8D26E" w14:textId="58098414" w:rsidR="007E5EA8" w:rsidRPr="007E5EA8" w:rsidRDefault="00DF3D52" w:rsidP="00DF3D52">
      <w:pPr>
        <w:spacing w:after="0" w:line="360" w:lineRule="auto"/>
        <w:rPr>
          <w:rFonts w:ascii="Times New Roman" w:eastAsia="Calibri" w:hAnsi="Times New Roman" w:cs="Simplified Arabic"/>
          <w:sz w:val="24"/>
          <w:szCs w:val="28"/>
        </w:rPr>
      </w:pPr>
      <w:r>
        <w:rPr>
          <w:rFonts w:ascii="Times New Roman" w:eastAsia="Calibri" w:hAnsi="Times New Roman" w:cs="Simplified Arabic" w:hint="cs"/>
          <w:sz w:val="24"/>
          <w:szCs w:val="28"/>
          <w:rtl/>
        </w:rPr>
        <w:t xml:space="preserve">     </w:t>
      </w:r>
      <w:r w:rsidR="007E5EA8" w:rsidRPr="007E5EA8">
        <w:rPr>
          <w:rFonts w:ascii="Times New Roman" w:eastAsia="Calibri" w:hAnsi="Times New Roman" w:cs="Simplified Arabic" w:hint="cs"/>
          <w:sz w:val="24"/>
          <w:szCs w:val="28"/>
          <w:rtl/>
        </w:rPr>
        <w:t>ي</w:t>
      </w:r>
      <w:r w:rsidR="007E5EA8" w:rsidRPr="007E5EA8">
        <w:rPr>
          <w:rFonts w:ascii="Times New Roman" w:eastAsia="Calibri" w:hAnsi="Times New Roman" w:cs="Simplified Arabic"/>
          <w:sz w:val="24"/>
          <w:szCs w:val="28"/>
          <w:rtl/>
        </w:rPr>
        <w:t>وضح الجدول تنوع السياقات الجغرافية التي أثبتت فيها الدراسات وجود علاقة إيجابية، مما يعزز من فرضية الدراسة الحالية في البيئة السعودية.</w:t>
      </w:r>
    </w:p>
    <w:p w14:paraId="456DB96D"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b/>
          <w:bCs/>
          <w:sz w:val="24"/>
          <w:szCs w:val="28"/>
          <w:rtl/>
        </w:rPr>
        <w:t>خاتمة الإطار النظري</w:t>
      </w:r>
    </w:p>
    <w:p w14:paraId="1D6F60EB" w14:textId="77777777" w:rsidR="007E5EA8" w:rsidRPr="007E5EA8" w:rsidRDefault="007E5EA8" w:rsidP="007E5EA8">
      <w:pPr>
        <w:spacing w:before="120" w:after="120" w:line="360" w:lineRule="auto"/>
        <w:ind w:firstLine="397"/>
        <w:jc w:val="both"/>
        <w:rPr>
          <w:rFonts w:ascii="Times New Roman" w:eastAsia="Calibri" w:hAnsi="Times New Roman" w:cs="Simplified Arabic"/>
          <w:sz w:val="24"/>
          <w:szCs w:val="28"/>
        </w:rPr>
      </w:pPr>
      <w:r w:rsidRPr="007E5EA8">
        <w:rPr>
          <w:rFonts w:ascii="Times New Roman" w:eastAsia="Calibri" w:hAnsi="Times New Roman" w:cs="Simplified Arabic"/>
          <w:sz w:val="24"/>
          <w:szCs w:val="28"/>
          <w:rtl/>
        </w:rPr>
        <w:t>ختاماً، يمكن القول إن الممارسات الخضراء للموارد البشرية تمثل المدخل الاستراتيجي الأمثل لتحقيق الاستدامة البيئية في المنشآت الصناعية. فمن خلال دمج الاعتبارات البيئية في وظائف الموارد البشرية، تتحول القوى العاملة من مجرد منفذين للتعليمات إلى شركاء فاعلين في حماية البيئة. وقد أظهر الإطار النظري أن هناك تكاملاً وثيقاً بين المتغيرين، حيث تغذي ممارسات الموارد البشرية الخضراء أبعاد الاستدامة البيئية وتدعمها، مما يؤكد صحة النموذج المفاهيمي للدراسة الحالية ويدعو إلى اختباره ميدانياً في بيئة المنشآت الصناعية بالرياض.</w:t>
      </w:r>
    </w:p>
    <w:p w14:paraId="26B06A7D" w14:textId="77A5D5AC" w:rsidR="00217D8D" w:rsidRPr="004C3711" w:rsidRDefault="00217D8D" w:rsidP="004C3711">
      <w:pPr>
        <w:spacing w:after="0" w:line="360" w:lineRule="auto"/>
        <w:jc w:val="both"/>
        <w:rPr>
          <w:rFonts w:ascii="Times New Roman" w:eastAsia="Calibri" w:hAnsi="Times New Roman" w:cs="Simplified Arabic"/>
          <w:sz w:val="24"/>
          <w:szCs w:val="28"/>
        </w:rPr>
      </w:pPr>
    </w:p>
    <w:sectPr w:rsidR="00217D8D" w:rsidRPr="004C3711" w:rsidSect="0070468E">
      <w:footerReference w:type="default" r:id="rId9"/>
      <w:footerReference w:type="first" r:id="rId10"/>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67CE11" w14:textId="77777777" w:rsidR="0004679B" w:rsidRDefault="0004679B">
      <w:pPr>
        <w:spacing w:after="0" w:line="240" w:lineRule="auto"/>
      </w:pPr>
      <w:r>
        <w:separator/>
      </w:r>
    </w:p>
  </w:endnote>
  <w:endnote w:type="continuationSeparator" w:id="0">
    <w:p w14:paraId="324E1E5A" w14:textId="77777777" w:rsidR="0004679B" w:rsidRDefault="000467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altName w:val="Arial"/>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Monotype Koufi">
    <w:altName w:val="Arial"/>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37130021"/>
      <w:docPartObj>
        <w:docPartGallery w:val="Page Numbers (Bottom of Page)"/>
        <w:docPartUnique/>
      </w:docPartObj>
    </w:sdtPr>
    <w:sdtEndPr/>
    <w:sdtContent>
      <w:p w14:paraId="1C39DD6C" w14:textId="77777777" w:rsidR="004F750A" w:rsidRDefault="004F750A">
        <w:pPr>
          <w:pStyle w:val="a3"/>
          <w:jc w:val="center"/>
        </w:pPr>
        <w:r>
          <w:fldChar w:fldCharType="begin"/>
        </w:r>
        <w:r>
          <w:instrText>PAGE   \* MERGEFORMAT</w:instrText>
        </w:r>
        <w:r>
          <w:fldChar w:fldCharType="separate"/>
        </w:r>
        <w:r>
          <w:rPr>
            <w:rtl/>
            <w:lang w:val="ar-SA"/>
          </w:rPr>
          <w:t>2</w:t>
        </w:r>
        <w:r>
          <w:fldChar w:fldCharType="end"/>
        </w:r>
      </w:p>
    </w:sdtContent>
  </w:sdt>
  <w:p w14:paraId="72F02A0F" w14:textId="77777777" w:rsidR="0012436D" w:rsidRPr="00B540F1" w:rsidRDefault="0012436D" w:rsidP="00B540F1">
    <w:pPr>
      <w:pStyle w:val="a3"/>
      <w:jc w:val="center"/>
      <w:rPr>
        <w:rFonts w:cs="Simplified Arabic"/>
        <w:b/>
        <w:bCs/>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FFFF"/>
        <w:rtl/>
      </w:rPr>
      <w:id w:val="1456681548"/>
      <w:docPartObj>
        <w:docPartGallery w:val="Page Numbers (Bottom of Page)"/>
        <w:docPartUnique/>
      </w:docPartObj>
    </w:sdtPr>
    <w:sdtEndPr/>
    <w:sdtContent>
      <w:p w14:paraId="1569232E"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7D7761B1"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0090F" w14:textId="77777777" w:rsidR="0004679B" w:rsidRDefault="0004679B">
      <w:pPr>
        <w:spacing w:after="0" w:line="240" w:lineRule="auto"/>
      </w:pPr>
      <w:r>
        <w:separator/>
      </w:r>
    </w:p>
  </w:footnote>
  <w:footnote w:type="continuationSeparator" w:id="0">
    <w:p w14:paraId="77814791" w14:textId="77777777" w:rsidR="0004679B" w:rsidRDefault="000467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E06BB"/>
    <w:multiLevelType w:val="multilevel"/>
    <w:tmpl w:val="C378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91D3F"/>
    <w:multiLevelType w:val="multilevel"/>
    <w:tmpl w:val="68087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C2926"/>
    <w:multiLevelType w:val="multilevel"/>
    <w:tmpl w:val="8C922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392A1E"/>
    <w:multiLevelType w:val="multilevel"/>
    <w:tmpl w:val="DD9C68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97706"/>
    <w:multiLevelType w:val="multilevel"/>
    <w:tmpl w:val="FF24D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F1A4A"/>
    <w:multiLevelType w:val="multilevel"/>
    <w:tmpl w:val="688C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DE084C"/>
    <w:multiLevelType w:val="multilevel"/>
    <w:tmpl w:val="ECA88C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37F1D"/>
    <w:multiLevelType w:val="multilevel"/>
    <w:tmpl w:val="BC440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D80DD6"/>
    <w:multiLevelType w:val="multilevel"/>
    <w:tmpl w:val="FF2AB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EF0F54"/>
    <w:multiLevelType w:val="multilevel"/>
    <w:tmpl w:val="7B1EA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345DCF"/>
    <w:multiLevelType w:val="multilevel"/>
    <w:tmpl w:val="282A1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D43B34"/>
    <w:multiLevelType w:val="hybridMultilevel"/>
    <w:tmpl w:val="5E8237F8"/>
    <w:lvl w:ilvl="0" w:tplc="04090005">
      <w:start w:val="1"/>
      <w:numFmt w:val="bullet"/>
      <w:lvlText w:val=""/>
      <w:lvlJc w:val="left"/>
      <w:pPr>
        <w:ind w:left="1781" w:hanging="720"/>
      </w:pPr>
      <w:rPr>
        <w:rFonts w:ascii="Wingdings" w:hAnsi="Wingdings" w:hint="default"/>
        <w:b/>
      </w:rPr>
    </w:lvl>
    <w:lvl w:ilvl="1" w:tplc="FFFFFFFF" w:tentative="1">
      <w:start w:val="1"/>
      <w:numFmt w:val="lowerLetter"/>
      <w:lvlText w:val="%2."/>
      <w:lvlJc w:val="left"/>
      <w:pPr>
        <w:ind w:left="2141" w:hanging="360"/>
      </w:pPr>
    </w:lvl>
    <w:lvl w:ilvl="2" w:tplc="FFFFFFFF" w:tentative="1">
      <w:start w:val="1"/>
      <w:numFmt w:val="lowerRoman"/>
      <w:lvlText w:val="%3."/>
      <w:lvlJc w:val="right"/>
      <w:pPr>
        <w:ind w:left="2861" w:hanging="180"/>
      </w:pPr>
    </w:lvl>
    <w:lvl w:ilvl="3" w:tplc="FFFFFFFF" w:tentative="1">
      <w:start w:val="1"/>
      <w:numFmt w:val="decimal"/>
      <w:lvlText w:val="%4."/>
      <w:lvlJc w:val="left"/>
      <w:pPr>
        <w:ind w:left="3581" w:hanging="360"/>
      </w:pPr>
    </w:lvl>
    <w:lvl w:ilvl="4" w:tplc="FFFFFFFF" w:tentative="1">
      <w:start w:val="1"/>
      <w:numFmt w:val="lowerLetter"/>
      <w:lvlText w:val="%5."/>
      <w:lvlJc w:val="left"/>
      <w:pPr>
        <w:ind w:left="4301" w:hanging="360"/>
      </w:pPr>
    </w:lvl>
    <w:lvl w:ilvl="5" w:tplc="FFFFFFFF" w:tentative="1">
      <w:start w:val="1"/>
      <w:numFmt w:val="lowerRoman"/>
      <w:lvlText w:val="%6."/>
      <w:lvlJc w:val="right"/>
      <w:pPr>
        <w:ind w:left="5021" w:hanging="180"/>
      </w:pPr>
    </w:lvl>
    <w:lvl w:ilvl="6" w:tplc="FFFFFFFF" w:tentative="1">
      <w:start w:val="1"/>
      <w:numFmt w:val="decimal"/>
      <w:lvlText w:val="%7."/>
      <w:lvlJc w:val="left"/>
      <w:pPr>
        <w:ind w:left="5741" w:hanging="360"/>
      </w:pPr>
    </w:lvl>
    <w:lvl w:ilvl="7" w:tplc="FFFFFFFF" w:tentative="1">
      <w:start w:val="1"/>
      <w:numFmt w:val="lowerLetter"/>
      <w:lvlText w:val="%8."/>
      <w:lvlJc w:val="left"/>
      <w:pPr>
        <w:ind w:left="6461" w:hanging="360"/>
      </w:pPr>
    </w:lvl>
    <w:lvl w:ilvl="8" w:tplc="FFFFFFFF" w:tentative="1">
      <w:start w:val="1"/>
      <w:numFmt w:val="lowerRoman"/>
      <w:lvlText w:val="%9."/>
      <w:lvlJc w:val="right"/>
      <w:pPr>
        <w:ind w:left="7181" w:hanging="180"/>
      </w:pPr>
    </w:lvl>
  </w:abstractNum>
  <w:abstractNum w:abstractNumId="12" w15:restartNumberingAfterBreak="0">
    <w:nsid w:val="25736E06"/>
    <w:multiLevelType w:val="multilevel"/>
    <w:tmpl w:val="40F8FE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5D2160"/>
    <w:multiLevelType w:val="multilevel"/>
    <w:tmpl w:val="42B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EC281A"/>
    <w:multiLevelType w:val="multilevel"/>
    <w:tmpl w:val="6EB8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771C92"/>
    <w:multiLevelType w:val="multilevel"/>
    <w:tmpl w:val="86D06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C53D5B"/>
    <w:multiLevelType w:val="multilevel"/>
    <w:tmpl w:val="3AFE6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8F2F3D"/>
    <w:multiLevelType w:val="multilevel"/>
    <w:tmpl w:val="F21E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F42D52"/>
    <w:multiLevelType w:val="multilevel"/>
    <w:tmpl w:val="CAA26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424E35"/>
    <w:multiLevelType w:val="hybridMultilevel"/>
    <w:tmpl w:val="09AC6516"/>
    <w:lvl w:ilvl="0" w:tplc="04090005">
      <w:start w:val="1"/>
      <w:numFmt w:val="bullet"/>
      <w:lvlText w:val=""/>
      <w:lvlJc w:val="left"/>
      <w:pPr>
        <w:ind w:left="1797" w:hanging="360"/>
      </w:pPr>
      <w:rPr>
        <w:rFonts w:ascii="Wingdings" w:hAnsi="Wingdings" w:hint="default"/>
      </w:rPr>
    </w:lvl>
    <w:lvl w:ilvl="1" w:tplc="FFFFFFFF" w:tentative="1">
      <w:start w:val="1"/>
      <w:numFmt w:val="bullet"/>
      <w:lvlText w:val="o"/>
      <w:lvlJc w:val="left"/>
      <w:pPr>
        <w:ind w:left="2517" w:hanging="360"/>
      </w:pPr>
      <w:rPr>
        <w:rFonts w:ascii="Courier New" w:hAnsi="Courier New" w:cs="Courier New" w:hint="default"/>
      </w:rPr>
    </w:lvl>
    <w:lvl w:ilvl="2" w:tplc="FFFFFFFF" w:tentative="1">
      <w:start w:val="1"/>
      <w:numFmt w:val="bullet"/>
      <w:lvlText w:val=""/>
      <w:lvlJc w:val="left"/>
      <w:pPr>
        <w:ind w:left="3237" w:hanging="360"/>
      </w:pPr>
      <w:rPr>
        <w:rFonts w:ascii="Wingdings" w:hAnsi="Wingdings" w:hint="default"/>
      </w:rPr>
    </w:lvl>
    <w:lvl w:ilvl="3" w:tplc="FFFFFFFF" w:tentative="1">
      <w:start w:val="1"/>
      <w:numFmt w:val="bullet"/>
      <w:lvlText w:val=""/>
      <w:lvlJc w:val="left"/>
      <w:pPr>
        <w:ind w:left="3957" w:hanging="360"/>
      </w:pPr>
      <w:rPr>
        <w:rFonts w:ascii="Symbol" w:hAnsi="Symbol" w:hint="default"/>
      </w:rPr>
    </w:lvl>
    <w:lvl w:ilvl="4" w:tplc="FFFFFFFF" w:tentative="1">
      <w:start w:val="1"/>
      <w:numFmt w:val="bullet"/>
      <w:lvlText w:val="o"/>
      <w:lvlJc w:val="left"/>
      <w:pPr>
        <w:ind w:left="4677" w:hanging="360"/>
      </w:pPr>
      <w:rPr>
        <w:rFonts w:ascii="Courier New" w:hAnsi="Courier New" w:cs="Courier New" w:hint="default"/>
      </w:rPr>
    </w:lvl>
    <w:lvl w:ilvl="5" w:tplc="FFFFFFFF" w:tentative="1">
      <w:start w:val="1"/>
      <w:numFmt w:val="bullet"/>
      <w:lvlText w:val=""/>
      <w:lvlJc w:val="left"/>
      <w:pPr>
        <w:ind w:left="5397" w:hanging="360"/>
      </w:pPr>
      <w:rPr>
        <w:rFonts w:ascii="Wingdings" w:hAnsi="Wingdings" w:hint="default"/>
      </w:rPr>
    </w:lvl>
    <w:lvl w:ilvl="6" w:tplc="FFFFFFFF" w:tentative="1">
      <w:start w:val="1"/>
      <w:numFmt w:val="bullet"/>
      <w:lvlText w:val=""/>
      <w:lvlJc w:val="left"/>
      <w:pPr>
        <w:ind w:left="6117" w:hanging="360"/>
      </w:pPr>
      <w:rPr>
        <w:rFonts w:ascii="Symbol" w:hAnsi="Symbol" w:hint="default"/>
      </w:rPr>
    </w:lvl>
    <w:lvl w:ilvl="7" w:tplc="FFFFFFFF" w:tentative="1">
      <w:start w:val="1"/>
      <w:numFmt w:val="bullet"/>
      <w:lvlText w:val="o"/>
      <w:lvlJc w:val="left"/>
      <w:pPr>
        <w:ind w:left="6837" w:hanging="360"/>
      </w:pPr>
      <w:rPr>
        <w:rFonts w:ascii="Courier New" w:hAnsi="Courier New" w:cs="Courier New" w:hint="default"/>
      </w:rPr>
    </w:lvl>
    <w:lvl w:ilvl="8" w:tplc="FFFFFFFF" w:tentative="1">
      <w:start w:val="1"/>
      <w:numFmt w:val="bullet"/>
      <w:lvlText w:val=""/>
      <w:lvlJc w:val="left"/>
      <w:pPr>
        <w:ind w:left="7557" w:hanging="360"/>
      </w:pPr>
      <w:rPr>
        <w:rFonts w:ascii="Wingdings" w:hAnsi="Wingdings" w:hint="default"/>
      </w:rPr>
    </w:lvl>
  </w:abstractNum>
  <w:abstractNum w:abstractNumId="20" w15:restartNumberingAfterBreak="0">
    <w:nsid w:val="48982339"/>
    <w:multiLevelType w:val="multilevel"/>
    <w:tmpl w:val="FFA26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9420DC"/>
    <w:multiLevelType w:val="multilevel"/>
    <w:tmpl w:val="7F8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3D1976"/>
    <w:multiLevelType w:val="multilevel"/>
    <w:tmpl w:val="F9FCB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A43F41"/>
    <w:multiLevelType w:val="multilevel"/>
    <w:tmpl w:val="A696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0D512B"/>
    <w:multiLevelType w:val="multilevel"/>
    <w:tmpl w:val="655AB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E77AB2"/>
    <w:multiLevelType w:val="multilevel"/>
    <w:tmpl w:val="B324DC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661499"/>
    <w:multiLevelType w:val="multilevel"/>
    <w:tmpl w:val="D3807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11"/>
  </w:num>
  <w:num w:numId="3">
    <w:abstractNumId w:val="18"/>
  </w:num>
  <w:num w:numId="4">
    <w:abstractNumId w:val="15"/>
  </w:num>
  <w:num w:numId="5">
    <w:abstractNumId w:val="22"/>
  </w:num>
  <w:num w:numId="6">
    <w:abstractNumId w:val="14"/>
  </w:num>
  <w:num w:numId="7">
    <w:abstractNumId w:val="2"/>
  </w:num>
  <w:num w:numId="8">
    <w:abstractNumId w:val="20"/>
  </w:num>
  <w:num w:numId="9">
    <w:abstractNumId w:val="9"/>
  </w:num>
  <w:num w:numId="10">
    <w:abstractNumId w:val="4"/>
  </w:num>
  <w:num w:numId="11">
    <w:abstractNumId w:val="25"/>
  </w:num>
  <w:num w:numId="12">
    <w:abstractNumId w:val="5"/>
  </w:num>
  <w:num w:numId="13">
    <w:abstractNumId w:val="3"/>
  </w:num>
  <w:num w:numId="14">
    <w:abstractNumId w:val="13"/>
  </w:num>
  <w:num w:numId="15">
    <w:abstractNumId w:val="7"/>
  </w:num>
  <w:num w:numId="16">
    <w:abstractNumId w:val="26"/>
  </w:num>
  <w:num w:numId="17">
    <w:abstractNumId w:val="10"/>
  </w:num>
  <w:num w:numId="18">
    <w:abstractNumId w:val="23"/>
  </w:num>
  <w:num w:numId="19">
    <w:abstractNumId w:val="21"/>
  </w:num>
  <w:num w:numId="20">
    <w:abstractNumId w:val="24"/>
  </w:num>
  <w:num w:numId="21">
    <w:abstractNumId w:val="0"/>
  </w:num>
  <w:num w:numId="22">
    <w:abstractNumId w:val="12"/>
  </w:num>
  <w:num w:numId="23">
    <w:abstractNumId w:val="16"/>
  </w:num>
  <w:num w:numId="24">
    <w:abstractNumId w:val="6"/>
  </w:num>
  <w:num w:numId="25">
    <w:abstractNumId w:val="17"/>
  </w:num>
  <w:num w:numId="26">
    <w:abstractNumId w:val="1"/>
  </w:num>
  <w:num w:numId="27">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3AD1"/>
    <w:rsid w:val="00005352"/>
    <w:rsid w:val="00005690"/>
    <w:rsid w:val="00005DCA"/>
    <w:rsid w:val="00010C95"/>
    <w:rsid w:val="000116AD"/>
    <w:rsid w:val="000121FC"/>
    <w:rsid w:val="0001250C"/>
    <w:rsid w:val="000129F5"/>
    <w:rsid w:val="0001321A"/>
    <w:rsid w:val="0001493F"/>
    <w:rsid w:val="00017F5B"/>
    <w:rsid w:val="00020D8B"/>
    <w:rsid w:val="00020E45"/>
    <w:rsid w:val="00020F9B"/>
    <w:rsid w:val="000230E9"/>
    <w:rsid w:val="00024143"/>
    <w:rsid w:val="00024A99"/>
    <w:rsid w:val="000252BC"/>
    <w:rsid w:val="00026FF6"/>
    <w:rsid w:val="000338C0"/>
    <w:rsid w:val="00034FFA"/>
    <w:rsid w:val="0003580C"/>
    <w:rsid w:val="00035816"/>
    <w:rsid w:val="000375CE"/>
    <w:rsid w:val="00037BB6"/>
    <w:rsid w:val="0004434C"/>
    <w:rsid w:val="0004551D"/>
    <w:rsid w:val="0004679B"/>
    <w:rsid w:val="00053048"/>
    <w:rsid w:val="000537C9"/>
    <w:rsid w:val="00053B2F"/>
    <w:rsid w:val="000546FC"/>
    <w:rsid w:val="000553B8"/>
    <w:rsid w:val="00057CE5"/>
    <w:rsid w:val="00063007"/>
    <w:rsid w:val="000638E5"/>
    <w:rsid w:val="000652C1"/>
    <w:rsid w:val="000653B0"/>
    <w:rsid w:val="000654D5"/>
    <w:rsid w:val="0006642F"/>
    <w:rsid w:val="00067695"/>
    <w:rsid w:val="00067CC1"/>
    <w:rsid w:val="00070F82"/>
    <w:rsid w:val="00072936"/>
    <w:rsid w:val="00073193"/>
    <w:rsid w:val="00075581"/>
    <w:rsid w:val="00076DF9"/>
    <w:rsid w:val="00081E36"/>
    <w:rsid w:val="0008520B"/>
    <w:rsid w:val="00086B2C"/>
    <w:rsid w:val="00086BD5"/>
    <w:rsid w:val="00093603"/>
    <w:rsid w:val="000944D5"/>
    <w:rsid w:val="0009488D"/>
    <w:rsid w:val="000963A6"/>
    <w:rsid w:val="00096829"/>
    <w:rsid w:val="00096B66"/>
    <w:rsid w:val="00096C04"/>
    <w:rsid w:val="000A0774"/>
    <w:rsid w:val="000A4822"/>
    <w:rsid w:val="000A53CF"/>
    <w:rsid w:val="000A6CF6"/>
    <w:rsid w:val="000B225D"/>
    <w:rsid w:val="000B2775"/>
    <w:rsid w:val="000B31C9"/>
    <w:rsid w:val="000B4F2C"/>
    <w:rsid w:val="000B5034"/>
    <w:rsid w:val="000B5C5D"/>
    <w:rsid w:val="000B7024"/>
    <w:rsid w:val="000B7DE8"/>
    <w:rsid w:val="000C0421"/>
    <w:rsid w:val="000C15A0"/>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62E2"/>
    <w:rsid w:val="000E6AE5"/>
    <w:rsid w:val="000E6E89"/>
    <w:rsid w:val="000F0B5E"/>
    <w:rsid w:val="000F1372"/>
    <w:rsid w:val="000F1863"/>
    <w:rsid w:val="000F2BB8"/>
    <w:rsid w:val="000F35DD"/>
    <w:rsid w:val="000F3C4E"/>
    <w:rsid w:val="000F5D23"/>
    <w:rsid w:val="000F604D"/>
    <w:rsid w:val="00100C9F"/>
    <w:rsid w:val="00100F50"/>
    <w:rsid w:val="00101C36"/>
    <w:rsid w:val="00103295"/>
    <w:rsid w:val="00103450"/>
    <w:rsid w:val="0011106A"/>
    <w:rsid w:val="00111107"/>
    <w:rsid w:val="001115A3"/>
    <w:rsid w:val="00112C66"/>
    <w:rsid w:val="00116DF5"/>
    <w:rsid w:val="0011704E"/>
    <w:rsid w:val="00123E36"/>
    <w:rsid w:val="00123EA7"/>
    <w:rsid w:val="0012409A"/>
    <w:rsid w:val="0012436D"/>
    <w:rsid w:val="00126BB1"/>
    <w:rsid w:val="00126F08"/>
    <w:rsid w:val="00127222"/>
    <w:rsid w:val="00127CEF"/>
    <w:rsid w:val="00127E5E"/>
    <w:rsid w:val="001324AA"/>
    <w:rsid w:val="0013349D"/>
    <w:rsid w:val="00133E1D"/>
    <w:rsid w:val="00135AE1"/>
    <w:rsid w:val="001400B6"/>
    <w:rsid w:val="00140CF1"/>
    <w:rsid w:val="00141BBE"/>
    <w:rsid w:val="00145533"/>
    <w:rsid w:val="001469D8"/>
    <w:rsid w:val="0014721E"/>
    <w:rsid w:val="00151119"/>
    <w:rsid w:val="00151467"/>
    <w:rsid w:val="00152750"/>
    <w:rsid w:val="00154EAB"/>
    <w:rsid w:val="001565D3"/>
    <w:rsid w:val="00160229"/>
    <w:rsid w:val="001618FC"/>
    <w:rsid w:val="00162334"/>
    <w:rsid w:val="00162864"/>
    <w:rsid w:val="00163E75"/>
    <w:rsid w:val="001658FF"/>
    <w:rsid w:val="00166B5A"/>
    <w:rsid w:val="00166F81"/>
    <w:rsid w:val="00171A58"/>
    <w:rsid w:val="00175C2A"/>
    <w:rsid w:val="00180284"/>
    <w:rsid w:val="001802D9"/>
    <w:rsid w:val="001803DD"/>
    <w:rsid w:val="00181B65"/>
    <w:rsid w:val="00187DDC"/>
    <w:rsid w:val="00190190"/>
    <w:rsid w:val="001904F7"/>
    <w:rsid w:val="00192FCD"/>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B621C"/>
    <w:rsid w:val="001B78BE"/>
    <w:rsid w:val="001C02A6"/>
    <w:rsid w:val="001C0539"/>
    <w:rsid w:val="001C080F"/>
    <w:rsid w:val="001C11C1"/>
    <w:rsid w:val="001C24DE"/>
    <w:rsid w:val="001C28A1"/>
    <w:rsid w:val="001C28D1"/>
    <w:rsid w:val="001C39D6"/>
    <w:rsid w:val="001C427F"/>
    <w:rsid w:val="001C447D"/>
    <w:rsid w:val="001D06B6"/>
    <w:rsid w:val="001D12AE"/>
    <w:rsid w:val="001D2C3E"/>
    <w:rsid w:val="001D3256"/>
    <w:rsid w:val="001D3B31"/>
    <w:rsid w:val="001D3E7A"/>
    <w:rsid w:val="001D5541"/>
    <w:rsid w:val="001D6979"/>
    <w:rsid w:val="001E087C"/>
    <w:rsid w:val="001E1396"/>
    <w:rsid w:val="001E1B7B"/>
    <w:rsid w:val="001E1E03"/>
    <w:rsid w:val="001E26F7"/>
    <w:rsid w:val="001E291F"/>
    <w:rsid w:val="001E361B"/>
    <w:rsid w:val="001E383D"/>
    <w:rsid w:val="001E4110"/>
    <w:rsid w:val="001E43CF"/>
    <w:rsid w:val="001E471E"/>
    <w:rsid w:val="001E491D"/>
    <w:rsid w:val="001E4C76"/>
    <w:rsid w:val="001F215D"/>
    <w:rsid w:val="001F25D0"/>
    <w:rsid w:val="001F6A0A"/>
    <w:rsid w:val="0020024D"/>
    <w:rsid w:val="00200DCE"/>
    <w:rsid w:val="00201A1E"/>
    <w:rsid w:val="00202EC8"/>
    <w:rsid w:val="00203CFC"/>
    <w:rsid w:val="0020647A"/>
    <w:rsid w:val="002068D8"/>
    <w:rsid w:val="00206BFC"/>
    <w:rsid w:val="00211BDF"/>
    <w:rsid w:val="002122F6"/>
    <w:rsid w:val="00212727"/>
    <w:rsid w:val="00212A1D"/>
    <w:rsid w:val="0021490E"/>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5DA3"/>
    <w:rsid w:val="0025667E"/>
    <w:rsid w:val="00256EBB"/>
    <w:rsid w:val="00256F77"/>
    <w:rsid w:val="00260682"/>
    <w:rsid w:val="00261D90"/>
    <w:rsid w:val="002623D4"/>
    <w:rsid w:val="00262AAF"/>
    <w:rsid w:val="0026305E"/>
    <w:rsid w:val="0026390F"/>
    <w:rsid w:val="0026451D"/>
    <w:rsid w:val="00264823"/>
    <w:rsid w:val="00265866"/>
    <w:rsid w:val="00266060"/>
    <w:rsid w:val="002669FA"/>
    <w:rsid w:val="00266D2D"/>
    <w:rsid w:val="002670E6"/>
    <w:rsid w:val="002703D7"/>
    <w:rsid w:val="002704B3"/>
    <w:rsid w:val="00270950"/>
    <w:rsid w:val="00273E08"/>
    <w:rsid w:val="002746D9"/>
    <w:rsid w:val="0027786C"/>
    <w:rsid w:val="002817E1"/>
    <w:rsid w:val="00281F89"/>
    <w:rsid w:val="002827E9"/>
    <w:rsid w:val="00282C19"/>
    <w:rsid w:val="0028432B"/>
    <w:rsid w:val="002903CD"/>
    <w:rsid w:val="00292D1A"/>
    <w:rsid w:val="00294BF9"/>
    <w:rsid w:val="00296A44"/>
    <w:rsid w:val="00296AB4"/>
    <w:rsid w:val="002A2507"/>
    <w:rsid w:val="002A2842"/>
    <w:rsid w:val="002A46BB"/>
    <w:rsid w:val="002A5439"/>
    <w:rsid w:val="002A659A"/>
    <w:rsid w:val="002A79E1"/>
    <w:rsid w:val="002A7B95"/>
    <w:rsid w:val="002B0FE8"/>
    <w:rsid w:val="002B1017"/>
    <w:rsid w:val="002B3323"/>
    <w:rsid w:val="002B382F"/>
    <w:rsid w:val="002B6D3E"/>
    <w:rsid w:val="002B6EA3"/>
    <w:rsid w:val="002B72E7"/>
    <w:rsid w:val="002C00FC"/>
    <w:rsid w:val="002C06BC"/>
    <w:rsid w:val="002C070C"/>
    <w:rsid w:val="002C10D9"/>
    <w:rsid w:val="002C2414"/>
    <w:rsid w:val="002C26AD"/>
    <w:rsid w:val="002C4D35"/>
    <w:rsid w:val="002C53EB"/>
    <w:rsid w:val="002C5EC9"/>
    <w:rsid w:val="002D3369"/>
    <w:rsid w:val="002D37BA"/>
    <w:rsid w:val="002D46AC"/>
    <w:rsid w:val="002D6106"/>
    <w:rsid w:val="002D75E1"/>
    <w:rsid w:val="002E2303"/>
    <w:rsid w:val="002E242D"/>
    <w:rsid w:val="002E349B"/>
    <w:rsid w:val="002E42B6"/>
    <w:rsid w:val="002E6BB3"/>
    <w:rsid w:val="002F02C0"/>
    <w:rsid w:val="002F03BA"/>
    <w:rsid w:val="002F1E95"/>
    <w:rsid w:val="002F27BB"/>
    <w:rsid w:val="002F2AD4"/>
    <w:rsid w:val="002F49ED"/>
    <w:rsid w:val="002F6640"/>
    <w:rsid w:val="002F6877"/>
    <w:rsid w:val="002F73CF"/>
    <w:rsid w:val="003013B7"/>
    <w:rsid w:val="0030240A"/>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A14"/>
    <w:rsid w:val="00332C78"/>
    <w:rsid w:val="00332D36"/>
    <w:rsid w:val="00332F12"/>
    <w:rsid w:val="003341D5"/>
    <w:rsid w:val="0033531C"/>
    <w:rsid w:val="00336A30"/>
    <w:rsid w:val="00336FF6"/>
    <w:rsid w:val="00337952"/>
    <w:rsid w:val="003400C4"/>
    <w:rsid w:val="003401BF"/>
    <w:rsid w:val="003414A0"/>
    <w:rsid w:val="00342CB5"/>
    <w:rsid w:val="00342F98"/>
    <w:rsid w:val="00343EB0"/>
    <w:rsid w:val="00345904"/>
    <w:rsid w:val="00345CA2"/>
    <w:rsid w:val="00347BEA"/>
    <w:rsid w:val="003503D3"/>
    <w:rsid w:val="00351FDB"/>
    <w:rsid w:val="00353CBE"/>
    <w:rsid w:val="003542D6"/>
    <w:rsid w:val="00355A39"/>
    <w:rsid w:val="003565E3"/>
    <w:rsid w:val="003579C5"/>
    <w:rsid w:val="003600B6"/>
    <w:rsid w:val="003626FB"/>
    <w:rsid w:val="003629DB"/>
    <w:rsid w:val="00363474"/>
    <w:rsid w:val="003635E2"/>
    <w:rsid w:val="00363784"/>
    <w:rsid w:val="00363AFE"/>
    <w:rsid w:val="00365E13"/>
    <w:rsid w:val="00367A0F"/>
    <w:rsid w:val="00370964"/>
    <w:rsid w:val="00370B31"/>
    <w:rsid w:val="00370DC5"/>
    <w:rsid w:val="00370DC7"/>
    <w:rsid w:val="00371B9A"/>
    <w:rsid w:val="00373A6F"/>
    <w:rsid w:val="003743A7"/>
    <w:rsid w:val="003747FA"/>
    <w:rsid w:val="00374E1D"/>
    <w:rsid w:val="003756BF"/>
    <w:rsid w:val="003768F8"/>
    <w:rsid w:val="00376DB0"/>
    <w:rsid w:val="0038039C"/>
    <w:rsid w:val="00380DAB"/>
    <w:rsid w:val="00380E70"/>
    <w:rsid w:val="00381EB2"/>
    <w:rsid w:val="00381F0C"/>
    <w:rsid w:val="003827CA"/>
    <w:rsid w:val="003842DD"/>
    <w:rsid w:val="00386000"/>
    <w:rsid w:val="003877C7"/>
    <w:rsid w:val="00390000"/>
    <w:rsid w:val="003912FA"/>
    <w:rsid w:val="00392435"/>
    <w:rsid w:val="00392F2E"/>
    <w:rsid w:val="00396A7C"/>
    <w:rsid w:val="0039762B"/>
    <w:rsid w:val="003A0B52"/>
    <w:rsid w:val="003A176A"/>
    <w:rsid w:val="003A1BAF"/>
    <w:rsid w:val="003A2FE0"/>
    <w:rsid w:val="003A4772"/>
    <w:rsid w:val="003A6DF1"/>
    <w:rsid w:val="003B022F"/>
    <w:rsid w:val="003B2209"/>
    <w:rsid w:val="003B4252"/>
    <w:rsid w:val="003B61DE"/>
    <w:rsid w:val="003B741C"/>
    <w:rsid w:val="003C1504"/>
    <w:rsid w:val="003C1A37"/>
    <w:rsid w:val="003C1E56"/>
    <w:rsid w:val="003C2997"/>
    <w:rsid w:val="003C2C08"/>
    <w:rsid w:val="003C318B"/>
    <w:rsid w:val="003C3873"/>
    <w:rsid w:val="003C4E90"/>
    <w:rsid w:val="003C5784"/>
    <w:rsid w:val="003C5D34"/>
    <w:rsid w:val="003C7190"/>
    <w:rsid w:val="003D0303"/>
    <w:rsid w:val="003D0AE2"/>
    <w:rsid w:val="003D0E69"/>
    <w:rsid w:val="003D18E5"/>
    <w:rsid w:val="003D2A16"/>
    <w:rsid w:val="003D2D4B"/>
    <w:rsid w:val="003D3782"/>
    <w:rsid w:val="003D39B8"/>
    <w:rsid w:val="003D6BAD"/>
    <w:rsid w:val="003D7240"/>
    <w:rsid w:val="003D73EB"/>
    <w:rsid w:val="003E2F0B"/>
    <w:rsid w:val="003E3407"/>
    <w:rsid w:val="003E3ACD"/>
    <w:rsid w:val="003E4AC9"/>
    <w:rsid w:val="003E543F"/>
    <w:rsid w:val="003E6FB0"/>
    <w:rsid w:val="003E7229"/>
    <w:rsid w:val="003E749D"/>
    <w:rsid w:val="003E7DFC"/>
    <w:rsid w:val="003F01EA"/>
    <w:rsid w:val="003F07DE"/>
    <w:rsid w:val="003F09CC"/>
    <w:rsid w:val="003F11E5"/>
    <w:rsid w:val="003F2D47"/>
    <w:rsid w:val="003F32B9"/>
    <w:rsid w:val="003F36D2"/>
    <w:rsid w:val="003F38C1"/>
    <w:rsid w:val="003F41A4"/>
    <w:rsid w:val="003F51CC"/>
    <w:rsid w:val="003F5286"/>
    <w:rsid w:val="003F6F63"/>
    <w:rsid w:val="003F6FED"/>
    <w:rsid w:val="0040332C"/>
    <w:rsid w:val="00404805"/>
    <w:rsid w:val="00405795"/>
    <w:rsid w:val="0040687F"/>
    <w:rsid w:val="004078ED"/>
    <w:rsid w:val="00407921"/>
    <w:rsid w:val="00410E9F"/>
    <w:rsid w:val="00411C89"/>
    <w:rsid w:val="00413257"/>
    <w:rsid w:val="00413775"/>
    <w:rsid w:val="00416F39"/>
    <w:rsid w:val="004239B0"/>
    <w:rsid w:val="00423DEB"/>
    <w:rsid w:val="00425F65"/>
    <w:rsid w:val="0042640D"/>
    <w:rsid w:val="0042706C"/>
    <w:rsid w:val="0042797E"/>
    <w:rsid w:val="00431344"/>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227"/>
    <w:rsid w:val="00475C71"/>
    <w:rsid w:val="00475E80"/>
    <w:rsid w:val="004770F8"/>
    <w:rsid w:val="004772CE"/>
    <w:rsid w:val="004772DF"/>
    <w:rsid w:val="00480F5F"/>
    <w:rsid w:val="00482252"/>
    <w:rsid w:val="00482443"/>
    <w:rsid w:val="00483131"/>
    <w:rsid w:val="0048397F"/>
    <w:rsid w:val="00483B4A"/>
    <w:rsid w:val="00484912"/>
    <w:rsid w:val="00484EB8"/>
    <w:rsid w:val="00486C37"/>
    <w:rsid w:val="004904C5"/>
    <w:rsid w:val="004905EB"/>
    <w:rsid w:val="00491F08"/>
    <w:rsid w:val="004929CA"/>
    <w:rsid w:val="0049465E"/>
    <w:rsid w:val="00496422"/>
    <w:rsid w:val="004A03F8"/>
    <w:rsid w:val="004A0923"/>
    <w:rsid w:val="004A0E11"/>
    <w:rsid w:val="004A2084"/>
    <w:rsid w:val="004A2C59"/>
    <w:rsid w:val="004A44AE"/>
    <w:rsid w:val="004A4C02"/>
    <w:rsid w:val="004A4D82"/>
    <w:rsid w:val="004A52D4"/>
    <w:rsid w:val="004A562B"/>
    <w:rsid w:val="004A5FEA"/>
    <w:rsid w:val="004A63F5"/>
    <w:rsid w:val="004A77D6"/>
    <w:rsid w:val="004B1C99"/>
    <w:rsid w:val="004B312F"/>
    <w:rsid w:val="004B4660"/>
    <w:rsid w:val="004B53F1"/>
    <w:rsid w:val="004B5452"/>
    <w:rsid w:val="004B615B"/>
    <w:rsid w:val="004B690B"/>
    <w:rsid w:val="004B7773"/>
    <w:rsid w:val="004B78C7"/>
    <w:rsid w:val="004C00E6"/>
    <w:rsid w:val="004C0D80"/>
    <w:rsid w:val="004C2378"/>
    <w:rsid w:val="004C3711"/>
    <w:rsid w:val="004C5591"/>
    <w:rsid w:val="004C5E1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0E7"/>
    <w:rsid w:val="004E2DF4"/>
    <w:rsid w:val="004E4275"/>
    <w:rsid w:val="004E6B83"/>
    <w:rsid w:val="004F04A0"/>
    <w:rsid w:val="004F17D4"/>
    <w:rsid w:val="004F33C3"/>
    <w:rsid w:val="004F40D1"/>
    <w:rsid w:val="004F5963"/>
    <w:rsid w:val="004F5C3A"/>
    <w:rsid w:val="004F6CF5"/>
    <w:rsid w:val="004F6DC6"/>
    <w:rsid w:val="004F750A"/>
    <w:rsid w:val="0050005E"/>
    <w:rsid w:val="00500918"/>
    <w:rsid w:val="00501636"/>
    <w:rsid w:val="00501AB1"/>
    <w:rsid w:val="00503192"/>
    <w:rsid w:val="00503628"/>
    <w:rsid w:val="0050484C"/>
    <w:rsid w:val="0050719A"/>
    <w:rsid w:val="00510D78"/>
    <w:rsid w:val="00514A53"/>
    <w:rsid w:val="00514A63"/>
    <w:rsid w:val="00515836"/>
    <w:rsid w:val="00516063"/>
    <w:rsid w:val="005160F8"/>
    <w:rsid w:val="005214A9"/>
    <w:rsid w:val="00521F54"/>
    <w:rsid w:val="00522AEF"/>
    <w:rsid w:val="005247AE"/>
    <w:rsid w:val="00524E28"/>
    <w:rsid w:val="005252F9"/>
    <w:rsid w:val="00525E0E"/>
    <w:rsid w:val="00526FBB"/>
    <w:rsid w:val="005272EC"/>
    <w:rsid w:val="005302FF"/>
    <w:rsid w:val="005303A7"/>
    <w:rsid w:val="0053201D"/>
    <w:rsid w:val="00533B7A"/>
    <w:rsid w:val="00534C06"/>
    <w:rsid w:val="00535141"/>
    <w:rsid w:val="00535370"/>
    <w:rsid w:val="00535FBF"/>
    <w:rsid w:val="0053760F"/>
    <w:rsid w:val="00537BE7"/>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4FA8"/>
    <w:rsid w:val="005654FA"/>
    <w:rsid w:val="0056630A"/>
    <w:rsid w:val="005666CA"/>
    <w:rsid w:val="00566C24"/>
    <w:rsid w:val="005673EA"/>
    <w:rsid w:val="00570261"/>
    <w:rsid w:val="00570D9C"/>
    <w:rsid w:val="00570DA2"/>
    <w:rsid w:val="00572F06"/>
    <w:rsid w:val="0057452C"/>
    <w:rsid w:val="00574861"/>
    <w:rsid w:val="00575A25"/>
    <w:rsid w:val="00576378"/>
    <w:rsid w:val="0057680B"/>
    <w:rsid w:val="0058279C"/>
    <w:rsid w:val="00582EFE"/>
    <w:rsid w:val="00584E72"/>
    <w:rsid w:val="00586478"/>
    <w:rsid w:val="00586BBF"/>
    <w:rsid w:val="005903D6"/>
    <w:rsid w:val="00591E2E"/>
    <w:rsid w:val="00592DC5"/>
    <w:rsid w:val="005947FE"/>
    <w:rsid w:val="00594922"/>
    <w:rsid w:val="00596509"/>
    <w:rsid w:val="00596F43"/>
    <w:rsid w:val="00597698"/>
    <w:rsid w:val="005A0D4E"/>
    <w:rsid w:val="005A1969"/>
    <w:rsid w:val="005A373C"/>
    <w:rsid w:val="005A3E74"/>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5D84"/>
    <w:rsid w:val="005E6A5D"/>
    <w:rsid w:val="005E6AC9"/>
    <w:rsid w:val="005E7C66"/>
    <w:rsid w:val="005F0041"/>
    <w:rsid w:val="005F00AF"/>
    <w:rsid w:val="005F2A2E"/>
    <w:rsid w:val="005F4DA8"/>
    <w:rsid w:val="00600363"/>
    <w:rsid w:val="006016B0"/>
    <w:rsid w:val="006016B8"/>
    <w:rsid w:val="006016C0"/>
    <w:rsid w:val="00601E7A"/>
    <w:rsid w:val="00602DC3"/>
    <w:rsid w:val="00603A73"/>
    <w:rsid w:val="00604D75"/>
    <w:rsid w:val="00605EDD"/>
    <w:rsid w:val="00607C3F"/>
    <w:rsid w:val="00614BFB"/>
    <w:rsid w:val="00617DE6"/>
    <w:rsid w:val="006205BC"/>
    <w:rsid w:val="006214ED"/>
    <w:rsid w:val="00622DB5"/>
    <w:rsid w:val="006300CC"/>
    <w:rsid w:val="006309D3"/>
    <w:rsid w:val="00633E04"/>
    <w:rsid w:val="0063402F"/>
    <w:rsid w:val="006360AB"/>
    <w:rsid w:val="00637AE8"/>
    <w:rsid w:val="0064184A"/>
    <w:rsid w:val="00641B03"/>
    <w:rsid w:val="0064217F"/>
    <w:rsid w:val="00644BDF"/>
    <w:rsid w:val="00645988"/>
    <w:rsid w:val="00646B84"/>
    <w:rsid w:val="006470F6"/>
    <w:rsid w:val="006504FF"/>
    <w:rsid w:val="00656668"/>
    <w:rsid w:val="00660145"/>
    <w:rsid w:val="00661AA6"/>
    <w:rsid w:val="00663890"/>
    <w:rsid w:val="00663B03"/>
    <w:rsid w:val="0066473E"/>
    <w:rsid w:val="00664CCC"/>
    <w:rsid w:val="00664EB7"/>
    <w:rsid w:val="006667E4"/>
    <w:rsid w:val="00666F3C"/>
    <w:rsid w:val="006677D3"/>
    <w:rsid w:val="00667B51"/>
    <w:rsid w:val="00671A3A"/>
    <w:rsid w:val="0067373F"/>
    <w:rsid w:val="0067475F"/>
    <w:rsid w:val="00676D85"/>
    <w:rsid w:val="00677160"/>
    <w:rsid w:val="00680D05"/>
    <w:rsid w:val="006827E0"/>
    <w:rsid w:val="00682AA2"/>
    <w:rsid w:val="00682DE6"/>
    <w:rsid w:val="0068356A"/>
    <w:rsid w:val="006840EA"/>
    <w:rsid w:val="006848E6"/>
    <w:rsid w:val="00685FC7"/>
    <w:rsid w:val="00686E67"/>
    <w:rsid w:val="006906E6"/>
    <w:rsid w:val="00690995"/>
    <w:rsid w:val="00690D88"/>
    <w:rsid w:val="006911AE"/>
    <w:rsid w:val="00695568"/>
    <w:rsid w:val="00696142"/>
    <w:rsid w:val="006961C5"/>
    <w:rsid w:val="006976D7"/>
    <w:rsid w:val="006A10D3"/>
    <w:rsid w:val="006A2D69"/>
    <w:rsid w:val="006A2F76"/>
    <w:rsid w:val="006A3286"/>
    <w:rsid w:val="006A3621"/>
    <w:rsid w:val="006A5331"/>
    <w:rsid w:val="006A6F87"/>
    <w:rsid w:val="006A7187"/>
    <w:rsid w:val="006A71A8"/>
    <w:rsid w:val="006A7BDE"/>
    <w:rsid w:val="006B3C99"/>
    <w:rsid w:val="006B45BB"/>
    <w:rsid w:val="006B5633"/>
    <w:rsid w:val="006B5B6E"/>
    <w:rsid w:val="006B5F14"/>
    <w:rsid w:val="006B6832"/>
    <w:rsid w:val="006C04CE"/>
    <w:rsid w:val="006C102D"/>
    <w:rsid w:val="006C2478"/>
    <w:rsid w:val="006C26D2"/>
    <w:rsid w:val="006C2BF2"/>
    <w:rsid w:val="006C3FA1"/>
    <w:rsid w:val="006C5417"/>
    <w:rsid w:val="006C5D57"/>
    <w:rsid w:val="006C71CB"/>
    <w:rsid w:val="006D0B87"/>
    <w:rsid w:val="006D234E"/>
    <w:rsid w:val="006D2438"/>
    <w:rsid w:val="006D2FBB"/>
    <w:rsid w:val="006D3548"/>
    <w:rsid w:val="006D4A74"/>
    <w:rsid w:val="006D4E55"/>
    <w:rsid w:val="006D5A6C"/>
    <w:rsid w:val="006D75C2"/>
    <w:rsid w:val="006E055B"/>
    <w:rsid w:val="006E14EB"/>
    <w:rsid w:val="006E16CF"/>
    <w:rsid w:val="006E2AA9"/>
    <w:rsid w:val="006F1136"/>
    <w:rsid w:val="006F31E2"/>
    <w:rsid w:val="006F4632"/>
    <w:rsid w:val="006F53CE"/>
    <w:rsid w:val="006F7788"/>
    <w:rsid w:val="007005AB"/>
    <w:rsid w:val="00702C89"/>
    <w:rsid w:val="00702EA4"/>
    <w:rsid w:val="0070468E"/>
    <w:rsid w:val="00705718"/>
    <w:rsid w:val="00705F5A"/>
    <w:rsid w:val="00707236"/>
    <w:rsid w:val="00707C77"/>
    <w:rsid w:val="007101E6"/>
    <w:rsid w:val="00711EE7"/>
    <w:rsid w:val="00712C03"/>
    <w:rsid w:val="00716C09"/>
    <w:rsid w:val="0071714A"/>
    <w:rsid w:val="007171B1"/>
    <w:rsid w:val="0071771F"/>
    <w:rsid w:val="00720B9E"/>
    <w:rsid w:val="007229C2"/>
    <w:rsid w:val="00724907"/>
    <w:rsid w:val="00730DB6"/>
    <w:rsid w:val="007319AE"/>
    <w:rsid w:val="00732BA3"/>
    <w:rsid w:val="00734AF1"/>
    <w:rsid w:val="00735FEB"/>
    <w:rsid w:val="0074000B"/>
    <w:rsid w:val="00740E60"/>
    <w:rsid w:val="007418FE"/>
    <w:rsid w:val="00742E74"/>
    <w:rsid w:val="00743DA0"/>
    <w:rsid w:val="00743ED6"/>
    <w:rsid w:val="0074560A"/>
    <w:rsid w:val="00745644"/>
    <w:rsid w:val="00746F8E"/>
    <w:rsid w:val="007473B8"/>
    <w:rsid w:val="0075081F"/>
    <w:rsid w:val="0075151F"/>
    <w:rsid w:val="0075179B"/>
    <w:rsid w:val="00754B80"/>
    <w:rsid w:val="007559A1"/>
    <w:rsid w:val="00760556"/>
    <w:rsid w:val="007607FA"/>
    <w:rsid w:val="007615AC"/>
    <w:rsid w:val="00761AEF"/>
    <w:rsid w:val="0076473F"/>
    <w:rsid w:val="00764919"/>
    <w:rsid w:val="00765A1A"/>
    <w:rsid w:val="007665B7"/>
    <w:rsid w:val="007707B9"/>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5E4F"/>
    <w:rsid w:val="00796312"/>
    <w:rsid w:val="00797FC3"/>
    <w:rsid w:val="007A1EC6"/>
    <w:rsid w:val="007A22C5"/>
    <w:rsid w:val="007A4A50"/>
    <w:rsid w:val="007A4AF1"/>
    <w:rsid w:val="007A4FAA"/>
    <w:rsid w:val="007A630F"/>
    <w:rsid w:val="007A7E16"/>
    <w:rsid w:val="007B4F81"/>
    <w:rsid w:val="007C00A1"/>
    <w:rsid w:val="007C0CD5"/>
    <w:rsid w:val="007C1262"/>
    <w:rsid w:val="007C2DA2"/>
    <w:rsid w:val="007D26A5"/>
    <w:rsid w:val="007D316C"/>
    <w:rsid w:val="007D4CE2"/>
    <w:rsid w:val="007D56E7"/>
    <w:rsid w:val="007E044A"/>
    <w:rsid w:val="007E0AD4"/>
    <w:rsid w:val="007E11C3"/>
    <w:rsid w:val="007E2D44"/>
    <w:rsid w:val="007E4D10"/>
    <w:rsid w:val="007E5EA8"/>
    <w:rsid w:val="007E695D"/>
    <w:rsid w:val="007E6D9D"/>
    <w:rsid w:val="007E7A55"/>
    <w:rsid w:val="007F0E69"/>
    <w:rsid w:val="007F2BB9"/>
    <w:rsid w:val="007F2E0C"/>
    <w:rsid w:val="007F2F87"/>
    <w:rsid w:val="007F3548"/>
    <w:rsid w:val="007F4628"/>
    <w:rsid w:val="007F570B"/>
    <w:rsid w:val="007F66A5"/>
    <w:rsid w:val="007F7E3C"/>
    <w:rsid w:val="007F7E90"/>
    <w:rsid w:val="00802A05"/>
    <w:rsid w:val="00802C50"/>
    <w:rsid w:val="008032F4"/>
    <w:rsid w:val="00804041"/>
    <w:rsid w:val="00806A29"/>
    <w:rsid w:val="00806B43"/>
    <w:rsid w:val="00810EC9"/>
    <w:rsid w:val="00810F4A"/>
    <w:rsid w:val="00815899"/>
    <w:rsid w:val="00815AD6"/>
    <w:rsid w:val="00820731"/>
    <w:rsid w:val="0082095C"/>
    <w:rsid w:val="00820A2B"/>
    <w:rsid w:val="0082209E"/>
    <w:rsid w:val="0082243C"/>
    <w:rsid w:val="00825888"/>
    <w:rsid w:val="00826D1A"/>
    <w:rsid w:val="00827B63"/>
    <w:rsid w:val="00830E88"/>
    <w:rsid w:val="00834AB8"/>
    <w:rsid w:val="00834EAB"/>
    <w:rsid w:val="00835DAF"/>
    <w:rsid w:val="00836A0E"/>
    <w:rsid w:val="00837395"/>
    <w:rsid w:val="00837C1D"/>
    <w:rsid w:val="008403AF"/>
    <w:rsid w:val="0084046D"/>
    <w:rsid w:val="00841EFD"/>
    <w:rsid w:val="0084319C"/>
    <w:rsid w:val="008438B2"/>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10F2"/>
    <w:rsid w:val="0089255B"/>
    <w:rsid w:val="0089365F"/>
    <w:rsid w:val="0089491C"/>
    <w:rsid w:val="00895905"/>
    <w:rsid w:val="00896E1A"/>
    <w:rsid w:val="008975BC"/>
    <w:rsid w:val="00897A8D"/>
    <w:rsid w:val="008A02CD"/>
    <w:rsid w:val="008A12B9"/>
    <w:rsid w:val="008A48F1"/>
    <w:rsid w:val="008A4DF5"/>
    <w:rsid w:val="008A5473"/>
    <w:rsid w:val="008A5528"/>
    <w:rsid w:val="008A67BB"/>
    <w:rsid w:val="008A686D"/>
    <w:rsid w:val="008A6F08"/>
    <w:rsid w:val="008B0D19"/>
    <w:rsid w:val="008B2080"/>
    <w:rsid w:val="008B22EC"/>
    <w:rsid w:val="008B3415"/>
    <w:rsid w:val="008B381D"/>
    <w:rsid w:val="008B389E"/>
    <w:rsid w:val="008B4029"/>
    <w:rsid w:val="008B440C"/>
    <w:rsid w:val="008B4E59"/>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46B6"/>
    <w:rsid w:val="008D5D1E"/>
    <w:rsid w:val="008D691B"/>
    <w:rsid w:val="008D7B8D"/>
    <w:rsid w:val="008D7BFD"/>
    <w:rsid w:val="008D7DB8"/>
    <w:rsid w:val="008E0C6C"/>
    <w:rsid w:val="008E24CC"/>
    <w:rsid w:val="008E325E"/>
    <w:rsid w:val="008E4DCD"/>
    <w:rsid w:val="008E4E12"/>
    <w:rsid w:val="008E5EEB"/>
    <w:rsid w:val="008E68DF"/>
    <w:rsid w:val="008E6DB6"/>
    <w:rsid w:val="008E727C"/>
    <w:rsid w:val="008E7574"/>
    <w:rsid w:val="008F013C"/>
    <w:rsid w:val="008F0419"/>
    <w:rsid w:val="008F0A2C"/>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814"/>
    <w:rsid w:val="00903A1F"/>
    <w:rsid w:val="00907CAC"/>
    <w:rsid w:val="009100D3"/>
    <w:rsid w:val="00910B2B"/>
    <w:rsid w:val="00911E47"/>
    <w:rsid w:val="0091462F"/>
    <w:rsid w:val="00914997"/>
    <w:rsid w:val="0091521D"/>
    <w:rsid w:val="00916860"/>
    <w:rsid w:val="0091790F"/>
    <w:rsid w:val="00917F6A"/>
    <w:rsid w:val="009206D4"/>
    <w:rsid w:val="00920EE9"/>
    <w:rsid w:val="00921726"/>
    <w:rsid w:val="00922586"/>
    <w:rsid w:val="0092371C"/>
    <w:rsid w:val="009269E6"/>
    <w:rsid w:val="00927167"/>
    <w:rsid w:val="00927FCE"/>
    <w:rsid w:val="00931E26"/>
    <w:rsid w:val="00935373"/>
    <w:rsid w:val="0093669A"/>
    <w:rsid w:val="00937903"/>
    <w:rsid w:val="0094000F"/>
    <w:rsid w:val="00940355"/>
    <w:rsid w:val="0094065F"/>
    <w:rsid w:val="009423E0"/>
    <w:rsid w:val="00943A9C"/>
    <w:rsid w:val="00943E28"/>
    <w:rsid w:val="009458F6"/>
    <w:rsid w:val="00946B22"/>
    <w:rsid w:val="00951427"/>
    <w:rsid w:val="0095379A"/>
    <w:rsid w:val="0095383E"/>
    <w:rsid w:val="009566F8"/>
    <w:rsid w:val="0095696D"/>
    <w:rsid w:val="00956E1A"/>
    <w:rsid w:val="00957CAE"/>
    <w:rsid w:val="00957D49"/>
    <w:rsid w:val="009609FC"/>
    <w:rsid w:val="009621B3"/>
    <w:rsid w:val="00962B3F"/>
    <w:rsid w:val="0096525B"/>
    <w:rsid w:val="00965995"/>
    <w:rsid w:val="00965D90"/>
    <w:rsid w:val="00972154"/>
    <w:rsid w:val="00972E2B"/>
    <w:rsid w:val="0097325D"/>
    <w:rsid w:val="009736DA"/>
    <w:rsid w:val="00973A49"/>
    <w:rsid w:val="00977124"/>
    <w:rsid w:val="0098003E"/>
    <w:rsid w:val="00981648"/>
    <w:rsid w:val="009829AB"/>
    <w:rsid w:val="00982F89"/>
    <w:rsid w:val="00983425"/>
    <w:rsid w:val="00987600"/>
    <w:rsid w:val="0099068C"/>
    <w:rsid w:val="0099140C"/>
    <w:rsid w:val="009953F1"/>
    <w:rsid w:val="00997E7E"/>
    <w:rsid w:val="009A10B6"/>
    <w:rsid w:val="009A1E73"/>
    <w:rsid w:val="009A2A97"/>
    <w:rsid w:val="009A3BA4"/>
    <w:rsid w:val="009B04C0"/>
    <w:rsid w:val="009B1448"/>
    <w:rsid w:val="009B1A29"/>
    <w:rsid w:val="009B3C18"/>
    <w:rsid w:val="009B4B26"/>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E12C2"/>
    <w:rsid w:val="009E1EBC"/>
    <w:rsid w:val="009E2CFF"/>
    <w:rsid w:val="009E30F1"/>
    <w:rsid w:val="009E3527"/>
    <w:rsid w:val="009E355E"/>
    <w:rsid w:val="009E52B1"/>
    <w:rsid w:val="009E5675"/>
    <w:rsid w:val="009E591B"/>
    <w:rsid w:val="009E5E7C"/>
    <w:rsid w:val="009E70FC"/>
    <w:rsid w:val="009E7E92"/>
    <w:rsid w:val="009E7F95"/>
    <w:rsid w:val="009F0A2B"/>
    <w:rsid w:val="009F1837"/>
    <w:rsid w:val="009F1B32"/>
    <w:rsid w:val="009F30F4"/>
    <w:rsid w:val="009F3635"/>
    <w:rsid w:val="009F402D"/>
    <w:rsid w:val="009F69F2"/>
    <w:rsid w:val="00A03BD4"/>
    <w:rsid w:val="00A057F4"/>
    <w:rsid w:val="00A06BCD"/>
    <w:rsid w:val="00A10CC1"/>
    <w:rsid w:val="00A143DB"/>
    <w:rsid w:val="00A16290"/>
    <w:rsid w:val="00A176CB"/>
    <w:rsid w:val="00A23298"/>
    <w:rsid w:val="00A23936"/>
    <w:rsid w:val="00A23AFA"/>
    <w:rsid w:val="00A23B61"/>
    <w:rsid w:val="00A23D2D"/>
    <w:rsid w:val="00A25E94"/>
    <w:rsid w:val="00A30646"/>
    <w:rsid w:val="00A337E0"/>
    <w:rsid w:val="00A34594"/>
    <w:rsid w:val="00A36CC6"/>
    <w:rsid w:val="00A3706A"/>
    <w:rsid w:val="00A371E2"/>
    <w:rsid w:val="00A37484"/>
    <w:rsid w:val="00A37687"/>
    <w:rsid w:val="00A378D8"/>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015"/>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5B31"/>
    <w:rsid w:val="00AA6FC8"/>
    <w:rsid w:val="00AB295D"/>
    <w:rsid w:val="00AB308A"/>
    <w:rsid w:val="00AB4AA1"/>
    <w:rsid w:val="00AB4CC6"/>
    <w:rsid w:val="00AB6443"/>
    <w:rsid w:val="00AC1EC1"/>
    <w:rsid w:val="00AC28A3"/>
    <w:rsid w:val="00AC2936"/>
    <w:rsid w:val="00AC556C"/>
    <w:rsid w:val="00AC7ABC"/>
    <w:rsid w:val="00AC7BC1"/>
    <w:rsid w:val="00AD27E1"/>
    <w:rsid w:val="00AD786B"/>
    <w:rsid w:val="00AD7C15"/>
    <w:rsid w:val="00AD7EE5"/>
    <w:rsid w:val="00AE0761"/>
    <w:rsid w:val="00AE0F1D"/>
    <w:rsid w:val="00AE1044"/>
    <w:rsid w:val="00AE1279"/>
    <w:rsid w:val="00AE15FB"/>
    <w:rsid w:val="00AE31DF"/>
    <w:rsid w:val="00AE363C"/>
    <w:rsid w:val="00AE4E10"/>
    <w:rsid w:val="00AE688F"/>
    <w:rsid w:val="00AF01C5"/>
    <w:rsid w:val="00AF128A"/>
    <w:rsid w:val="00AF2872"/>
    <w:rsid w:val="00AF3FD4"/>
    <w:rsid w:val="00AF68B8"/>
    <w:rsid w:val="00AF71D4"/>
    <w:rsid w:val="00AF7362"/>
    <w:rsid w:val="00AF7CFE"/>
    <w:rsid w:val="00AF7FFC"/>
    <w:rsid w:val="00B00320"/>
    <w:rsid w:val="00B01720"/>
    <w:rsid w:val="00B036EB"/>
    <w:rsid w:val="00B03B33"/>
    <w:rsid w:val="00B04F33"/>
    <w:rsid w:val="00B057C9"/>
    <w:rsid w:val="00B05B37"/>
    <w:rsid w:val="00B05D7C"/>
    <w:rsid w:val="00B060A4"/>
    <w:rsid w:val="00B063A1"/>
    <w:rsid w:val="00B067D9"/>
    <w:rsid w:val="00B073AD"/>
    <w:rsid w:val="00B07625"/>
    <w:rsid w:val="00B07B22"/>
    <w:rsid w:val="00B07DBC"/>
    <w:rsid w:val="00B11124"/>
    <w:rsid w:val="00B11712"/>
    <w:rsid w:val="00B13676"/>
    <w:rsid w:val="00B14C30"/>
    <w:rsid w:val="00B16D8B"/>
    <w:rsid w:val="00B174B6"/>
    <w:rsid w:val="00B2018C"/>
    <w:rsid w:val="00B209F2"/>
    <w:rsid w:val="00B20C52"/>
    <w:rsid w:val="00B2231E"/>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A7"/>
    <w:rsid w:val="00B56210"/>
    <w:rsid w:val="00B56A38"/>
    <w:rsid w:val="00B6181B"/>
    <w:rsid w:val="00B61C39"/>
    <w:rsid w:val="00B62C3C"/>
    <w:rsid w:val="00B6313F"/>
    <w:rsid w:val="00B634D3"/>
    <w:rsid w:val="00B6486B"/>
    <w:rsid w:val="00B64E3E"/>
    <w:rsid w:val="00B65644"/>
    <w:rsid w:val="00B667E3"/>
    <w:rsid w:val="00B72F3A"/>
    <w:rsid w:val="00B73997"/>
    <w:rsid w:val="00B7507D"/>
    <w:rsid w:val="00B81CF8"/>
    <w:rsid w:val="00B81DEA"/>
    <w:rsid w:val="00B82310"/>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7E17"/>
    <w:rsid w:val="00BA06AA"/>
    <w:rsid w:val="00BA0D74"/>
    <w:rsid w:val="00BA12DE"/>
    <w:rsid w:val="00BA1609"/>
    <w:rsid w:val="00BA215A"/>
    <w:rsid w:val="00BA26EC"/>
    <w:rsid w:val="00BA44A3"/>
    <w:rsid w:val="00BA4671"/>
    <w:rsid w:val="00BA6D38"/>
    <w:rsid w:val="00BB05EA"/>
    <w:rsid w:val="00BB0988"/>
    <w:rsid w:val="00BB19F9"/>
    <w:rsid w:val="00BB249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D7B23"/>
    <w:rsid w:val="00BE0134"/>
    <w:rsid w:val="00BE1E8D"/>
    <w:rsid w:val="00BE1F56"/>
    <w:rsid w:val="00BE5A7D"/>
    <w:rsid w:val="00BE6150"/>
    <w:rsid w:val="00BE7779"/>
    <w:rsid w:val="00BF0485"/>
    <w:rsid w:val="00BF0E86"/>
    <w:rsid w:val="00BF1F98"/>
    <w:rsid w:val="00BF2B71"/>
    <w:rsid w:val="00BF478F"/>
    <w:rsid w:val="00BF49CF"/>
    <w:rsid w:val="00BF5F35"/>
    <w:rsid w:val="00BF7955"/>
    <w:rsid w:val="00C0017E"/>
    <w:rsid w:val="00C030A3"/>
    <w:rsid w:val="00C03402"/>
    <w:rsid w:val="00C0534E"/>
    <w:rsid w:val="00C05EFE"/>
    <w:rsid w:val="00C0662E"/>
    <w:rsid w:val="00C06778"/>
    <w:rsid w:val="00C06CCC"/>
    <w:rsid w:val="00C125A5"/>
    <w:rsid w:val="00C13D86"/>
    <w:rsid w:val="00C14195"/>
    <w:rsid w:val="00C14B0E"/>
    <w:rsid w:val="00C15635"/>
    <w:rsid w:val="00C15F01"/>
    <w:rsid w:val="00C1777C"/>
    <w:rsid w:val="00C2299D"/>
    <w:rsid w:val="00C237F7"/>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B81"/>
    <w:rsid w:val="00C44F7F"/>
    <w:rsid w:val="00C459F0"/>
    <w:rsid w:val="00C507E2"/>
    <w:rsid w:val="00C5332F"/>
    <w:rsid w:val="00C541EC"/>
    <w:rsid w:val="00C611CC"/>
    <w:rsid w:val="00C61F22"/>
    <w:rsid w:val="00C62071"/>
    <w:rsid w:val="00C62860"/>
    <w:rsid w:val="00C62E41"/>
    <w:rsid w:val="00C65C9A"/>
    <w:rsid w:val="00C6620E"/>
    <w:rsid w:val="00C66C62"/>
    <w:rsid w:val="00C70515"/>
    <w:rsid w:val="00C72BA7"/>
    <w:rsid w:val="00C73292"/>
    <w:rsid w:val="00C75B7B"/>
    <w:rsid w:val="00C77470"/>
    <w:rsid w:val="00C8148C"/>
    <w:rsid w:val="00C81F9E"/>
    <w:rsid w:val="00C827E3"/>
    <w:rsid w:val="00C82C44"/>
    <w:rsid w:val="00C83254"/>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829"/>
    <w:rsid w:val="00CA5875"/>
    <w:rsid w:val="00CA5C67"/>
    <w:rsid w:val="00CA68E9"/>
    <w:rsid w:val="00CA697A"/>
    <w:rsid w:val="00CA69DB"/>
    <w:rsid w:val="00CB44ED"/>
    <w:rsid w:val="00CB4F64"/>
    <w:rsid w:val="00CB72D1"/>
    <w:rsid w:val="00CC0BB7"/>
    <w:rsid w:val="00CC14A8"/>
    <w:rsid w:val="00CC2468"/>
    <w:rsid w:val="00CC24A6"/>
    <w:rsid w:val="00CC33B6"/>
    <w:rsid w:val="00CC390B"/>
    <w:rsid w:val="00CC3C4B"/>
    <w:rsid w:val="00CC41A4"/>
    <w:rsid w:val="00CC4C02"/>
    <w:rsid w:val="00CC6A35"/>
    <w:rsid w:val="00CD0748"/>
    <w:rsid w:val="00CD09C4"/>
    <w:rsid w:val="00CD09D6"/>
    <w:rsid w:val="00CD5D74"/>
    <w:rsid w:val="00CD5FAD"/>
    <w:rsid w:val="00CD6321"/>
    <w:rsid w:val="00CD7337"/>
    <w:rsid w:val="00CE34F1"/>
    <w:rsid w:val="00CE3CA7"/>
    <w:rsid w:val="00CE4B4E"/>
    <w:rsid w:val="00CE530D"/>
    <w:rsid w:val="00CF2A48"/>
    <w:rsid w:val="00CF30DF"/>
    <w:rsid w:val="00CF3503"/>
    <w:rsid w:val="00CF383F"/>
    <w:rsid w:val="00CF3F93"/>
    <w:rsid w:val="00CF4DAB"/>
    <w:rsid w:val="00CF5C0F"/>
    <w:rsid w:val="00CF6B25"/>
    <w:rsid w:val="00CF6D1F"/>
    <w:rsid w:val="00CF75F7"/>
    <w:rsid w:val="00CF7DC9"/>
    <w:rsid w:val="00D00524"/>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4546"/>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32A8"/>
    <w:rsid w:val="00D542EB"/>
    <w:rsid w:val="00D549AB"/>
    <w:rsid w:val="00D60457"/>
    <w:rsid w:val="00D61558"/>
    <w:rsid w:val="00D622B0"/>
    <w:rsid w:val="00D62979"/>
    <w:rsid w:val="00D636F9"/>
    <w:rsid w:val="00D6394B"/>
    <w:rsid w:val="00D63A5F"/>
    <w:rsid w:val="00D65131"/>
    <w:rsid w:val="00D65FBC"/>
    <w:rsid w:val="00D66908"/>
    <w:rsid w:val="00D677CD"/>
    <w:rsid w:val="00D6785F"/>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0C81"/>
    <w:rsid w:val="00D96360"/>
    <w:rsid w:val="00D97785"/>
    <w:rsid w:val="00DA30D4"/>
    <w:rsid w:val="00DA4699"/>
    <w:rsid w:val="00DA47C1"/>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414B"/>
    <w:rsid w:val="00DE534A"/>
    <w:rsid w:val="00DE5C87"/>
    <w:rsid w:val="00DE6093"/>
    <w:rsid w:val="00DE7C50"/>
    <w:rsid w:val="00DE7FA3"/>
    <w:rsid w:val="00DF053D"/>
    <w:rsid w:val="00DF0C70"/>
    <w:rsid w:val="00DF357C"/>
    <w:rsid w:val="00DF3D52"/>
    <w:rsid w:val="00DF47FC"/>
    <w:rsid w:val="00E0008F"/>
    <w:rsid w:val="00E003FE"/>
    <w:rsid w:val="00E01C75"/>
    <w:rsid w:val="00E025B2"/>
    <w:rsid w:val="00E025DD"/>
    <w:rsid w:val="00E03314"/>
    <w:rsid w:val="00E0434F"/>
    <w:rsid w:val="00E050DA"/>
    <w:rsid w:val="00E06563"/>
    <w:rsid w:val="00E07C4D"/>
    <w:rsid w:val="00E1000E"/>
    <w:rsid w:val="00E10EC3"/>
    <w:rsid w:val="00E110FF"/>
    <w:rsid w:val="00E12364"/>
    <w:rsid w:val="00E13C70"/>
    <w:rsid w:val="00E14CEA"/>
    <w:rsid w:val="00E16C53"/>
    <w:rsid w:val="00E1725D"/>
    <w:rsid w:val="00E20B87"/>
    <w:rsid w:val="00E23EEA"/>
    <w:rsid w:val="00E255E5"/>
    <w:rsid w:val="00E27A4A"/>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49DC"/>
    <w:rsid w:val="00E55037"/>
    <w:rsid w:val="00E555F5"/>
    <w:rsid w:val="00E57DF8"/>
    <w:rsid w:val="00E6186A"/>
    <w:rsid w:val="00E627B3"/>
    <w:rsid w:val="00E62D02"/>
    <w:rsid w:val="00E64642"/>
    <w:rsid w:val="00E660C8"/>
    <w:rsid w:val="00E66F6C"/>
    <w:rsid w:val="00E670BB"/>
    <w:rsid w:val="00E67AD5"/>
    <w:rsid w:val="00E72601"/>
    <w:rsid w:val="00E72EA8"/>
    <w:rsid w:val="00E73166"/>
    <w:rsid w:val="00E73297"/>
    <w:rsid w:val="00E73D87"/>
    <w:rsid w:val="00E73FA1"/>
    <w:rsid w:val="00E740FF"/>
    <w:rsid w:val="00E74854"/>
    <w:rsid w:val="00E75108"/>
    <w:rsid w:val="00E77469"/>
    <w:rsid w:val="00E86498"/>
    <w:rsid w:val="00E90D2C"/>
    <w:rsid w:val="00E9115F"/>
    <w:rsid w:val="00E91CD8"/>
    <w:rsid w:val="00E92C79"/>
    <w:rsid w:val="00E9358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B7372"/>
    <w:rsid w:val="00EC00C3"/>
    <w:rsid w:val="00EC0515"/>
    <w:rsid w:val="00EC0F22"/>
    <w:rsid w:val="00EC141C"/>
    <w:rsid w:val="00EC2A2D"/>
    <w:rsid w:val="00EC4514"/>
    <w:rsid w:val="00EC5BBE"/>
    <w:rsid w:val="00EC6F46"/>
    <w:rsid w:val="00EC789A"/>
    <w:rsid w:val="00ED001F"/>
    <w:rsid w:val="00ED0068"/>
    <w:rsid w:val="00ED14BD"/>
    <w:rsid w:val="00ED25C5"/>
    <w:rsid w:val="00ED25CA"/>
    <w:rsid w:val="00ED342F"/>
    <w:rsid w:val="00ED3E30"/>
    <w:rsid w:val="00ED489F"/>
    <w:rsid w:val="00ED5D11"/>
    <w:rsid w:val="00ED6F69"/>
    <w:rsid w:val="00ED73A8"/>
    <w:rsid w:val="00ED7E77"/>
    <w:rsid w:val="00EE0CB0"/>
    <w:rsid w:val="00EE1728"/>
    <w:rsid w:val="00EE1CCA"/>
    <w:rsid w:val="00EE2E91"/>
    <w:rsid w:val="00EF018C"/>
    <w:rsid w:val="00EF2481"/>
    <w:rsid w:val="00EF2F92"/>
    <w:rsid w:val="00EF38CB"/>
    <w:rsid w:val="00EF4259"/>
    <w:rsid w:val="00EF6899"/>
    <w:rsid w:val="00EF7C48"/>
    <w:rsid w:val="00F04AEB"/>
    <w:rsid w:val="00F06286"/>
    <w:rsid w:val="00F0668E"/>
    <w:rsid w:val="00F0796A"/>
    <w:rsid w:val="00F1083A"/>
    <w:rsid w:val="00F12C05"/>
    <w:rsid w:val="00F13036"/>
    <w:rsid w:val="00F13156"/>
    <w:rsid w:val="00F1462E"/>
    <w:rsid w:val="00F14D79"/>
    <w:rsid w:val="00F154E5"/>
    <w:rsid w:val="00F15AE7"/>
    <w:rsid w:val="00F20AFD"/>
    <w:rsid w:val="00F23766"/>
    <w:rsid w:val="00F257E4"/>
    <w:rsid w:val="00F257FC"/>
    <w:rsid w:val="00F25885"/>
    <w:rsid w:val="00F26D6D"/>
    <w:rsid w:val="00F308C8"/>
    <w:rsid w:val="00F315B4"/>
    <w:rsid w:val="00F33278"/>
    <w:rsid w:val="00F4099B"/>
    <w:rsid w:val="00F424F0"/>
    <w:rsid w:val="00F4712C"/>
    <w:rsid w:val="00F50F11"/>
    <w:rsid w:val="00F52C7B"/>
    <w:rsid w:val="00F532B8"/>
    <w:rsid w:val="00F53F91"/>
    <w:rsid w:val="00F54262"/>
    <w:rsid w:val="00F61DBD"/>
    <w:rsid w:val="00F620E3"/>
    <w:rsid w:val="00F627AF"/>
    <w:rsid w:val="00F66CBF"/>
    <w:rsid w:val="00F6741B"/>
    <w:rsid w:val="00F70713"/>
    <w:rsid w:val="00F707DD"/>
    <w:rsid w:val="00F71DA7"/>
    <w:rsid w:val="00F72020"/>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5C07"/>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08AC"/>
    <w:rsid w:val="00FC1E0A"/>
    <w:rsid w:val="00FC2697"/>
    <w:rsid w:val="00FC305D"/>
    <w:rsid w:val="00FC3B0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93B"/>
    <w:rsid w:val="00FE5B4E"/>
    <w:rsid w:val="00FE6FF3"/>
    <w:rsid w:val="00FF2536"/>
    <w:rsid w:val="00FF2FFC"/>
    <w:rsid w:val="00FF48C3"/>
    <w:rsid w:val="00FF5058"/>
    <w:rsid w:val="00FF61B3"/>
    <w:rsid w:val="00FF78A8"/>
    <w:rsid w:val="00FF78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C3F46"/>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2">
    <w:name w:val="Grid Table 4 Accent 2"/>
    <w:basedOn w:val="a1"/>
    <w:uiPriority w:val="49"/>
    <w:rsid w:val="005A3E74"/>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41">
    <w:name w:val="بلا قائمة4"/>
    <w:next w:val="a2"/>
    <w:uiPriority w:val="99"/>
    <w:semiHidden/>
    <w:unhideWhenUsed/>
    <w:rsid w:val="0039762B"/>
  </w:style>
  <w:style w:type="table" w:customStyle="1" w:styleId="4-63">
    <w:name w:val="جدول شبكة 4 - تمييز 63"/>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52">
    <w:name w:val="بلا قائمة5"/>
    <w:next w:val="a2"/>
    <w:uiPriority w:val="99"/>
    <w:semiHidden/>
    <w:unhideWhenUsed/>
    <w:rsid w:val="0039762B"/>
  </w:style>
  <w:style w:type="table" w:customStyle="1" w:styleId="4-64">
    <w:name w:val="جدول شبكة 4 - تمييز 64"/>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60">
    <w:name w:val="بلا قائمة6"/>
    <w:next w:val="a2"/>
    <w:uiPriority w:val="99"/>
    <w:semiHidden/>
    <w:unhideWhenUsed/>
    <w:rsid w:val="0039762B"/>
  </w:style>
  <w:style w:type="table" w:customStyle="1" w:styleId="4-65">
    <w:name w:val="جدول شبكة 4 - تمييز 65"/>
    <w:basedOn w:val="a1"/>
    <w:next w:val="4-6"/>
    <w:uiPriority w:val="49"/>
    <w:rsid w:val="0039762B"/>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70">
    <w:name w:val="بلا قائمة7"/>
    <w:next w:val="a2"/>
    <w:uiPriority w:val="99"/>
    <w:semiHidden/>
    <w:unhideWhenUsed/>
    <w:rsid w:val="005303A7"/>
  </w:style>
  <w:style w:type="table" w:customStyle="1" w:styleId="4-66">
    <w:name w:val="جدول شبكة 4 - تمييز 66"/>
    <w:basedOn w:val="a1"/>
    <w:next w:val="4-6"/>
    <w:uiPriority w:val="49"/>
    <w:rsid w:val="005303A7"/>
    <w:pPr>
      <w:bidi/>
      <w:spacing w:after="0" w:line="240" w:lineRule="auto"/>
      <w:ind w:firstLine="397"/>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4-3">
    <w:name w:val="Grid Table 4 Accent 3"/>
    <w:basedOn w:val="a1"/>
    <w:uiPriority w:val="49"/>
    <w:rsid w:val="00370DC5"/>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numbering" w:customStyle="1" w:styleId="80">
    <w:name w:val="بلا قائمة8"/>
    <w:next w:val="a2"/>
    <w:uiPriority w:val="99"/>
    <w:semiHidden/>
    <w:unhideWhenUsed/>
    <w:rsid w:val="00FE6FF3"/>
  </w:style>
  <w:style w:type="numbering" w:customStyle="1" w:styleId="90">
    <w:name w:val="بلا قائمة9"/>
    <w:next w:val="a2"/>
    <w:uiPriority w:val="99"/>
    <w:semiHidden/>
    <w:unhideWhenUsed/>
    <w:rsid w:val="003E6FB0"/>
  </w:style>
  <w:style w:type="numbering" w:customStyle="1" w:styleId="100">
    <w:name w:val="بلا قائمة10"/>
    <w:next w:val="a2"/>
    <w:uiPriority w:val="99"/>
    <w:semiHidden/>
    <w:unhideWhenUsed/>
    <w:rsid w:val="002903CD"/>
  </w:style>
  <w:style w:type="numbering" w:customStyle="1" w:styleId="120">
    <w:name w:val="بلا قائمة12"/>
    <w:next w:val="a2"/>
    <w:uiPriority w:val="99"/>
    <w:semiHidden/>
    <w:unhideWhenUsed/>
    <w:rsid w:val="002903CD"/>
  </w:style>
  <w:style w:type="numbering" w:customStyle="1" w:styleId="130">
    <w:name w:val="بلا قائمة13"/>
    <w:next w:val="a2"/>
    <w:uiPriority w:val="99"/>
    <w:semiHidden/>
    <w:unhideWhenUsed/>
    <w:rsid w:val="0040687F"/>
  </w:style>
  <w:style w:type="numbering" w:customStyle="1" w:styleId="140">
    <w:name w:val="بلا قائمة14"/>
    <w:next w:val="a2"/>
    <w:uiPriority w:val="99"/>
    <w:semiHidden/>
    <w:unhideWhenUsed/>
    <w:rsid w:val="0040687F"/>
  </w:style>
  <w:style w:type="table" w:styleId="4-5">
    <w:name w:val="Grid Table 4 Accent 5"/>
    <w:basedOn w:val="a1"/>
    <w:uiPriority w:val="49"/>
    <w:rsid w:val="002D6106"/>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150">
    <w:name w:val="بلا قائمة15"/>
    <w:next w:val="a2"/>
    <w:uiPriority w:val="99"/>
    <w:semiHidden/>
    <w:unhideWhenUsed/>
    <w:rsid w:val="00BB2499"/>
  </w:style>
  <w:style w:type="numbering" w:customStyle="1" w:styleId="160">
    <w:name w:val="بلا قائمة16"/>
    <w:next w:val="a2"/>
    <w:uiPriority w:val="99"/>
    <w:semiHidden/>
    <w:unhideWhenUsed/>
    <w:rsid w:val="007E5EA8"/>
  </w:style>
  <w:style w:type="numbering" w:customStyle="1" w:styleId="170">
    <w:name w:val="بلا قائمة17"/>
    <w:next w:val="a2"/>
    <w:uiPriority w:val="99"/>
    <w:semiHidden/>
    <w:unhideWhenUsed/>
    <w:rsid w:val="007E5EA8"/>
  </w:style>
  <w:style w:type="numbering" w:customStyle="1" w:styleId="180">
    <w:name w:val="بلا قائمة18"/>
    <w:next w:val="a2"/>
    <w:uiPriority w:val="99"/>
    <w:semiHidden/>
    <w:unhideWhenUsed/>
    <w:rsid w:val="007E5EA8"/>
  </w:style>
  <w:style w:type="numbering" w:customStyle="1" w:styleId="190">
    <w:name w:val="بلا قائمة19"/>
    <w:next w:val="a2"/>
    <w:uiPriority w:val="99"/>
    <w:semiHidden/>
    <w:unhideWhenUsed/>
    <w:rsid w:val="003C4E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7138</Words>
  <Characters>40693</Characters>
  <Application>Microsoft Office Word</Application>
  <DocSecurity>0</DocSecurity>
  <Lines>339</Lines>
  <Paragraphs>95</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47736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N M</cp:lastModifiedBy>
  <cp:revision>2</cp:revision>
  <cp:lastPrinted>2025-11-11T21:20:00Z</cp:lastPrinted>
  <dcterms:created xsi:type="dcterms:W3CDTF">2026-03-08T20:05:00Z</dcterms:created>
  <dcterms:modified xsi:type="dcterms:W3CDTF">2026-03-08T20:05:00Z</dcterms:modified>
</cp:coreProperties>
</file>