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9D6749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ميدأوشن </w:t>
      </w:r>
    </w:p>
    <w:p w14:paraId="1E957002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6945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   </w:t>
      </w: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كلية الإدارة </w:t>
      </w:r>
    </w:p>
    <w:p w14:paraId="0217C513">
      <w:pPr>
        <w:wordWrap w:val="0"/>
        <w:rPr>
          <w:rFonts w:hint="default" w:ascii="Sakkal Majalla" w:hAnsi="Sakkal Majalla" w:cs="Sakkal Majalla"/>
          <w:sz w:val="28"/>
          <w:szCs w:val="28"/>
          <w:rtl/>
          <w:lang w:val="en-US" w:bidi="ar-SA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قسم / تخصص</w:t>
      </w:r>
      <w:r>
        <w:rPr>
          <w:rFonts w:hint="cs" w:ascii="Sakkal Majalla" w:hAnsi="Sakkal Majalla" w:cs="Sakkal Majalla"/>
          <w:b/>
          <w:bCs/>
          <w:sz w:val="28"/>
          <w:szCs w:val="28"/>
          <w:rtl/>
          <w:lang w:val="en-US" w:bidi="ar-SA"/>
        </w:rPr>
        <w:t xml:space="preserve"> ماجستير ادارة المشاريع</w:t>
      </w:r>
    </w:p>
    <w:p w14:paraId="11A91486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A7BF367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5F6542BF">
      <w:pPr>
        <w:rPr>
          <w:rFonts w:ascii="Sakkal Majalla" w:hAnsi="Sakkal Majalla" w:cs="Sakkal Majalla"/>
          <w:sz w:val="28"/>
          <w:szCs w:val="28"/>
          <w:rtl/>
          <w:lang w:bidi="ar-EG"/>
        </w:rPr>
      </w:pPr>
      <w:bookmarkStart w:id="0" w:name="_GoBack"/>
      <w:bookmarkEnd w:id="0"/>
    </w:p>
    <w:p w14:paraId="08401F4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hint="cs" w:ascii="Sakkal Majalla" w:hAnsi="Sakkal Majalla" w:cs="Sakkal Majalla"/>
          <w:b/>
          <w:bCs/>
          <w:sz w:val="28"/>
          <w:szCs w:val="28"/>
          <w:rtl/>
          <w:lang w:bidi="ar-EG"/>
        </w:rPr>
        <w:t>عنوان البحث</w:t>
      </w:r>
    </w:p>
    <w:p w14:paraId="15C28831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 xml:space="preserve">تحديات وسبل تحسين إدارة المشاريع الحكومية في المملكة العربية السعودية في ضوء رؤية </w:t>
      </w:r>
      <w:r>
        <w:rPr>
          <w:rFonts w:hint="default" w:ascii="Noto-Sans" w:hAnsi="Noto-Sans" w:eastAsia="Noto-Sans"/>
          <w:sz w:val="18"/>
          <w:szCs w:val="24"/>
        </w:rPr>
        <w:t>2030</w:t>
      </w:r>
    </w:p>
    <w:p w14:paraId="1AA4343F">
      <w:pPr>
        <w:jc w:val="center"/>
        <w:rPr>
          <w:rFonts w:hint="default" w:ascii="Arial" w:hAnsi="Arial" w:cs="Arial"/>
          <w:sz w:val="28"/>
          <w:szCs w:val="28"/>
          <w:rtl/>
          <w:lang w:bidi="ar-EG"/>
        </w:rPr>
      </w:pPr>
      <w:r>
        <w:rPr>
          <w:rFonts w:hint="default" w:ascii="Arial" w:hAnsi="Arial" w:eastAsia="SimSun" w:cs="Arial"/>
          <w:sz w:val="24"/>
          <w:szCs w:val="24"/>
          <w:lang w:val="en-US"/>
        </w:rPr>
        <w:t>C</w:t>
      </w:r>
      <w:r>
        <w:rPr>
          <w:rFonts w:hint="default" w:ascii="Arial" w:hAnsi="Arial" w:eastAsia="SimSun" w:cs="Arial"/>
          <w:sz w:val="24"/>
          <w:szCs w:val="24"/>
        </w:rPr>
        <w:t>hallenges and Improvement Strategies for Government Project Management in the Kingdom of Saudi Arabia in Light of Vision 2030</w:t>
      </w:r>
    </w:p>
    <w:p w14:paraId="3024630C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32F19A4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EB57E30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51A7E65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الطالب/</w:t>
      </w:r>
    </w:p>
    <w:p w14:paraId="76AA45C9">
      <w:pPr>
        <w:jc w:val="center"/>
        <w:rPr>
          <w:rFonts w:hint="default" w:ascii="Sakkal Majalla" w:hAnsi="Sakkal Majalla" w:cs="Sakkal Majalla"/>
          <w:b/>
          <w:bCs/>
          <w:sz w:val="28"/>
          <w:szCs w:val="28"/>
          <w:rtl/>
          <w:lang w:val="en-US" w:bidi="ar-SA"/>
        </w:rPr>
      </w:pPr>
      <w:r>
        <w:rPr>
          <w:rFonts w:hint="cs" w:ascii="Sakkal Majalla" w:hAnsi="Sakkal Majalla" w:cs="Sakkal Majalla"/>
          <w:b/>
          <w:bCs/>
          <w:sz w:val="28"/>
          <w:szCs w:val="28"/>
          <w:rtl/>
          <w:lang w:val="en-US" w:bidi="ar-SA"/>
        </w:rPr>
        <w:t>أحمد عبدالرحمن أحمد عبدالوهاب</w:t>
      </w:r>
    </w:p>
    <w:p w14:paraId="3D3CBDF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8D6152F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5F4EE2D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إشراف/</w:t>
      </w:r>
    </w:p>
    <w:p w14:paraId="2EFA31CD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hint="cs" w:ascii="Sakkal Majalla" w:hAnsi="Sakkal Majalla" w:cs="Sakkal Majalla"/>
          <w:b/>
          <w:bCs/>
          <w:sz w:val="28"/>
          <w:szCs w:val="28"/>
          <w:rtl/>
          <w:lang w:bidi="ar-EG"/>
        </w:rPr>
        <w:t>د.الفيصل عبد الحميد</w:t>
      </w:r>
    </w:p>
    <w:p w14:paraId="2459AD3C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hint="cs" w:ascii="Sakkal Majalla" w:hAnsi="Sakkal Majalla" w:cs="Sakkal Majalla"/>
          <w:b/>
          <w:bCs/>
          <w:sz w:val="28"/>
          <w:szCs w:val="28"/>
          <w:rtl/>
          <w:lang w:bidi="ar-EG"/>
        </w:rPr>
        <w:t>د.فايز جراد</w:t>
      </w:r>
    </w:p>
    <w:p w14:paraId="16CF2D6A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2738CC6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448041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0ECF42F7">
      <w:pPr>
        <w:jc w:val="center"/>
        <w:rPr>
          <w:rFonts w:hint="cs" w:ascii="Sakkal Majalla" w:hAnsi="Sakkal Majalla" w:cs="Sakkal Majalla"/>
          <w:b/>
          <w:bCs/>
          <w:sz w:val="28"/>
          <w:szCs w:val="28"/>
          <w:rtl/>
          <w:lang w:bidi="ar-SA"/>
        </w:rPr>
      </w:pPr>
      <w: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202</w:t>
      </w:r>
      <w:r>
        <w:rPr>
          <w:rFonts w:hint="cs" w:ascii="Sakkal Majalla" w:hAnsi="Sakkal Majalla" w:cs="Sakkal Majalla"/>
          <w:b/>
          <w:bCs/>
          <w:sz w:val="28"/>
          <w:szCs w:val="28"/>
          <w:rtl/>
          <w:lang w:val="en-US" w:bidi="ar-SA"/>
        </w:rPr>
        <w:t>5</w:t>
      </w:r>
    </w:p>
    <w:p w14:paraId="5DBA947E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1099ADB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35BF54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مقدمة</w:t>
      </w:r>
      <w:r>
        <w:rPr>
          <w:rFonts w:hint="cs" w:ascii="Sakkal Majalla" w:hAnsi="Sakkal Majalla" w:cs="Sakkal Majalla"/>
          <w:sz w:val="28"/>
          <w:szCs w:val="28"/>
          <w:u w:val="single"/>
          <w:rtl/>
          <w:lang w:bidi="ar-EG"/>
        </w:rPr>
        <w:t>:</w:t>
      </w:r>
    </w:p>
    <w:p w14:paraId="1D4C05FB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</w:rPr>
      </w:pPr>
      <w:r>
        <w:rPr>
          <w:rFonts w:hint="default" w:ascii="Noto-Sans" w:hAnsi="Noto-Sans" w:eastAsia="Noto-Sans"/>
          <w:sz w:val="18"/>
          <w:szCs w:val="24"/>
        </w:rPr>
        <w:t xml:space="preserve">1.1 </w:t>
      </w:r>
      <w:r>
        <w:rPr>
          <w:rFonts w:hint="default" w:ascii="Noto-Kufi-Arabic" w:hAnsi="Noto-Kufi-Arabic" w:eastAsia="Noto-Kufi-Arabic"/>
          <w:sz w:val="18"/>
          <w:szCs w:val="24"/>
          <w:rtl/>
        </w:rPr>
        <w:t>المقدمة</w:t>
      </w:r>
    </w:p>
    <w:p w14:paraId="4962200D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 xml:space="preserve">تشهد المملكة العربية السعودية طفرة نوعية في عدد وحجم المشاريع الحكومية، خصوصاً في ظل رؤية </w:t>
      </w:r>
      <w:r>
        <w:rPr>
          <w:rFonts w:hint="default" w:ascii="Noto-Sans" w:hAnsi="Noto-Sans" w:eastAsia="Noto-Sans"/>
          <w:sz w:val="18"/>
          <w:szCs w:val="24"/>
        </w:rPr>
        <w:t xml:space="preserve">2030 . </w:t>
      </w:r>
      <w:r>
        <w:rPr>
          <w:rFonts w:hint="default" w:ascii="Noto-Kufi-Arabic" w:hAnsi="Noto-Kufi-Arabic" w:eastAsia="Noto-Kufi-Arabic"/>
          <w:sz w:val="18"/>
          <w:szCs w:val="24"/>
          <w:rtl/>
        </w:rPr>
        <w:t>وقد</w:t>
      </w:r>
    </w:p>
    <w:p w14:paraId="0AAFBA7D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أصبح نجاح هذه المشاريع ضرورة استراتيجية لتحقيق أهداف التحول الوطني</w:t>
      </w:r>
      <w:r>
        <w:rPr>
          <w:rFonts w:hint="default" w:ascii="Noto-Sans" w:hAnsi="Noto-Sans" w:eastAsia="Noto-Sans"/>
          <w:sz w:val="18"/>
          <w:szCs w:val="24"/>
        </w:rPr>
        <w:t xml:space="preserve">. </w:t>
      </w:r>
      <w:r>
        <w:rPr>
          <w:rFonts w:hint="default" w:ascii="Noto-Kufi-Arabic" w:hAnsi="Noto-Kufi-Arabic" w:eastAsia="Noto-Kufi-Arabic"/>
          <w:sz w:val="18"/>
          <w:szCs w:val="24"/>
          <w:rtl/>
        </w:rPr>
        <w:t>ولكن رغم ذلك، ما زالت العديد من</w:t>
      </w:r>
    </w:p>
    <w:p w14:paraId="37503B94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المشاريع تواجه تحديات تتعلق بالتخطيط والتنفيذ والمتابعة، مما ينعكس سلباً على الكفاءة والجودة</w:t>
      </w:r>
      <w:r>
        <w:rPr>
          <w:rFonts w:hint="default" w:ascii="Noto-Sans" w:hAnsi="Noto-Sans" w:eastAsia="Noto-Sans"/>
          <w:sz w:val="18"/>
          <w:szCs w:val="24"/>
        </w:rPr>
        <w:t>.</w:t>
      </w:r>
    </w:p>
    <w:p w14:paraId="566F8142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3234021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2988B58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AE026F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F038C3F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72E512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2864C56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98C613A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C1C64B8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5518394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DECBC8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ABC59EC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B3A24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651A95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786C00A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A92C998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2188FCF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E50C7BC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C67E72C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0A6166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مشكلة الدراسة</w:t>
      </w:r>
      <w:r>
        <w:rPr>
          <w:rFonts w:hint="cs" w:ascii="Sakkal Majalla" w:hAnsi="Sakkal Majalla" w:cs="Sakkal Majalla"/>
          <w:sz w:val="28"/>
          <w:szCs w:val="28"/>
          <w:u w:val="single"/>
          <w:rtl/>
          <w:lang w:bidi="ar-EG"/>
        </w:rPr>
        <w:t>:</w:t>
      </w:r>
    </w:p>
    <w:p w14:paraId="3A504109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1E365A5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رغم الموارد الكبيرة والجهود الحكومية الحثيثة، فإن عدداً من المشاريع الحكومية يعاني من تأخيرات في التسليم وتجاوز</w:t>
      </w:r>
    </w:p>
    <w:p w14:paraId="1119876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في التكاليف</w:t>
      </w:r>
      <w:r>
        <w:rPr>
          <w:rFonts w:hint="default" w:ascii="Noto-Sans" w:hAnsi="Noto-Sans" w:eastAsia="Noto-Sans"/>
          <w:sz w:val="18"/>
          <w:szCs w:val="24"/>
        </w:rPr>
        <w:t xml:space="preserve">. </w:t>
      </w:r>
      <w:r>
        <w:rPr>
          <w:rFonts w:hint="default" w:ascii="Noto-Kufi-Arabic" w:hAnsi="Noto-Kufi-Arabic" w:eastAsia="Noto-Kufi-Arabic"/>
          <w:sz w:val="18"/>
          <w:szCs w:val="24"/>
          <w:rtl/>
        </w:rPr>
        <w:t>وهذا يطرح تساؤلات عن مدى فاعلية منظومة إدارة المشاريع في الجهات الحكومية</w:t>
      </w:r>
      <w:r>
        <w:rPr>
          <w:rFonts w:hint="default" w:ascii="Noto-Sans" w:hAnsi="Noto-Sans" w:eastAsia="Noto-Sans"/>
          <w:sz w:val="18"/>
          <w:szCs w:val="24"/>
        </w:rPr>
        <w:t>.</w:t>
      </w:r>
    </w:p>
    <w:p w14:paraId="791EDD8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766B80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33F1E451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F91F690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677847E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48A704F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F17A848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1119DED5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425DF0C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3D741CB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46CA4733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62B97315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DCE72CA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BF7CB48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37F004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0F502D17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1D0EABD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743603E1">
      <w:pPr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5F02BB6D">
      <w:pPr>
        <w:jc w:val="both"/>
        <w:rPr>
          <w:rFonts w:ascii="Sakkal Majalla" w:hAnsi="Sakkal Majalla" w:cs="Sakkal Majalla"/>
          <w:sz w:val="28"/>
          <w:szCs w:val="28"/>
          <w:u w:val="single"/>
          <w:rtl/>
          <w:lang w:bidi="ar-EG"/>
        </w:rPr>
      </w:pPr>
    </w:p>
    <w:p w14:paraId="231E38BB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أهمية الدراس</w:t>
      </w:r>
      <w:r>
        <w:rPr>
          <w:rFonts w:hint="cs" w:ascii="Sakkal Majalla" w:hAnsi="Sakkal Majalla" w:cs="Sakkal Majalla"/>
          <w:b/>
          <w:bCs/>
          <w:sz w:val="28"/>
          <w:szCs w:val="28"/>
          <w:u w:val="single"/>
          <w:rtl/>
        </w:rPr>
        <w:t>ة:</w:t>
      </w:r>
    </w:p>
    <w:p w14:paraId="2EA6585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F0EEBF">
      <w:pPr>
        <w:spacing w:beforeLines="0" w:afterLines="0"/>
        <w:jc w:val="left"/>
        <w:rPr>
          <w:rFonts w:hint="default" w:ascii="Noto-Sans" w:hAnsi="Noto-Sans" w:eastAsia="Noto-Sans"/>
          <w:sz w:val="18"/>
          <w:szCs w:val="24"/>
        </w:rPr>
      </w:pPr>
      <w:r>
        <w:rPr>
          <w:rFonts w:hint="default" w:ascii="Noto-Kufi-Arabic-Bold" w:hAnsi="Noto-Kufi-Arabic-Bold" w:eastAsia="Noto-Kufi-Arabic-Bold"/>
          <w:b/>
          <w:sz w:val="18"/>
          <w:szCs w:val="24"/>
          <w:rtl/>
        </w:rPr>
        <w:t>نظرية</w:t>
      </w:r>
      <w:r>
        <w:rPr>
          <w:rFonts w:hint="default" w:ascii="Noto-Sans-Bold" w:hAnsi="Noto-Sans-Bold" w:eastAsia="Noto-Sans-Bold"/>
          <w:b/>
          <w:sz w:val="18"/>
          <w:szCs w:val="24"/>
        </w:rPr>
        <w:t xml:space="preserve">: </w:t>
      </w:r>
      <w:r>
        <w:rPr>
          <w:rFonts w:hint="default" w:ascii="Noto-Kufi-Arabic" w:hAnsi="Noto-Kufi-Arabic" w:eastAsia="Noto-Kufi-Arabic"/>
          <w:sz w:val="18"/>
          <w:szCs w:val="24"/>
          <w:rtl/>
        </w:rPr>
        <w:t>ترفد المكتبة العلمية بأدبيات جديدة في إدارة المشاريع الحكومية</w:t>
      </w:r>
      <w:r>
        <w:rPr>
          <w:rFonts w:hint="default" w:ascii="Noto-Sans" w:hAnsi="Noto-Sans" w:eastAsia="Noto-Sans"/>
          <w:sz w:val="18"/>
          <w:szCs w:val="24"/>
        </w:rPr>
        <w:t>.</w:t>
      </w:r>
    </w:p>
    <w:p w14:paraId="7F3B8E80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hint="default" w:ascii="Noto-Kufi-Arabic-Bold" w:hAnsi="Noto-Kufi-Arabic-Bold" w:eastAsia="Noto-Kufi-Arabic-Bold"/>
          <w:b/>
          <w:sz w:val="18"/>
          <w:szCs w:val="24"/>
          <w:rtl/>
        </w:rPr>
        <w:t>عملية</w:t>
      </w:r>
      <w:r>
        <w:rPr>
          <w:rFonts w:hint="default" w:ascii="Noto-Sans-Bold" w:hAnsi="Noto-Sans-Bold" w:eastAsia="Noto-Sans-Bold"/>
          <w:b/>
          <w:sz w:val="18"/>
          <w:szCs w:val="24"/>
        </w:rPr>
        <w:t xml:space="preserve">: </w:t>
      </w:r>
      <w:r>
        <w:rPr>
          <w:rFonts w:hint="default" w:ascii="Noto-Kufi-Arabic" w:hAnsi="Noto-Kufi-Arabic" w:eastAsia="Noto-Kufi-Arabic"/>
          <w:sz w:val="18"/>
          <w:szCs w:val="24"/>
          <w:rtl/>
        </w:rPr>
        <w:t>تساهم في تحسين أداء الجهات الحكومية التنفيذية</w:t>
      </w:r>
      <w:r>
        <w:rPr>
          <w:rFonts w:hint="default" w:ascii="Noto-Sans" w:hAnsi="Noto-Sans" w:eastAsia="Noto-Sans"/>
          <w:sz w:val="18"/>
          <w:szCs w:val="24"/>
        </w:rPr>
        <w:t>.</w:t>
      </w:r>
    </w:p>
    <w:p w14:paraId="0BA1269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6F6AB5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08B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1EDDBD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4C8510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30F942A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D55667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B94491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806C64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CDDAA2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83D52F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0D10D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55C69CF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A7F6A4A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10023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798A7F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BCBC3A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3BD92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E64C7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8BDBFC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BDF63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F2CF6D3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ascii="Sakkal Majalla" w:hAnsi="Sakkal Majalla" w:cs="Sakkal Majalla"/>
          <w:b/>
          <w:bCs/>
          <w:sz w:val="28"/>
          <w:szCs w:val="28"/>
          <w:u w:val="single"/>
          <w:rtl/>
        </w:rPr>
        <w:t>أهداف الدراسة</w:t>
      </w:r>
      <w:r>
        <w:rPr>
          <w:rFonts w:hint="cs" w:ascii="Sakkal Majalla" w:hAnsi="Sakkal Majalla" w:cs="Sakkal Majalla"/>
          <w:sz w:val="28"/>
          <w:szCs w:val="28"/>
          <w:u w:val="single"/>
          <w:rtl/>
        </w:rPr>
        <w:t>:</w:t>
      </w:r>
    </w:p>
    <w:p w14:paraId="2DA5E78B">
      <w:pPr>
        <w:spacing w:beforeLines="0" w:afterLines="0"/>
        <w:jc w:val="left"/>
        <w:rPr>
          <w:rFonts w:hint="default" w:ascii="Noto-Sans" w:hAnsi="Noto-Sans" w:eastAsia="Noto-Sans"/>
          <w:sz w:val="18"/>
          <w:szCs w:val="24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التعرف على التحديات التي تواجه إدارة المشاريع الحكومية</w:t>
      </w:r>
      <w:r>
        <w:rPr>
          <w:rFonts w:hint="default" w:ascii="Noto-Sans" w:hAnsi="Noto-Sans" w:eastAsia="Noto-Sans"/>
          <w:sz w:val="18"/>
          <w:szCs w:val="24"/>
        </w:rPr>
        <w:t>.</w:t>
      </w:r>
    </w:p>
    <w:p w14:paraId="18B0B9FB">
      <w:pPr>
        <w:spacing w:beforeLines="0" w:afterLines="0"/>
        <w:jc w:val="left"/>
        <w:rPr>
          <w:rFonts w:hint="default" w:ascii="Noto-Sans" w:hAnsi="Noto-Sans" w:eastAsia="Noto-Sans"/>
          <w:sz w:val="18"/>
          <w:szCs w:val="24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تحليل فعالية أدوات وأساليب الإدارة المستخدمة حالياً</w:t>
      </w:r>
      <w:r>
        <w:rPr>
          <w:rFonts w:hint="default" w:ascii="Noto-Sans" w:hAnsi="Noto-Sans" w:eastAsia="Noto-Sans"/>
          <w:sz w:val="18"/>
          <w:szCs w:val="24"/>
        </w:rPr>
        <w:t>.</w:t>
      </w:r>
    </w:p>
    <w:p w14:paraId="22668A9B">
      <w:pPr>
        <w:spacing w:beforeLines="0" w:afterLines="0"/>
        <w:jc w:val="left"/>
        <w:rPr>
          <w:rFonts w:hint="default" w:ascii="Noto-Sans" w:hAnsi="Noto-Sans" w:eastAsia="Noto-Sans"/>
          <w:sz w:val="18"/>
          <w:szCs w:val="24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 xml:space="preserve">تقييم دور رؤية </w:t>
      </w:r>
      <w:r>
        <w:rPr>
          <w:rFonts w:hint="default" w:ascii="Noto-Sans" w:hAnsi="Noto-Sans" w:eastAsia="Noto-Sans"/>
          <w:sz w:val="18"/>
          <w:szCs w:val="24"/>
        </w:rPr>
        <w:t xml:space="preserve">2030 </w:t>
      </w:r>
      <w:r>
        <w:rPr>
          <w:rFonts w:hint="default" w:ascii="Noto-Kufi-Arabic" w:hAnsi="Noto-Kufi-Arabic" w:eastAsia="Noto-Kufi-Arabic"/>
          <w:sz w:val="18"/>
          <w:szCs w:val="24"/>
          <w:rtl/>
        </w:rPr>
        <w:t>في تحسين إدارة المشاريع</w:t>
      </w:r>
      <w:r>
        <w:rPr>
          <w:rFonts w:hint="default" w:ascii="Noto-Sans" w:hAnsi="Noto-Sans" w:eastAsia="Noto-Sans"/>
          <w:sz w:val="18"/>
          <w:szCs w:val="24"/>
        </w:rPr>
        <w:t>.</w:t>
      </w:r>
    </w:p>
    <w:p w14:paraId="7D9A480F">
      <w:pPr>
        <w:rPr>
          <w:rFonts w:ascii="Sakkal Majalla" w:hAnsi="Sakkal Majalla" w:cs="Sakkal Majalla"/>
          <w:sz w:val="28"/>
          <w:szCs w:val="28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اقتراح حلول وتوصيات عملية قابلة للتطبيق</w:t>
      </w:r>
      <w:r>
        <w:rPr>
          <w:rFonts w:hint="default" w:ascii="Noto-Sans" w:hAnsi="Noto-Sans" w:eastAsia="Noto-Sans"/>
          <w:sz w:val="18"/>
          <w:szCs w:val="24"/>
        </w:rPr>
        <w:t>.</w:t>
      </w:r>
    </w:p>
    <w:p w14:paraId="6E1B1D05">
      <w:pPr>
        <w:rPr>
          <w:rFonts w:ascii="Sakkal Majalla" w:hAnsi="Sakkal Majalla" w:cs="Sakkal Majalla"/>
          <w:sz w:val="28"/>
          <w:szCs w:val="28"/>
          <w:rtl/>
        </w:rPr>
      </w:pPr>
    </w:p>
    <w:p w14:paraId="11061B9C">
      <w:pPr>
        <w:rPr>
          <w:rFonts w:ascii="Sakkal Majalla" w:hAnsi="Sakkal Majalla" w:cs="Sakkal Majalla"/>
          <w:sz w:val="28"/>
          <w:szCs w:val="28"/>
          <w:rtl/>
        </w:rPr>
      </w:pPr>
    </w:p>
    <w:p w14:paraId="55D4A681">
      <w:pPr>
        <w:rPr>
          <w:rFonts w:ascii="Sakkal Majalla" w:hAnsi="Sakkal Majalla" w:cs="Sakkal Majalla"/>
          <w:sz w:val="28"/>
          <w:szCs w:val="28"/>
          <w:rtl/>
        </w:rPr>
      </w:pPr>
    </w:p>
    <w:p w14:paraId="7911387B">
      <w:pPr>
        <w:rPr>
          <w:rFonts w:ascii="Sakkal Majalla" w:hAnsi="Sakkal Majalla" w:cs="Sakkal Majalla"/>
          <w:sz w:val="28"/>
          <w:szCs w:val="28"/>
          <w:rtl/>
        </w:rPr>
      </w:pPr>
    </w:p>
    <w:p w14:paraId="2DC4D909">
      <w:pPr>
        <w:rPr>
          <w:rFonts w:ascii="Sakkal Majalla" w:hAnsi="Sakkal Majalla" w:cs="Sakkal Majalla"/>
          <w:sz w:val="28"/>
          <w:szCs w:val="28"/>
          <w:rtl/>
        </w:rPr>
      </w:pPr>
    </w:p>
    <w:p w14:paraId="35978B75">
      <w:pPr>
        <w:rPr>
          <w:rFonts w:ascii="Sakkal Majalla" w:hAnsi="Sakkal Majalla" w:cs="Sakkal Majalla"/>
          <w:sz w:val="28"/>
          <w:szCs w:val="28"/>
          <w:rtl/>
        </w:rPr>
      </w:pPr>
    </w:p>
    <w:p w14:paraId="206214A1">
      <w:pPr>
        <w:rPr>
          <w:rFonts w:ascii="Sakkal Majalla" w:hAnsi="Sakkal Majalla" w:cs="Sakkal Majalla"/>
          <w:sz w:val="28"/>
          <w:szCs w:val="28"/>
          <w:rtl/>
        </w:rPr>
      </w:pPr>
    </w:p>
    <w:p w14:paraId="321A1FDA">
      <w:pPr>
        <w:rPr>
          <w:rFonts w:ascii="Sakkal Majalla" w:hAnsi="Sakkal Majalla" w:cs="Sakkal Majalla"/>
          <w:sz w:val="28"/>
          <w:szCs w:val="28"/>
          <w:rtl/>
        </w:rPr>
      </w:pPr>
    </w:p>
    <w:p w14:paraId="785F851E">
      <w:pPr>
        <w:rPr>
          <w:rFonts w:ascii="Sakkal Majalla" w:hAnsi="Sakkal Majalla" w:cs="Sakkal Majalla"/>
          <w:sz w:val="28"/>
          <w:szCs w:val="28"/>
          <w:rtl/>
        </w:rPr>
      </w:pPr>
    </w:p>
    <w:p w14:paraId="4A8D9D2D">
      <w:pPr>
        <w:rPr>
          <w:rFonts w:ascii="Sakkal Majalla" w:hAnsi="Sakkal Majalla" w:cs="Sakkal Majalla"/>
          <w:sz w:val="28"/>
          <w:szCs w:val="28"/>
          <w:rtl/>
        </w:rPr>
      </w:pPr>
    </w:p>
    <w:p w14:paraId="1556C388">
      <w:pPr>
        <w:rPr>
          <w:rFonts w:ascii="Sakkal Majalla" w:hAnsi="Sakkal Majalla" w:cs="Sakkal Majalla"/>
          <w:sz w:val="28"/>
          <w:szCs w:val="28"/>
          <w:rtl/>
        </w:rPr>
      </w:pPr>
    </w:p>
    <w:p w14:paraId="2CAE1E5A">
      <w:pPr>
        <w:rPr>
          <w:rFonts w:ascii="Sakkal Majalla" w:hAnsi="Sakkal Majalla" w:cs="Sakkal Majalla"/>
          <w:sz w:val="28"/>
          <w:szCs w:val="28"/>
          <w:rtl/>
        </w:rPr>
      </w:pPr>
    </w:p>
    <w:p w14:paraId="5B8F30C4">
      <w:pPr>
        <w:rPr>
          <w:rFonts w:ascii="Sakkal Majalla" w:hAnsi="Sakkal Majalla" w:cs="Sakkal Majalla"/>
          <w:sz w:val="28"/>
          <w:szCs w:val="28"/>
          <w:rtl/>
        </w:rPr>
      </w:pPr>
    </w:p>
    <w:p w14:paraId="27927E5A">
      <w:pPr>
        <w:rPr>
          <w:rFonts w:ascii="Sakkal Majalla" w:hAnsi="Sakkal Majalla" w:cs="Sakkal Majalla"/>
          <w:sz w:val="28"/>
          <w:szCs w:val="28"/>
          <w:rtl/>
        </w:rPr>
      </w:pPr>
    </w:p>
    <w:p w14:paraId="13F80E2F">
      <w:pPr>
        <w:rPr>
          <w:rFonts w:ascii="Sakkal Majalla" w:hAnsi="Sakkal Majalla" w:cs="Sakkal Majalla"/>
          <w:sz w:val="28"/>
          <w:szCs w:val="28"/>
          <w:rtl/>
        </w:rPr>
      </w:pPr>
    </w:p>
    <w:p w14:paraId="209B2268">
      <w:pPr>
        <w:rPr>
          <w:rFonts w:ascii="Sakkal Majalla" w:hAnsi="Sakkal Majalla" w:cs="Sakkal Majalla"/>
          <w:sz w:val="28"/>
          <w:szCs w:val="28"/>
          <w:rtl/>
        </w:rPr>
      </w:pPr>
    </w:p>
    <w:p w14:paraId="2A42A84F">
      <w:pPr>
        <w:rPr>
          <w:rFonts w:ascii="Sakkal Majalla" w:hAnsi="Sakkal Majalla" w:cs="Sakkal Majalla"/>
          <w:sz w:val="28"/>
          <w:szCs w:val="28"/>
          <w:rtl/>
        </w:rPr>
      </w:pPr>
    </w:p>
    <w:p w14:paraId="5877E4BC">
      <w:pPr>
        <w:rPr>
          <w:rFonts w:ascii="Sakkal Majalla" w:hAnsi="Sakkal Majalla" w:cs="Sakkal Majalla"/>
          <w:sz w:val="28"/>
          <w:szCs w:val="28"/>
          <w:rtl/>
        </w:rPr>
      </w:pPr>
    </w:p>
    <w:p w14:paraId="432A0A13">
      <w:pPr>
        <w:jc w:val="both"/>
        <w:rPr>
          <w:rFonts w:ascii="Sakkal Majalla" w:hAnsi="Sakkal Majalla" w:cs="Sakkal Majalla"/>
          <w:sz w:val="28"/>
          <w:szCs w:val="28"/>
          <w:rtl/>
        </w:rPr>
      </w:pPr>
    </w:p>
    <w:p w14:paraId="36F619BF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  <w:rtl/>
        </w:rPr>
        <w:t>تساؤلات الدراسة</w:t>
      </w:r>
    </w:p>
    <w:p w14:paraId="1CA35D1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63E155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ما التحديات الرئيسية في إدارة المشاريع الحكومية بالسعودية؟</w:t>
      </w:r>
    </w:p>
    <w:p w14:paraId="35F8BBAB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 xml:space="preserve">ما دور رؤية </w:t>
      </w:r>
      <w:r>
        <w:rPr>
          <w:rFonts w:hint="default" w:ascii="Noto-Sans" w:hAnsi="Noto-Sans" w:eastAsia="Noto-Sans"/>
          <w:sz w:val="18"/>
          <w:szCs w:val="24"/>
        </w:rPr>
        <w:t xml:space="preserve">2030 </w:t>
      </w:r>
      <w:r>
        <w:rPr>
          <w:rFonts w:hint="default" w:ascii="Noto-Kufi-Arabic" w:hAnsi="Noto-Kufi-Arabic" w:eastAsia="Noto-Kufi-Arabic"/>
          <w:sz w:val="18"/>
          <w:szCs w:val="24"/>
          <w:rtl/>
        </w:rPr>
        <w:t>في تحسين كفاءة التنفيذ؟</w:t>
      </w:r>
    </w:p>
    <w:p w14:paraId="4BB549C1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</w:rPr>
        <w:t>كيف يمكن للجهات الحكومية تحسين إدارة مشاريعها؟</w:t>
      </w:r>
    </w:p>
    <w:p w14:paraId="6E4CC7FD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68EEC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CBEC56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78D9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23999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92E50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D8CA09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75EEB1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C72AAA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EED2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5D744A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57FDEA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70EA0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EAB3B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85FDB2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94F1F6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F52B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B8CF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3ED198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BB6A3B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B196F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6B19CA7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hint="cs" w:ascii="Sakkal Majalla" w:hAnsi="Sakkal Majalla" w:cs="Sakkal Majalla"/>
          <w:sz w:val="28"/>
          <w:szCs w:val="28"/>
          <w:u w:val="single"/>
          <w:rtl/>
        </w:rPr>
        <w:t>فروض الدراسة:</w:t>
      </w:r>
    </w:p>
    <w:p w14:paraId="0105A6D8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0CB22ED7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 w:val="0"/>
        </w:rPr>
        <w:t>·</w:t>
      </w:r>
      <w:r>
        <w:rPr>
          <w:rFonts w:hint="eastAsia" w:ascii="Noto-Kufi-Arabic" w:hAnsi="Noto-Kufi-Arabic" w:eastAsia="Noto-Kufi-Arabic"/>
          <w:sz w:val="18"/>
          <w:szCs w:val="24"/>
          <w:rtl/>
        </w:rPr>
        <w:t xml:space="preserve">  </w:t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يوجد تأثير معنوي للتحديات الإدارية على كفاءة تنفيذ المشاريع الحكومية في السعودية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</w:p>
    <w:p w14:paraId="616E4409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 w:val="0"/>
        </w:rPr>
        <w:t>·</w:t>
      </w:r>
      <w:r>
        <w:rPr>
          <w:rFonts w:hint="eastAsia" w:ascii="Noto-Kufi-Arabic" w:hAnsi="Noto-Kufi-Arabic" w:eastAsia="Noto-Kufi-Arabic"/>
          <w:sz w:val="18"/>
          <w:szCs w:val="24"/>
          <w:rtl/>
        </w:rPr>
        <w:t xml:space="preserve">    </w:t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تؤثر جودة التخطيط المسبق بشكل مباشر على مستوى إنجاز المشاريع الحكومية ضمن الجداول الزمنية المحددة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</w:p>
    <w:p w14:paraId="1E461B41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 w:val="0"/>
        </w:rPr>
        <w:t>·</w:t>
      </w:r>
      <w:r>
        <w:rPr>
          <w:rFonts w:hint="eastAsia" w:ascii="Noto-Kufi-Arabic" w:hAnsi="Noto-Kufi-Arabic" w:eastAsia="Noto-Kufi-Arabic"/>
          <w:sz w:val="18"/>
          <w:szCs w:val="24"/>
          <w:rtl/>
        </w:rPr>
        <w:t xml:space="preserve">  </w:t>
      </w:r>
      <w:r>
        <w:rPr>
          <w:rFonts w:hint="default" w:ascii="Noto-Kufi-Arabic" w:hAnsi="Noto-Kufi-Arabic" w:eastAsia="Noto-Kufi-Arabic"/>
          <w:sz w:val="18"/>
          <w:szCs w:val="24"/>
          <w:rtl w:val="0"/>
        </w:rPr>
        <w:t>·</w:t>
      </w:r>
      <w:r>
        <w:rPr>
          <w:rFonts w:hint="eastAsia" w:ascii="Noto-Kufi-Arabic" w:hAnsi="Noto-Kufi-Arabic" w:eastAsia="Noto-Kufi-Arabic"/>
          <w:sz w:val="18"/>
          <w:szCs w:val="24"/>
          <w:rtl/>
        </w:rPr>
        <w:t xml:space="preserve"> </w:t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 xml:space="preserve">وجود مكتب إدارة مشاريع 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 xml:space="preserve">(PMO) </w:t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في الجهة الحكومية يقلل من نسبة تأخير المشاريع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</w:p>
    <w:p w14:paraId="67F369BD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 w:val="0"/>
        </w:rPr>
        <w:t>·</w:t>
      </w:r>
      <w:r>
        <w:rPr>
          <w:rFonts w:hint="eastAsia" w:ascii="Noto-Kufi-Arabic" w:hAnsi="Noto-Kufi-Arabic" w:eastAsia="Noto-Kufi-Arabic"/>
          <w:sz w:val="18"/>
          <w:szCs w:val="24"/>
          <w:rtl/>
        </w:rPr>
        <w:t xml:space="preserve">    </w:t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تؤدي قلة تدريب الكوادر البشرية في إدارة المشاريع إلى ضعف الأداء التنفيذي للمشاريع الحكومية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</w:p>
    <w:p w14:paraId="3C123D51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 w:val="0"/>
        </w:rPr>
        <w:t>·</w:t>
      </w:r>
      <w:r>
        <w:rPr>
          <w:rFonts w:hint="eastAsia" w:ascii="Noto-Kufi-Arabic" w:hAnsi="Noto-Kufi-Arabic" w:eastAsia="Noto-Kufi-Arabic"/>
          <w:sz w:val="18"/>
          <w:szCs w:val="24"/>
          <w:rtl/>
        </w:rPr>
        <w:t xml:space="preserve">    </w:t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 xml:space="preserve">تساهم برامج ومبادرات رؤية 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 xml:space="preserve">2030 </w:t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في تحسين فعالية إدارة المشاريع الحكومية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</w:p>
    <w:p w14:paraId="7BB23400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58758CB4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2A8BA8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37A823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379A582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7E5B78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2EA7A0D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8891FAF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44D066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61712E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7552C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0A553A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DC7A80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FEF5C5D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CECDD2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FC8D97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6D397BE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  <w:rtl/>
        </w:rPr>
        <w:t>الدراسات السابقة</w:t>
      </w:r>
      <w:r>
        <w:rPr>
          <w:rFonts w:hint="cs" w:ascii="Sakkal Majalla" w:hAnsi="Sakkal Majalla" w:cs="Sakkal Majalla"/>
          <w:sz w:val="28"/>
          <w:szCs w:val="28"/>
          <w:u w:val="single"/>
          <w:rtl/>
        </w:rPr>
        <w:t>:</w:t>
      </w:r>
    </w:p>
    <w:p w14:paraId="4A57A9C9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1EC44CB8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1. دراسة هيئة الزكاة والضريبة والجمارك (2023):</w:t>
      </w:r>
    </w:p>
    <w:p w14:paraId="3F8B42DA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تناولت أثر ممارسات إدارة المخاطر الاستراتيجية على نجاح التطوير التنظيمي، وأظهرت أن تحسين آليات إدارة المخاطر يرفع من كفاءة تنفيذ المشاريع الحكومية.</w:t>
      </w:r>
    </w:p>
    <w:p w14:paraId="1BAC7854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الاستفادة: تعزز أهمية وجود إطار واضح لإدارة المخاطر في المشاريع الحكومية.</w:t>
      </w:r>
    </w:p>
    <w:p w14:paraId="4FA92F14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3BDC1B17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2. دراسة وزارة النقل السعودية (2021):</w:t>
      </w:r>
    </w:p>
    <w:p w14:paraId="49DC42E7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حللت أسباب تأخر تنفيذ مشاريع البنية التحتية، وربطت ذلك بضعف التخطيط المسبق وتعدد الجهات التنفيذية وضعف التنسيق.</w:t>
      </w:r>
    </w:p>
    <w:p w14:paraId="3DF81D7F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الاستفادة: تؤكد على أن تعدد الجهات دون وجود تنسيق مركزي يعيق تنفيذ المشاريع بكفاءة.</w:t>
      </w:r>
    </w:p>
    <w:p w14:paraId="47355F0C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29230A07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 xml:space="preserve">3. دراسة دولية </w:t>
      </w:r>
      <w:r>
        <w:rPr>
          <w:rFonts w:hint="default" w:ascii="Arial" w:hAnsi="Arial" w:eastAsia="Noto-Kufi-Arabic" w:cs="Arial"/>
          <w:sz w:val="18"/>
          <w:szCs w:val="24"/>
          <w:rtl w:val="0"/>
          <w:cs w:val="0"/>
        </w:rPr>
        <w:t>–</w:t>
      </w:r>
      <w:r>
        <w:rPr>
          <w:rFonts w:hint="default" w:ascii="Arial" w:hAnsi="Arial" w:eastAsia="Noto-Kufi-Arabic" w:cs="Arial"/>
          <w:sz w:val="18"/>
          <w:szCs w:val="24"/>
          <w:rtl/>
          <w:cs/>
        </w:rPr>
        <w:t xml:space="preserve"> الإمارات العربية المتحدة (2019):</w:t>
      </w:r>
    </w:p>
    <w:p w14:paraId="1E5E55CF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 xml:space="preserve">تناولت نجاح الإمارات في تطوير نظام إلكتروني شامل لمتابعة المشاريع الحكومية (نظام </w:t>
      </w:r>
      <w:r>
        <w:rPr>
          <w:rFonts w:hint="default" w:ascii="Arial" w:hAnsi="Arial" w:eastAsia="Noto-Kufi-Arabic" w:cs="Arial"/>
          <w:sz w:val="18"/>
          <w:szCs w:val="24"/>
          <w:rtl w:val="0"/>
          <w:cs w:val="0"/>
        </w:rPr>
        <w:t>“</w:t>
      </w:r>
      <w:r>
        <w:rPr>
          <w:rFonts w:hint="default" w:ascii="Arial" w:hAnsi="Arial" w:eastAsia="Noto-Kufi-Arabic" w:cs="Arial"/>
          <w:sz w:val="18"/>
          <w:szCs w:val="24"/>
          <w:rtl/>
          <w:cs/>
        </w:rPr>
        <w:t>تِمسير</w:t>
      </w:r>
      <w:r>
        <w:rPr>
          <w:rFonts w:hint="default" w:ascii="Arial" w:hAnsi="Arial" w:eastAsia="Noto-Kufi-Arabic" w:cs="Arial"/>
          <w:sz w:val="18"/>
          <w:szCs w:val="24"/>
          <w:rtl w:val="0"/>
          <w:cs w:val="0"/>
        </w:rPr>
        <w:t>”</w:t>
      </w:r>
      <w:r>
        <w:rPr>
          <w:rFonts w:hint="default" w:ascii="Arial" w:hAnsi="Arial" w:eastAsia="Noto-Kufi-Arabic" w:cs="Arial"/>
          <w:sz w:val="18"/>
          <w:szCs w:val="24"/>
          <w:rtl/>
          <w:cs/>
        </w:rPr>
        <w:t>)، وسلطت الضوء على دور التحول الرقمي في تقليل الهدر وتحسين الأداء.</w:t>
      </w:r>
    </w:p>
    <w:p w14:paraId="6CE1D3F9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الاستفادة: تظهر أهمية الاعتماد على أدوات رقمية لإدارة ومراقبة أداء المشاريع.</w:t>
      </w:r>
    </w:p>
    <w:p w14:paraId="4E4134C7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75A208E9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 xml:space="preserve">4. دراسة أكاديمية </w:t>
      </w:r>
      <w:r>
        <w:rPr>
          <w:rFonts w:hint="default" w:ascii="Arial" w:hAnsi="Arial" w:eastAsia="Noto-Kufi-Arabic" w:cs="Arial"/>
          <w:sz w:val="18"/>
          <w:szCs w:val="24"/>
          <w:rtl w:val="0"/>
          <w:cs w:val="0"/>
        </w:rPr>
        <w:t>–</w:t>
      </w:r>
      <w:r>
        <w:rPr>
          <w:rFonts w:hint="default" w:ascii="Arial" w:hAnsi="Arial" w:eastAsia="Noto-Kufi-Arabic" w:cs="Arial"/>
          <w:sz w:val="18"/>
          <w:szCs w:val="24"/>
          <w:rtl/>
          <w:cs/>
        </w:rPr>
        <w:t xml:space="preserve"> جامعة الملك سعود (2020):</w:t>
      </w:r>
    </w:p>
    <w:p w14:paraId="55832C1D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ناقشت أهمية إنشاء مكاتب إدارة مشاريع PMO في الوزارات السعودية، وبيّنت أن وجود PMO يرفع كفاءة الإنجاز ويعزز الحوكمة.</w:t>
      </w:r>
    </w:p>
    <w:p w14:paraId="08613446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الاستفادة: تؤيد فرضية أن وجود هيكل تنظيمي واضح لإدارة المشاريع يؤدي إلى تحسين الأداء العام.</w:t>
      </w:r>
    </w:p>
    <w:p w14:paraId="7508CB51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2FDAE727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5. دراسة مقارنة بين السعودية وسنغافورة (2022):</w:t>
      </w:r>
    </w:p>
    <w:p w14:paraId="5C70EE9D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قارنت بين التجربتين في تنفيذ المشاريع الحكومية، وخلصت إلى أن اعتماد نظم تقييم الأداء وشفافية التقارير لهما أثر كبير في تقليل التأخيرات وتحقيق الأهداف.</w:t>
      </w:r>
    </w:p>
    <w:p w14:paraId="06D9A21E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  <w:r>
        <w:rPr>
          <w:rFonts w:hint="default" w:ascii="Arial" w:hAnsi="Arial" w:eastAsia="Noto-Kufi-Arabic" w:cs="Arial"/>
          <w:sz w:val="18"/>
          <w:szCs w:val="24"/>
          <w:rtl/>
          <w:cs/>
        </w:rPr>
        <w:t>الاستفادة: تدعم التوصية بربط الميزانيات بتحقيق مؤشرات أداء واضحة.</w:t>
      </w:r>
    </w:p>
    <w:p w14:paraId="688E5890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6D5E0CE7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4AA2B5C1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72EE59F0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58FBB198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7FDB1F7D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735915DB">
      <w:pPr>
        <w:spacing w:beforeLines="0" w:afterLines="0"/>
        <w:jc w:val="left"/>
        <w:rPr>
          <w:rFonts w:hint="default" w:ascii="Arial" w:hAnsi="Arial" w:eastAsia="Noto-Kufi-Arabic" w:cs="Arial"/>
          <w:sz w:val="18"/>
          <w:szCs w:val="24"/>
          <w:rtl/>
          <w:cs/>
        </w:rPr>
      </w:pPr>
    </w:p>
    <w:p w14:paraId="43C6C885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06DC03E2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753248C9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394766B2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211E7AA1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7A598A0F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54D44E6E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5BD7F0B3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78CED4CB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25C44363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16E6DF7D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710949C9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6A715873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  <w:cs/>
        </w:rPr>
      </w:pPr>
    </w:p>
    <w:p w14:paraId="1A1503D4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22734D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37CE5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F731D52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hint="cs" w:ascii="Sakkal Majalla" w:hAnsi="Sakkal Majalla" w:cs="Sakkal Majalla"/>
          <w:sz w:val="28"/>
          <w:szCs w:val="28"/>
          <w:u w:val="single"/>
          <w:rtl/>
        </w:rPr>
        <w:t>المنطلقات النظرية للدراسة:</w:t>
      </w:r>
    </w:p>
    <w:p w14:paraId="4D069D08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0AB31252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ترتكز هذه الدراسة على مجموعة من المفاهيم والنظريات في علم إدارة المشاريع، أبرزها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:</w:t>
      </w:r>
    </w:p>
    <w:p w14:paraId="3A0613F0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546EEE30">
      <w:pPr>
        <w:numPr>
          <w:ilvl w:val="0"/>
          <w:numId w:val="1"/>
        </w:numPr>
        <w:spacing w:beforeLines="0" w:afterLines="0"/>
        <w:ind w:left="420" w:leftChars="0" w:hanging="420" w:firstLineChar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 xml:space="preserve">نظرية دورة حياة المشروع 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(Project Life Cycle).</w:t>
      </w:r>
    </w:p>
    <w:p w14:paraId="7D2FC2F5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6C2FB329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183726E7">
      <w:pPr>
        <w:numPr>
          <w:ilvl w:val="0"/>
          <w:numId w:val="1"/>
        </w:numPr>
        <w:spacing w:beforeLines="0" w:afterLines="0"/>
        <w:ind w:left="420" w:leftChars="0" w:hanging="420" w:firstLineChar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 xml:space="preserve">نظرية القيود 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(Theory of Constraints).</w:t>
      </w:r>
    </w:p>
    <w:p w14:paraId="64940027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3C6AD49A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386C9E3A">
      <w:pPr>
        <w:numPr>
          <w:ilvl w:val="0"/>
          <w:numId w:val="1"/>
        </w:numPr>
        <w:spacing w:beforeLines="0" w:afterLines="0"/>
        <w:ind w:left="420" w:leftChars="0" w:hanging="420" w:firstLineChar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 xml:space="preserve">منهجيات إدارة المشاريع الحديثة مثل 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 xml:space="preserve">PMI </w:t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و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PRINCE2.</w:t>
      </w:r>
    </w:p>
    <w:p w14:paraId="083B799E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586382E4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5A2490F0">
      <w:pPr>
        <w:numPr>
          <w:ilvl w:val="0"/>
          <w:numId w:val="1"/>
        </w:numPr>
        <w:spacing w:beforeLines="0" w:afterLines="0"/>
        <w:ind w:left="420" w:leftChars="0" w:hanging="420" w:firstLineChars="0"/>
        <w:jc w:val="left"/>
        <w:rPr>
          <w:rFonts w:hint="default" w:ascii="Arial" w:hAnsi="Arial" w:cs="Arial"/>
          <w:sz w:val="18"/>
          <w:szCs w:val="18"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مبادئ الحوكمة المؤسسية في الإدارة العامة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  <w:r>
        <w:rPr>
          <w:rFonts w:hint="default" w:ascii="Noto-Kufi-Arabic" w:hAnsi="Noto-Kufi-Arabic" w:eastAsia="Noto-Kufi-Arabic"/>
          <w:sz w:val="18"/>
          <w:szCs w:val="24"/>
          <w:rtl/>
        </w:rPr>
        <w:br w:type="textWrapping"/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كما تستند الدراسة إلى توجهات رؤية</w:t>
      </w:r>
      <w:r>
        <w:rPr>
          <w:rFonts w:hint="default" w:ascii="Arial" w:hAnsi="Arial" w:cs="Arial"/>
          <w:sz w:val="18"/>
          <w:szCs w:val="18"/>
          <w:cs/>
          <w:lang w:bidi="ar-SA"/>
        </w:rPr>
        <w:t xml:space="preserve"> </w:t>
      </w:r>
      <w:r>
        <w:rPr>
          <w:rFonts w:hint="default" w:ascii="Arial" w:hAnsi="Arial" w:cs="Arial"/>
          <w:sz w:val="18"/>
          <w:szCs w:val="18"/>
          <w:cs w:val="0"/>
          <w:lang/>
        </w:rPr>
        <w:t>2030</w:t>
      </w:r>
      <w:r>
        <w:rPr>
          <w:rFonts w:hint="default" w:ascii="Arial" w:hAnsi="Arial" w:cs="Arial"/>
          <w:sz w:val="18"/>
          <w:szCs w:val="18"/>
          <w:cs/>
          <w:lang w:bidi="ar-SA"/>
        </w:rPr>
        <w:t>، التي تشدد على الفعالية والشفافية في تنفيذ المشاريع الحكومية</w:t>
      </w:r>
      <w:r>
        <w:rPr>
          <w:rFonts w:hint="default" w:ascii="Arial" w:hAnsi="Arial" w:cs="Arial"/>
          <w:sz w:val="18"/>
          <w:szCs w:val="18"/>
          <w:cs w:val="0"/>
          <w:lang/>
        </w:rPr>
        <w:t>.</w:t>
      </w:r>
    </w:p>
    <w:p w14:paraId="187D4C46">
      <w:pPr>
        <w:jc w:val="right"/>
        <w:rPr>
          <w:rFonts w:hint="default" w:ascii="Arial" w:hAnsi="Arial" w:cs="Arial"/>
          <w:sz w:val="18"/>
          <w:szCs w:val="18"/>
          <w:u w:val="single"/>
          <w:rtl/>
        </w:rPr>
      </w:pPr>
    </w:p>
    <w:p w14:paraId="129E294B">
      <w:pPr>
        <w:jc w:val="right"/>
        <w:rPr>
          <w:rFonts w:hint="default" w:ascii="Arial" w:hAnsi="Arial" w:cs="Arial"/>
          <w:sz w:val="18"/>
          <w:szCs w:val="18"/>
          <w:u w:val="single"/>
          <w:rtl/>
        </w:rPr>
      </w:pPr>
    </w:p>
    <w:p w14:paraId="7A7225ED">
      <w:pPr>
        <w:jc w:val="right"/>
        <w:rPr>
          <w:rFonts w:hint="default" w:ascii="Arial" w:hAnsi="Arial" w:cs="Arial"/>
          <w:sz w:val="18"/>
          <w:szCs w:val="18"/>
          <w:u w:val="single"/>
          <w:rtl/>
        </w:rPr>
      </w:pPr>
    </w:p>
    <w:p w14:paraId="3385599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41CDD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031B66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CD060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56C45A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BA6774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72FEC4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EA2ED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816A0CC">
      <w:pPr>
        <w:jc w:val="both"/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715580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  <w:rtl/>
        </w:rPr>
        <w:t>المنهجية وطرق البحث</w:t>
      </w:r>
      <w:r>
        <w:rPr>
          <w:rFonts w:hint="cs" w:ascii="Sakkal Majalla" w:hAnsi="Sakkal Majalla" w:cs="Sakkal Majalla"/>
          <w:sz w:val="28"/>
          <w:szCs w:val="28"/>
          <w:u w:val="single"/>
          <w:rtl/>
        </w:rPr>
        <w:t>:</w:t>
      </w:r>
    </w:p>
    <w:p w14:paraId="24319078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338F4EBC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تم استخدام المنهج الوصفي التحليلي، حيث تم الاعتماد على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:</w:t>
      </w:r>
    </w:p>
    <w:p w14:paraId="0BBD6CAA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2F70563E">
      <w:pPr>
        <w:numPr>
          <w:ilvl w:val="0"/>
          <w:numId w:val="2"/>
        </w:numPr>
        <w:spacing w:beforeLines="0" w:afterLines="0"/>
        <w:ind w:left="420" w:leftChars="0" w:hanging="420" w:firstLineChar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مراجعة الأدبيات والدراسات السابقة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</w:p>
    <w:p w14:paraId="19AE6E7C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6E1FEBFA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211DFF49">
      <w:pPr>
        <w:numPr>
          <w:ilvl w:val="0"/>
          <w:numId w:val="2"/>
        </w:numPr>
        <w:spacing w:beforeLines="0" w:afterLines="0"/>
        <w:ind w:left="420" w:leftChars="0" w:hanging="420" w:firstLineChar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تحليل وثائق وتقارير حكومية رسمية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</w:p>
    <w:p w14:paraId="69801518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3212D398">
      <w:pPr>
        <w:spacing w:beforeLines="0" w:afterLine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</w:p>
    <w:p w14:paraId="0B4D3E5D">
      <w:pPr>
        <w:numPr>
          <w:ilvl w:val="0"/>
          <w:numId w:val="2"/>
        </w:numPr>
        <w:spacing w:beforeLines="0" w:afterLines="0"/>
        <w:ind w:left="420" w:leftChars="0" w:hanging="420" w:firstLineChars="0"/>
        <w:jc w:val="left"/>
        <w:rPr>
          <w:rFonts w:hint="default" w:ascii="Noto-Kufi-Arabic" w:hAnsi="Noto-Kufi-Arabic" w:eastAsia="Noto-Kufi-Arabic"/>
          <w:sz w:val="18"/>
          <w:szCs w:val="24"/>
          <w:rtl/>
        </w:rPr>
      </w:pP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إجراء مقابلات شبه منظمة مع موظفين حكوميين في قطاعات مختلفة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  <w:r>
        <w:rPr>
          <w:rFonts w:hint="default" w:ascii="Noto-Kufi-Arabic" w:hAnsi="Noto-Kufi-Arabic" w:eastAsia="Noto-Kufi-Arabic"/>
          <w:sz w:val="18"/>
          <w:szCs w:val="24"/>
          <w:rtl/>
        </w:rPr>
        <w:br w:type="textWrapping"/>
      </w:r>
      <w:r>
        <w:rPr>
          <w:rFonts w:hint="default" w:ascii="Noto-Kufi-Arabic" w:hAnsi="Noto-Kufi-Arabic" w:eastAsia="Noto-Kufi-Arabic"/>
          <w:sz w:val="18"/>
          <w:szCs w:val="24"/>
          <w:rtl/>
          <w:cs/>
        </w:rPr>
        <w:t>وذلك بهدف فهم العوامل المؤثرة على نجاح أو فشل المشاريع الحكومية وتحليلها بعمق</w:t>
      </w:r>
      <w:r>
        <w:rPr>
          <w:rFonts w:hint="default" w:ascii="Noto-Kufi-Arabic" w:hAnsi="Noto-Kufi-Arabic" w:eastAsia="Noto-Kufi-Arabic"/>
          <w:sz w:val="18"/>
          <w:szCs w:val="24"/>
          <w:rtl/>
          <w:cs w:val="0"/>
        </w:rPr>
        <w:t>.</w:t>
      </w:r>
    </w:p>
    <w:p w14:paraId="2186856E">
      <w:pPr>
        <w:jc w:val="both"/>
        <w:rPr>
          <w:rFonts w:hint="default" w:ascii="Arial" w:hAnsi="Arial" w:cs="Arial"/>
          <w:sz w:val="18"/>
          <w:szCs w:val="18"/>
          <w:u w:val="single"/>
          <w:rtl/>
        </w:rPr>
      </w:pPr>
    </w:p>
    <w:p w14:paraId="298979F5">
      <w:pPr>
        <w:jc w:val="both"/>
        <w:rPr>
          <w:rFonts w:hint="default" w:ascii="Arial" w:hAnsi="Arial" w:cs="Arial"/>
          <w:sz w:val="18"/>
          <w:szCs w:val="18"/>
          <w:u w:val="single"/>
          <w:rtl/>
        </w:rPr>
      </w:pPr>
    </w:p>
    <w:p w14:paraId="35D9EEEC">
      <w:pPr>
        <w:jc w:val="both"/>
        <w:rPr>
          <w:rFonts w:hint="default" w:ascii="Arial" w:hAnsi="Arial" w:cs="Arial"/>
          <w:sz w:val="18"/>
          <w:szCs w:val="18"/>
          <w:u w:val="single"/>
          <w:rtl/>
        </w:rPr>
      </w:pPr>
    </w:p>
    <w:p w14:paraId="5254E3B2">
      <w:pPr>
        <w:jc w:val="both"/>
        <w:rPr>
          <w:rFonts w:hint="default" w:ascii="Sakkal Majalla" w:hAnsi="Sakkal Majalla" w:cs="Sakkal Majalla"/>
          <w:sz w:val="28"/>
          <w:szCs w:val="28"/>
          <w:u w:val="single"/>
          <w:rtl/>
          <w:lang w:val="en-US"/>
        </w:rPr>
      </w:pPr>
    </w:p>
    <w:p w14:paraId="2EDCFC4B">
      <w:pPr>
        <w:jc w:val="both"/>
        <w:rPr>
          <w:rFonts w:hint="default" w:ascii="Sakkal Majalla" w:hAnsi="Sakkal Majalla" w:cs="Sakkal Majalla"/>
          <w:sz w:val="28"/>
          <w:szCs w:val="28"/>
          <w:u w:val="single"/>
          <w:rtl/>
          <w:lang w:val="en-US"/>
        </w:rPr>
      </w:pPr>
    </w:p>
    <w:p w14:paraId="34089CD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CE9E48B">
      <w:pPr>
        <w:jc w:val="left"/>
        <w:rPr>
          <w:rFonts w:hint="default" w:ascii="Arial" w:hAnsi="Arial" w:cs="Arial"/>
          <w:sz w:val="18"/>
          <w:szCs w:val="18"/>
          <w:u w:val="single"/>
          <w:rtl/>
        </w:rPr>
      </w:pP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أدوات الدراسة </w:t>
      </w:r>
      <w:r>
        <w:rPr>
          <w:rFonts w:hint="cs" w:ascii="Sakkal Majalla" w:hAnsi="Sakkal Majalla" w:cs="Sakkal Majalla"/>
          <w:sz w:val="28"/>
          <w:szCs w:val="28"/>
          <w:u w:val="single"/>
          <w:rtl/>
        </w:rPr>
        <w:t>:</w:t>
      </w:r>
    </w:p>
    <w:p w14:paraId="01058D67">
      <w:pPr>
        <w:pStyle w:val="6"/>
        <w:keepNext w:val="0"/>
        <w:keepLines w:val="0"/>
        <w:widowControl/>
        <w:suppressLineNumbers w:val="0"/>
        <w:jc w:val="right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eastAsia="SimSun" w:cs="Arial"/>
          <w:sz w:val="18"/>
          <w:szCs w:val="18"/>
        </w:rPr>
        <w:t xml:space="preserve">  </w:t>
      </w:r>
      <w:r>
        <w:rPr>
          <w:rFonts w:hint="default" w:ascii="Arial" w:hAnsi="Arial" w:cs="Arial"/>
          <w:sz w:val="18"/>
          <w:szCs w:val="18"/>
          <w:cs/>
          <w:lang w:bidi="ar-SA"/>
        </w:rPr>
        <w:t>مقابلات شخصية مع مديري المشاريع في الجهات الحكومية</w:t>
      </w:r>
      <w:r>
        <w:rPr>
          <w:rFonts w:hint="default" w:ascii="Arial" w:hAnsi="Arial" w:cs="Arial"/>
          <w:sz w:val="18"/>
          <w:szCs w:val="18"/>
          <w:cs w:val="0"/>
          <w:lang/>
        </w:rPr>
        <w:t>.</w:t>
      </w:r>
    </w:p>
    <w:p w14:paraId="1A16BB9A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bidi/>
        <w:ind w:left="420" w:leftChars="0" w:hanging="420" w:firstLineChars="0"/>
        <w:jc w:val="left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eastAsia="SimSun" w:cs="Arial"/>
          <w:sz w:val="18"/>
          <w:szCs w:val="18"/>
        </w:rPr>
        <w:t xml:space="preserve"> </w:t>
      </w:r>
      <w:r>
        <w:rPr>
          <w:rFonts w:hint="default" w:ascii="Arial" w:hAnsi="Arial" w:cs="Arial"/>
          <w:sz w:val="18"/>
          <w:szCs w:val="18"/>
          <w:cs/>
          <w:lang w:bidi="ar-SA"/>
        </w:rPr>
        <w:t>تحليل محتوى تقارير الأداء الصادرة من الوزارات</w:t>
      </w:r>
      <w:r>
        <w:rPr>
          <w:rFonts w:hint="default" w:ascii="Arial" w:hAnsi="Arial" w:cs="Arial"/>
          <w:sz w:val="18"/>
          <w:szCs w:val="18"/>
          <w:cs w:val="0"/>
          <w:lang/>
        </w:rPr>
        <w:t>.</w:t>
      </w:r>
    </w:p>
    <w:p w14:paraId="41408AB8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bidi/>
        <w:ind w:left="420" w:leftChars="0" w:hanging="420" w:firstLineChars="0"/>
        <w:jc w:val="left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eastAsia="SimSun" w:cs="Arial"/>
          <w:sz w:val="18"/>
          <w:szCs w:val="18"/>
        </w:rPr>
        <w:t xml:space="preserve">  </w:t>
      </w:r>
      <w:r>
        <w:rPr>
          <w:rFonts w:hint="default" w:ascii="Arial" w:hAnsi="Arial" w:cs="Arial"/>
          <w:sz w:val="18"/>
          <w:szCs w:val="18"/>
          <w:cs/>
          <w:lang w:bidi="ar-SA"/>
        </w:rPr>
        <w:t>أدوات إحصائية بسيطة لتحليل الاتجاهات والأنماط</w:t>
      </w:r>
      <w:r>
        <w:rPr>
          <w:rFonts w:hint="default" w:ascii="Arial" w:hAnsi="Arial" w:cs="Arial"/>
          <w:sz w:val="18"/>
          <w:szCs w:val="18"/>
          <w:cs w:val="0"/>
          <w:lang/>
        </w:rPr>
        <w:t>.</w:t>
      </w:r>
    </w:p>
    <w:p w14:paraId="25C7E835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bidi/>
        <w:ind w:left="420" w:leftChars="0" w:hanging="420" w:firstLineChars="0"/>
        <w:jc w:val="left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eastAsia="SimSun" w:cs="Arial"/>
          <w:sz w:val="18"/>
          <w:szCs w:val="18"/>
        </w:rPr>
        <w:t xml:space="preserve">  </w:t>
      </w:r>
      <w:r>
        <w:rPr>
          <w:rFonts w:hint="default" w:ascii="Arial" w:hAnsi="Arial" w:cs="Arial"/>
          <w:sz w:val="18"/>
          <w:szCs w:val="18"/>
          <w:cs/>
          <w:lang w:bidi="ar-SA"/>
        </w:rPr>
        <w:t xml:space="preserve">قائمة مراجعة </w:t>
      </w:r>
      <w:r>
        <w:rPr>
          <w:rFonts w:hint="default" w:ascii="Arial" w:hAnsi="Arial" w:cs="Arial"/>
          <w:sz w:val="18"/>
          <w:szCs w:val="18"/>
          <w:cs w:val="0"/>
          <w:lang/>
        </w:rPr>
        <w:t xml:space="preserve">Checklist </w:t>
      </w:r>
      <w:r>
        <w:rPr>
          <w:rFonts w:hint="default" w:ascii="Arial" w:hAnsi="Arial" w:cs="Arial"/>
          <w:sz w:val="18"/>
          <w:szCs w:val="18"/>
          <w:cs/>
          <w:lang w:bidi="ar-SA"/>
        </w:rPr>
        <w:t>لتقييم جاهزية إدارة المشروع داخل الجهة الحكومية</w:t>
      </w:r>
      <w:r>
        <w:rPr>
          <w:rFonts w:hint="default" w:ascii="Arial" w:hAnsi="Arial" w:cs="Arial"/>
          <w:sz w:val="18"/>
          <w:szCs w:val="18"/>
          <w:cs w:val="0"/>
          <w:lang/>
        </w:rPr>
        <w:t>.</w:t>
      </w:r>
    </w:p>
    <w:p w14:paraId="460AE45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DB56C2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7D2D4C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2F90F3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5FF90D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7047AC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E9AD8C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86652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F92918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70F7F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52FAD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C62342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EDEB4A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BD0BDE1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43B93E9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F09F844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5998A1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0EF4751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35B429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DB241AB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45A7CB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66A5D0B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hint="cs" w:ascii="Sakkal Majalla" w:hAnsi="Sakkal Majalla" w:cs="Sakkal Majalla"/>
          <w:sz w:val="28"/>
          <w:szCs w:val="28"/>
          <w:u w:val="single"/>
          <w:rtl/>
        </w:rPr>
        <w:t>حدود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 الدراسة </w:t>
      </w:r>
      <w:r>
        <w:rPr>
          <w:rFonts w:hint="cs" w:ascii="Sakkal Majalla" w:hAnsi="Sakkal Majalla" w:cs="Sakkal Majalla"/>
          <w:sz w:val="28"/>
          <w:szCs w:val="28"/>
          <w:u w:val="single"/>
          <w:rtl/>
        </w:rPr>
        <w:t>:</w:t>
      </w:r>
    </w:p>
    <w:p w14:paraId="0D993F83">
      <w:pPr>
        <w:bidi/>
        <w:jc w:val="left"/>
        <w:rPr>
          <w:rFonts w:hint="default" w:ascii="Arial" w:hAnsi="Arial" w:cs="Arial"/>
          <w:sz w:val="28"/>
          <w:szCs w:val="28"/>
          <w:u w:val="single"/>
          <w:rtl/>
        </w:rPr>
      </w:pPr>
    </w:p>
    <w:p w14:paraId="4D1FEC28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bidi/>
        <w:ind w:left="420" w:leftChars="0" w:hanging="420" w:firstLineChars="0"/>
        <w:jc w:val="both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sz w:val="24"/>
        </w:rPr>
        <w:t xml:space="preserve">  </w:t>
      </w:r>
      <w:r>
        <w:rPr>
          <w:rStyle w:val="7"/>
          <w:rFonts w:hint="default" w:ascii="Arial" w:hAnsi="Arial" w:cs="Arial"/>
          <w:cs/>
          <w:lang w:bidi="ar-SA"/>
        </w:rPr>
        <w:t>المكانية</w:t>
      </w:r>
      <w:r>
        <w:rPr>
          <w:rStyle w:val="7"/>
          <w:rFonts w:hint="default" w:ascii="Arial" w:hAnsi="Arial" w:cs="Arial"/>
          <w:cs w:val="0"/>
          <w:lang/>
        </w:rPr>
        <w:t>:</w:t>
      </w:r>
      <w:r>
        <w:rPr>
          <w:rFonts w:hint="default" w:ascii="Arial" w:hAnsi="Arial" w:cs="Arial"/>
        </w:rPr>
        <w:t xml:space="preserve"> </w:t>
      </w:r>
      <w:r>
        <w:rPr>
          <w:rFonts w:hint="default" w:ascii="Arial" w:hAnsi="Arial" w:cs="Arial"/>
          <w:cs/>
          <w:lang w:bidi="ar-SA"/>
        </w:rPr>
        <w:t>مشاريع حكومية في المملكة العربية السعودية</w:t>
      </w:r>
      <w:r>
        <w:rPr>
          <w:rFonts w:hint="default" w:ascii="Arial" w:hAnsi="Arial" w:cs="Arial"/>
          <w:cs w:val="0"/>
          <w:lang/>
        </w:rPr>
        <w:t>.</w:t>
      </w:r>
    </w:p>
    <w:p w14:paraId="5DFCC942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bidi/>
        <w:ind w:left="420" w:leftChars="0" w:hanging="420" w:firstLineChars="0"/>
        <w:jc w:val="left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sz w:val="24"/>
        </w:rPr>
        <w:t xml:space="preserve">  </w:t>
      </w:r>
      <w:r>
        <w:rPr>
          <w:rStyle w:val="7"/>
          <w:rFonts w:hint="default" w:ascii="Arial" w:hAnsi="Arial" w:cs="Arial"/>
          <w:cs/>
          <w:lang w:bidi="ar-SA"/>
        </w:rPr>
        <w:t>الزمانية</w:t>
      </w:r>
      <w:r>
        <w:rPr>
          <w:rStyle w:val="7"/>
          <w:rFonts w:hint="default" w:ascii="Arial" w:hAnsi="Arial" w:cs="Arial"/>
          <w:cs w:val="0"/>
          <w:lang/>
        </w:rPr>
        <w:t>:</w:t>
      </w:r>
      <w:r>
        <w:rPr>
          <w:rFonts w:hint="default" w:ascii="Arial" w:hAnsi="Arial" w:cs="Arial"/>
        </w:rPr>
        <w:t xml:space="preserve"> </w:t>
      </w:r>
      <w:r>
        <w:rPr>
          <w:rFonts w:hint="default" w:ascii="Arial" w:hAnsi="Arial" w:cs="Arial"/>
          <w:cs/>
          <w:lang w:bidi="ar-SA"/>
        </w:rPr>
        <w:t xml:space="preserve">مشاريع نُفذت في الفترة من </w:t>
      </w:r>
      <w:r>
        <w:rPr>
          <w:rFonts w:hint="default" w:ascii="Arial" w:hAnsi="Arial" w:cs="Arial"/>
          <w:cs w:val="0"/>
          <w:lang/>
        </w:rPr>
        <w:t xml:space="preserve">2016 </w:t>
      </w:r>
      <w:r>
        <w:rPr>
          <w:rFonts w:hint="default" w:ascii="Arial" w:hAnsi="Arial" w:cs="Arial"/>
          <w:cs/>
          <w:lang w:bidi="ar-SA"/>
        </w:rPr>
        <w:t xml:space="preserve">حتى </w:t>
      </w:r>
      <w:r>
        <w:rPr>
          <w:rFonts w:hint="default" w:ascii="Arial" w:hAnsi="Arial" w:cs="Arial"/>
          <w:cs w:val="0"/>
          <w:lang/>
        </w:rPr>
        <w:t>2025.</w:t>
      </w:r>
    </w:p>
    <w:p w14:paraId="3AB87A9F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bidi/>
        <w:ind w:left="420" w:leftChars="0" w:hanging="420" w:firstLineChars="0"/>
        <w:jc w:val="left"/>
        <w:rPr>
          <w:rFonts w:hint="default" w:ascii="Arial" w:hAnsi="Arial" w:cs="Arial"/>
        </w:rPr>
      </w:pPr>
      <w:r>
        <w:rPr>
          <w:rStyle w:val="7"/>
          <w:rFonts w:hint="default" w:ascii="Arial" w:hAnsi="Arial" w:cs="Arial"/>
          <w:cs/>
          <w:lang w:bidi="ar-SA"/>
        </w:rPr>
        <w:t>الموضوعية</w:t>
      </w:r>
      <w:r>
        <w:rPr>
          <w:rStyle w:val="7"/>
          <w:rFonts w:hint="default" w:ascii="Arial" w:hAnsi="Arial" w:cs="Arial"/>
          <w:cs w:val="0"/>
          <w:lang/>
        </w:rPr>
        <w:t>:</w:t>
      </w:r>
      <w:r>
        <w:rPr>
          <w:rFonts w:hint="default" w:ascii="Arial" w:hAnsi="Arial" w:cs="Arial"/>
        </w:rPr>
        <w:t xml:space="preserve"> </w:t>
      </w:r>
      <w:r>
        <w:rPr>
          <w:rFonts w:hint="default" w:ascii="Arial" w:hAnsi="Arial" w:cs="Arial"/>
          <w:cs/>
          <w:lang w:bidi="ar-SA"/>
        </w:rPr>
        <w:t xml:space="preserve">الدراسة تركز فقط على التحديات الإدارية والتنظيمية والفنية في إدارة المشاريع الحكومية، ولا تشمل القطاع الخاص أو مشاريع الشراكة مع القطاع الخاص </w:t>
      </w:r>
      <w:r>
        <w:rPr>
          <w:rFonts w:hint="default" w:ascii="Arial" w:hAnsi="Arial" w:cs="Arial"/>
          <w:cs w:val="0"/>
          <w:lang/>
        </w:rPr>
        <w:t>(PPP).</w:t>
      </w:r>
    </w:p>
    <w:p w14:paraId="13C33B8A">
      <w:pPr>
        <w:numPr>
          <w:numId w:val="0"/>
        </w:numPr>
        <w:bidi/>
        <w:ind w:leftChars="0"/>
        <w:jc w:val="both"/>
        <w:rPr>
          <w:rFonts w:hint="default" w:ascii="Arial" w:hAnsi="Arial" w:cs="Arial"/>
          <w:sz w:val="28"/>
          <w:szCs w:val="28"/>
          <w:u w:val="single"/>
          <w:rtl/>
        </w:rPr>
      </w:pPr>
    </w:p>
    <w:p w14:paraId="1A9ED303">
      <w:pPr>
        <w:bidi/>
        <w:jc w:val="left"/>
        <w:rPr>
          <w:rFonts w:hint="default" w:ascii="Arial" w:hAnsi="Arial" w:cs="Arial"/>
          <w:sz w:val="28"/>
          <w:szCs w:val="28"/>
          <w:u w:val="single"/>
          <w:rtl/>
        </w:rPr>
      </w:pPr>
    </w:p>
    <w:p w14:paraId="7BE4D8DB">
      <w:pPr>
        <w:bidi/>
        <w:jc w:val="left"/>
        <w:rPr>
          <w:rFonts w:hint="default" w:ascii="Arial" w:hAnsi="Arial" w:cs="Arial"/>
          <w:sz w:val="28"/>
          <w:szCs w:val="28"/>
          <w:u w:val="single"/>
          <w:rtl/>
        </w:rPr>
      </w:pPr>
    </w:p>
    <w:p w14:paraId="2A2E4D4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40C11F4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106FE3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048502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5060673F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61A05640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93361F2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003B01A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6768B0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8EBDC3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8D18C4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79C3D9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4A189E2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B1C235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1955095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8037F2C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31E95254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254EC98E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734DF968">
      <w:pPr>
        <w:rPr>
          <w:rFonts w:ascii="Sakkal Majalla" w:hAnsi="Sakkal Majalla" w:cs="Sakkal Majalla"/>
          <w:sz w:val="28"/>
          <w:szCs w:val="28"/>
          <w:u w:val="single"/>
          <w:rtl/>
        </w:rPr>
      </w:pPr>
    </w:p>
    <w:p w14:paraId="4ABCF5F5">
      <w:pPr>
        <w:rPr>
          <w:rFonts w:ascii="Sakkal Majalla" w:hAnsi="Sakkal Majalla" w:cs="Sakkal Majalla"/>
          <w:sz w:val="28"/>
          <w:szCs w:val="28"/>
          <w:u w:val="single"/>
          <w:rtl/>
        </w:rPr>
      </w:pPr>
      <w:r>
        <w:rPr>
          <w:rFonts w:hint="cs" w:ascii="Sakkal Majalla" w:hAnsi="Sakkal Majalla" w:cs="Sakkal Majalla"/>
          <w:sz w:val="28"/>
          <w:szCs w:val="28"/>
          <w:u w:val="single"/>
          <w:rtl/>
        </w:rPr>
        <w:t>المراجع:</w:t>
      </w:r>
      <w:r>
        <w:rPr>
          <w:rFonts w:ascii="Sakkal Majalla" w:hAnsi="Sakkal Majalla" w:cs="Sakkal Majalla"/>
          <w:sz w:val="28"/>
          <w:szCs w:val="28"/>
          <w:u w:val="single"/>
          <w:rtl/>
        </w:rPr>
        <w:t xml:space="preserve"> </w:t>
      </w:r>
    </w:p>
    <w:p w14:paraId="3F33CE6D">
      <w:pPr>
        <w:keepNext w:val="0"/>
        <w:keepLines w:val="0"/>
        <w:widowControl/>
        <w:numPr>
          <w:numId w:val="0"/>
        </w:numPr>
        <w:suppressLineNumbers w:val="0"/>
        <w:tabs>
          <w:tab w:val="left" w:pos="720"/>
        </w:tabs>
        <w:spacing w:before="0" w:beforeAutospacing="1" w:after="0" w:afterAutospacing="1"/>
        <w:ind w:leftChars="0" w:right="0" w:rightChars="0"/>
        <w:jc w:val="both"/>
        <w:rPr>
          <w:rFonts w:hint="default" w:ascii="Arial" w:hAnsi="Arial" w:cs="Arial"/>
          <w:sz w:val="18"/>
          <w:szCs w:val="18"/>
        </w:rPr>
      </w:pPr>
    </w:p>
    <w:p w14:paraId="12AAC065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center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  <w:cs/>
          <w:lang w:bidi="ar-SA"/>
        </w:rPr>
        <w:t xml:space="preserve">هيئة كفاءة الإنفاق والمشروعات الحكومية </w:t>
      </w:r>
      <w:r>
        <w:rPr>
          <w:rFonts w:hint="default" w:ascii="Arial" w:hAnsi="Arial" w:cs="Arial"/>
          <w:sz w:val="18"/>
          <w:szCs w:val="18"/>
          <w:cs w:val="0"/>
          <w:lang/>
        </w:rPr>
        <w:t xml:space="preserve">(2023). </w:t>
      </w:r>
      <w:r>
        <w:rPr>
          <w:rFonts w:hint="default" w:ascii="Arial" w:hAnsi="Arial" w:cs="Arial"/>
          <w:sz w:val="18"/>
          <w:szCs w:val="18"/>
          <w:cs/>
          <w:lang w:bidi="ar-SA"/>
        </w:rPr>
        <w:t>تقرير أداء المشاريع الحكومية</w:t>
      </w:r>
      <w:r>
        <w:rPr>
          <w:rFonts w:hint="default" w:ascii="Arial" w:hAnsi="Arial" w:cs="Arial"/>
          <w:sz w:val="18"/>
          <w:szCs w:val="18"/>
          <w:cs w:val="0"/>
          <w:lang/>
        </w:rPr>
        <w:t>.</w:t>
      </w:r>
    </w:p>
    <w:p w14:paraId="1E557960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center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  <w:cs/>
          <w:lang w:bidi="ar-SA"/>
        </w:rPr>
        <w:t xml:space="preserve">وزارة الاقتصاد والتخطيط </w:t>
      </w:r>
      <w:r>
        <w:rPr>
          <w:rFonts w:hint="default" w:ascii="Arial" w:hAnsi="Arial" w:cs="Arial"/>
          <w:sz w:val="18"/>
          <w:szCs w:val="18"/>
          <w:cs w:val="0"/>
          <w:lang/>
        </w:rPr>
        <w:t xml:space="preserve">(2022). </w:t>
      </w:r>
      <w:r>
        <w:rPr>
          <w:rFonts w:hint="default" w:ascii="Arial" w:hAnsi="Arial" w:cs="Arial"/>
          <w:sz w:val="18"/>
          <w:szCs w:val="18"/>
          <w:cs/>
          <w:lang w:bidi="ar-SA"/>
        </w:rPr>
        <w:t>مؤشرات التحول الوطني</w:t>
      </w:r>
      <w:r>
        <w:rPr>
          <w:rFonts w:hint="default" w:ascii="Arial" w:hAnsi="Arial" w:cs="Arial"/>
          <w:sz w:val="18"/>
          <w:szCs w:val="18"/>
          <w:cs w:val="0"/>
          <w:lang/>
        </w:rPr>
        <w:t>.</w:t>
      </w:r>
    </w:p>
    <w:p w14:paraId="7226C018">
      <w:pPr>
        <w:pStyle w:val="6"/>
        <w:keepNext w:val="0"/>
        <w:keepLines w:val="0"/>
        <w:widowControl/>
        <w:numPr>
          <w:ilvl w:val="0"/>
          <w:numId w:val="2"/>
        </w:numPr>
        <w:suppressLineNumbers w:val="0"/>
        <w:ind w:left="420" w:leftChars="0" w:hanging="420" w:firstLineChars="0"/>
        <w:jc w:val="center"/>
        <w:rPr>
          <w:rFonts w:hint="default" w:ascii="Arial" w:hAnsi="Arial" w:cs="Arial"/>
          <w:sz w:val="18"/>
          <w:szCs w:val="18"/>
        </w:rPr>
      </w:pPr>
      <w:r>
        <w:rPr>
          <w:rFonts w:hint="default" w:ascii="Arial" w:hAnsi="Arial" w:cs="Arial"/>
          <w:sz w:val="18"/>
          <w:szCs w:val="18"/>
        </w:rPr>
        <w:t>Alawattegama, K. (2018). Strategic Project Management in Public Sector.</w:t>
      </w:r>
    </w:p>
    <w:p w14:paraId="6D4A3EED">
      <w:pPr>
        <w:keepNext w:val="0"/>
        <w:keepLines w:val="0"/>
        <w:widowControl/>
        <w:numPr>
          <w:ilvl w:val="-2"/>
          <w:numId w:val="3"/>
        </w:numPr>
        <w:suppressLineNumbers w:val="0"/>
        <w:tabs>
          <w:tab w:val="left" w:pos="720"/>
        </w:tabs>
        <w:spacing w:before="0" w:beforeAutospacing="1" w:after="0" w:afterAutospacing="1"/>
        <w:ind w:left="1440" w:leftChars="0" w:right="0" w:hanging="360"/>
        <w:jc w:val="center"/>
        <w:rPr>
          <w:rFonts w:hint="default" w:ascii="Arial" w:hAnsi="Arial" w:cs="Arial"/>
          <w:sz w:val="18"/>
          <w:szCs w:val="18"/>
        </w:rPr>
      </w:pPr>
    </w:p>
    <w:p w14:paraId="6E52896B">
      <w:pPr>
        <w:keepNext w:val="0"/>
        <w:keepLines w:val="0"/>
        <w:widowControl/>
        <w:suppressLineNumbers w:val="0"/>
      </w:pPr>
      <w: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sectPr>
      <w:pgSz w:w="11906" w:h="16838"/>
      <w:pgMar w:top="1440" w:right="1274" w:bottom="1440" w:left="1800" w:header="708" w:footer="708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08" w:num="1"/>
      <w:bidi/>
      <w:rtlGutter w:val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Noto-Kufi-Arabic">
    <w:altName w:val="Segoe Print"/>
    <w:panose1 w:val="00000000000000000000"/>
    <w:charset w:val="B2"/>
    <w:family w:val="auto"/>
    <w:pitch w:val="default"/>
    <w:sig w:usb0="00000000" w:usb1="00000000" w:usb2="00000000" w:usb3="00000000" w:csb0="00000040" w:csb1="00000000"/>
  </w:font>
  <w:font w:name="Noto-Sans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Noto-Kufi-Arabic-Bold">
    <w:altName w:val="Segoe Print"/>
    <w:panose1 w:val="00000000000000000000"/>
    <w:charset w:val="B2"/>
    <w:family w:val="auto"/>
    <w:pitch w:val="default"/>
    <w:sig w:usb0="00000000" w:usb1="00000000" w:usb2="00000000" w:usb3="00000000" w:csb0="00000040" w:csb1="00000000"/>
  </w:font>
  <w:font w:name="Noto-Sans-Bold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 Black">
    <w:panose1 w:val="020B0A04020102020204"/>
    <w:charset w:val="00"/>
    <w:family w:val="auto"/>
    <w:pitch w:val="default"/>
    <w:sig w:usb0="A00002AF" w:usb1="400078FB" w:usb2="00000000" w:usb3="00000000" w:csb0="6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1C6631"/>
    <w:multiLevelType w:val="singleLevel"/>
    <w:tmpl w:val="A81C663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19908AC2"/>
    <w:multiLevelType w:val="singleLevel"/>
    <w:tmpl w:val="19908AC2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6CB3BA41"/>
    <w:multiLevelType w:val="multilevel"/>
    <w:tmpl w:val="6CB3BA41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F44B4"/>
    <w:rsid w:val="001902DB"/>
    <w:rsid w:val="001C2162"/>
    <w:rsid w:val="00590B27"/>
    <w:rsid w:val="0062761F"/>
    <w:rsid w:val="006948DE"/>
    <w:rsid w:val="007B0E54"/>
    <w:rsid w:val="007E3A20"/>
    <w:rsid w:val="00877AAC"/>
    <w:rsid w:val="008F1EAE"/>
    <w:rsid w:val="009125CE"/>
    <w:rsid w:val="009B6888"/>
    <w:rsid w:val="009C0161"/>
    <w:rsid w:val="009D108D"/>
    <w:rsid w:val="009E1436"/>
    <w:rsid w:val="009E5668"/>
    <w:rsid w:val="00A74F76"/>
    <w:rsid w:val="00AA79E9"/>
    <w:rsid w:val="00AB0A70"/>
    <w:rsid w:val="00B55620"/>
    <w:rsid w:val="00B63B0F"/>
    <w:rsid w:val="00B7678A"/>
    <w:rsid w:val="00C04D0B"/>
    <w:rsid w:val="00C71E18"/>
    <w:rsid w:val="00D22171"/>
    <w:rsid w:val="00E71C79"/>
    <w:rsid w:val="00E80FD9"/>
    <w:rsid w:val="00EA6B5D"/>
    <w:rsid w:val="00F546CE"/>
    <w:rsid w:val="146416ED"/>
    <w:rsid w:val="269A6AC5"/>
    <w:rsid w:val="3791306C"/>
    <w:rsid w:val="71A3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bidi/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en-US" w:eastAsia="en-US" w:bidi="ar-SA"/>
      <w14:ligatures w14:val="standardContextual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pacing w:after="0" w:line="240" w:lineRule="auto"/>
    </w:pPr>
  </w:style>
  <w:style w:type="paragraph" w:styleId="5">
    <w:name w:val="header"/>
    <w:basedOn w:val="1"/>
    <w:link w:val="8"/>
    <w:unhideWhenUsed/>
    <w:qFormat/>
    <w:uiPriority w:val="99"/>
    <w:pPr>
      <w:tabs>
        <w:tab w:val="center" w:pos="4153"/>
        <w:tab w:val="right" w:pos="8306"/>
      </w:tabs>
      <w:spacing w:after="0" w:line="240" w:lineRule="auto"/>
    </w:pPr>
  </w:style>
  <w:style w:type="paragraph" w:styleId="6">
    <w:name w:val="Normal (Web)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7">
    <w:name w:val="Strong"/>
    <w:basedOn w:val="2"/>
    <w:qFormat/>
    <w:uiPriority w:val="22"/>
    <w:rPr>
      <w:b/>
      <w:bCs/>
    </w:rPr>
  </w:style>
  <w:style w:type="character" w:customStyle="1" w:styleId="8">
    <w:name w:val="Header Char"/>
    <w:basedOn w:val="2"/>
    <w:link w:val="5"/>
    <w:qFormat/>
    <w:uiPriority w:val="99"/>
  </w:style>
  <w:style w:type="character" w:customStyle="1" w:styleId="9">
    <w:name w:val="Footer Char"/>
    <w:basedOn w:val="2"/>
    <w:link w:val="4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13</Pages>
  <Words>702</Words>
  <Characters>3845</Characters>
  <Lines>4</Lines>
  <Paragraphs>1</Paragraphs>
  <TotalTime>2742</TotalTime>
  <ScaleCrop>false</ScaleCrop>
  <LinksUpToDate>false</LinksUpToDate>
  <CharactersWithSpaces>4495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2024-05-24T10:17:00Z</dcterms:created>
  <dc:creator>marwamostafa2013</dc:creator>
  <cp:lastModifiedBy>Ahmed A.Wahab</cp:lastModifiedBy>
  <dcterms:modified xsi:type="dcterms:W3CDTF">2025-07-19T18:29:41Z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68f2fd9a23e1ceac570a100ecdb4b5f8f943ff09ef8eb1a6af8381691f381045</vt:lpwstr>
  </property>
  <property fmtid="{D5CDD505-2E9C-101B-9397-08002B2CF9AE}" pid="3" name="KSOProductBuildVer">
    <vt:lpwstr>1033-12.2.0.21931</vt:lpwstr>
  </property>
  <property fmtid="{D5CDD505-2E9C-101B-9397-08002B2CF9AE}" pid="4" name="ICV">
    <vt:lpwstr>902CB0F46CFD450A84156229AF82CA08_12</vt:lpwstr>
  </property>
</Properties>
</file>