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AADD88F" w:rsidR="009125CE" w:rsidRPr="0083094C" w:rsidRDefault="00D661B6" w:rsidP="00D661B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3094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A89AD27">
            <wp:simplePos x="0" y="0"/>
            <wp:positionH relativeFrom="margin">
              <wp:posOffset>102870</wp:posOffset>
            </wp:positionH>
            <wp:positionV relativeFrom="margin">
              <wp:posOffset>-262890</wp:posOffset>
            </wp:positionV>
            <wp:extent cx="1594485" cy="1479550"/>
            <wp:effectExtent l="0" t="0" r="571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4485" cy="1479550"/>
                    </a:xfrm>
                    <a:prstGeom prst="rect">
                      <a:avLst/>
                    </a:prstGeom>
                  </pic:spPr>
                </pic:pic>
              </a:graphicData>
            </a:graphic>
            <wp14:sizeRelH relativeFrom="margin">
              <wp14:pctWidth>0</wp14:pctWidth>
            </wp14:sizeRelH>
            <wp14:sizeRelV relativeFrom="margin">
              <wp14:pctHeight>0</wp14:pctHeight>
            </wp14:sizeRelV>
          </wp:anchor>
        </w:drawing>
      </w:r>
      <w:r w:rsidR="009125CE" w:rsidRPr="0083094C">
        <w:rPr>
          <w:rFonts w:ascii="Simplified Arabic" w:hAnsi="Simplified Arabic" w:cs="Simplified Arabic"/>
          <w:b/>
          <w:bCs/>
          <w:color w:val="000000" w:themeColor="text1"/>
          <w:sz w:val="32"/>
          <w:szCs w:val="32"/>
          <w:rtl/>
          <w:lang w:bidi="ar-EG"/>
        </w:rPr>
        <w:t xml:space="preserve">جامعة ميدأوشن </w:t>
      </w:r>
    </w:p>
    <w:p w14:paraId="1E957002" w14:textId="77C84FE4" w:rsidR="00F546CE" w:rsidRPr="0083094C" w:rsidRDefault="009125CE" w:rsidP="00D661B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3094C">
        <w:rPr>
          <w:rFonts w:ascii="Simplified Arabic" w:hAnsi="Simplified Arabic" w:cs="Simplified Arabic"/>
          <w:b/>
          <w:bCs/>
          <w:color w:val="000000" w:themeColor="text1"/>
          <w:sz w:val="32"/>
          <w:szCs w:val="32"/>
          <w:rtl/>
          <w:lang w:bidi="ar-EG"/>
        </w:rPr>
        <w:t xml:space="preserve">كلية </w:t>
      </w:r>
      <w:r w:rsidR="008C42C1" w:rsidRPr="0083094C">
        <w:rPr>
          <w:rFonts w:ascii="Simplified Arabic" w:hAnsi="Simplified Arabic" w:cs="Simplified Arabic"/>
          <w:b/>
          <w:bCs/>
          <w:color w:val="000000" w:themeColor="text1"/>
          <w:sz w:val="32"/>
          <w:szCs w:val="32"/>
          <w:rtl/>
          <w:lang w:bidi="ar-EG"/>
        </w:rPr>
        <w:t>الإدارة</w:t>
      </w:r>
      <w:r w:rsidRPr="0083094C">
        <w:rPr>
          <w:rFonts w:ascii="Simplified Arabic" w:hAnsi="Simplified Arabic" w:cs="Simplified Arabic"/>
          <w:b/>
          <w:bCs/>
          <w:color w:val="000000" w:themeColor="text1"/>
          <w:sz w:val="32"/>
          <w:szCs w:val="32"/>
          <w:rtl/>
          <w:lang w:bidi="ar-EG"/>
        </w:rPr>
        <w:t xml:space="preserve"> </w:t>
      </w:r>
    </w:p>
    <w:p w14:paraId="5DCF5A82" w14:textId="15649E82" w:rsidR="001138AC" w:rsidRPr="0083094C" w:rsidRDefault="004650B0" w:rsidP="00D661B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3094C">
        <w:rPr>
          <w:rFonts w:ascii="Simplified Arabic" w:hAnsi="Simplified Arabic" w:cs="Simplified Arabic"/>
          <w:b/>
          <w:bCs/>
          <w:color w:val="000000" w:themeColor="text1"/>
          <w:sz w:val="32"/>
          <w:szCs w:val="32"/>
          <w:rtl/>
          <w:lang w:bidi="ar-EG"/>
        </w:rPr>
        <w:t>ماجستير إدارة</w:t>
      </w:r>
      <w:r w:rsidR="00972660" w:rsidRPr="0083094C">
        <w:rPr>
          <w:rFonts w:ascii="Simplified Arabic" w:hAnsi="Simplified Arabic" w:cs="Simplified Arabic"/>
          <w:b/>
          <w:bCs/>
          <w:color w:val="000000" w:themeColor="text1"/>
          <w:sz w:val="32"/>
          <w:szCs w:val="32"/>
          <w:rtl/>
          <w:lang w:bidi="ar-EG"/>
        </w:rPr>
        <w:t xml:space="preserve"> الاعمال</w:t>
      </w:r>
    </w:p>
    <w:p w14:paraId="43431C28" w14:textId="77777777" w:rsidR="007A4E66" w:rsidRPr="0083094C" w:rsidRDefault="007A4E66" w:rsidP="00D661B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53CFE0B" w14:textId="77777777" w:rsidR="00FF4F51" w:rsidRPr="0083094C" w:rsidRDefault="00FF4F51" w:rsidP="00D661B6">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83094C">
        <w:rPr>
          <w:rFonts w:ascii="Simplified Arabic" w:hAnsi="Simplified Arabic" w:cs="Simplified Arabic"/>
          <w:b/>
          <w:bCs/>
          <w:color w:val="000000" w:themeColor="text1"/>
          <w:sz w:val="40"/>
          <w:szCs w:val="40"/>
          <w:rtl/>
        </w:rPr>
        <w:t>أثر تطبيق أنظمة الامتثال ومكافحة الاحتيال المدعومة بالذكاء الاصطناعي على خفض الخسائر المالية: دراسة تطبيقية على مؤسسات مالية بالمملكة العربية السعودية.</w:t>
      </w:r>
    </w:p>
    <w:p w14:paraId="754ED60E" w14:textId="0E7DBFAD" w:rsidR="00054375" w:rsidRPr="0083094C" w:rsidRDefault="00054375" w:rsidP="00D661B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1A7E65" w14:textId="05F724E3" w:rsidR="009125CE" w:rsidRPr="0083094C" w:rsidRDefault="009125CE" w:rsidP="00D66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094C">
        <w:rPr>
          <w:rFonts w:ascii="Simplified Arabic" w:hAnsi="Simplified Arabic" w:cs="Simplified Arabic"/>
          <w:b/>
          <w:bCs/>
          <w:color w:val="000000" w:themeColor="text1"/>
          <w:sz w:val="36"/>
          <w:szCs w:val="36"/>
          <w:rtl/>
          <w:lang w:bidi="ar-EG"/>
        </w:rPr>
        <w:t>إعداد الطالب/</w:t>
      </w:r>
    </w:p>
    <w:p w14:paraId="655D87D3" w14:textId="77777777" w:rsidR="00636ED1" w:rsidRDefault="00636ED1" w:rsidP="00636ED1">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E86729">
        <w:rPr>
          <w:rFonts w:ascii="Simplified Arabic" w:hAnsi="Simplified Arabic" w:cs="Simplified Arabic"/>
          <w:b/>
          <w:bCs/>
          <w:color w:val="000000" w:themeColor="text1"/>
          <w:sz w:val="36"/>
          <w:szCs w:val="36"/>
          <w:rtl/>
          <w:lang w:bidi="ar-EG"/>
        </w:rPr>
        <w:t>سلطان احمد العمودي</w:t>
      </w:r>
    </w:p>
    <w:p w14:paraId="50309699" w14:textId="77777777" w:rsidR="00636ED1" w:rsidRPr="0083094C" w:rsidRDefault="00636ED1" w:rsidP="00636ED1">
      <w:pPr>
        <w:spacing w:before="100" w:beforeAutospacing="1" w:after="100" w:afterAutospacing="1" w:line="276" w:lineRule="auto"/>
        <w:jc w:val="center"/>
        <w:rPr>
          <w:rFonts w:ascii="Simplified Arabic" w:hAnsi="Simplified Arabic" w:cs="Simplified Arabic" w:hint="cs"/>
          <w:b/>
          <w:bCs/>
          <w:color w:val="000000" w:themeColor="text1"/>
          <w:sz w:val="36"/>
          <w:szCs w:val="36"/>
          <w:rtl/>
          <w:lang w:bidi="ar-EG"/>
        </w:rPr>
      </w:pPr>
      <w:r w:rsidRPr="00E86729">
        <w:rPr>
          <w:rFonts w:ascii="Simplified Arabic" w:hAnsi="Simplified Arabic" w:cs="Simplified Arabic"/>
          <w:b/>
          <w:bCs/>
          <w:color w:val="000000" w:themeColor="text1"/>
          <w:sz w:val="36"/>
          <w:szCs w:val="36"/>
          <w:rtl/>
          <w:lang w:bidi="ar-EG"/>
        </w:rPr>
        <w:t>253001289</w:t>
      </w:r>
    </w:p>
    <w:p w14:paraId="61CFD6D1" w14:textId="77777777" w:rsidR="009A2C18" w:rsidRPr="0083094C" w:rsidRDefault="009A2C18" w:rsidP="00D661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A2C18" w:rsidRPr="0083094C" w14:paraId="2F8C8683" w14:textId="77777777" w:rsidTr="009A2C18">
        <w:tc>
          <w:tcPr>
            <w:tcW w:w="4530" w:type="dxa"/>
          </w:tcPr>
          <w:p w14:paraId="16B3DE8B" w14:textId="77777777" w:rsidR="009A2C18" w:rsidRPr="0083094C" w:rsidRDefault="009A2C18" w:rsidP="009A2C1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094C">
              <w:rPr>
                <w:rFonts w:ascii="Simplified Arabic" w:hAnsi="Simplified Arabic" w:cs="Simplified Arabic" w:hint="cs"/>
                <w:b/>
                <w:bCs/>
                <w:color w:val="000000" w:themeColor="text1"/>
                <w:sz w:val="36"/>
                <w:szCs w:val="36"/>
                <w:rtl/>
                <w:lang w:bidi="ar-EG"/>
              </w:rPr>
              <w:t>المشرف الرئيسي/</w:t>
            </w:r>
          </w:p>
        </w:tc>
        <w:tc>
          <w:tcPr>
            <w:tcW w:w="4531" w:type="dxa"/>
          </w:tcPr>
          <w:p w14:paraId="0D6D2762" w14:textId="77777777" w:rsidR="009A2C18" w:rsidRPr="0083094C" w:rsidRDefault="009A2C18" w:rsidP="009A2C1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094C">
              <w:rPr>
                <w:rFonts w:ascii="Simplified Arabic" w:hAnsi="Simplified Arabic" w:cs="Simplified Arabic" w:hint="cs"/>
                <w:b/>
                <w:bCs/>
                <w:color w:val="000000" w:themeColor="text1"/>
                <w:sz w:val="36"/>
                <w:szCs w:val="36"/>
                <w:rtl/>
                <w:lang w:bidi="ar-EG"/>
              </w:rPr>
              <w:t>المشرف الثاني/</w:t>
            </w:r>
          </w:p>
        </w:tc>
      </w:tr>
      <w:tr w:rsidR="009A2C18" w:rsidRPr="0083094C" w14:paraId="504BFD83" w14:textId="77777777" w:rsidTr="009A2C18">
        <w:tc>
          <w:tcPr>
            <w:tcW w:w="4530" w:type="dxa"/>
          </w:tcPr>
          <w:p w14:paraId="3D111400" w14:textId="77777777" w:rsidR="009A2C18" w:rsidRPr="0083094C" w:rsidRDefault="009A2C18" w:rsidP="009A2C1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094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339179E" w14:textId="77777777" w:rsidR="009A2C18" w:rsidRPr="0083094C" w:rsidRDefault="009A2C18" w:rsidP="009A2C1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094C">
              <w:rPr>
                <w:rFonts w:ascii="Simplified Arabic" w:eastAsia="Calibri" w:hAnsi="Simplified Arabic" w:cs="Simplified Arabic"/>
                <w:color w:val="000000" w:themeColor="text1"/>
                <w:kern w:val="0"/>
                <w:sz w:val="36"/>
                <w:szCs w:val="36"/>
                <w:rtl/>
                <w:lang w:bidi="ar-EG"/>
                <w14:ligatures w14:val="none"/>
              </w:rPr>
              <w:t>د.فايز جراد</w:t>
            </w:r>
          </w:p>
        </w:tc>
      </w:tr>
    </w:tbl>
    <w:p w14:paraId="0E4960C3" w14:textId="77777777" w:rsidR="009A2C18" w:rsidRPr="0083094C" w:rsidRDefault="009A2C18" w:rsidP="009A2C1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3094C">
        <w:rPr>
          <w:rFonts w:ascii="Simplified Arabic" w:hAnsi="Simplified Arabic" w:cs="Simplified Arabic"/>
          <w:b/>
          <w:bCs/>
          <w:color w:val="000000" w:themeColor="text1"/>
          <w:sz w:val="36"/>
          <w:szCs w:val="36"/>
          <w:rtl/>
          <w:lang w:bidi="ar-EG"/>
        </w:rPr>
        <w:t>العام الدراسي:</w:t>
      </w:r>
    </w:p>
    <w:p w14:paraId="3011C7F9" w14:textId="77777777" w:rsidR="009A2C18" w:rsidRPr="0083094C" w:rsidRDefault="009A2C18" w:rsidP="009A2C18">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3094C">
        <w:rPr>
          <w:rFonts w:ascii="Simplified Arabic" w:hAnsi="Simplified Arabic" w:cs="Simplified Arabic" w:hint="cs"/>
          <w:color w:val="000000" w:themeColor="text1"/>
          <w:sz w:val="36"/>
          <w:szCs w:val="36"/>
          <w:rtl/>
          <w:lang w:bidi="ar-EG"/>
        </w:rPr>
        <w:t xml:space="preserve">1448 </w:t>
      </w:r>
      <w:r w:rsidRPr="0083094C">
        <w:rPr>
          <w:rFonts w:ascii="Simplified Arabic" w:hAnsi="Simplified Arabic" w:cs="Simplified Arabic"/>
          <w:color w:val="000000" w:themeColor="text1"/>
          <w:sz w:val="36"/>
          <w:szCs w:val="36"/>
          <w:rtl/>
          <w:lang w:bidi="ar-EG"/>
        </w:rPr>
        <w:t>–</w:t>
      </w:r>
      <w:r w:rsidRPr="0083094C">
        <w:rPr>
          <w:rFonts w:ascii="Simplified Arabic" w:hAnsi="Simplified Arabic" w:cs="Simplified Arabic" w:hint="cs"/>
          <w:color w:val="000000" w:themeColor="text1"/>
          <w:sz w:val="36"/>
          <w:szCs w:val="36"/>
          <w:rtl/>
          <w:lang w:bidi="ar-EG"/>
        </w:rPr>
        <w:t xml:space="preserve"> 2026</w:t>
      </w:r>
    </w:p>
    <w:p w14:paraId="7E5D74F4" w14:textId="6212FCCA" w:rsidR="009A2C18" w:rsidRPr="0083094C" w:rsidRDefault="009A2C18" w:rsidP="00636ED1">
      <w:pPr>
        <w:tabs>
          <w:tab w:val="left" w:pos="4163"/>
          <w:tab w:val="center" w:pos="4535"/>
        </w:tabs>
        <w:spacing w:before="100" w:beforeAutospacing="1" w:after="100" w:afterAutospacing="1" w:line="276" w:lineRule="auto"/>
        <w:jc w:val="center"/>
        <w:rPr>
          <w:rFonts w:ascii="Simplified Arabic" w:hAnsi="Simplified Arabic" w:cs="Simplified Arabic"/>
          <w:b/>
          <w:bCs/>
          <w:color w:val="000000" w:themeColor="text1"/>
          <w:sz w:val="40"/>
          <w:szCs w:val="40"/>
          <w:rtl/>
        </w:rPr>
      </w:pPr>
      <w:bookmarkStart w:id="0" w:name="_Toc233798945"/>
      <w:bookmarkStart w:id="1" w:name="_Hlk172151144"/>
      <w:bookmarkStart w:id="2" w:name="_Toc169790489"/>
      <w:r w:rsidRPr="0083094C">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3968B30" w14:textId="22EB8746" w:rsidR="009A2C18" w:rsidRPr="0083094C" w:rsidRDefault="009A2C18" w:rsidP="009A2C18">
      <w:pPr>
        <w:pStyle w:val="a8"/>
        <w:bidi/>
        <w:spacing w:line="276" w:lineRule="auto"/>
        <w:outlineLvl w:val="1"/>
        <w:rPr>
          <w:rFonts w:ascii="Simplified Arabic" w:hAnsi="Simplified Arabic" w:cs="Simplified Arabic"/>
          <w:b/>
          <w:bCs/>
          <w:color w:val="000000" w:themeColor="text1"/>
          <w:sz w:val="36"/>
          <w:szCs w:val="36"/>
          <w:rtl/>
        </w:rPr>
      </w:pPr>
      <w:bookmarkStart w:id="3" w:name="_Toc233798946"/>
      <w:r w:rsidRPr="0083094C">
        <w:rPr>
          <w:rFonts w:ascii="Simplified Arabic" w:hAnsi="Simplified Arabic" w:cs="Simplified Arabic" w:hint="cs"/>
          <w:b/>
          <w:bCs/>
          <w:color w:val="000000" w:themeColor="text1"/>
          <w:sz w:val="36"/>
          <w:szCs w:val="36"/>
          <w:rtl/>
        </w:rPr>
        <w:t>1.1 المقدمة</w:t>
      </w:r>
      <w:bookmarkEnd w:id="3"/>
    </w:p>
    <w:p w14:paraId="1F9D0D34" w14:textId="415EBCBA" w:rsidR="0083482F"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يشهد العالم المعاصر تحولات جذرية في بنية النظام المالي العالمي مدفوعة بالتطورات التكنولوجية المتسارعة والتوسع الهائل في المعاملات المالية الرقمية، حيث أسهمت الثورة الرقمية في إعادة تشكيل آليات تقديم الخدمات المالية وأنماط التعاملات المصرفية بشكل غير مسبوق، مما أوجد منظومة مالية أكثر تعقيداً وتشابكاً تتطلب أدوات رقابية وإشرافية متطورة تواكب حجم هذا التحول وسرعته. وقد أدى هذا التطور إلى تنامي الحاجة إلى تبني تقنيات حديثة قادرة على حماية النظام المالي وتعزيز نزاهته، لا سيما في ظل تزايد حجم البيانات المالية المتدفقة عبر القنوات الرقمية المتعددة وما يرتبط بها من مخاطر متصاعدة</w:t>
      </w:r>
      <w:r w:rsidRPr="0083094C">
        <w:rPr>
          <w:rFonts w:ascii="Simplified Arabic" w:hAnsi="Simplified Arabic" w:cs="Simplified Arabic"/>
          <w:color w:val="000000" w:themeColor="text1"/>
          <w:sz w:val="28"/>
          <w:szCs w:val="28"/>
        </w:rPr>
        <w:t xml:space="preserve"> (Aziz &amp; Andriansyah, 2023).</w:t>
      </w:r>
    </w:p>
    <w:p w14:paraId="6710363E" w14:textId="61DDCA6A" w:rsidR="0083482F" w:rsidRPr="0083094C" w:rsidRDefault="00C605A0"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w:t>
      </w:r>
      <w:r w:rsidR="0083482F" w:rsidRPr="0083094C">
        <w:rPr>
          <w:rFonts w:ascii="Simplified Arabic" w:hAnsi="Simplified Arabic" w:cs="Simplified Arabic"/>
          <w:color w:val="000000" w:themeColor="text1"/>
          <w:sz w:val="28"/>
          <w:szCs w:val="28"/>
          <w:rtl/>
        </w:rPr>
        <w:t xml:space="preserve"> برز الذكاء الاصطناعي كأحد أبرز التقنيات التحويلية التي أعادت تعريف مفهوم الامتثال ومكافحة الاحتيال في القطاع المالي، إذ توفر تقنياته المتقدمة من التعلم الآلي والتعلم العميق ومعالجة اللغة الطبيعية والتحليلات التنبؤية قدرات استثنائية في تحليل كميات هائلة من البيانات المالية واكتشاف الأنماط الاحتيالية المعقدة التي يعجز العنصر البشري والأنظمة التقليدية عن رصدها. وقد أصبحت أنظمة كشف الاحتيال المدعومة بالذكاء الاصطناعي ركيزة أساسية في البنية التحتية الأمنية للمؤسسات المالية الحديثة، حيث تتيح كشف المعاملات المشبوهة في الوقت الفعلي والتكيف المستمر مع أساليب الاحتيال المتطورة</w:t>
      </w:r>
      <w:r w:rsidR="0083482F" w:rsidRPr="0083094C">
        <w:rPr>
          <w:rFonts w:ascii="Simplified Arabic" w:hAnsi="Simplified Arabic" w:cs="Simplified Arabic"/>
          <w:color w:val="000000" w:themeColor="text1"/>
          <w:sz w:val="28"/>
          <w:szCs w:val="28"/>
        </w:rPr>
        <w:t xml:space="preserve"> (Paul &amp; Ogburie, 2025). </w:t>
      </w:r>
    </w:p>
    <w:p w14:paraId="73FDC4C2" w14:textId="77777777" w:rsidR="0083482F"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وتمثل الخسائر المالية الناجمة عن الاحتيال المالي تحدياً جوهرياً يواجه المؤسسات المالية على اختلاف أحجامها وأنشطتها، إذ تؤثر هذه الخسائر بشكل مباشر على ربحية المؤسسات واستقرارها المالي وقدرتها التنافسية، فضلاً عن تأثيراتها السلبية على ثقة المستثمرين والعملاء في متانة النظام المالي. وتتعدد أوجه هذه الخسائر لتشمل الخسائر المباشرة الناتجة عن المعاملات الاحتيالية والتكاليف التشغيلية المرتبطة بالتحقيق والمعالجة والغرامات التنظيمية الناجمة عن الإخلال بمتطلبات الامتثال</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ويُعد تحسين إدارة المخاطر وتطوير آليات الرقابة المالية أمراً حيوياً للحد من هذه الخسائر والحفاظ على استقرار المؤسسات واستمراريتها، وهو ما يستلزم تبني أدوات وتقنيات حديثة تتجاوز الأساليب التقليدية في رصد المخاطر والتعامل معها</w:t>
      </w:r>
      <w:r w:rsidRPr="0083094C">
        <w:rPr>
          <w:rFonts w:ascii="Simplified Arabic" w:hAnsi="Simplified Arabic" w:cs="Simplified Arabic"/>
          <w:color w:val="000000" w:themeColor="text1"/>
          <w:sz w:val="28"/>
          <w:szCs w:val="28"/>
        </w:rPr>
        <w:t xml:space="preserve"> (Irfan &amp; Al Hakim, 2022).</w:t>
      </w:r>
    </w:p>
    <w:p w14:paraId="69723751" w14:textId="77777777" w:rsidR="0083482F"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ومن هنا تتجلى العلاقة الوثيقة بين تبني أنظمة الامتثال ومكافحة الاحتيال المدعومة بالذكاء الاصطناعي وخفض الخسائر المالية، إذ تمثل هذه الأنظمة الذكية خط الدفاع الأول والأكثر فاعلية في حماية الأصول المالية للمؤسسات من خلال الكشف المبكر والاستباقي عن محاولات الاحتيال قبل وقوعها وتقليل معدلات الإنذارات الخاطئة التي تستنزف الموارد التشغيلية وتعزيز الامتثال التنظيمي الذي يجنب المؤسسات الغرامات والعقوبات المالية</w:t>
      </w:r>
      <w:r w:rsidRPr="0083094C">
        <w:rPr>
          <w:rFonts w:ascii="Simplified Arabic" w:hAnsi="Simplified Arabic" w:cs="Simplified Arabic"/>
          <w:color w:val="000000" w:themeColor="text1"/>
          <w:sz w:val="28"/>
          <w:szCs w:val="28"/>
        </w:rPr>
        <w:t xml:space="preserve"> (Ikumapayi &amp; Ayankoya, 2025).</w:t>
      </w:r>
    </w:p>
    <w:p w14:paraId="5DC10D8B" w14:textId="77777777" w:rsidR="0083482F"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وفي ضوء ما تشهده المملكة العربية السعودية من تحول رقمي شامل في قطاعها المالي ضمن مستهدفات رؤية 2030 وما يرافقه من توسع في المدفوعات الرقمية وانتشار شركات التقنية المالية، تأتي هذه الدراسة لتستكشف أثر تطبيق أنظمة الامتثال ومكافحة الاحتيال المدعومة بالذكاء الاصطناعي بأبعادها الأربعة على خفض الخسائر المالية في المؤسسات المالية السعودية، سعياً إلى تقديم إسهام علمي وعملي يخدم هذا القطاع الحيوي في مرحلة تحول فارقة من تاريخه (اتحاد المصارف العربية، 2026)</w:t>
      </w:r>
    </w:p>
    <w:p w14:paraId="4D8D89BF" w14:textId="14ED8607" w:rsidR="009A2C18" w:rsidRPr="0083094C" w:rsidRDefault="009A2C18" w:rsidP="009A2C18">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798947"/>
      <w:bookmarkStart w:id="5" w:name="_Toc169790500"/>
      <w:bookmarkEnd w:id="1"/>
      <w:bookmarkEnd w:id="2"/>
      <w:r w:rsidRPr="0083094C">
        <w:rPr>
          <w:rFonts w:ascii="Simplified Arabic" w:hAnsi="Simplified Arabic" w:cs="Simplified Arabic"/>
          <w:b/>
          <w:bCs/>
          <w:color w:val="000000" w:themeColor="text1"/>
          <w:sz w:val="36"/>
          <w:szCs w:val="36"/>
          <w:rtl/>
        </w:rPr>
        <w:t>2.1 مشكلة الدراسة</w:t>
      </w:r>
      <w:bookmarkEnd w:id="4"/>
    </w:p>
    <w:p w14:paraId="2D2E1F05" w14:textId="77777777" w:rsidR="0083482F"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يشهد القطاع المالي على المستوى العالمي والإقليمي تصاعداً غير مسبوق في حجم وتعقيد عمليات الاحتيال المالي، إذ تشير التقديرات الدولية إلى أن الخسائر الناجمة عن الاحتيال في المعاملات المالية الرقمية قد تجاوزت 362 مليار دولار خلال الفترة من 2023 إلى 2028 على المستوى العالمي</w:t>
      </w:r>
      <w:r w:rsidRPr="0083094C">
        <w:rPr>
          <w:rFonts w:ascii="Simplified Arabic" w:hAnsi="Simplified Arabic" w:cs="Simplified Arabic"/>
          <w:color w:val="000000" w:themeColor="text1"/>
          <w:sz w:val="28"/>
          <w:szCs w:val="28"/>
        </w:rPr>
        <w:t xml:space="preserve"> (Kumar, 2024)</w:t>
      </w:r>
      <w:r w:rsidRPr="0083094C">
        <w:rPr>
          <w:rFonts w:ascii="Simplified Arabic" w:hAnsi="Simplified Arabic" w:cs="Simplified Arabic"/>
          <w:color w:val="000000" w:themeColor="text1"/>
          <w:sz w:val="28"/>
          <w:szCs w:val="28"/>
          <w:rtl/>
        </w:rPr>
        <w:t xml:space="preserve">، فيما أفادت وزارة الخزانة الأمريكية بأن حالات الاحتيال في الشيكات وحدها ارتفعت بنسبة 385% منذ جائحة كوفيد-19 </w:t>
      </w:r>
      <w:r w:rsidRPr="0083094C">
        <w:rPr>
          <w:rFonts w:ascii="Simplified Arabic" w:hAnsi="Simplified Arabic" w:cs="Simplified Arabic"/>
          <w:color w:val="000000" w:themeColor="text1"/>
          <w:sz w:val="28"/>
          <w:szCs w:val="28"/>
        </w:rPr>
        <w:t xml:space="preserve">(Bangash et al., 2025). </w:t>
      </w:r>
      <w:r w:rsidRPr="0083094C">
        <w:rPr>
          <w:rFonts w:ascii="Simplified Arabic" w:hAnsi="Simplified Arabic" w:cs="Simplified Arabic"/>
          <w:color w:val="000000" w:themeColor="text1"/>
          <w:sz w:val="28"/>
          <w:szCs w:val="28"/>
          <w:rtl/>
        </w:rPr>
        <w:t>وفي السياق العربي، أكد المؤتمر العربي الأول لمكافحة الاحتيال الذي نظمه اتحاد المصارف العربية برعاية محافظ البنك المركزي المصري في شرم الشيخ أن المصارف العربية تواجه تحديات متزايدة ومعقدة تتطلب تعزيز البنية التحتية للحوكمة المالية وتطوير أنظمة مكافحة الاحتيال بشكل جذري (هيئة التحرير، 2025). ولا يُستثنى القطاع المالي السعودي من هذا الواقع، فرغم التطور الملحوظ الذي تشهده المملكة العربية السعودية في مسيرة التحول الرقمي المالي في إطار رؤية 2030 وما صاحبه من توسع كبير في المدفوعات الإلكترونية والخدمات المصرفية الرقمية وانتشار شركات التقنية المالية، إلا أن هذا التحول قد أفرز في الوقت ذاته تحديات جسيمة تتعلق بتنامي المخاطر الاحتيالية وتطور أساليبها وتعقدها بصورة تفوق قدرة الأنظمة التقليدية على المواجهة والاحتواء</w:t>
      </w:r>
      <w:r w:rsidRPr="0083094C">
        <w:rPr>
          <w:rFonts w:ascii="Simplified Arabic" w:hAnsi="Simplified Arabic" w:cs="Simplified Arabic"/>
          <w:color w:val="000000" w:themeColor="text1"/>
          <w:sz w:val="28"/>
          <w:szCs w:val="28"/>
        </w:rPr>
        <w:t>.</w:t>
      </w:r>
    </w:p>
    <w:p w14:paraId="5D68C401" w14:textId="17C88248" w:rsidR="0083482F"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 xml:space="preserve">وتكمن جوهر المشكلة في أن أنظمة كشف الاحتيال والامتثال التقليدية القائمة على القواعد الثابتة والمراجعة اليدوية قد أثبتت قصورها الواضح في مواكبة التطور المتسارع لأساليب الاحتيال المالي الحديثة، </w:t>
      </w:r>
      <w:r w:rsidRPr="0083094C">
        <w:rPr>
          <w:rFonts w:ascii="Simplified Arabic" w:hAnsi="Simplified Arabic" w:cs="Simplified Arabic"/>
          <w:color w:val="000000" w:themeColor="text1"/>
          <w:sz w:val="28"/>
          <w:szCs w:val="28"/>
          <w:rtl/>
        </w:rPr>
        <w:lastRenderedPageBreak/>
        <w:t>حيث تعاني هذه الأنظمة من معدلات مرتفعة في الإنذارات الخاطئة وبطء في الاستجابة وعدم قدرة على كشف الأنماط الاحتيالية المعقدة والمستحدثة</w:t>
      </w:r>
      <w:r w:rsidRPr="0083094C">
        <w:rPr>
          <w:rFonts w:ascii="Simplified Arabic" w:hAnsi="Simplified Arabic" w:cs="Simplified Arabic"/>
          <w:color w:val="000000" w:themeColor="text1"/>
          <w:sz w:val="28"/>
          <w:szCs w:val="28"/>
        </w:rPr>
        <w:t xml:space="preserve"> (Aziz &amp; Andriansyah, 2023</w:t>
      </w:r>
      <w:r w:rsidRPr="0083094C">
        <w:rPr>
          <w:rFonts w:ascii="Simplified Arabic" w:hAnsi="Simplified Arabic" w:cs="Simplified Arabic"/>
          <w:color w:val="000000" w:themeColor="text1"/>
          <w:sz w:val="28"/>
          <w:szCs w:val="28"/>
          <w:rtl/>
        </w:rPr>
        <w:t>؛ غندور وسليمة، 2025)، مما يترتب عليه تكبد المؤسسات المالية خسائر مالية متراكمة تؤثر سلباً على ربحيتها واستقرارها وثقة عملائها. وقد أكدت دراسة</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أن تبني أنظمة الذكاء الاصطناعي في كشف الاحتيال أسهم في خفض الخسائر المرتبطة بالاحتيال والتكاليف التشغيلية بنسب بلغت 30% و25% على التوالي في المؤسسات المالية التي تبنت هذه الأنظمة، بينما أشارت دراسة</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إلى أن المؤسسات المالية التي طبقت أنظمة كشف الاحتيال المدعومة بالذكاء الاصطناعي حققت انخفاضاً في خسائر الاحتيال بنسبة تتجاوز 70%. غير أن الواقع التطبيقي في المؤسسات المالية السعودية يكشف عن فجوة واضحة بين الإمكانات الهائلة التي توفرها تقنيات الذكاء الاصطناعي في مجال الامتثال ومكافحة الاحتيال من جهة، ومستوى تبنيها واستثمارها فعلياً في خفض الخسائر المالية من جهة أخرى، وهو ما يعززه ندرة الدراسات التطبيقية التي تناولت هذا الأثر في البيئة السعودية تحديداً</w:t>
      </w:r>
      <w:r w:rsidRPr="0083094C">
        <w:rPr>
          <w:rFonts w:ascii="Simplified Arabic" w:hAnsi="Simplified Arabic" w:cs="Simplified Arabic"/>
          <w:color w:val="000000" w:themeColor="text1"/>
          <w:sz w:val="28"/>
          <w:szCs w:val="28"/>
        </w:rPr>
        <w:t>.</w:t>
      </w:r>
    </w:p>
    <w:p w14:paraId="1704696C" w14:textId="14AB1DD3" w:rsidR="00532E03" w:rsidRPr="0083094C" w:rsidRDefault="0083482F" w:rsidP="009A2C18">
      <w:pPr>
        <w:pStyle w:val="a8"/>
        <w:bidi/>
        <w:spacing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وعليه فإن مشكلة الدراسة تتبلور في الحاجة العلمية والعملية الماسة إلى قياس وتحليل أثر تطبيق أنظمة الامتثال ومكافحة الاحتيال المدعومة بالذكاء الاصطناعي بأبعادها المختلفة (أنظمة كشف الاحتيال الذكية، أنظمة الامتثال التنظيمي الآلي، أنظمة التحليل التنبؤي للمخاطر، أنظمة المراقبة والإنذار المبكر في الوقت الفعلي) على خفض الخسائر المالية في المؤسسات المالية بالمملكة العربية السعودية، وتحديد أي هذه الأبعاد أكثر إسهاماً في تحقيق هذا الخفض، وذلك في ظل غياب دراسات تطبيقية سعودية متخصصة تعالج هذه العلاقة بشكل تكاملي وشامل. ومن هنا يمكن صياغة مشكلة الدراسة في التساؤل الرئيسي التالي</w:t>
      </w:r>
      <w:r w:rsidRPr="0083094C">
        <w:rPr>
          <w:rFonts w:ascii="Simplified Arabic" w:hAnsi="Simplified Arabic" w:cs="Simplified Arabic"/>
          <w:color w:val="000000" w:themeColor="text1"/>
          <w:sz w:val="28"/>
          <w:szCs w:val="28"/>
        </w:rPr>
        <w:t xml:space="preserve">: </w:t>
      </w:r>
      <w:r w:rsidRPr="0083094C">
        <w:rPr>
          <w:rStyle w:val="a9"/>
          <w:rFonts w:ascii="Simplified Arabic" w:hAnsi="Simplified Arabic" w:cs="Simplified Arabic"/>
          <w:b w:val="0"/>
          <w:bCs w:val="0"/>
          <w:color w:val="000000" w:themeColor="text1"/>
          <w:sz w:val="28"/>
          <w:szCs w:val="28"/>
          <w:rtl/>
        </w:rPr>
        <w:t>ما أثر تطبيق أنظمة الامتثال ومكافحة الاحتيال المدعومة بالذكاء الاصطناعي بأبعادها الأربعة على خفض الخسائر المالية في المؤسسات المالية بالمملكة العربية السعودية؟</w:t>
      </w:r>
    </w:p>
    <w:p w14:paraId="27859D61" w14:textId="36F8570A" w:rsidR="009A2C18" w:rsidRPr="0083094C" w:rsidRDefault="009A2C18" w:rsidP="009A2C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798948"/>
      <w:bookmarkStart w:id="7" w:name="_Toc224107081"/>
      <w:r w:rsidRPr="0083094C">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26B1457"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 xml:space="preserve">تهدف هذه الدراسة إلى التعرف على أثر تطبيق أنظمة الامتثال ومكافحة الاحتيال المدعومة بالذكاء الاصطناعي بأبعادها </w:t>
      </w:r>
      <w:r w:rsidRPr="0083094C">
        <w:rPr>
          <w:rFonts w:ascii="Simplified Arabic" w:eastAsia="Times New Roman" w:hAnsi="Simplified Arabic" w:cs="Simplified Arabic"/>
          <w:color w:val="000000" w:themeColor="text1"/>
          <w:kern w:val="0"/>
          <w:sz w:val="28"/>
          <w:szCs w:val="28"/>
          <w14:ligatures w14:val="none"/>
        </w:rPr>
        <w:t>(</w:t>
      </w:r>
      <w:r w:rsidRPr="0083094C">
        <w:rPr>
          <w:rFonts w:ascii="Simplified Arabic" w:eastAsia="Times New Roman" w:hAnsi="Simplified Arabic" w:cs="Simplified Arabic"/>
          <w:color w:val="000000" w:themeColor="text1"/>
          <w:kern w:val="0"/>
          <w:sz w:val="28"/>
          <w:szCs w:val="28"/>
          <w:rtl/>
          <w14:ligatures w14:val="none"/>
        </w:rPr>
        <w:t>أنظمة كشف الاحتيال الذكية، أنظمة الامتثال التنظيمي الآلي، أنظمة التحليل التنبؤي للمخاطر، أنظمة المراقبة والإنذار المبكر في الوقت الفعلي)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7EDF661D" w14:textId="2EF322A2" w:rsidR="0083482F" w:rsidRPr="0083094C" w:rsidRDefault="0083482F" w:rsidP="00D66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83094C">
        <w:rPr>
          <w:rFonts w:ascii="Simplified Arabic" w:eastAsia="Times New Roman" w:hAnsi="Simplified Arabic" w:cs="Simplified Arabic"/>
          <w:b/>
          <w:bCs/>
          <w:color w:val="000000" w:themeColor="text1"/>
          <w:kern w:val="0"/>
          <w:sz w:val="28"/>
          <w:szCs w:val="28"/>
          <w14:ligatures w14:val="none"/>
        </w:rPr>
        <w:t>:</w:t>
      </w:r>
    </w:p>
    <w:p w14:paraId="5B5D525B"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التعرف على أثر تطبيق أنظمة كشف الاحتيال الذكية القائمة على خوارزميات التعلم الآلي والتعلم العميق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262D5596"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التعرف على أثر تطبيق أنظمة الامتثال التنظيمي الآلي المدعومة بمعالجة اللغة الطبيعية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34391DE1"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التعرف على أثر تطبيق أنظمة التحليل التنبؤي للمخاطر المبنية على تقنيات الذكاء الاصطناعي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0E3C1808"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التعرف على أثر تطبيق أنظمة المراقبة والإنذار المبكر في الوقت الفعلي المدعومة بالذكاء الاصطناعي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3272B5D6"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تحديد مستوى تطبيق أنظمة الامتثال ومكافحة الاحتيال المدعومة بالذكاء الاصطناعي بأبعادها الأربعة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75B69ECB"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الكشف عن مستوى الخسائر المالية المرتبطة بالاحتيال المالي في المؤسسات المالية بالمملكة العربية السعودية قبل وبعد تطبيق أنظمة الذكاء الاصطناعي</w:t>
      </w:r>
      <w:r w:rsidRPr="0083094C">
        <w:rPr>
          <w:rFonts w:ascii="Simplified Arabic" w:eastAsia="Times New Roman" w:hAnsi="Simplified Arabic" w:cs="Simplified Arabic"/>
          <w:color w:val="000000" w:themeColor="text1"/>
          <w:kern w:val="0"/>
          <w:sz w:val="28"/>
          <w:szCs w:val="28"/>
          <w14:ligatures w14:val="none"/>
        </w:rPr>
        <w:t>.</w:t>
      </w:r>
    </w:p>
    <w:p w14:paraId="79F6B998" w14:textId="0BDD0DEF"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تحديد ما إذا كانت هناك فروق ذات دلالة إحصائية في استجابات أفراد عينة الدراسة حول أثر تطبيق أنظمة الامتثال ومكافحة الاحتيال المدعومة بالذكاء الاصطناعي على خفض الخسائر المالية تُعزى إلى المتغيرات الديموغرافية (نوع المؤسسة المالية، حجم المؤسسة، سنوات الخبرة في تطبيق أنظمة الذكاء الاصطناعي</w:t>
      </w:r>
      <w:r w:rsidR="00C605A0" w:rsidRPr="0083094C">
        <w:rPr>
          <w:rFonts w:ascii="Simplified Arabic" w:eastAsia="Times New Roman" w:hAnsi="Simplified Arabic" w:cs="Simplified Arabic"/>
          <w:color w:val="000000" w:themeColor="text1"/>
          <w:kern w:val="0"/>
          <w:sz w:val="28"/>
          <w:szCs w:val="28"/>
          <w:rtl/>
          <w14:ligatures w14:val="none"/>
        </w:rPr>
        <w:t>)</w:t>
      </w:r>
    </w:p>
    <w:p w14:paraId="093AF322" w14:textId="77777777" w:rsidR="0083482F" w:rsidRPr="0083094C" w:rsidRDefault="0083482F" w:rsidP="00CB723B">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تقديم توصيات عملية ومقترحات قابلة للتطبيق لتعزيز فعالية أنظمة الامتثال ومكافحة الاحتيال المدعومة بالذكاء الاصطناعي في خفض الخسائر المالية بالمؤسسات المالية السعودية بما يتوافق مع رؤية المملكة 2030</w:t>
      </w:r>
      <w:r w:rsidRPr="0083094C">
        <w:rPr>
          <w:rFonts w:ascii="Simplified Arabic" w:eastAsia="Times New Roman" w:hAnsi="Simplified Arabic" w:cs="Simplified Arabic"/>
          <w:color w:val="000000" w:themeColor="text1"/>
          <w:kern w:val="0"/>
          <w:sz w:val="28"/>
          <w:szCs w:val="28"/>
          <w14:ligatures w14:val="none"/>
        </w:rPr>
        <w:t>.</w:t>
      </w:r>
    </w:p>
    <w:p w14:paraId="63F294BA" w14:textId="6F3A0248" w:rsidR="009A2C18" w:rsidRPr="0083094C" w:rsidRDefault="009A2C18" w:rsidP="009A2C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798949"/>
      <w:r w:rsidRPr="0083094C">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15EFD552"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ما أثر تطبيق أنظمة الامتثال ومكافحة الاحتيال المدعومة بالذكاء الاصطناعي بأبعادها (أنظمة كشف الاحتيال الذكية، أنظمة الامتثال التنظيمي الآلي، أنظمة التحليل التنبؤي للمخاطر، أنظمة المراقبة والإنذار المبكر في الوقت الفعلي) على خفض الخسائر المالية في المؤسسات المالية بالمملكة العربية السعودية؟</w:t>
      </w:r>
    </w:p>
    <w:p w14:paraId="5E229E8B" w14:textId="77777777" w:rsidR="0083482F" w:rsidRPr="0083094C" w:rsidRDefault="0083482F" w:rsidP="00D66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83094C">
        <w:rPr>
          <w:rFonts w:ascii="Simplified Arabic" w:eastAsia="Times New Roman" w:hAnsi="Simplified Arabic" w:cs="Simplified Arabic"/>
          <w:b/>
          <w:bCs/>
          <w:color w:val="000000" w:themeColor="text1"/>
          <w:kern w:val="0"/>
          <w:sz w:val="28"/>
          <w:szCs w:val="28"/>
          <w14:ligatures w14:val="none"/>
        </w:rPr>
        <w:t>:</w:t>
      </w:r>
    </w:p>
    <w:p w14:paraId="712933F4" w14:textId="77777777" w:rsidR="0083482F" w:rsidRPr="0083094C" w:rsidRDefault="0083482F" w:rsidP="00CB723B">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ما أثر تطبيق أنظمة كشف الاحتيال الذكية القائمة على خوارزميات التعلم الآلي والتعلم العميق على خفض الخسائر المالية في المؤسسات المالية بالمملكة العربية السعودية؟</w:t>
      </w:r>
    </w:p>
    <w:p w14:paraId="54BB0256" w14:textId="77777777" w:rsidR="0083482F" w:rsidRPr="0083094C" w:rsidRDefault="0083482F" w:rsidP="00CB723B">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ما أثر تطبيق أنظمة الامتثال التنظيمي الآلي المدعومة بمعالجة اللغة الطبيعية على خفض الخسائر المالية في المؤسسات المالية بالمملكة العربية السعودية؟</w:t>
      </w:r>
    </w:p>
    <w:p w14:paraId="25559042" w14:textId="77777777" w:rsidR="0083482F" w:rsidRPr="0083094C" w:rsidRDefault="0083482F" w:rsidP="00CB723B">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ما أثر تطبيق أنظمة التحليل التنبؤي للمخاطر المبنية على تقنيات الذكاء الاصطناعي على خفض الخسائر المالية في المؤسسات المالية بالمملكة العربية السعودية؟</w:t>
      </w:r>
    </w:p>
    <w:p w14:paraId="5E8C06D9" w14:textId="77777777" w:rsidR="0083482F" w:rsidRPr="0083094C" w:rsidRDefault="0083482F" w:rsidP="00CB723B">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ما أثر تطبيق أنظمة المراقبة والإنذار المبكر في الوقت الفعلي المدعومة بالذكاء الاصطناعي على خفض الخسائر المالية في المؤسسات المالية بالمملكة العربية السعودية؟</w:t>
      </w:r>
    </w:p>
    <w:p w14:paraId="3CEF88A0" w14:textId="77777777" w:rsidR="0083482F" w:rsidRPr="0083094C" w:rsidRDefault="0083482F" w:rsidP="00CB723B">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ما مستوى تطبيق أنظمة الامتثال ومكافحة الاحتيال المدعومة بالذكاء الاصطناعي بأبعادها الأربعة في المؤسسات المالية بالمملكة العربية السعودية؟</w:t>
      </w:r>
    </w:p>
    <w:p w14:paraId="318F1B04" w14:textId="1700D1F2" w:rsidR="009A2C18" w:rsidRPr="0083094C" w:rsidRDefault="009A2C18" w:rsidP="009A2C1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798950"/>
      <w:r w:rsidRPr="0083094C">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7081DC92" w14:textId="77777777" w:rsidR="0083482F" w:rsidRPr="0083094C" w:rsidRDefault="0083482F" w:rsidP="00CB723B">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Cambria" w:eastAsia="Times New Roman" w:hAnsi="Cambria" w:cs="Cambria"/>
          <w:color w:val="000000" w:themeColor="text1"/>
          <w:kern w:val="0"/>
          <w:sz w:val="28"/>
          <w:szCs w:val="28"/>
          <w14:ligatures w14:val="none"/>
        </w:rPr>
        <w:t>α</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Times New Roman" w:eastAsia="Times New Roman" w:hAnsi="Times New Roman" w:cs="Times New Roman"/>
          <w:color w:val="000000" w:themeColor="text1"/>
          <w:kern w:val="0"/>
          <w:sz w:val="28"/>
          <w:szCs w:val="28"/>
          <w14:ligatures w14:val="none"/>
        </w:rPr>
        <w:t>≤</w:t>
      </w:r>
      <w:r w:rsidRPr="0083094C">
        <w:rPr>
          <w:rFonts w:ascii="Simplified Arabic" w:eastAsia="Times New Roman" w:hAnsi="Simplified Arabic" w:cs="Simplified Arabic"/>
          <w:color w:val="000000" w:themeColor="text1"/>
          <w:kern w:val="0"/>
          <w:sz w:val="28"/>
          <w:szCs w:val="28"/>
          <w14:ligatures w14:val="none"/>
        </w:rPr>
        <w:t xml:space="preserve"> 0.05) </w:t>
      </w:r>
      <w:r w:rsidRPr="0083094C">
        <w:rPr>
          <w:rFonts w:ascii="Simplified Arabic" w:eastAsia="Times New Roman" w:hAnsi="Simplified Arabic" w:cs="Simplified Arabic"/>
          <w:color w:val="000000" w:themeColor="text1"/>
          <w:kern w:val="0"/>
          <w:sz w:val="28"/>
          <w:szCs w:val="28"/>
          <w:rtl/>
          <w14:ligatures w14:val="none"/>
        </w:rPr>
        <w:t>لتطبيق أنظمة الامتثال ومكافحة الاحتيال المدعومة بالذكاء الاصطناعي بأبعادها (أنظمة كشف الاحتيال الذكية، أنظمة الامتثال التنظيمي الآلي، أنظمة التحليل التنبؤي للمخاطر، أنظمة المراقبة والإنذار المبكر في الوقت الفعلي)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7AE333CA" w14:textId="77777777" w:rsidR="0083482F" w:rsidRPr="0083094C" w:rsidRDefault="0083482F" w:rsidP="00D661B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ينبثق من الفرض الرئيسي الفروض الفرعية التالية</w:t>
      </w:r>
      <w:r w:rsidRPr="0083094C">
        <w:rPr>
          <w:rFonts w:ascii="Simplified Arabic" w:eastAsia="Times New Roman" w:hAnsi="Simplified Arabic" w:cs="Simplified Arabic"/>
          <w:b/>
          <w:bCs/>
          <w:color w:val="000000" w:themeColor="text1"/>
          <w:kern w:val="0"/>
          <w:sz w:val="28"/>
          <w:szCs w:val="28"/>
          <w14:ligatures w14:val="none"/>
        </w:rPr>
        <w:t>:</w:t>
      </w:r>
    </w:p>
    <w:p w14:paraId="7946BA39" w14:textId="77777777" w:rsidR="0083482F" w:rsidRPr="0083094C" w:rsidRDefault="0083482F" w:rsidP="00CB723B">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الفرض الفرعي الأول</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Cambria" w:eastAsia="Times New Roman" w:hAnsi="Cambria" w:cs="Cambria"/>
          <w:color w:val="000000" w:themeColor="text1"/>
          <w:kern w:val="0"/>
          <w:sz w:val="28"/>
          <w:szCs w:val="28"/>
          <w14:ligatures w14:val="none"/>
        </w:rPr>
        <w:t>α</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Times New Roman" w:eastAsia="Times New Roman" w:hAnsi="Times New Roman" w:cs="Times New Roman"/>
          <w:color w:val="000000" w:themeColor="text1"/>
          <w:kern w:val="0"/>
          <w:sz w:val="28"/>
          <w:szCs w:val="28"/>
          <w14:ligatures w14:val="none"/>
        </w:rPr>
        <w:t>≤</w:t>
      </w:r>
      <w:r w:rsidRPr="0083094C">
        <w:rPr>
          <w:rFonts w:ascii="Simplified Arabic" w:eastAsia="Times New Roman" w:hAnsi="Simplified Arabic" w:cs="Simplified Arabic"/>
          <w:color w:val="000000" w:themeColor="text1"/>
          <w:kern w:val="0"/>
          <w:sz w:val="28"/>
          <w:szCs w:val="28"/>
          <w14:ligatures w14:val="none"/>
        </w:rPr>
        <w:t xml:space="preserve"> 0.05) </w:t>
      </w:r>
      <w:r w:rsidRPr="0083094C">
        <w:rPr>
          <w:rFonts w:ascii="Simplified Arabic" w:eastAsia="Times New Roman" w:hAnsi="Simplified Arabic" w:cs="Simplified Arabic"/>
          <w:color w:val="000000" w:themeColor="text1"/>
          <w:kern w:val="0"/>
          <w:sz w:val="28"/>
          <w:szCs w:val="28"/>
          <w:rtl/>
          <w14:ligatures w14:val="none"/>
        </w:rPr>
        <w:t>لتطبيق أنظمة كشف الاحتيال الذكية القائمة على خوارزميات التعلم الآلي والتعلم العميق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29632800" w14:textId="77777777" w:rsidR="0083482F" w:rsidRPr="0083094C" w:rsidRDefault="0083482F" w:rsidP="00CB723B">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الفرض الفرعي الثاني</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Cambria" w:eastAsia="Times New Roman" w:hAnsi="Cambria" w:cs="Cambria"/>
          <w:color w:val="000000" w:themeColor="text1"/>
          <w:kern w:val="0"/>
          <w:sz w:val="28"/>
          <w:szCs w:val="28"/>
          <w14:ligatures w14:val="none"/>
        </w:rPr>
        <w:t>α</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Times New Roman" w:eastAsia="Times New Roman" w:hAnsi="Times New Roman" w:cs="Times New Roman"/>
          <w:color w:val="000000" w:themeColor="text1"/>
          <w:kern w:val="0"/>
          <w:sz w:val="28"/>
          <w:szCs w:val="28"/>
          <w14:ligatures w14:val="none"/>
        </w:rPr>
        <w:t>≤</w:t>
      </w:r>
      <w:r w:rsidRPr="0083094C">
        <w:rPr>
          <w:rFonts w:ascii="Simplified Arabic" w:eastAsia="Times New Roman" w:hAnsi="Simplified Arabic" w:cs="Simplified Arabic"/>
          <w:color w:val="000000" w:themeColor="text1"/>
          <w:kern w:val="0"/>
          <w:sz w:val="28"/>
          <w:szCs w:val="28"/>
          <w14:ligatures w14:val="none"/>
        </w:rPr>
        <w:t xml:space="preserve"> 0.05) </w:t>
      </w:r>
      <w:r w:rsidRPr="0083094C">
        <w:rPr>
          <w:rFonts w:ascii="Simplified Arabic" w:eastAsia="Times New Roman" w:hAnsi="Simplified Arabic" w:cs="Simplified Arabic"/>
          <w:color w:val="000000" w:themeColor="text1"/>
          <w:kern w:val="0"/>
          <w:sz w:val="28"/>
          <w:szCs w:val="28"/>
          <w:rtl/>
          <w14:ligatures w14:val="none"/>
        </w:rPr>
        <w:t>لتطبيق أنظمة الامتثال التنظيمي الآلي المدعومة بمعالجة اللغة الطبيعية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5C025540" w14:textId="77777777" w:rsidR="0083482F" w:rsidRPr="0083094C" w:rsidRDefault="0083482F" w:rsidP="00CB723B">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الفرض الفرعي الثالث</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Cambria" w:eastAsia="Times New Roman" w:hAnsi="Cambria" w:cs="Cambria"/>
          <w:color w:val="000000" w:themeColor="text1"/>
          <w:kern w:val="0"/>
          <w:sz w:val="28"/>
          <w:szCs w:val="28"/>
          <w14:ligatures w14:val="none"/>
        </w:rPr>
        <w:t>α</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Times New Roman" w:eastAsia="Times New Roman" w:hAnsi="Times New Roman" w:cs="Times New Roman"/>
          <w:color w:val="000000" w:themeColor="text1"/>
          <w:kern w:val="0"/>
          <w:sz w:val="28"/>
          <w:szCs w:val="28"/>
          <w14:ligatures w14:val="none"/>
        </w:rPr>
        <w:t>≤</w:t>
      </w:r>
      <w:r w:rsidRPr="0083094C">
        <w:rPr>
          <w:rFonts w:ascii="Simplified Arabic" w:eastAsia="Times New Roman" w:hAnsi="Simplified Arabic" w:cs="Simplified Arabic"/>
          <w:color w:val="000000" w:themeColor="text1"/>
          <w:kern w:val="0"/>
          <w:sz w:val="28"/>
          <w:szCs w:val="28"/>
          <w14:ligatures w14:val="none"/>
        </w:rPr>
        <w:t xml:space="preserve"> 0.05) </w:t>
      </w:r>
      <w:r w:rsidRPr="0083094C">
        <w:rPr>
          <w:rFonts w:ascii="Simplified Arabic" w:eastAsia="Times New Roman" w:hAnsi="Simplified Arabic" w:cs="Simplified Arabic"/>
          <w:color w:val="000000" w:themeColor="text1"/>
          <w:kern w:val="0"/>
          <w:sz w:val="28"/>
          <w:szCs w:val="28"/>
          <w:rtl/>
          <w14:ligatures w14:val="none"/>
        </w:rPr>
        <w:t>لتطبيق أنظمة التحليل التنبؤي للمخاطر المبنية على تقنيات الذكاء الاصطناعي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608D5C81" w14:textId="77777777" w:rsidR="0083482F" w:rsidRPr="0083094C" w:rsidRDefault="0083482F" w:rsidP="00CB723B">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الفرض الفرعي الرابع</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Cambria" w:eastAsia="Times New Roman" w:hAnsi="Cambria" w:cs="Cambria"/>
          <w:color w:val="000000" w:themeColor="text1"/>
          <w:kern w:val="0"/>
          <w:sz w:val="28"/>
          <w:szCs w:val="28"/>
          <w14:ligatures w14:val="none"/>
        </w:rPr>
        <w:t>α</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Times New Roman" w:eastAsia="Times New Roman" w:hAnsi="Times New Roman" w:cs="Times New Roman"/>
          <w:color w:val="000000" w:themeColor="text1"/>
          <w:kern w:val="0"/>
          <w:sz w:val="28"/>
          <w:szCs w:val="28"/>
          <w14:ligatures w14:val="none"/>
        </w:rPr>
        <w:t>≤</w:t>
      </w:r>
      <w:r w:rsidRPr="0083094C">
        <w:rPr>
          <w:rFonts w:ascii="Simplified Arabic" w:eastAsia="Times New Roman" w:hAnsi="Simplified Arabic" w:cs="Simplified Arabic"/>
          <w:color w:val="000000" w:themeColor="text1"/>
          <w:kern w:val="0"/>
          <w:sz w:val="28"/>
          <w:szCs w:val="28"/>
          <w14:ligatures w14:val="none"/>
        </w:rPr>
        <w:t xml:space="preserve"> 0.05) </w:t>
      </w:r>
      <w:r w:rsidRPr="0083094C">
        <w:rPr>
          <w:rFonts w:ascii="Simplified Arabic" w:eastAsia="Times New Roman" w:hAnsi="Simplified Arabic" w:cs="Simplified Arabic"/>
          <w:color w:val="000000" w:themeColor="text1"/>
          <w:kern w:val="0"/>
          <w:sz w:val="28"/>
          <w:szCs w:val="28"/>
          <w:rtl/>
          <w14:ligatures w14:val="none"/>
        </w:rPr>
        <w:t>لتطبيق أنظمة المراقبة والإنذار المبكر في الوقت الفعلي المدعومة بالذكاء الاصطناعي على خفض الخسائر المالية في المؤسسات المالية بالمملكة العربية السعودية</w:t>
      </w:r>
      <w:r w:rsidRPr="0083094C">
        <w:rPr>
          <w:rFonts w:ascii="Simplified Arabic" w:eastAsia="Times New Roman" w:hAnsi="Simplified Arabic" w:cs="Simplified Arabic"/>
          <w:color w:val="000000" w:themeColor="text1"/>
          <w:kern w:val="0"/>
          <w:sz w:val="28"/>
          <w:szCs w:val="28"/>
          <w14:ligatures w14:val="none"/>
        </w:rPr>
        <w:t>.</w:t>
      </w:r>
    </w:p>
    <w:p w14:paraId="215233C5" w14:textId="77777777" w:rsidR="009A2C18" w:rsidRPr="0083094C" w:rsidRDefault="009A2C18" w:rsidP="009A2C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798951"/>
      <w:r w:rsidRPr="0083094C">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776B0FC4" w14:textId="6998D6F8" w:rsidR="009A2C18" w:rsidRPr="0083094C" w:rsidRDefault="009A2C18"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094C">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5DDFE69A" w14:textId="525B43A4" w:rsidR="0083482F" w:rsidRPr="0083094C" w:rsidRDefault="0083482F" w:rsidP="00CB723B">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والأجنبية من خلال الربط النظري بين مجالين بحثيين حيويين هما أنظمة الذكاء الاصطناعي في الامتثال ومكافحة الاحتيال من جهة والخسائر المالية من جهة أخرى، وهو ما لم يحظَ بالدراسة الكافية في السياق السعودي والعربي، مما يفتح آفاقاً جديدة للبحث الأكاديمي في هذا المجال البيني المتنامي</w:t>
      </w:r>
      <w:r w:rsidRPr="0083094C">
        <w:rPr>
          <w:rFonts w:ascii="Simplified Arabic" w:eastAsia="Times New Roman" w:hAnsi="Simplified Arabic" w:cs="Simplified Arabic"/>
          <w:color w:val="000000" w:themeColor="text1"/>
          <w:kern w:val="0"/>
          <w:sz w:val="28"/>
          <w:szCs w:val="28"/>
          <w14:ligatures w14:val="none"/>
        </w:rPr>
        <w:t>.</w:t>
      </w:r>
    </w:p>
    <w:p w14:paraId="719E92C9" w14:textId="123EC133" w:rsidR="0083482F" w:rsidRPr="0083094C" w:rsidRDefault="0083482F" w:rsidP="00CB723B">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تقدم الدراسة إطاراً نظرياً شاملاً يتضمن أربعة أبعاد لأنظمة الامتثال ومكافحة الاحتيال المدعومة بالذكاء الاصطناعي (أنظمة كشف الاحتيال الذكية، أنظمة الامتثال التنظيمي الآلي، أنظمة التحليل التنبؤي للمخاطر، أنظمة المراقبة والإنذار المبكر في الوقت الفعلي)، مما يوفر نموذجاً مرجعياً يمكن للباحثين البناء عليه وتطويره في دراسات مستقبلية</w:t>
      </w:r>
      <w:r w:rsidRPr="0083094C">
        <w:rPr>
          <w:rFonts w:ascii="Simplified Arabic" w:eastAsia="Times New Roman" w:hAnsi="Simplified Arabic" w:cs="Simplified Arabic"/>
          <w:color w:val="000000" w:themeColor="text1"/>
          <w:kern w:val="0"/>
          <w:sz w:val="28"/>
          <w:szCs w:val="28"/>
          <w14:ligatures w14:val="none"/>
        </w:rPr>
        <w:t>.</w:t>
      </w:r>
    </w:p>
    <w:p w14:paraId="6B7217FC" w14:textId="0C86741B" w:rsidR="0083482F" w:rsidRPr="0083094C" w:rsidRDefault="0083482F" w:rsidP="00CB723B">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تختبر الدراسة مدى انطباق النظريات والنماذج العلمية المتعلقة بالذكاء الاصطناعي وكشف الاحتيال التي تم تطويرها في بيئات غربية على بيئة الأعمال السعودية ذات الخصوصية التنظيمية والثقافية والاقتصادية المميزة، مما يعزز من قوة التعميم أو يكشف عن محددات سياقية للنظريات القائمة</w:t>
      </w:r>
      <w:r w:rsidRPr="0083094C">
        <w:rPr>
          <w:rFonts w:ascii="Simplified Arabic" w:eastAsia="Times New Roman" w:hAnsi="Simplified Arabic" w:cs="Simplified Arabic"/>
          <w:color w:val="000000" w:themeColor="text1"/>
          <w:kern w:val="0"/>
          <w:sz w:val="28"/>
          <w:szCs w:val="28"/>
          <w14:ligatures w14:val="none"/>
        </w:rPr>
        <w:t>.</w:t>
      </w:r>
    </w:p>
    <w:p w14:paraId="130F1F34" w14:textId="1D20FA97" w:rsidR="0083482F" w:rsidRPr="0083094C" w:rsidRDefault="0083482F" w:rsidP="00CB723B">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توفر الدراسة بياناتها ونتائجها كمرجعية علمية يمكن أن تشكل نقطة انطلاق للباحثين في إجراء دراسات مقارنة بين الدول العربية أو بين القطاعات المالية المختلفة، أو في استكشاف متغيرات وسيطة ومعدلة لم تتناولها الدراسة الحالية</w:t>
      </w:r>
      <w:r w:rsidRPr="0083094C">
        <w:rPr>
          <w:rFonts w:ascii="Simplified Arabic" w:eastAsia="Times New Roman" w:hAnsi="Simplified Arabic" w:cs="Simplified Arabic"/>
          <w:color w:val="000000" w:themeColor="text1"/>
          <w:kern w:val="0"/>
          <w:sz w:val="28"/>
          <w:szCs w:val="28"/>
          <w14:ligatures w14:val="none"/>
        </w:rPr>
        <w:t>.</w:t>
      </w:r>
    </w:p>
    <w:p w14:paraId="3D50CCD7" w14:textId="153A30F9" w:rsidR="0083482F" w:rsidRPr="0083094C" w:rsidRDefault="0083482F" w:rsidP="00CB723B">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تسهم الدراسة في تعزيز التكامل المعرفي بين تخصصات علوم الحاسب والذكاء الاصطناعي من جهة والمحاسبة والإدارة المالية وإدارة المخاطر من جهة أخرى، وهو توجه بحثي حديث يتزايد الاهتمام به أكاديمياً على المستوى الدولي</w:t>
      </w:r>
      <w:r w:rsidRPr="0083094C">
        <w:rPr>
          <w:rFonts w:ascii="Simplified Arabic" w:eastAsia="Times New Roman" w:hAnsi="Simplified Arabic" w:cs="Simplified Arabic"/>
          <w:color w:val="000000" w:themeColor="text1"/>
          <w:kern w:val="0"/>
          <w:sz w:val="28"/>
          <w:szCs w:val="28"/>
          <w14:ligatures w14:val="none"/>
        </w:rPr>
        <w:t>.</w:t>
      </w:r>
    </w:p>
    <w:p w14:paraId="5FCF2075" w14:textId="77777777" w:rsidR="0083482F" w:rsidRPr="0083094C" w:rsidRDefault="0083482F"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094C">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p>
    <w:p w14:paraId="281D05DE" w14:textId="098C16F2" w:rsidR="0083482F" w:rsidRPr="0083094C" w:rsidRDefault="0083482F" w:rsidP="00CB723B">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تزود الدراسة القيادات التنفيذية ومسؤولي الامتثال وإدارة المخاطر في البنوك وشركات التأمين ومؤسسات التقنية المالية في المملكة العربية السعودية بأدلة تجريبية حول الأثر الفعلي لأنظمة الذكاء الاصطناعي في خفض الخسائر المالية، مما يساعدهم في اتخاذ قرارات استثمارية مبنية على معطيات علمية بشأن تبني هذه التقنيات</w:t>
      </w:r>
      <w:r w:rsidRPr="0083094C">
        <w:rPr>
          <w:rFonts w:ascii="Simplified Arabic" w:eastAsia="Times New Roman" w:hAnsi="Simplified Arabic" w:cs="Simplified Arabic"/>
          <w:color w:val="000000" w:themeColor="text1"/>
          <w:kern w:val="0"/>
          <w:sz w:val="28"/>
          <w:szCs w:val="28"/>
          <w14:ligatures w14:val="none"/>
        </w:rPr>
        <w:t>.</w:t>
      </w:r>
    </w:p>
    <w:p w14:paraId="7C76D58F" w14:textId="16A5E022" w:rsidR="0083482F" w:rsidRPr="0083094C" w:rsidRDefault="0083482F" w:rsidP="00CB723B">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تتوافق الدراسة مع التوجهات الاستراتيجية للمملكة العربية السعودية في مجال التحول الرقمي وتطوير القطاع المالي، حيث تقدم رؤى تطبيقية تدعم جهود البنك المركزي السعودي (ساما) وهيئة السوق المالية في تعزيز البنية التحتية الرقمية للقطاع المالي وتحسين أنظمة الحوكمة والامتثال</w:t>
      </w:r>
      <w:r w:rsidRPr="0083094C">
        <w:rPr>
          <w:rFonts w:ascii="Simplified Arabic" w:eastAsia="Times New Roman" w:hAnsi="Simplified Arabic" w:cs="Simplified Arabic"/>
          <w:color w:val="000000" w:themeColor="text1"/>
          <w:kern w:val="0"/>
          <w:sz w:val="28"/>
          <w:szCs w:val="28"/>
          <w14:ligatures w14:val="none"/>
        </w:rPr>
        <w:t>.</w:t>
      </w:r>
    </w:p>
    <w:p w14:paraId="75EBCCD3" w14:textId="7494235C" w:rsidR="0083482F" w:rsidRPr="0083094C" w:rsidRDefault="0083482F" w:rsidP="00CB723B">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تنتج عن الدراسة توصيات ومقترحات تطبيقية محددة يمكن للمؤسسات المالية السعودية الاستفادة منها في تطوير أنظمة الامتثال ومكافحة الاحتيال لديها، وتحديد الأبعاد الأكثر تأثيراً في خفض الخسائر المالية مما يساعد في ترتيب أولويات الاستثمار التقني</w:t>
      </w:r>
      <w:r w:rsidRPr="0083094C">
        <w:rPr>
          <w:rFonts w:ascii="Simplified Arabic" w:eastAsia="Times New Roman" w:hAnsi="Simplified Arabic" w:cs="Simplified Arabic"/>
          <w:color w:val="000000" w:themeColor="text1"/>
          <w:kern w:val="0"/>
          <w:sz w:val="28"/>
          <w:szCs w:val="28"/>
          <w14:ligatures w14:val="none"/>
        </w:rPr>
        <w:t>.</w:t>
      </w:r>
    </w:p>
    <w:p w14:paraId="721DC0D9" w14:textId="721D644C" w:rsidR="0083482F" w:rsidRPr="0083094C" w:rsidRDefault="0083482F" w:rsidP="00CB723B">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تسهم نتائج الدراسة في تمكين المؤسسات المالية السعودية من تبني أفضل الممارسات العالمية في مجال مكافحة الاحتيال المدعوم بالذكاء الاصطناعي، مما يعزز من موقعها التنافسي إقليمياً ودولياً ويزيد من ثقة المستثمرين والعملاء في متانة النظام المالي السعودي</w:t>
      </w:r>
      <w:r w:rsidRPr="0083094C">
        <w:rPr>
          <w:rFonts w:ascii="Simplified Arabic" w:eastAsia="Times New Roman" w:hAnsi="Simplified Arabic" w:cs="Simplified Arabic"/>
          <w:color w:val="000000" w:themeColor="text1"/>
          <w:kern w:val="0"/>
          <w:sz w:val="28"/>
          <w:szCs w:val="28"/>
          <w14:ligatures w14:val="none"/>
        </w:rPr>
        <w:t>.</w:t>
      </w:r>
    </w:p>
    <w:p w14:paraId="7A7C2AF5" w14:textId="6C9DBCC1" w:rsidR="0083482F" w:rsidRPr="0083094C" w:rsidRDefault="0083482F" w:rsidP="00CB723B">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توفر الدراسة للجهات الرقابية والتنظيمية في المملكة العربية السعودية كالبنك المركزي السعودي وهيئة السوق المالية معلومات تفصيلية عن واقع تطبيق أنظمة الذكاء الاصطناعي في مكافحة الاحتيال والامتثال، مما يساعدها في صياغة سياسات تنظيمية وتشريعية أكثر فعالية تواكب التطورات التقنية المتسارعة</w:t>
      </w:r>
      <w:r w:rsidRPr="0083094C">
        <w:rPr>
          <w:rFonts w:ascii="Simplified Arabic" w:eastAsia="Times New Roman" w:hAnsi="Simplified Arabic" w:cs="Simplified Arabic"/>
          <w:color w:val="000000" w:themeColor="text1"/>
          <w:kern w:val="0"/>
          <w:sz w:val="28"/>
          <w:szCs w:val="28"/>
          <w14:ligatures w14:val="none"/>
        </w:rPr>
        <w:t>.</w:t>
      </w:r>
    </w:p>
    <w:p w14:paraId="18BDCEE2" w14:textId="77777777" w:rsidR="009A2C18" w:rsidRPr="0083094C" w:rsidRDefault="009A2C18" w:rsidP="009A2C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798952"/>
      <w:bookmarkStart w:id="12" w:name="_Toc224107084"/>
      <w:bookmarkStart w:id="13" w:name="_Toc169790501"/>
      <w:bookmarkEnd w:id="5"/>
      <w:bookmarkEnd w:id="7"/>
      <w:r w:rsidRPr="0083094C">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44B6718B" w14:textId="77777777" w:rsidR="009A2C18" w:rsidRPr="0083094C" w:rsidRDefault="009A2C18"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3094C">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(أنظمة الامتثال ومكافحة الاحتيال المدعومة بالذكاء الاصطناعي) وعلاقته بمتغيرات أخرى</w:t>
      </w:r>
    </w:p>
    <w:p w14:paraId="3B5A6CE4" w14:textId="77777777" w:rsidR="009A2C18" w:rsidRPr="0083094C" w:rsidRDefault="009A2C18" w:rsidP="00CB723B">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 xml:space="preserve">دراسة </w:t>
      </w:r>
      <w:r w:rsidRPr="0083094C">
        <w:rPr>
          <w:rFonts w:ascii="Simplified Arabic" w:eastAsia="Times New Roman" w:hAnsi="Simplified Arabic" w:cs="Simplified Arabic"/>
          <w:b/>
          <w:bCs/>
          <w:color w:val="000000" w:themeColor="text1"/>
          <w:kern w:val="0"/>
          <w:sz w:val="28"/>
          <w:szCs w:val="28"/>
          <w14:ligatures w14:val="none"/>
        </w:rPr>
        <w:t xml:space="preserve">(Aziz &amp; Andriansyah, 2023) </w:t>
      </w:r>
      <w:r w:rsidRPr="0083094C">
        <w:rPr>
          <w:rFonts w:ascii="Simplified Arabic" w:eastAsia="Times New Roman" w:hAnsi="Simplified Arabic" w:cs="Simplified Arabic"/>
          <w:b/>
          <w:bCs/>
          <w:color w:val="000000" w:themeColor="text1"/>
          <w:kern w:val="0"/>
          <w:sz w:val="28"/>
          <w:szCs w:val="28"/>
          <w:rtl/>
          <w14:ligatures w14:val="none"/>
        </w:rPr>
        <w:t>بعنوان</w:t>
      </w:r>
      <w:r w:rsidRPr="0083094C">
        <w:rPr>
          <w:rFonts w:ascii="Simplified Arabic" w:eastAsia="Times New Roman" w:hAnsi="Simplified Arabic" w:cs="Simplified Arabic"/>
          <w:b/>
          <w:bCs/>
          <w:color w:val="000000" w:themeColor="text1"/>
          <w:kern w:val="0"/>
          <w:sz w:val="28"/>
          <w:szCs w:val="28"/>
          <w14:ligatures w14:val="none"/>
        </w:rPr>
        <w:t>: "The Role Artificial Intelligence in Modern Banking: An Exploration of AI-Driven Approaches for Enhanced Fraud Prevention, Risk Management, and Regulatory Compliance"</w:t>
      </w:r>
    </w:p>
    <w:p w14:paraId="171028D8" w14:textId="77777777"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التطبيقات المتعددة للذكاء الاصطناعي بأبعادها (التعلم العميق والشبكات العصبية، معالجة اللغة الطبيعية، التحليلات البيانية والرسوم البيانية، القياسات الحيوية السلوكية) في كشف الاحتيال ومنعه وإدارته في القطاع المصرفي الحديث، وأثرها على تعزيز منع الاحتيال وإدارة المخاطر والامتثال التنظيمي</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واستخدمت الدراسة المنهج الوصفي الاستكشافي القائم على تحليل الأدبيات والأبحاث المتخصصة في تطبيقات الذكاء الاصطناعي في القطاع المصرفي</w:t>
      </w:r>
      <w:r w:rsidRPr="0083094C">
        <w:rPr>
          <w:rFonts w:ascii="Simplified Arabic" w:eastAsia="Times New Roman" w:hAnsi="Simplified Arabic" w:cs="Simplified Arabic"/>
          <w:color w:val="000000" w:themeColor="text1"/>
          <w:kern w:val="0"/>
          <w:sz w:val="28"/>
          <w:szCs w:val="28"/>
          <w14:ligatures w14:val="none"/>
        </w:rPr>
        <w:t>.</w:t>
      </w:r>
    </w:p>
    <w:p w14:paraId="225F4157" w14:textId="0C7308E8"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أن أنظمة كشف الاحتيال التقليدية القائمة على القواعد تفتقر إلى القدرة على الكشف في الوقت الفعلي، في حين أن الذكاء الاصطناعي يستطيع تحليل بيانات المعاملات الضخمة بسرعة وتحديد الحالات الشاذة والأنشطة الاحتيالية المحتملة فور حدوثها. كما أظهرت النتائج أن تقنيات الشبكات العصبية العميقة عند تدريبها على بيانات الاحتيال التاريخية تستطيع تمييز الأنماط المعقدة والتنبؤ بالمعاملات الاحتيالية بدقة ملحوظة. وبيّنت الدراسة أن أنظمة التعلم الذاتي تضمن تحديث آليات الذكاء الاصطناعي باستمرار مع تطور أساليب الاحتيال مما يحافظ على فعاليتها. وأوصت الدراسة بضرورة تكامل حلول الذكاء الاصطناعي مع الأنظمة المصرفية الحالية بشكل سلس، وتطوير آليات التحقق البيومتري المتقدمة، والاستثمار في أنظمة التعلم المستمر القادرة على التكيف مع أساليب الاحتيال الجديدة فور ظهورها</w:t>
      </w:r>
      <w:r w:rsidRPr="0083094C">
        <w:rPr>
          <w:rFonts w:ascii="Simplified Arabic" w:eastAsia="Times New Roman" w:hAnsi="Simplified Arabic" w:cs="Simplified Arabic"/>
          <w:color w:val="000000" w:themeColor="text1"/>
          <w:kern w:val="0"/>
          <w:sz w:val="28"/>
          <w:szCs w:val="28"/>
          <w14:ligatures w14:val="none"/>
        </w:rPr>
        <w:t>.</w:t>
      </w:r>
    </w:p>
    <w:p w14:paraId="4D1306F0" w14:textId="77777777" w:rsidR="009A2C18" w:rsidRPr="0083094C" w:rsidRDefault="009A2C18" w:rsidP="00CB723B">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 xml:space="preserve">دراسة </w:t>
      </w:r>
      <w:r w:rsidRPr="0083094C">
        <w:rPr>
          <w:rFonts w:ascii="Simplified Arabic" w:eastAsia="Times New Roman" w:hAnsi="Simplified Arabic" w:cs="Simplified Arabic"/>
          <w:b/>
          <w:bCs/>
          <w:color w:val="000000" w:themeColor="text1"/>
          <w:kern w:val="0"/>
          <w:sz w:val="28"/>
          <w:szCs w:val="28"/>
          <w14:ligatures w14:val="none"/>
        </w:rPr>
        <w:t xml:space="preserve">(Kumar, 2024) </w:t>
      </w:r>
      <w:r w:rsidRPr="0083094C">
        <w:rPr>
          <w:rFonts w:ascii="Simplified Arabic" w:eastAsia="Times New Roman" w:hAnsi="Simplified Arabic" w:cs="Simplified Arabic"/>
          <w:b/>
          <w:bCs/>
          <w:color w:val="000000" w:themeColor="text1"/>
          <w:kern w:val="0"/>
          <w:sz w:val="28"/>
          <w:szCs w:val="28"/>
          <w:rtl/>
          <w14:ligatures w14:val="none"/>
        </w:rPr>
        <w:t>بعنوان</w:t>
      </w:r>
      <w:r w:rsidRPr="0083094C">
        <w:rPr>
          <w:rFonts w:ascii="Simplified Arabic" w:eastAsia="Times New Roman" w:hAnsi="Simplified Arabic" w:cs="Simplified Arabic"/>
          <w:b/>
          <w:bCs/>
          <w:color w:val="000000" w:themeColor="text1"/>
          <w:kern w:val="0"/>
          <w:sz w:val="28"/>
          <w:szCs w:val="28"/>
          <w14:ligatures w14:val="none"/>
        </w:rPr>
        <w:t>: "AI-Powered Fraud Prevention in Digital Payment Ecosystems: Leveraging Machine Learning for Real-Time Anomaly Detection and Risk Mitigation"</w:t>
      </w:r>
    </w:p>
    <w:p w14:paraId="6DFE03E5" w14:textId="77777777"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هدفت هذه الدراسة إلى التعرف على فعالية إطار عمل هجين للوقاية من الاحتيال مدعوم بالذكاء الاصطناعي بأبعاده (التعلم الآلي الموجّه، كشف الحالات الشاذة غير الموجّه، التحليلات السلوكية البيومترية، تحليل بصمة الأجهزة) في أنظمة المدفوعات الرقمية لكشف الاحتيال في الوقت الفعلي والتخفيف من المخاطر. واستخدمت الدراسة المنهج التجريبي التحليلي المبني على تصميم إطار عمل متعدد الطبقات يدمج بين التعلم الآلي الموجّه وغير الموجّه. وتكونت العينة من مجموعة بيانات اصطناعية تضم 10,000 معاملة مالية مدمجة بتوقيعات احتيال متنوعة تم تصميمها لاختبار النظام</w:t>
      </w:r>
      <w:r w:rsidRPr="0083094C">
        <w:rPr>
          <w:rFonts w:ascii="Simplified Arabic" w:eastAsia="Times New Roman" w:hAnsi="Simplified Arabic" w:cs="Simplified Arabic"/>
          <w:color w:val="000000" w:themeColor="text1"/>
          <w:kern w:val="0"/>
          <w:sz w:val="28"/>
          <w:szCs w:val="28"/>
          <w14:ligatures w14:val="none"/>
        </w:rPr>
        <w:t>.</w:t>
      </w:r>
    </w:p>
    <w:p w14:paraId="5952805B" w14:textId="20A3D757"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3094C">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النظام المقترح حقق نسبة استرجاع بلغت 94% ودقة بلغت حوالي 85% مع زمن استجابة أقل من 3 مللي ثانية لكل معاملة، متفوقاً بذلك على المصنفات التقليدية مثل </w:t>
      </w:r>
      <w:r w:rsidRPr="0083094C">
        <w:rPr>
          <w:rFonts w:ascii="Simplified Arabic" w:eastAsia="Times New Roman" w:hAnsi="Simplified Arabic" w:cs="Simplified Arabic"/>
          <w:color w:val="000000" w:themeColor="text1"/>
          <w:kern w:val="0"/>
          <w:sz w:val="28"/>
          <w:szCs w:val="28"/>
          <w:rtl/>
          <w14:ligatures w14:val="none"/>
        </w:rPr>
        <w:lastRenderedPageBreak/>
        <w:t>الانحدار اللوجستي والغابات العشوائية ونماذج عزل الحالات الشاذة. كما أظهرت النتائج أن دمج مصادر البيانات المتنوعة (بيانات المعاملات، السلوك البيومتري، بصمة الأجهزة، أنماط الشبكة) في إطار قرار موحد يمكّن من الكشف السريع والدقيق عن هجمات الاحتيال المعقدة متعددة المتجهات. وأوصت الدراسة بضرورة استكشاف التعلم الذاتي الإشراف لاكتشاف الأنماط من البيانات غير المصنفة، واستخدام الشبكات العصبية البيانية لكشف حلقات الاحتيال المنسقة، وتطبيق التعلم الفيدرالي للتعاون بين المؤسسات مع الحفاظ على الخصوصية، وتعزيز مقاومة النماذج للهجمات العدائية</w:t>
      </w:r>
      <w:r w:rsidRPr="0083094C">
        <w:rPr>
          <w:rFonts w:ascii="Simplified Arabic" w:eastAsia="Times New Roman" w:hAnsi="Simplified Arabic" w:cs="Simplified Arabic"/>
          <w:color w:val="000000" w:themeColor="text1"/>
          <w:kern w:val="0"/>
          <w:sz w:val="28"/>
          <w:szCs w:val="28"/>
          <w14:ligatures w14:val="none"/>
        </w:rPr>
        <w:t>.</w:t>
      </w:r>
    </w:p>
    <w:p w14:paraId="093ED840" w14:textId="262EB93D" w:rsidR="009A2C18" w:rsidRPr="0083094C" w:rsidRDefault="009A2C18" w:rsidP="00CB723B">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3094C">
        <w:rPr>
          <w:rFonts w:ascii="Simplified Arabic" w:eastAsia="Times New Roman" w:hAnsi="Simplified Arabic" w:cs="Simplified Arabic"/>
          <w:b/>
          <w:bCs/>
          <w:color w:val="000000" w:themeColor="text1"/>
          <w:kern w:val="0"/>
          <w:sz w:val="28"/>
          <w:szCs w:val="28"/>
          <w:rtl/>
          <w14:ligatures w14:val="none"/>
        </w:rPr>
        <w:t>دراسة (</w:t>
      </w:r>
      <w:r w:rsidRPr="0083094C">
        <w:rPr>
          <w:rFonts w:ascii="Simplified Arabic" w:eastAsia="Times New Roman" w:hAnsi="Simplified Arabic" w:cs="Simplified Arabic"/>
          <w:b/>
          <w:bCs/>
          <w:color w:val="000000" w:themeColor="text1"/>
          <w:kern w:val="0"/>
          <w:sz w:val="28"/>
          <w:szCs w:val="28"/>
          <w14:ligatures w14:val="none"/>
        </w:rPr>
        <w:t>Paul &amp; Ogburie, 2025</w:t>
      </w:r>
      <w:r w:rsidRPr="0083094C">
        <w:rPr>
          <w:rFonts w:ascii="Simplified Arabic" w:eastAsia="Times New Roman" w:hAnsi="Simplified Arabic" w:cs="Simplified Arabic"/>
          <w:b/>
          <w:bCs/>
          <w:color w:val="000000" w:themeColor="text1"/>
          <w:kern w:val="0"/>
          <w:sz w:val="28"/>
          <w:szCs w:val="28"/>
          <w:rtl/>
          <w14:ligatures w14:val="none"/>
        </w:rPr>
        <w:t>) بعنوان: "</w:t>
      </w:r>
      <w:r w:rsidRPr="0083094C">
        <w:rPr>
          <w:rFonts w:ascii="Simplified Arabic" w:eastAsia="Times New Roman" w:hAnsi="Simplified Arabic" w:cs="Simplified Arabic"/>
          <w:b/>
          <w:bCs/>
          <w:color w:val="000000" w:themeColor="text1"/>
          <w:kern w:val="0"/>
          <w:sz w:val="28"/>
          <w:szCs w:val="28"/>
          <w14:ligatures w14:val="none"/>
        </w:rPr>
        <w:t>The Role of AI in Preventing Financial Fraud and Enhancing Compliance</w:t>
      </w:r>
      <w:r w:rsidRPr="0083094C">
        <w:rPr>
          <w:rFonts w:ascii="Simplified Arabic" w:eastAsia="Times New Roman" w:hAnsi="Simplified Arabic" w:cs="Simplified Arabic"/>
          <w:b/>
          <w:bCs/>
          <w:color w:val="000000" w:themeColor="text1"/>
          <w:kern w:val="0"/>
          <w:sz w:val="28"/>
          <w:szCs w:val="28"/>
          <w:rtl/>
          <w14:ligatures w14:val="none"/>
        </w:rPr>
        <w:t>"</w:t>
      </w:r>
    </w:p>
    <w:p w14:paraId="20CDC93B"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هدفت هذه الدراسة إلى التعرف على دور الذكاء الاصطناعي بأبعاده (التعلم الآلي، معالجة اللغة الطبيعية، التحليلات التنبؤية) في منع الاحتيال المالي وتعزيز الامتثال التنظيمي في المؤسسات المالية. واستخدمت الدراسة المنهج المختلط الذي يجمع بين التحليل الكمي للبيانات والتقييم النوعي لنماذج كشف الاحتيال المدعومة بالذكاء الاصطناعي</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 xml:space="preserve">وقد اعتمدت الدراسة على مجموعات بيانات متعددة تشمل سجلات المعاملات المالية من البنك المركزي الأوروبي وشبكة مكافحة الجرائم المالية الأمريكية </w:t>
      </w:r>
      <w:r w:rsidRPr="0083094C">
        <w:rPr>
          <w:rFonts w:ascii="Simplified Arabic" w:eastAsia="Times New Roman" w:hAnsi="Simplified Arabic" w:cs="Simplified Arabic"/>
          <w:color w:val="000000" w:themeColor="text1"/>
          <w:kern w:val="0"/>
          <w:sz w:val="28"/>
          <w:szCs w:val="28"/>
          <w14:ligatures w14:val="none"/>
        </w:rPr>
        <w:t>(FinCEN)</w:t>
      </w:r>
      <w:r w:rsidRPr="0083094C">
        <w:rPr>
          <w:rFonts w:ascii="Simplified Arabic" w:eastAsia="Times New Roman" w:hAnsi="Simplified Arabic" w:cs="Simplified Arabic"/>
          <w:color w:val="000000" w:themeColor="text1"/>
          <w:kern w:val="0"/>
          <w:sz w:val="28"/>
          <w:szCs w:val="28"/>
          <w:rtl/>
          <w14:ligatures w14:val="none"/>
        </w:rPr>
        <w:t>، فضلاً عن مجموعة بيانات الاحتيال في بطاقات الائتمان المتاحة من جامعة بروكسل الحرة. وتكونت العينة التحليلية من مليون معاملة مالية تم اختبار نماذج الذكاء الاصطناعي المختلفة عليها</w:t>
      </w:r>
      <w:r w:rsidRPr="0083094C">
        <w:rPr>
          <w:rFonts w:ascii="Simplified Arabic" w:eastAsia="Times New Roman" w:hAnsi="Simplified Arabic" w:cs="Simplified Arabic"/>
          <w:color w:val="000000" w:themeColor="text1"/>
          <w:kern w:val="0"/>
          <w:sz w:val="28"/>
          <w:szCs w:val="28"/>
          <w14:ligatures w14:val="none"/>
        </w:rPr>
        <w:t>.</w:t>
      </w:r>
    </w:p>
    <w:p w14:paraId="11ADA365"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أن نموذج الشبكات العصبية المتكررة طويلة المدى القصير</w:t>
      </w:r>
      <w:r w:rsidRPr="0083094C">
        <w:rPr>
          <w:rFonts w:ascii="Simplified Arabic" w:eastAsia="Times New Roman" w:hAnsi="Simplified Arabic" w:cs="Simplified Arabic"/>
          <w:color w:val="000000" w:themeColor="text1"/>
          <w:kern w:val="0"/>
          <w:sz w:val="28"/>
          <w:szCs w:val="28"/>
          <w14:ligatures w14:val="none"/>
        </w:rPr>
        <w:t xml:space="preserve"> (LSTM) </w:t>
      </w:r>
      <w:r w:rsidRPr="0083094C">
        <w:rPr>
          <w:rFonts w:ascii="Simplified Arabic" w:eastAsia="Times New Roman" w:hAnsi="Simplified Arabic" w:cs="Simplified Arabic"/>
          <w:color w:val="000000" w:themeColor="text1"/>
          <w:kern w:val="0"/>
          <w:sz w:val="28"/>
          <w:szCs w:val="28"/>
          <w:rtl/>
          <w14:ligatures w14:val="none"/>
        </w:rPr>
        <w:t>حقق أعلى دقة في كشف الاحتيال بنسبة بلغت 94.2% ودرجة</w:t>
      </w:r>
      <w:r w:rsidRPr="0083094C">
        <w:rPr>
          <w:rFonts w:ascii="Simplified Arabic" w:eastAsia="Times New Roman" w:hAnsi="Simplified Arabic" w:cs="Simplified Arabic"/>
          <w:color w:val="000000" w:themeColor="text1"/>
          <w:kern w:val="0"/>
          <w:sz w:val="28"/>
          <w:szCs w:val="28"/>
          <w14:ligatures w14:val="none"/>
        </w:rPr>
        <w:t xml:space="preserve"> PR-AUC </w:t>
      </w:r>
      <w:r w:rsidRPr="0083094C">
        <w:rPr>
          <w:rFonts w:ascii="Simplified Arabic" w:eastAsia="Times New Roman" w:hAnsi="Simplified Arabic" w:cs="Simplified Arabic"/>
          <w:color w:val="000000" w:themeColor="text1"/>
          <w:kern w:val="0"/>
          <w:sz w:val="28"/>
          <w:szCs w:val="28"/>
          <w:rtl/>
          <w14:ligatures w14:val="none"/>
        </w:rPr>
        <w:t>بلغت 0.94، متفوقاً بذلك على نماذج التعلم الآلي التقليدية كالانحدار اللوجستي والغابات العشوائية. كما أظهرت النتائج أن أنظمة الامتثال التلقائي المبنية على نماذج</w:t>
      </w:r>
      <w:r w:rsidRPr="0083094C">
        <w:rPr>
          <w:rFonts w:ascii="Simplified Arabic" w:eastAsia="Times New Roman" w:hAnsi="Simplified Arabic" w:cs="Simplified Arabic"/>
          <w:color w:val="000000" w:themeColor="text1"/>
          <w:kern w:val="0"/>
          <w:sz w:val="28"/>
          <w:szCs w:val="28"/>
          <w14:ligatures w14:val="none"/>
        </w:rPr>
        <w:t xml:space="preserve"> BERT </w:t>
      </w:r>
      <w:r w:rsidRPr="0083094C">
        <w:rPr>
          <w:rFonts w:ascii="Simplified Arabic" w:eastAsia="Times New Roman" w:hAnsi="Simplified Arabic" w:cs="Simplified Arabic"/>
          <w:color w:val="000000" w:themeColor="text1"/>
          <w:kern w:val="0"/>
          <w:sz w:val="28"/>
          <w:szCs w:val="28"/>
          <w:rtl/>
          <w14:ligatures w14:val="none"/>
        </w:rPr>
        <w:t>لمعالجة اللغة الطبيعية حققت دقة بنسبة 93.2% في تصنيف مخاطر الامتثال التنظيمي، مقارنة بنسبة 78.2% فقط للأنظمة التقليدية القائمة على القواعد. وأوصت الدراسة بضرورة تطوير أطر تنظيمية موحدة لاستخدام الذكاء الاصطناعي في القطاع المالي، وتعزيز قابلية التفسير في نماذج الذكاء الاصطناعي من خلال تقنيات الذكاء الاصطناعي القابل للتفسير</w:t>
      </w:r>
      <w:r w:rsidRPr="0083094C">
        <w:rPr>
          <w:rFonts w:ascii="Simplified Arabic" w:eastAsia="Times New Roman" w:hAnsi="Simplified Arabic" w:cs="Simplified Arabic"/>
          <w:color w:val="000000" w:themeColor="text1"/>
          <w:kern w:val="0"/>
          <w:sz w:val="28"/>
          <w:szCs w:val="28"/>
          <w14:ligatures w14:val="none"/>
        </w:rPr>
        <w:t xml:space="preserve"> (XAI)</w:t>
      </w:r>
      <w:r w:rsidRPr="0083094C">
        <w:rPr>
          <w:rFonts w:ascii="Simplified Arabic" w:eastAsia="Times New Roman" w:hAnsi="Simplified Arabic" w:cs="Simplified Arabic"/>
          <w:color w:val="000000" w:themeColor="text1"/>
          <w:kern w:val="0"/>
          <w:sz w:val="28"/>
          <w:szCs w:val="28"/>
          <w:rtl/>
          <w14:ligatures w14:val="none"/>
        </w:rPr>
        <w:t>، واستكشاف دمج تقنيات البلوكتشين والحوسبة الكمية لتعزيز قدرات كشف الاحتيال والامتثال</w:t>
      </w:r>
      <w:r w:rsidRPr="0083094C">
        <w:rPr>
          <w:rFonts w:ascii="Simplified Arabic" w:eastAsia="Times New Roman" w:hAnsi="Simplified Arabic" w:cs="Simplified Arabic"/>
          <w:color w:val="000000" w:themeColor="text1"/>
          <w:kern w:val="0"/>
          <w:sz w:val="28"/>
          <w:szCs w:val="28"/>
          <w14:ligatures w14:val="none"/>
        </w:rPr>
        <w:t>.</w:t>
      </w:r>
    </w:p>
    <w:p w14:paraId="45B41B63" w14:textId="77777777" w:rsidR="0083482F" w:rsidRPr="0083094C" w:rsidRDefault="0083482F" w:rsidP="00CB723B">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دراسة (غندور وسليمة، 2025) بعنوان: "فعالية أنظمة الذكاء الاصطناعي في مكافحة الاحتيال الإلكتروني</w:t>
      </w:r>
      <w:r w:rsidRPr="0083094C">
        <w:rPr>
          <w:rFonts w:ascii="Simplified Arabic" w:eastAsia="Times New Roman" w:hAnsi="Simplified Arabic" w:cs="Simplified Arabic"/>
          <w:b/>
          <w:bCs/>
          <w:color w:val="000000" w:themeColor="text1"/>
          <w:kern w:val="0"/>
          <w:sz w:val="28"/>
          <w:szCs w:val="28"/>
          <w14:ligatures w14:val="none"/>
        </w:rPr>
        <w:t>"</w:t>
      </w:r>
    </w:p>
    <w:p w14:paraId="298B87DF"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واقع استخدام برامج الذكاء الاصطناعي بأبعادها (تقنيات الحماية السيبرانية، البرمجيات الذكية لرصد الاحتيال، الاستراتيجيات الأمنية الدولية) في مكافحة الاحتيال الإلكتروني المعزز بتقنيات الذكاء الاصطناعي. واستخدمت الدراسة المنهج الوصفي التحليلي كون الدراسة تسعى للبحث في خلفيات ظاهرة الاحتيال الإلكتروني ومسبباتها ونتائجها. واعتمدت الدراسة على تحليل الأدبيات والوثائق والتقارير الصادرة عن الهيئات الدولية المعنية بالأمن السيبراني</w:t>
      </w:r>
      <w:r w:rsidRPr="0083094C">
        <w:rPr>
          <w:rFonts w:ascii="Simplified Arabic" w:eastAsia="Times New Roman" w:hAnsi="Simplified Arabic" w:cs="Simplified Arabic"/>
          <w:color w:val="000000" w:themeColor="text1"/>
          <w:kern w:val="0"/>
          <w:sz w:val="28"/>
          <w:szCs w:val="28"/>
          <w14:ligatures w14:val="none"/>
        </w:rPr>
        <w:t>.</w:t>
      </w:r>
    </w:p>
    <w:p w14:paraId="474E9D0D" w14:textId="403C032C"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أن هناك العديد من البرامج والتقنيات القائمة على الذكاء الاصطناعي التي تستعين بها المؤسسات في عمليات حماية البيانات العامة والخاصة للأفراد. كما أظهرت النتائج أن العديد من الهيئات الدولية قد بادرت إلى تبني استراتيجيات أمنية لتحقيق أقصى درجات الأمان السيبراني. وبيّنت الدراسة أن عمليات الاحتيال الإلكتروني تتطور بشكل مستمر مما يجعل من عمليات التصدي لها بالغة الصعوبة بحكم تعدد أساليب وأشكال الاختراق والاحتيال التي يتبعها المحتالون عبر الإنترنت. وأوصت الدراسة بضرورة تطوير الأطر التشريعية والقانونية لمواكبة التطورات المتسارعة في أساليب الاحتيال الإلكتروني، وتعزيز التعاون الدولي لمكافحة الجرائم السيبرانية، والاستثمار المستمر في تقنيات الذكاء الاصطناعي المتقدمة للكشف المبكر عن محاولات الاحتيال</w:t>
      </w:r>
      <w:r w:rsidRPr="0083094C">
        <w:rPr>
          <w:rFonts w:ascii="Simplified Arabic" w:eastAsia="Times New Roman" w:hAnsi="Simplified Arabic" w:cs="Simplified Arabic"/>
          <w:color w:val="000000" w:themeColor="text1"/>
          <w:kern w:val="0"/>
          <w:sz w:val="28"/>
          <w:szCs w:val="28"/>
          <w14:ligatures w14:val="none"/>
        </w:rPr>
        <w:t>.</w:t>
      </w:r>
    </w:p>
    <w:p w14:paraId="5457EF40" w14:textId="77777777" w:rsidR="0083482F" w:rsidRPr="0083094C" w:rsidRDefault="0083482F" w:rsidP="00CB723B">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دراسة (فراحي، 2025) بعنوان: "نموذج تعلم آلي ذكي لكشف الاحتيال في بطاقة الائتمان: تطبيق عملي على منصة تفاعلية</w:t>
      </w:r>
      <w:r w:rsidRPr="0083094C">
        <w:rPr>
          <w:rFonts w:ascii="Simplified Arabic" w:eastAsia="Times New Roman" w:hAnsi="Simplified Arabic" w:cs="Simplified Arabic"/>
          <w:b/>
          <w:bCs/>
          <w:color w:val="000000" w:themeColor="text1"/>
          <w:kern w:val="0"/>
          <w:sz w:val="28"/>
          <w:szCs w:val="28"/>
          <w14:ligatures w14:val="none"/>
        </w:rPr>
        <w:t>"</w:t>
      </w:r>
    </w:p>
    <w:p w14:paraId="4C825399"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هدفت هذه الدراسة إلى التعرف على فعالية نموذج تعلم آلي ذكي يعتمد على خوارزمية الغابة العشوائية بأبعادها (دقة التصنيف، أهمية المتغيرات، كفاءة كشف الأنماط الاحتيالية) في كشف الاحتيال في بطاقات الائتمان، مع التركيز على تخريج النموذج كمنصة تفاعلية في البيئات العملية في المؤسسات المالية. واستخدمت الدراسة المنهج التجريبي التطبيقي القائم على بناء نموذج تعلم آلي باستخدام خوارزمية الغابة العشوائية، وهي إحدى أهم خوارزميات التعلم الآلي بالإشراف، وتطبيقه عملياً كمنصة تفاعلية لكشف الاحتيال. وتكونت عينة الدراسة من مجموعة بيانات لمعاملات بطاقات الائتمان تم تحليلها وتدريب النموذج عليها</w:t>
      </w:r>
      <w:r w:rsidRPr="0083094C">
        <w:rPr>
          <w:rFonts w:ascii="Simplified Arabic" w:eastAsia="Times New Roman" w:hAnsi="Simplified Arabic" w:cs="Simplified Arabic"/>
          <w:color w:val="000000" w:themeColor="text1"/>
          <w:kern w:val="0"/>
          <w:sz w:val="28"/>
          <w:szCs w:val="28"/>
          <w14:ligatures w14:val="none"/>
        </w:rPr>
        <w:t>.</w:t>
      </w:r>
    </w:p>
    <w:p w14:paraId="3ECDFD42"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 xml:space="preserve">وتوصلت نتائج الدراسة إلى تحديد أهم المتغيرات كميزات أساسية تساعد في تحليل البيانات واكتشاف الأنماط الاحتيالية. كما أثبتت النتائج أن نموذج الغابة العشوائية يحقق كفاءة عالية في التمييز بين المعاملات المشروعة والاحتيالية، مما يسهم في تعزيز الأمن المالي وحماية الاقتصاد الوطني من التهديدات الإجرامية. </w:t>
      </w:r>
      <w:r w:rsidRPr="0083094C">
        <w:rPr>
          <w:rFonts w:ascii="Simplified Arabic" w:eastAsia="Times New Roman" w:hAnsi="Simplified Arabic" w:cs="Simplified Arabic"/>
          <w:color w:val="000000" w:themeColor="text1"/>
          <w:kern w:val="0"/>
          <w:sz w:val="28"/>
          <w:szCs w:val="28"/>
          <w:rtl/>
          <w14:ligatures w14:val="none"/>
        </w:rPr>
        <w:lastRenderedPageBreak/>
        <w:t>وبيّنت الدراسة أن النموذج يمكن أن يكون أداة فعالة ليس فقط للمؤسسات المالية وإنما أيضاً للأجهزة الأمنية والمخابراتية في كشف المحتالين والمجرمين الذين يستغلون الأنظمة المالية لأغراض غير مشروعة. وأوصت الدراسة بضرورة تبني المؤسسات المالية لنماذج التعلم الآلي الذكية في أنظمة كشف الاحتيال لديها، وتطوير منصات تفاعلية سهلة الاستخدام تتيح الكشف الفوري عن العمليات المشبوهة، والاستمرار في تحسين النماذج من خلال تغذيتها ببيانات محدثة لمواكبة تطور أساليب الاحتيال</w:t>
      </w:r>
      <w:r w:rsidRPr="0083094C">
        <w:rPr>
          <w:rFonts w:ascii="Simplified Arabic" w:eastAsia="Times New Roman" w:hAnsi="Simplified Arabic" w:cs="Simplified Arabic"/>
          <w:color w:val="000000" w:themeColor="text1"/>
          <w:kern w:val="0"/>
          <w:sz w:val="28"/>
          <w:szCs w:val="28"/>
          <w14:ligatures w14:val="none"/>
        </w:rPr>
        <w:t>.</w:t>
      </w:r>
    </w:p>
    <w:p w14:paraId="77946205" w14:textId="77777777" w:rsidR="0083482F" w:rsidRPr="0083094C" w:rsidRDefault="0083482F"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094C">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(خفض الخسائر المالية) وعلاقته بمتغيرات أخرى</w:t>
      </w:r>
    </w:p>
    <w:p w14:paraId="27CE9970" w14:textId="77777777" w:rsidR="009A2C18" w:rsidRPr="0083094C" w:rsidRDefault="009A2C18" w:rsidP="00CB723B">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دراسة (علوان، 2021) بعنوان: "دور إدارة المخاطر في تقليل الخسائر في المنظمات</w:t>
      </w:r>
      <w:r w:rsidRPr="0083094C">
        <w:rPr>
          <w:rFonts w:ascii="Simplified Arabic" w:eastAsia="Times New Roman" w:hAnsi="Simplified Arabic" w:cs="Simplified Arabic"/>
          <w:b/>
          <w:bCs/>
          <w:color w:val="000000" w:themeColor="text1"/>
          <w:kern w:val="0"/>
          <w:sz w:val="28"/>
          <w:szCs w:val="28"/>
          <w14:ligatures w14:val="none"/>
        </w:rPr>
        <w:t>"</w:t>
      </w:r>
    </w:p>
    <w:p w14:paraId="3BE128FE" w14:textId="77777777"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هدفت هذه الدراسة إلى التعرف على واقع إدارة المخاطر بأبعادها (تحديد المخاطر، تقييم المخاطر، التحكم في المخاطر، متابعة المخاطر) ودورها في تقليل الخسائر المحتملة وطرق معالجتها في المنظمات. واستخدمت الدراسة المنهج الوصفي التحليلي القائم على الاستبانة كأداة رئيسية لجمع البيانات. وتكونت العينة من 50 موظفاً تم اختيارهم بطريقة عشوائية من كافة الاختصاصات والمستويات الإدارية المختلفة في الشركة العامة للصناعات النسيجية في الحلة بالعراق</w:t>
      </w:r>
      <w:r w:rsidRPr="0083094C">
        <w:rPr>
          <w:rFonts w:ascii="Simplified Arabic" w:eastAsia="Times New Roman" w:hAnsi="Simplified Arabic" w:cs="Simplified Arabic"/>
          <w:color w:val="000000" w:themeColor="text1"/>
          <w:kern w:val="0"/>
          <w:sz w:val="28"/>
          <w:szCs w:val="28"/>
          <w14:ligatures w14:val="none"/>
        </w:rPr>
        <w:t>.</w:t>
      </w:r>
    </w:p>
    <w:p w14:paraId="47EE60CE" w14:textId="77777777"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معنوية ذات دلالة إحصائية بين إدارة المخاطر وتقليل الخسائر في الشركة العامة للصناعات النسيجية، مما يؤكد أن تطبيق إدارة المخاطر بشكل فعّال يسهم في خفض الخسائر المحتملة. كما أظهرت النتائج أن هناك مستوى متوسطاً من الوعي لدى العاملين بأهمية إدارة المخاطر وأثرها في تقليل الخسائر. وأوصت الدراسة بضرورة تعزيز ثقافة إدارة المخاطر لدى العاملين في المنظمات من خلال برامج التدريب والتوعية المستمرة، وتبني أساليب حديثة ومتطورة في تحديد المخاطر وتقييمها والتحكم فيها، والتأكيد على ربط إدارة المخاطر بالتخطيط الاستراتيجي للمنظمة لتحقيق أقصى درجات الحماية من الخسائر المحتملة</w:t>
      </w:r>
      <w:r w:rsidRPr="0083094C">
        <w:rPr>
          <w:rFonts w:ascii="Simplified Arabic" w:eastAsia="Times New Roman" w:hAnsi="Simplified Arabic" w:cs="Simplified Arabic"/>
          <w:color w:val="000000" w:themeColor="text1"/>
          <w:kern w:val="0"/>
          <w:sz w:val="28"/>
          <w:szCs w:val="28"/>
          <w14:ligatures w14:val="none"/>
        </w:rPr>
        <w:t>.</w:t>
      </w:r>
    </w:p>
    <w:p w14:paraId="1F049215" w14:textId="77777777" w:rsidR="009A2C18" w:rsidRPr="0083094C" w:rsidRDefault="009A2C18" w:rsidP="00CB723B">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 xml:space="preserve">دراسة </w:t>
      </w:r>
      <w:r w:rsidRPr="0083094C">
        <w:rPr>
          <w:rFonts w:ascii="Simplified Arabic" w:eastAsia="Times New Roman" w:hAnsi="Simplified Arabic" w:cs="Simplified Arabic"/>
          <w:b/>
          <w:bCs/>
          <w:color w:val="000000" w:themeColor="text1"/>
          <w:kern w:val="0"/>
          <w:sz w:val="28"/>
          <w:szCs w:val="28"/>
          <w14:ligatures w14:val="none"/>
        </w:rPr>
        <w:t xml:space="preserve">(Irfan &amp; Al Hakim, 2022) </w:t>
      </w:r>
      <w:r w:rsidRPr="0083094C">
        <w:rPr>
          <w:rFonts w:ascii="Simplified Arabic" w:eastAsia="Times New Roman" w:hAnsi="Simplified Arabic" w:cs="Simplified Arabic"/>
          <w:b/>
          <w:bCs/>
          <w:color w:val="000000" w:themeColor="text1"/>
          <w:kern w:val="0"/>
          <w:sz w:val="28"/>
          <w:szCs w:val="28"/>
          <w:rtl/>
          <w14:ligatures w14:val="none"/>
        </w:rPr>
        <w:t>بعنوان</w:t>
      </w:r>
      <w:r w:rsidRPr="0083094C">
        <w:rPr>
          <w:rFonts w:ascii="Simplified Arabic" w:eastAsia="Times New Roman" w:hAnsi="Simplified Arabic" w:cs="Simplified Arabic"/>
          <w:b/>
          <w:bCs/>
          <w:color w:val="000000" w:themeColor="text1"/>
          <w:kern w:val="0"/>
          <w:sz w:val="28"/>
          <w:szCs w:val="28"/>
          <w14:ligatures w14:val="none"/>
        </w:rPr>
        <w:t>: "The Optimizing of Risk Management in Preventing Financial Losses and Maintaining Company Stability"</w:t>
      </w:r>
    </w:p>
    <w:p w14:paraId="0D6501E7" w14:textId="77777777"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دور تحسين إدارة المخاطر بأبعادها (تحديد المخاطر المالية، تقييم المخاطر، استراتيجيات التخفيف، المراقبة المستمرة) في منع الخسائر المالية والحفاظ على استقرار الشركات. واستخدمت الدراسة المنهج الوصفي التحليلي المبني على مراجعة الأدبيات وتحليل الأطر النظرية والتطبيقية لإدارة المخاطر في المؤسسات</w:t>
      </w:r>
      <w:r w:rsidRPr="0083094C">
        <w:rPr>
          <w:rFonts w:ascii="Simplified Arabic" w:eastAsia="Times New Roman" w:hAnsi="Simplified Arabic" w:cs="Simplified Arabic"/>
          <w:color w:val="000000" w:themeColor="text1"/>
          <w:kern w:val="0"/>
          <w:sz w:val="28"/>
          <w:szCs w:val="28"/>
          <w14:ligatures w14:val="none"/>
        </w:rPr>
        <w:t>.</w:t>
      </w:r>
    </w:p>
    <w:p w14:paraId="4B5F7314" w14:textId="58E6CD22" w:rsidR="009A2C18" w:rsidRPr="0083094C" w:rsidRDefault="009A2C18"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أن التطبيق الأمثل لإدارة المخاطر يسهم بشكل جوهري في منع الخسائر المالية والحفاظ على استقرار الشركات واستمراريتها. كما أظهرت النتائج أن وجود إطار متكامل لإدارة المخاطر يتضمن عمليات تحديد وتقييم وتخفيف ومراقبة المخاطر يعزز من قدرة المؤسسات على مواجهة التحديات المالية وتقليل تعرضها للخسائر غير المتوقعة. وبيّنت الدراسة أن الشركات التي تتبنى ممارسات إدارة مخاطر فعالة تتمتع بمستويات أعلى من الاستقرار المالي ومرونة أكبر في مواجهة الأزمات</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وأوصت الدراسة بضرورة أن تتبنى الشركات أُطراً شاملة لإدارة المخاطر تتكامل مع استراتيجياتها التشغيلية، والاستثمار في بناء قدرات فرق إدارة المخاطر وتزويدهم بالأدوات والتقنيات الحديثة، وتطوير آليات المراقبة المستمرة والإنذار المبكر للتعامل الاستباقي مع المخاطر المالية المحتملة</w:t>
      </w:r>
      <w:r w:rsidRPr="0083094C">
        <w:rPr>
          <w:rFonts w:ascii="Simplified Arabic" w:eastAsia="Times New Roman" w:hAnsi="Simplified Arabic" w:cs="Simplified Arabic"/>
          <w:color w:val="000000" w:themeColor="text1"/>
          <w:kern w:val="0"/>
          <w:sz w:val="28"/>
          <w:szCs w:val="28"/>
          <w14:ligatures w14:val="none"/>
        </w:rPr>
        <w:t>.</w:t>
      </w:r>
    </w:p>
    <w:p w14:paraId="054ADBE1" w14:textId="77777777" w:rsidR="0083482F" w:rsidRPr="0083094C" w:rsidRDefault="0083482F" w:rsidP="00CB723B">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 xml:space="preserve">دراسة </w:t>
      </w:r>
      <w:r w:rsidRPr="0083094C">
        <w:rPr>
          <w:rFonts w:ascii="Simplified Arabic" w:eastAsia="Times New Roman" w:hAnsi="Simplified Arabic" w:cs="Simplified Arabic"/>
          <w:b/>
          <w:bCs/>
          <w:color w:val="000000" w:themeColor="text1"/>
          <w:kern w:val="0"/>
          <w:sz w:val="28"/>
          <w:szCs w:val="28"/>
          <w14:ligatures w14:val="none"/>
        </w:rPr>
        <w:t xml:space="preserve">(Bangash, Asghar, Khan &amp; Bangash, 2025) </w:t>
      </w:r>
      <w:r w:rsidRPr="0083094C">
        <w:rPr>
          <w:rFonts w:ascii="Simplified Arabic" w:eastAsia="Times New Roman" w:hAnsi="Simplified Arabic" w:cs="Simplified Arabic"/>
          <w:b/>
          <w:bCs/>
          <w:color w:val="000000" w:themeColor="text1"/>
          <w:kern w:val="0"/>
          <w:sz w:val="28"/>
          <w:szCs w:val="28"/>
          <w:rtl/>
          <w14:ligatures w14:val="none"/>
        </w:rPr>
        <w:t>بعنوان</w:t>
      </w:r>
      <w:r w:rsidRPr="0083094C">
        <w:rPr>
          <w:rFonts w:ascii="Simplified Arabic" w:eastAsia="Times New Roman" w:hAnsi="Simplified Arabic" w:cs="Simplified Arabic"/>
          <w:b/>
          <w:bCs/>
          <w:color w:val="000000" w:themeColor="text1"/>
          <w:kern w:val="0"/>
          <w:sz w:val="28"/>
          <w:szCs w:val="28"/>
          <w14:ligatures w14:val="none"/>
        </w:rPr>
        <w:t>: "Effect of AI-Powered Fraud Detection Systems on Profitability of Financial Institutions"</w:t>
      </w:r>
    </w:p>
    <w:p w14:paraId="23E2083A"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أنظمة كشف الاحتيال المدعومة بالذكاء الاصطناعي بأبعادها (دقة كشف الاحتيال، تقليل المخاطر المرتبطة بالاحتيال، خفض التكاليف التشغيلية) على ربحية المؤسسات المالية في باكستان، مع فحص الدور الوسيط للكفاءة التشغيلية في العلاقة بين تبني الذكاء الاصطناعي والربحية. واستخدمت الدراسة المنهج الكمي المبني على الاستبانة وتحليل التقارير المالية. وتكونت العينة من 100 مؤسسة مالية تشمل 20 بنكاً و20 شركة تأمين و60 مؤسسة مالية أخرى تستخدم جميعها الذكاء الاصطناعي في أنظمة كشف الاحتيال لديها. وتم جمع البيانات الأولية عبر استبانات وُزعت على المدراء التنفيذيين ومتخصصي تكنولوجيا المعلومات، بينما شملت البيانات الثانوية تقارير الأداء المالي مع التركيز على مؤشرات العائد على الأصول والعائد على حقوق الملكية وهامش صافي الربح</w:t>
      </w:r>
      <w:r w:rsidRPr="0083094C">
        <w:rPr>
          <w:rFonts w:ascii="Simplified Arabic" w:eastAsia="Times New Roman" w:hAnsi="Simplified Arabic" w:cs="Simplified Arabic"/>
          <w:color w:val="000000" w:themeColor="text1"/>
          <w:kern w:val="0"/>
          <w:sz w:val="28"/>
          <w:szCs w:val="28"/>
          <w14:ligatures w14:val="none"/>
        </w:rPr>
        <w:t>.</w:t>
      </w:r>
    </w:p>
    <w:p w14:paraId="31626978"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ذات دلالة إحصائية بين تبني الذكاء الاصطناعي والربحية (معامل الانحدار</w:t>
      </w:r>
      <w:r w:rsidRPr="0083094C">
        <w:rPr>
          <w:rFonts w:ascii="Simplified Arabic" w:eastAsia="Times New Roman" w:hAnsi="Simplified Arabic" w:cs="Simplified Arabic"/>
          <w:color w:val="000000" w:themeColor="text1"/>
          <w:kern w:val="0"/>
          <w:sz w:val="28"/>
          <w:szCs w:val="28"/>
          <w14:ligatures w14:val="none"/>
        </w:rPr>
        <w:t xml:space="preserve"> = 0.56</w:t>
      </w:r>
      <w:r w:rsidRPr="0083094C">
        <w:rPr>
          <w:rFonts w:ascii="Simplified Arabic" w:eastAsia="Times New Roman" w:hAnsi="Simplified Arabic" w:cs="Simplified Arabic"/>
          <w:color w:val="000000" w:themeColor="text1"/>
          <w:kern w:val="0"/>
          <w:sz w:val="28"/>
          <w:szCs w:val="28"/>
          <w:rtl/>
          <w14:ligatures w14:val="none"/>
        </w:rPr>
        <w:t xml:space="preserve">، مستوى المعنوية = 0.009)، مما يؤكد أنه كلما زاد مستوى تطبيق </w:t>
      </w:r>
      <w:r w:rsidRPr="0083094C">
        <w:rPr>
          <w:rFonts w:ascii="Simplified Arabic" w:eastAsia="Times New Roman" w:hAnsi="Simplified Arabic" w:cs="Simplified Arabic"/>
          <w:color w:val="000000" w:themeColor="text1"/>
          <w:kern w:val="0"/>
          <w:sz w:val="28"/>
          <w:szCs w:val="28"/>
          <w:rtl/>
          <w14:ligatures w14:val="none"/>
        </w:rPr>
        <w:lastRenderedPageBreak/>
        <w:t>الذكاء الاصطناعي ارتفعت مستويات الربحية. كما أثبتت نتائج تحليل الوساطة أن الكفاءة التشغيلية تلعب دوراً وسيطاً معنوياً في العلاقة بين تبني الذكاء الاصطناعي والربحية، حيث بلغ الأثر غير المباشر 0.34. وأظهر تحليل الارتباط وجود علاقة سلبية بين تبني الذكاء الاصطناعي وكل من الخسائر المرتبطة بالاحتيال</w:t>
      </w:r>
      <w:r w:rsidRPr="0083094C">
        <w:rPr>
          <w:rFonts w:ascii="Simplified Arabic" w:eastAsia="Times New Roman" w:hAnsi="Simplified Arabic" w:cs="Simplified Arabic"/>
          <w:color w:val="000000" w:themeColor="text1"/>
          <w:kern w:val="0"/>
          <w:sz w:val="28"/>
          <w:szCs w:val="28"/>
          <w14:ligatures w14:val="none"/>
        </w:rPr>
        <w:t xml:space="preserve"> (r = -0.45) </w:t>
      </w:r>
      <w:r w:rsidRPr="0083094C">
        <w:rPr>
          <w:rFonts w:ascii="Simplified Arabic" w:eastAsia="Times New Roman" w:hAnsi="Simplified Arabic" w:cs="Simplified Arabic"/>
          <w:color w:val="000000" w:themeColor="text1"/>
          <w:kern w:val="0"/>
          <w:sz w:val="28"/>
          <w:szCs w:val="28"/>
          <w:rtl/>
          <w14:ligatures w14:val="none"/>
        </w:rPr>
        <w:t>والتكاليف التشغيلية</w:t>
      </w:r>
      <w:r w:rsidRPr="0083094C">
        <w:rPr>
          <w:rFonts w:ascii="Simplified Arabic" w:eastAsia="Times New Roman" w:hAnsi="Simplified Arabic" w:cs="Simplified Arabic"/>
          <w:color w:val="000000" w:themeColor="text1"/>
          <w:kern w:val="0"/>
          <w:sz w:val="28"/>
          <w:szCs w:val="28"/>
          <w14:ligatures w14:val="none"/>
        </w:rPr>
        <w:t xml:space="preserve"> (r = -0.50)</w:t>
      </w:r>
      <w:r w:rsidRPr="0083094C">
        <w:rPr>
          <w:rFonts w:ascii="Simplified Arabic" w:eastAsia="Times New Roman" w:hAnsi="Simplified Arabic" w:cs="Simplified Arabic"/>
          <w:color w:val="000000" w:themeColor="text1"/>
          <w:kern w:val="0"/>
          <w:sz w:val="28"/>
          <w:szCs w:val="28"/>
          <w:rtl/>
          <w14:ligatures w14:val="none"/>
        </w:rPr>
        <w:t>، بينما كانت العلاقة إيجابية مع الربحية</w:t>
      </w:r>
      <w:r w:rsidRPr="0083094C">
        <w:rPr>
          <w:rFonts w:ascii="Simplified Arabic" w:eastAsia="Times New Roman" w:hAnsi="Simplified Arabic" w:cs="Simplified Arabic"/>
          <w:color w:val="000000" w:themeColor="text1"/>
          <w:kern w:val="0"/>
          <w:sz w:val="28"/>
          <w:szCs w:val="28"/>
          <w14:ligatures w14:val="none"/>
        </w:rPr>
        <w:t xml:space="preserve"> (r = 0.56). </w:t>
      </w:r>
      <w:r w:rsidRPr="0083094C">
        <w:rPr>
          <w:rFonts w:ascii="Simplified Arabic" w:eastAsia="Times New Roman" w:hAnsi="Simplified Arabic" w:cs="Simplified Arabic"/>
          <w:color w:val="000000" w:themeColor="text1"/>
          <w:kern w:val="0"/>
          <w:sz w:val="28"/>
          <w:szCs w:val="28"/>
          <w:rtl/>
          <w14:ligatures w14:val="none"/>
        </w:rPr>
        <w:t>وأوصت الدراسة بأن تستثمر المؤسسات المالية في تطبيقات الذكاء الاصطناعي لكشف الاحتيال لتعزيز ربحيتها، مع التركيز على تحسين الكفاءة التشغيلية كعامل حاسم في تحقيق أقصى عائد من هذا الاستثمار، كما أوصت بإجراء مقارنات عبر الدول لاستكشاف تأثير البيئات التنظيمية المختلفة</w:t>
      </w:r>
      <w:r w:rsidRPr="0083094C">
        <w:rPr>
          <w:rFonts w:ascii="Simplified Arabic" w:eastAsia="Times New Roman" w:hAnsi="Simplified Arabic" w:cs="Simplified Arabic"/>
          <w:color w:val="000000" w:themeColor="text1"/>
          <w:kern w:val="0"/>
          <w:sz w:val="28"/>
          <w:szCs w:val="28"/>
          <w14:ligatures w14:val="none"/>
        </w:rPr>
        <w:t>.</w:t>
      </w:r>
    </w:p>
    <w:p w14:paraId="4D25AC97" w14:textId="77777777" w:rsidR="0083482F" w:rsidRPr="0083094C" w:rsidRDefault="0083482F" w:rsidP="00CB723B">
      <w:pPr>
        <w:pStyle w:val="a6"/>
        <w:numPr>
          <w:ilvl w:val="0"/>
          <w:numId w:val="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دراسة</w:t>
      </w:r>
      <w:r w:rsidRPr="0083094C">
        <w:rPr>
          <w:rFonts w:ascii="Simplified Arabic" w:eastAsia="Times New Roman" w:hAnsi="Simplified Arabic" w:cs="Simplified Arabic"/>
          <w:b/>
          <w:bCs/>
          <w:color w:val="000000" w:themeColor="text1"/>
          <w:kern w:val="0"/>
          <w:sz w:val="28"/>
          <w:szCs w:val="28"/>
          <w14:ligatures w14:val="none"/>
        </w:rPr>
        <w:t xml:space="preserve"> (Sunki, 2025) </w:t>
      </w:r>
      <w:r w:rsidRPr="0083094C">
        <w:rPr>
          <w:rFonts w:ascii="Simplified Arabic" w:eastAsia="Times New Roman" w:hAnsi="Simplified Arabic" w:cs="Simplified Arabic"/>
          <w:b/>
          <w:bCs/>
          <w:color w:val="000000" w:themeColor="text1"/>
          <w:kern w:val="0"/>
          <w:sz w:val="28"/>
          <w:szCs w:val="28"/>
          <w:rtl/>
          <w14:ligatures w14:val="none"/>
        </w:rPr>
        <w:t>بعنوان</w:t>
      </w:r>
      <w:r w:rsidRPr="0083094C">
        <w:rPr>
          <w:rFonts w:ascii="Simplified Arabic" w:eastAsia="Times New Roman" w:hAnsi="Simplified Arabic" w:cs="Simplified Arabic"/>
          <w:b/>
          <w:bCs/>
          <w:color w:val="000000" w:themeColor="text1"/>
          <w:kern w:val="0"/>
          <w:sz w:val="28"/>
          <w:szCs w:val="28"/>
          <w14:ligatures w14:val="none"/>
        </w:rPr>
        <w:t>: "Transforming Financial Security: AI-Powered Risk Management and Fraud Detection Systems"</w:t>
      </w:r>
    </w:p>
    <w:p w14:paraId="395B089A"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تطبيقات الذكاء الاصطناعي بأبعادها (إدارة المخاطر الذكية، تحسين المحافظ الاستثمارية، أنظمة كشف الاحتيال) في تحويل أُطر الأمن المالي وخفض الخسائر المالية في المؤسسات المالية. واستخدمت الدراسة المنهج الوصفي التحليلي القائم على مراجعة وتحليل الدراسات والتقارير الصناعية والأكاديمية المتعلقة بتطبيقات الذكاء الاصطناعي في القطاع المالي</w:t>
      </w:r>
      <w:r w:rsidRPr="0083094C">
        <w:rPr>
          <w:rFonts w:ascii="Simplified Arabic" w:eastAsia="Times New Roman" w:hAnsi="Simplified Arabic" w:cs="Simplified Arabic"/>
          <w:color w:val="000000" w:themeColor="text1"/>
          <w:kern w:val="0"/>
          <w:sz w:val="28"/>
          <w:szCs w:val="28"/>
          <w14:ligatures w14:val="none"/>
        </w:rPr>
        <w:t>.</w:t>
      </w:r>
    </w:p>
    <w:p w14:paraId="7465DD6D"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أن المؤسسات المالية التي طبقت أنظمة كشف الاحتيال المدعومة بالذكاء الاصطناعي حققت انخفاضاً في خسائر الاحتيال بنسبة تتجاوز 70% في المتوسط، وهو ما يُترجم إلى مليارات الدولارات من المعاملات الاحتيالية التي تم منعها. كما أظهرت النتائج أن نماذج التعلم العميق في تقييم مخاطر الائتمان حققت تحسناً يفوق 40% في دقة التنبؤ مقارنة ببطاقات التقييم التقليدية، مع خفض كبير في معدلات الإنذارات الخاطئة. وبيّنت الدراسة أن البنوك التي تستخدم أنظمة إدارة المخاطر المتقدمة بالذكاء الاصطناعي قد خفّضت حالات التعثر في السداد بنسبة تتراوح بين 25% و40%. وأوصت الدراسة بضرورة الموازنة بين القدرات التكنولوجية والرقابة البشرية لضمان العدالة والشفافية الخوارزمية، وتطوير أطر تنظيمية مناسبة وإرشادات أخلاقية لتعزيز الابتكار مع حماية مصالح المستهلكين، والاستثمار في تقنيات حماية الخصوصية كالتعلم الفيدرالي والخصوصية التفاضلية</w:t>
      </w:r>
      <w:r w:rsidRPr="0083094C">
        <w:rPr>
          <w:rFonts w:ascii="Simplified Arabic" w:eastAsia="Times New Roman" w:hAnsi="Simplified Arabic" w:cs="Simplified Arabic"/>
          <w:color w:val="000000" w:themeColor="text1"/>
          <w:kern w:val="0"/>
          <w:sz w:val="28"/>
          <w:szCs w:val="28"/>
          <w14:ligatures w14:val="none"/>
        </w:rPr>
        <w:t>.</w:t>
      </w:r>
    </w:p>
    <w:p w14:paraId="46A3FD8A" w14:textId="77777777" w:rsidR="0083482F" w:rsidRPr="0083094C" w:rsidRDefault="0083482F" w:rsidP="00CB723B">
      <w:pPr>
        <w:pStyle w:val="a6"/>
        <w:numPr>
          <w:ilvl w:val="0"/>
          <w:numId w:val="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 xml:space="preserve">دراسة </w:t>
      </w:r>
      <w:r w:rsidRPr="0083094C">
        <w:rPr>
          <w:rFonts w:ascii="Simplified Arabic" w:eastAsia="Times New Roman" w:hAnsi="Simplified Arabic" w:cs="Simplified Arabic"/>
          <w:b/>
          <w:bCs/>
          <w:color w:val="000000" w:themeColor="text1"/>
          <w:kern w:val="0"/>
          <w:sz w:val="28"/>
          <w:szCs w:val="28"/>
          <w14:ligatures w14:val="none"/>
        </w:rPr>
        <w:t xml:space="preserve">(Ikumapayi &amp; Ayankoya, 2025) </w:t>
      </w:r>
      <w:r w:rsidRPr="0083094C">
        <w:rPr>
          <w:rFonts w:ascii="Simplified Arabic" w:eastAsia="Times New Roman" w:hAnsi="Simplified Arabic" w:cs="Simplified Arabic"/>
          <w:b/>
          <w:bCs/>
          <w:color w:val="000000" w:themeColor="text1"/>
          <w:kern w:val="0"/>
          <w:sz w:val="28"/>
          <w:szCs w:val="28"/>
          <w:rtl/>
          <w14:ligatures w14:val="none"/>
        </w:rPr>
        <w:t>بعنوان</w:t>
      </w:r>
      <w:r w:rsidRPr="0083094C">
        <w:rPr>
          <w:rFonts w:ascii="Simplified Arabic" w:eastAsia="Times New Roman" w:hAnsi="Simplified Arabic" w:cs="Simplified Arabic"/>
          <w:b/>
          <w:bCs/>
          <w:color w:val="000000" w:themeColor="text1"/>
          <w:kern w:val="0"/>
          <w:sz w:val="28"/>
          <w:szCs w:val="28"/>
          <w14:ligatures w14:val="none"/>
        </w:rPr>
        <w:t>: "AI-Powered Forensic Accounting: Leveraging Machine Learning for Real-Time Fraud Detection and Prevention"</w:t>
      </w:r>
    </w:p>
    <w:p w14:paraId="1C426537"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إمكانيات المحاسبة القضائية المدعومة بالذكاء الاصطناعي بأبعادها (خوارزميات التعلم الآلي، كشف الحالات الشاذة في الوقت الفعلي، التحليلات التنبؤية) في كشف الاحتيال المالي ومنعه والحد من الخسائر المالية الناتجة عنه في المؤسسات المالية. واستخدمت الدراسة المنهج الوصفي التحليلي والمراجعة المنهجية للأدبيات المتعلقة بتطبيقات التعلم الآلي في المحاسبة القضائية وكشف الاحتيال</w:t>
      </w:r>
      <w:r w:rsidRPr="0083094C">
        <w:rPr>
          <w:rFonts w:ascii="Simplified Arabic" w:eastAsia="Times New Roman" w:hAnsi="Simplified Arabic" w:cs="Simplified Arabic"/>
          <w:color w:val="000000" w:themeColor="text1"/>
          <w:kern w:val="0"/>
          <w:sz w:val="28"/>
          <w:szCs w:val="28"/>
          <w14:ligatures w14:val="none"/>
        </w:rPr>
        <w:t>.</w:t>
      </w:r>
    </w:p>
    <w:p w14:paraId="3A319D70"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وتوصلت نتائج الدراسة إلى أن تقنيات التعلم الآلي تتفوق بشكل كبير على الأساليب التقليدية في كشف الاحتيال المالي من حيث السرعة والدقة، حيث تستطيع تحليل كميات هائلة من البيانات المالية في الوقت الفعلي وتحديد أنماط الاحتيال المعقدة التي يصعب على الطرق التقليدية اكتشافها. كما أظهرت النتائج أن دمج تقنيات الذكاء الاصطناعي في المحاسبة القضائية يسهم في خفض الخسائر المالية الناتجة عن الاحتيال من خلال الكشف المبكر والوقاية الاستباقية. وأوصت الدراسة بضرورة تبني المؤسسات المالية لأنظمة المحاسبة القضائية المدعومة بالذكاء الاصطناعي كجزء أساسي من بنيتها التحتية لمكافحة الاحتيال، وتطوير نماذج تعلم آلي متخصصة تتكيف مع أنماط الاحتيال المتغيرة، والتأكيد على أهمية تدريب المحاسبين القضائيين على استخدام أدوات الذكاء الاصطناعي لتعزيز قدراتهم في كشف الاحتيال ومنعه</w:t>
      </w:r>
      <w:r w:rsidRPr="0083094C">
        <w:rPr>
          <w:rFonts w:ascii="Simplified Arabic" w:eastAsia="Times New Roman" w:hAnsi="Simplified Arabic" w:cs="Simplified Arabic"/>
          <w:color w:val="000000" w:themeColor="text1"/>
          <w:kern w:val="0"/>
          <w:sz w:val="28"/>
          <w:szCs w:val="28"/>
          <w14:ligatures w14:val="none"/>
        </w:rPr>
        <w:t>.</w:t>
      </w:r>
    </w:p>
    <w:p w14:paraId="73AC094D" w14:textId="17685140" w:rsidR="009A2C18" w:rsidRPr="0083094C" w:rsidRDefault="009A2C18" w:rsidP="009A2C1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798953"/>
      <w:bookmarkEnd w:id="12"/>
      <w:r w:rsidRPr="0083094C">
        <w:rPr>
          <w:rFonts w:ascii="Simplified Arabic" w:hAnsi="Simplified Arabic" w:cs="Simplified Arabic"/>
          <w:b/>
          <w:bCs/>
          <w:color w:val="000000" w:themeColor="text1"/>
          <w:sz w:val="36"/>
          <w:szCs w:val="36"/>
          <w:rtl/>
        </w:rPr>
        <w:t>8.1 الفجوة البحثية</w:t>
      </w:r>
      <w:bookmarkEnd w:id="14"/>
    </w:p>
    <w:p w14:paraId="4D6F3FA7" w14:textId="7A6F09EA" w:rsidR="00EF1B00" w:rsidRPr="0083094C" w:rsidRDefault="0083482F" w:rsidP="009A2C18">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3094C">
        <w:rPr>
          <w:rFonts w:ascii="Simplified Arabic" w:hAnsi="Simplified Arabic" w:cs="Simplified Arabic"/>
          <w:color w:val="000000" w:themeColor="text1"/>
          <w:sz w:val="28"/>
          <w:szCs w:val="28"/>
          <w:rtl/>
        </w:rPr>
        <w:t>من خلال الاستعراض التحليلي للدراسات السابقة العربية والأجنبية ذات الصلة بموضوع الدراسة الحالية، يتبيّن وجود فجوة بحثية واضحة يمكن تحديد ملامحها في عدة جوانب مترابطة. فمن حيث البيئة التطبيقية، يُلاحظ أن الغالبية العظمى من الدراسات الأجنبية التي تناولت أنظمة الامتثال ومكافحة الاحتيال المدعومة بالذكاء الاصطناعي قد أُجريت في بيئات غربية وآسيوية كالولايات المتحدة الأمريكية وأوروبا وباكستان</w:t>
      </w:r>
      <w:r w:rsidRPr="0083094C">
        <w:rPr>
          <w:rFonts w:ascii="Simplified Arabic" w:hAnsi="Simplified Arabic" w:cs="Simplified Arabic"/>
          <w:color w:val="000000" w:themeColor="text1"/>
          <w:sz w:val="28"/>
          <w:szCs w:val="28"/>
        </w:rPr>
        <w:t xml:space="preserve"> (Paul &amp; Ogburie, 2025; Bangash et al., 2025; Kumar, 2024)</w:t>
      </w:r>
      <w:r w:rsidRPr="0083094C">
        <w:rPr>
          <w:rFonts w:ascii="Simplified Arabic" w:hAnsi="Simplified Arabic" w:cs="Simplified Arabic"/>
          <w:color w:val="000000" w:themeColor="text1"/>
          <w:sz w:val="28"/>
          <w:szCs w:val="28"/>
          <w:rtl/>
        </w:rPr>
        <w:t xml:space="preserve">، في حين تكاد تنعدم الدراسات التطبيقية التي اختبرت هذا الأثر في البيئة السعودية ذات الخصوصية التنظيمية والثقافية والاقتصادية المتميزة، رغم ما تشهده المملكة من تحولات رقمية غير مسبوقة في قطاعها المالي ضمن رؤية 2030. ومن حيث المعالجة الموضوعية، يتضح أن معظم الدراسات السابقة تناولت المتغيرات بشكل منفصل ومجزّأ، حيث ركزت بعضها على الجانب التقني لأنظمة كشف الاحتيال ودقة الخوارزميات دون ربطها بالأثر المالي المتمثل في خفض الخسائر (فراحي، 2025؛ غندور وسليمة، 2025)، بينما تناولت </w:t>
      </w:r>
      <w:r w:rsidRPr="0083094C">
        <w:rPr>
          <w:rFonts w:ascii="Simplified Arabic" w:hAnsi="Simplified Arabic" w:cs="Simplified Arabic"/>
          <w:color w:val="000000" w:themeColor="text1"/>
          <w:sz w:val="28"/>
          <w:szCs w:val="28"/>
          <w:rtl/>
        </w:rPr>
        <w:lastRenderedPageBreak/>
        <w:t>دراسات أخرى إدارة المخاطر وتقليل الخسائر بمعزل عن تقنيات الذكاء الاصطناعي (علوان، 2021؛</w:t>
      </w:r>
      <w:r w:rsidRPr="0083094C">
        <w:rPr>
          <w:rFonts w:ascii="Simplified Arabic" w:hAnsi="Simplified Arabic" w:cs="Simplified Arabic"/>
          <w:color w:val="000000" w:themeColor="text1"/>
          <w:sz w:val="28"/>
          <w:szCs w:val="28"/>
        </w:rPr>
        <w:t xml:space="preserve"> Irfan &amp; Al Hakim, 2022)</w:t>
      </w:r>
      <w:r w:rsidRPr="0083094C">
        <w:rPr>
          <w:rFonts w:ascii="Simplified Arabic" w:hAnsi="Simplified Arabic" w:cs="Simplified Arabic"/>
          <w:color w:val="000000" w:themeColor="text1"/>
          <w:sz w:val="28"/>
          <w:szCs w:val="28"/>
          <w:rtl/>
        </w:rPr>
        <w:t>، ولم تُقدّم أيٌّ من الدراسات السابقة إطاراً تكاملياً يجمع بين أبعاد أنظمة الامتثال ومكافحة الاحتيال المدعومة بالذكاء الاصطناعي مجتمعةً (أنظمة كشف الاحتيال الذكية، أنظمة الامتثال التنظيمي الآلي، أنظمة التحليل التنبؤي للمخاطر، أنظمة المراقبة والإنذار المبكر في الوقت الفعلي) وقياس أثرها المشترك على خفض الخسائر المالية في نموذج واحد شامل. ومن حيث المنهجية، يُلاحظ أن عدداً من الدراسات اعتمدت على المنهج الوصفي أو المراجعة النظرية للأدبيات دون جمع بيانات أولية ميدانية</w:t>
      </w:r>
      <w:r w:rsidRPr="0083094C">
        <w:rPr>
          <w:rFonts w:ascii="Simplified Arabic" w:hAnsi="Simplified Arabic" w:cs="Simplified Arabic"/>
          <w:color w:val="000000" w:themeColor="text1"/>
          <w:sz w:val="28"/>
          <w:szCs w:val="28"/>
        </w:rPr>
        <w:t xml:space="preserve"> (Aziz &amp; Andriansyah, 2023; Sunki, 2025; Ikumapayi &amp; Ayankoya, 2025)</w:t>
      </w:r>
      <w:r w:rsidRPr="0083094C">
        <w:rPr>
          <w:rFonts w:ascii="Simplified Arabic" w:hAnsi="Simplified Arabic" w:cs="Simplified Arabic"/>
          <w:color w:val="000000" w:themeColor="text1"/>
          <w:sz w:val="28"/>
          <w:szCs w:val="28"/>
          <w:rtl/>
        </w:rPr>
        <w:t>، بينما اعتمدت دراسات أخرى على بيانات تجريبية من مجموعات بيانات متاحة عبر الإنترنت بعيداً عن الواقع المؤسسي الفعلي</w:t>
      </w:r>
      <w:r w:rsidRPr="0083094C">
        <w:rPr>
          <w:rFonts w:ascii="Simplified Arabic" w:hAnsi="Simplified Arabic" w:cs="Simplified Arabic"/>
          <w:color w:val="000000" w:themeColor="text1"/>
          <w:sz w:val="28"/>
          <w:szCs w:val="28"/>
        </w:rPr>
        <w:t xml:space="preserve"> (Paul &amp; Ogburie, 2025; Kumar, 2024). </w:t>
      </w:r>
      <w:r w:rsidRPr="0083094C">
        <w:rPr>
          <w:rFonts w:ascii="Simplified Arabic" w:hAnsi="Simplified Arabic" w:cs="Simplified Arabic"/>
          <w:color w:val="000000" w:themeColor="text1"/>
          <w:sz w:val="28"/>
          <w:szCs w:val="28"/>
          <w:rtl/>
        </w:rPr>
        <w:t>ومن هنا تأتي الدراسة الحالية لسد هذه الفجوة البحثية متعددة الأبعاد من خلال تقديم دراسة تطبيقية ميدانية تجمع بين أبعاد المتغير المستقل الأربعة في إطار تكاملي واحد وتقيس أثرها على خفض الخسائر المالية في المؤسسات المالية بالمملكة العربية السعودية، مستندةً إلى بيانات أولية يتم جمعها من المتخصصين العاملين فعلياً في هذا المجال، مما يُثري الأدبيات العلمية بإسهام نظري وتطبيقي يسد نقصاً واضحاً في هذا الحقل البحثي الناشئ والمتنامي</w:t>
      </w:r>
      <w:r w:rsidRPr="0083094C">
        <w:rPr>
          <w:rFonts w:ascii="Simplified Arabic" w:hAnsi="Simplified Arabic" w:cs="Simplified Arabic"/>
          <w:color w:val="000000" w:themeColor="text1"/>
          <w:sz w:val="28"/>
          <w:szCs w:val="28"/>
        </w:rPr>
        <w:t>.</w:t>
      </w:r>
      <w:r w:rsidR="00532E03" w:rsidRPr="0083094C">
        <w:rPr>
          <w:rFonts w:ascii="Simplified Arabic" w:hAnsi="Simplified Arabic" w:cs="Simplified Arabic"/>
          <w:color w:val="000000" w:themeColor="text1"/>
          <w:sz w:val="28"/>
          <w:szCs w:val="28"/>
        </w:rPr>
        <w:t>.</w:t>
      </w:r>
      <w:r w:rsidR="00EF1B00" w:rsidRPr="0083094C">
        <w:rPr>
          <w:rFonts w:ascii="Simplified Arabic" w:hAnsi="Simplified Arabic" w:cs="Simplified Arabic"/>
          <w:color w:val="000000" w:themeColor="text1"/>
          <w:sz w:val="28"/>
          <w:szCs w:val="28"/>
        </w:rPr>
        <w:t>.</w:t>
      </w:r>
    </w:p>
    <w:p w14:paraId="07D36AAC" w14:textId="77777777" w:rsidR="009A2C18" w:rsidRPr="0083094C" w:rsidRDefault="009A2C18" w:rsidP="009A2C1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798954"/>
      <w:bookmarkStart w:id="16" w:name="_Toc169790502"/>
      <w:bookmarkEnd w:id="13"/>
      <w:r w:rsidRPr="0083094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5"/>
    </w:p>
    <w:p w14:paraId="7DFC9A5A" w14:textId="54B003E7" w:rsidR="009A2C18" w:rsidRPr="0083094C" w:rsidRDefault="009A2C18"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3094C">
        <w:rPr>
          <w:rFonts w:ascii="Simplified Arabic" w:eastAsia="Times New Roman" w:hAnsi="Simplified Arabic" w:cs="Simplified Arabic"/>
          <w:b/>
          <w:bCs/>
          <w:color w:val="000000" w:themeColor="text1"/>
          <w:kern w:val="0"/>
          <w:sz w:val="32"/>
          <w:szCs w:val="32"/>
          <w:rtl/>
          <w14:ligatures w14:val="none"/>
        </w:rPr>
        <w:t>أولاً: مفهوم الذكاء الاصطناعي وتطبيقاته في القطاع المالي</w:t>
      </w:r>
    </w:p>
    <w:p w14:paraId="25C6564E"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 xml:space="preserve">يُعرّف الذكاء الاصطناعي بأنه فرع من فروع علوم الحاسوب يهتم بتصميم وتطوير أنظمة حاسوبية قادرة على محاكاة القدرات الذهنية البشرية كالتعلم والاستدلال والتعرف على الأنماط واتخاذ القرارات، وذلك من خلال مجموعة من التقنيات المتقدمة التي تشمل التعلم الآلي والتعلم العميق ومعالجة اللغة الطبيعية والشبكات العصبية الاصطناعية والتحليلات التنبؤية. وقد شهد القطاع المالي اهتماماً متزايداً بتوظيف هذه التقنيات في مختلف عملياته، لا سيما في مجالات كشف الاحتيال وإدارة المخاطر والامتثال التنظيمي، حيث أثبتت خوارزميات الذكاء الاصطناعي قدرة فائقة في تحليل كميات ضخمة من البيانات المالية بسرعات تفوق القدرة البشرية بآلاف المرات، واستخلاص أنماط معقدة من هذه البيانات يصعب على الأنظمة التقليدية اكتشافها. ويُعد التعلم الآلي أحد أبرز فروع الذكاء الاصطناعي استخداماً في القطاع المالي، إذ يتيح للأنظمة التعلم من البيانات التاريخية وتحسين أدائها بشكل مستمر دون الحاجة إلى برمجة صريحة لكل </w:t>
      </w:r>
      <w:r w:rsidRPr="0083094C">
        <w:rPr>
          <w:rFonts w:ascii="Simplified Arabic" w:eastAsia="Times New Roman" w:hAnsi="Simplified Arabic" w:cs="Simplified Arabic"/>
          <w:color w:val="000000" w:themeColor="text1"/>
          <w:kern w:val="0"/>
          <w:sz w:val="28"/>
          <w:szCs w:val="28"/>
          <w:rtl/>
          <w14:ligatures w14:val="none"/>
        </w:rPr>
        <w:lastRenderedPageBreak/>
        <w:t xml:space="preserve">سيناريو محتمل، مما يمنحها مرونة عالية في التكيف مع الأنماط الاحتيالية المتغيرة والمستحدثة </w:t>
      </w:r>
      <w:r w:rsidRPr="0083094C">
        <w:rPr>
          <w:rFonts w:ascii="Simplified Arabic" w:eastAsia="Times New Roman" w:hAnsi="Simplified Arabic" w:cs="Simplified Arabic"/>
          <w:color w:val="000000" w:themeColor="text1"/>
          <w:kern w:val="0"/>
          <w:sz w:val="28"/>
          <w:szCs w:val="28"/>
          <w14:ligatures w14:val="none"/>
        </w:rPr>
        <w:t xml:space="preserve">(Aziz &amp; Andriansyah, 2023). </w:t>
      </w:r>
      <w:r w:rsidRPr="0083094C">
        <w:rPr>
          <w:rFonts w:ascii="Simplified Arabic" w:eastAsia="Times New Roman" w:hAnsi="Simplified Arabic" w:cs="Simplified Arabic"/>
          <w:color w:val="000000" w:themeColor="text1"/>
          <w:kern w:val="0"/>
          <w:sz w:val="28"/>
          <w:szCs w:val="28"/>
          <w:rtl/>
          <w14:ligatures w14:val="none"/>
        </w:rPr>
        <w:t>وقد تطورت تطبيقات الذكاء الاصطناعي في القطاع المالي لتتجاوز مجرد الأتمتة البسيطة للعمليات إلى بناء أنظمة ذكية متكاملة قادرة على اتخاذ قرارات مستقلة في الوقت الفعلي بشأن قبول المعاملات المالية أو رفضها أو إحالتها للمراجعة البشرية، وهو ما يمثل نقلة نوعية في آليات حماية النظام المالي</w:t>
      </w:r>
      <w:r w:rsidRPr="0083094C">
        <w:rPr>
          <w:rFonts w:ascii="Simplified Arabic" w:eastAsia="Times New Roman" w:hAnsi="Simplified Arabic" w:cs="Simplified Arabic"/>
          <w:color w:val="000000" w:themeColor="text1"/>
          <w:kern w:val="0"/>
          <w:sz w:val="28"/>
          <w:szCs w:val="28"/>
          <w14:ligatures w14:val="none"/>
        </w:rPr>
        <w:t xml:space="preserve"> (Paul &amp; Ogburie, 2025).</w:t>
      </w:r>
    </w:p>
    <w:p w14:paraId="44E9BCF0" w14:textId="77777777" w:rsidR="0083482F" w:rsidRPr="0083094C" w:rsidRDefault="0083482F"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094C">
        <w:rPr>
          <w:rFonts w:ascii="Simplified Arabic" w:eastAsia="Times New Roman" w:hAnsi="Simplified Arabic" w:cs="Simplified Arabic"/>
          <w:b/>
          <w:bCs/>
          <w:color w:val="000000" w:themeColor="text1"/>
          <w:kern w:val="0"/>
          <w:sz w:val="32"/>
          <w:szCs w:val="32"/>
          <w:rtl/>
          <w14:ligatures w14:val="none"/>
        </w:rPr>
        <w:t>ثانياً: أنظمة الامتثال ومكافحة الاحتيال المدعومة بالذكاء الاصطناعي</w:t>
      </w:r>
    </w:p>
    <w:p w14:paraId="56020B6B"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تُعرّف أنظمة الامتثال ومكافحة الاحتيال المدعومة بالذكاء الاصطناعي بأنها منظومة تقنية متكاملة تستخدم خوارزميات الذكاء الاصطناعي وتقنيات التعلم الآلي لأتمتة وتعزيز عمليات الامتثال للمتطلبات التنظيمية وكشف الأنشطة الاحتيالية ومنعها في المؤسسات المالية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وتتميز هذه الأنظمة عن نظيراتها التقليدية القائمة على القواعد الثابتة بقدرتها على التعلم المستمر والتكيف مع الأنماط الجديدة واتخاذ قرارات فورية بناءً على تحليل متعدد الأبعاد للبيانات. وتتضمن هذه الأنظمة في الدراسة الحالية أربعة أبعاد رئيسية تمثل المتغير المستقل</w:t>
      </w:r>
      <w:r w:rsidRPr="0083094C">
        <w:rPr>
          <w:rFonts w:ascii="Simplified Arabic" w:eastAsia="Times New Roman" w:hAnsi="Simplified Arabic" w:cs="Simplified Arabic"/>
          <w:color w:val="000000" w:themeColor="text1"/>
          <w:kern w:val="0"/>
          <w:sz w:val="28"/>
          <w:szCs w:val="28"/>
          <w14:ligatures w14:val="none"/>
        </w:rPr>
        <w:t>:</w:t>
      </w:r>
    </w:p>
    <w:p w14:paraId="277CE59C"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الأول: أنظمة كشف الاحتيال الذكية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وتشير إلى الأنظمة التي توظف خوارزميات التعلم الآلي والتعلم العميق كالشبكات العصبية المتكررة طويلة المدى القصير</w:t>
      </w:r>
      <w:r w:rsidRPr="0083094C">
        <w:rPr>
          <w:rFonts w:ascii="Simplified Arabic" w:eastAsia="Times New Roman" w:hAnsi="Simplified Arabic" w:cs="Simplified Arabic"/>
          <w:color w:val="000000" w:themeColor="text1"/>
          <w:kern w:val="0"/>
          <w:sz w:val="28"/>
          <w:szCs w:val="28"/>
          <w14:ligatures w14:val="none"/>
        </w:rPr>
        <w:t xml:space="preserve"> (LSTM) </w:t>
      </w:r>
      <w:r w:rsidRPr="0083094C">
        <w:rPr>
          <w:rFonts w:ascii="Simplified Arabic" w:eastAsia="Times New Roman" w:hAnsi="Simplified Arabic" w:cs="Simplified Arabic"/>
          <w:color w:val="000000" w:themeColor="text1"/>
          <w:kern w:val="0"/>
          <w:sz w:val="28"/>
          <w:szCs w:val="28"/>
          <w:rtl/>
          <w14:ligatures w14:val="none"/>
        </w:rPr>
        <w:t>وخوارزميات الغابات العشوائية والتعزيز التدريجي لتصنيف المعاملات المالية إلى مشروعة واحتيالية بدقة عالية. وتعمل هذه الأنظمة على تحليل سجلات المعاملات التاريخية والأنماط السلوكية للعملاء وبصمات الأجهزة والبيانات الجغرافية لبناء ملفات مخاطر شاملة لكل معاملة، حيث أثبتت الدراسات أن نماذج التعلم العميق تحقق دقة تتجاوز 94% في كشف المعاملات الاحتيالية مقارنة بنسب أقل بكثير للأنظمة التقليدية</w:t>
      </w:r>
      <w:r w:rsidRPr="0083094C">
        <w:rPr>
          <w:rFonts w:ascii="Simplified Arabic" w:eastAsia="Times New Roman" w:hAnsi="Simplified Arabic" w:cs="Simplified Arabic"/>
          <w:color w:val="000000" w:themeColor="text1"/>
          <w:kern w:val="0"/>
          <w:sz w:val="28"/>
          <w:szCs w:val="28"/>
          <w14:ligatures w14:val="none"/>
        </w:rPr>
        <w:t xml:space="preserve"> (Paul &amp; Ogburie, 2025). </w:t>
      </w:r>
      <w:r w:rsidRPr="0083094C">
        <w:rPr>
          <w:rFonts w:ascii="Simplified Arabic" w:eastAsia="Times New Roman" w:hAnsi="Simplified Arabic" w:cs="Simplified Arabic"/>
          <w:color w:val="000000" w:themeColor="text1"/>
          <w:kern w:val="0"/>
          <w:sz w:val="28"/>
          <w:szCs w:val="28"/>
          <w:rtl/>
          <w14:ligatures w14:val="none"/>
        </w:rPr>
        <w:t>وقد بيّنت دراسة (فراحي، 2025) أن نموذج الغابة العشوائية يحقق كفاءة عالية في التمييز بين المعاملات المشروعة والاحتيالية في بطاقات الائتمان من خلال تحديد المتغيرات الأكثر أهمية في اكتشاف الأنماط الاحتيالية</w:t>
      </w:r>
      <w:r w:rsidRPr="0083094C">
        <w:rPr>
          <w:rFonts w:ascii="Simplified Arabic" w:eastAsia="Times New Roman" w:hAnsi="Simplified Arabic" w:cs="Simplified Arabic"/>
          <w:color w:val="000000" w:themeColor="text1"/>
          <w:kern w:val="0"/>
          <w:sz w:val="28"/>
          <w:szCs w:val="28"/>
          <w14:ligatures w14:val="none"/>
        </w:rPr>
        <w:t>.</w:t>
      </w:r>
    </w:p>
    <w:p w14:paraId="7D814E10"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الثاني: أنظمة الامتثال التنظيمي الآلي</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وتشير إلى الأنظمة التي تستخدم تقنيات معالجة اللغة الطبيعية والتعلم الآلي لأتمتة عمليات الامتثال للمتطلبات التنظيمية، بما يشمل إجراءات اعرف عميلك</w:t>
      </w:r>
      <w:r w:rsidRPr="0083094C">
        <w:rPr>
          <w:rFonts w:ascii="Simplified Arabic" w:eastAsia="Times New Roman" w:hAnsi="Simplified Arabic" w:cs="Simplified Arabic"/>
          <w:color w:val="000000" w:themeColor="text1"/>
          <w:kern w:val="0"/>
          <w:sz w:val="28"/>
          <w:szCs w:val="28"/>
          <w14:ligatures w14:val="none"/>
        </w:rPr>
        <w:t xml:space="preserve"> (KYC) </w:t>
      </w:r>
      <w:r w:rsidRPr="0083094C">
        <w:rPr>
          <w:rFonts w:ascii="Simplified Arabic" w:eastAsia="Times New Roman" w:hAnsi="Simplified Arabic" w:cs="Simplified Arabic"/>
          <w:color w:val="000000" w:themeColor="text1"/>
          <w:kern w:val="0"/>
          <w:sz w:val="28"/>
          <w:szCs w:val="28"/>
          <w:rtl/>
          <w14:ligatures w14:val="none"/>
        </w:rPr>
        <w:t>والتحقق من الهوية ومكافحة غسل الأموال</w:t>
      </w:r>
      <w:r w:rsidRPr="0083094C">
        <w:rPr>
          <w:rFonts w:ascii="Simplified Arabic" w:eastAsia="Times New Roman" w:hAnsi="Simplified Arabic" w:cs="Simplified Arabic"/>
          <w:color w:val="000000" w:themeColor="text1"/>
          <w:kern w:val="0"/>
          <w:sz w:val="28"/>
          <w:szCs w:val="28"/>
          <w14:ligatures w14:val="none"/>
        </w:rPr>
        <w:t xml:space="preserve"> (AML) </w:t>
      </w:r>
      <w:r w:rsidRPr="0083094C">
        <w:rPr>
          <w:rFonts w:ascii="Simplified Arabic" w:eastAsia="Times New Roman" w:hAnsi="Simplified Arabic" w:cs="Simplified Arabic"/>
          <w:color w:val="000000" w:themeColor="text1"/>
          <w:kern w:val="0"/>
          <w:sz w:val="28"/>
          <w:szCs w:val="28"/>
          <w:rtl/>
          <w14:ligatures w14:val="none"/>
        </w:rPr>
        <w:t xml:space="preserve">ومراقبة المعاملات المشبوهة والتحقق من قوائم العقوبات والأشخاص المعرضين سياسياً </w:t>
      </w:r>
      <w:r w:rsidRPr="0083094C">
        <w:rPr>
          <w:rFonts w:ascii="Simplified Arabic" w:eastAsia="Times New Roman" w:hAnsi="Simplified Arabic" w:cs="Simplified Arabic"/>
          <w:color w:val="000000" w:themeColor="text1"/>
          <w:kern w:val="0"/>
          <w:sz w:val="28"/>
          <w:szCs w:val="28"/>
          <w14:ligatures w14:val="none"/>
        </w:rPr>
        <w:t xml:space="preserve">(PEPs). </w:t>
      </w:r>
      <w:r w:rsidRPr="0083094C">
        <w:rPr>
          <w:rFonts w:ascii="Simplified Arabic" w:eastAsia="Times New Roman" w:hAnsi="Simplified Arabic" w:cs="Simplified Arabic"/>
          <w:color w:val="000000" w:themeColor="text1"/>
          <w:kern w:val="0"/>
          <w:sz w:val="28"/>
          <w:szCs w:val="28"/>
          <w:rtl/>
          <w14:ligatures w14:val="none"/>
        </w:rPr>
        <w:t xml:space="preserve">وتتميز هذه الأنظمة بقدرتها على تحليل كميات هائلة </w:t>
      </w:r>
      <w:r w:rsidRPr="0083094C">
        <w:rPr>
          <w:rFonts w:ascii="Simplified Arabic" w:eastAsia="Times New Roman" w:hAnsi="Simplified Arabic" w:cs="Simplified Arabic"/>
          <w:color w:val="000000" w:themeColor="text1"/>
          <w:kern w:val="0"/>
          <w:sz w:val="28"/>
          <w:szCs w:val="28"/>
          <w:rtl/>
          <w14:ligatures w14:val="none"/>
        </w:rPr>
        <w:lastRenderedPageBreak/>
        <w:t>من المستندات التنظيمية واستخلاص الأحكام والمتطلبات ذات الصلة تلقائياً، مما يقلل من الاعتماد على الإجراءات اليدوية المكلفة ويحد من الأخطاء البشرية التي قد تعرض المؤسسات لمخاطر عدم الامتثال وما يترتب عليها من غرامات وعقوبات مالية</w:t>
      </w:r>
      <w:r w:rsidRPr="0083094C">
        <w:rPr>
          <w:rFonts w:ascii="Simplified Arabic" w:eastAsia="Times New Roman" w:hAnsi="Simplified Arabic" w:cs="Simplified Arabic"/>
          <w:color w:val="000000" w:themeColor="text1"/>
          <w:kern w:val="0"/>
          <w:sz w:val="28"/>
          <w:szCs w:val="28"/>
          <w14:ligatures w14:val="none"/>
        </w:rPr>
        <w:t xml:space="preserve"> (Kumar, 2024).</w:t>
      </w:r>
    </w:p>
    <w:p w14:paraId="649CA516"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الثالث: أنظمة التحليل التنبؤي للمخاطر</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وتشير إلى الأنظمة التي تستخدم خوارزميات التعلم الآلي المتقدمة والنمذجة الإحصائية لتحليل البيانات التاريخية والآنية بهدف التنبؤ بالمخاطر المالية المحتملة قبل وقوعها. وتعمل هذه الأنظمة على بناء نماذج تنبؤية تستند إلى مؤشرات متعددة تشمل الأنماط السلوكية المتغيرة والمؤشرات الاقتصادية والسوقية والبيانات الجغرافية المكانية وبيانات الشبكات الاجتماعية المالية، مما يتيح للمؤسسات المالية اتخاذ إجراءات وقائية استباقية للحد من تعرضها للمخاطر. ويُعد التحليل التنبؤي أداة محورية في إدارة المخاطر الحديثة، حيث ينتقل بالمؤسسات من نهج الاستجابة التفاعلية بعد وقوع الخسائر إلى نهج الوقاية الاستباقية قبل حدوثها</w:t>
      </w:r>
      <w:r w:rsidRPr="0083094C">
        <w:rPr>
          <w:rFonts w:ascii="Simplified Arabic" w:eastAsia="Times New Roman" w:hAnsi="Simplified Arabic" w:cs="Simplified Arabic"/>
          <w:color w:val="000000" w:themeColor="text1"/>
          <w:kern w:val="0"/>
          <w:sz w:val="28"/>
          <w:szCs w:val="28"/>
          <w14:ligatures w14:val="none"/>
        </w:rPr>
        <w:t xml:space="preserve"> (Sunki, 2025).</w:t>
      </w:r>
    </w:p>
    <w:p w14:paraId="68761EC5"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الرابع: أنظمة المراقبة والإنذار المبكر في الوقت الفعلي</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وتشير إلى الأنظمة التي تعمل على مدار الساعة لمراقبة المعاملات المالية والأنشطة المصرفية لحظة بلحظة وإصدار تنبيهات فورية عند رصد أي سلوك مشبوه أو انحراف عن الأنماط الطبيعية. وتعتمد هذه الأنظمة على تقنيات تحليل التدفقات البيانية في الوقت الحقيقي وخوارزميات كشف الحالات الشاذة ومسافة ماهالانوبيس لتحديد المعاملات التي تنحرف عن التوزيعات الاحتمالية الطبيعية. وتتميز بقدرتها على معالجة آلاف المعاملات في الثانية الواحدة مع زمن استجابة لا يتجاوز أجزاء من الثانية، مما يتيح التدخل الفوري لمنع إتمام المعاملات الاحتيالية قبل اكتمالها وتقليل نافذة التعرض للمخاطر إلى أدنى حد ممكن</w:t>
      </w:r>
      <w:r w:rsidRPr="0083094C">
        <w:rPr>
          <w:rFonts w:ascii="Simplified Arabic" w:eastAsia="Times New Roman" w:hAnsi="Simplified Arabic" w:cs="Simplified Arabic"/>
          <w:color w:val="000000" w:themeColor="text1"/>
          <w:kern w:val="0"/>
          <w:sz w:val="28"/>
          <w:szCs w:val="28"/>
          <w14:ligatures w14:val="none"/>
        </w:rPr>
        <w:t xml:space="preserve"> (Kumar, 2024).</w:t>
      </w:r>
    </w:p>
    <w:p w14:paraId="16876D58" w14:textId="77777777" w:rsidR="0083482F" w:rsidRPr="0083094C" w:rsidRDefault="0083482F"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094C">
        <w:rPr>
          <w:rFonts w:ascii="Simplified Arabic" w:eastAsia="Times New Roman" w:hAnsi="Simplified Arabic" w:cs="Simplified Arabic"/>
          <w:b/>
          <w:bCs/>
          <w:color w:val="000000" w:themeColor="text1"/>
          <w:kern w:val="0"/>
          <w:sz w:val="32"/>
          <w:szCs w:val="32"/>
          <w:rtl/>
          <w14:ligatures w14:val="none"/>
        </w:rPr>
        <w:t>ثالثاً: خفض الخسائر المالية</w:t>
      </w:r>
    </w:p>
    <w:p w14:paraId="647A9385"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 xml:space="preserve">يُقصد بخفض الخسائر المالية في سياق هذه الدراسة التقليل الملموس والمستدام في حجم الخسائر المادية والتشغيلية التي تتكبدها المؤسسات المالية نتيجة عمليات الاحتيال المالي وعدم الامتثال التنظيمي. ويشمل هذا المفهوم عدة جوانب متكاملة تتمثل في خفض الخسائر المباشرة الناتجة عن المعاملات الاحتيالية التي لا يتم اكتشافها في الوقت المناسب، وتقليل التكاليف التشغيلية المرتبطة بعمليات التحقيق في حالات الاحتيال والمعالجة اليدوية والإنذارات الخاطئة، والحد من الغرامات والعقوبات المالية المفروضة من الجهات التنظيمية والرقابية بسبب الإخلال بمتطلبات الامتثال، فضلاً عن صون الأصول المالية والحفاظ على مؤشرات الربحية كالعائد على الأصول والعائد على حقوق الملكية وهامش صافي الربح </w:t>
      </w:r>
      <w:r w:rsidRPr="0083094C">
        <w:rPr>
          <w:rFonts w:ascii="Simplified Arabic" w:eastAsia="Times New Roman" w:hAnsi="Simplified Arabic" w:cs="Simplified Arabic"/>
          <w:color w:val="000000" w:themeColor="text1"/>
          <w:kern w:val="0"/>
          <w:sz w:val="28"/>
          <w:szCs w:val="28"/>
          <w14:ligatures w14:val="none"/>
        </w:rPr>
        <w:t xml:space="preserve">(Bangash et </w:t>
      </w:r>
      <w:r w:rsidRPr="0083094C">
        <w:rPr>
          <w:rFonts w:ascii="Simplified Arabic" w:eastAsia="Times New Roman" w:hAnsi="Simplified Arabic" w:cs="Simplified Arabic"/>
          <w:color w:val="000000" w:themeColor="text1"/>
          <w:kern w:val="0"/>
          <w:sz w:val="28"/>
          <w:szCs w:val="28"/>
          <w14:ligatures w14:val="none"/>
        </w:rPr>
        <w:lastRenderedPageBreak/>
        <w:t xml:space="preserve">al., 2025). </w:t>
      </w:r>
      <w:r w:rsidRPr="0083094C">
        <w:rPr>
          <w:rFonts w:ascii="Simplified Arabic" w:eastAsia="Times New Roman" w:hAnsi="Simplified Arabic" w:cs="Simplified Arabic"/>
          <w:color w:val="000000" w:themeColor="text1"/>
          <w:kern w:val="0"/>
          <w:sz w:val="28"/>
          <w:szCs w:val="28"/>
          <w:rtl/>
          <w14:ligatures w14:val="none"/>
        </w:rPr>
        <w:t>وقد أكدت الدراسات أن إدارة المخاطر الفعالة تمثل ركيزة أساسية في منع الخسائر المالية والحفاظ على استقرار المؤسسات، حيث يرتبط التطبيق المنهجي لعمليات تحديد المخاطر وتقييمها والتحكم فيها ومتابعتها ارتباطاً معنوياً بتقليل الخسائر المحتملة (علوان، 2021؛</w:t>
      </w:r>
      <w:r w:rsidRPr="0083094C">
        <w:rPr>
          <w:rFonts w:ascii="Simplified Arabic" w:eastAsia="Times New Roman" w:hAnsi="Simplified Arabic" w:cs="Simplified Arabic"/>
          <w:color w:val="000000" w:themeColor="text1"/>
          <w:kern w:val="0"/>
          <w:sz w:val="28"/>
          <w:szCs w:val="28"/>
          <w14:ligatures w14:val="none"/>
        </w:rPr>
        <w:t xml:space="preserve"> Irfan &amp; Al Hakim, 2022). </w:t>
      </w:r>
      <w:r w:rsidRPr="0083094C">
        <w:rPr>
          <w:rFonts w:ascii="Simplified Arabic" w:eastAsia="Times New Roman" w:hAnsi="Simplified Arabic" w:cs="Simplified Arabic"/>
          <w:color w:val="000000" w:themeColor="text1"/>
          <w:kern w:val="0"/>
          <w:sz w:val="28"/>
          <w:szCs w:val="28"/>
          <w:rtl/>
          <w14:ligatures w14:val="none"/>
        </w:rPr>
        <w:t>ويمثل خفض الخسائر المالية في هذه الدراسة المتغير التابع الذي يُقاس من خلال محور أحادي يتضمن مؤشرات شاملة تغطي جميع جوانب الخسائر المالية المرتبطة بالاحتيال وعدم الامتثال في المؤسسات المالية السعودية</w:t>
      </w:r>
      <w:r w:rsidRPr="0083094C">
        <w:rPr>
          <w:rFonts w:ascii="Simplified Arabic" w:eastAsia="Times New Roman" w:hAnsi="Simplified Arabic" w:cs="Simplified Arabic"/>
          <w:color w:val="000000" w:themeColor="text1"/>
          <w:kern w:val="0"/>
          <w:sz w:val="28"/>
          <w:szCs w:val="28"/>
          <w14:ligatures w14:val="none"/>
        </w:rPr>
        <w:t>.</w:t>
      </w:r>
    </w:p>
    <w:p w14:paraId="4D7A4B41" w14:textId="77777777" w:rsidR="0083482F" w:rsidRPr="0083094C" w:rsidRDefault="0083482F" w:rsidP="009A2C1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3094C">
        <w:rPr>
          <w:rFonts w:ascii="Simplified Arabic" w:eastAsia="Times New Roman" w:hAnsi="Simplified Arabic" w:cs="Simplified Arabic"/>
          <w:b/>
          <w:bCs/>
          <w:color w:val="000000" w:themeColor="text1"/>
          <w:kern w:val="0"/>
          <w:sz w:val="32"/>
          <w:szCs w:val="32"/>
          <w:rtl/>
          <w14:ligatures w14:val="none"/>
        </w:rPr>
        <w:t>رابعاً: العلاقة النظرية بين المتغير المستقل والمتغير التابع</w:t>
      </w:r>
    </w:p>
    <w:p w14:paraId="67A5D2B4"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يستند الإطار النظري لهذه الدراسة إلى افتراض مركزي مفاده أن تطبيق أنظمة الامتثال ومكافحة الاحتيال المدعومة بالذكاء الاصطناعي بأبعادها الأربعة يُفضي إلى خفض الخسائر المالية في المؤسسات المالية من خلال عدة مسارات تأثيرية متكاملة. فأنظمة كشف الاحتيال الذكية ترفع من دقة التصنيف وتقلل من المعاملات الاحتيالية غير المكتشفة، وأنظمة الامتثال التنظيمي الآلي تخفض تكاليف الامتثال وتحد من الغرامات التنظيمية، وأنظمة التحليل التنبؤي تتيح الوقاية الاستباقية من المخاطر قبل تحققها، وأنظمة المراقبة والإنذار المبكر تضيق نافذة التعرض للاحتيال وتمنع اكتمال المعاملات المشبوهة. ويتقاطع هذا الإطار مع نظرية القبول التكنولوجي</w:t>
      </w:r>
      <w:r w:rsidRPr="0083094C">
        <w:rPr>
          <w:rFonts w:ascii="Simplified Arabic" w:eastAsia="Times New Roman" w:hAnsi="Simplified Arabic" w:cs="Simplified Arabic"/>
          <w:color w:val="000000" w:themeColor="text1"/>
          <w:kern w:val="0"/>
          <w:sz w:val="28"/>
          <w:szCs w:val="28"/>
          <w14:ligatures w14:val="none"/>
        </w:rPr>
        <w:t xml:space="preserve"> (TAM) </w:t>
      </w:r>
      <w:r w:rsidRPr="0083094C">
        <w:rPr>
          <w:rFonts w:ascii="Simplified Arabic" w:eastAsia="Times New Roman" w:hAnsi="Simplified Arabic" w:cs="Simplified Arabic"/>
          <w:color w:val="000000" w:themeColor="text1"/>
          <w:kern w:val="0"/>
          <w:sz w:val="28"/>
          <w:szCs w:val="28"/>
          <w:rtl/>
          <w14:ligatures w14:val="none"/>
        </w:rPr>
        <w:t>التي تفسر تبني المؤسسات للتقنيات الجديدة بناءً على الفائدة المدركة وسهولة الاستخدام، والنظرة القائمة على الموارد</w:t>
      </w:r>
      <w:r w:rsidRPr="0083094C">
        <w:rPr>
          <w:rFonts w:ascii="Simplified Arabic" w:eastAsia="Times New Roman" w:hAnsi="Simplified Arabic" w:cs="Simplified Arabic"/>
          <w:color w:val="000000" w:themeColor="text1"/>
          <w:kern w:val="0"/>
          <w:sz w:val="28"/>
          <w:szCs w:val="28"/>
          <w14:ligatures w14:val="none"/>
        </w:rPr>
        <w:t xml:space="preserve"> (RBV) </w:t>
      </w:r>
      <w:r w:rsidRPr="0083094C">
        <w:rPr>
          <w:rFonts w:ascii="Simplified Arabic" w:eastAsia="Times New Roman" w:hAnsi="Simplified Arabic" w:cs="Simplified Arabic"/>
          <w:color w:val="000000" w:themeColor="text1"/>
          <w:kern w:val="0"/>
          <w:sz w:val="28"/>
          <w:szCs w:val="28"/>
          <w:rtl/>
          <w14:ligatures w14:val="none"/>
        </w:rPr>
        <w:t>التي تعتبر أنظمة الذكاء الاصطناعي مورداً استراتيجياً نادراً يمنح المؤسسات ميزة تنافسية مستدامة في مجال مكافحة الاحتيال</w:t>
      </w:r>
      <w:r w:rsidRPr="0083094C">
        <w:rPr>
          <w:rFonts w:ascii="Simplified Arabic" w:eastAsia="Times New Roman" w:hAnsi="Simplified Arabic" w:cs="Simplified Arabic"/>
          <w:color w:val="000000" w:themeColor="text1"/>
          <w:kern w:val="0"/>
          <w:sz w:val="28"/>
          <w:szCs w:val="28"/>
          <w14:ligatures w14:val="none"/>
        </w:rPr>
        <w:t xml:space="preserve"> (Bangash et al., 2025).</w:t>
      </w:r>
    </w:p>
    <w:p w14:paraId="44086603" w14:textId="7E956476" w:rsidR="009A2C18" w:rsidRPr="0083094C" w:rsidRDefault="009A2C18" w:rsidP="003B4E8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798955"/>
      <w:bookmarkStart w:id="18" w:name="_Toc169790506"/>
      <w:bookmarkEnd w:id="16"/>
      <w:r w:rsidRPr="0083094C">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7"/>
    </w:p>
    <w:p w14:paraId="41B03FE2"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باعتباره المنهج الأكثر ملاءمة لطبيعة الدراسة وأهدافها، حيث يتيح هذا المنهج وصف الظاهرة موضع الدراسة وصفاً دقيقاً وشاملاً من خلال جمع البيانات والمعلومات المتعلقة بأثر تطبيق أنظمة الامتثال ومكافحة الاحتيال المدعومة بالذكاء الاصطناعي على خفض الخسائر المالية في المؤسسات المالية بالمملكة العربية السعودية، ومن ثم تحليلها وتفسيرها للوصول إلى استنتاجات علمية موضوعية. وسيتضمن المنهج الوصفي التحليلي شقين رئيسيين: الشق النظري الذي سيعتمد على المراجعة المنهجية للأدبيات والدراسات السابقة العربية والأجنبية ذات الصلة بمتغيرات الدراسة </w:t>
      </w:r>
      <w:r w:rsidRPr="0083094C">
        <w:rPr>
          <w:rFonts w:ascii="Simplified Arabic" w:eastAsia="Times New Roman" w:hAnsi="Simplified Arabic" w:cs="Simplified Arabic"/>
          <w:color w:val="000000" w:themeColor="text1"/>
          <w:kern w:val="0"/>
          <w:sz w:val="28"/>
          <w:szCs w:val="28"/>
          <w:rtl/>
          <w14:ligatures w14:val="none"/>
        </w:rPr>
        <w:lastRenderedPageBreak/>
        <w:t>لبناء الإطار النظري والمفاهيمي، والشق التطبيقي الذي سيعتمد على جمع البيانات الأولية من الميدان باستخدام أداة الاستبانة المصممة خصيصاً لهذا الغرض</w:t>
      </w:r>
      <w:r w:rsidRPr="0083094C">
        <w:rPr>
          <w:rFonts w:ascii="Simplified Arabic" w:eastAsia="Times New Roman" w:hAnsi="Simplified Arabic" w:cs="Simplified Arabic"/>
          <w:color w:val="000000" w:themeColor="text1"/>
          <w:kern w:val="0"/>
          <w:sz w:val="28"/>
          <w:szCs w:val="28"/>
          <w14:ligatures w14:val="none"/>
        </w:rPr>
        <w:t>.</w:t>
      </w:r>
    </w:p>
    <w:p w14:paraId="218FA3A2" w14:textId="77777777" w:rsidR="0083482F" w:rsidRPr="0083094C" w:rsidRDefault="0083482F" w:rsidP="009A2C1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وسيتم في إطار هذا المنهج توظيف الأساليب الإحصائية المناسبة لاختبار فروض الدراسة والإجابة عن تساؤلاتها، بدءاً من التحليل الوصفي لوصف خصائص العينة ومتغيرات الدراسة، مروراً بتحليل الارتباط لقياس العلاقات بين المتغيرات، وصولاً إلى تحليل الانحدار المتعدد لقياس الأثر واختبار الفروض، مما سيمكّن الباحث من تقديم صورة شاملة ودقيقة عن واقع تطبيق أنظمة الامتثال ومكافحة الاحتيال المدعومة بالذكاء الاصطناعي وأثرها الفعلي على خفض الخسائر المالية في المؤسسات المالية السعودية</w:t>
      </w:r>
      <w:r w:rsidRPr="0083094C">
        <w:rPr>
          <w:rFonts w:ascii="Simplified Arabic" w:eastAsia="Times New Roman" w:hAnsi="Simplified Arabic" w:cs="Simplified Arabic"/>
          <w:color w:val="000000" w:themeColor="text1"/>
          <w:kern w:val="0"/>
          <w:sz w:val="28"/>
          <w:szCs w:val="28"/>
          <w14:ligatures w14:val="none"/>
        </w:rPr>
        <w:t>.</w:t>
      </w:r>
    </w:p>
    <w:p w14:paraId="7BB01C69" w14:textId="02AA03C4" w:rsidR="0083482F" w:rsidRPr="0083094C" w:rsidRDefault="003B4E81" w:rsidP="003B4E8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9" w:name="_Toc233798956"/>
      <w:r w:rsidRPr="0083094C">
        <w:rPr>
          <w:rFonts w:ascii="Simplified Arabic" w:eastAsia="Times New Roman" w:hAnsi="Simplified Arabic" w:cs="Simplified Arabic" w:hint="cs"/>
          <w:b/>
          <w:bCs/>
          <w:color w:val="000000" w:themeColor="text1"/>
          <w:kern w:val="0"/>
          <w:sz w:val="36"/>
          <w:szCs w:val="36"/>
          <w:rtl/>
          <w14:ligatures w14:val="none"/>
        </w:rPr>
        <w:t xml:space="preserve">11.1 </w:t>
      </w:r>
      <w:r w:rsidR="0083482F" w:rsidRPr="0083094C">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19"/>
    </w:p>
    <w:p w14:paraId="2E3EE1D4"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إدارات الامتثال ومكافحة الاحتيال وإدارة المخاطر وتكنولوجيا المعلومات والتدقيق الداخلي في المؤسسات المالية العاملة في المملكة العربية السعودية والمرخصة من البنك المركزي السعودي (ساما) وهيئة السوق المالية، والتي تشمل البنوك التجارية البالغ عددها 12 بنكاً محلياً ومرخصاً، وشركات التأمين وإعادة التأمين البالغ عددها 28 شركة مدرجة، وشركات التقنية المالية</w:t>
      </w:r>
      <w:r w:rsidRPr="0083094C">
        <w:rPr>
          <w:rFonts w:ascii="Simplified Arabic" w:eastAsia="Times New Roman" w:hAnsi="Simplified Arabic" w:cs="Simplified Arabic"/>
          <w:color w:val="000000" w:themeColor="text1"/>
          <w:kern w:val="0"/>
          <w:sz w:val="28"/>
          <w:szCs w:val="28"/>
          <w14:ligatures w14:val="none"/>
        </w:rPr>
        <w:t xml:space="preserve"> (Fintech) </w:t>
      </w:r>
      <w:r w:rsidRPr="0083094C">
        <w:rPr>
          <w:rFonts w:ascii="Simplified Arabic" w:eastAsia="Times New Roman" w:hAnsi="Simplified Arabic" w:cs="Simplified Arabic"/>
          <w:color w:val="000000" w:themeColor="text1"/>
          <w:kern w:val="0"/>
          <w:sz w:val="28"/>
          <w:szCs w:val="28"/>
          <w:rtl/>
          <w14:ligatures w14:val="none"/>
        </w:rPr>
        <w:t>المرخصة والتي تجاوز عددها 200 شركة في إطار بيئة التجربة التنظيمية</w:t>
      </w:r>
      <w:r w:rsidRPr="0083094C">
        <w:rPr>
          <w:rFonts w:ascii="Simplified Arabic" w:eastAsia="Times New Roman" w:hAnsi="Simplified Arabic" w:cs="Simplified Arabic"/>
          <w:color w:val="000000" w:themeColor="text1"/>
          <w:kern w:val="0"/>
          <w:sz w:val="28"/>
          <w:szCs w:val="28"/>
          <w14:ligatures w14:val="none"/>
        </w:rPr>
        <w:t xml:space="preserve"> (Sandbox) </w:t>
      </w:r>
      <w:r w:rsidRPr="0083094C">
        <w:rPr>
          <w:rFonts w:ascii="Simplified Arabic" w:eastAsia="Times New Roman" w:hAnsi="Simplified Arabic" w:cs="Simplified Arabic"/>
          <w:color w:val="000000" w:themeColor="text1"/>
          <w:kern w:val="0"/>
          <w:sz w:val="28"/>
          <w:szCs w:val="28"/>
          <w:rtl/>
          <w14:ligatures w14:val="none"/>
        </w:rPr>
        <w:t xml:space="preserve">الخاصة بساما، فضلاً عن شركات الوساطة المالية والمؤسسات المالية الأخرى المرخصة. ويُقدّر مجتمع الدراسة الكلي بنحو </w:t>
      </w:r>
      <w:r w:rsidRPr="0083094C">
        <w:rPr>
          <w:rFonts w:ascii="Simplified Arabic" w:eastAsia="Times New Roman" w:hAnsi="Simplified Arabic" w:cs="Simplified Arabic"/>
          <w:color w:val="000000" w:themeColor="text1"/>
          <w:kern w:val="0"/>
          <w:sz w:val="28"/>
          <w:szCs w:val="28"/>
          <w14:ligatures w14:val="none"/>
        </w:rPr>
        <w:t xml:space="preserve">3,500 </w:t>
      </w:r>
      <w:r w:rsidRPr="0083094C">
        <w:rPr>
          <w:rFonts w:ascii="Simplified Arabic" w:eastAsia="Times New Roman" w:hAnsi="Simplified Arabic" w:cs="Simplified Arabic"/>
          <w:color w:val="000000" w:themeColor="text1"/>
          <w:kern w:val="0"/>
          <w:sz w:val="28"/>
          <w:szCs w:val="28"/>
          <w:rtl/>
          <w14:ligatures w14:val="none"/>
        </w:rPr>
        <w:t>متخصص يعملون في هذه الإدارات ذات الصلة المباشرة بموضوع الدراسة</w:t>
      </w:r>
      <w:r w:rsidRPr="0083094C">
        <w:rPr>
          <w:rFonts w:ascii="Simplified Arabic" w:eastAsia="Times New Roman" w:hAnsi="Simplified Arabic" w:cs="Simplified Arabic"/>
          <w:color w:val="000000" w:themeColor="text1"/>
          <w:kern w:val="0"/>
          <w:sz w:val="28"/>
          <w:szCs w:val="28"/>
          <w14:ligatures w14:val="none"/>
        </w:rPr>
        <w:t>.</w:t>
      </w:r>
    </w:p>
    <w:p w14:paraId="3D6A5B41"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ونظراً لكبر حجم مجتمع الدراسة وتوزعه الجغرافي على مناطق المملكة المختلفة، ستعتمد الدراسة على أسلوب العينة العشوائية الطبقية لضمان تمثيل جميع أنواع المؤسسات المالية بشكل متناسب، وسيتم تحديد حجم العينة وفقاً لمعادلة ستيفن ثامبسون</w:t>
      </w:r>
      <w:r w:rsidRPr="0083094C">
        <w:rPr>
          <w:rFonts w:ascii="Simplified Arabic" w:eastAsia="Times New Roman" w:hAnsi="Simplified Arabic" w:cs="Simplified Arabic"/>
          <w:color w:val="000000" w:themeColor="text1"/>
          <w:kern w:val="0"/>
          <w:sz w:val="28"/>
          <w:szCs w:val="28"/>
          <w14:ligatures w14:val="none"/>
        </w:rPr>
        <w:t xml:space="preserve"> (Steven Thompson) </w:t>
      </w:r>
      <w:r w:rsidRPr="0083094C">
        <w:rPr>
          <w:rFonts w:ascii="Simplified Arabic" w:eastAsia="Times New Roman" w:hAnsi="Simplified Arabic" w:cs="Simplified Arabic"/>
          <w:color w:val="000000" w:themeColor="text1"/>
          <w:kern w:val="0"/>
          <w:sz w:val="28"/>
          <w:szCs w:val="28"/>
          <w:rtl/>
          <w14:ligatures w14:val="none"/>
        </w:rPr>
        <w:t>عند مستوى ثقة 95% وهامش خطأ 5%، مما سيسفر عن حجم عينة مستهدف يبلغ 346 مفردة. وسيتم توزيع الاستبانات بشكل إلكتروني من خلال منصات الاستبيانات المتخصصة على العاملين المؤهلين في إدارات الامتثال ومكافحة الاحتيال وإدارة المخاطر وتكنولوجيا المعلومات والتدقيق الداخلي، مع مراعاة أن يكون المستجيب قد أمضى سنة واحدة على الأقل في العمل بالمؤسسة المالية وأن يكون على اطلاع مباشر بأنظمة الامتثال ومكافحة الاحتيال المطبقة فيها، وسيتم استبعاد الاستبانات غير المكتملة أو التي تُظهر أنماط إجابة عشوائية لضمان جودة البيانات وموثوقيتها</w:t>
      </w:r>
      <w:r w:rsidRPr="0083094C">
        <w:rPr>
          <w:rFonts w:ascii="Simplified Arabic" w:eastAsia="Times New Roman" w:hAnsi="Simplified Arabic" w:cs="Simplified Arabic"/>
          <w:color w:val="000000" w:themeColor="text1"/>
          <w:kern w:val="0"/>
          <w:sz w:val="28"/>
          <w:szCs w:val="28"/>
          <w14:ligatures w14:val="none"/>
        </w:rPr>
        <w:t>.</w:t>
      </w:r>
    </w:p>
    <w:p w14:paraId="71590BB2" w14:textId="1471E943" w:rsidR="0083482F" w:rsidRPr="0083094C" w:rsidRDefault="003B4E81" w:rsidP="003B4E8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0" w:name="_Toc233798957"/>
      <w:r w:rsidRPr="0083094C">
        <w:rPr>
          <w:rFonts w:ascii="Simplified Arabic" w:eastAsia="Times New Roman" w:hAnsi="Simplified Arabic" w:cs="Simplified Arabic" w:hint="cs"/>
          <w:b/>
          <w:bCs/>
          <w:color w:val="000000" w:themeColor="text1"/>
          <w:kern w:val="36"/>
          <w:sz w:val="36"/>
          <w:szCs w:val="36"/>
          <w:rtl/>
          <w14:ligatures w14:val="none"/>
        </w:rPr>
        <w:lastRenderedPageBreak/>
        <w:t xml:space="preserve">12.1 </w:t>
      </w:r>
      <w:r w:rsidR="0083482F" w:rsidRPr="0083094C">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0"/>
    </w:p>
    <w:p w14:paraId="00229D42"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ستعتمد الدراسة على مصدرين رئيسيين لجمع البيانات. المصادر الثانوية التي تتمثل في الكتب والمراجع العلمية المتخصصة والدوريات والمجلات العلمية المحكمة العربية والأجنبية والرسائل الجامعية والأبحاث المنشورة في قواعد البيانات العلمية ذات الصلة بمتغيرات الدراسة، فضلاً عن التقارير والنشرات الصادرة عن البنك المركزي السعودي (ساما) وهيئة السوق المالية والمنظمات الدولية ذات العلاقة، وذلك لبناء الإطار النظري للدراسة. والمصادر الأولية التي تتمثل في الاستبانة المصممة خصيصاً لهذه الدراسة كأداة رئيسية لجمع البيانات الميدانية من أفراد عينة الدراسة</w:t>
      </w:r>
      <w:r w:rsidRPr="0083094C">
        <w:rPr>
          <w:rFonts w:ascii="Simplified Arabic" w:eastAsia="Times New Roman" w:hAnsi="Simplified Arabic" w:cs="Simplified Arabic"/>
          <w:color w:val="000000" w:themeColor="text1"/>
          <w:kern w:val="0"/>
          <w:sz w:val="28"/>
          <w:szCs w:val="28"/>
          <w14:ligatures w14:val="none"/>
        </w:rPr>
        <w:t>.</w:t>
      </w:r>
    </w:p>
    <w:p w14:paraId="1AEFBB81" w14:textId="00503CA5" w:rsidR="0083482F" w:rsidRPr="0083094C" w:rsidRDefault="003B4E81" w:rsidP="003B4E8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33798958"/>
      <w:r w:rsidRPr="0083094C">
        <w:rPr>
          <w:rFonts w:ascii="Simplified Arabic" w:eastAsia="Times New Roman" w:hAnsi="Simplified Arabic" w:cs="Simplified Arabic" w:hint="cs"/>
          <w:b/>
          <w:bCs/>
          <w:color w:val="000000" w:themeColor="text1"/>
          <w:kern w:val="36"/>
          <w:sz w:val="36"/>
          <w:szCs w:val="36"/>
          <w:rtl/>
          <w14:ligatures w14:val="none"/>
        </w:rPr>
        <w:t xml:space="preserve">13.1 </w:t>
      </w:r>
      <w:r w:rsidR="0083482F" w:rsidRPr="0083094C">
        <w:rPr>
          <w:rFonts w:ascii="Simplified Arabic" w:eastAsia="Times New Roman" w:hAnsi="Simplified Arabic" w:cs="Simplified Arabic"/>
          <w:b/>
          <w:bCs/>
          <w:color w:val="000000" w:themeColor="text1"/>
          <w:kern w:val="36"/>
          <w:sz w:val="36"/>
          <w:szCs w:val="36"/>
          <w:rtl/>
          <w14:ligatures w14:val="none"/>
        </w:rPr>
        <w:t>أداة الدراسة</w:t>
      </w:r>
      <w:bookmarkEnd w:id="21"/>
    </w:p>
    <w:p w14:paraId="79F8FDC8"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 المتدرج (موافق بشدة، موافق، محايد، غير موافق، غير موافق بشدة)، وستتكون الاستبانة من ثلاثة أقسام رئيسية على النحو التالي</w:t>
      </w:r>
      <w:r w:rsidRPr="0083094C">
        <w:rPr>
          <w:rFonts w:ascii="Simplified Arabic" w:eastAsia="Times New Roman" w:hAnsi="Simplified Arabic" w:cs="Simplified Arabic"/>
          <w:color w:val="000000" w:themeColor="text1"/>
          <w:kern w:val="0"/>
          <w:sz w:val="28"/>
          <w:szCs w:val="28"/>
          <w14:ligatures w14:val="none"/>
        </w:rPr>
        <w:t>:</w:t>
      </w:r>
    </w:p>
    <w:p w14:paraId="602CCB27"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القسم الأول</w:t>
      </w:r>
      <w:r w:rsidRPr="0083094C">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ويتضمن المعلومات الشخصية والوظيفية لأفراد العينة كنوع المؤسسة المالية وحجمها والمسمى الوظيفي وسنوات الخبرة وسنوات الخبرة في التعامل مع أنظمة الذكاء الاصطناعي</w:t>
      </w:r>
      <w:r w:rsidRPr="0083094C">
        <w:rPr>
          <w:rFonts w:ascii="Simplified Arabic" w:eastAsia="Times New Roman" w:hAnsi="Simplified Arabic" w:cs="Simplified Arabic"/>
          <w:color w:val="000000" w:themeColor="text1"/>
          <w:kern w:val="0"/>
          <w:sz w:val="28"/>
          <w:szCs w:val="28"/>
          <w14:ligatures w14:val="none"/>
        </w:rPr>
        <w:t>.</w:t>
      </w:r>
    </w:p>
    <w:p w14:paraId="317A8DC8"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القسم الثاني</w:t>
      </w:r>
      <w:r w:rsidRPr="0083094C">
        <w:rPr>
          <w:rFonts w:ascii="Simplified Arabic" w:eastAsia="Times New Roman" w:hAnsi="Simplified Arabic" w:cs="Simplified Arabic"/>
          <w:color w:val="000000" w:themeColor="text1"/>
          <w:kern w:val="0"/>
          <w:sz w:val="28"/>
          <w:szCs w:val="28"/>
          <w:rtl/>
          <w14:ligatures w14:val="none"/>
        </w:rPr>
        <w:t>: المتغير المستقل (أنظمة الامتثال ومكافحة الاحتيال المدعومة بالذكاء الاصطناعي)، ويتكون من (16) فقرة موزعة على أربعة أبعاد، وذلك على النحو التالي</w:t>
      </w:r>
      <w:r w:rsidRPr="0083094C">
        <w:rPr>
          <w:rFonts w:ascii="Simplified Arabic" w:eastAsia="Times New Roman" w:hAnsi="Simplified Arabic" w:cs="Simplified Arabic"/>
          <w:color w:val="000000" w:themeColor="text1"/>
          <w:kern w:val="0"/>
          <w:sz w:val="28"/>
          <w:szCs w:val="28"/>
          <w14:ligatures w14:val="none"/>
        </w:rPr>
        <w:t>:</w:t>
      </w:r>
    </w:p>
    <w:p w14:paraId="459DF9BD" w14:textId="77777777" w:rsidR="0083482F" w:rsidRPr="0083094C" w:rsidRDefault="0083482F" w:rsidP="00CB72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الأول: أنظمة كشف الاحتيال الذكية، ويتضمن (4) فقرات</w:t>
      </w:r>
      <w:r w:rsidRPr="0083094C">
        <w:rPr>
          <w:rFonts w:ascii="Simplified Arabic" w:eastAsia="Times New Roman" w:hAnsi="Simplified Arabic" w:cs="Simplified Arabic"/>
          <w:color w:val="000000" w:themeColor="text1"/>
          <w:kern w:val="0"/>
          <w:sz w:val="28"/>
          <w:szCs w:val="28"/>
          <w14:ligatures w14:val="none"/>
        </w:rPr>
        <w:t>.</w:t>
      </w:r>
    </w:p>
    <w:p w14:paraId="58829775" w14:textId="77777777" w:rsidR="0083482F" w:rsidRPr="0083094C" w:rsidRDefault="0083482F" w:rsidP="00CB72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الثاني: أنظمة الامتثال التنظيمي الآلي، ويتضمن (4) فقرات</w:t>
      </w:r>
      <w:r w:rsidRPr="0083094C">
        <w:rPr>
          <w:rFonts w:ascii="Simplified Arabic" w:eastAsia="Times New Roman" w:hAnsi="Simplified Arabic" w:cs="Simplified Arabic"/>
          <w:color w:val="000000" w:themeColor="text1"/>
          <w:kern w:val="0"/>
          <w:sz w:val="28"/>
          <w:szCs w:val="28"/>
          <w14:ligatures w14:val="none"/>
        </w:rPr>
        <w:t>.</w:t>
      </w:r>
    </w:p>
    <w:p w14:paraId="24F94E81" w14:textId="77777777" w:rsidR="0083482F" w:rsidRPr="0083094C" w:rsidRDefault="0083482F" w:rsidP="00CB72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الثالث: أنظمة التحليل التنبؤي للمخاطر، ويتضمن (4) فقرات</w:t>
      </w:r>
      <w:r w:rsidRPr="0083094C">
        <w:rPr>
          <w:rFonts w:ascii="Simplified Arabic" w:eastAsia="Times New Roman" w:hAnsi="Simplified Arabic" w:cs="Simplified Arabic"/>
          <w:color w:val="000000" w:themeColor="text1"/>
          <w:kern w:val="0"/>
          <w:sz w:val="28"/>
          <w:szCs w:val="28"/>
          <w14:ligatures w14:val="none"/>
        </w:rPr>
        <w:t>.</w:t>
      </w:r>
    </w:p>
    <w:p w14:paraId="0B456D07" w14:textId="77777777" w:rsidR="0083482F" w:rsidRPr="0083094C" w:rsidRDefault="0083482F" w:rsidP="00CB72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البُعد الرابع: أنظمة المراقبة والإنذار المبكر في الوقت الفعلي، ويتضمن (4) فقرات</w:t>
      </w:r>
      <w:r w:rsidRPr="0083094C">
        <w:rPr>
          <w:rFonts w:ascii="Simplified Arabic" w:eastAsia="Times New Roman" w:hAnsi="Simplified Arabic" w:cs="Simplified Arabic"/>
          <w:color w:val="000000" w:themeColor="text1"/>
          <w:kern w:val="0"/>
          <w:sz w:val="28"/>
          <w:szCs w:val="28"/>
          <w14:ligatures w14:val="none"/>
        </w:rPr>
        <w:t>.</w:t>
      </w:r>
    </w:p>
    <w:p w14:paraId="017467EF"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b/>
          <w:bCs/>
          <w:color w:val="000000" w:themeColor="text1"/>
          <w:kern w:val="0"/>
          <w:sz w:val="28"/>
          <w:szCs w:val="28"/>
          <w:rtl/>
          <w14:ligatures w14:val="none"/>
        </w:rPr>
        <w:t>القسم الثالث</w:t>
      </w:r>
      <w:r w:rsidRPr="0083094C">
        <w:rPr>
          <w:rFonts w:ascii="Simplified Arabic" w:eastAsia="Times New Roman" w:hAnsi="Simplified Arabic" w:cs="Simplified Arabic"/>
          <w:color w:val="000000" w:themeColor="text1"/>
          <w:kern w:val="0"/>
          <w:sz w:val="28"/>
          <w:szCs w:val="28"/>
          <w:rtl/>
          <w14:ligatures w14:val="none"/>
        </w:rPr>
        <w:t>: المتغير التابع (خفض الخسائر المالية)، ويتكون من محور واحد يتضمن (10) فقرات تقيس مستوى خفض الخسائر المالية المرتبطة بالاحتيال المالي في المؤسسات المالية</w:t>
      </w:r>
      <w:r w:rsidRPr="0083094C">
        <w:rPr>
          <w:rFonts w:ascii="Simplified Arabic" w:eastAsia="Times New Roman" w:hAnsi="Simplified Arabic" w:cs="Simplified Arabic"/>
          <w:color w:val="000000" w:themeColor="text1"/>
          <w:kern w:val="0"/>
          <w:sz w:val="28"/>
          <w:szCs w:val="28"/>
          <w14:ligatures w14:val="none"/>
        </w:rPr>
        <w:t>.</w:t>
      </w:r>
    </w:p>
    <w:p w14:paraId="69C3ECC0"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lastRenderedPageBreak/>
        <w:t>وبذلك يبلغ إجمالي فقرات الاستبانة (26) فقرة بخلاف البيانات الديموغرافية. وسيتم التحقق من صدق الأداة من خلال صدق المحتوى بعرضها على مجموعة من المحكمين المتخصصين في مجالات المحاسبة والتمويل ونظم المعلومات، بالإضافة إلى صدق الاتساق الداخلي باستخدام معامل ارتباط بيرسون. كما سيتم التحقق من ثبات الأداة باستخدام معامل ألفا كرونباخ</w:t>
      </w:r>
      <w:r w:rsidRPr="0083094C">
        <w:rPr>
          <w:rFonts w:ascii="Simplified Arabic" w:eastAsia="Times New Roman" w:hAnsi="Simplified Arabic" w:cs="Simplified Arabic"/>
          <w:color w:val="000000" w:themeColor="text1"/>
          <w:kern w:val="0"/>
          <w:sz w:val="28"/>
          <w:szCs w:val="28"/>
          <w14:ligatures w14:val="none"/>
        </w:rPr>
        <w:t xml:space="preserve"> (Cronbach's Alpha) </w:t>
      </w:r>
      <w:r w:rsidRPr="0083094C">
        <w:rPr>
          <w:rFonts w:ascii="Simplified Arabic" w:eastAsia="Times New Roman" w:hAnsi="Simplified Arabic" w:cs="Simplified Arabic"/>
          <w:color w:val="000000" w:themeColor="text1"/>
          <w:kern w:val="0"/>
          <w:sz w:val="28"/>
          <w:szCs w:val="28"/>
          <w:rtl/>
          <w14:ligatures w14:val="none"/>
        </w:rPr>
        <w:t>للتأكد من الاتساق الداخلي لفقرات كل بُعد وللأداة ككل</w:t>
      </w:r>
      <w:r w:rsidRPr="0083094C">
        <w:rPr>
          <w:rFonts w:ascii="Simplified Arabic" w:eastAsia="Times New Roman" w:hAnsi="Simplified Arabic" w:cs="Simplified Arabic"/>
          <w:color w:val="000000" w:themeColor="text1"/>
          <w:kern w:val="0"/>
          <w:sz w:val="28"/>
          <w:szCs w:val="28"/>
          <w14:ligatures w14:val="none"/>
        </w:rPr>
        <w:t>.</w:t>
      </w:r>
    </w:p>
    <w:p w14:paraId="6E704483" w14:textId="146E80A0" w:rsidR="0083482F" w:rsidRPr="0083094C" w:rsidRDefault="003B4E81" w:rsidP="003B4E8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33798959"/>
      <w:r w:rsidRPr="0083094C">
        <w:rPr>
          <w:rFonts w:ascii="Simplified Arabic" w:eastAsia="Times New Roman" w:hAnsi="Simplified Arabic" w:cs="Simplified Arabic" w:hint="cs"/>
          <w:b/>
          <w:bCs/>
          <w:color w:val="000000" w:themeColor="text1"/>
          <w:kern w:val="36"/>
          <w:sz w:val="36"/>
          <w:szCs w:val="36"/>
          <w:rtl/>
          <w14:ligatures w14:val="none"/>
        </w:rPr>
        <w:t xml:space="preserve">14.1 </w:t>
      </w:r>
      <w:r w:rsidR="0083482F" w:rsidRPr="0083094C">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2"/>
    </w:p>
    <w:p w14:paraId="6401356C" w14:textId="77777777" w:rsidR="0083482F" w:rsidRPr="0083094C" w:rsidRDefault="0083482F" w:rsidP="003B4E8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 الإحصائية للعلوم الاجتماعية</w:t>
      </w:r>
      <w:r w:rsidRPr="0083094C">
        <w:rPr>
          <w:rFonts w:ascii="Simplified Arabic" w:eastAsia="Times New Roman" w:hAnsi="Simplified Arabic" w:cs="Simplified Arabic"/>
          <w:color w:val="000000" w:themeColor="text1"/>
          <w:kern w:val="0"/>
          <w:sz w:val="28"/>
          <w:szCs w:val="28"/>
          <w14:ligatures w14:val="none"/>
        </w:rPr>
        <w:t xml:space="preserve"> (SPSS)</w:t>
      </w:r>
      <w:r w:rsidRPr="0083094C">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83094C">
        <w:rPr>
          <w:rFonts w:ascii="Simplified Arabic" w:eastAsia="Times New Roman" w:hAnsi="Simplified Arabic" w:cs="Simplified Arabic"/>
          <w:color w:val="000000" w:themeColor="text1"/>
          <w:kern w:val="0"/>
          <w:sz w:val="28"/>
          <w:szCs w:val="28"/>
          <w14:ligatures w14:val="none"/>
        </w:rPr>
        <w:t>:</w:t>
      </w:r>
    </w:p>
    <w:p w14:paraId="1D6B565D"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83094C">
        <w:rPr>
          <w:rFonts w:ascii="Simplified Arabic" w:eastAsia="Times New Roman" w:hAnsi="Simplified Arabic" w:cs="Simplified Arabic"/>
          <w:color w:val="000000" w:themeColor="text1"/>
          <w:kern w:val="0"/>
          <w:sz w:val="28"/>
          <w:szCs w:val="28"/>
          <w14:ligatures w14:val="none"/>
        </w:rPr>
        <w:t>.</w:t>
      </w:r>
    </w:p>
    <w:p w14:paraId="39DCF75E"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الأبعاد حسب أهميتها النسبية</w:t>
      </w:r>
      <w:r w:rsidRPr="0083094C">
        <w:rPr>
          <w:rFonts w:ascii="Simplified Arabic" w:eastAsia="Times New Roman" w:hAnsi="Simplified Arabic" w:cs="Simplified Arabic"/>
          <w:color w:val="000000" w:themeColor="text1"/>
          <w:kern w:val="0"/>
          <w:sz w:val="28"/>
          <w:szCs w:val="28"/>
          <w14:ligatures w14:val="none"/>
        </w:rPr>
        <w:t>.</w:t>
      </w:r>
    </w:p>
    <w:p w14:paraId="6D0A92DC"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معامل ارتباط بيرسون</w:t>
      </w:r>
      <w:r w:rsidRPr="0083094C">
        <w:rPr>
          <w:rFonts w:ascii="Simplified Arabic" w:eastAsia="Times New Roman" w:hAnsi="Simplified Arabic" w:cs="Simplified Arabic"/>
          <w:color w:val="000000" w:themeColor="text1"/>
          <w:kern w:val="0"/>
          <w:sz w:val="28"/>
          <w:szCs w:val="28"/>
          <w14:ligatures w14:val="none"/>
        </w:rPr>
        <w:t xml:space="preserve"> (Pearson Correlation): </w:t>
      </w:r>
      <w:r w:rsidRPr="0083094C">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ولقياس العلاقات الارتباطية بين متغيرات الدراسة</w:t>
      </w:r>
      <w:r w:rsidRPr="0083094C">
        <w:rPr>
          <w:rFonts w:ascii="Simplified Arabic" w:eastAsia="Times New Roman" w:hAnsi="Simplified Arabic" w:cs="Simplified Arabic"/>
          <w:color w:val="000000" w:themeColor="text1"/>
          <w:kern w:val="0"/>
          <w:sz w:val="28"/>
          <w:szCs w:val="28"/>
          <w14:ligatures w14:val="none"/>
        </w:rPr>
        <w:t>.</w:t>
      </w:r>
    </w:p>
    <w:p w14:paraId="49B0E73A"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معامل ألفا كرونباخ</w:t>
      </w:r>
      <w:r w:rsidRPr="0083094C">
        <w:rPr>
          <w:rFonts w:ascii="Simplified Arabic" w:eastAsia="Times New Roman" w:hAnsi="Simplified Arabic" w:cs="Simplified Arabic"/>
          <w:color w:val="000000" w:themeColor="text1"/>
          <w:kern w:val="0"/>
          <w:sz w:val="28"/>
          <w:szCs w:val="28"/>
          <w14:ligatures w14:val="none"/>
        </w:rPr>
        <w:t xml:space="preserve"> (Cronbach's Alpha): </w:t>
      </w:r>
      <w:r w:rsidRPr="0083094C">
        <w:rPr>
          <w:rFonts w:ascii="Simplified Arabic" w:eastAsia="Times New Roman" w:hAnsi="Simplified Arabic" w:cs="Simplified Arabic"/>
          <w:color w:val="000000" w:themeColor="text1"/>
          <w:kern w:val="0"/>
          <w:sz w:val="28"/>
          <w:szCs w:val="28"/>
          <w:rtl/>
          <w14:ligatures w14:val="none"/>
        </w:rPr>
        <w:t>لقياس ثبات أداة الدراسة والتأكد من اتساقها الداخلي</w:t>
      </w:r>
      <w:r w:rsidRPr="0083094C">
        <w:rPr>
          <w:rFonts w:ascii="Simplified Arabic" w:eastAsia="Times New Roman" w:hAnsi="Simplified Arabic" w:cs="Simplified Arabic"/>
          <w:color w:val="000000" w:themeColor="text1"/>
          <w:kern w:val="0"/>
          <w:sz w:val="28"/>
          <w:szCs w:val="28"/>
          <w14:ligatures w14:val="none"/>
        </w:rPr>
        <w:t>.</w:t>
      </w:r>
    </w:p>
    <w:p w14:paraId="22A365BA"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تحليل الانحدار البسيط</w:t>
      </w:r>
      <w:r w:rsidRPr="0083094C">
        <w:rPr>
          <w:rFonts w:ascii="Simplified Arabic" w:eastAsia="Times New Roman" w:hAnsi="Simplified Arabic" w:cs="Simplified Arabic"/>
          <w:color w:val="000000" w:themeColor="text1"/>
          <w:kern w:val="0"/>
          <w:sz w:val="28"/>
          <w:szCs w:val="28"/>
          <w14:ligatures w14:val="none"/>
        </w:rPr>
        <w:t xml:space="preserve"> (Simple Regression): </w:t>
      </w:r>
      <w:r w:rsidRPr="0083094C">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المتغير التابع بشكل منفرد</w:t>
      </w:r>
      <w:r w:rsidRPr="0083094C">
        <w:rPr>
          <w:rFonts w:ascii="Simplified Arabic" w:eastAsia="Times New Roman" w:hAnsi="Simplified Arabic" w:cs="Simplified Arabic"/>
          <w:color w:val="000000" w:themeColor="text1"/>
          <w:kern w:val="0"/>
          <w:sz w:val="28"/>
          <w:szCs w:val="28"/>
          <w14:ligatures w14:val="none"/>
        </w:rPr>
        <w:t>.</w:t>
      </w:r>
    </w:p>
    <w:p w14:paraId="71825940"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تحليل الانحدار المتعدد</w:t>
      </w:r>
      <w:r w:rsidRPr="0083094C">
        <w:rPr>
          <w:rFonts w:ascii="Simplified Arabic" w:eastAsia="Times New Roman" w:hAnsi="Simplified Arabic" w:cs="Simplified Arabic"/>
          <w:color w:val="000000" w:themeColor="text1"/>
          <w:kern w:val="0"/>
          <w:sz w:val="28"/>
          <w:szCs w:val="28"/>
          <w14:ligatures w14:val="none"/>
        </w:rPr>
        <w:t xml:space="preserve"> (Multiple Regression): </w:t>
      </w:r>
      <w:r w:rsidRPr="0083094C">
        <w:rPr>
          <w:rFonts w:ascii="Simplified Arabic" w:eastAsia="Times New Roman" w:hAnsi="Simplified Arabic" w:cs="Simplified Arabic"/>
          <w:color w:val="000000" w:themeColor="text1"/>
          <w:kern w:val="0"/>
          <w:sz w:val="28"/>
          <w:szCs w:val="28"/>
          <w:rtl/>
          <w14:ligatures w14:val="none"/>
        </w:rPr>
        <w:t>لقياس الأثر المشترك لأبعاد المتغير المستقل مجتمعة على المتغير التابع واختبار الفرض الرئيسي</w:t>
      </w:r>
      <w:r w:rsidRPr="0083094C">
        <w:rPr>
          <w:rFonts w:ascii="Simplified Arabic" w:eastAsia="Times New Roman" w:hAnsi="Simplified Arabic" w:cs="Simplified Arabic"/>
          <w:color w:val="000000" w:themeColor="text1"/>
          <w:kern w:val="0"/>
          <w:sz w:val="28"/>
          <w:szCs w:val="28"/>
          <w14:ligatures w14:val="none"/>
        </w:rPr>
        <w:t>.</w:t>
      </w:r>
    </w:p>
    <w:p w14:paraId="30A6CD6F"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83094C">
        <w:rPr>
          <w:rFonts w:ascii="Simplified Arabic" w:eastAsia="Times New Roman" w:hAnsi="Simplified Arabic" w:cs="Simplified Arabic"/>
          <w:color w:val="000000" w:themeColor="text1"/>
          <w:kern w:val="0"/>
          <w:sz w:val="28"/>
          <w:szCs w:val="28"/>
          <w14:ligatures w14:val="none"/>
        </w:rPr>
        <w:t xml:space="preserve"> (Independent Samples T-Test): </w:t>
      </w:r>
      <w:r w:rsidRPr="0083094C">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ثنائية الفئات</w:t>
      </w:r>
      <w:r w:rsidRPr="0083094C">
        <w:rPr>
          <w:rFonts w:ascii="Simplified Arabic" w:eastAsia="Times New Roman" w:hAnsi="Simplified Arabic" w:cs="Simplified Arabic"/>
          <w:color w:val="000000" w:themeColor="text1"/>
          <w:kern w:val="0"/>
          <w:sz w:val="28"/>
          <w:szCs w:val="28"/>
          <w14:ligatures w14:val="none"/>
        </w:rPr>
        <w:t>.</w:t>
      </w:r>
    </w:p>
    <w:p w14:paraId="0A23E56F"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اختبار تحليل التباين الأحادي</w:t>
      </w:r>
      <w:r w:rsidRPr="0083094C">
        <w:rPr>
          <w:rFonts w:ascii="Simplified Arabic" w:eastAsia="Times New Roman" w:hAnsi="Simplified Arabic" w:cs="Simplified Arabic"/>
          <w:color w:val="000000" w:themeColor="text1"/>
          <w:kern w:val="0"/>
          <w:sz w:val="28"/>
          <w:szCs w:val="28"/>
          <w14:ligatures w14:val="none"/>
        </w:rPr>
        <w:t xml:space="preserve"> (One-Way ANOVA): </w:t>
      </w:r>
      <w:r w:rsidRPr="0083094C">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متعددة الفئات، مع استخدام اختبار شيفيه</w:t>
      </w:r>
      <w:r w:rsidRPr="0083094C">
        <w:rPr>
          <w:rFonts w:ascii="Simplified Arabic" w:eastAsia="Times New Roman" w:hAnsi="Simplified Arabic" w:cs="Simplified Arabic"/>
          <w:color w:val="000000" w:themeColor="text1"/>
          <w:kern w:val="0"/>
          <w:sz w:val="28"/>
          <w:szCs w:val="28"/>
          <w14:ligatures w14:val="none"/>
        </w:rPr>
        <w:t xml:space="preserve"> (Scheffé) </w:t>
      </w:r>
      <w:r w:rsidRPr="0083094C">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83094C">
        <w:rPr>
          <w:rFonts w:ascii="Simplified Arabic" w:eastAsia="Times New Roman" w:hAnsi="Simplified Arabic" w:cs="Simplified Arabic"/>
          <w:color w:val="000000" w:themeColor="text1"/>
          <w:kern w:val="0"/>
          <w:sz w:val="28"/>
          <w:szCs w:val="28"/>
          <w14:ligatures w14:val="none"/>
        </w:rPr>
        <w:t>.</w:t>
      </w:r>
    </w:p>
    <w:p w14:paraId="1E257917" w14:textId="77777777" w:rsidR="0083482F" w:rsidRPr="0083094C" w:rsidRDefault="0083482F" w:rsidP="00CB72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معامل تضخم التباين</w:t>
      </w:r>
      <w:r w:rsidRPr="0083094C">
        <w:rPr>
          <w:rFonts w:ascii="Simplified Arabic" w:eastAsia="Times New Roman" w:hAnsi="Simplified Arabic" w:cs="Simplified Arabic"/>
          <w:color w:val="000000" w:themeColor="text1"/>
          <w:kern w:val="0"/>
          <w:sz w:val="28"/>
          <w:szCs w:val="28"/>
          <w14:ligatures w14:val="none"/>
        </w:rPr>
        <w:t xml:space="preserve"> (VIF) </w:t>
      </w:r>
      <w:r w:rsidRPr="0083094C">
        <w:rPr>
          <w:rFonts w:ascii="Simplified Arabic" w:eastAsia="Times New Roman" w:hAnsi="Simplified Arabic" w:cs="Simplified Arabic"/>
          <w:color w:val="000000" w:themeColor="text1"/>
          <w:kern w:val="0"/>
          <w:sz w:val="28"/>
          <w:szCs w:val="28"/>
          <w:rtl/>
          <w14:ligatures w14:val="none"/>
        </w:rPr>
        <w:t>واختبار التحمل</w:t>
      </w:r>
      <w:r w:rsidRPr="0083094C">
        <w:rPr>
          <w:rFonts w:ascii="Simplified Arabic" w:eastAsia="Times New Roman" w:hAnsi="Simplified Arabic" w:cs="Simplified Arabic"/>
          <w:color w:val="000000" w:themeColor="text1"/>
          <w:kern w:val="0"/>
          <w:sz w:val="28"/>
          <w:szCs w:val="28"/>
          <w14:ligatures w14:val="none"/>
        </w:rPr>
        <w:t xml:space="preserve"> (Tolerance): </w:t>
      </w:r>
      <w:r w:rsidRPr="0083094C">
        <w:rPr>
          <w:rFonts w:ascii="Simplified Arabic" w:eastAsia="Times New Roman" w:hAnsi="Simplified Arabic" w:cs="Simplified Arabic"/>
          <w:color w:val="000000" w:themeColor="text1"/>
          <w:kern w:val="0"/>
          <w:sz w:val="28"/>
          <w:szCs w:val="28"/>
          <w:rtl/>
          <w14:ligatures w14:val="none"/>
        </w:rPr>
        <w:t>للتأكد من عدم وجود مشكلة الازدواج الخطي بين المتغيرات المستقلة</w:t>
      </w:r>
      <w:r w:rsidRPr="0083094C">
        <w:rPr>
          <w:rFonts w:ascii="Simplified Arabic" w:eastAsia="Times New Roman" w:hAnsi="Simplified Arabic" w:cs="Simplified Arabic"/>
          <w:color w:val="000000" w:themeColor="text1"/>
          <w:kern w:val="0"/>
          <w:sz w:val="28"/>
          <w:szCs w:val="28"/>
          <w14:ligatures w14:val="none"/>
        </w:rPr>
        <w:t>.</w:t>
      </w:r>
    </w:p>
    <w:p w14:paraId="756E0AD6" w14:textId="301153F1" w:rsidR="0083482F" w:rsidRPr="0083094C" w:rsidRDefault="003B4E81" w:rsidP="003B4E8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33798960"/>
      <w:r w:rsidRPr="0083094C">
        <w:rPr>
          <w:rFonts w:ascii="Simplified Arabic" w:eastAsia="Times New Roman" w:hAnsi="Simplified Arabic" w:cs="Simplified Arabic" w:hint="cs"/>
          <w:b/>
          <w:bCs/>
          <w:color w:val="000000" w:themeColor="text1"/>
          <w:kern w:val="36"/>
          <w:sz w:val="36"/>
          <w:szCs w:val="36"/>
          <w:rtl/>
          <w14:ligatures w14:val="none"/>
        </w:rPr>
        <w:lastRenderedPageBreak/>
        <w:t xml:space="preserve">15.1 </w:t>
      </w:r>
      <w:r w:rsidR="0083482F" w:rsidRPr="0083094C">
        <w:rPr>
          <w:rFonts w:ascii="Simplified Arabic" w:eastAsia="Times New Roman" w:hAnsi="Simplified Arabic" w:cs="Simplified Arabic"/>
          <w:b/>
          <w:bCs/>
          <w:color w:val="000000" w:themeColor="text1"/>
          <w:kern w:val="36"/>
          <w:sz w:val="36"/>
          <w:szCs w:val="36"/>
          <w:rtl/>
          <w14:ligatures w14:val="none"/>
        </w:rPr>
        <w:t>حدود الدراسة</w:t>
      </w:r>
      <w:bookmarkEnd w:id="23"/>
    </w:p>
    <w:p w14:paraId="19A2B080" w14:textId="77777777" w:rsidR="0083482F" w:rsidRPr="0083094C" w:rsidRDefault="0083482F" w:rsidP="00CB72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الحدود الموضوعية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ستقتصر الدراسة على دراسة أثر تطبيق أنظمة الامتثال ومكافحة الاحتيال المدعومة بالذكاء الاصطناعي بأبعادها الأربعة (أنظمة كشف الاحتيال الذكية، أنظمة الامتثال التنظيمي الآلي، أنظمة التحليل التنبؤي للمخاطر، أنظمة المراقبة والإنذار المبكر في الوقت الفعلي) على خفض الخسائر المالية</w:t>
      </w:r>
      <w:r w:rsidRPr="0083094C">
        <w:rPr>
          <w:rFonts w:ascii="Simplified Arabic" w:eastAsia="Times New Roman" w:hAnsi="Simplified Arabic" w:cs="Simplified Arabic"/>
          <w:color w:val="000000" w:themeColor="text1"/>
          <w:kern w:val="0"/>
          <w:sz w:val="28"/>
          <w:szCs w:val="28"/>
          <w14:ligatures w14:val="none"/>
        </w:rPr>
        <w:t>.</w:t>
      </w:r>
    </w:p>
    <w:p w14:paraId="1159E29D" w14:textId="77777777" w:rsidR="0083482F" w:rsidRPr="0083094C" w:rsidRDefault="0083482F" w:rsidP="00CB72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الحدود المكانية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ستُطبق الدراسة على المؤسسات المالية العاملة في المملكة العربية السعودية والمرخصة من البنك المركزي السعودي (ساما) وهيئة السوق المالية، والتي تشمل البنوك التجارية وشركات التأمين وشركات التقنية المالية وشركات الوساطة المالية</w:t>
      </w:r>
      <w:r w:rsidRPr="0083094C">
        <w:rPr>
          <w:rFonts w:ascii="Simplified Arabic" w:eastAsia="Times New Roman" w:hAnsi="Simplified Arabic" w:cs="Simplified Arabic"/>
          <w:color w:val="000000" w:themeColor="text1"/>
          <w:kern w:val="0"/>
          <w:sz w:val="28"/>
          <w:szCs w:val="28"/>
          <w14:ligatures w14:val="none"/>
        </w:rPr>
        <w:t>.</w:t>
      </w:r>
    </w:p>
    <w:p w14:paraId="04458BE0" w14:textId="77777777" w:rsidR="003B4E81" w:rsidRPr="0083094C" w:rsidRDefault="0083482F" w:rsidP="00CB72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3094C">
        <w:rPr>
          <w:rFonts w:ascii="Simplified Arabic" w:eastAsia="Times New Roman" w:hAnsi="Simplified Arabic" w:cs="Simplified Arabic"/>
          <w:color w:val="000000" w:themeColor="text1"/>
          <w:kern w:val="0"/>
          <w:sz w:val="28"/>
          <w:szCs w:val="28"/>
          <w:rtl/>
          <w14:ligatures w14:val="none"/>
        </w:rPr>
        <w:t>الحدود البشرية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الامتثال ومكافحة الاحتيال وإدارة المخاطر وتكنولوجيا المعلومات والتدقيق الداخلي في المؤسسات المالية المستهدفة</w:t>
      </w:r>
      <w:r w:rsidRPr="0083094C">
        <w:rPr>
          <w:rFonts w:ascii="Simplified Arabic" w:eastAsia="Times New Roman" w:hAnsi="Simplified Arabic" w:cs="Simplified Arabic"/>
          <w:color w:val="000000" w:themeColor="text1"/>
          <w:kern w:val="0"/>
          <w:sz w:val="28"/>
          <w:szCs w:val="28"/>
          <w14:ligatures w14:val="none"/>
        </w:rPr>
        <w:t>.</w:t>
      </w:r>
    </w:p>
    <w:p w14:paraId="71F5CFE3" w14:textId="7B13CAF7" w:rsidR="0083482F" w:rsidRPr="0083094C" w:rsidRDefault="0083482F" w:rsidP="00CB72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3094C">
        <w:rPr>
          <w:rFonts w:ascii="Simplified Arabic" w:eastAsia="Times New Roman" w:hAnsi="Simplified Arabic" w:cs="Simplified Arabic"/>
          <w:color w:val="000000" w:themeColor="text1"/>
          <w:kern w:val="0"/>
          <w:sz w:val="28"/>
          <w:szCs w:val="28"/>
          <w:rtl/>
          <w14:ligatures w14:val="none"/>
        </w:rPr>
        <w:t>الحدود الزمانية</w:t>
      </w:r>
      <w:r w:rsidRPr="0083094C">
        <w:rPr>
          <w:rFonts w:ascii="Simplified Arabic" w:eastAsia="Times New Roman" w:hAnsi="Simplified Arabic" w:cs="Simplified Arabic"/>
          <w:color w:val="000000" w:themeColor="text1"/>
          <w:kern w:val="0"/>
          <w:sz w:val="28"/>
          <w:szCs w:val="28"/>
          <w14:ligatures w14:val="none"/>
        </w:rPr>
        <w:t xml:space="preserve">: </w:t>
      </w:r>
      <w:r w:rsidRPr="0083094C">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العام الدراسي 2025/2026م</w:t>
      </w:r>
      <w:r w:rsidRPr="0083094C">
        <w:rPr>
          <w:rFonts w:ascii="Simplified Arabic" w:eastAsia="Times New Roman" w:hAnsi="Simplified Arabic" w:cs="Simplified Arabic"/>
          <w:color w:val="000000" w:themeColor="text1"/>
          <w:kern w:val="0"/>
          <w:sz w:val="28"/>
          <w:szCs w:val="28"/>
          <w14:ligatures w14:val="none"/>
        </w:rPr>
        <w:t>.</w:t>
      </w:r>
    </w:p>
    <w:p w14:paraId="2555C3EB" w14:textId="0AC08853" w:rsidR="00ED623D" w:rsidRPr="0083094C" w:rsidRDefault="00D661B6" w:rsidP="003B4E81">
      <w:pPr>
        <w:jc w:val="center"/>
        <w:outlineLvl w:val="0"/>
        <w:rPr>
          <w:rFonts w:ascii="Simplified Arabic" w:hAnsi="Simplified Arabic" w:cs="Simplified Arabic"/>
          <w:b/>
          <w:bCs/>
          <w:color w:val="000000" w:themeColor="text1"/>
          <w:sz w:val="40"/>
          <w:szCs w:val="40"/>
        </w:rPr>
      </w:pPr>
      <w:r w:rsidRPr="0083094C">
        <w:rPr>
          <w:rFonts w:ascii="Simplified Arabic" w:eastAsia="Times New Roman" w:hAnsi="Simplified Arabic" w:cs="Simplified Arabic"/>
          <w:b/>
          <w:bCs/>
          <w:color w:val="000000" w:themeColor="text1"/>
          <w:kern w:val="0"/>
          <w:sz w:val="40"/>
          <w:szCs w:val="40"/>
          <w:rtl/>
          <w14:ligatures w14:val="none"/>
        </w:rPr>
        <w:br w:type="page"/>
      </w:r>
      <w:bookmarkStart w:id="24" w:name="_Toc233798961"/>
      <w:r w:rsidR="003B4E81" w:rsidRPr="0083094C">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ED623D" w:rsidRPr="0083094C">
        <w:rPr>
          <w:rFonts w:ascii="Simplified Arabic" w:hAnsi="Simplified Arabic" w:cs="Simplified Arabic"/>
          <w:b/>
          <w:bCs/>
          <w:color w:val="000000" w:themeColor="text1"/>
          <w:sz w:val="40"/>
          <w:szCs w:val="40"/>
          <w:rtl/>
        </w:rPr>
        <w:t>الإطار النظري للدراسة</w:t>
      </w:r>
      <w:bookmarkEnd w:id="24"/>
    </w:p>
    <w:p w14:paraId="6649DEEB" w14:textId="77777777" w:rsidR="00ED623D" w:rsidRPr="0083094C" w:rsidRDefault="00ED623D" w:rsidP="003B4E81">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25" w:name="_Toc233798962"/>
      <w:r w:rsidRPr="0083094C">
        <w:rPr>
          <w:rFonts w:ascii="Simplified Arabic" w:hAnsi="Simplified Arabic" w:cs="Simplified Arabic"/>
          <w:b/>
          <w:bCs/>
          <w:color w:val="000000" w:themeColor="text1"/>
          <w:sz w:val="36"/>
          <w:szCs w:val="36"/>
          <w:rtl/>
        </w:rPr>
        <w:t>المبحث الأول: أنظمة الامتثال ومكافحة الاحتيال المدعومة بالذكاء الاصطناعي</w:t>
      </w:r>
      <w:bookmarkEnd w:id="25"/>
    </w:p>
    <w:p w14:paraId="3AF9C153" w14:textId="51385ED2"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3798963"/>
      <w:r w:rsidRPr="0083094C">
        <w:rPr>
          <w:rFonts w:ascii="Simplified Arabic" w:hAnsi="Simplified Arabic" w:cs="Simplified Arabic" w:hint="cs"/>
          <w:b/>
          <w:bCs/>
          <w:color w:val="000000" w:themeColor="text1"/>
          <w:sz w:val="32"/>
          <w:szCs w:val="32"/>
          <w:rtl/>
        </w:rPr>
        <w:t xml:space="preserve">1.1.2 </w:t>
      </w:r>
      <w:r w:rsidR="00ED623D" w:rsidRPr="0083094C">
        <w:rPr>
          <w:rFonts w:ascii="Simplified Arabic" w:hAnsi="Simplified Arabic" w:cs="Simplified Arabic"/>
          <w:b/>
          <w:bCs/>
          <w:color w:val="000000" w:themeColor="text1"/>
          <w:sz w:val="32"/>
          <w:szCs w:val="32"/>
          <w:rtl/>
        </w:rPr>
        <w:t>تمهيد</w:t>
      </w:r>
      <w:bookmarkEnd w:id="26"/>
    </w:p>
    <w:p w14:paraId="1A7A72D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شهد القطاع المالي خلال العقد الأخير تحوّلات جوهرية أعادت تشكيل بنيته التشغيلية ومنظومته الرقابية، إذ أفرز التوسّع المتسارع في الخدمات المصرفية الرقمية ومنصّات الدفع الإلكتروني بيئةً عملياتية بالغة التعقيد، تتقاطع فيها كثافة المعاملات مع تشعّب القنوات وتنوّع الأطراف. وقد أفرز هذا التحوّل في الوقت ذاته أنماطاً مستحدثة من الاحتيال المالي تتسم بالسرعة، والقدرة على التخفّي، وتجاوز أساليب الرقابة التقليدية القائمة على القواعد الثابتة والمراجعة اللاحقة. ومن هنا برزت الحاجة إلى منظومات رقابية متطوّرة، تتجاوز محدوديّة الأدوات الكلاسيكية، وتستوعب الطبيعة الديناميكية للمخاطر المعاصرة، فكان توظيف الذكاء الاصطناعي في بناء أنظمة الامتثال ومكافحة الاحتيال استجابةً منهجية لهذه التحدّيات</w:t>
      </w:r>
      <w:r w:rsidRPr="0083094C">
        <w:rPr>
          <w:rFonts w:ascii="Simplified Arabic" w:hAnsi="Simplified Arabic" w:cs="Simplified Arabic"/>
          <w:color w:val="000000" w:themeColor="text1"/>
          <w:sz w:val="28"/>
          <w:szCs w:val="28"/>
        </w:rPr>
        <w:t xml:space="preserve"> (Aziz &amp; Andriansyah, 2023).</w:t>
      </w:r>
    </w:p>
    <w:p w14:paraId="66941B8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ولا يمكن فهم هذه الأنظمة بمعزل عن السياق المؤسسي والتنظيمي الذي تنشط فيه؛ إذ تُمثّل تقاطعاً بين ثلاثة حقول معرفية: علوم الحاسب وتعلّم الآلة، والإدارة المالية والمحاسبة الجنائية، والحوكمة والامتثال التنظيمي. ويُسهم هذا التقاطع في إعادة تعريف وظائف الرقابة الداخلية، وتحويلها من نشاط استكشافي تالٍ لوقوع الحدث إلى نشاط استباقي يتنبّأ بالمخاطر قبل تبلوّرها</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ويسعى المبحث الحالي إلى تقديم معالجة نظرية متكاملة لمفهوم هذه الأنظمة وأهميتها وأهدافها وأبعادها واستراتيجيات تطبيقها، مع إبراز المداخل الفكرية المختلفة التي تناولتها، تأسيساً لفهم دورها في خفض الخسائر المالية</w:t>
      </w:r>
      <w:r w:rsidRPr="0083094C">
        <w:rPr>
          <w:rFonts w:ascii="Simplified Arabic" w:hAnsi="Simplified Arabic" w:cs="Simplified Arabic"/>
          <w:color w:val="000000" w:themeColor="text1"/>
          <w:sz w:val="28"/>
          <w:szCs w:val="28"/>
        </w:rPr>
        <w:t>.</w:t>
      </w:r>
    </w:p>
    <w:p w14:paraId="5AF04B07" w14:textId="354638D9"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3798964"/>
      <w:r w:rsidRPr="0083094C">
        <w:rPr>
          <w:rFonts w:ascii="Simplified Arabic" w:hAnsi="Simplified Arabic" w:cs="Simplified Arabic" w:hint="cs"/>
          <w:b/>
          <w:bCs/>
          <w:color w:val="000000" w:themeColor="text1"/>
          <w:sz w:val="32"/>
          <w:szCs w:val="32"/>
          <w:rtl/>
        </w:rPr>
        <w:t xml:space="preserve">2.1.2 </w:t>
      </w:r>
      <w:r w:rsidR="00ED623D" w:rsidRPr="0083094C">
        <w:rPr>
          <w:rFonts w:ascii="Simplified Arabic" w:hAnsi="Simplified Arabic" w:cs="Simplified Arabic"/>
          <w:b/>
          <w:bCs/>
          <w:color w:val="000000" w:themeColor="text1"/>
          <w:sz w:val="32"/>
          <w:szCs w:val="32"/>
          <w:rtl/>
        </w:rPr>
        <w:t>مفهوم أنظمة الامتثال ومكافحة الاحتيال المدعومة بالذكاء الاصطناعي</w:t>
      </w:r>
      <w:bookmarkEnd w:id="27"/>
    </w:p>
    <w:p w14:paraId="4F7B2E99"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تتعدّد المقاربات التي تناولت تعريف أنظمة الامتثال ومكافحة الاحتيال المدعومة بالذكاء الاصطناعي بحسب الخلفية المعرفية للباحث وزاوية المعالجة التي ينطلق منها، غير أنّ ثمّة قاسماً مشتركاً يجمع بين هذه التعريفات يتمثّل في كونها منظومات حاسوبية ذكية تجمع بين قدرات التحلّم والاستدلال وتحليل البيانات الضخمة بهدف رصد الأنماط الاحتيالية وضمان الالتزام بالأطر التنظيمية</w:t>
      </w:r>
      <w:r w:rsidRPr="0083094C">
        <w:rPr>
          <w:rFonts w:ascii="Simplified Arabic" w:hAnsi="Simplified Arabic" w:cs="Simplified Arabic"/>
          <w:color w:val="000000" w:themeColor="text1"/>
          <w:sz w:val="28"/>
          <w:szCs w:val="28"/>
        </w:rPr>
        <w:t>.</w:t>
      </w:r>
    </w:p>
    <w:p w14:paraId="43B7825E"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وفي هذا الإطار، يُعرّفها</w:t>
      </w:r>
      <w:r w:rsidRPr="0083094C">
        <w:rPr>
          <w:rFonts w:ascii="Simplified Arabic" w:hAnsi="Simplified Arabic" w:cs="Simplified Arabic"/>
          <w:color w:val="000000" w:themeColor="text1"/>
          <w:sz w:val="28"/>
          <w:szCs w:val="28"/>
        </w:rPr>
        <w:t xml:space="preserve"> (Paul &amp; Ogburie, 2025) </w:t>
      </w:r>
      <w:r w:rsidRPr="0083094C">
        <w:rPr>
          <w:rFonts w:ascii="Simplified Arabic" w:hAnsi="Simplified Arabic" w:cs="Simplified Arabic"/>
          <w:color w:val="000000" w:themeColor="text1"/>
          <w:sz w:val="28"/>
          <w:szCs w:val="28"/>
          <w:rtl/>
        </w:rPr>
        <w:t>بوصفها منظومات متكاملة تستثمر خوارزميات التعلّم الآلي والشبكات العصبية في تحليل تدفّقات المعاملات المالية، واستخلاص المؤشّرات السلوكية التي تنبئ بوجود انحرافات احتيالية، مع تمكين المؤسّسات من الاستجابة الفورية للمخاطر التي تواجهها. ويُضيف</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بُعداً تحويلياً للمفهوم حين يرى أنّ هذه الأنظمة لا تقتصر على الكشف بل تُعيد هندسة منظومة الأمن المالي برمّتها، عبر دمج إدارة المخاطر مع الكشف عن الاحتيال في نسيج تشغيلي واحد يتسم بالقدرة على التكيّف والتعلّم المستمر</w:t>
      </w:r>
      <w:r w:rsidRPr="0083094C">
        <w:rPr>
          <w:rFonts w:ascii="Simplified Arabic" w:hAnsi="Simplified Arabic" w:cs="Simplified Arabic"/>
          <w:color w:val="000000" w:themeColor="text1"/>
          <w:sz w:val="28"/>
          <w:szCs w:val="28"/>
        </w:rPr>
        <w:t>.</w:t>
      </w:r>
    </w:p>
    <w:p w14:paraId="7211215E"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ومن منظور وظيفي مغاير، يصف</w:t>
      </w:r>
      <w:r w:rsidRPr="0083094C">
        <w:rPr>
          <w:rFonts w:ascii="Simplified Arabic" w:hAnsi="Simplified Arabic" w:cs="Simplified Arabic"/>
          <w:color w:val="000000" w:themeColor="text1"/>
          <w:sz w:val="28"/>
          <w:szCs w:val="28"/>
        </w:rPr>
        <w:t xml:space="preserve"> (Kumar, 2024) </w:t>
      </w:r>
      <w:r w:rsidRPr="0083094C">
        <w:rPr>
          <w:rFonts w:ascii="Simplified Arabic" w:hAnsi="Simplified Arabic" w:cs="Simplified Arabic"/>
          <w:color w:val="000000" w:themeColor="text1"/>
          <w:sz w:val="28"/>
          <w:szCs w:val="28"/>
          <w:rtl/>
        </w:rPr>
        <w:t>هذه الأنظمة بأنّها بنى تكنولوجية تعتمد على الكشف الآني عن الشذوذ في منظومات الدفع الرقمية، إذ تُوظِّف خوارزميات التعلّم الآلي في معالجة كميّات هائلة من المعاملات لحظةً بلحظة، بما يُتيح تخفيف المخاطر قبل اكتمال العمليات المشبوهة. ويُعمِّق</w:t>
      </w:r>
      <w:r w:rsidRPr="0083094C">
        <w:rPr>
          <w:rFonts w:ascii="Simplified Arabic" w:hAnsi="Simplified Arabic" w:cs="Simplified Arabic"/>
          <w:color w:val="000000" w:themeColor="text1"/>
          <w:sz w:val="28"/>
          <w:szCs w:val="28"/>
        </w:rPr>
        <w:t xml:space="preserve"> (Bello &amp; Olufemi, 2024) </w:t>
      </w:r>
      <w:r w:rsidRPr="0083094C">
        <w:rPr>
          <w:rFonts w:ascii="Simplified Arabic" w:hAnsi="Simplified Arabic" w:cs="Simplified Arabic"/>
          <w:color w:val="000000" w:themeColor="text1"/>
          <w:sz w:val="28"/>
          <w:szCs w:val="28"/>
          <w:rtl/>
        </w:rPr>
        <w:t>هذه الرؤية بالإشارة إلى أنّ المفهوم يتجاوز البُعد التقني نحو بُعدٍ استراتيجي، حيث تُمثّل الأنظمة المعنية بنيةً مؤسّسية ذكية قادرة على استيعاب التعقيد المتزايد للأنماط الاحتيالية وتطوير استجابات متجدّدة لها</w:t>
      </w:r>
      <w:r w:rsidRPr="0083094C">
        <w:rPr>
          <w:rFonts w:ascii="Simplified Arabic" w:hAnsi="Simplified Arabic" w:cs="Simplified Arabic"/>
          <w:color w:val="000000" w:themeColor="text1"/>
          <w:sz w:val="28"/>
          <w:szCs w:val="28"/>
        </w:rPr>
        <w:t>.</w:t>
      </w:r>
    </w:p>
    <w:p w14:paraId="163A0F7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ومن زاوية مختلفة، يُقدّم</w:t>
      </w:r>
      <w:r w:rsidRPr="0083094C">
        <w:rPr>
          <w:rFonts w:ascii="Simplified Arabic" w:hAnsi="Simplified Arabic" w:cs="Simplified Arabic"/>
          <w:color w:val="000000" w:themeColor="text1"/>
          <w:sz w:val="28"/>
          <w:szCs w:val="28"/>
        </w:rPr>
        <w:t xml:space="preserve"> (Ikumapayi &amp; Ayankoya, 2025) </w:t>
      </w:r>
      <w:r w:rsidRPr="0083094C">
        <w:rPr>
          <w:rFonts w:ascii="Simplified Arabic" w:hAnsi="Simplified Arabic" w:cs="Simplified Arabic"/>
          <w:color w:val="000000" w:themeColor="text1"/>
          <w:sz w:val="28"/>
          <w:szCs w:val="28"/>
          <w:rtl/>
        </w:rPr>
        <w:t>تعريفاً يربط بين هذه الأنظمة والمحاسبة الجنائية، إذ يعدّها امتداداً معاصراً لأدوات التدقيق التحقيقي، توظِّف تعلّم الآلة في الكشف اللحظي عن الاحتيال والوقاية منه، عبر مزج المعرفة المحاسبية بالقدرات التحليلية المتقدّمة. أمّا (غندور و</w:t>
      </w:r>
      <w:r w:rsidRPr="0083094C">
        <w:rPr>
          <w:rFonts w:ascii="Simplified Arabic" w:hAnsi="Simplified Arabic" w:cs="Simplified Arabic"/>
          <w:color w:val="000000" w:themeColor="text1"/>
          <w:sz w:val="28"/>
          <w:szCs w:val="28"/>
        </w:rPr>
        <w:t>c</w:t>
      </w:r>
      <w:r w:rsidRPr="0083094C">
        <w:rPr>
          <w:rFonts w:ascii="Simplified Arabic" w:hAnsi="Simplified Arabic" w:cs="Simplified Arabic"/>
          <w:color w:val="000000" w:themeColor="text1"/>
          <w:sz w:val="28"/>
          <w:szCs w:val="28"/>
          <w:rtl/>
        </w:rPr>
        <w:t>، ٢٠٢٥</w:t>
      </w:r>
      <w:r w:rsidRPr="0083094C">
        <w:rPr>
          <w:rFonts w:ascii="Simplified Arabic" w:hAnsi="Simplified Arabic" w:cs="Simplified Arabic"/>
          <w:color w:val="000000" w:themeColor="text1"/>
          <w:sz w:val="28"/>
          <w:szCs w:val="28"/>
        </w:rPr>
        <w:t xml:space="preserve">) </w:t>
      </w:r>
      <w:r w:rsidRPr="0083094C">
        <w:rPr>
          <w:rFonts w:ascii="Simplified Arabic" w:hAnsi="Simplified Arabic" w:cs="Simplified Arabic"/>
          <w:color w:val="000000" w:themeColor="text1"/>
          <w:sz w:val="28"/>
          <w:szCs w:val="28"/>
          <w:rtl/>
        </w:rPr>
        <w:t>فيرى أنّ هذه الأنظمة تُجسِّد آلية دفاعية متطوّرة في مواجهة الاحتيال الإلكتروني، تستند إلى منطق التعلّم الذاتي والقدرة على التمييز بين السلوك المشروع والمشبوه في البيئات الرقمية المفتوحة</w:t>
      </w:r>
      <w:r w:rsidRPr="0083094C">
        <w:rPr>
          <w:rFonts w:ascii="Simplified Arabic" w:hAnsi="Simplified Arabic" w:cs="Simplified Arabic"/>
          <w:color w:val="000000" w:themeColor="text1"/>
          <w:sz w:val="28"/>
          <w:szCs w:val="28"/>
        </w:rPr>
        <w:t>.</w:t>
      </w:r>
    </w:p>
    <w:p w14:paraId="4C6FBC2B"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83094C">
        <w:rPr>
          <w:rFonts w:ascii="Simplified Arabic" w:hAnsi="Simplified Arabic" w:cs="Simplified Arabic"/>
          <w:color w:val="000000" w:themeColor="text1"/>
          <w:sz w:val="28"/>
          <w:szCs w:val="28"/>
          <w:rtl/>
        </w:rPr>
        <w:t>وتُقدّم (ابن شلهوب، ٢٠٢٥) تعريفاً مكمّلاً يُبرز الجانب البياناتي للمفهوم، حين تنظر إلى هذه الأنظمة باعتبارها أدوات معالجة ذكية للبيانات الضخمة المحاسبية، تستهدف اكتشاف الأنماط غير المعتادة في القيود والعمليات، بما يُعزّز قدرة الوحدات المحاسبية على الكشف المبكر عن مظاهر الاحتيال. ومن المنظور المصرفي، تُعرّفها (اتحاد المصارف العربية، ٢٠٢٦) بأنّها منظومات تكنولوجية متقدّمة تُسخِّر الذكاء الاصطناعي لرفع فعاليّة الأنظمة الرقابية القائمة في المصارف، عبر تعميق قدرتها التحليلية وتوسيع نطاق تغطيتها للمخاطر</w:t>
      </w:r>
      <w:r w:rsidRPr="0083094C">
        <w:rPr>
          <w:rFonts w:ascii="Simplified Arabic" w:hAnsi="Simplified Arabic" w:cs="Simplified Arabic"/>
          <w:color w:val="000000" w:themeColor="text1"/>
          <w:sz w:val="28"/>
          <w:szCs w:val="28"/>
        </w:rPr>
        <w:t>.</w:t>
      </w:r>
    </w:p>
    <w:p w14:paraId="75928E1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 xml:space="preserve">ويستنتج الباحث ممّا تقدّم أنّ أنظمة الامتثال ومكافحة الاحتيال المدعومة بالذكاء الاصطناعي يمكن تعريفها إجرائياً بأنّها منظومات تكنو-تنظيمية متكاملة تجمع بين خوارزميات التعلّم الآلي والتعلّم العميق </w:t>
      </w:r>
      <w:r w:rsidRPr="0083094C">
        <w:rPr>
          <w:rFonts w:ascii="Simplified Arabic" w:hAnsi="Simplified Arabic" w:cs="Simplified Arabic"/>
          <w:color w:val="000000" w:themeColor="text1"/>
          <w:sz w:val="28"/>
          <w:szCs w:val="28"/>
          <w:rtl/>
        </w:rPr>
        <w:lastRenderedPageBreak/>
        <w:t>ومعالجة اللغة الطبيعية والتحليلات التنبؤية، تعمل على رصد الأنماط الاحتيالية ومراقبة الالتزام بالأطر التنظيمية في الوقت الفعلي، وتُمكِّن المؤسّسات المالية من الانتقال من نموذج الرقابة التفاعلية إلى نموذج الرقابة الاستباقية الذكية، بما يُحقّق التوازن بين كفاءة العمليات وسلامتها وامتثالها التنظيمي. وهذا التعريف يستوعب الأبعاد التقنية والتنظيمية والاستراتيجية للمفهوم، ويتفادى الاختزال في زاويةٍ واحدة من زوايا المعالجة</w:t>
      </w:r>
      <w:r w:rsidRPr="0083094C">
        <w:rPr>
          <w:rFonts w:ascii="Simplified Arabic" w:hAnsi="Simplified Arabic" w:cs="Simplified Arabic"/>
          <w:color w:val="000000" w:themeColor="text1"/>
          <w:sz w:val="28"/>
          <w:szCs w:val="28"/>
        </w:rPr>
        <w:t>.</w:t>
      </w:r>
    </w:p>
    <w:p w14:paraId="12620BB5" w14:textId="08CE6D16"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3798965"/>
      <w:r w:rsidRPr="0083094C">
        <w:rPr>
          <w:rFonts w:ascii="Simplified Arabic" w:hAnsi="Simplified Arabic" w:cs="Simplified Arabic" w:hint="cs"/>
          <w:b/>
          <w:bCs/>
          <w:color w:val="000000" w:themeColor="text1"/>
          <w:sz w:val="32"/>
          <w:szCs w:val="32"/>
          <w:rtl/>
        </w:rPr>
        <w:t xml:space="preserve">3.1.2 </w:t>
      </w:r>
      <w:r w:rsidR="00ED623D" w:rsidRPr="0083094C">
        <w:rPr>
          <w:rFonts w:ascii="Simplified Arabic" w:hAnsi="Simplified Arabic" w:cs="Simplified Arabic"/>
          <w:b/>
          <w:bCs/>
          <w:color w:val="000000" w:themeColor="text1"/>
          <w:sz w:val="32"/>
          <w:szCs w:val="32"/>
          <w:rtl/>
        </w:rPr>
        <w:t>أهمية أنظمة الامتثال ومكافحة الاحتيال المدعومة بالذكاء الاصطناعي</w:t>
      </w:r>
      <w:bookmarkEnd w:id="28"/>
    </w:p>
    <w:p w14:paraId="5667E243"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تكتسب أنظمة الامتثال ومكافحة الاحتيال المدعومة بالذكاء الاصطناعي أهميةً متعاظمة في البيئة المالية المعاصرة، تنبع من قدرتها على التعامل مع تحدّيات هيكلية لم تعد الأدوات التقليدية قادرة على الاستجابة لها بكفاءة. فالطبيعة العابرة للحدود للاحتيال المالي، وتسارع وتيرة المعاملات الرقمية، وتشعّب القنوات المصرفية، عوامل أفرزت ضغوطاً تشغيلية ورقابية متزايدة على المؤسّسات المالية، جعلت من توظيف الذكاء الاصطناعي ضرورةً وجودية لا خياراً تطويرياً</w:t>
      </w:r>
      <w:r w:rsidRPr="0083094C">
        <w:rPr>
          <w:rFonts w:ascii="Simplified Arabic" w:hAnsi="Simplified Arabic" w:cs="Simplified Arabic"/>
          <w:color w:val="000000" w:themeColor="text1"/>
          <w:sz w:val="28"/>
          <w:szCs w:val="28"/>
        </w:rPr>
        <w:t>.</w:t>
      </w:r>
    </w:p>
    <w:p w14:paraId="6A60176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ويُشير</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إلى أنّ أهمية هذه الأنظمة تتجلّى في عدّة محاور؛ أوّلها أنّها تُتيح للمؤسّسات المالية الانتقال من الكشف اللاحق إلى الوقاية الاستباقية، عبر استشراف المخاطر قبل تبلوّرها فعلياً. وثانيها أنّها تُعزّز قدرة المؤسّسات على التكيّف مع التحوّلات السريعة في أنماط الاحتيال، بفضل قدرة الخوارزميات على التعلّم الذاتي وتحديث نماذجها التحليلية باستمرار. وثالثها أنّها تُحقّق تكاملاً بين وظائف الكشف عن الاحتيال وإدارة المخاطر والامتثال التنظيمي في منظومةٍ موحّدة، بما يُلغي التجزئة الوظيفية التي طالما أضعفت كفاءة الرقابة المالية. ورابعها أنّها تُسهم في تخفيض التكاليف التشغيلية لوظائف الرقابة والامتثال، عبر أتمتة المهامّ الروتينية وتحرير الكوادر البشرية للتركيز على المهامّ الاستراتيجية</w:t>
      </w:r>
      <w:r w:rsidRPr="0083094C">
        <w:rPr>
          <w:rFonts w:ascii="Simplified Arabic" w:hAnsi="Simplified Arabic" w:cs="Simplified Arabic"/>
          <w:color w:val="000000" w:themeColor="text1"/>
          <w:sz w:val="28"/>
          <w:szCs w:val="28"/>
        </w:rPr>
        <w:t>.</w:t>
      </w:r>
    </w:p>
    <w:p w14:paraId="036FB0CE"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ويرى</w:t>
      </w:r>
      <w:r w:rsidRPr="0083094C">
        <w:rPr>
          <w:rFonts w:ascii="Simplified Arabic" w:hAnsi="Simplified Arabic" w:cs="Simplified Arabic"/>
          <w:color w:val="000000" w:themeColor="text1"/>
          <w:sz w:val="28"/>
          <w:szCs w:val="28"/>
        </w:rPr>
        <w:t xml:space="preserve"> (Soyombo, 2024) </w:t>
      </w:r>
      <w:r w:rsidRPr="0083094C">
        <w:rPr>
          <w:rFonts w:ascii="Simplified Arabic" w:hAnsi="Simplified Arabic" w:cs="Simplified Arabic"/>
          <w:color w:val="000000" w:themeColor="text1"/>
          <w:sz w:val="28"/>
          <w:szCs w:val="28"/>
          <w:rtl/>
        </w:rPr>
        <w:t>أنّ أهمية هذه الأنظمة تتعدّى البُعد المؤسّسي الداخلي لتطال البُعد القطاعي الأوسع؛ إذ تُسهم في تعزيز الثقة في المنظومة المالية ككلّ، وحماية حقوق العملاء والمساهمين، ودعم استقرار النظام المصرفي في مواجهة الأزمات الناجمة عن الاحتيال. كما تُمكِّن هذه الأنظمة من تقديم خدمات مالية رقمية أكثر أماناً وموثوقية، ممّا يدعم توسّع الشمول المالي ويُحفّز الابتكار في الصناعة المصرفية. ويُضيف أنّ هذه الأنظمة تُؤدّي دوراً محورياً في تمكين الأجهزة الرقابية من ممارسة دورها الإشرافي بكفاءة، عبر توفير بيانات دقيقة وآنية حول مستويات المخاطر والامتثال في المؤسّسات الخاضعة للإشراف</w:t>
      </w:r>
      <w:r w:rsidRPr="0083094C">
        <w:rPr>
          <w:rFonts w:ascii="Simplified Arabic" w:hAnsi="Simplified Arabic" w:cs="Simplified Arabic"/>
          <w:color w:val="000000" w:themeColor="text1"/>
          <w:sz w:val="28"/>
          <w:szCs w:val="28"/>
        </w:rPr>
        <w:t>.</w:t>
      </w:r>
    </w:p>
    <w:p w14:paraId="6EDE7A2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ويُبرز</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جوانب إضافية لأهمية هذه الأنظمة، تتمثّل في تأثيرها على الأداء المالي للمؤسّسات؛ إذ تُسهم في حماية رأس المال من التآكل الناجم عن الخسائر الاحتيالية، وتُعزّز قدرة المؤسّسات على تحقيق ميزة تنافسية مستدامة من خلال تقديم خدمات تتسم بالأمان والكفاءة. كما تُمكِّن هذه الأنظمة المؤسّسات من تحسين تخصيص مواردها التشغيلية، بتركيز الجهود الرقابية على المعاملات والعملاء الذين يُمثّلون مستويات مخاطر مرتفعة، عوضاً عن التوزيع المتساوي للموارد بصرف النظر عن درجة المخاطر</w:t>
      </w:r>
      <w:r w:rsidRPr="0083094C">
        <w:rPr>
          <w:rFonts w:ascii="Simplified Arabic" w:hAnsi="Simplified Arabic" w:cs="Simplified Arabic"/>
          <w:color w:val="000000" w:themeColor="text1"/>
          <w:sz w:val="28"/>
          <w:szCs w:val="28"/>
        </w:rPr>
        <w:t>.</w:t>
      </w:r>
    </w:p>
    <w:p w14:paraId="6800B6D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ويُشير (المؤتمر العربي الأول لمكافحة الاحتيال، ٢٠٢٥) إلى أنّ أهمية هذه الأنظمة في السياق العربي تتضاعف بفعل خصوصية البيئة المصرفية الإقليمية، التي تشهد توسّعاً متسارعاً في الخدمات الرقمية مع تباينٍ في مستويات النضج التنظيمي والتقني. وتتجلّى هذه الأهمية في كونها أداةً لتعزيز البنية التحتية للحوكمة المالية، ومواكبة المعايير الدولية في مكافحة الاحتيال وغسل الأموال، ودعم تكامل المنظومة المصرفية العربية مع الأسواق المالية العالمية. ويُضاف إلى ذلك دورها في حماية سمعة المؤسّسات المالية، التي تُعدّ أصلاً غير ملموس بالغ الأهمية في صناعة تقوم على الثقة بصورة جوهرية</w:t>
      </w:r>
      <w:r w:rsidRPr="0083094C">
        <w:rPr>
          <w:rFonts w:ascii="Simplified Arabic" w:hAnsi="Simplified Arabic" w:cs="Simplified Arabic"/>
          <w:color w:val="000000" w:themeColor="text1"/>
          <w:sz w:val="28"/>
          <w:szCs w:val="28"/>
        </w:rPr>
        <w:t>.</w:t>
      </w:r>
    </w:p>
    <w:p w14:paraId="7E72D7A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ومن منظور تكاملي، يرى</w:t>
      </w:r>
      <w:r w:rsidRPr="0083094C">
        <w:rPr>
          <w:rFonts w:ascii="Simplified Arabic" w:hAnsi="Simplified Arabic" w:cs="Simplified Arabic"/>
          <w:color w:val="000000" w:themeColor="text1"/>
          <w:sz w:val="28"/>
          <w:szCs w:val="28"/>
        </w:rPr>
        <w:t xml:space="preserve"> (Aziz &amp; Andriansyah, 2023) </w:t>
      </w:r>
      <w:r w:rsidRPr="0083094C">
        <w:rPr>
          <w:rFonts w:ascii="Simplified Arabic" w:hAnsi="Simplified Arabic" w:cs="Simplified Arabic"/>
          <w:color w:val="000000" w:themeColor="text1"/>
          <w:sz w:val="28"/>
          <w:szCs w:val="28"/>
          <w:rtl/>
        </w:rPr>
        <w:t>أنّ أهمية هذه الأنظمة تنبثق من قدرتها على تحقيق التوازن بين ثلاثة أهداف غالباً ما تتصادم في الواقع التشغيلي للمصارف: تعزيز الأمان، وتحسين تجربة العميل، وضمان الامتثال التنظيمي. فالأدوات التقليدية كانت كثيراً ما تُحقّق هدفاً على حساب الآخرين، في حين تُتيح الأنظمة الذكية معالجةً متكاملة تُحقّق هذه الأهداف الثلاثة في آنٍ معاً، عبر التمييز الدقيق بين المعاملات المشروعة والمشبوهة، ممّا يُقلِّل الإنذارات الكاذبة دون الإخلال بمستوى الأمان</w:t>
      </w:r>
      <w:r w:rsidRPr="0083094C">
        <w:rPr>
          <w:rFonts w:ascii="Simplified Arabic" w:hAnsi="Simplified Arabic" w:cs="Simplified Arabic"/>
          <w:color w:val="000000" w:themeColor="text1"/>
          <w:sz w:val="28"/>
          <w:szCs w:val="28"/>
        </w:rPr>
        <w:t>.</w:t>
      </w:r>
    </w:p>
    <w:p w14:paraId="16C900EF" w14:textId="1A2DBDB4"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3798966"/>
      <w:r w:rsidRPr="0083094C">
        <w:rPr>
          <w:rFonts w:ascii="Simplified Arabic" w:hAnsi="Simplified Arabic" w:cs="Simplified Arabic" w:hint="cs"/>
          <w:b/>
          <w:bCs/>
          <w:color w:val="000000" w:themeColor="text1"/>
          <w:sz w:val="32"/>
          <w:szCs w:val="32"/>
          <w:rtl/>
        </w:rPr>
        <w:t xml:space="preserve">4.1.2 </w:t>
      </w:r>
      <w:r w:rsidR="00ED623D" w:rsidRPr="0083094C">
        <w:rPr>
          <w:rFonts w:ascii="Simplified Arabic" w:hAnsi="Simplified Arabic" w:cs="Simplified Arabic"/>
          <w:b/>
          <w:bCs/>
          <w:color w:val="000000" w:themeColor="text1"/>
          <w:sz w:val="32"/>
          <w:szCs w:val="32"/>
          <w:rtl/>
        </w:rPr>
        <w:t>أهداف أنظمة الامتثال ومكافحة الاحتيال المدعومة بالذكاء الاصطناعي</w:t>
      </w:r>
      <w:bookmarkEnd w:id="29"/>
    </w:p>
    <w:p w14:paraId="383598AE"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تتباين الأهداف التي يطمح المختصّون إلى تحقيقها من خلال تطبيق أنظمة الامتثال ومكافحة الاحتيال المدعومة بالذكاء الاصطناعي، بحسب المنظور الذي يتبنّاه كلّ منهم، غير أنّها تتلاقى في جوهرٍ مشترك يتمثّل في بناء منظومة دفاعية متكاملة ضدّ المخاطر الاحتيالية</w:t>
      </w:r>
      <w:r w:rsidRPr="0083094C">
        <w:rPr>
          <w:rFonts w:ascii="Simplified Arabic" w:hAnsi="Simplified Arabic" w:cs="Simplified Arabic"/>
          <w:color w:val="000000" w:themeColor="text1"/>
          <w:sz w:val="28"/>
          <w:szCs w:val="28"/>
        </w:rPr>
        <w:t>.</w:t>
      </w:r>
    </w:p>
    <w:p w14:paraId="7B2F2C7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ويرى</w:t>
      </w:r>
      <w:r w:rsidRPr="0083094C">
        <w:rPr>
          <w:rFonts w:ascii="Simplified Arabic" w:hAnsi="Simplified Arabic" w:cs="Simplified Arabic"/>
          <w:color w:val="000000" w:themeColor="text1"/>
          <w:sz w:val="28"/>
          <w:szCs w:val="28"/>
        </w:rPr>
        <w:t xml:space="preserve"> (Paul &amp; Ogburie, 2025) </w:t>
      </w:r>
      <w:r w:rsidRPr="0083094C">
        <w:rPr>
          <w:rFonts w:ascii="Simplified Arabic" w:hAnsi="Simplified Arabic" w:cs="Simplified Arabic"/>
          <w:color w:val="000000" w:themeColor="text1"/>
          <w:sz w:val="28"/>
          <w:szCs w:val="28"/>
          <w:rtl/>
        </w:rPr>
        <w:t>أنّ أهداف هذه الأنظمة تتمحور حول جملة من الغايات الجوهرية، يمكن إجمالها في النقاط الآتية</w:t>
      </w:r>
      <w:r w:rsidRPr="0083094C">
        <w:rPr>
          <w:rFonts w:ascii="Simplified Arabic" w:hAnsi="Simplified Arabic" w:cs="Simplified Arabic"/>
          <w:color w:val="000000" w:themeColor="text1"/>
          <w:sz w:val="28"/>
          <w:szCs w:val="28"/>
        </w:rPr>
        <w:t>:</w:t>
      </w:r>
    </w:p>
    <w:p w14:paraId="5BC9C89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تعزيز القدرة على الكشف المبكر عن العمليات الاحتيالية قبل اكتمالها، بما يُقلِّل من حجم الخسائر المحتملة ويُتيح اتّخاذ إجراءات احترازية فورية. وضمان الامتثال المستمر للأطر التنظيمية والتشريعية، عبر مراقبة آليّة للمعاملات والعمليات بما يضمن توافقها مع المتطلّبات القانونية المحلية والدولية. وتقليل الاعتماد على التدخّل البشري في المهامّ الرقابية الروتينية، وتحرير الكوادر البشرية للتركيز على المهامّ التحليلية والاستراتيجية. وتطوير قدرة المؤسّسات المالية على التكيّف مع التحوّلات السريعة في أنماط الاحتيال، عبر آليات التعلّم الذاتي والتحديث المستمرّ للنماذج التحليلية</w:t>
      </w:r>
      <w:r w:rsidRPr="0083094C">
        <w:rPr>
          <w:rFonts w:ascii="Simplified Arabic" w:hAnsi="Simplified Arabic" w:cs="Simplified Arabic"/>
          <w:color w:val="000000" w:themeColor="text1"/>
          <w:sz w:val="28"/>
          <w:szCs w:val="28"/>
        </w:rPr>
        <w:t>.</w:t>
      </w:r>
    </w:p>
    <w:p w14:paraId="6721305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ويُحدّد</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جملةً من الأهداف الإضافية التي تسعى هذه الأنظمة إلى تحقيقها، تشمل</w:t>
      </w:r>
      <w:r w:rsidRPr="0083094C">
        <w:rPr>
          <w:rFonts w:ascii="Simplified Arabic" w:hAnsi="Simplified Arabic" w:cs="Simplified Arabic"/>
          <w:color w:val="000000" w:themeColor="text1"/>
          <w:sz w:val="28"/>
          <w:szCs w:val="28"/>
        </w:rPr>
        <w:t>:</w:t>
      </w:r>
    </w:p>
    <w:p w14:paraId="7F4800C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بناء منظومة موحّدة لإدارة المخاطر والكشف عن الاحتيال، تتجاوز التجزئة الوظيفية بين الإدارات المختلفة في المؤسّسة المالية. وتوفير قدرات تحليلية متقدّمة تتجاوز حدود التحليل التقليدي، عبر دمج البيانات من مصادر متعدّدة ومعالجتها بصورة شاملة. ودعم اتّخاذ القرار الرقابي القائم على البيانات، عبر تزويد المتّخذين بمؤشّرات دقيقة وآنية حول مستويات المخاطر. وتحقيق الكفاءة التشغيلية عبر تقليل الإنذارات الكاذبة التي طالما استنزفت موارد المؤسّسات المالية في التحقّق منها</w:t>
      </w:r>
      <w:r w:rsidRPr="0083094C">
        <w:rPr>
          <w:rFonts w:ascii="Simplified Arabic" w:hAnsi="Simplified Arabic" w:cs="Simplified Arabic"/>
          <w:color w:val="000000" w:themeColor="text1"/>
          <w:sz w:val="28"/>
          <w:szCs w:val="28"/>
        </w:rPr>
        <w:t>.</w:t>
      </w:r>
    </w:p>
    <w:p w14:paraId="08537CB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ويُسهم</w:t>
      </w:r>
      <w:r w:rsidRPr="0083094C">
        <w:rPr>
          <w:rFonts w:ascii="Simplified Arabic" w:hAnsi="Simplified Arabic" w:cs="Simplified Arabic"/>
          <w:color w:val="000000" w:themeColor="text1"/>
          <w:sz w:val="28"/>
          <w:szCs w:val="28"/>
        </w:rPr>
        <w:t xml:space="preserve"> (Kumar, 2024) </w:t>
      </w:r>
      <w:r w:rsidRPr="0083094C">
        <w:rPr>
          <w:rFonts w:ascii="Simplified Arabic" w:hAnsi="Simplified Arabic" w:cs="Simplified Arabic"/>
          <w:color w:val="000000" w:themeColor="text1"/>
          <w:sz w:val="28"/>
          <w:szCs w:val="28"/>
          <w:rtl/>
        </w:rPr>
        <w:t>في إثراء النقاش حول أهداف هذه الأنظمة بإضافة محاور أخرى، من أبرزها</w:t>
      </w:r>
      <w:r w:rsidRPr="0083094C">
        <w:rPr>
          <w:rFonts w:ascii="Simplified Arabic" w:hAnsi="Simplified Arabic" w:cs="Simplified Arabic"/>
          <w:color w:val="000000" w:themeColor="text1"/>
          <w:sz w:val="28"/>
          <w:szCs w:val="28"/>
        </w:rPr>
        <w:t>:</w:t>
      </w:r>
    </w:p>
    <w:p w14:paraId="05E4FE0F"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تمكين الكشف اللحظي عن الشذوذ في منظومات الدفع الرقمية، بما يستوعب الطبيعة الآنية لهذه العمليات. وتطوير قدرات تخفيف المخاطر في الوقت الفعلي، عبر دمج عمليات الكشف مع آليات الاستجابة في منظومةٍ واحدة. وتعزيز الثقة في منظومات الدفع الرقمي، التي تُعدّ ركيزة أساسية للاقتصاد الرقمي المعاصر. ودعم استدامة الابتكار في الخدمات المالية الرقمية، عبر توفير بنية تحتية أمنية تواكب وتيرة التطوّر</w:t>
      </w:r>
      <w:r w:rsidRPr="0083094C">
        <w:rPr>
          <w:rFonts w:ascii="Simplified Arabic" w:hAnsi="Simplified Arabic" w:cs="Simplified Arabic"/>
          <w:color w:val="000000" w:themeColor="text1"/>
          <w:sz w:val="28"/>
          <w:szCs w:val="28"/>
        </w:rPr>
        <w:t>.</w:t>
      </w:r>
    </w:p>
    <w:p w14:paraId="3CF33D0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ويُقدّم</w:t>
      </w:r>
      <w:r w:rsidRPr="0083094C">
        <w:rPr>
          <w:rFonts w:ascii="Simplified Arabic" w:hAnsi="Simplified Arabic" w:cs="Simplified Arabic"/>
          <w:color w:val="000000" w:themeColor="text1"/>
          <w:sz w:val="28"/>
          <w:szCs w:val="28"/>
        </w:rPr>
        <w:t xml:space="preserve"> (Ikumapayi &amp; Ayankoya, 2025) </w:t>
      </w:r>
      <w:r w:rsidRPr="0083094C">
        <w:rPr>
          <w:rFonts w:ascii="Simplified Arabic" w:hAnsi="Simplified Arabic" w:cs="Simplified Arabic"/>
          <w:color w:val="000000" w:themeColor="text1"/>
          <w:sz w:val="28"/>
          <w:szCs w:val="28"/>
          <w:rtl/>
        </w:rPr>
        <w:t>رؤية تكاملية لأهداف هذه الأنظمة، تنطلق من منظور المحاسبة الجنائية، تتضمّن</w:t>
      </w:r>
      <w:r w:rsidRPr="0083094C">
        <w:rPr>
          <w:rFonts w:ascii="Simplified Arabic" w:hAnsi="Simplified Arabic" w:cs="Simplified Arabic"/>
          <w:color w:val="000000" w:themeColor="text1"/>
          <w:sz w:val="28"/>
          <w:szCs w:val="28"/>
        </w:rPr>
        <w:t>:</w:t>
      </w:r>
    </w:p>
    <w:p w14:paraId="5A79C6A8"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 xml:space="preserve">تعزيز قدرة المحاسبين والمدقّقين على الكشف عن الاحتيال في الوقت الفعلي، عوضاً عن الكشف اللاحق الذي طالما حدّ من فعالية المحاسبة الجنائية التقليدية. ودعم منظومة الأدلّة الرقمية في التحقيقات المالية، عبر توفير سجلّات تحليلية دقيقة قابلة للاستخدام في الإجراءات القانونية. وتطوير معايير مهنية </w:t>
      </w:r>
      <w:r w:rsidRPr="0083094C">
        <w:rPr>
          <w:rFonts w:ascii="Simplified Arabic" w:hAnsi="Simplified Arabic" w:cs="Simplified Arabic"/>
          <w:color w:val="000000" w:themeColor="text1"/>
          <w:sz w:val="28"/>
          <w:szCs w:val="28"/>
          <w:rtl/>
        </w:rPr>
        <w:lastRenderedPageBreak/>
        <w:t>جديدة للممارسة المحاسبية في بيئة رقمية متغيّرة. وبناء قدرات وقائية تستبق وقوع الاحتيال بدلاً من الاكتفاء بمعالجة آثاره</w:t>
      </w:r>
      <w:r w:rsidRPr="0083094C">
        <w:rPr>
          <w:rFonts w:ascii="Simplified Arabic" w:hAnsi="Simplified Arabic" w:cs="Simplified Arabic"/>
          <w:color w:val="000000" w:themeColor="text1"/>
          <w:sz w:val="28"/>
          <w:szCs w:val="28"/>
        </w:rPr>
        <w:t>.</w:t>
      </w:r>
    </w:p>
    <w:p w14:paraId="0CC6F7F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ويُضيف</w:t>
      </w:r>
      <w:r w:rsidRPr="0083094C">
        <w:rPr>
          <w:rFonts w:ascii="Simplified Arabic" w:hAnsi="Simplified Arabic" w:cs="Simplified Arabic"/>
          <w:color w:val="000000" w:themeColor="text1"/>
          <w:sz w:val="28"/>
          <w:szCs w:val="28"/>
        </w:rPr>
        <w:t xml:space="preserve"> (Bello &amp; Olufemi, 2024) </w:t>
      </w:r>
      <w:r w:rsidRPr="0083094C">
        <w:rPr>
          <w:rFonts w:ascii="Simplified Arabic" w:hAnsi="Simplified Arabic" w:cs="Simplified Arabic"/>
          <w:color w:val="000000" w:themeColor="text1"/>
          <w:sz w:val="28"/>
          <w:szCs w:val="28"/>
          <w:rtl/>
        </w:rPr>
        <w:t>أهدافاً ذات طابع استراتيجي، تشمل: استثمار البيانات المتراكمة لدى المؤسّسات المالية بوصفها أصلاً معرفياً يدعم اتّخاذ القرار، وبناء ميزة تنافسية مستدامة عبر تطوير قدرات تحليلية متقدّمة يصعب على المنافسين محاكاتها، وتعزيز سمعة المؤسّسة بوصفها كياناً آمناً وموثوقاً، ودعم توسّع المؤسّسة في أسواق وقنوات جديدة دون التضحية بمستويات الأمان والامتثال</w:t>
      </w:r>
      <w:r w:rsidRPr="0083094C">
        <w:rPr>
          <w:rFonts w:ascii="Simplified Arabic" w:hAnsi="Simplified Arabic" w:cs="Simplified Arabic"/>
          <w:color w:val="000000" w:themeColor="text1"/>
          <w:sz w:val="28"/>
          <w:szCs w:val="28"/>
        </w:rPr>
        <w:t>.</w:t>
      </w:r>
    </w:p>
    <w:p w14:paraId="4822BB6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أمّا (ابن شلهوب، ٢٠٢٥) فترى أنّ من أبرز أهداف هذه الأنظمة في السياق المحاسبي: استثمار البيانات الضخمة في تعزيز جودة المعلومات المحاسبية، ودعم الإفصاح المحاسبي بمؤشّرات دقيقة حول المخاطر الاحتيالية، وتطوير منظومة الرقابة الداخلية بما يستوعب تعقيد البيئة المحاسبية المعاصرة، وتمكين المراجعين من ممارسة دورهم بكفاءة في مواجهة الأنماط المستحدثة من الاحتيال</w:t>
      </w:r>
      <w:r w:rsidRPr="0083094C">
        <w:rPr>
          <w:rFonts w:ascii="Simplified Arabic" w:hAnsi="Simplified Arabic" w:cs="Simplified Arabic"/>
          <w:color w:val="000000" w:themeColor="text1"/>
          <w:sz w:val="28"/>
          <w:szCs w:val="28"/>
        </w:rPr>
        <w:t>.</w:t>
      </w:r>
    </w:p>
    <w:p w14:paraId="777B687A" w14:textId="6EAA1765"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3798967"/>
      <w:r w:rsidRPr="0083094C">
        <w:rPr>
          <w:rFonts w:ascii="Simplified Arabic" w:hAnsi="Simplified Arabic" w:cs="Simplified Arabic" w:hint="cs"/>
          <w:b/>
          <w:bCs/>
          <w:color w:val="000000" w:themeColor="text1"/>
          <w:sz w:val="32"/>
          <w:szCs w:val="32"/>
          <w:rtl/>
        </w:rPr>
        <w:t xml:space="preserve">5.1.2 </w:t>
      </w:r>
      <w:r w:rsidR="00ED623D" w:rsidRPr="0083094C">
        <w:rPr>
          <w:rFonts w:ascii="Simplified Arabic" w:hAnsi="Simplified Arabic" w:cs="Simplified Arabic"/>
          <w:b/>
          <w:bCs/>
          <w:color w:val="000000" w:themeColor="text1"/>
          <w:sz w:val="32"/>
          <w:szCs w:val="32"/>
          <w:rtl/>
        </w:rPr>
        <w:t>أبعاد أنظمة الامتثال ومكافحة الاحتيال المدعومة بالذكاء الاصطناعي</w:t>
      </w:r>
      <w:bookmarkEnd w:id="30"/>
    </w:p>
    <w:p w14:paraId="5464144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تمّ تحديد أبعاد المتغير المستقل في الدراسة الحالية اعتماداً على المعالجة النظرية التي قدّمها</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و</w:t>
      </w:r>
      <w:r w:rsidRPr="0083094C">
        <w:rPr>
          <w:rFonts w:ascii="Simplified Arabic" w:hAnsi="Simplified Arabic" w:cs="Simplified Arabic"/>
          <w:color w:val="000000" w:themeColor="text1"/>
          <w:sz w:val="28"/>
          <w:szCs w:val="28"/>
        </w:rPr>
        <w:t xml:space="preserve">(Sunki, 2025) </w:t>
      </w:r>
      <w:r w:rsidRPr="0083094C">
        <w:rPr>
          <w:rFonts w:ascii="Simplified Arabic" w:hAnsi="Simplified Arabic" w:cs="Simplified Arabic"/>
          <w:color w:val="000000" w:themeColor="text1"/>
          <w:sz w:val="28"/>
          <w:szCs w:val="28"/>
          <w:rtl/>
        </w:rPr>
        <w:t>و</w:t>
      </w:r>
      <w:r w:rsidRPr="0083094C">
        <w:rPr>
          <w:rFonts w:ascii="Simplified Arabic" w:hAnsi="Simplified Arabic" w:cs="Simplified Arabic"/>
          <w:color w:val="000000" w:themeColor="text1"/>
          <w:sz w:val="28"/>
          <w:szCs w:val="28"/>
        </w:rPr>
        <w:t>(Aziz &amp; Andriansyah, 2023)</w:t>
      </w:r>
      <w:r w:rsidRPr="0083094C">
        <w:rPr>
          <w:rFonts w:ascii="Simplified Arabic" w:hAnsi="Simplified Arabic" w:cs="Simplified Arabic"/>
          <w:color w:val="000000" w:themeColor="text1"/>
          <w:sz w:val="28"/>
          <w:szCs w:val="28"/>
          <w:rtl/>
        </w:rPr>
        <w:t>، إذ تلاقت هذه المعالجات في تحديد أربعة أبعاد رئيسية تُمثّل البنية المتكاملة لهذه الأنظمة، وهي: أنظمة كشف الاحتيال الذكية، وأنظمة الامتثال التنظيمي الآلي، وأنظمة التحليل التنبؤي للمخاطر، وأنظمة المراقبة والإنذار المبكر في الوقت الفعلي. وفيما يأتي عرضٌ تفصيلي لكلّ بُعدٍ من هذه الأبعاد</w:t>
      </w:r>
      <w:r w:rsidRPr="0083094C">
        <w:rPr>
          <w:rFonts w:ascii="Simplified Arabic" w:hAnsi="Simplified Arabic" w:cs="Simplified Arabic"/>
          <w:color w:val="000000" w:themeColor="text1"/>
          <w:sz w:val="28"/>
          <w:szCs w:val="28"/>
        </w:rPr>
        <w:t>:</w:t>
      </w:r>
    </w:p>
    <w:p w14:paraId="1E6A6FF6"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الأول: أنظمة كشف الاحتيال الذكية</w:t>
      </w:r>
    </w:p>
    <w:p w14:paraId="7456027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تُمثّل أنظمة كشف الاحتيال الذكية الركيزة الأولى في منظومة مكافحة الاحتيال المدعومة بالذكاء الاصطناعي، إذ تقوم على توظيف خوارزميات التعلّم الآلي والتعلّم العميق في تحليل الأنماط السلوكية للمعاملات المالية، والتمييز بين السلوك المشروع والسلوك المشبوه. وتتميّز هذه الأنظمة بقدرتها على تحديد العلاقات الخفيّة بين المتغيّرات، واستخلاص المؤشّرات التنبؤية التي يصعب إدراكها بالأساليب التقليدية القائمة على القواعد الثابتة. ويرى</w:t>
      </w:r>
      <w:r w:rsidRPr="0083094C">
        <w:rPr>
          <w:rFonts w:ascii="Simplified Arabic" w:hAnsi="Simplified Arabic" w:cs="Simplified Arabic"/>
          <w:color w:val="000000" w:themeColor="text1"/>
          <w:sz w:val="28"/>
          <w:szCs w:val="28"/>
        </w:rPr>
        <w:t xml:space="preserve"> (Bello &amp; Olufemi, 2024) </w:t>
      </w:r>
      <w:r w:rsidRPr="0083094C">
        <w:rPr>
          <w:rFonts w:ascii="Simplified Arabic" w:hAnsi="Simplified Arabic" w:cs="Simplified Arabic"/>
          <w:color w:val="000000" w:themeColor="text1"/>
          <w:sz w:val="28"/>
          <w:szCs w:val="28"/>
          <w:rtl/>
        </w:rPr>
        <w:t>أنّ هذه الأنظمة تتعامل مع كمياتٍ هائلة من البيانات المتدفّقة لحظياً، وتُطبّق عليها نماذج تصنيفية متعدّدة الطبقات قادرة على الكشف عن أنماط الاحتيال المركّبة التي تتسم بالتمويه والتخفّي</w:t>
      </w:r>
      <w:r w:rsidRPr="0083094C">
        <w:rPr>
          <w:rFonts w:ascii="Simplified Arabic" w:hAnsi="Simplified Arabic" w:cs="Simplified Arabic"/>
          <w:color w:val="000000" w:themeColor="text1"/>
          <w:sz w:val="28"/>
          <w:szCs w:val="28"/>
        </w:rPr>
        <w:t>.</w:t>
      </w:r>
    </w:p>
    <w:p w14:paraId="22AA5240"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وتعتمد هذه الأنظمة على منطق التعلّم من التجربة، إذ تتغذّى على البيانات التاريخية للمعاملات الاحتيالية والمشروعة لبناء نماذج تنبؤية تتطوّر باستمرار. وتُسهم (فراحي، ٢٠٢٥) في إيضاح آليات عمل هذه الأنظمة بالإشارة إلى أنّها تُوظِّف نماذج تعلّم آلي متخصّصة في الكشف عن الاحتيال في بطاقات الائتمان، عبر منصّات تفاعلية تتيح تقييم المعاملات في الزمن الحقيقي وتصنيفها وفق درجات المخاطر. وتتميّز هذه الأنظمة بقدرتها على التعامل مع البيانات غير المتوازنة، حيث تُمثّل المعاملات الاحتيالية نسبةً ضئيلة من إجمالي المعاملات، ممّا يستلزم تقنيات معالجة متخصّصة للتغلّب على هذا التحدّي</w:t>
      </w:r>
      <w:r w:rsidRPr="0083094C">
        <w:rPr>
          <w:rFonts w:ascii="Simplified Arabic" w:hAnsi="Simplified Arabic" w:cs="Simplified Arabic"/>
          <w:color w:val="000000" w:themeColor="text1"/>
          <w:sz w:val="28"/>
          <w:szCs w:val="28"/>
        </w:rPr>
        <w:t>.</w:t>
      </w:r>
    </w:p>
    <w:p w14:paraId="7B2216D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ولا تقتصر هذه الأنظمة على الكشف الكمّي، بل تمتدّ لتشمل التحليل النوعي للمعاملات، عبر تقنيات الشبكات العصبية العميقة القادرة على معالجة البيانات غير المهيكلة. ويُبيّن</w:t>
      </w:r>
      <w:r w:rsidRPr="0083094C">
        <w:rPr>
          <w:rFonts w:ascii="Simplified Arabic" w:hAnsi="Simplified Arabic" w:cs="Simplified Arabic"/>
          <w:color w:val="000000" w:themeColor="text1"/>
          <w:sz w:val="28"/>
          <w:szCs w:val="28"/>
        </w:rPr>
        <w:t xml:space="preserve"> (Paul &amp; Ogburie, 2025) </w:t>
      </w:r>
      <w:r w:rsidRPr="0083094C">
        <w:rPr>
          <w:rFonts w:ascii="Simplified Arabic" w:hAnsi="Simplified Arabic" w:cs="Simplified Arabic"/>
          <w:color w:val="000000" w:themeColor="text1"/>
          <w:sz w:val="28"/>
          <w:szCs w:val="28"/>
          <w:rtl/>
        </w:rPr>
        <w:t>أنّ هذا البُعد يتضمّن منظومةً متكاملة من الأدوات التحليلية، تشمل خوارزميات التصنيف، وخوارزميات التجميع، وخوارزميات الكشف عن الشذوذ، التي تعمل في تكامل عضوي لتوفير منظومة كشف متعدّدة الطبقات. ويُضيف</w:t>
      </w:r>
      <w:r w:rsidRPr="0083094C">
        <w:rPr>
          <w:rFonts w:ascii="Simplified Arabic" w:hAnsi="Simplified Arabic" w:cs="Simplified Arabic"/>
          <w:color w:val="000000" w:themeColor="text1"/>
          <w:sz w:val="28"/>
          <w:szCs w:val="28"/>
        </w:rPr>
        <w:t xml:space="preserve"> (Soyombo, 2024) </w:t>
      </w:r>
      <w:r w:rsidRPr="0083094C">
        <w:rPr>
          <w:rFonts w:ascii="Simplified Arabic" w:hAnsi="Simplified Arabic" w:cs="Simplified Arabic"/>
          <w:color w:val="000000" w:themeColor="text1"/>
          <w:sz w:val="28"/>
          <w:szCs w:val="28"/>
          <w:rtl/>
        </w:rPr>
        <w:t>أنّ كفاءة هذه الأنظمة ترتبط ارتباطاً وثيقاً بجودة البيانات المستخدمة في تدريبها، وبمدى تنوّع هذه البيانات وشمولها للأنماط الاحتيالية المختلفة، ممّا يستدعي بناء قواعد بيانات تدريبية ثرية ومحدّثة باستمرار</w:t>
      </w:r>
      <w:r w:rsidRPr="0083094C">
        <w:rPr>
          <w:rFonts w:ascii="Simplified Arabic" w:hAnsi="Simplified Arabic" w:cs="Simplified Arabic"/>
          <w:color w:val="000000" w:themeColor="text1"/>
          <w:sz w:val="28"/>
          <w:szCs w:val="28"/>
        </w:rPr>
        <w:t>.</w:t>
      </w:r>
    </w:p>
    <w:p w14:paraId="65D2719E"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الثاني: أنظمة الامتثال التنظيمي الآلي</w:t>
      </w:r>
    </w:p>
    <w:p w14:paraId="555DBA00"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يُمثّل بُعد الامتثال التنظيمي الآلي تطوّراً نوعياً في منظومة الحوكمة المالية، إذ يقوم على توظيف تقنيات معالجة اللغة الطبيعية والذكاء الاصطناعي في أتمتة عمليات التحقّق من الالتزام بالأطر التنظيمية والتشريعية. وتتميّز هذه الأنظمة بقدرتها على تحليل النصوص التشريعية والتنظيمية، واستخلاص المتطلّبات الواجبة التطبيق، ومقارنتها بالممارسات الفعلية للمؤسّسة المالية. ويرى</w:t>
      </w:r>
      <w:r w:rsidRPr="0083094C">
        <w:rPr>
          <w:rFonts w:ascii="Simplified Arabic" w:hAnsi="Simplified Arabic" w:cs="Simplified Arabic"/>
          <w:color w:val="000000" w:themeColor="text1"/>
          <w:sz w:val="28"/>
          <w:szCs w:val="28"/>
        </w:rPr>
        <w:t xml:space="preserve"> (Aziz &amp; Andriansyah, 2023) </w:t>
      </w:r>
      <w:r w:rsidRPr="0083094C">
        <w:rPr>
          <w:rFonts w:ascii="Simplified Arabic" w:hAnsi="Simplified Arabic" w:cs="Simplified Arabic"/>
          <w:color w:val="000000" w:themeColor="text1"/>
          <w:sz w:val="28"/>
          <w:szCs w:val="28"/>
          <w:rtl/>
        </w:rPr>
        <w:t>أنّ هذه الأنظمة تُعالج إحدى أكبر تحدّيات الصناعة المصرفية المعاصرة، المتمثّل في التعقيد المتزايد للأطر التنظيمية، وتشعّبها عبر الولايات القضائية المختلفة، وتطوّرها المستمرّ</w:t>
      </w:r>
      <w:r w:rsidRPr="0083094C">
        <w:rPr>
          <w:rFonts w:ascii="Simplified Arabic" w:hAnsi="Simplified Arabic" w:cs="Simplified Arabic"/>
          <w:color w:val="000000" w:themeColor="text1"/>
          <w:sz w:val="28"/>
          <w:szCs w:val="28"/>
        </w:rPr>
        <w:t>.</w:t>
      </w:r>
    </w:p>
    <w:p w14:paraId="07B578A8"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وتعمل أنظمة الامتثال الآلي على ثلاثة مستويات متكاملة: المستوى الأول يتعلّق بالامتثال الوقائي، عبر بناء ضوابط تحول دون وقوع المخالفات قبل حدوثها. والمستوى الثاني يتعلّق بالامتثال الكشفي، عبر رصد المخالفات فور وقوعها. والمستوى الثالث يتعلّق بالامتثال التصحيحي، عبر اقتراح الإجراءات اللازمة لمعالجة المخالفات وتلافي تكرارها. ويُشير</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 xml:space="preserve">إلى أنّ هذه الأنظمة تتضمّن </w:t>
      </w:r>
      <w:r w:rsidRPr="0083094C">
        <w:rPr>
          <w:rFonts w:ascii="Simplified Arabic" w:hAnsi="Simplified Arabic" w:cs="Simplified Arabic"/>
          <w:color w:val="000000" w:themeColor="text1"/>
          <w:sz w:val="28"/>
          <w:szCs w:val="28"/>
          <w:rtl/>
        </w:rPr>
        <w:lastRenderedPageBreak/>
        <w:t>قدراتٍ متقدّمة في إدارة المعرفة التنظيمية، إذ تُحدّث قواعد بياناتها تلقائياً عند صدور تشريعات أو تعديلات جديدة، وتُعيد تكييف ضوابطها بما يتّسق مع المستجدّات</w:t>
      </w:r>
      <w:r w:rsidRPr="0083094C">
        <w:rPr>
          <w:rFonts w:ascii="Simplified Arabic" w:hAnsi="Simplified Arabic" w:cs="Simplified Arabic"/>
          <w:color w:val="000000" w:themeColor="text1"/>
          <w:sz w:val="28"/>
          <w:szCs w:val="28"/>
        </w:rPr>
        <w:t>.</w:t>
      </w:r>
    </w:p>
    <w:p w14:paraId="57E272A9"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وتتمتّع أنظمة الامتثال الآلي بقدرة فائقة على معالجة الوثائق المالية والقانونية المعقّدة، واستخلاص المعلومات الجوهرية منها، ومقارنتها بالمتطلّبات التنظيمية. ويُبيّن</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أنّ هذه الأنظمة تُسهم في تحويل وظيفة الامتثال من نشاطٍ يدوي مستنزف للموارد إلى منظومة آلية ذكية، تتمتّع بالقدرة على معالجة كميّات هائلة من البيانات والوثائق في وقتٍ قصير، مع درجة عالية من الدقّة. وتمتدّ وظائف هذه الأنظمة لتشمل إعداد التقارير التنظيمية الدورية، والاستجابة لاستفسارات الجهات الإشرافية، وتوفير المؤشّرات اللازمة لتقييم مستوى الامتثال في المؤسّسة</w:t>
      </w:r>
      <w:r w:rsidRPr="0083094C">
        <w:rPr>
          <w:rFonts w:ascii="Simplified Arabic" w:hAnsi="Simplified Arabic" w:cs="Simplified Arabic"/>
          <w:color w:val="000000" w:themeColor="text1"/>
          <w:sz w:val="28"/>
          <w:szCs w:val="28"/>
        </w:rPr>
        <w:t>.</w:t>
      </w:r>
    </w:p>
    <w:p w14:paraId="2555AEFD"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الثالث: أنظمة التحليل التنبؤي للمخاطر</w:t>
      </w:r>
    </w:p>
    <w:p w14:paraId="6326E178"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تُجسِّد أنظمة التحليل التنبؤي للمخاطر التحوّل الجوهري في فلسفة إدارة المخاطر المالية، إذ تنتقل بهذه الإدارة من المعالجة التفاعلية اللاحقة إلى المعالجة الاستباقية القائمة على استشراف المستقبل. وتعتمد هذه الأنظمة على دمج تقنيات التعلّم الآلي مع نماذج التحليل الإحصائي المتقدّم لبناء توقّعات دقيقة حول احتمالية وقوع المخاطر، وحجمها المتوقّع، وآثارها المحتملة على المؤسّسة. ويرى</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أنّ هذه الأنظمة تُمثّل القلب التحليلي لمنظومة الأمن المالي الحديثة، إذ تُتيح للمؤسّسات اتّخاذ قراراتٍ استباقية بشأن المخاطر قبل تبلوّرها فعلياً</w:t>
      </w:r>
      <w:r w:rsidRPr="0083094C">
        <w:rPr>
          <w:rFonts w:ascii="Simplified Arabic" w:hAnsi="Simplified Arabic" w:cs="Simplified Arabic"/>
          <w:color w:val="000000" w:themeColor="text1"/>
          <w:sz w:val="28"/>
          <w:szCs w:val="28"/>
        </w:rPr>
        <w:t>.</w:t>
      </w:r>
    </w:p>
    <w:p w14:paraId="65A4B65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وتقوم هذه الأنظمة على معالجة كميّات ضخمة من البيانات المتنوّعة، تشمل بيانات المعاملات، وبيانات العملاء، وبيانات السوق، والبيانات الاقتصادية الكلّية، وحتى البيانات غير المهيكلة المستمدّة من المصادر المفتوحة. ويُبيّن</w:t>
      </w:r>
      <w:r w:rsidRPr="0083094C">
        <w:rPr>
          <w:rFonts w:ascii="Simplified Arabic" w:hAnsi="Simplified Arabic" w:cs="Simplified Arabic"/>
          <w:color w:val="000000" w:themeColor="text1"/>
          <w:sz w:val="28"/>
          <w:szCs w:val="28"/>
        </w:rPr>
        <w:t xml:space="preserve"> (Kumar, 2024) </w:t>
      </w:r>
      <w:r w:rsidRPr="0083094C">
        <w:rPr>
          <w:rFonts w:ascii="Simplified Arabic" w:hAnsi="Simplified Arabic" w:cs="Simplified Arabic"/>
          <w:color w:val="000000" w:themeColor="text1"/>
          <w:sz w:val="28"/>
          <w:szCs w:val="28"/>
          <w:rtl/>
        </w:rPr>
        <w:t>أنّ القوّة التنبؤية لهذه الأنظمة تنبع من قدرتها على دمج هذه البيانات المتنوّعة في نماذج تحليلية متكاملة، تستخلص العلاقات المعقّدة بين المتغيّرات، وتبني سيناريوهات احتمالية للمستقبل. ويتضمّن ذلك توظيف تقنيات متقدّمة كالشبكات العصبية الالتفافية، والشبكات العصبية المتكرّرة، ونماذج الغابات العشوائية، وآلات المتّجهات الداعمة</w:t>
      </w:r>
      <w:r w:rsidRPr="0083094C">
        <w:rPr>
          <w:rFonts w:ascii="Simplified Arabic" w:hAnsi="Simplified Arabic" w:cs="Simplified Arabic"/>
          <w:color w:val="000000" w:themeColor="text1"/>
          <w:sz w:val="28"/>
          <w:szCs w:val="28"/>
        </w:rPr>
        <w:t>.</w:t>
      </w:r>
    </w:p>
    <w:p w14:paraId="7AF3600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 xml:space="preserve">وتمتدّ تطبيقات التحليل التنبؤي لتشمل أبعاداً متعدّدة من المخاطر، تتجاوز مخاطر الاحتيال لتصل إلى مخاطر الائتمان، ومخاطر السوق، ومخاطر التشغيل، ومخاطر السمعة. ويُسهم (علوان، ٢٠٢١) في توضيح هذا البُعد بالإشارة إلى أنّ إدارة المخاطر الفاعلة تستلزم بناء منظومة تحليلية متكاملة تستوعب تنوّع </w:t>
      </w:r>
      <w:r w:rsidRPr="0083094C">
        <w:rPr>
          <w:rFonts w:ascii="Simplified Arabic" w:hAnsi="Simplified Arabic" w:cs="Simplified Arabic"/>
          <w:color w:val="000000" w:themeColor="text1"/>
          <w:sz w:val="28"/>
          <w:szCs w:val="28"/>
          <w:rtl/>
        </w:rPr>
        <w:lastRenderedPageBreak/>
        <w:t>المخاطر التي تواجهها المنظّمات، وتُتيح اتّخاذ قراراتٍ مدروسة بشأن آليات معالجتها. ويُضيف</w:t>
      </w:r>
      <w:r w:rsidRPr="0083094C">
        <w:rPr>
          <w:rFonts w:ascii="Simplified Arabic" w:hAnsi="Simplified Arabic" w:cs="Simplified Arabic"/>
          <w:color w:val="000000" w:themeColor="text1"/>
          <w:sz w:val="28"/>
          <w:szCs w:val="28"/>
        </w:rPr>
        <w:t xml:space="preserve"> (Irfan &amp; Al Hakim, 2022) </w:t>
      </w:r>
      <w:r w:rsidRPr="0083094C">
        <w:rPr>
          <w:rFonts w:ascii="Simplified Arabic" w:hAnsi="Simplified Arabic" w:cs="Simplified Arabic"/>
          <w:color w:val="000000" w:themeColor="text1"/>
          <w:sz w:val="28"/>
          <w:szCs w:val="28"/>
          <w:rtl/>
        </w:rPr>
        <w:t>أنّ التحليل التنبؤي يُسهم في تحقيق التوازن الأمثل بين تجنّب المخاطر وتعظيم العوائد، عبر تقدير دقيق لمستوى المخاطر المقبولة في كلّ نشاط من أنشطة المؤسّسة، بما يدعم استقرارها واستدامتها</w:t>
      </w:r>
      <w:r w:rsidRPr="0083094C">
        <w:rPr>
          <w:rFonts w:ascii="Simplified Arabic" w:hAnsi="Simplified Arabic" w:cs="Simplified Arabic"/>
          <w:color w:val="000000" w:themeColor="text1"/>
          <w:sz w:val="28"/>
          <w:szCs w:val="28"/>
        </w:rPr>
        <w:t>.</w:t>
      </w:r>
    </w:p>
    <w:p w14:paraId="65B89AA7"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الرابع: أنظمة المراقبة والإنذار المبكر في الوقت الفعلي</w:t>
      </w:r>
    </w:p>
    <w:p w14:paraId="7611E0E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يُمثّل بُعد المراقبة والإنذار المبكر في الوقت الفعلي القلب التشغيلي لمنظومة مكافحة الاحتيال المدعومة بالذكاء الاصطناعي، إذ يُترجم القدرات التحليلية للأبعاد الأخرى إلى استجابات عملية فورية. وتقوم هذه الأنظمة على المراقبة المستمرّة لتدفّقات المعاملات والعمليات المالية، والكشف الآني عن أيّ مؤشّرات تنبئ بوجود مخاطر، وإصدار إنذارات فورية للجهات المعنية لاتّخاذ الإجراءات اللازمة. ويرى</w:t>
      </w:r>
      <w:r w:rsidRPr="0083094C">
        <w:rPr>
          <w:rFonts w:ascii="Simplified Arabic" w:hAnsi="Simplified Arabic" w:cs="Simplified Arabic"/>
          <w:color w:val="000000" w:themeColor="text1"/>
          <w:sz w:val="28"/>
          <w:szCs w:val="28"/>
        </w:rPr>
        <w:t xml:space="preserve"> (Ikumapayi &amp; Ayankoya, 2025) </w:t>
      </w:r>
      <w:r w:rsidRPr="0083094C">
        <w:rPr>
          <w:rFonts w:ascii="Simplified Arabic" w:hAnsi="Simplified Arabic" w:cs="Simplified Arabic"/>
          <w:color w:val="000000" w:themeColor="text1"/>
          <w:sz w:val="28"/>
          <w:szCs w:val="28"/>
          <w:rtl/>
        </w:rPr>
        <w:t>أنّ القيمة الجوهرية لهذا البُعد تكمن في تقليص الفجوة الزمنية بين وقوع الحدث الاحتيالي والاستجابة له، وهي فجوة طالما كانت سبباً رئيسياً في تضخّم الخسائر المالية</w:t>
      </w:r>
      <w:r w:rsidRPr="0083094C">
        <w:rPr>
          <w:rFonts w:ascii="Simplified Arabic" w:hAnsi="Simplified Arabic" w:cs="Simplified Arabic"/>
          <w:color w:val="000000" w:themeColor="text1"/>
          <w:sz w:val="28"/>
          <w:szCs w:val="28"/>
        </w:rPr>
        <w:t>.</w:t>
      </w:r>
    </w:p>
    <w:p w14:paraId="26ED7E1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وتعتمد هذه الأنظمة على بنيةٍ تكنولوجية متقدّمة قادرة على معالجة كميّات ضخمة من البيانات في زمنٍ شبه فوري، عبر تقنيات تدفّق البيانات والمعالجة الموزّعة. ويُبيّن</w:t>
      </w:r>
      <w:r w:rsidRPr="0083094C">
        <w:rPr>
          <w:rFonts w:ascii="Simplified Arabic" w:hAnsi="Simplified Arabic" w:cs="Simplified Arabic"/>
          <w:color w:val="000000" w:themeColor="text1"/>
          <w:sz w:val="28"/>
          <w:szCs w:val="28"/>
        </w:rPr>
        <w:t xml:space="preserve"> (Bello &amp; Olufemi, 2024) </w:t>
      </w:r>
      <w:r w:rsidRPr="0083094C">
        <w:rPr>
          <w:rFonts w:ascii="Simplified Arabic" w:hAnsi="Simplified Arabic" w:cs="Simplified Arabic"/>
          <w:color w:val="000000" w:themeColor="text1"/>
          <w:sz w:val="28"/>
          <w:szCs w:val="28"/>
          <w:rtl/>
        </w:rPr>
        <w:t>أنّ هذه البنية تتضمّن طبقاتٍ متعدّدة من المعالجة، تبدأ بجمع البيانات من مصادرها المتنوّعة، مروراً بتنظيفها وتوحيدها، وانتهاءً بتطبيق النماذج التحليلية عليها واستخلاص المؤشّرات اللازمة. وتتميّز هذه الأنظمة بقدرتها على تصنيف المخاطر وفق درجات أهمّيتها، بما يُتيح توجيه الموارد الرقابية نحو المخاطر الأكثر إلحاحاً</w:t>
      </w:r>
      <w:r w:rsidRPr="0083094C">
        <w:rPr>
          <w:rFonts w:ascii="Simplified Arabic" w:hAnsi="Simplified Arabic" w:cs="Simplified Arabic"/>
          <w:color w:val="000000" w:themeColor="text1"/>
          <w:sz w:val="28"/>
          <w:szCs w:val="28"/>
        </w:rPr>
        <w:t>.</w:t>
      </w:r>
    </w:p>
    <w:p w14:paraId="000A3A1B"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ولا تقتصر وظائف هذه الأنظمة على إصدار الإنذارات، بل تمتدّ لتشمل تحديد طبيعة المخاطر المرصودة، ومصادرها المحتملة، والإجراءات الموصى بها لمعالجتها. ويُشير</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إلى أنّ الأنظمة المتطوّرة في هذا البُعد تتضمّن قدراتٍ على الاستجابة الآلية للمخاطر، عبر تنفيذ إجراءات احترازية فورية كتجميد المعاملات المشبوهة، أو طلب توثيق إضافي من العملاء، أو إخطار الجهات الرقابية. وتُسهم هذه القدرة الاستجابية الآلية في تعظيم فعالية المنظومة الرقابية، وتقليل الاعتماد على التدخّل البشري الذي قد يُؤخّر الاستجابة. كما يُسهم (اتحاد المصارف العربية، ٢٠٢٦) في تأكيد محورية هذا البُعد بالإشارة إلى أنّ المراقبة اللحظية تُمثّل العمود الفقري لفعالية الأنظمة المصرفية المعاصرة في مكافحة الاحتيال، إذ تربط الكشف بالاستجابة في حلقةٍ تشغيلية متّصلة</w:t>
      </w:r>
      <w:r w:rsidRPr="0083094C">
        <w:rPr>
          <w:rFonts w:ascii="Simplified Arabic" w:hAnsi="Simplified Arabic" w:cs="Simplified Arabic"/>
          <w:color w:val="000000" w:themeColor="text1"/>
          <w:sz w:val="28"/>
          <w:szCs w:val="28"/>
        </w:rPr>
        <w:t>.</w:t>
      </w:r>
    </w:p>
    <w:p w14:paraId="2363CED0" w14:textId="6D73B014"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3798968"/>
      <w:r w:rsidRPr="0083094C">
        <w:rPr>
          <w:rFonts w:ascii="Simplified Arabic" w:hAnsi="Simplified Arabic" w:cs="Simplified Arabic" w:hint="cs"/>
          <w:b/>
          <w:bCs/>
          <w:color w:val="000000" w:themeColor="text1"/>
          <w:sz w:val="32"/>
          <w:szCs w:val="32"/>
          <w:rtl/>
        </w:rPr>
        <w:lastRenderedPageBreak/>
        <w:t xml:space="preserve">6.1.2 </w:t>
      </w:r>
      <w:r w:rsidR="00ED623D" w:rsidRPr="0083094C">
        <w:rPr>
          <w:rFonts w:ascii="Simplified Arabic" w:hAnsi="Simplified Arabic" w:cs="Simplified Arabic"/>
          <w:b/>
          <w:bCs/>
          <w:color w:val="000000" w:themeColor="text1"/>
          <w:sz w:val="32"/>
          <w:szCs w:val="32"/>
          <w:rtl/>
        </w:rPr>
        <w:t>استراتيجيات تطبيق أنظمة الامتثال ومكافحة الاحتيال المدعومة بالذكاء الاصطناعي</w:t>
      </w:r>
      <w:bookmarkEnd w:id="31"/>
    </w:p>
    <w:p w14:paraId="4701D376"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لا يكفي امتلاك المؤسّسات المالية للأنظمة الذكية لمكافحة الاحتيال لتحقيق الفعالية المرجوّة، بل يستلزم ذلك تبنّي استراتيجيات تطبيقية مدروسة تُراعي الأبعاد التقنية والتنظيمية والبشرية والثقافية للتحوّل الرقمي. وتتعدّد الاستراتيجيات التي يطرحها المختصّون في هذا المجال، إلّا أنّها تتلاقى في جوهرٍ مشترك يقوم على التكامل والتدرّج والتكيّف</w:t>
      </w:r>
      <w:r w:rsidRPr="0083094C">
        <w:rPr>
          <w:rFonts w:ascii="Simplified Arabic" w:hAnsi="Simplified Arabic" w:cs="Simplified Arabic"/>
          <w:color w:val="000000" w:themeColor="text1"/>
          <w:sz w:val="28"/>
          <w:szCs w:val="28"/>
        </w:rPr>
        <w:t>.</w:t>
      </w:r>
    </w:p>
    <w:p w14:paraId="2C1A2B70"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تبرز استراتيجية التكامل التقني بوصفها استراتيجيةً محورية، تقوم على دمج الأنظمة الذكية في البنية التكنولوجية القائمة للمؤسّسة، عوضاً عن نشرها بمعزلٍ عنها. ويُشير</w:t>
      </w:r>
      <w:r w:rsidRPr="0083094C">
        <w:rPr>
          <w:rFonts w:ascii="Simplified Arabic" w:hAnsi="Simplified Arabic" w:cs="Simplified Arabic"/>
          <w:color w:val="000000" w:themeColor="text1"/>
          <w:sz w:val="28"/>
          <w:szCs w:val="28"/>
        </w:rPr>
        <w:t xml:space="preserve"> (Paul &amp; Ogburie, 2025) </w:t>
      </w:r>
      <w:r w:rsidRPr="0083094C">
        <w:rPr>
          <w:rFonts w:ascii="Simplified Arabic" w:hAnsi="Simplified Arabic" w:cs="Simplified Arabic"/>
          <w:color w:val="000000" w:themeColor="text1"/>
          <w:sz w:val="28"/>
          <w:szCs w:val="28"/>
          <w:rtl/>
        </w:rPr>
        <w:t>إلى أنّ هذا التكامل يستلزم تطوير واجهات برمجية تربط الأنظمة الذكية بمنظومات إدارة المعاملات وقواعد بيانات العملاء وأنظمة الإبلاغ التنظيمي، بما يُحقّق التدفّق السلس للبيانات والمعلومات عبر مختلف مكوّنات المنظومة المؤسّسية. ويتطلّب ذلك إعادة هندسة بعض العمليات التشغيلية لتُلائم منطق العمل الذكي، مع الحرص على عدم إحداث اضطراباتٍ في العمليات الأساسية للمؤسّسة</w:t>
      </w:r>
      <w:r w:rsidRPr="0083094C">
        <w:rPr>
          <w:rFonts w:ascii="Simplified Arabic" w:hAnsi="Simplified Arabic" w:cs="Simplified Arabic"/>
          <w:color w:val="000000" w:themeColor="text1"/>
          <w:sz w:val="28"/>
          <w:szCs w:val="28"/>
        </w:rPr>
        <w:t>.</w:t>
      </w:r>
    </w:p>
    <w:p w14:paraId="03012BC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وتُمثّل استراتيجية التدرّج في التطبيق ركيزةً ثانية، تقوم على البدء بتطبيق هذه الأنظمة في نطاقاتٍ محدّدة، ثمّ التوسّع التدريجي بناءً على الدروس المستفادة. ويرى</w:t>
      </w:r>
      <w:r w:rsidRPr="0083094C">
        <w:rPr>
          <w:rFonts w:ascii="Simplified Arabic" w:hAnsi="Simplified Arabic" w:cs="Simplified Arabic"/>
          <w:color w:val="000000" w:themeColor="text1"/>
          <w:sz w:val="28"/>
          <w:szCs w:val="28"/>
        </w:rPr>
        <w:t xml:space="preserve"> (Bello &amp; Olufemi, 2024) </w:t>
      </w:r>
      <w:r w:rsidRPr="0083094C">
        <w:rPr>
          <w:rFonts w:ascii="Simplified Arabic" w:hAnsi="Simplified Arabic" w:cs="Simplified Arabic"/>
          <w:color w:val="000000" w:themeColor="text1"/>
          <w:sz w:val="28"/>
          <w:szCs w:val="28"/>
          <w:rtl/>
        </w:rPr>
        <w:t>أنّ هذا التدرّج يُتيح للمؤسّسة بناء قدراتها التنظيمية والبشرية اللازمة، وتجنّب المخاطر المرتبطة بالتحوّل المفاجئ والشامل. كما يُتيح اختبار النماذج التحليلية في بيئاتٍ محدودة قبل توسيع نطاق تطبيقها، ممّا يضمن جودتها وفعاليّتها. وتشمل هذه الاستراتيجية كذلك التدرّج في درجة الاستقلالية الممنوحة للأنظمة الذكية، بدءاً من النماذج المساعدة لصانع القرار البشري، وصولاً إلى النماذج الأكثر استقلالية في اتّخاذ القرارات الرقابية</w:t>
      </w:r>
      <w:r w:rsidRPr="0083094C">
        <w:rPr>
          <w:rFonts w:ascii="Simplified Arabic" w:hAnsi="Simplified Arabic" w:cs="Simplified Arabic"/>
          <w:color w:val="000000" w:themeColor="text1"/>
          <w:sz w:val="28"/>
          <w:szCs w:val="28"/>
        </w:rPr>
        <w:t>.</w:t>
      </w:r>
    </w:p>
    <w:p w14:paraId="5EFA0F38"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وتُشكّل استراتيجية تطوير القدرات البشرية ركيزةً ثالثة، تستهدف بناء كوادر متخصّصة قادرة على إدارة الأنظمة الذكية وتطويرها وتفسير مخرجاتها. ويرى</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أنّ النجاح في تطبيق هذه الأنظمة يرتبط ارتباطاً وثيقاً بتوفّر كوادر تجمع بين المعرفة المالية والمحاسبية والمعرفة التقنية بالذكاء الاصطناعي وعلوم البيانات. ويستلزم ذلك برامج تدريبية متخصّصة، وشراكات مع الجامعات ومراكز البحث، وسياسات استقطاب للكفاءات النادرة في هذا المجال. كما يستلزم تطوير ثقافة مؤسّسية داعمة للابتكار وقابلة للتعامل مع المنطق الجديد للعمل القائم على البيانات والخوارزميات</w:t>
      </w:r>
      <w:r w:rsidRPr="0083094C">
        <w:rPr>
          <w:rFonts w:ascii="Simplified Arabic" w:hAnsi="Simplified Arabic" w:cs="Simplified Arabic"/>
          <w:color w:val="000000" w:themeColor="text1"/>
          <w:sz w:val="28"/>
          <w:szCs w:val="28"/>
        </w:rPr>
        <w:t>.</w:t>
      </w:r>
    </w:p>
    <w:p w14:paraId="3A26B69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وتبرز استراتيجية الحوكمة الأخلاقية والتنظيمية بوصفها استراتيجيةً جوهرية، تستهدف ضمان أنّ تطبيق هذه الأنظمة يتمّ في إطارٍ من الالتزام بالقيم والمعايير الأخلاقية والأطر التنظيمية. ويُبيّن</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أنّ هذه الاستراتيجية تشمل وضع سياسات واضحة بشأن استخدام البيانات، وحماية خصوصية العملاء، وضمان الشفافية في عمل الخوارزميات، ومنع التحيّز في النماذج التحليلية. كما تشمل بناء آليات للمساءلة والمراجعة المستقلّة للأنظمة الذكية، بما يضمن أنّ القرارات التي تتّخذها هذه الأنظمة قابلة للتفسير والتبرير</w:t>
      </w:r>
      <w:r w:rsidRPr="0083094C">
        <w:rPr>
          <w:rFonts w:ascii="Simplified Arabic" w:hAnsi="Simplified Arabic" w:cs="Simplified Arabic"/>
          <w:color w:val="000000" w:themeColor="text1"/>
          <w:sz w:val="28"/>
          <w:szCs w:val="28"/>
        </w:rPr>
        <w:t>.</w:t>
      </w:r>
    </w:p>
    <w:p w14:paraId="7A37376F"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وتُسهم استراتيجية الشراكات والتعاون في تعظيم فعالية تطبيق هذه الأنظمة، عبر بناء شراكات مع مزوّدي التكنولوجيا، ومراكز البحث، والجهات التنظيمية، والمؤسّسات المالية الأخرى. ويرى</w:t>
      </w:r>
      <w:r w:rsidRPr="0083094C">
        <w:rPr>
          <w:rFonts w:ascii="Simplified Arabic" w:hAnsi="Simplified Arabic" w:cs="Simplified Arabic"/>
          <w:color w:val="000000" w:themeColor="text1"/>
          <w:sz w:val="28"/>
          <w:szCs w:val="28"/>
        </w:rPr>
        <w:t xml:space="preserve"> (Aziz &amp; Andriansyah, 2023) </w:t>
      </w:r>
      <w:r w:rsidRPr="0083094C">
        <w:rPr>
          <w:rFonts w:ascii="Simplified Arabic" w:hAnsi="Simplified Arabic" w:cs="Simplified Arabic"/>
          <w:color w:val="000000" w:themeColor="text1"/>
          <w:sz w:val="28"/>
          <w:szCs w:val="28"/>
          <w:rtl/>
        </w:rPr>
        <w:t>أنّ مكافحة الاحتيال المعاصر تستلزم منظوراً تعاونياً، نظراً للطبيعة العابرة للحدود والمؤسّسات للاحتيال، وللحاجة المتزايدة إلى تبادل المعلومات والخبرات بين الأطراف المختلفة. وتشمل هذه الاستراتيجية المشاركة في منصّات تبادل البيانات حول التهديدات، والتعاون في تطوير معايير مشتركة، والإسهام في تطوير الأطر التنظيمية الناظمة لهذا المجال</w:t>
      </w:r>
      <w:r w:rsidRPr="0083094C">
        <w:rPr>
          <w:rFonts w:ascii="Simplified Arabic" w:hAnsi="Simplified Arabic" w:cs="Simplified Arabic"/>
          <w:color w:val="000000" w:themeColor="text1"/>
          <w:sz w:val="28"/>
          <w:szCs w:val="28"/>
        </w:rPr>
        <w:t>.</w:t>
      </w:r>
    </w:p>
    <w:p w14:paraId="33569E3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وتُمثّل استراتيجية التقييم والتحسين المستمرّ الاستراتيجية الختامية التي تضمن استدامة فعالية هذه الأنظمة، عبر مراجعة دورية لأدائها، وتحليل نقاط القوّة والضعف، وتحديث النماذج التحليلية، وتطوير القدرات بصورةٍ مستمرّة. ويُبيّن</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أنّ الطبيعة المتغيّرة لأنماط الاحتيال تستلزم منظومةً ديناميكية للتطوير، تُواكب التحوّلات في بيئة المخاطر، وتُحدّث الأنظمة لمواجهة التهديدات المستحدثة. ويستلزم ذلك بناء مؤشّرات أداء واضحة لتقييم الأنظمة، وآليات للتغذية الراجعة من المستخدمين، وموارد مخصّصة للتطوير والابتكار المستمرّ</w:t>
      </w:r>
      <w:r w:rsidRPr="0083094C">
        <w:rPr>
          <w:rFonts w:ascii="Simplified Arabic" w:hAnsi="Simplified Arabic" w:cs="Simplified Arabic"/>
          <w:color w:val="000000" w:themeColor="text1"/>
          <w:sz w:val="28"/>
          <w:szCs w:val="28"/>
        </w:rPr>
        <w:t>.</w:t>
      </w:r>
    </w:p>
    <w:p w14:paraId="22559FE3" w14:textId="59B18331" w:rsidR="00ED623D" w:rsidRPr="0083094C" w:rsidRDefault="003B4E81" w:rsidP="003B4E81">
      <w:pPr>
        <w:jc w:val="center"/>
        <w:outlineLvl w:val="1"/>
        <w:rPr>
          <w:rFonts w:ascii="Simplified Arabic" w:hAnsi="Simplified Arabic" w:cs="Simplified Arabic"/>
          <w:b/>
          <w:bCs/>
          <w:color w:val="000000" w:themeColor="text1"/>
          <w:sz w:val="36"/>
          <w:szCs w:val="36"/>
        </w:rPr>
      </w:pPr>
      <w:r w:rsidRPr="0083094C">
        <w:rPr>
          <w:rFonts w:ascii="Simplified Arabic" w:hAnsi="Simplified Arabic" w:cs="Simplified Arabic"/>
          <w:b/>
          <w:bCs/>
          <w:color w:val="000000" w:themeColor="text1"/>
          <w:sz w:val="36"/>
          <w:szCs w:val="36"/>
        </w:rPr>
        <w:br w:type="page"/>
      </w:r>
      <w:bookmarkStart w:id="32" w:name="_Toc233798969"/>
      <w:r w:rsidR="00ED623D" w:rsidRPr="0083094C">
        <w:rPr>
          <w:rFonts w:ascii="Simplified Arabic" w:hAnsi="Simplified Arabic" w:cs="Simplified Arabic"/>
          <w:b/>
          <w:bCs/>
          <w:color w:val="000000" w:themeColor="text1"/>
          <w:sz w:val="36"/>
          <w:szCs w:val="36"/>
          <w:rtl/>
        </w:rPr>
        <w:lastRenderedPageBreak/>
        <w:t>المبحث الثاني: خفض الخسائر المالية</w:t>
      </w:r>
      <w:bookmarkEnd w:id="32"/>
    </w:p>
    <w:p w14:paraId="49E39910" w14:textId="61906DDE"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3798970"/>
      <w:r w:rsidRPr="0083094C">
        <w:rPr>
          <w:rFonts w:ascii="Simplified Arabic" w:hAnsi="Simplified Arabic" w:cs="Simplified Arabic" w:hint="cs"/>
          <w:b/>
          <w:bCs/>
          <w:color w:val="000000" w:themeColor="text1"/>
          <w:sz w:val="32"/>
          <w:szCs w:val="32"/>
          <w:rtl/>
        </w:rPr>
        <w:t xml:space="preserve">1.2.2 </w:t>
      </w:r>
      <w:r w:rsidR="00ED623D" w:rsidRPr="0083094C">
        <w:rPr>
          <w:rFonts w:ascii="Simplified Arabic" w:hAnsi="Simplified Arabic" w:cs="Simplified Arabic"/>
          <w:b/>
          <w:bCs/>
          <w:color w:val="000000" w:themeColor="text1"/>
          <w:sz w:val="32"/>
          <w:szCs w:val="32"/>
          <w:rtl/>
        </w:rPr>
        <w:t>تمهيد</w:t>
      </w:r>
      <w:bookmarkEnd w:id="33"/>
    </w:p>
    <w:p w14:paraId="3B73CD3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يُعدّ موضوع الخسائر المالية من الموضوعات المحورية في حقل الإدارة المالية والمحاسبية، إذ تُمثّل الخسائر المالية أحد أبرز التهديدات التي تواجه استمرارية المؤسّسات المالية ونموّها، وتحدّ من قدرتها على تحقيق أهدافها الاستراتيجية. وقد اكتسب موضوع خفض الخسائر المالية أهميةً متعاظمة في الآونة الأخيرة، نتيجةً لتعاظم حجم الخسائر التي تُمنى بها المؤسّسات المالية بفعل تنامي ظاهرة الاحتيال المالي وتعقّد أساليبه، إلى جانب التحوّلات الجذرية في بيئة الأعمال المعاصرة</w:t>
      </w:r>
      <w:r w:rsidRPr="0083094C">
        <w:rPr>
          <w:rFonts w:ascii="Simplified Arabic" w:hAnsi="Simplified Arabic" w:cs="Simplified Arabic"/>
          <w:color w:val="000000" w:themeColor="text1"/>
          <w:sz w:val="28"/>
          <w:szCs w:val="28"/>
        </w:rPr>
        <w:t xml:space="preserve"> (Irfan &amp; Al Hakim, 2022).</w:t>
      </w:r>
    </w:p>
    <w:p w14:paraId="6495492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ولا يُمثّل خفض الخسائر المالية هدفاً منعزلاً، بل يندرج ضمن منظومةٍ متكاملة من الأهداف المؤسّسية، تتقاطع فيه الأبعاد المالية والتشغيلية والسمعة والاستراتيجية. فالخسائر المالية لا تستنزف فحسب رأس مال المؤسّسة، بل تُؤثّر على ثقة المستثمرين والعملاء، وتُضعف القدرة التنافسية، وتُهدّد الاستدامة في المدى البعيد. ولهذا، تُمثّل قضية خفض الخسائر المالية محوراً تتلاقى عنده اهتمامات مختلف المعنيّين في المؤسّسة، من الإدارة العليا إلى الإدارات التشغيلية، ومن المساهمين إلى الجهات الرقابية. ويسعى هذا المبحث إلى تقديم معالجة نظرية شاملة لمفهوم خفض الخسائر المالية وأهميته وأهدافه وأبعاده واستراتيجياته، تأسيساً لفهم العلاقة بينه وبين أنظمة الامتثال ومكافحة الاحتيال المدعومة بالذكاء الاصطناعي</w:t>
      </w:r>
      <w:r w:rsidRPr="0083094C">
        <w:rPr>
          <w:rFonts w:ascii="Simplified Arabic" w:hAnsi="Simplified Arabic" w:cs="Simplified Arabic"/>
          <w:color w:val="000000" w:themeColor="text1"/>
          <w:sz w:val="28"/>
          <w:szCs w:val="28"/>
        </w:rPr>
        <w:t>.</w:t>
      </w:r>
    </w:p>
    <w:p w14:paraId="4E23DBD2" w14:textId="0393220A"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3798971"/>
      <w:r w:rsidRPr="0083094C">
        <w:rPr>
          <w:rFonts w:ascii="Simplified Arabic" w:hAnsi="Simplified Arabic" w:cs="Simplified Arabic" w:hint="cs"/>
          <w:b/>
          <w:bCs/>
          <w:color w:val="000000" w:themeColor="text1"/>
          <w:sz w:val="32"/>
          <w:szCs w:val="32"/>
          <w:rtl/>
        </w:rPr>
        <w:t xml:space="preserve">2.2.2 </w:t>
      </w:r>
      <w:r w:rsidR="00ED623D" w:rsidRPr="0083094C">
        <w:rPr>
          <w:rFonts w:ascii="Simplified Arabic" w:hAnsi="Simplified Arabic" w:cs="Simplified Arabic"/>
          <w:b/>
          <w:bCs/>
          <w:color w:val="000000" w:themeColor="text1"/>
          <w:sz w:val="32"/>
          <w:szCs w:val="32"/>
          <w:rtl/>
        </w:rPr>
        <w:t>مفهوم خفض الخسائر المالية</w:t>
      </w:r>
      <w:bookmarkEnd w:id="34"/>
    </w:p>
    <w:p w14:paraId="50B4D6CA"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تتباين المعالجات الفكرية لمفهوم خفض الخسائر المالية بحسب الزاوية التي يتبنّاها كلّ باحث، فمنها ما يُركّز على الجانب الكمّي المالي، ومنها ما يتوسّع نحو الجانب التشغيلي والاستراتيجي، ومنها ما يُدمج بين الأبعاد المختلفة في معالجةٍ تكاملية</w:t>
      </w:r>
      <w:r w:rsidRPr="0083094C">
        <w:rPr>
          <w:rFonts w:ascii="Simplified Arabic" w:hAnsi="Simplified Arabic" w:cs="Simplified Arabic"/>
          <w:color w:val="000000" w:themeColor="text1"/>
          <w:sz w:val="28"/>
          <w:szCs w:val="28"/>
        </w:rPr>
        <w:t>.</w:t>
      </w:r>
    </w:p>
    <w:p w14:paraId="44A0D28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ويُعرّف</w:t>
      </w:r>
      <w:r w:rsidRPr="0083094C">
        <w:rPr>
          <w:rFonts w:ascii="Simplified Arabic" w:hAnsi="Simplified Arabic" w:cs="Simplified Arabic"/>
          <w:color w:val="000000" w:themeColor="text1"/>
          <w:sz w:val="28"/>
          <w:szCs w:val="28"/>
        </w:rPr>
        <w:t xml:space="preserve"> (Irfan &amp; Al Hakim, 2022) </w:t>
      </w:r>
      <w:r w:rsidRPr="0083094C">
        <w:rPr>
          <w:rFonts w:ascii="Simplified Arabic" w:hAnsi="Simplified Arabic" w:cs="Simplified Arabic"/>
          <w:color w:val="000000" w:themeColor="text1"/>
          <w:sz w:val="28"/>
          <w:szCs w:val="28"/>
          <w:rtl/>
        </w:rPr>
        <w:t xml:space="preserve">خفض الخسائر المالية بوصفه منظومةً من السياسات والإجراءات والممارسات التي تستهدف تقليص الفاقد المالي الذي قد تتعرّض له المؤسّسة بفعل المخاطر المختلفة، مع الحفاظ على استقرارها التشغيلي والمالي. ويُبرز هذا التعريف الطبيعة المنظومية للمفهوم، إذ لا يتعلّق بإجراءات منعزلة بل بمنظومةٍ متكاملة من التدخّلات. ومن منظورٍ مكمّل، يرى (علوان، ٢٠٢١) أنّ خفض الخسائر يُمثّل المخرج الجوهري لإدارة المخاطر الفاعلة في المنظّمات، إذ تتضافر آليات تحديد </w:t>
      </w:r>
      <w:r w:rsidRPr="0083094C">
        <w:rPr>
          <w:rFonts w:ascii="Simplified Arabic" w:hAnsi="Simplified Arabic" w:cs="Simplified Arabic"/>
          <w:color w:val="000000" w:themeColor="text1"/>
          <w:sz w:val="28"/>
          <w:szCs w:val="28"/>
          <w:rtl/>
        </w:rPr>
        <w:lastRenderedPageBreak/>
        <w:t>المخاطر وقياسها ومعالجتها لتحقيق هذا الهدف، بما يدعم الاستقرار التشغيلي ويُعزّز قدرة المؤسّسة على تحقيق أهدافها الاستراتيجية</w:t>
      </w:r>
      <w:r w:rsidRPr="0083094C">
        <w:rPr>
          <w:rFonts w:ascii="Simplified Arabic" w:hAnsi="Simplified Arabic" w:cs="Simplified Arabic"/>
          <w:color w:val="000000" w:themeColor="text1"/>
          <w:sz w:val="28"/>
          <w:szCs w:val="28"/>
        </w:rPr>
        <w:t>.</w:t>
      </w:r>
    </w:p>
    <w:p w14:paraId="68B897DF"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ويُقدّم</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معالجةً مختلفة للمفهوم، تربط بين خفض الخسائر والربحية المؤسّسية، إذ ينظر إلى خفض الخسائر بوصفه أحد المحدّدات الرئيسية للأداء المالي، وأحد المسارات الجوهرية لتعظيم القيمة المضافة للمؤسّسة. فكلّ وحدة نقدية يُمكن استرجاعها من الخسائر المحتملة تُمثّل مكسباً مباشراً للمؤسّسة، يُضاف إلى عوائدها ويُعزّز هوامش الربحية. ويُكمّل</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هذه الرؤية بالإشارة إلى أنّ خفض الخسائر المالية يُمثّل الوجه الآخر لتعزيز الأمن المالي، إذ تتشابك الوظيفتان في منظومةٍ تشغيلية واحدة، تستهدف حماية أصول المؤسّسة وضمان سلامة عملياتها</w:t>
      </w:r>
      <w:r w:rsidRPr="0083094C">
        <w:rPr>
          <w:rFonts w:ascii="Simplified Arabic" w:hAnsi="Simplified Arabic" w:cs="Simplified Arabic"/>
          <w:color w:val="000000" w:themeColor="text1"/>
          <w:sz w:val="28"/>
          <w:szCs w:val="28"/>
        </w:rPr>
        <w:t>.</w:t>
      </w:r>
    </w:p>
    <w:p w14:paraId="0CA72D4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ومن المنظور المحاسبي، تُعرّف (ابن شلهوب، ٢٠٢٥) خفض الخسائر المالية بوصفه نتاجاً مباشراً لتطوير منظومة الكشف عن الاحتيال المحاسبي، إذ يُسهم الكشف المبكر في تقليص حجم الخسائر المرتبطة بالممارسات الاحتيالية، ويحول دون تراكمها واستفحالها. وتُضيف (اتحاد المصارف العربية، ٢٠٢٦) منظوراً مصرفياً مكمّلاً، يرى أنّ خفض الخسائر المالية في القطاع المصرفي يُمثّل مؤشّراً جوهرياً على فعالية منظومة الحوكمة والامتثال في المصرف، وعلى نضج بنيته التحتية الرقابية</w:t>
      </w:r>
      <w:r w:rsidRPr="0083094C">
        <w:rPr>
          <w:rFonts w:ascii="Simplified Arabic" w:hAnsi="Simplified Arabic" w:cs="Simplified Arabic"/>
          <w:color w:val="000000" w:themeColor="text1"/>
          <w:sz w:val="28"/>
          <w:szCs w:val="28"/>
        </w:rPr>
        <w:t>.</w:t>
      </w:r>
    </w:p>
    <w:p w14:paraId="048048B9"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ويُقدّم</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معالجةً تكاملية للمفهوم، يرى فيها أنّ خفض الخسائر المالية يُمثّل نتاجاً متعدّد المسارات، يتضافر فيه الكشف عن الاحتيال مع الامتثال التنظيمي مع إدارة المخاطر التكيّفية. فلا يمكن تحقيق خفض فعّال للخسائر بالاعتماد على مسارٍ واحد، بل يستلزم منظومةً تكاملية تُغطّي مختلف مصادر الخسائر المحتملة. ويُكمّل</w:t>
      </w:r>
      <w:r w:rsidRPr="0083094C">
        <w:rPr>
          <w:rFonts w:ascii="Simplified Arabic" w:hAnsi="Simplified Arabic" w:cs="Simplified Arabic"/>
          <w:color w:val="000000" w:themeColor="text1"/>
          <w:sz w:val="28"/>
          <w:szCs w:val="28"/>
        </w:rPr>
        <w:t xml:space="preserve"> (Soyombo, 2024) </w:t>
      </w:r>
      <w:r w:rsidRPr="0083094C">
        <w:rPr>
          <w:rFonts w:ascii="Simplified Arabic" w:hAnsi="Simplified Arabic" w:cs="Simplified Arabic"/>
          <w:color w:val="000000" w:themeColor="text1"/>
          <w:sz w:val="28"/>
          <w:szCs w:val="28"/>
          <w:rtl/>
        </w:rPr>
        <w:t>هذه الرؤية بإبراز البُعد الزمني للمفهوم، إذ يُميّز بين خفض الخسائر الآني المتعلّق بمعاملاتٍ بعينها، وخفض الخسائر الاستراتيجي المتعلّق ببناء قدرات وقائية طويلة المدى تحدّ من احتمالية وقوع الخسائر مستقبلاً</w:t>
      </w:r>
      <w:r w:rsidRPr="0083094C">
        <w:rPr>
          <w:rFonts w:ascii="Simplified Arabic" w:hAnsi="Simplified Arabic" w:cs="Simplified Arabic"/>
          <w:color w:val="000000" w:themeColor="text1"/>
          <w:sz w:val="28"/>
          <w:szCs w:val="28"/>
        </w:rPr>
        <w:t>.</w:t>
      </w:r>
    </w:p>
    <w:p w14:paraId="48728B7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ويستنتج الباحث ممّا تقدّم أنّ خفض الخسائر المالية يُمكن تعريفه إجرائياً بوصفه منظومةً تكاملية من السياسات والإجراءات والأدوات التقنية والبشرية، تستهدف تقليص الفاقد المالي الذي قد تتعرّض له المؤسّسة بفعل المخاطر الاحتيالية والتشغيلية والتنظيمية، وذلك عبر مساراتٍ متعدّدة تشمل الوقاية الاستباقية، والكشف المبكر، والاستجابة الفورية، والاسترداد الفاعل، بما يدعم استقرار المؤسّسة ويُعزّز قدرتها على تحقيق أهدافها الاستراتيجية وتعظيم قيمتها لأصحاب المصلحة. ويستوعب هذا التعريف الأبعاد الكمّية والنوعية، الآنية والاستراتيجية، الوقائية والعلاجية لمفهوم خفض الخسائر المالية</w:t>
      </w:r>
      <w:r w:rsidRPr="0083094C">
        <w:rPr>
          <w:rFonts w:ascii="Simplified Arabic" w:hAnsi="Simplified Arabic" w:cs="Simplified Arabic"/>
          <w:color w:val="000000" w:themeColor="text1"/>
          <w:sz w:val="28"/>
          <w:szCs w:val="28"/>
        </w:rPr>
        <w:t>.</w:t>
      </w:r>
    </w:p>
    <w:p w14:paraId="6D5D3F27" w14:textId="4D759E44"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3798972"/>
      <w:r w:rsidRPr="0083094C">
        <w:rPr>
          <w:rFonts w:ascii="Simplified Arabic" w:hAnsi="Simplified Arabic" w:cs="Simplified Arabic" w:hint="cs"/>
          <w:b/>
          <w:bCs/>
          <w:color w:val="000000" w:themeColor="text1"/>
          <w:sz w:val="32"/>
          <w:szCs w:val="32"/>
          <w:rtl/>
        </w:rPr>
        <w:lastRenderedPageBreak/>
        <w:t xml:space="preserve">3.2.2 </w:t>
      </w:r>
      <w:r w:rsidR="00ED623D" w:rsidRPr="0083094C">
        <w:rPr>
          <w:rFonts w:ascii="Simplified Arabic" w:hAnsi="Simplified Arabic" w:cs="Simplified Arabic"/>
          <w:b/>
          <w:bCs/>
          <w:color w:val="000000" w:themeColor="text1"/>
          <w:sz w:val="32"/>
          <w:szCs w:val="32"/>
          <w:rtl/>
        </w:rPr>
        <w:t>أهمية خفض الخسائر المالية</w:t>
      </w:r>
      <w:bookmarkEnd w:id="35"/>
    </w:p>
    <w:p w14:paraId="2D4C9CBA"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تنبثق أهمية خفض الخسائر المالية من تشعّب آثاره وامتدادها لتطال مختلف جوانب أداء المؤسّسة المالية واستدامتها. فالخسائر المالية لا تُؤثّر فحسب على الأداء المالي الآني للمؤسّسة، بل تمتدّ آثارها لتشمل قدرتها التنافسية، وموقعها في السوق، وثقة أصحاب المصلحة بها، واستدامتها في المدى البعيد</w:t>
      </w:r>
      <w:r w:rsidRPr="0083094C">
        <w:rPr>
          <w:rFonts w:ascii="Simplified Arabic" w:hAnsi="Simplified Arabic" w:cs="Simplified Arabic"/>
          <w:color w:val="000000" w:themeColor="text1"/>
          <w:sz w:val="28"/>
          <w:szCs w:val="28"/>
        </w:rPr>
        <w:t>.</w:t>
      </w:r>
    </w:p>
    <w:p w14:paraId="6F25523A"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ويُشير (علوان، ٢٠٢١) إلى أنّ أهمية خفض الخسائر المالية تتجلّى في جملةٍ من المحاور، يمكن إجمالها فيما يأتي</w:t>
      </w:r>
      <w:r w:rsidRPr="0083094C">
        <w:rPr>
          <w:rFonts w:ascii="Simplified Arabic" w:hAnsi="Simplified Arabic" w:cs="Simplified Arabic"/>
          <w:color w:val="000000" w:themeColor="text1"/>
          <w:sz w:val="28"/>
          <w:szCs w:val="28"/>
        </w:rPr>
        <w:t>:</w:t>
      </w:r>
    </w:p>
    <w:p w14:paraId="05D05FE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أوّلاً، أنّها تُسهم في حماية رأس المال المؤسّسي من التآكل، وضمان توفّر الموارد اللازمة لتمويل الأنشطة التشغيلية والاستثمارية للمؤسّسة. وثانياً، أنّها تُعزّز الاستقرار المالي للمؤسّسة، وتحول دون وقوعها في أزماتٍ تهدّد استمراريتها. وثالثاً، أنّها تدعم قدرة المؤسّسة على الوفاء بالتزاماتها تجاه أصحاب المصلحة، من مساهمين وعاملين وعملاء ودائنين. ورابعاً، أنّها تُتيح للمؤسّسة استغلال مواردها المتاحة في الاستثمارات المنتجة عوضاً عن تخصيصها لمواجهة الخسائر، ممّا يُعزّز كفاءة استثمار الموارد ويُحسّن العوائد المتحقّقة منها. وخامساً، أنّها تُسهم في حماية سمعة المؤسّسة، التي تُعدّ أصلاً غير ملموس بالغ الأهمية في تحديد قدرتها التنافسية في السوق</w:t>
      </w:r>
      <w:r w:rsidRPr="0083094C">
        <w:rPr>
          <w:rFonts w:ascii="Simplified Arabic" w:hAnsi="Simplified Arabic" w:cs="Simplified Arabic"/>
          <w:color w:val="000000" w:themeColor="text1"/>
          <w:sz w:val="28"/>
          <w:szCs w:val="28"/>
        </w:rPr>
        <w:t>.</w:t>
      </w:r>
    </w:p>
    <w:p w14:paraId="25FCCD7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ويرى</w:t>
      </w:r>
      <w:r w:rsidRPr="0083094C">
        <w:rPr>
          <w:rFonts w:ascii="Simplified Arabic" w:hAnsi="Simplified Arabic" w:cs="Simplified Arabic"/>
          <w:color w:val="000000" w:themeColor="text1"/>
          <w:sz w:val="28"/>
          <w:szCs w:val="28"/>
        </w:rPr>
        <w:t xml:space="preserve"> (Irfan &amp; Al Hakim, 2022) </w:t>
      </w:r>
      <w:r w:rsidRPr="0083094C">
        <w:rPr>
          <w:rFonts w:ascii="Simplified Arabic" w:hAnsi="Simplified Arabic" w:cs="Simplified Arabic"/>
          <w:color w:val="000000" w:themeColor="text1"/>
          <w:sz w:val="28"/>
          <w:szCs w:val="28"/>
          <w:rtl/>
        </w:rPr>
        <w:t>أنّ أهمية خفض الخسائر المالية تتجاوز البُعد الدفاعي لتمتدّ نحو بُعدٍ إيجابي بنّاء، إذ تُسهم في تعزيز قدرة المؤسّسة على المنافسة والنمو، وتُتيح لها استغلال الفرص الاستراتيجية بثقة، نظراً لامتلاكها منظومةً متكاملة لإدارة المخاطر تحول دون تحوّلها إلى خسائر فعلية. كما يرى أنّ خفض الخسائر يُسهم في تحقيق التوازن بين السعي نحو العوائد المرتفعة والحفاظ على درجةٍ مقبولة من الأمان، وهو توازنٌ يُمثّل جوهر الإدارة المالية الرشيدة</w:t>
      </w:r>
      <w:r w:rsidRPr="0083094C">
        <w:rPr>
          <w:rFonts w:ascii="Simplified Arabic" w:hAnsi="Simplified Arabic" w:cs="Simplified Arabic"/>
          <w:color w:val="000000" w:themeColor="text1"/>
          <w:sz w:val="28"/>
          <w:szCs w:val="28"/>
        </w:rPr>
        <w:t>.</w:t>
      </w:r>
    </w:p>
    <w:p w14:paraId="6E62CA7B"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ويُبرز</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أبعاداً إضافية لأهمية خفض الخسائر المالية، تتمثّل في تأثيرها المباشر على الربحية المؤسّسية، إذ تُمثّل الخسائر المالية اقتطاعاً مباشراً من العوائد المتحقّقة، فيما يُترجم خفضها إلى زيادةٍ فورية في صافي الأرباح. كما تُؤثّر هذه الخسائر على مؤشّرات الأداء المالي المختلفة، كالعائد على الأصول والعائد على حقوق الملكية، التي تُمثّل المعايير الرئيسية لتقييم أداء المؤسّسة من منظور المستثمرين والمحلّلين الماليّين. ويُضيف أنّ خفض الخسائر يُسهم في تحسين تصنيف المؤسّسة الائتماني، ممّا يُخفّض تكلفة التمويل ويُعزّز قدرتها على النفاذ إلى أسواق رأس المال بشروطٍ ميسّرة</w:t>
      </w:r>
      <w:r w:rsidRPr="0083094C">
        <w:rPr>
          <w:rFonts w:ascii="Simplified Arabic" w:hAnsi="Simplified Arabic" w:cs="Simplified Arabic"/>
          <w:color w:val="000000" w:themeColor="text1"/>
          <w:sz w:val="28"/>
          <w:szCs w:val="28"/>
        </w:rPr>
        <w:t>.</w:t>
      </w:r>
    </w:p>
    <w:p w14:paraId="5EFECDB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ويُسهم</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في إثراء النقاش حول أهمية خفض الخسائر المالية من منظورٍ تكاملي، يرى فيه أنّ هذه الأهمية تنبثق من ثلاثة محاور متشابكة: المحور الأول، المحور المالي المتعلّق بحماية القيمة المؤسّسية وتعظيمها. والمحور الثاني، المحور التنظيمي المتعلّق بضمان الامتثال للأطر التشريعية وتجنّب العقوبات والغرامات. والمحور الثالث، المحور الاستراتيجي المتعلّق ببناء قدراتٍ مؤسّسية تكيّفية تُمكّن المؤسّسة من التعامل مع التحوّلات المستقبلية في بيئة المخاطر. ويُؤكّد أنّ التكامل بين هذه المحاور يُضاعف قيمة خفض الخسائر المالية، ويُحوّله من مجرّد هدفٍ مالي ضيّق إلى ركيزةٍ من ركائز الاستدامة المؤسّسية</w:t>
      </w:r>
      <w:r w:rsidRPr="0083094C">
        <w:rPr>
          <w:rFonts w:ascii="Simplified Arabic" w:hAnsi="Simplified Arabic" w:cs="Simplified Arabic"/>
          <w:color w:val="000000" w:themeColor="text1"/>
          <w:sz w:val="28"/>
          <w:szCs w:val="28"/>
        </w:rPr>
        <w:t>.</w:t>
      </w:r>
    </w:p>
    <w:p w14:paraId="7027ABA4"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ويُؤكّد (المؤتمر العربي الأول لمكافحة الاحتيال، ٢٠٢٥) على أنّ أهمية خفض الخسائر المالية في القطاع المصرفي العربي تكتسب طابعاً خاصّاً، نظراً لمحورية القطاع المصرفي في الاقتصادات العربية، ودوره في تمويل التنمية والنمو الاقتصادي. فأيّ خسائر مالية يتعرّض لها هذا القطاع لا تقتصر آثارها على المؤسّسات المصرفية بعينها، بل تمتدّ لتطال الاستقرار المالي الإقليمي، وقدرة المصارف العربية على دعم النمو الاقتصادي. ومن هنا، تُمثّل عملية خفض الخسائر المالية في المصارف العربية أولويةً قطاعية تستحقّ التعاون والتنسيق بين مختلف الأطراف المعنية</w:t>
      </w:r>
      <w:r w:rsidRPr="0083094C">
        <w:rPr>
          <w:rFonts w:ascii="Simplified Arabic" w:hAnsi="Simplified Arabic" w:cs="Simplified Arabic"/>
          <w:color w:val="000000" w:themeColor="text1"/>
          <w:sz w:val="28"/>
          <w:szCs w:val="28"/>
        </w:rPr>
        <w:t>.</w:t>
      </w:r>
    </w:p>
    <w:p w14:paraId="3CF0A691"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ومن منظور مكمّل، يُشير</w:t>
      </w:r>
      <w:r w:rsidRPr="0083094C">
        <w:rPr>
          <w:rFonts w:ascii="Simplified Arabic" w:hAnsi="Simplified Arabic" w:cs="Simplified Arabic"/>
          <w:color w:val="000000" w:themeColor="text1"/>
          <w:sz w:val="28"/>
          <w:szCs w:val="28"/>
        </w:rPr>
        <w:t xml:space="preserve"> (Soyombo, 2024) </w:t>
      </w:r>
      <w:r w:rsidRPr="0083094C">
        <w:rPr>
          <w:rFonts w:ascii="Simplified Arabic" w:hAnsi="Simplified Arabic" w:cs="Simplified Arabic"/>
          <w:color w:val="000000" w:themeColor="text1"/>
          <w:sz w:val="28"/>
          <w:szCs w:val="28"/>
          <w:rtl/>
        </w:rPr>
        <w:t>إلى أنّ أهمية خفض الخسائر المالية تتعاظم في عصرٍ تتزايد فيه تعقيدات بيئة الأعمال وتتسارع فيه التحوّلات الرقمية، ممّا يُفرز أنماطاً مستحدثة من المخاطر تتجاوز قدرة الأدوات التقليدية على معالجتها. ويُضيف أنّ خفض الخسائر يُمثّل اختباراً حقيقياً لنضج المؤسّسة وقدرتها على التكيّف مع البيئة المتغيّرة، وأنّ المؤسّسات التي تنجح في تحقيقه تكتسب ميزةً تنافسية مستدامة في السوق</w:t>
      </w:r>
      <w:r w:rsidRPr="0083094C">
        <w:rPr>
          <w:rFonts w:ascii="Simplified Arabic" w:hAnsi="Simplified Arabic" w:cs="Simplified Arabic"/>
          <w:color w:val="000000" w:themeColor="text1"/>
          <w:sz w:val="28"/>
          <w:szCs w:val="28"/>
        </w:rPr>
        <w:t>.</w:t>
      </w:r>
    </w:p>
    <w:p w14:paraId="7732E968" w14:textId="667A64D9"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3798973"/>
      <w:r w:rsidRPr="0083094C">
        <w:rPr>
          <w:rFonts w:ascii="Simplified Arabic" w:hAnsi="Simplified Arabic" w:cs="Simplified Arabic" w:hint="cs"/>
          <w:b/>
          <w:bCs/>
          <w:color w:val="000000" w:themeColor="text1"/>
          <w:sz w:val="32"/>
          <w:szCs w:val="32"/>
          <w:rtl/>
        </w:rPr>
        <w:t xml:space="preserve">4.2.2 </w:t>
      </w:r>
      <w:r w:rsidR="00ED623D" w:rsidRPr="0083094C">
        <w:rPr>
          <w:rFonts w:ascii="Simplified Arabic" w:hAnsi="Simplified Arabic" w:cs="Simplified Arabic"/>
          <w:b/>
          <w:bCs/>
          <w:color w:val="000000" w:themeColor="text1"/>
          <w:sz w:val="32"/>
          <w:szCs w:val="32"/>
          <w:rtl/>
        </w:rPr>
        <w:t>أهداف خفض الخسائر المالية</w:t>
      </w:r>
      <w:bookmarkEnd w:id="36"/>
    </w:p>
    <w:p w14:paraId="773127B9"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تتعدّد الأهداف التي يسعى المختصّون إلى تحقيقها من خلال منظومة خفض الخسائر المالية، وتتباين هذه الأهداف بحسب طبيعة المؤسّسة وحجمها والقطاع الذي تعمل فيه، إلّا أنّها تتلاقى في غاياتٍ جوهرية مشتركة</w:t>
      </w:r>
      <w:r w:rsidRPr="0083094C">
        <w:rPr>
          <w:rFonts w:ascii="Simplified Arabic" w:hAnsi="Simplified Arabic" w:cs="Simplified Arabic"/>
          <w:color w:val="000000" w:themeColor="text1"/>
          <w:sz w:val="28"/>
          <w:szCs w:val="28"/>
        </w:rPr>
        <w:t>.</w:t>
      </w:r>
    </w:p>
    <w:p w14:paraId="33CDE89B"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ويرى</w:t>
      </w:r>
      <w:r w:rsidRPr="0083094C">
        <w:rPr>
          <w:rFonts w:ascii="Simplified Arabic" w:hAnsi="Simplified Arabic" w:cs="Simplified Arabic"/>
          <w:color w:val="000000" w:themeColor="text1"/>
          <w:sz w:val="28"/>
          <w:szCs w:val="28"/>
        </w:rPr>
        <w:t xml:space="preserve"> (Irfan &amp; Al Hakim, 2022) </w:t>
      </w:r>
      <w:r w:rsidRPr="0083094C">
        <w:rPr>
          <w:rFonts w:ascii="Simplified Arabic" w:hAnsi="Simplified Arabic" w:cs="Simplified Arabic"/>
          <w:color w:val="000000" w:themeColor="text1"/>
          <w:sz w:val="28"/>
          <w:szCs w:val="28"/>
          <w:rtl/>
        </w:rPr>
        <w:t>أنّ أهداف خفض الخسائر المالية تتمحور حول جملة من الغايات الرئيسية، يمكن عرضها على النحو الآتي</w:t>
      </w:r>
      <w:r w:rsidRPr="0083094C">
        <w:rPr>
          <w:rFonts w:ascii="Simplified Arabic" w:hAnsi="Simplified Arabic" w:cs="Simplified Arabic"/>
          <w:color w:val="000000" w:themeColor="text1"/>
          <w:sz w:val="28"/>
          <w:szCs w:val="28"/>
        </w:rPr>
        <w:t>:</w:t>
      </w:r>
    </w:p>
    <w:p w14:paraId="7D615AA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أوّلاً، الحفاظ على استقرار المؤسّسة وضمان استمراريتها في مواجهة التحدّيات المختلفة. وثانياً، حماية أصول المؤسّسة المختلفة، سواء الملموسة منها كالأموال والعقارات والمعدّات، أو غير الملموسة كالسمعة والعلامة التجارية وقواعد البيانات. وثالثاً، تعظيم القيمة المتحقّقة لأصحاب المصلحة، عبر تقليص الفاقد المالي وتحسين العوائد المتحقّقة. ورابعاً، بناء قدرةٍ تكيّفية في المؤسّسة، تُمكّنها من الاستجابة للتحوّلات في بيئة المخاطر والحفاظ على أدائها في مختلف الظروف. وخامساً، تحقيق التوازن بين الأمان والعائد، عبر اختيار مستويات المخاطر المقبولة التي تُتيح تحقيق عوائد مجزية دون المساس باستقرار المؤسّسة</w:t>
      </w:r>
      <w:r w:rsidRPr="0083094C">
        <w:rPr>
          <w:rFonts w:ascii="Simplified Arabic" w:hAnsi="Simplified Arabic" w:cs="Simplified Arabic"/>
          <w:color w:val="000000" w:themeColor="text1"/>
          <w:sz w:val="28"/>
          <w:szCs w:val="28"/>
        </w:rPr>
        <w:t>.</w:t>
      </w:r>
    </w:p>
    <w:p w14:paraId="1ADF7211"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ويُحدّد (علوان، ٢٠٢١) جملةً من الأهداف الإضافية التي تسعى منظومة خفض الخسائر المالية إلى تحقيقها، تتضمّن</w:t>
      </w:r>
      <w:r w:rsidRPr="0083094C">
        <w:rPr>
          <w:rFonts w:ascii="Simplified Arabic" w:hAnsi="Simplified Arabic" w:cs="Simplified Arabic"/>
          <w:color w:val="000000" w:themeColor="text1"/>
          <w:sz w:val="28"/>
          <w:szCs w:val="28"/>
        </w:rPr>
        <w:t>:</w:t>
      </w:r>
    </w:p>
    <w:p w14:paraId="0927AF0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تطوير منظومةٍ متكاملة لإدارة المخاطر تُغطّي مختلف مصادر الخسائر المحتملة في المنظّمة. وبناء ثقافة مؤسّسية واعية بأهمية إدارة المخاطر وحريصة على تطبيق ضوابطها. ودعم اتّخاذ القرار المؤسّسي بناءً على فهمٍ واضح لطبيعة المخاطر المحيطة والآثار المحتملة لها. وتعزيز الشفافية والمساءلة في المؤسّسة، عبر توثيق المخاطر المحدّدة والإجراءات المتّخذة لمعالجتها. وتطوير قدرات الكوادر البشرية في المؤسّسة في مجال إدارة المخاطر وخفض الخسائر، عبر برامج تدريبية متخصّصة</w:t>
      </w:r>
      <w:r w:rsidRPr="0083094C">
        <w:rPr>
          <w:rFonts w:ascii="Simplified Arabic" w:hAnsi="Simplified Arabic" w:cs="Simplified Arabic"/>
          <w:color w:val="000000" w:themeColor="text1"/>
          <w:sz w:val="28"/>
          <w:szCs w:val="28"/>
        </w:rPr>
        <w:t>.</w:t>
      </w:r>
    </w:p>
    <w:p w14:paraId="5273340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ويُسهم</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في إثراء النقاش حول أهداف خفض الخسائر المالية بإضافة محاور أخرى، تشمل</w:t>
      </w:r>
      <w:r w:rsidRPr="0083094C">
        <w:rPr>
          <w:rFonts w:ascii="Simplified Arabic" w:hAnsi="Simplified Arabic" w:cs="Simplified Arabic"/>
          <w:color w:val="000000" w:themeColor="text1"/>
          <w:sz w:val="28"/>
          <w:szCs w:val="28"/>
        </w:rPr>
        <w:t>:</w:t>
      </w:r>
    </w:p>
    <w:p w14:paraId="289FD420"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تحسين الربحية المؤسّسية عبر تقليص الفاقد المالي وتعظيم العوائد المحتجزة. ودعم تحقيق المستهدفات المالية الاستراتيجية للمؤسّسة. وتعزيز قدرة المؤسّسة على الاستثمار في الفرص الاستراتيجية بثقةٍ متزايدة. وتحسين موقف المؤسّسة التفاوضي أمام الجهات التمويلية والمستثمرين. ودعم خطط التوسّع والنمو المؤسّسي، عبر بناء قاعدةٍ مالية متينة تحول دون تعطيل هذه الخطط بفعل الخسائر غير المتوقّعة</w:t>
      </w:r>
      <w:r w:rsidRPr="0083094C">
        <w:rPr>
          <w:rFonts w:ascii="Simplified Arabic" w:hAnsi="Simplified Arabic" w:cs="Simplified Arabic"/>
          <w:color w:val="000000" w:themeColor="text1"/>
          <w:sz w:val="28"/>
          <w:szCs w:val="28"/>
        </w:rPr>
        <w:t>.</w:t>
      </w:r>
    </w:p>
    <w:p w14:paraId="1699927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ويُقدّم</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رؤيةً تكاملية لأهداف خفض الخسائر المالية، تتضمّن</w:t>
      </w:r>
      <w:r w:rsidRPr="0083094C">
        <w:rPr>
          <w:rFonts w:ascii="Simplified Arabic" w:hAnsi="Simplified Arabic" w:cs="Simplified Arabic"/>
          <w:color w:val="000000" w:themeColor="text1"/>
          <w:sz w:val="28"/>
          <w:szCs w:val="28"/>
        </w:rPr>
        <w:t>:</w:t>
      </w:r>
    </w:p>
    <w:p w14:paraId="1C94939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بناء منظومةٍ تكاملية للأمن المالي تُغطّي مختلف مصادر التهديد. وتحقيق التوازن بين الكشف والامتثال وإدارة المخاطر في منظومةٍ موحّدة. وتطوير قدراتٍ تكيّفية تُمكّن المؤسّسة من التعامل مع التحوّلات السريعة في بيئة المخاطر. ودعم اتّخاذ القرار الاستراتيجي القائم على البيانات في المؤسّسة. وتعزيز موقع المؤسّسة بوصفها كياناً مالياً موثوقاً يحظى بثقة أصحاب المصلحة المختلفين</w:t>
      </w:r>
      <w:r w:rsidRPr="0083094C">
        <w:rPr>
          <w:rFonts w:ascii="Simplified Arabic" w:hAnsi="Simplified Arabic" w:cs="Simplified Arabic"/>
          <w:color w:val="000000" w:themeColor="text1"/>
          <w:sz w:val="28"/>
          <w:szCs w:val="28"/>
        </w:rPr>
        <w:t>.</w:t>
      </w:r>
    </w:p>
    <w:p w14:paraId="0AEF79E1"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أمّا</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فيرى أنّ من أبرز أهداف منظومة خفض الخسائر المالية: تحويل وظيفة الأمن المالي من نشاطٍ تفاعلي إلى نشاطٍ استباقي، وتعظيم القيمة المتحقّقة من الاستثمار في البنية التحتية الرقابية، وبناء قدراتٍ تنبؤية تستشرف المخاطر قبل تبلوّرها، ودعم تحقيق التميّز التشغيلي عبر تحسين كفاءة العمليات وفعاليّتها</w:t>
      </w:r>
      <w:r w:rsidRPr="0083094C">
        <w:rPr>
          <w:rFonts w:ascii="Simplified Arabic" w:hAnsi="Simplified Arabic" w:cs="Simplified Arabic"/>
          <w:color w:val="000000" w:themeColor="text1"/>
          <w:sz w:val="28"/>
          <w:szCs w:val="28"/>
        </w:rPr>
        <w:t>.</w:t>
      </w:r>
    </w:p>
    <w:p w14:paraId="202354AD" w14:textId="4DFB2CA1"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3798974"/>
      <w:r w:rsidRPr="0083094C">
        <w:rPr>
          <w:rFonts w:ascii="Simplified Arabic" w:hAnsi="Simplified Arabic" w:cs="Simplified Arabic" w:hint="cs"/>
          <w:b/>
          <w:bCs/>
          <w:color w:val="000000" w:themeColor="text1"/>
          <w:sz w:val="32"/>
          <w:szCs w:val="32"/>
          <w:rtl/>
        </w:rPr>
        <w:t xml:space="preserve">5.2.2 </w:t>
      </w:r>
      <w:r w:rsidR="00ED623D" w:rsidRPr="0083094C">
        <w:rPr>
          <w:rFonts w:ascii="Simplified Arabic" w:hAnsi="Simplified Arabic" w:cs="Simplified Arabic"/>
          <w:b/>
          <w:bCs/>
          <w:color w:val="000000" w:themeColor="text1"/>
          <w:sz w:val="32"/>
          <w:szCs w:val="32"/>
          <w:rtl/>
        </w:rPr>
        <w:t>أبعاد خفض الخسائر المالية</w:t>
      </w:r>
      <w:bookmarkEnd w:id="37"/>
    </w:p>
    <w:p w14:paraId="06744393"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اعتمدت الدراسة الحالية في تحديد أبعاد المتغير التابع على المعالجات النظرية التي قدّمها كلّ من (علوان، ٢٠٢١) و</w:t>
      </w:r>
      <w:r w:rsidRPr="0083094C">
        <w:rPr>
          <w:rFonts w:ascii="Simplified Arabic" w:hAnsi="Simplified Arabic" w:cs="Simplified Arabic"/>
          <w:color w:val="000000" w:themeColor="text1"/>
          <w:sz w:val="28"/>
          <w:szCs w:val="28"/>
        </w:rPr>
        <w:t xml:space="preserve">(Irfan &amp; Al Hakim, 2022) </w:t>
      </w:r>
      <w:r w:rsidRPr="0083094C">
        <w:rPr>
          <w:rFonts w:ascii="Simplified Arabic" w:hAnsi="Simplified Arabic" w:cs="Simplified Arabic"/>
          <w:color w:val="000000" w:themeColor="text1"/>
          <w:sz w:val="28"/>
          <w:szCs w:val="28"/>
          <w:rtl/>
        </w:rPr>
        <w:t>و</w:t>
      </w:r>
      <w:r w:rsidRPr="0083094C">
        <w:rPr>
          <w:rFonts w:ascii="Simplified Arabic" w:hAnsi="Simplified Arabic" w:cs="Simplified Arabic"/>
          <w:color w:val="000000" w:themeColor="text1"/>
          <w:sz w:val="28"/>
          <w:szCs w:val="28"/>
        </w:rPr>
        <w:t xml:space="preserve">(Bangash et al., 2025) </w:t>
      </w:r>
      <w:r w:rsidRPr="0083094C">
        <w:rPr>
          <w:rFonts w:ascii="Simplified Arabic" w:hAnsi="Simplified Arabic" w:cs="Simplified Arabic"/>
          <w:color w:val="000000" w:themeColor="text1"/>
          <w:sz w:val="28"/>
          <w:szCs w:val="28"/>
          <w:rtl/>
        </w:rPr>
        <w:t>و</w:t>
      </w:r>
      <w:r w:rsidRPr="0083094C">
        <w:rPr>
          <w:rFonts w:ascii="Simplified Arabic" w:hAnsi="Simplified Arabic" w:cs="Simplified Arabic"/>
          <w:color w:val="000000" w:themeColor="text1"/>
          <w:sz w:val="28"/>
          <w:szCs w:val="28"/>
        </w:rPr>
        <w:t>(Chowdhury et al., 2025)</w:t>
      </w:r>
      <w:r w:rsidRPr="0083094C">
        <w:rPr>
          <w:rFonts w:ascii="Simplified Arabic" w:hAnsi="Simplified Arabic" w:cs="Simplified Arabic"/>
          <w:color w:val="000000" w:themeColor="text1"/>
          <w:sz w:val="28"/>
          <w:szCs w:val="28"/>
          <w:rtl/>
        </w:rPr>
        <w:t>، إذ تلاقت هذه المعالجات في تحديد مجموعةٍ من الأبعاد الرئيسية التي تُعبّر عن البنية المتكاملة لمنظومة خفض الخسائر المالية. ويُعرض فيما يأتي تفصيلٌ لهذه الأبعاد</w:t>
      </w:r>
      <w:r w:rsidRPr="0083094C">
        <w:rPr>
          <w:rFonts w:ascii="Simplified Arabic" w:hAnsi="Simplified Arabic" w:cs="Simplified Arabic"/>
          <w:color w:val="000000" w:themeColor="text1"/>
          <w:sz w:val="28"/>
          <w:szCs w:val="28"/>
        </w:rPr>
        <w:t>:</w:t>
      </w:r>
    </w:p>
    <w:p w14:paraId="3550FFE5"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الأول: خفض الخسائر المباشرة المرتبطة بالاحتيال</w:t>
      </w:r>
    </w:p>
    <w:p w14:paraId="7F75D57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يُمثّل هذا البُعد المحور الأكثر مباشرةً في منظومة خفض الخسائر المالية، إذ يتعلّق بتقليص الفاقد المالي المباشر الناجم عن العمليات الاحتيالية المختلفة. وتتضمّن هذه الخسائر الأموال المسروقة عبر العمليات الاحتيالية، والقيود المالية المزوّرة، والمعاملات غير المشروعة، والتلاعب في الحسابات. ويرى</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أنّ هذا البُعد يُعدّ المؤشّر الأكثر وضوحاً على فعالية منظومة مكافحة الاحتيال، إذ يُترجم بصورةٍ مباشرة قيمة الجهود المبذولة في حماية المؤسّسة. ويتطلّب تحقيق خفضٍ فعّال للخسائر المباشرة منظومةً متكاملة من الأدوات الوقائية والكشفية والاستجابة الفورية</w:t>
      </w:r>
      <w:r w:rsidRPr="0083094C">
        <w:rPr>
          <w:rFonts w:ascii="Simplified Arabic" w:hAnsi="Simplified Arabic" w:cs="Simplified Arabic"/>
          <w:color w:val="000000" w:themeColor="text1"/>
          <w:sz w:val="28"/>
          <w:szCs w:val="28"/>
        </w:rPr>
        <w:t>.</w:t>
      </w:r>
    </w:p>
    <w:p w14:paraId="668A6DC6"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الثاني: خفض الخسائر غير المباشرة المرتبطة بالاحتيال</w:t>
      </w:r>
    </w:p>
    <w:p w14:paraId="67A22C6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يتعلّق هذا البُعد بالخسائر التي تتجاوز الفاقد المالي المباشر، لتشمل الآثار التبعية للعمليات الاحتيالية، كتكاليف التحقيق والملاحقة القانونية، وتعويضات العملاء المتضرّرين، وتكاليف معالجة الثغرات المكشوفة، وتكاليف تعزيز الأنظمة الرقابية في أعقاب الحوادث الاحتيالية. ويُشير</w:t>
      </w:r>
      <w:r w:rsidRPr="0083094C">
        <w:rPr>
          <w:rFonts w:ascii="Simplified Arabic" w:hAnsi="Simplified Arabic" w:cs="Simplified Arabic"/>
          <w:color w:val="000000" w:themeColor="text1"/>
          <w:sz w:val="28"/>
          <w:szCs w:val="28"/>
        </w:rPr>
        <w:t xml:space="preserve"> (Soyombo, 2024) </w:t>
      </w:r>
      <w:r w:rsidRPr="0083094C">
        <w:rPr>
          <w:rFonts w:ascii="Simplified Arabic" w:hAnsi="Simplified Arabic" w:cs="Simplified Arabic"/>
          <w:color w:val="000000" w:themeColor="text1"/>
          <w:sz w:val="28"/>
          <w:szCs w:val="28"/>
          <w:rtl/>
        </w:rPr>
        <w:t>إلى أنّ هذه الخسائر غير المباشرة قد تتجاوز في حجمها الخسائر المباشرة بأضعاف مضاعفة، نظراً لتشعّبها وامتدادها في الزمن. ويستلزم خفضها بناء منظومةٍ وقائية فاعلة تحول دون وقوع الحوادث الاحتيالية ابتداءً، عوضاً عن الاكتفاء بمعالجة آثارها بعد وقوعها</w:t>
      </w:r>
      <w:r w:rsidRPr="0083094C">
        <w:rPr>
          <w:rFonts w:ascii="Simplified Arabic" w:hAnsi="Simplified Arabic" w:cs="Simplified Arabic"/>
          <w:color w:val="000000" w:themeColor="text1"/>
          <w:sz w:val="28"/>
          <w:szCs w:val="28"/>
        </w:rPr>
        <w:t>.</w:t>
      </w:r>
    </w:p>
    <w:p w14:paraId="538E65B3"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lastRenderedPageBreak/>
        <w:t>البُعد الثالث: خفض الخسائر المرتبطة بالامتثال التنظيمي</w:t>
      </w:r>
    </w:p>
    <w:p w14:paraId="18E06EA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يتعلّق هذا البُعد بتقليص الخسائر الناجمة عن الإخلال بمتطلّبات الامتثال التنظيمي، والتي تتضمّن الغرامات والعقوبات المفروضة من الجهات الرقابية، وتكاليف المعالجة والتصحيح، وتكاليف الإصلاحات المؤسّسية اللازمة لاستعادة الامتثال. ويرى</w:t>
      </w:r>
      <w:r w:rsidRPr="0083094C">
        <w:rPr>
          <w:rFonts w:ascii="Simplified Arabic" w:hAnsi="Simplified Arabic" w:cs="Simplified Arabic"/>
          <w:color w:val="000000" w:themeColor="text1"/>
          <w:sz w:val="28"/>
          <w:szCs w:val="28"/>
        </w:rPr>
        <w:t xml:space="preserve"> (Aziz &amp; Andriansyah, 2023) </w:t>
      </w:r>
      <w:r w:rsidRPr="0083094C">
        <w:rPr>
          <w:rFonts w:ascii="Simplified Arabic" w:hAnsi="Simplified Arabic" w:cs="Simplified Arabic"/>
          <w:color w:val="000000" w:themeColor="text1"/>
          <w:sz w:val="28"/>
          <w:szCs w:val="28"/>
          <w:rtl/>
        </w:rPr>
        <w:t>أنّ هذا البُعد يكتسب أهميةً متعاظمة في ظلّ الاتجاه العالمي نحو تشديد الأطر التنظيمية في القطاع المالي، وتزايد قيم الغرامات المفروضة على المؤسّسات المخالفة. ويستلزم تحقيق خفضٍ فعّال في هذا البُعد بناء منظومةٍ متكاملة للامتثال الاستباقي، تستشرف المتطلّبات التنظيمية وتُكيّف الممارسات المؤسّسية بما يتّسق معها قبل وقوع المخالفات</w:t>
      </w:r>
      <w:r w:rsidRPr="0083094C">
        <w:rPr>
          <w:rFonts w:ascii="Simplified Arabic" w:hAnsi="Simplified Arabic" w:cs="Simplified Arabic"/>
          <w:color w:val="000000" w:themeColor="text1"/>
          <w:sz w:val="28"/>
          <w:szCs w:val="28"/>
        </w:rPr>
        <w:t>.</w:t>
      </w:r>
    </w:p>
    <w:p w14:paraId="7501C259"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الرابع: خفض الخسائر التشغيلية</w:t>
      </w:r>
    </w:p>
    <w:p w14:paraId="5F89CDAF"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يتعلّق هذا البُعد بتقليص الخسائر الناجمة عن إخفاقات العمليات التشغيلية للمؤسّسة، والتي قد تنبع من أخطاءٍ بشرية، أو خللٍ في الأنظمة، أو قصورٍ في الإجراءات، أو حوادث خارجية. ويُشير (علوان، ٢٠٢١) إلى أنّ هذه الخسائر تُمثّل فئةً رئيسية من الخسائر التي تواجه المنظّمات، وأنّ معالجتها تستلزم منظومةً متكاملة من ضوابط الرقابة الداخلية، إلى جانب أدواتٍ تكنولوجية متقدّمة قادرة على رصد الأخطاء والخلل التشغيلي في مرحلةٍ مبكّرة. ويُكمّل</w:t>
      </w:r>
      <w:r w:rsidRPr="0083094C">
        <w:rPr>
          <w:rFonts w:ascii="Simplified Arabic" w:hAnsi="Simplified Arabic" w:cs="Simplified Arabic"/>
          <w:color w:val="000000" w:themeColor="text1"/>
          <w:sz w:val="28"/>
          <w:szCs w:val="28"/>
        </w:rPr>
        <w:t xml:space="preserve"> (Kumar, 2024) </w:t>
      </w:r>
      <w:r w:rsidRPr="0083094C">
        <w:rPr>
          <w:rFonts w:ascii="Simplified Arabic" w:hAnsi="Simplified Arabic" w:cs="Simplified Arabic"/>
          <w:color w:val="000000" w:themeColor="text1"/>
          <w:sz w:val="28"/>
          <w:szCs w:val="28"/>
          <w:rtl/>
        </w:rPr>
        <w:t>هذه الرؤية بالإشارة إلى أنّ الأدوات الذكية تُسهم في خفض الخسائر التشغيلية عبر أتمتة العمليات الروتينية وتقليل احتمالية الأخطاء البشرية فيها</w:t>
      </w:r>
      <w:r w:rsidRPr="0083094C">
        <w:rPr>
          <w:rFonts w:ascii="Simplified Arabic" w:hAnsi="Simplified Arabic" w:cs="Simplified Arabic"/>
          <w:color w:val="000000" w:themeColor="text1"/>
          <w:sz w:val="28"/>
          <w:szCs w:val="28"/>
        </w:rPr>
        <w:t>.</w:t>
      </w:r>
    </w:p>
    <w:p w14:paraId="44A4AE6E"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الخامس: خفض خسائر السمعة</w:t>
      </w:r>
    </w:p>
    <w:p w14:paraId="7CC49576"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يتعلّق هذا البُعد بحماية سمعة المؤسّسة من التآكل الذي قد ينجم عن الحوادث الاحتيالية أو الإخفاقات الرقابية، وما يترتّب على ذلك من خسائر في ثقة العملاء والمستثمرين والشركاء. ويرى (المؤتمر العربي الأول لمكافحة الاحتيال، ٢٠٢٥) أنّ خسائر السمعة تُمثّل أحد أخطر أنواع الخسائر التي تواجه المؤسّسات المالية، نظراً لطبيعة الصناعة المصرفية القائمة على الثقة، ولصعوبة تعويض الضرر الذي يلحق بالسمعة حتى بعد معالجة الحادث الأصلي. ويستلزم خفض هذا النوع من الخسائر بناء منظومةٍ متكاملة للحوكمة والشفافية، تُعزّز ثقة أصحاب المصلحة في المؤسّسة، وتُمكّنها من إدارة الأزمات بفعالية حال وقوعها</w:t>
      </w:r>
      <w:r w:rsidRPr="0083094C">
        <w:rPr>
          <w:rFonts w:ascii="Simplified Arabic" w:hAnsi="Simplified Arabic" w:cs="Simplified Arabic"/>
          <w:color w:val="000000" w:themeColor="text1"/>
          <w:sz w:val="28"/>
          <w:szCs w:val="28"/>
        </w:rPr>
        <w:t>.</w:t>
      </w:r>
    </w:p>
    <w:p w14:paraId="1CA6D877"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السادس: خفض الخسائر المرتبطة بفرص الأعمال الضائعة</w:t>
      </w:r>
    </w:p>
    <w:p w14:paraId="47CB05C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يتعلّق هذا البُعد ببُعدٍ غير مباشر للخسائر، يتمثّل في تكلفة الفرصة البديلة للموارد المخصّصة لمواجهة الخسائر عوضاً عن استثمارها في فرص النمو والتوسّع. ويُشير</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إلى أنّ الموارد التي تستنزفها المؤسّسات في معالجة آثار الاحتيال والإخفاقات الرقابية تُمثّل تكلفةً ضمنية كبيرة، تحول دون استغلال هذه الموارد في الاستثمارات المنتجة. ويُسهم خفض الخسائر في تحرير هذه الموارد وإعادة توجيهها نحو الأنشطة ذات القيمة المضافة الأعلى، ممّا يُعزّز كفاءة استخدام الموارد ويدعم النمو المستدام للمؤسّسة</w:t>
      </w:r>
      <w:r w:rsidRPr="0083094C">
        <w:rPr>
          <w:rFonts w:ascii="Simplified Arabic" w:hAnsi="Simplified Arabic" w:cs="Simplified Arabic"/>
          <w:color w:val="000000" w:themeColor="text1"/>
          <w:sz w:val="28"/>
          <w:szCs w:val="28"/>
        </w:rPr>
        <w:t>.</w:t>
      </w:r>
    </w:p>
    <w:p w14:paraId="52AA68A1" w14:textId="77777777" w:rsidR="00ED623D" w:rsidRPr="0083094C" w:rsidRDefault="00ED623D" w:rsidP="003B4E8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3094C">
        <w:rPr>
          <w:rFonts w:ascii="Simplified Arabic" w:hAnsi="Simplified Arabic" w:cs="Simplified Arabic"/>
          <w:b/>
          <w:bCs/>
          <w:color w:val="000000" w:themeColor="text1"/>
          <w:sz w:val="28"/>
          <w:szCs w:val="28"/>
          <w:rtl/>
        </w:rPr>
        <w:t>البُعد السابع: تعزيز قدرة المؤسّسة على الاسترداد</w:t>
      </w:r>
    </w:p>
    <w:p w14:paraId="6E7CDC8D"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يتعلّق هذا البُعد بقدرة المؤسّسة على استرداد ما يُمكن استرداده من الأموال المفقودة جرّاء العمليات الاحتيالية، عبر آليات الاسترداد القانونية والتقنية. ويرى</w:t>
      </w:r>
      <w:r w:rsidRPr="0083094C">
        <w:rPr>
          <w:rFonts w:ascii="Simplified Arabic" w:hAnsi="Simplified Arabic" w:cs="Simplified Arabic"/>
          <w:color w:val="000000" w:themeColor="text1"/>
          <w:sz w:val="28"/>
          <w:szCs w:val="28"/>
        </w:rPr>
        <w:t xml:space="preserve"> (Ikumapayi &amp; Ayankoya, 2025) </w:t>
      </w:r>
      <w:r w:rsidRPr="0083094C">
        <w:rPr>
          <w:rFonts w:ascii="Simplified Arabic" w:hAnsi="Simplified Arabic" w:cs="Simplified Arabic"/>
          <w:color w:val="000000" w:themeColor="text1"/>
          <w:sz w:val="28"/>
          <w:szCs w:val="28"/>
          <w:rtl/>
        </w:rPr>
        <w:t>أنّ المحاسبة الجنائية المدعومة بالذكاء الاصطناعي تُسهم في تعزيز قدرات الاسترداد، عبر توفير الأدلّة الرقمية الدقيقة اللازمة للإجراءات القانونية، وتتبّع مسارات الأموال المفقودة عبر القنوات المختلفة. ويستلزم تحقيق فعالية في هذا البُعد بناء منظومةٍ متكاملة من القدرات القانونية والتقنية والتعاونية، بما يُتيح أقصى قدرٍ من استرداد الخسائر</w:t>
      </w:r>
      <w:r w:rsidRPr="0083094C">
        <w:rPr>
          <w:rFonts w:ascii="Simplified Arabic" w:hAnsi="Simplified Arabic" w:cs="Simplified Arabic"/>
          <w:color w:val="000000" w:themeColor="text1"/>
          <w:sz w:val="28"/>
          <w:szCs w:val="28"/>
        </w:rPr>
        <w:t>.</w:t>
      </w:r>
    </w:p>
    <w:p w14:paraId="4725F4EC" w14:textId="483FEF03" w:rsidR="00ED623D" w:rsidRPr="0083094C" w:rsidRDefault="003B4E81" w:rsidP="003B4E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3798975"/>
      <w:r w:rsidRPr="0083094C">
        <w:rPr>
          <w:rFonts w:ascii="Simplified Arabic" w:hAnsi="Simplified Arabic" w:cs="Simplified Arabic" w:hint="cs"/>
          <w:b/>
          <w:bCs/>
          <w:color w:val="000000" w:themeColor="text1"/>
          <w:sz w:val="32"/>
          <w:szCs w:val="32"/>
          <w:rtl/>
        </w:rPr>
        <w:t xml:space="preserve">6.2.2 </w:t>
      </w:r>
      <w:r w:rsidR="00ED623D" w:rsidRPr="0083094C">
        <w:rPr>
          <w:rFonts w:ascii="Simplified Arabic" w:hAnsi="Simplified Arabic" w:cs="Simplified Arabic"/>
          <w:b/>
          <w:bCs/>
          <w:color w:val="000000" w:themeColor="text1"/>
          <w:sz w:val="32"/>
          <w:szCs w:val="32"/>
          <w:rtl/>
        </w:rPr>
        <w:t>استراتيجيات خفض الخسائر المالية</w:t>
      </w:r>
      <w:bookmarkEnd w:id="38"/>
    </w:p>
    <w:p w14:paraId="1631EA90"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يستلزم تحقيق خفضٍ فعّال للخسائر المالية في المؤسّسات المالية تبنّي منظومةٍ متكاملة من الاستراتيجيات، تُغطّي مختلف مصادر الخسائر المحتملة، وتتكامل في تحقيق الأهداف المرجوّة. وفيما يأتي عرضٌ لأبرز هذه الاستراتيجيات</w:t>
      </w:r>
      <w:r w:rsidRPr="0083094C">
        <w:rPr>
          <w:rFonts w:ascii="Simplified Arabic" w:hAnsi="Simplified Arabic" w:cs="Simplified Arabic"/>
          <w:color w:val="000000" w:themeColor="text1"/>
          <w:sz w:val="28"/>
          <w:szCs w:val="28"/>
        </w:rPr>
        <w:t>:</w:t>
      </w:r>
    </w:p>
    <w:p w14:paraId="14004E36"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تبرز استراتيجية الوقاية الاستباقية بوصفها استراتيجيةً محورية، تقوم على بناء منظومةٍ من الضوابط والإجراءات التي تحول دون وقوع الخسائر ابتداءً. ويُشير</w:t>
      </w:r>
      <w:r w:rsidRPr="0083094C">
        <w:rPr>
          <w:rFonts w:ascii="Simplified Arabic" w:hAnsi="Simplified Arabic" w:cs="Simplified Arabic"/>
          <w:color w:val="000000" w:themeColor="text1"/>
          <w:sz w:val="28"/>
          <w:szCs w:val="28"/>
        </w:rPr>
        <w:t xml:space="preserve"> (Irfan &amp; Al Hakim, 2022) </w:t>
      </w:r>
      <w:r w:rsidRPr="0083094C">
        <w:rPr>
          <w:rFonts w:ascii="Simplified Arabic" w:hAnsi="Simplified Arabic" w:cs="Simplified Arabic"/>
          <w:color w:val="000000" w:themeColor="text1"/>
          <w:sz w:val="28"/>
          <w:szCs w:val="28"/>
          <w:rtl/>
        </w:rPr>
        <w:t>إلى أنّ هذه الاستراتيجية تتضمّن تحديد مصادر المخاطر المحتملة، وتقييم احتمالية وقوعها وأثرها، ووضع ضوابطٍ تحول دون تحقّقها. ويُسهم تطبيقها الفاعل في تقليل تكاليف معالجة الخسائر، إذ تُمثّل الوقاية البديل الأقلّ كلفةً مقارنةً بالعلاج. وتشمل هذه الاستراتيجية تطوير سياسات وإجراءات داخلية صارمة، وبناء ثقافة مؤسّسية واعية بالمخاطر، وتأهيل الكوادر البشرية بصورةٍ مستمرّة</w:t>
      </w:r>
      <w:r w:rsidRPr="0083094C">
        <w:rPr>
          <w:rFonts w:ascii="Simplified Arabic" w:hAnsi="Simplified Arabic" w:cs="Simplified Arabic"/>
          <w:color w:val="000000" w:themeColor="text1"/>
          <w:sz w:val="28"/>
          <w:szCs w:val="28"/>
        </w:rPr>
        <w:t>.</w:t>
      </w:r>
    </w:p>
    <w:p w14:paraId="6AC5346C"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وتُشكّل استراتيجية الكشف المبكر ركيزةً ثانية، تستهدف اكتشاف المخاطر والخسائر المحتملة في أبكر مرحلةٍ ممكنة، تمهيداً لاحتوائها قبل تضخّمها. ويرى</w:t>
      </w:r>
      <w:r w:rsidRPr="0083094C">
        <w:rPr>
          <w:rFonts w:ascii="Simplified Arabic" w:hAnsi="Simplified Arabic" w:cs="Simplified Arabic"/>
          <w:color w:val="000000" w:themeColor="text1"/>
          <w:sz w:val="28"/>
          <w:szCs w:val="28"/>
        </w:rPr>
        <w:t xml:space="preserve"> (Kumar, 2024) </w:t>
      </w:r>
      <w:r w:rsidRPr="0083094C">
        <w:rPr>
          <w:rFonts w:ascii="Simplified Arabic" w:hAnsi="Simplified Arabic" w:cs="Simplified Arabic"/>
          <w:color w:val="000000" w:themeColor="text1"/>
          <w:sz w:val="28"/>
          <w:szCs w:val="28"/>
          <w:rtl/>
        </w:rPr>
        <w:t xml:space="preserve">أنّ الكشف المبكر يُمثّل عاملاً </w:t>
      </w:r>
      <w:r w:rsidRPr="0083094C">
        <w:rPr>
          <w:rFonts w:ascii="Simplified Arabic" w:hAnsi="Simplified Arabic" w:cs="Simplified Arabic"/>
          <w:color w:val="000000" w:themeColor="text1"/>
          <w:sz w:val="28"/>
          <w:szCs w:val="28"/>
          <w:rtl/>
        </w:rPr>
        <w:lastRenderedPageBreak/>
        <w:t>حاسماً في تحديد حجم الخسائر النهائية، إذ كلّما تأخّر الكشف تضاعفت الخسائر بصورةٍ متسارعة. وتعتمد هذه الاستراتيجية على بناء منظومةٍ من المؤشّرات والإنذارات تُتيح رصد الانحرافات والشذوذات في وقتها، وعلى توفير بنيةٍ تحتية تقنية قادرة على معالجة البيانات لحظياً</w:t>
      </w:r>
      <w:r w:rsidRPr="0083094C">
        <w:rPr>
          <w:rFonts w:ascii="Simplified Arabic" w:hAnsi="Simplified Arabic" w:cs="Simplified Arabic"/>
          <w:color w:val="000000" w:themeColor="text1"/>
          <w:sz w:val="28"/>
          <w:szCs w:val="28"/>
        </w:rPr>
        <w:t>.</w:t>
      </w:r>
    </w:p>
    <w:p w14:paraId="2A790607"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وتُمثّل استراتيجية الاستجابة الفورية ركيزةً ثالثة، تقوم على تطوير قدرات المؤسّسة في التعامل السريع مع الحوادث فور وقوعها أو رصدها. ويُبيّن</w:t>
      </w:r>
      <w:r w:rsidRPr="0083094C">
        <w:rPr>
          <w:rFonts w:ascii="Simplified Arabic" w:hAnsi="Simplified Arabic" w:cs="Simplified Arabic"/>
          <w:color w:val="000000" w:themeColor="text1"/>
          <w:sz w:val="28"/>
          <w:szCs w:val="28"/>
        </w:rPr>
        <w:t xml:space="preserve"> (Chowdhury et al., 2025) </w:t>
      </w:r>
      <w:r w:rsidRPr="0083094C">
        <w:rPr>
          <w:rFonts w:ascii="Simplified Arabic" w:hAnsi="Simplified Arabic" w:cs="Simplified Arabic"/>
          <w:color w:val="000000" w:themeColor="text1"/>
          <w:sz w:val="28"/>
          <w:szCs w:val="28"/>
          <w:rtl/>
        </w:rPr>
        <w:t>أنّ هذه الاستراتيجية تتضمّن بناء خططٍ مسبقة للاستجابة للحوادث المختلفة، وتأهيل فرقٍ متخصّصة قادرة على التدخّل السريع، وتطوير قدراتٍ تقنية تُتيح تنفيذ الإجراءات الاحترازية فور رصد المخاطر. ويُؤدّي التطبيق الفاعل لهذه الاستراتيجية إلى تقليص الفجوة الزمنية بين رصد الحدث ومعالجته، ممّا يحول دون تضخّم الخسائر</w:t>
      </w:r>
      <w:r w:rsidRPr="0083094C">
        <w:rPr>
          <w:rFonts w:ascii="Simplified Arabic" w:hAnsi="Simplified Arabic" w:cs="Simplified Arabic"/>
          <w:color w:val="000000" w:themeColor="text1"/>
          <w:sz w:val="28"/>
          <w:szCs w:val="28"/>
        </w:rPr>
        <w:t>.</w:t>
      </w:r>
    </w:p>
    <w:p w14:paraId="7FE8F881"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وتبرز استراتيجية التنويع وتوزيع المخاطر بوصفها استراتيجيةً تكميلية، تقوم على عدم تركيز المخاطر في مصدرٍ واحد أو فئةٍ واحدة، بما يُقلّل من احتمالية وقوع خسائر فادحة. ويُؤكّد (علوان، ٢٠٢١) على أنّ التنويع يُعدّ من المبادئ الأساسية في إدارة المخاطر، إذ يُتيح للمؤسّسة استيعاب الخسائر المحتملة في مصدرٍ معيّن عبر العوائد المتحقّقة من مصادر أخرى. وتشمل هذه الاستراتيجية تنويع المحفظة الائتمانية، وتنويع القاعدة العملائية، وتنويع المنتجات والخدمات، وتنويع الأسواق الجغرافية</w:t>
      </w:r>
      <w:r w:rsidRPr="0083094C">
        <w:rPr>
          <w:rFonts w:ascii="Simplified Arabic" w:hAnsi="Simplified Arabic" w:cs="Simplified Arabic"/>
          <w:color w:val="000000" w:themeColor="text1"/>
          <w:sz w:val="28"/>
          <w:szCs w:val="28"/>
        </w:rPr>
        <w:t>.</w:t>
      </w:r>
    </w:p>
    <w:p w14:paraId="27927562"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وتُشكّل استراتيجية نقل المخاطر استراتيجيةً مكمّلة، تقوم على تحويل بعض المخاطر إلى أطرافٍ أخرى قادرة على تحمّلها بكفاءةٍ أكبر، عبر آلياتٍ كالتأمين والتحوّط المالي والتعهيد. ويرى (علوان، ٢٠٢١) أنّ نقل المخاطر يُسهم في حماية المؤسّسة من الخسائر الفادحة التي قد تفوق قدرتها على التحمّل، ويُتيح لها التركيز على الأنشطة التي تمتلك فيها ميزةً نسبية. ويستلزم التطبيق الفاعل لهذه الاستراتيجية فهماً دقيقاً للأطر التعاقدية والقانونية الناظمة لنقل المخاطر، وتقييماً متأنّياً لتكلفة النقل مقابل المخاطر المنقولة</w:t>
      </w:r>
      <w:r w:rsidRPr="0083094C">
        <w:rPr>
          <w:rFonts w:ascii="Simplified Arabic" w:hAnsi="Simplified Arabic" w:cs="Simplified Arabic"/>
          <w:color w:val="000000" w:themeColor="text1"/>
          <w:sz w:val="28"/>
          <w:szCs w:val="28"/>
        </w:rPr>
        <w:t>.</w:t>
      </w:r>
    </w:p>
    <w:p w14:paraId="38AE08A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وتُمثّل استراتيجية التعلّم المؤسّسي والتحسين المستمرّ استراتيجيةً محورية لاستدامة فعالية منظومة خفض الخسائر، تقوم على استخلاص الدروس المستفادة من الحوادث السابقة، وتطوير الممارسات بصورةٍ مستمرّة. ويُشير</w:t>
      </w:r>
      <w:r w:rsidRPr="0083094C">
        <w:rPr>
          <w:rFonts w:ascii="Simplified Arabic" w:hAnsi="Simplified Arabic" w:cs="Simplified Arabic"/>
          <w:color w:val="000000" w:themeColor="text1"/>
          <w:sz w:val="28"/>
          <w:szCs w:val="28"/>
        </w:rPr>
        <w:t xml:space="preserve"> (Bangash et al., 2025) </w:t>
      </w:r>
      <w:r w:rsidRPr="0083094C">
        <w:rPr>
          <w:rFonts w:ascii="Simplified Arabic" w:hAnsi="Simplified Arabic" w:cs="Simplified Arabic"/>
          <w:color w:val="000000" w:themeColor="text1"/>
          <w:sz w:val="28"/>
          <w:szCs w:val="28"/>
          <w:rtl/>
        </w:rPr>
        <w:t>إلى أنّ المؤسّسات الأكثر نجاحاً في خفض الخسائر هي تلك التي تمتلك منظومةً فاعلة للتعلّم من التجارب، تُحوّل كلّ حادثٍ إلى فرصةٍ لتطوير الممارسات. وتشمل هذه الاستراتيجية بناء قاعدة معرفة مؤسّسية حول الحوادث السابقة، وتحليلها بصورةٍ منهجية، وترجمة الدروس المستفادة إلى تحسيناتٍ في السياسات والإجراءات والأدوات</w:t>
      </w:r>
      <w:r w:rsidRPr="0083094C">
        <w:rPr>
          <w:rFonts w:ascii="Simplified Arabic" w:hAnsi="Simplified Arabic" w:cs="Simplified Arabic"/>
          <w:color w:val="000000" w:themeColor="text1"/>
          <w:sz w:val="28"/>
          <w:szCs w:val="28"/>
        </w:rPr>
        <w:t>.</w:t>
      </w:r>
    </w:p>
    <w:p w14:paraId="078E65D5"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lastRenderedPageBreak/>
        <w:t>وتُكمّل استراتيجية التكامل التكنولوجي منظومة الاستراتيجيات، إذ تستهدف توظيف التكنولوجيا الحديثة في تعزيز فعالية مختلف الاستراتيجيات الأخرى. ويُبيّن</w:t>
      </w:r>
      <w:r w:rsidRPr="0083094C">
        <w:rPr>
          <w:rFonts w:ascii="Simplified Arabic" w:hAnsi="Simplified Arabic" w:cs="Simplified Arabic"/>
          <w:color w:val="000000" w:themeColor="text1"/>
          <w:sz w:val="28"/>
          <w:szCs w:val="28"/>
        </w:rPr>
        <w:t xml:space="preserve"> (Sunki, 2025) </w:t>
      </w:r>
      <w:r w:rsidRPr="0083094C">
        <w:rPr>
          <w:rFonts w:ascii="Simplified Arabic" w:hAnsi="Simplified Arabic" w:cs="Simplified Arabic"/>
          <w:color w:val="000000" w:themeColor="text1"/>
          <w:sz w:val="28"/>
          <w:szCs w:val="28"/>
          <w:rtl/>
        </w:rPr>
        <w:t>أنّ الذكاء الاصطناعي والتعلّم الآلي يُمثّلان أداتين محوريّتين في خفض الخسائر المالية المعاصرة، عبر تعزيز قدرات الكشف والاستجابة والتنبّؤ. ويستلزم التطبيق الفاعل لهذه الاستراتيجية بناء بنيةٍ تحتية تقنية متطوّرة، وتأهيل كوادر بشرية قادرة على إدارة هذه التقنيات، وتطوير منظومةٍ متكاملة من السياسات الناظمة لاستخدامها</w:t>
      </w:r>
      <w:r w:rsidRPr="0083094C">
        <w:rPr>
          <w:rFonts w:ascii="Simplified Arabic" w:hAnsi="Simplified Arabic" w:cs="Simplified Arabic"/>
          <w:color w:val="000000" w:themeColor="text1"/>
          <w:sz w:val="28"/>
          <w:szCs w:val="28"/>
        </w:rPr>
        <w:t>.</w:t>
      </w:r>
    </w:p>
    <w:p w14:paraId="7CE53F38" w14:textId="77777777" w:rsidR="00ED623D" w:rsidRPr="0083094C" w:rsidRDefault="00ED623D" w:rsidP="00D661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3094C">
        <w:rPr>
          <w:rFonts w:ascii="Simplified Arabic" w:hAnsi="Simplified Arabic" w:cs="Simplified Arabic"/>
          <w:color w:val="000000" w:themeColor="text1"/>
          <w:sz w:val="28"/>
          <w:szCs w:val="28"/>
          <w:rtl/>
        </w:rPr>
        <w:t>وأخيراً، تبرز استراتيجية الحوكمة والمساءلة بوصفها استراتيجيةً جوهرية، تستهدف بناء منظومةٍ متكاملة من الأدوار والمسؤوليات في مجال إدارة المخاطر وخفض الخسائر. ويُؤكّد</w:t>
      </w:r>
      <w:r w:rsidRPr="0083094C">
        <w:rPr>
          <w:rFonts w:ascii="Simplified Arabic" w:hAnsi="Simplified Arabic" w:cs="Simplified Arabic"/>
          <w:color w:val="000000" w:themeColor="text1"/>
          <w:sz w:val="28"/>
          <w:szCs w:val="28"/>
        </w:rPr>
        <w:t xml:space="preserve"> (Aziz &amp; Andriansyah, 2023) </w:t>
      </w:r>
      <w:r w:rsidRPr="0083094C">
        <w:rPr>
          <w:rFonts w:ascii="Simplified Arabic" w:hAnsi="Simplified Arabic" w:cs="Simplified Arabic"/>
          <w:color w:val="000000" w:themeColor="text1"/>
          <w:sz w:val="28"/>
          <w:szCs w:val="28"/>
          <w:rtl/>
        </w:rPr>
        <w:t>على أنّ هذه الاستراتيجية تتضمّن تحديد المسؤوليات بوضوح، وبناء آلياتٍ فاعلة للمساءلة، وتطوير ثقافة مؤسّسية تُقدّر إدارة المخاطر وتعتبرها مسؤوليةً مشتركة بين مختلف العاملين في المؤسّسة. ويُسهم التطبيق الفاعل لهذه الاستراتيجية في ترسيخ منظومة خفض الخسائر بوصفها جزءاً عضوياً من ثقافة المؤسّسة وممارساتها اليومية، وليس مجرّد نشاطٍ منعزل تضطلع به وحدةٌ بعينها</w:t>
      </w:r>
      <w:r w:rsidRPr="0083094C">
        <w:rPr>
          <w:rFonts w:ascii="Simplified Arabic" w:hAnsi="Simplified Arabic" w:cs="Simplified Arabic"/>
          <w:color w:val="000000" w:themeColor="text1"/>
          <w:sz w:val="28"/>
          <w:szCs w:val="28"/>
        </w:rPr>
        <w:t>.</w:t>
      </w:r>
    </w:p>
    <w:p w14:paraId="026C5DC4" w14:textId="6536A9AB" w:rsidR="0083094C" w:rsidRPr="0083094C" w:rsidRDefault="00D661B6" w:rsidP="009F65F4">
      <w:pPr>
        <w:jc w:val="center"/>
        <w:outlineLvl w:val="0"/>
        <w:rPr>
          <w:rFonts w:ascii="Simplified Arabic" w:hAnsi="Simplified Arabic" w:cs="Simplified Arabic"/>
          <w:b/>
          <w:bCs/>
          <w:color w:val="000000" w:themeColor="text1"/>
          <w:szCs w:val="28"/>
          <w:rtl/>
        </w:rPr>
        <w:sectPr w:rsidR="0083094C" w:rsidRPr="0083094C" w:rsidSect="009A2C18">
          <w:footerReference w:type="default" r:id="rId9"/>
          <w:pgSz w:w="11906" w:h="16838" w:code="9"/>
          <w:pgMar w:top="1134" w:right="1701" w:bottom="1134" w:left="1134" w:header="720" w:footer="720" w:gutter="0"/>
          <w:pgNumType w:start="1"/>
          <w:cols w:space="708"/>
          <w:bidi/>
          <w:rtlGutter/>
          <w:docGrid w:linePitch="360"/>
        </w:sectPr>
      </w:pPr>
      <w:r w:rsidRPr="0083094C">
        <w:rPr>
          <w:rFonts w:ascii="Simplified Arabic" w:hAnsi="Simplified Arabic" w:cs="Simplified Arabic"/>
          <w:b/>
          <w:bCs/>
          <w:color w:val="000000" w:themeColor="text1"/>
          <w:sz w:val="40"/>
          <w:szCs w:val="40"/>
          <w:rtl/>
        </w:rPr>
        <w:br w:type="page"/>
      </w:r>
      <w:bookmarkEnd w:id="18"/>
    </w:p>
    <w:p w14:paraId="29D4231B" w14:textId="71AF7253" w:rsidR="0081623B" w:rsidRPr="0083094C" w:rsidRDefault="00E27D3B" w:rsidP="00D661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3094C">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D78B378">
            <wp:simplePos x="0" y="0"/>
            <wp:positionH relativeFrom="column">
              <wp:posOffset>4194810</wp:posOffset>
            </wp:positionH>
            <wp:positionV relativeFrom="paragraph">
              <wp:posOffset>0</wp:posOffset>
            </wp:positionV>
            <wp:extent cx="1445895" cy="1339215"/>
            <wp:effectExtent l="0" t="0" r="1905" b="0"/>
            <wp:wrapTight wrapText="bothSides">
              <wp:wrapPolygon edited="0">
                <wp:start x="0" y="0"/>
                <wp:lineTo x="0" y="21201"/>
                <wp:lineTo x="21344" y="21201"/>
                <wp:lineTo x="213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5895" cy="13392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3094C">
        <w:rPr>
          <w:rFonts w:asciiTheme="majorBidi" w:eastAsia="Calibri" w:hAnsiTheme="majorBidi" w:cstheme="majorBidi"/>
          <w:b/>
          <w:bCs/>
          <w:color w:val="000000" w:themeColor="text1"/>
          <w:kern w:val="0"/>
          <w:sz w:val="32"/>
          <w:szCs w:val="32"/>
          <w:lang w:bidi="ar-EG"/>
          <w14:ligatures w14:val="none"/>
        </w:rPr>
        <w:t>Mid</w:t>
      </w:r>
      <w:r w:rsidR="000D353F" w:rsidRPr="0083094C">
        <w:rPr>
          <w:rFonts w:asciiTheme="majorBidi" w:eastAsia="Calibri" w:hAnsiTheme="majorBidi" w:cstheme="majorBidi"/>
          <w:b/>
          <w:bCs/>
          <w:color w:val="000000" w:themeColor="text1"/>
          <w:kern w:val="0"/>
          <w:sz w:val="32"/>
          <w:szCs w:val="32"/>
          <w:lang w:bidi="ar-EG"/>
          <w14:ligatures w14:val="none"/>
        </w:rPr>
        <w:t xml:space="preserve"> </w:t>
      </w:r>
      <w:r w:rsidR="0081623B" w:rsidRPr="0083094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83094C" w:rsidRDefault="0081623B" w:rsidP="00D661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3094C">
        <w:rPr>
          <w:rFonts w:asciiTheme="majorBidi" w:eastAsia="Calibri" w:hAnsiTheme="majorBidi" w:cstheme="majorBidi"/>
          <w:b/>
          <w:bCs/>
          <w:color w:val="000000" w:themeColor="text1"/>
          <w:kern w:val="0"/>
          <w:sz w:val="32"/>
          <w:szCs w:val="32"/>
          <w:lang w:bidi="ar-EG"/>
          <w14:ligatures w14:val="none"/>
        </w:rPr>
        <w:t>College of Management</w:t>
      </w:r>
    </w:p>
    <w:p w14:paraId="5517DFDB" w14:textId="003FFC52" w:rsidR="004650B0" w:rsidRPr="0083094C" w:rsidRDefault="004650B0" w:rsidP="00D661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3094C">
        <w:rPr>
          <w:rFonts w:asciiTheme="majorBidi" w:eastAsia="Calibri" w:hAnsiTheme="majorBidi" w:cstheme="majorBidi"/>
          <w:b/>
          <w:bCs/>
          <w:color w:val="000000" w:themeColor="text1"/>
          <w:kern w:val="0"/>
          <w:sz w:val="32"/>
          <w:szCs w:val="32"/>
          <w:lang w:bidi="ar-EG"/>
          <w14:ligatures w14:val="none"/>
        </w:rPr>
        <w:t xml:space="preserve">Master of </w:t>
      </w:r>
      <w:r w:rsidR="00972660" w:rsidRPr="0083094C">
        <w:rPr>
          <w:rFonts w:asciiTheme="majorBidi" w:eastAsia="Calibri" w:hAnsiTheme="majorBidi" w:cstheme="majorBidi"/>
          <w:b/>
          <w:bCs/>
          <w:color w:val="000000" w:themeColor="text1"/>
          <w:kern w:val="0"/>
          <w:sz w:val="32"/>
          <w:szCs w:val="32"/>
          <w:lang w:bidi="ar-EG"/>
          <w14:ligatures w14:val="none"/>
        </w:rPr>
        <w:t>business</w:t>
      </w:r>
      <w:r w:rsidRPr="0083094C">
        <w:rPr>
          <w:rFonts w:asciiTheme="majorBidi" w:eastAsia="Calibri" w:hAnsiTheme="majorBidi" w:cstheme="majorBidi"/>
          <w:b/>
          <w:bCs/>
          <w:color w:val="000000" w:themeColor="text1"/>
          <w:kern w:val="0"/>
          <w:sz w:val="32"/>
          <w:szCs w:val="32"/>
          <w:lang w:bidi="ar-EG"/>
          <w14:ligatures w14:val="none"/>
        </w:rPr>
        <w:t xml:space="preserve"> Administration</w:t>
      </w:r>
    </w:p>
    <w:p w14:paraId="04411127" w14:textId="77777777" w:rsidR="00E27D3B" w:rsidRPr="0083094C" w:rsidRDefault="00E27D3B" w:rsidP="00D661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7761D0C6" w14:textId="77777777" w:rsidR="005B4106" w:rsidRPr="0083094C" w:rsidRDefault="005B4106" w:rsidP="008309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3094C">
        <w:rPr>
          <w:rFonts w:asciiTheme="majorBidi" w:eastAsia="Calibri" w:hAnsiTheme="majorBidi" w:cstheme="majorBidi"/>
          <w:b/>
          <w:bCs/>
          <w:color w:val="000000" w:themeColor="text1"/>
          <w:kern w:val="0"/>
          <w:sz w:val="40"/>
          <w:szCs w:val="40"/>
          <w:lang w:bidi="ar-EG"/>
          <w14:ligatures w14:val="none"/>
        </w:rPr>
        <w:t>The Impact of Implementing AI-Powered Compliance and Fraud Prevention Systems on Reducing Financial Losses: An Applied Study on Financial Institutions in the Kingdom of Saudi Arabia</w:t>
      </w:r>
    </w:p>
    <w:p w14:paraId="3FC5FD1A" w14:textId="77777777" w:rsidR="0083094C" w:rsidRPr="0083094C" w:rsidRDefault="0083094C" w:rsidP="008309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1C09550" w:rsidR="000D353F" w:rsidRPr="0083094C" w:rsidRDefault="000D353F" w:rsidP="008309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83094C">
        <w:rPr>
          <w:rFonts w:asciiTheme="majorBidi" w:eastAsia="Calibri" w:hAnsiTheme="majorBidi" w:cstheme="majorBidi"/>
          <w:b/>
          <w:bCs/>
          <w:color w:val="000000" w:themeColor="text1"/>
          <w:kern w:val="0"/>
          <w:sz w:val="36"/>
          <w:szCs w:val="36"/>
          <w:lang w:bidi="ar-EG"/>
          <w14:ligatures w14:val="none"/>
        </w:rPr>
        <w:t>Prepared by:</w:t>
      </w:r>
    </w:p>
    <w:p w14:paraId="2844B169" w14:textId="77777777" w:rsidR="00636ED1" w:rsidRPr="00636ED1" w:rsidRDefault="00636ED1" w:rsidP="00636ED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36ED1">
        <w:rPr>
          <w:rFonts w:asciiTheme="majorBidi" w:eastAsia="Calibri" w:hAnsiTheme="majorBidi" w:cstheme="majorBidi"/>
          <w:b/>
          <w:bCs/>
          <w:color w:val="000000" w:themeColor="text1"/>
          <w:kern w:val="0"/>
          <w:sz w:val="36"/>
          <w:szCs w:val="36"/>
          <w:lang w:bidi="ar-EG"/>
          <w14:ligatures w14:val="none"/>
        </w:rPr>
        <w:t>Sultan Ahmed ALAMOUDI</w:t>
      </w:r>
    </w:p>
    <w:p w14:paraId="42FD57EF" w14:textId="6E56CB7E" w:rsidR="0083094C" w:rsidRPr="0083094C" w:rsidRDefault="00636ED1" w:rsidP="00636ED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636ED1">
        <w:rPr>
          <w:rFonts w:asciiTheme="majorBidi" w:eastAsia="Calibri" w:hAnsiTheme="majorBidi" w:cstheme="majorBidi"/>
          <w:b/>
          <w:bCs/>
          <w:color w:val="000000" w:themeColor="text1"/>
          <w:kern w:val="0"/>
          <w:sz w:val="36"/>
          <w:szCs w:val="36"/>
          <w:lang w:bidi="ar-EG"/>
          <w14:ligatures w14:val="none"/>
        </w:rPr>
        <w:t>253001289</w:t>
      </w:r>
    </w:p>
    <w:p w14:paraId="04FACE05" w14:textId="77777777" w:rsidR="0083094C" w:rsidRPr="0083094C" w:rsidRDefault="0083094C" w:rsidP="008309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3094C" w:rsidRPr="0083094C" w14:paraId="24231A22" w14:textId="77777777" w:rsidTr="009F7D94">
        <w:tc>
          <w:tcPr>
            <w:tcW w:w="4530" w:type="dxa"/>
          </w:tcPr>
          <w:p w14:paraId="3F70E539" w14:textId="77777777" w:rsidR="0083094C" w:rsidRPr="0083094C" w:rsidRDefault="0083094C" w:rsidP="009F7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094C">
              <w:rPr>
                <w:rFonts w:asciiTheme="majorBidi" w:eastAsia="Calibri" w:hAnsiTheme="majorBidi" w:cstheme="majorBidi"/>
                <w:b/>
                <w:bCs/>
                <w:color w:val="000000" w:themeColor="text1"/>
                <w:kern w:val="0"/>
                <w:sz w:val="36"/>
                <w:szCs w:val="36"/>
                <w:lang w:bidi="ar-EG"/>
                <w14:ligatures w14:val="none"/>
              </w:rPr>
              <w:t>Main supervisor</w:t>
            </w:r>
            <w:r w:rsidRPr="0083094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916A0C8" w14:textId="77777777" w:rsidR="0083094C" w:rsidRPr="0083094C" w:rsidRDefault="0083094C" w:rsidP="009F7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094C">
              <w:rPr>
                <w:rFonts w:asciiTheme="majorBidi" w:eastAsia="Calibri" w:hAnsiTheme="majorBidi" w:cstheme="majorBidi"/>
                <w:b/>
                <w:bCs/>
                <w:color w:val="000000" w:themeColor="text1"/>
                <w:kern w:val="0"/>
                <w:sz w:val="36"/>
                <w:szCs w:val="36"/>
                <w:lang w:bidi="ar-EG"/>
                <w14:ligatures w14:val="none"/>
              </w:rPr>
              <w:t>Second supervisor</w:t>
            </w:r>
            <w:r w:rsidRPr="0083094C">
              <w:rPr>
                <w:rFonts w:asciiTheme="majorBidi" w:eastAsia="Calibri" w:hAnsiTheme="majorBidi" w:cstheme="majorBidi"/>
                <w:b/>
                <w:bCs/>
                <w:color w:val="000000" w:themeColor="text1"/>
                <w:kern w:val="0"/>
                <w:sz w:val="36"/>
                <w:szCs w:val="36"/>
                <w:rtl/>
                <w:lang w:bidi="ar-EG"/>
                <w14:ligatures w14:val="none"/>
              </w:rPr>
              <w:t>/</w:t>
            </w:r>
          </w:p>
        </w:tc>
      </w:tr>
      <w:tr w:rsidR="0083094C" w:rsidRPr="0083094C" w14:paraId="7BADEB7E" w14:textId="77777777" w:rsidTr="009F7D94">
        <w:tc>
          <w:tcPr>
            <w:tcW w:w="4530" w:type="dxa"/>
          </w:tcPr>
          <w:p w14:paraId="71AE5F64" w14:textId="77777777" w:rsidR="0083094C" w:rsidRPr="0083094C" w:rsidRDefault="0083094C" w:rsidP="009F7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094C">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98E85C0" w14:textId="77777777" w:rsidR="0083094C" w:rsidRPr="0083094C" w:rsidRDefault="0083094C" w:rsidP="009F7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3094C">
              <w:rPr>
                <w:rFonts w:asciiTheme="majorBidi" w:eastAsia="Calibri" w:hAnsiTheme="majorBidi" w:cstheme="majorBidi"/>
                <w:color w:val="000000" w:themeColor="text1"/>
                <w:kern w:val="0"/>
                <w:sz w:val="36"/>
                <w:szCs w:val="36"/>
                <w:lang w:bidi="ar-EG"/>
                <w14:ligatures w14:val="none"/>
              </w:rPr>
              <w:t>Dr. Fayez Jarad</w:t>
            </w:r>
          </w:p>
        </w:tc>
      </w:tr>
    </w:tbl>
    <w:p w14:paraId="5A302B52" w14:textId="77777777" w:rsidR="0083094C" w:rsidRPr="0083094C" w:rsidRDefault="0083094C" w:rsidP="0083094C">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3094C">
        <w:rPr>
          <w:rFonts w:asciiTheme="majorBidi" w:eastAsia="Calibri" w:hAnsiTheme="majorBidi" w:cstheme="majorBidi"/>
          <w:color w:val="000000" w:themeColor="text1"/>
          <w:kern w:val="0"/>
          <w:sz w:val="36"/>
          <w:szCs w:val="36"/>
          <w:rtl/>
          <w:lang w:bidi="ar-EG"/>
          <w14:ligatures w14:val="none"/>
        </w:rPr>
        <w:t>1448 – 2026</w:t>
      </w:r>
    </w:p>
    <w:p w14:paraId="0C234092" w14:textId="77777777" w:rsidR="0083094C" w:rsidRPr="0083094C" w:rsidRDefault="0083094C" w:rsidP="0083094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0CC961DA" w14:textId="77777777" w:rsidR="008840FB" w:rsidRPr="0083094C" w:rsidRDefault="008840FB" w:rsidP="00D661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5B9230B" w14:textId="77777777" w:rsidR="005B4106" w:rsidRPr="0083094C" w:rsidRDefault="005B4106" w:rsidP="00D661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3AAC76B" w:rsidR="009125CE" w:rsidRPr="0083094C" w:rsidRDefault="009125CE" w:rsidP="00D661B6">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83094C" w:rsidSect="009A2C18">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6D367" w14:textId="77777777" w:rsidR="00645C26" w:rsidRDefault="00645C26" w:rsidP="009125CE">
      <w:pPr>
        <w:spacing w:after="0" w:line="240" w:lineRule="auto"/>
      </w:pPr>
      <w:r>
        <w:separator/>
      </w:r>
    </w:p>
  </w:endnote>
  <w:endnote w:type="continuationSeparator" w:id="0">
    <w:p w14:paraId="65396301" w14:textId="77777777" w:rsidR="00645C26" w:rsidRDefault="00645C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165128793"/>
      <w:docPartObj>
        <w:docPartGallery w:val="Page Numbers (Bottom of Page)"/>
        <w:docPartUnique/>
      </w:docPartObj>
    </w:sdtPr>
    <w:sdtEndPr>
      <w:rPr>
        <w:noProof/>
      </w:rPr>
    </w:sdtEndPr>
    <w:sdtContent>
      <w:p w14:paraId="41B3A8F0" w14:textId="77777777" w:rsidR="009F7D94" w:rsidRPr="009A2C18" w:rsidRDefault="009F7D94" w:rsidP="009A2C18">
        <w:pPr>
          <w:pStyle w:val="a4"/>
          <w:tabs>
            <w:tab w:val="left" w:pos="4019"/>
            <w:tab w:val="center" w:pos="4535"/>
          </w:tabs>
          <w:rPr>
            <w:rFonts w:ascii="Simplified Arabic" w:hAnsi="Simplified Arabic" w:cs="Simplified Arabic"/>
            <w:b/>
            <w:bCs/>
            <w:sz w:val="24"/>
            <w:szCs w:val="24"/>
          </w:rPr>
        </w:pPr>
        <w:r w:rsidRPr="009A2C18">
          <w:rPr>
            <w:rFonts w:ascii="Simplified Arabic" w:hAnsi="Simplified Arabic" w:cs="Simplified Arabic"/>
            <w:b/>
            <w:bCs/>
            <w:sz w:val="24"/>
            <w:szCs w:val="24"/>
            <w:rtl/>
          </w:rPr>
          <w:tab/>
        </w:r>
        <w:r w:rsidRPr="009A2C18">
          <w:rPr>
            <w:rFonts w:ascii="Simplified Arabic" w:hAnsi="Simplified Arabic" w:cs="Simplified Arabic"/>
            <w:b/>
            <w:bCs/>
            <w:sz w:val="24"/>
            <w:szCs w:val="24"/>
            <w:rtl/>
          </w:rPr>
          <w:tab/>
        </w:r>
        <w:r w:rsidRPr="009A2C18">
          <w:rPr>
            <w:rFonts w:ascii="Simplified Arabic" w:hAnsi="Simplified Arabic" w:cs="Simplified Arabic"/>
            <w:b/>
            <w:bCs/>
            <w:sz w:val="24"/>
            <w:szCs w:val="24"/>
            <w:rtl/>
          </w:rPr>
          <w:tab/>
        </w:r>
        <w:r w:rsidRPr="009A2C18">
          <w:rPr>
            <w:rFonts w:ascii="Simplified Arabic" w:hAnsi="Simplified Arabic" w:cs="Simplified Arabic"/>
            <w:b/>
            <w:bCs/>
            <w:sz w:val="24"/>
            <w:szCs w:val="24"/>
          </w:rPr>
          <w:fldChar w:fldCharType="begin"/>
        </w:r>
        <w:r w:rsidRPr="009A2C18">
          <w:rPr>
            <w:rFonts w:ascii="Simplified Arabic" w:hAnsi="Simplified Arabic" w:cs="Simplified Arabic"/>
            <w:b/>
            <w:bCs/>
            <w:sz w:val="24"/>
            <w:szCs w:val="24"/>
          </w:rPr>
          <w:instrText xml:space="preserve"> PAGE   \* MERGEFORMAT </w:instrText>
        </w:r>
        <w:r w:rsidRPr="009A2C18">
          <w:rPr>
            <w:rFonts w:ascii="Simplified Arabic" w:hAnsi="Simplified Arabic" w:cs="Simplified Arabic"/>
            <w:b/>
            <w:bCs/>
            <w:sz w:val="24"/>
            <w:szCs w:val="24"/>
          </w:rPr>
          <w:fldChar w:fldCharType="separate"/>
        </w:r>
        <w:r w:rsidR="009F65F4">
          <w:rPr>
            <w:rFonts w:ascii="Simplified Arabic" w:hAnsi="Simplified Arabic" w:cs="Simplified Arabic"/>
            <w:b/>
            <w:bCs/>
            <w:noProof/>
            <w:sz w:val="24"/>
            <w:szCs w:val="24"/>
            <w:rtl/>
          </w:rPr>
          <w:t>43</w:t>
        </w:r>
        <w:r w:rsidRPr="009A2C18">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889252471"/>
      <w:docPartObj>
        <w:docPartGallery w:val="Page Numbers (Bottom of Page)"/>
        <w:docPartUnique/>
      </w:docPartObj>
    </w:sdtPr>
    <w:sdtEndPr>
      <w:rPr>
        <w:noProof/>
      </w:rPr>
    </w:sdtEndPr>
    <w:sdtContent>
      <w:p w14:paraId="0DDB807E" w14:textId="38DD2150" w:rsidR="009F7D94" w:rsidRPr="009A2C18" w:rsidRDefault="009F7D94" w:rsidP="0083094C">
        <w:pPr>
          <w:pStyle w:val="a4"/>
          <w:tabs>
            <w:tab w:val="left" w:pos="4019"/>
            <w:tab w:val="center" w:pos="4535"/>
          </w:tabs>
          <w:rPr>
            <w:rFonts w:ascii="Simplified Arabic" w:hAnsi="Simplified Arabic" w:cs="Simplified Arabic"/>
            <w:b/>
            <w:bCs/>
            <w:sz w:val="24"/>
            <w:szCs w:val="24"/>
          </w:rPr>
        </w:pPr>
        <w:r w:rsidRPr="009A2C18">
          <w:rPr>
            <w:rFonts w:ascii="Simplified Arabic" w:hAnsi="Simplified Arabic" w:cs="Simplified Arabic"/>
            <w:b/>
            <w:bCs/>
            <w:sz w:val="24"/>
            <w:szCs w:val="24"/>
            <w:rtl/>
          </w:rPr>
          <w:tab/>
        </w:r>
        <w:r w:rsidRPr="009A2C18">
          <w:rPr>
            <w:rFonts w:ascii="Simplified Arabic" w:hAnsi="Simplified Arabic" w:cs="Simplified Arabic"/>
            <w:b/>
            <w:bCs/>
            <w:sz w:val="24"/>
            <w:szCs w:val="24"/>
            <w:rtl/>
          </w:rPr>
          <w:tab/>
        </w:r>
        <w:r w:rsidRPr="009A2C18">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F14CA" w14:textId="77777777" w:rsidR="00645C26" w:rsidRDefault="00645C26" w:rsidP="009125CE">
      <w:pPr>
        <w:spacing w:after="0" w:line="240" w:lineRule="auto"/>
      </w:pPr>
      <w:r>
        <w:separator/>
      </w:r>
    </w:p>
  </w:footnote>
  <w:footnote w:type="continuationSeparator" w:id="0">
    <w:p w14:paraId="12EE008F" w14:textId="77777777" w:rsidR="00645C26" w:rsidRDefault="00645C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85110"/>
    <w:multiLevelType w:val="hybridMultilevel"/>
    <w:tmpl w:val="1756B9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83404D"/>
    <w:multiLevelType w:val="hybridMultilevel"/>
    <w:tmpl w:val="2C7CE8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945867"/>
    <w:multiLevelType w:val="hybridMultilevel"/>
    <w:tmpl w:val="588E90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C165A2E"/>
    <w:multiLevelType w:val="hybridMultilevel"/>
    <w:tmpl w:val="AD482C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C712C63"/>
    <w:multiLevelType w:val="hybridMultilevel"/>
    <w:tmpl w:val="20163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F6474A"/>
    <w:multiLevelType w:val="hybridMultilevel"/>
    <w:tmpl w:val="37C62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57355B"/>
    <w:multiLevelType w:val="hybridMultilevel"/>
    <w:tmpl w:val="84DEB1C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9034C2"/>
    <w:multiLevelType w:val="hybridMultilevel"/>
    <w:tmpl w:val="65C6E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8261626"/>
    <w:multiLevelType w:val="hybridMultilevel"/>
    <w:tmpl w:val="00F65B3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5C7B73"/>
    <w:multiLevelType w:val="hybridMultilevel"/>
    <w:tmpl w:val="843C8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27145448">
    <w:abstractNumId w:val="7"/>
  </w:num>
  <w:num w:numId="2" w16cid:durableId="734351639">
    <w:abstractNumId w:val="9"/>
  </w:num>
  <w:num w:numId="3" w16cid:durableId="1704285293">
    <w:abstractNumId w:val="4"/>
  </w:num>
  <w:num w:numId="4" w16cid:durableId="136149938">
    <w:abstractNumId w:val="1"/>
  </w:num>
  <w:num w:numId="5" w16cid:durableId="818812102">
    <w:abstractNumId w:val="3"/>
  </w:num>
  <w:num w:numId="6" w16cid:durableId="1263338693">
    <w:abstractNumId w:val="8"/>
  </w:num>
  <w:num w:numId="7" w16cid:durableId="352268558">
    <w:abstractNumId w:val="6"/>
  </w:num>
  <w:num w:numId="8" w16cid:durableId="266548658">
    <w:abstractNumId w:val="0"/>
  </w:num>
  <w:num w:numId="9" w16cid:durableId="1108353893">
    <w:abstractNumId w:val="2"/>
  </w:num>
  <w:num w:numId="10" w16cid:durableId="640961438">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62F4"/>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2C0A"/>
    <w:rsid w:val="0021718D"/>
    <w:rsid w:val="00217ADA"/>
    <w:rsid w:val="00223AE0"/>
    <w:rsid w:val="002304C2"/>
    <w:rsid w:val="00234450"/>
    <w:rsid w:val="00250D99"/>
    <w:rsid w:val="00251BCA"/>
    <w:rsid w:val="00256363"/>
    <w:rsid w:val="00260558"/>
    <w:rsid w:val="0026283D"/>
    <w:rsid w:val="00262F77"/>
    <w:rsid w:val="00270FB5"/>
    <w:rsid w:val="00271729"/>
    <w:rsid w:val="00274BDE"/>
    <w:rsid w:val="002766BC"/>
    <w:rsid w:val="00280068"/>
    <w:rsid w:val="002828EF"/>
    <w:rsid w:val="00286958"/>
    <w:rsid w:val="0029680E"/>
    <w:rsid w:val="002A2AA3"/>
    <w:rsid w:val="002A32D6"/>
    <w:rsid w:val="002A365A"/>
    <w:rsid w:val="002A76B5"/>
    <w:rsid w:val="002B1274"/>
    <w:rsid w:val="002B4B8D"/>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4E81"/>
    <w:rsid w:val="003B51C3"/>
    <w:rsid w:val="003C2495"/>
    <w:rsid w:val="003D5D45"/>
    <w:rsid w:val="003D6376"/>
    <w:rsid w:val="003D7804"/>
    <w:rsid w:val="003E29FB"/>
    <w:rsid w:val="003E3EBB"/>
    <w:rsid w:val="003E7CB6"/>
    <w:rsid w:val="00400B58"/>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2AEB"/>
    <w:rsid w:val="00464637"/>
    <w:rsid w:val="00464AF1"/>
    <w:rsid w:val="004650B0"/>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3B3A"/>
    <w:rsid w:val="005146DA"/>
    <w:rsid w:val="0051585E"/>
    <w:rsid w:val="00522010"/>
    <w:rsid w:val="0052581D"/>
    <w:rsid w:val="00532E03"/>
    <w:rsid w:val="00542027"/>
    <w:rsid w:val="005423FA"/>
    <w:rsid w:val="00544E3F"/>
    <w:rsid w:val="00545455"/>
    <w:rsid w:val="005459E0"/>
    <w:rsid w:val="00545E45"/>
    <w:rsid w:val="00550EC8"/>
    <w:rsid w:val="005527F0"/>
    <w:rsid w:val="00557A05"/>
    <w:rsid w:val="00557B85"/>
    <w:rsid w:val="0058591B"/>
    <w:rsid w:val="00586EC7"/>
    <w:rsid w:val="00586F13"/>
    <w:rsid w:val="00590B27"/>
    <w:rsid w:val="00597F74"/>
    <w:rsid w:val="005A4FB6"/>
    <w:rsid w:val="005A755A"/>
    <w:rsid w:val="005B112C"/>
    <w:rsid w:val="005B2F92"/>
    <w:rsid w:val="005B4106"/>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36ED1"/>
    <w:rsid w:val="00642229"/>
    <w:rsid w:val="006450DB"/>
    <w:rsid w:val="00645C26"/>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3D7"/>
    <w:rsid w:val="006D0A16"/>
    <w:rsid w:val="006D4C88"/>
    <w:rsid w:val="006E4126"/>
    <w:rsid w:val="006E41F3"/>
    <w:rsid w:val="006E65A3"/>
    <w:rsid w:val="006E71B9"/>
    <w:rsid w:val="006F162C"/>
    <w:rsid w:val="006F29F1"/>
    <w:rsid w:val="0070333D"/>
    <w:rsid w:val="00705AF7"/>
    <w:rsid w:val="00706E7F"/>
    <w:rsid w:val="00711E0E"/>
    <w:rsid w:val="0071504C"/>
    <w:rsid w:val="007178EE"/>
    <w:rsid w:val="007301E5"/>
    <w:rsid w:val="00731DC0"/>
    <w:rsid w:val="00741B9A"/>
    <w:rsid w:val="00746C85"/>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93FE7"/>
    <w:rsid w:val="007A4E66"/>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0BC"/>
    <w:rsid w:val="00830114"/>
    <w:rsid w:val="0083081C"/>
    <w:rsid w:val="0083094C"/>
    <w:rsid w:val="00831F14"/>
    <w:rsid w:val="00832666"/>
    <w:rsid w:val="008332E4"/>
    <w:rsid w:val="0083482F"/>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40FB"/>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2660"/>
    <w:rsid w:val="0097383F"/>
    <w:rsid w:val="009760DA"/>
    <w:rsid w:val="00976DC2"/>
    <w:rsid w:val="00980234"/>
    <w:rsid w:val="00985B71"/>
    <w:rsid w:val="0098768E"/>
    <w:rsid w:val="00994120"/>
    <w:rsid w:val="009A2C18"/>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09AE"/>
    <w:rsid w:val="009E1436"/>
    <w:rsid w:val="009E31A0"/>
    <w:rsid w:val="009E5668"/>
    <w:rsid w:val="009F47B9"/>
    <w:rsid w:val="009F65F4"/>
    <w:rsid w:val="009F7996"/>
    <w:rsid w:val="009F7D94"/>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1F51"/>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452"/>
    <w:rsid w:val="00C23616"/>
    <w:rsid w:val="00C23A70"/>
    <w:rsid w:val="00C25EDE"/>
    <w:rsid w:val="00C32E49"/>
    <w:rsid w:val="00C35B07"/>
    <w:rsid w:val="00C35BBA"/>
    <w:rsid w:val="00C43D61"/>
    <w:rsid w:val="00C45767"/>
    <w:rsid w:val="00C46354"/>
    <w:rsid w:val="00C605A0"/>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B723B"/>
    <w:rsid w:val="00CC4484"/>
    <w:rsid w:val="00CC6261"/>
    <w:rsid w:val="00CC6705"/>
    <w:rsid w:val="00CC7877"/>
    <w:rsid w:val="00CD105C"/>
    <w:rsid w:val="00CE2A85"/>
    <w:rsid w:val="00CF1F0B"/>
    <w:rsid w:val="00CF4901"/>
    <w:rsid w:val="00CF552E"/>
    <w:rsid w:val="00CF6CEC"/>
    <w:rsid w:val="00CF70A6"/>
    <w:rsid w:val="00D043D4"/>
    <w:rsid w:val="00D1053F"/>
    <w:rsid w:val="00D10F38"/>
    <w:rsid w:val="00D1454F"/>
    <w:rsid w:val="00D216C5"/>
    <w:rsid w:val="00D22171"/>
    <w:rsid w:val="00D274B5"/>
    <w:rsid w:val="00D27AED"/>
    <w:rsid w:val="00D30845"/>
    <w:rsid w:val="00D3210F"/>
    <w:rsid w:val="00D32470"/>
    <w:rsid w:val="00D417B5"/>
    <w:rsid w:val="00D4565B"/>
    <w:rsid w:val="00D51555"/>
    <w:rsid w:val="00D5653F"/>
    <w:rsid w:val="00D57D04"/>
    <w:rsid w:val="00D60743"/>
    <w:rsid w:val="00D64210"/>
    <w:rsid w:val="00D661B6"/>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0209"/>
    <w:rsid w:val="00E71C79"/>
    <w:rsid w:val="00E7565E"/>
    <w:rsid w:val="00E76742"/>
    <w:rsid w:val="00E76A3D"/>
    <w:rsid w:val="00E76DB1"/>
    <w:rsid w:val="00E802F2"/>
    <w:rsid w:val="00E82DAD"/>
    <w:rsid w:val="00E86613"/>
    <w:rsid w:val="00E97126"/>
    <w:rsid w:val="00EA15E2"/>
    <w:rsid w:val="00EA258E"/>
    <w:rsid w:val="00EA6B5D"/>
    <w:rsid w:val="00EA6CD1"/>
    <w:rsid w:val="00EB46EF"/>
    <w:rsid w:val="00EB60A5"/>
    <w:rsid w:val="00EC10F6"/>
    <w:rsid w:val="00EC5DCF"/>
    <w:rsid w:val="00ED1918"/>
    <w:rsid w:val="00ED24E8"/>
    <w:rsid w:val="00ED2B59"/>
    <w:rsid w:val="00ED2F10"/>
    <w:rsid w:val="00ED5DB0"/>
    <w:rsid w:val="00ED623D"/>
    <w:rsid w:val="00EE0BB8"/>
    <w:rsid w:val="00EE0BD0"/>
    <w:rsid w:val="00EE7B86"/>
    <w:rsid w:val="00EF118F"/>
    <w:rsid w:val="00EF1B00"/>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42A4"/>
    <w:rsid w:val="00F642E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 w:val="00FF4F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D661B6"/>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32"/>
      <w:szCs w:val="32"/>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D661B6"/>
    <w:rPr>
      <w:rFonts w:ascii="Simplified Arabic" w:eastAsia="Times New Roman" w:hAnsi="Simplified Arabic" w:cs="Simplified Arabic"/>
      <w:b/>
      <w:bCs/>
      <w:kern w:val="0"/>
      <w:sz w:val="32"/>
      <w:szCs w:val="32"/>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table" w:styleId="4-4">
    <w:name w:val="Grid Table 4 Accent 4"/>
    <w:basedOn w:val="a1"/>
    <w:uiPriority w:val="49"/>
    <w:rsid w:val="003B4E8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83094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6">
    <w:name w:val="Grid Table 6 Colorful Accent 6"/>
    <w:basedOn w:val="a1"/>
    <w:uiPriority w:val="51"/>
    <w:rsid w:val="0083094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848551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7727446">
      <w:bodyDiv w:val="1"/>
      <w:marLeft w:val="0"/>
      <w:marRight w:val="0"/>
      <w:marTop w:val="0"/>
      <w:marBottom w:val="0"/>
      <w:divBdr>
        <w:top w:val="none" w:sz="0" w:space="0" w:color="auto"/>
        <w:left w:val="none" w:sz="0" w:space="0" w:color="auto"/>
        <w:bottom w:val="none" w:sz="0" w:space="0" w:color="auto"/>
        <w:right w:val="none" w:sz="0" w:space="0" w:color="auto"/>
      </w:divBdr>
    </w:div>
    <w:div w:id="67964154">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47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364117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2915726">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75117515">
      <w:bodyDiv w:val="1"/>
      <w:marLeft w:val="0"/>
      <w:marRight w:val="0"/>
      <w:marTop w:val="0"/>
      <w:marBottom w:val="0"/>
      <w:divBdr>
        <w:top w:val="none" w:sz="0" w:space="0" w:color="auto"/>
        <w:left w:val="none" w:sz="0" w:space="0" w:color="auto"/>
        <w:bottom w:val="none" w:sz="0" w:space="0" w:color="auto"/>
        <w:right w:val="none" w:sz="0" w:space="0" w:color="auto"/>
      </w:divBdr>
    </w:div>
    <w:div w:id="185141594">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5764489">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202465">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5079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5100924">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7647324">
      <w:bodyDiv w:val="1"/>
      <w:marLeft w:val="0"/>
      <w:marRight w:val="0"/>
      <w:marTop w:val="0"/>
      <w:marBottom w:val="0"/>
      <w:divBdr>
        <w:top w:val="none" w:sz="0" w:space="0" w:color="auto"/>
        <w:left w:val="none" w:sz="0" w:space="0" w:color="auto"/>
        <w:bottom w:val="none" w:sz="0" w:space="0" w:color="auto"/>
        <w:right w:val="none" w:sz="0" w:space="0" w:color="auto"/>
      </w:divBdr>
      <w:divsChild>
        <w:div w:id="356388976">
          <w:marLeft w:val="0"/>
          <w:marRight w:val="0"/>
          <w:marTop w:val="0"/>
          <w:marBottom w:val="0"/>
          <w:divBdr>
            <w:top w:val="none" w:sz="0" w:space="0" w:color="auto"/>
            <w:left w:val="none" w:sz="0" w:space="0" w:color="auto"/>
            <w:bottom w:val="none" w:sz="0" w:space="0" w:color="auto"/>
            <w:right w:val="none" w:sz="0" w:space="0" w:color="auto"/>
          </w:divBdr>
        </w:div>
      </w:divsChild>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8665133">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031577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5483353">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59573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2054062">
      <w:bodyDiv w:val="1"/>
      <w:marLeft w:val="0"/>
      <w:marRight w:val="0"/>
      <w:marTop w:val="0"/>
      <w:marBottom w:val="0"/>
      <w:divBdr>
        <w:top w:val="none" w:sz="0" w:space="0" w:color="auto"/>
        <w:left w:val="none" w:sz="0" w:space="0" w:color="auto"/>
        <w:bottom w:val="none" w:sz="0" w:space="0" w:color="auto"/>
        <w:right w:val="none" w:sz="0" w:space="0" w:color="auto"/>
      </w:divBdr>
    </w:div>
    <w:div w:id="129533181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614810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5949141">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044360">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3500295">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8609963">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265860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723998">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01F234-0D96-4096-B1E7-D3EA711FF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12709</Words>
  <Characters>72447</Characters>
  <Application>Microsoft Office Word</Application>
  <DocSecurity>0</DocSecurity>
  <Lines>603</Lines>
  <Paragraphs>169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2026-07-01T08:56:00Z</cp:lastPrinted>
  <dcterms:created xsi:type="dcterms:W3CDTF">2026-07-01T08:55:00Z</dcterms:created>
  <dcterms:modified xsi:type="dcterms:W3CDTF">2026-07-16T21:23:00Z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