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AC56842" w:rsidR="009125CE" w:rsidRPr="00063135" w:rsidRDefault="005E5CFA" w:rsidP="00BE0CA7">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063135">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C5829DA">
            <wp:simplePos x="0" y="0"/>
            <wp:positionH relativeFrom="margin">
              <wp:posOffset>323850</wp:posOffset>
            </wp:positionH>
            <wp:positionV relativeFrom="margin">
              <wp:posOffset>-102870</wp:posOffset>
            </wp:positionV>
            <wp:extent cx="1548765" cy="1437343"/>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8765" cy="1437343"/>
                    </a:xfrm>
                    <a:prstGeom prst="rect">
                      <a:avLst/>
                    </a:prstGeom>
                  </pic:spPr>
                </pic:pic>
              </a:graphicData>
            </a:graphic>
            <wp14:sizeRelH relativeFrom="margin">
              <wp14:pctWidth>0</wp14:pctWidth>
            </wp14:sizeRelH>
            <wp14:sizeRelV relativeFrom="margin">
              <wp14:pctHeight>0</wp14:pctHeight>
            </wp14:sizeRelV>
          </wp:anchor>
        </w:drawing>
      </w:r>
      <w:r w:rsidR="009125CE" w:rsidRPr="00063135">
        <w:rPr>
          <w:rFonts w:ascii="Simplified Arabic" w:hAnsi="Simplified Arabic" w:cs="Simplified Arabic"/>
          <w:b/>
          <w:bCs/>
          <w:color w:val="000000" w:themeColor="text1"/>
          <w:sz w:val="32"/>
          <w:szCs w:val="32"/>
          <w:rtl/>
          <w:lang w:bidi="ar-EG"/>
        </w:rPr>
        <w:t xml:space="preserve">جامعة ميدأوشن </w:t>
      </w:r>
    </w:p>
    <w:p w14:paraId="1E957002" w14:textId="1AB5C7F9" w:rsidR="00F546CE" w:rsidRPr="00063135" w:rsidRDefault="009125CE" w:rsidP="00BE0CA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63135">
        <w:rPr>
          <w:rFonts w:ascii="Simplified Arabic" w:hAnsi="Simplified Arabic" w:cs="Simplified Arabic"/>
          <w:b/>
          <w:bCs/>
          <w:color w:val="000000" w:themeColor="text1"/>
          <w:sz w:val="32"/>
          <w:szCs w:val="32"/>
          <w:lang w:bidi="ar-EG"/>
        </w:rPr>
        <w:t xml:space="preserve"> </w:t>
      </w:r>
      <w:r w:rsidRPr="00063135">
        <w:rPr>
          <w:rFonts w:ascii="Simplified Arabic" w:hAnsi="Simplified Arabic" w:cs="Simplified Arabic"/>
          <w:b/>
          <w:bCs/>
          <w:color w:val="000000" w:themeColor="text1"/>
          <w:sz w:val="32"/>
          <w:szCs w:val="32"/>
          <w:rtl/>
          <w:lang w:bidi="ar-EG"/>
        </w:rPr>
        <w:t xml:space="preserve">كلية </w:t>
      </w:r>
      <w:r w:rsidR="008C42C1" w:rsidRPr="00063135">
        <w:rPr>
          <w:rFonts w:ascii="Simplified Arabic" w:hAnsi="Simplified Arabic" w:cs="Simplified Arabic"/>
          <w:b/>
          <w:bCs/>
          <w:color w:val="000000" w:themeColor="text1"/>
          <w:sz w:val="32"/>
          <w:szCs w:val="32"/>
          <w:rtl/>
          <w:lang w:bidi="ar-EG"/>
        </w:rPr>
        <w:t>الإدارة</w:t>
      </w:r>
      <w:r w:rsidRPr="00063135">
        <w:rPr>
          <w:rFonts w:ascii="Simplified Arabic" w:hAnsi="Simplified Arabic" w:cs="Simplified Arabic"/>
          <w:b/>
          <w:bCs/>
          <w:color w:val="000000" w:themeColor="text1"/>
          <w:sz w:val="32"/>
          <w:szCs w:val="32"/>
          <w:rtl/>
          <w:lang w:bidi="ar-EG"/>
        </w:rPr>
        <w:t xml:space="preserve"> </w:t>
      </w:r>
    </w:p>
    <w:p w14:paraId="0217C513" w14:textId="45628B73" w:rsidR="009125CE" w:rsidRPr="00063135" w:rsidRDefault="009125CE" w:rsidP="00BE0CA7">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063135">
        <w:rPr>
          <w:rFonts w:ascii="Simplified Arabic" w:hAnsi="Simplified Arabic" w:cs="Simplified Arabic"/>
          <w:b/>
          <w:bCs/>
          <w:color w:val="000000" w:themeColor="text1"/>
          <w:sz w:val="32"/>
          <w:szCs w:val="32"/>
          <w:rtl/>
          <w:lang w:bidi="ar-EG"/>
        </w:rPr>
        <w:t>تخصص</w:t>
      </w:r>
      <w:r w:rsidR="00B15A9E" w:rsidRPr="00063135">
        <w:rPr>
          <w:rFonts w:ascii="Simplified Arabic" w:hAnsi="Simplified Arabic" w:cs="Simplified Arabic"/>
          <w:b/>
          <w:bCs/>
          <w:color w:val="000000" w:themeColor="text1"/>
          <w:sz w:val="32"/>
          <w:szCs w:val="32"/>
          <w:rtl/>
          <w:lang w:bidi="ar-EG"/>
        </w:rPr>
        <w:t xml:space="preserve"> </w:t>
      </w:r>
      <w:r w:rsidR="006111E3" w:rsidRPr="00063135">
        <w:rPr>
          <w:rFonts w:ascii="Simplified Arabic" w:hAnsi="Simplified Arabic" w:cs="Simplified Arabic"/>
          <w:b/>
          <w:bCs/>
          <w:color w:val="000000" w:themeColor="text1"/>
          <w:sz w:val="32"/>
          <w:szCs w:val="32"/>
          <w:rtl/>
          <w:lang w:bidi="ar-EG"/>
        </w:rPr>
        <w:t xml:space="preserve"> </w:t>
      </w:r>
      <w:r w:rsidR="00FC6D22" w:rsidRPr="00063135">
        <w:rPr>
          <w:rFonts w:ascii="Simplified Arabic" w:hAnsi="Simplified Arabic" w:cs="Simplified Arabic"/>
          <w:b/>
          <w:bCs/>
          <w:color w:val="000000" w:themeColor="text1"/>
          <w:sz w:val="32"/>
          <w:szCs w:val="32"/>
          <w:rtl/>
          <w:lang w:bidi="ar-EG"/>
        </w:rPr>
        <w:t xml:space="preserve"> إدارة المخاطر</w:t>
      </w:r>
    </w:p>
    <w:p w14:paraId="5F6542BF" w14:textId="77777777" w:rsidR="009125CE" w:rsidRPr="00063135" w:rsidRDefault="009125CE" w:rsidP="005E5CFA">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40672866" w14:textId="272623B0" w:rsidR="007B08E2" w:rsidRPr="00063135" w:rsidRDefault="00FC5CD9" w:rsidP="005E5CFA">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063135">
        <w:rPr>
          <w:rFonts w:ascii="Simplified Arabic" w:hAnsi="Simplified Arabic" w:cs="Simplified Arabic"/>
          <w:b/>
          <w:bCs/>
          <w:color w:val="000000" w:themeColor="text1"/>
          <w:sz w:val="40"/>
          <w:szCs w:val="40"/>
          <w:rtl/>
        </w:rPr>
        <w:t>أثر خطط استمرارية الأعمال على استمرارية سلسلة الإمداد في ظل الأزمات: دراسة ميدانية على الشركات الكبرى بالمملكة العربية السعودية.</w:t>
      </w:r>
    </w:p>
    <w:p w14:paraId="751A7E65" w14:textId="62E6841D" w:rsidR="009125CE" w:rsidRPr="00063135" w:rsidRDefault="009125CE" w:rsidP="005E5CF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63135">
        <w:rPr>
          <w:rFonts w:ascii="Simplified Arabic" w:hAnsi="Simplified Arabic" w:cs="Simplified Arabic"/>
          <w:b/>
          <w:bCs/>
          <w:color w:val="000000" w:themeColor="text1"/>
          <w:sz w:val="36"/>
          <w:szCs w:val="36"/>
          <w:rtl/>
          <w:lang w:bidi="ar-EG"/>
        </w:rPr>
        <w:t>إعداد الطالب/</w:t>
      </w:r>
    </w:p>
    <w:p w14:paraId="3133B94C" w14:textId="2C8A2036" w:rsidR="007B08E2" w:rsidRPr="00063135" w:rsidRDefault="0059246F" w:rsidP="005E5CF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63135">
        <w:rPr>
          <w:rFonts w:ascii="Simplified Arabic" w:hAnsi="Simplified Arabic" w:cs="Simplified Arabic"/>
          <w:color w:val="000000" w:themeColor="text1"/>
          <w:sz w:val="36"/>
          <w:szCs w:val="36"/>
          <w:rtl/>
        </w:rPr>
        <w:t>عبدالله إبراهيم العمّار</w:t>
      </w:r>
    </w:p>
    <w:p w14:paraId="748FE5B2" w14:textId="77E79C9C" w:rsidR="0059246F" w:rsidRPr="00063135" w:rsidRDefault="0059246F" w:rsidP="005E5CFA">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063135">
        <w:rPr>
          <w:rFonts w:ascii="Simplified Arabic" w:hAnsi="Simplified Arabic" w:cs="Simplified Arabic"/>
          <w:color w:val="000000" w:themeColor="text1"/>
          <w:sz w:val="36"/>
          <w:szCs w:val="36"/>
          <w:lang w:bidi="ar-EG"/>
        </w:rPr>
        <w:t>253002382</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E5CFA" w:rsidRPr="00063135" w14:paraId="5E03C4AB" w14:textId="77777777" w:rsidTr="005E5CFA">
        <w:tc>
          <w:tcPr>
            <w:tcW w:w="4530" w:type="dxa"/>
          </w:tcPr>
          <w:p w14:paraId="2523DA38" w14:textId="77777777" w:rsidR="005E5CFA" w:rsidRPr="00063135" w:rsidRDefault="005E5CFA" w:rsidP="005E5CF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63135">
              <w:rPr>
                <w:rFonts w:ascii="Simplified Arabic" w:hAnsi="Simplified Arabic" w:cs="Simplified Arabic" w:hint="cs"/>
                <w:b/>
                <w:bCs/>
                <w:color w:val="000000" w:themeColor="text1"/>
                <w:sz w:val="36"/>
                <w:szCs w:val="36"/>
                <w:rtl/>
                <w:lang w:bidi="ar-EG"/>
              </w:rPr>
              <w:t>المشرف الرئيسي/</w:t>
            </w:r>
          </w:p>
        </w:tc>
        <w:tc>
          <w:tcPr>
            <w:tcW w:w="4531" w:type="dxa"/>
          </w:tcPr>
          <w:p w14:paraId="6B776252" w14:textId="77777777" w:rsidR="005E5CFA" w:rsidRPr="00063135" w:rsidRDefault="005E5CFA" w:rsidP="005E5CF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63135">
              <w:rPr>
                <w:rFonts w:ascii="Simplified Arabic" w:hAnsi="Simplified Arabic" w:cs="Simplified Arabic" w:hint="cs"/>
                <w:b/>
                <w:bCs/>
                <w:color w:val="000000" w:themeColor="text1"/>
                <w:sz w:val="36"/>
                <w:szCs w:val="36"/>
                <w:rtl/>
                <w:lang w:bidi="ar-EG"/>
              </w:rPr>
              <w:t>المشرف الثاني/</w:t>
            </w:r>
          </w:p>
        </w:tc>
      </w:tr>
      <w:tr w:rsidR="005E5CFA" w:rsidRPr="00063135" w14:paraId="146494B3" w14:textId="77777777" w:rsidTr="005E5CFA">
        <w:tc>
          <w:tcPr>
            <w:tcW w:w="4530" w:type="dxa"/>
          </w:tcPr>
          <w:p w14:paraId="519CCF14" w14:textId="77777777" w:rsidR="005E5CFA" w:rsidRPr="00063135" w:rsidRDefault="005E5CFA" w:rsidP="005E5CF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63135">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7C10EE1" w14:textId="77777777" w:rsidR="005E5CFA" w:rsidRPr="00063135" w:rsidRDefault="005E5CFA" w:rsidP="005E5CF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063135">
              <w:rPr>
                <w:rFonts w:ascii="Simplified Arabic" w:eastAsia="Calibri" w:hAnsi="Simplified Arabic" w:cs="Simplified Arabic"/>
                <w:color w:val="000000" w:themeColor="text1"/>
                <w:kern w:val="0"/>
                <w:sz w:val="36"/>
                <w:szCs w:val="36"/>
                <w:rtl/>
                <w:lang w:bidi="ar-EG"/>
                <w14:ligatures w14:val="none"/>
              </w:rPr>
              <w:t>د.فايز جراد</w:t>
            </w:r>
          </w:p>
        </w:tc>
      </w:tr>
    </w:tbl>
    <w:p w14:paraId="71A94B06" w14:textId="77777777" w:rsidR="005E5CFA" w:rsidRPr="00063135" w:rsidRDefault="005E5CFA" w:rsidP="005E5CFA">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063135">
        <w:rPr>
          <w:rFonts w:ascii="Simplified Arabic" w:hAnsi="Simplified Arabic" w:cs="Simplified Arabic"/>
          <w:b/>
          <w:bCs/>
          <w:color w:val="000000" w:themeColor="text1"/>
          <w:sz w:val="36"/>
          <w:szCs w:val="36"/>
          <w:rtl/>
          <w:lang w:bidi="ar-EG"/>
        </w:rPr>
        <w:t>العام الدراسي:</w:t>
      </w:r>
    </w:p>
    <w:p w14:paraId="06B027A2" w14:textId="77777777" w:rsidR="005E5CFA" w:rsidRPr="00063135" w:rsidRDefault="005E5CFA" w:rsidP="005E5CFA">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5E5CFA" w:rsidRPr="00063135" w:rsidSect="005E5CFA">
          <w:type w:val="continuous"/>
          <w:pgSz w:w="11906" w:h="16838" w:code="9"/>
          <w:pgMar w:top="1134" w:right="1701" w:bottom="1134" w:left="1134" w:header="720" w:footer="720" w:gutter="0"/>
          <w:pgNumType w:start="1"/>
          <w:cols w:space="708"/>
          <w:bidi/>
          <w:rtlGutter/>
          <w:docGrid w:linePitch="360"/>
        </w:sectPr>
      </w:pPr>
      <w:r w:rsidRPr="00063135">
        <w:rPr>
          <w:rFonts w:ascii="Simplified Arabic" w:hAnsi="Simplified Arabic" w:cs="Simplified Arabic"/>
          <w:color w:val="000000" w:themeColor="text1"/>
          <w:sz w:val="36"/>
          <w:szCs w:val="36"/>
          <w:lang w:bidi="ar-EG"/>
        </w:rPr>
        <w:t>1448 – 2026</w:t>
      </w:r>
    </w:p>
    <w:p w14:paraId="798C8A9B" w14:textId="68BD1039" w:rsidR="005E5CFA" w:rsidRPr="00063135" w:rsidRDefault="005E5CFA" w:rsidP="005E5CFA">
      <w:pPr>
        <w:jc w:val="center"/>
        <w:outlineLvl w:val="0"/>
        <w:rPr>
          <w:rFonts w:ascii="Simplified Arabic" w:eastAsia="Times New Roman" w:hAnsi="Simplified Arabic" w:cs="Simplified Arabic"/>
          <w:b/>
          <w:bCs/>
          <w:color w:val="000000" w:themeColor="text1"/>
          <w:kern w:val="0"/>
          <w:sz w:val="40"/>
          <w:szCs w:val="40"/>
          <w:rtl/>
          <w14:ligatures w14:val="none"/>
        </w:rPr>
      </w:pPr>
      <w:bookmarkStart w:id="0" w:name="_Hlk172151144"/>
      <w:bookmarkStart w:id="1" w:name="_Toc169790489"/>
      <w:bookmarkStart w:id="2" w:name="_Toc233923258"/>
      <w:r w:rsidRPr="00063135">
        <w:rPr>
          <w:rFonts w:ascii="Simplified Arabic" w:eastAsia="Times New Roman" w:hAnsi="Simplified Arabic" w:cs="Simplified Arabic" w:hint="cs"/>
          <w:b/>
          <w:bCs/>
          <w:color w:val="000000" w:themeColor="text1"/>
          <w:kern w:val="0"/>
          <w:sz w:val="40"/>
          <w:szCs w:val="40"/>
          <w:rtl/>
          <w14:ligatures w14:val="none"/>
        </w:rPr>
        <w:lastRenderedPageBreak/>
        <w:t>الفصل الأول: الإطار العام للدراسة</w:t>
      </w:r>
      <w:bookmarkEnd w:id="2"/>
    </w:p>
    <w:p w14:paraId="3DF7C13F" w14:textId="74D0B1C9" w:rsidR="005E5CFA" w:rsidRPr="00063135" w:rsidRDefault="005E5CFA" w:rsidP="005E5CFA">
      <w:pPr>
        <w:outlineLvl w:val="1"/>
        <w:rPr>
          <w:rFonts w:ascii="Simplified Arabic" w:eastAsia="Times New Roman" w:hAnsi="Simplified Arabic" w:cs="Simplified Arabic"/>
          <w:b/>
          <w:bCs/>
          <w:color w:val="000000" w:themeColor="text1"/>
          <w:kern w:val="0"/>
          <w:sz w:val="36"/>
          <w:szCs w:val="36"/>
          <w:rtl/>
          <w14:ligatures w14:val="none"/>
        </w:rPr>
      </w:pPr>
      <w:bookmarkStart w:id="3" w:name="_Toc233923259"/>
      <w:r w:rsidRPr="00063135">
        <w:rPr>
          <w:rFonts w:ascii="Simplified Arabic" w:eastAsia="Times New Roman" w:hAnsi="Simplified Arabic" w:cs="Simplified Arabic" w:hint="cs"/>
          <w:b/>
          <w:bCs/>
          <w:color w:val="000000" w:themeColor="text1"/>
          <w:kern w:val="0"/>
          <w:sz w:val="36"/>
          <w:szCs w:val="36"/>
          <w:rtl/>
          <w14:ligatures w14:val="none"/>
        </w:rPr>
        <w:t>1.1 المقدمة</w:t>
      </w:r>
      <w:bookmarkEnd w:id="3"/>
    </w:p>
    <w:p w14:paraId="523EE1FD" w14:textId="6AB90E66"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يشهد العالم المعاصر تحولات جذرية في بيئة الأعمال تتسم بالتعقيد والترابط المتزايد بين الاقتصادات والأسواق، حيث أصبحت المنظمات تعمل ضمن منظومة عالمية مفتوحة تتشابك فيها العمليات والأنشطة عبر الحدود الجغرافية والقطاعية. وقد أدى هذا الترابط إلى تصاعد حدة المخاطر والتهديدات التي تواجه المنظمات، إذ لم تعد الأزمات محصورة في نطاقها المحلي بل باتت ذات امتدادات عالمية سريعة الانتشار وعميقة الأثر، وهو ما فرض على المنظمات ضرورة تبني مقاربات إدارية استباقية تضمن قدرتها على الاستمرار والتعافي في ظل الظروف الاستثنائية</w:t>
      </w:r>
      <w:r w:rsidRPr="00063135">
        <w:rPr>
          <w:rFonts w:ascii="Simplified Arabic" w:hAnsi="Simplified Arabic" w:cs="Simplified Arabic"/>
          <w:color w:val="000000" w:themeColor="text1"/>
          <w:sz w:val="28"/>
          <w:szCs w:val="28"/>
        </w:rPr>
        <w:t xml:space="preserve"> (Rumman, 2022).</w:t>
      </w:r>
    </w:p>
    <w:p w14:paraId="51707F40" w14:textId="13D4CC32"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وفي هذا الإطار، برزت إدارة استمرارية الأعمال كأحد أهم التوجهات الإدارية الحديثة التي تسعى إلى تمكين المنظمات من مواجهة الأزمات والحفاظ على عملياتها الجوهرية دون انقطاع، حيث تُمثّل خطط استمرارية الأعمال منظومة متكاملة من السياسات والإجراءات التي تهدف إلى تحديد العمليات الحرجة وتقييم المخاطر المحتملة ووضع سيناريوهات التعافي والاستجابة، بما يكفل استدامة الأداء المؤسسي في أوقات الأزمات. وقد أكد معيار الآيزو</w:t>
      </w:r>
      <w:r w:rsidRPr="00063135">
        <w:rPr>
          <w:rFonts w:ascii="Simplified Arabic" w:hAnsi="Simplified Arabic" w:cs="Simplified Arabic"/>
          <w:color w:val="000000" w:themeColor="text1"/>
          <w:sz w:val="28"/>
          <w:szCs w:val="28"/>
        </w:rPr>
        <w:t xml:space="preserve"> (ISO 22301) </w:t>
      </w:r>
      <w:r w:rsidRPr="00063135">
        <w:rPr>
          <w:rFonts w:ascii="Simplified Arabic" w:hAnsi="Simplified Arabic" w:cs="Simplified Arabic"/>
          <w:color w:val="000000" w:themeColor="text1"/>
          <w:sz w:val="28"/>
          <w:szCs w:val="28"/>
          <w:rtl/>
        </w:rPr>
        <w:t>على أن إدارة استمرارية الأعمال ينبغي ألّا تُختزل في مجرد خطط طوارئ، بل يجب أن تُعامل كنظام إداري شامل يتضمن تحليل الأثر على الأعمال وتقييم المخاطر واستراتيجيات التعافي والاختبار والتحسين المستمر</w:t>
      </w:r>
      <w:r w:rsidRPr="00063135">
        <w:rPr>
          <w:rFonts w:ascii="Simplified Arabic" w:hAnsi="Simplified Arabic" w:cs="Simplified Arabic"/>
          <w:color w:val="000000" w:themeColor="text1"/>
          <w:sz w:val="28"/>
          <w:szCs w:val="28"/>
        </w:rPr>
        <w:t xml:space="preserve"> (Riglietti</w:t>
      </w:r>
      <w:r w:rsidR="00AF5D89" w:rsidRPr="00063135">
        <w:rPr>
          <w:rFonts w:ascii="Simplified Arabic" w:hAnsi="Simplified Arabic" w:cs="Simplified Arabic"/>
          <w:color w:val="000000" w:themeColor="text1"/>
          <w:sz w:val="28"/>
          <w:szCs w:val="28"/>
        </w:rPr>
        <w:t xml:space="preserve"> etal.,</w:t>
      </w:r>
      <w:r w:rsidRPr="00063135">
        <w:rPr>
          <w:rFonts w:ascii="Simplified Arabic" w:hAnsi="Simplified Arabic" w:cs="Simplified Arabic"/>
          <w:color w:val="000000" w:themeColor="text1"/>
          <w:sz w:val="28"/>
          <w:szCs w:val="28"/>
        </w:rPr>
        <w:t xml:space="preserve"> 2021).</w:t>
      </w:r>
    </w:p>
    <w:p w14:paraId="63CE9A02" w14:textId="77777777"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ويتعاظم الدور الاستراتيجي لخطط استمرارية الأعمال حين تتكامل مع إدارة المخاطر والتخطيط الاستراتيجي في المنظمات، إذ إن فاعلية هذه الخطط لا تتوقف عند مرحلة التصميم والإعداد فحسب، بل تمتد لتشمل الاختبار الدوري والمحاكاة والتحديث المستمر بما يتوافق مع طبيعة التهديدات المتجددة. وقد بيّنت الدراسات أن المنظمات التي تتبنى منظومة متكاملة لإدارة المخاطر الاستراتيجية تكون أكثر قدرة على تحقيق استمرارية أعمالها والحفاظ على استقرارها المؤسسي (حسب الله ومحمد، 2023)</w:t>
      </w:r>
      <w:r w:rsidRPr="00063135">
        <w:rPr>
          <w:rFonts w:ascii="Simplified Arabic" w:hAnsi="Simplified Arabic" w:cs="Simplified Arabic"/>
          <w:color w:val="000000" w:themeColor="text1"/>
          <w:sz w:val="28"/>
          <w:szCs w:val="28"/>
        </w:rPr>
        <w:t>.</w:t>
      </w:r>
    </w:p>
    <w:p w14:paraId="07F71DD0" w14:textId="761609BE" w:rsidR="00057A28" w:rsidRPr="00063135" w:rsidRDefault="00AF5D89"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w:t>
      </w:r>
      <w:r w:rsidR="00057A28" w:rsidRPr="00063135">
        <w:rPr>
          <w:rFonts w:ascii="Simplified Arabic" w:hAnsi="Simplified Arabic" w:cs="Simplified Arabic"/>
          <w:color w:val="000000" w:themeColor="text1"/>
          <w:sz w:val="28"/>
          <w:szCs w:val="28"/>
          <w:rtl/>
        </w:rPr>
        <w:t xml:space="preserve"> تُعدّ سلاسل الإمداد الركيزة الأساسية التي تقوم عليها العمليات التشغيلية للمنظمات الحديثة، فهي تُمثّل شبكة معقدة من العلاقات والتدفقات التي تربط بين الموردين والمصنّعين والموزعين والعملاء. وقد كشفت الأزمات العالمية المتتالية عن الهشاشة الكامنة في هذه السلاسل، حيث أدت جائحة كوفيد-19 إلى </w:t>
      </w:r>
      <w:r w:rsidR="00057A28" w:rsidRPr="00063135">
        <w:rPr>
          <w:rFonts w:ascii="Simplified Arabic" w:hAnsi="Simplified Arabic" w:cs="Simplified Arabic"/>
          <w:color w:val="000000" w:themeColor="text1"/>
          <w:sz w:val="28"/>
          <w:szCs w:val="28"/>
          <w:rtl/>
        </w:rPr>
        <w:lastRenderedPageBreak/>
        <w:t xml:space="preserve">اضطرابات واسعة النطاق شملت توقف خطوط الإنتاج ونقص المواد الخام وتعطّل حركة النقل والشحن، مما أثّر سلباً على قدرة المنظمات في الوفاء بالتزاماتها تجاه عملائها وشركائها </w:t>
      </w:r>
      <w:r w:rsidRPr="00063135">
        <w:rPr>
          <w:rFonts w:ascii="Simplified Arabic" w:hAnsi="Simplified Arabic" w:cs="Simplified Arabic"/>
          <w:color w:val="000000" w:themeColor="text1"/>
          <w:sz w:val="28"/>
          <w:szCs w:val="28"/>
        </w:rPr>
        <w:t>)</w:t>
      </w:r>
      <w:r w:rsidR="00057A28" w:rsidRPr="00063135">
        <w:rPr>
          <w:rFonts w:ascii="Simplified Arabic" w:hAnsi="Simplified Arabic" w:cs="Simplified Arabic"/>
          <w:color w:val="000000" w:themeColor="text1"/>
          <w:sz w:val="28"/>
          <w:szCs w:val="28"/>
          <w:rtl/>
        </w:rPr>
        <w:t>قندوز، 2022</w:t>
      </w:r>
      <w:r w:rsidRPr="00063135">
        <w:rPr>
          <w:rFonts w:ascii="Simplified Arabic" w:hAnsi="Simplified Arabic" w:cs="Simplified Arabic"/>
          <w:color w:val="000000" w:themeColor="text1"/>
          <w:sz w:val="28"/>
          <w:szCs w:val="28"/>
        </w:rPr>
        <w:t>(</w:t>
      </w:r>
    </w:p>
    <w:p w14:paraId="2E3F7B4C" w14:textId="77777777"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وقد أثبتت الشواهد العملية أن المنظمات التي امتلكت قدرة أعلى على المقاومة خلال فترات الاضطراب كانت أكثر نجاحاً في تبني ممارسات تُعزّز مرونة سلاسل إمدادها واستعادة تدفقاتها التشغيلية، في حين أن المنظمات التي افتقرت إلى هذه القدرة عجزت عن الاستجابة الفعّالة وفشلت في تبني استراتيجيات ملائمة للتعافي</w:t>
      </w:r>
      <w:r w:rsidRPr="00063135">
        <w:rPr>
          <w:rFonts w:ascii="Simplified Arabic" w:hAnsi="Simplified Arabic" w:cs="Simplified Arabic"/>
          <w:color w:val="000000" w:themeColor="text1"/>
          <w:sz w:val="28"/>
          <w:szCs w:val="28"/>
        </w:rPr>
        <w:t xml:space="preserve"> (Maleki Vishkaei &amp; De Giovanni, 2024).</w:t>
      </w:r>
    </w:p>
    <w:p w14:paraId="5469D811" w14:textId="24DA1E8D"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وعند الربط بين هذين المتغيرين، يتضح أن خطط استمرارية الأعمال تُشكّل عاملاً محورياً في تعزيز استمرارية سلسلة الإمداد في ظل الأزمات، حيث إن التكامل بين تحليل الأثر على الأعمال وتقييم المخاطر واستراتيجيات التعافي والاختبار المستمر يُسهم في بناء قدرات مؤسسية تُمكّن المنظمات من استشراف التهديدات والاستجابة لها بمرونة وسرعة تحمي تدفقات سلسلة الإمداد من الانقطاع. وقد أكدت الدراسات أن تطبيق إدارة استمرارية الأعمال يُعزّز مكونات مرونة سلسلة الإمداد كالرؤية والتعاون وسرعة الاستجابة</w:t>
      </w:r>
      <w:r w:rsidRPr="00063135">
        <w:rPr>
          <w:rFonts w:ascii="Simplified Arabic" w:hAnsi="Simplified Arabic" w:cs="Simplified Arabic"/>
          <w:color w:val="000000" w:themeColor="text1"/>
          <w:sz w:val="28"/>
          <w:szCs w:val="28"/>
        </w:rPr>
        <w:t xml:space="preserve"> (Riglietti</w:t>
      </w:r>
      <w:r w:rsidR="0059246F" w:rsidRPr="00063135">
        <w:rPr>
          <w:rFonts w:ascii="Simplified Arabic" w:hAnsi="Simplified Arabic" w:cs="Simplified Arabic"/>
          <w:color w:val="000000" w:themeColor="text1"/>
          <w:sz w:val="28"/>
          <w:szCs w:val="28"/>
        </w:rPr>
        <w:t xml:space="preserve"> etal.</w:t>
      </w:r>
      <w:r w:rsidRPr="00063135">
        <w:rPr>
          <w:rFonts w:ascii="Simplified Arabic" w:hAnsi="Simplified Arabic" w:cs="Simplified Arabic"/>
          <w:color w:val="000000" w:themeColor="text1"/>
          <w:sz w:val="28"/>
          <w:szCs w:val="28"/>
        </w:rPr>
        <w:t>, 2022).</w:t>
      </w:r>
    </w:p>
    <w:p w14:paraId="7B92EC9F" w14:textId="77777777"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وانطلاقاً من ذلك، تأتي هذه الدراسة لتستقصي أثر خطط استمرارية الأعمال بأبعادها على استمرارية سلسلة الإمداد في ظل الأزمات في الشركات الكبرى بالمملكة العربية السعودية، وذلك في ظل التحولات الاقتصادية الكبرى التي تشهدها المملكة ضمن رؤية 2030 والتي تستوجب تعزيز مرونة سلاسل الإمداد الوطنية وبناء اقتصاد أكثر تنوعاً وصلابة في مواجهة المتغيرات العالمية</w:t>
      </w:r>
      <w:r w:rsidRPr="00063135">
        <w:rPr>
          <w:rFonts w:ascii="Simplified Arabic" w:hAnsi="Simplified Arabic" w:cs="Simplified Arabic"/>
          <w:color w:val="000000" w:themeColor="text1"/>
          <w:sz w:val="28"/>
          <w:szCs w:val="28"/>
        </w:rPr>
        <w:t>.</w:t>
      </w:r>
    </w:p>
    <w:p w14:paraId="1B9BFEA7" w14:textId="40425139" w:rsidR="005E5CFA" w:rsidRPr="00063135" w:rsidRDefault="005E5CFA" w:rsidP="005E5CF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169790500"/>
      <w:bookmarkStart w:id="5" w:name="_Toc233923260"/>
      <w:bookmarkEnd w:id="0"/>
      <w:bookmarkEnd w:id="1"/>
      <w:r w:rsidRPr="00063135">
        <w:rPr>
          <w:rFonts w:ascii="Simplified Arabic" w:hAnsi="Simplified Arabic" w:cs="Simplified Arabic"/>
          <w:b/>
          <w:bCs/>
          <w:color w:val="000000" w:themeColor="text1"/>
          <w:sz w:val="36"/>
          <w:szCs w:val="36"/>
          <w:rtl/>
        </w:rPr>
        <w:t>2.1 مشكلة الدراسة</w:t>
      </w:r>
      <w:bookmarkEnd w:id="5"/>
    </w:p>
    <w:p w14:paraId="5F2D635D" w14:textId="594F8BD3"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تُشكّل سلاسل الإمداد العمود الفقري للاقتصادات الحديثة والشريان الحيوي الذي يربط بين مختلف حلقات الإنتاج والتوزيع والاستهلاك، إذ أصبحت المنظمات المعاصرة تعمل في بيئة عالمية مترابطة ومعقدة تتسم بالديناميكية المتسارعة والاعتماد المتبادل بين الأطراف الفاعلة في سلسلة القيمة</w:t>
      </w:r>
      <w:r w:rsidR="0059246F" w:rsidRPr="00063135">
        <w:rPr>
          <w:rFonts w:ascii="Simplified Arabic" w:hAnsi="Simplified Arabic" w:cs="Simplified Arabic"/>
          <w:color w:val="000000" w:themeColor="text1"/>
          <w:sz w:val="28"/>
          <w:szCs w:val="28"/>
          <w:rtl/>
        </w:rPr>
        <w:t>،</w:t>
      </w:r>
      <w:r w:rsidRPr="00063135">
        <w:rPr>
          <w:rFonts w:ascii="Simplified Arabic" w:hAnsi="Simplified Arabic" w:cs="Simplified Arabic"/>
          <w:color w:val="000000" w:themeColor="text1"/>
          <w:sz w:val="28"/>
          <w:szCs w:val="28"/>
          <w:rtl/>
        </w:rPr>
        <w:t xml:space="preserve"> غير أن هذا الترابط العالمي المتزايد قد أفرز في الوقت ذاته هشاشة هيكلية غير مسبوقة، تجلّت بوضوح خلال العقد الأخير حين تعرضت سلاسل الإمداد العالمية لسلسلة متتابعة من الصدمات والأزمات التي كشفت عن محدودية الأنظمة التقليدية في التعامل مع الاضطرابات الحادة، بدءاً من جائحة كوفيد-19 التي أحدثت شللاً واسعاً </w:t>
      </w:r>
      <w:r w:rsidRPr="00063135">
        <w:rPr>
          <w:rFonts w:ascii="Simplified Arabic" w:hAnsi="Simplified Arabic" w:cs="Simplified Arabic"/>
          <w:color w:val="000000" w:themeColor="text1"/>
          <w:sz w:val="28"/>
          <w:szCs w:val="28"/>
          <w:rtl/>
        </w:rPr>
        <w:lastRenderedPageBreak/>
        <w:t>في حركة التجارة العالمية، مروراً بأزمة الحاويات واضطرابات النقل البحري، وصولاً إلى التوترات الجيوسياسية التي ألقت بظلالها الثقيلة على خطوط الإمداد الدولية</w:t>
      </w:r>
      <w:r w:rsidRPr="00063135">
        <w:rPr>
          <w:rFonts w:ascii="Simplified Arabic" w:hAnsi="Simplified Arabic" w:cs="Simplified Arabic"/>
          <w:color w:val="000000" w:themeColor="text1"/>
          <w:sz w:val="28"/>
          <w:szCs w:val="28"/>
        </w:rPr>
        <w:t>.</w:t>
      </w:r>
    </w:p>
    <w:p w14:paraId="6B49CCE9" w14:textId="3FB9A916" w:rsidR="00057A28" w:rsidRPr="00063135" w:rsidRDefault="0059246F"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w:t>
      </w:r>
      <w:r w:rsidR="00057A28" w:rsidRPr="00063135">
        <w:rPr>
          <w:rFonts w:ascii="Simplified Arabic" w:hAnsi="Simplified Arabic" w:cs="Simplified Arabic"/>
          <w:color w:val="000000" w:themeColor="text1"/>
          <w:sz w:val="28"/>
          <w:szCs w:val="28"/>
          <w:rtl/>
        </w:rPr>
        <w:t xml:space="preserve"> تبرز إدارة استمرارية الأعمال بوصفها مقاربة استراتيجية جوهرية لتعزيز قدرة المنظمات على الصمود والتعافي من الأزمات، حيث تُوفّر خطط استمرارية الأعمال إطاراً منهجياً شاملاً يُمكّن المنظمات من تحديد عملياتها الحرجة وتقييم المخاطر المحتملة ووضع استراتيجيات استجابة وتعافٍ فعّالة. وقد أكدت العديد من الدراسات العالمية هذا التوجه، حيث أشارت دراسة</w:t>
      </w:r>
      <w:r w:rsidR="00057A28" w:rsidRPr="00063135">
        <w:rPr>
          <w:rFonts w:ascii="Simplified Arabic" w:hAnsi="Simplified Arabic" w:cs="Simplified Arabic"/>
          <w:color w:val="000000" w:themeColor="text1"/>
          <w:sz w:val="28"/>
          <w:szCs w:val="28"/>
        </w:rPr>
        <w:t xml:space="preserve"> (Riglietti</w:t>
      </w:r>
      <w:r w:rsidRPr="00063135">
        <w:rPr>
          <w:rFonts w:ascii="Simplified Arabic" w:hAnsi="Simplified Arabic" w:cs="Simplified Arabic"/>
          <w:color w:val="000000" w:themeColor="text1"/>
          <w:sz w:val="28"/>
          <w:szCs w:val="28"/>
        </w:rPr>
        <w:t xml:space="preserve"> etal.</w:t>
      </w:r>
      <w:r w:rsidR="00057A28" w:rsidRPr="00063135">
        <w:rPr>
          <w:rFonts w:ascii="Simplified Arabic" w:hAnsi="Simplified Arabic" w:cs="Simplified Arabic"/>
          <w:color w:val="000000" w:themeColor="text1"/>
          <w:sz w:val="28"/>
          <w:szCs w:val="28"/>
        </w:rPr>
        <w:t xml:space="preserve">, 2021) </w:t>
      </w:r>
      <w:r w:rsidR="00057A28" w:rsidRPr="00063135">
        <w:rPr>
          <w:rFonts w:ascii="Simplified Arabic" w:hAnsi="Simplified Arabic" w:cs="Simplified Arabic"/>
          <w:color w:val="000000" w:themeColor="text1"/>
          <w:sz w:val="28"/>
          <w:szCs w:val="28"/>
          <w:rtl/>
        </w:rPr>
        <w:t xml:space="preserve">إلى أن تطبيق إدارة استمرارية الأعمال يُقلّل من هشاشة المنظمات ويُخفّف من خسائر الأداء التشغيلي في مواجهة اضطرابات سلسلة الإمداد، كما أكدت دراسة </w:t>
      </w:r>
      <w:r w:rsidR="00057A28" w:rsidRPr="00063135">
        <w:rPr>
          <w:rFonts w:ascii="Simplified Arabic" w:hAnsi="Simplified Arabic" w:cs="Simplified Arabic"/>
          <w:color w:val="000000" w:themeColor="text1"/>
          <w:sz w:val="28"/>
          <w:szCs w:val="28"/>
        </w:rPr>
        <w:t xml:space="preserve">(Maleki Vishkaei &amp; De Giovanni, 2024) </w:t>
      </w:r>
      <w:r w:rsidR="00057A28" w:rsidRPr="00063135">
        <w:rPr>
          <w:rFonts w:ascii="Simplified Arabic" w:hAnsi="Simplified Arabic" w:cs="Simplified Arabic"/>
          <w:color w:val="000000" w:themeColor="text1"/>
          <w:sz w:val="28"/>
          <w:szCs w:val="28"/>
          <w:rtl/>
        </w:rPr>
        <w:t xml:space="preserve">أن الشركات التي أظهرت مقاومة في أدائها خلال جائحة كوفيد-19 كانت أكثر قدرة على تبني ممارسات مُعزّزة لمرونة سلاسل إمدادها. </w:t>
      </w:r>
    </w:p>
    <w:p w14:paraId="0946F697" w14:textId="07F314F8"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وعلى المستوى المحلي، تكتسب هذه الإشكالية بُعداً خاصاً في ضوء التحولات الاقتصادية الكبرى التي تشهدها المملكة العربية السعودية في إطار رؤية 2030، والتي تسعى إلى تنويع القاعدة الاقتصادية وتعزيز مرونة سلاسل الإمداد الوطنية وتقليل الاعتماد على مصادر التوريد التقليدية. إلا أن الملاحظ أن كثيراً من الشركات الكبرى السعودية لا تزال تفتقر إلى خطط استمرارية أعمال متكاملة ومُحدّثة قادرة على حماية سلاسل إمدادها في أوقات الأزمات، كما أن الأدبيات العربية بشكل عام والسعودية بشكل خاص تعاني من ندرة واضحة في الدراسات التي تربط بين خطط استمرارية الأعمال واستمرارية سلاسل الإمداد، إذ ركّزت غالبية الدراسات العربية السابقة على قطاعات محددة كالقطاع المصرفي  كما في دراسات (عربيات وأبو رمان، 2024) و(موسى والربابعة، 2025) و(قطيشات والشاعر، 2025) أو القطاع الصحي كدراسة (شديد، 2022)، دون التطرق بشكل كافٍ إلى واقع الشركات الكبرى متعددة القطاعات</w:t>
      </w:r>
      <w:r w:rsidRPr="00063135">
        <w:rPr>
          <w:rFonts w:ascii="Simplified Arabic" w:hAnsi="Simplified Arabic" w:cs="Simplified Arabic"/>
          <w:color w:val="000000" w:themeColor="text1"/>
          <w:sz w:val="28"/>
          <w:szCs w:val="28"/>
        </w:rPr>
        <w:t>.</w:t>
      </w:r>
    </w:p>
    <w:p w14:paraId="026EC0B9" w14:textId="77777777" w:rsidR="00057A28"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وانطلاقاً مما سبق، ومن خلال استقراء الأدبيات النظرية والدراسات الميدانية السابقة، تتبلور مشكلة الدراسة الحالية في وجود فجوة معرفية وتطبيقية تتعلق بمدى تأثير خطط استمرارية الأعمال بأبعادها المختلفة على ضمان استمرارية سلسلة الإمداد في ظل الأزمات، وخاصة في بيئة الأعمال السعودية التي تمرّ بمرحلة تحول اقتصادي واستراتيجي غير مسبوقة. ومن ثمّ، تسعى هذه الدراسة إلى الإجابة عن التساؤل الجوهري التالي</w:t>
      </w:r>
      <w:r w:rsidRPr="00063135">
        <w:rPr>
          <w:rFonts w:ascii="Simplified Arabic" w:hAnsi="Simplified Arabic" w:cs="Simplified Arabic"/>
          <w:color w:val="000000" w:themeColor="text1"/>
          <w:sz w:val="28"/>
          <w:szCs w:val="28"/>
        </w:rPr>
        <w:t xml:space="preserve">: </w:t>
      </w:r>
      <w:r w:rsidRPr="00063135">
        <w:rPr>
          <w:rStyle w:val="Strong"/>
          <w:rFonts w:ascii="Simplified Arabic" w:hAnsi="Simplified Arabic" w:cs="Simplified Arabic"/>
          <w:b w:val="0"/>
          <w:bCs w:val="0"/>
          <w:color w:val="000000" w:themeColor="text1"/>
          <w:sz w:val="28"/>
          <w:szCs w:val="28"/>
          <w:rtl/>
        </w:rPr>
        <w:t xml:space="preserve">ما أثر خطط استمرارية الأعمال بأبعادها (تحليل الأثر على الأعمال، تقييم المخاطر والتهديدات، </w:t>
      </w:r>
      <w:r w:rsidRPr="00063135">
        <w:rPr>
          <w:rStyle w:val="Strong"/>
          <w:rFonts w:ascii="Simplified Arabic" w:hAnsi="Simplified Arabic" w:cs="Simplified Arabic"/>
          <w:b w:val="0"/>
          <w:bCs w:val="0"/>
          <w:color w:val="000000" w:themeColor="text1"/>
          <w:sz w:val="28"/>
          <w:szCs w:val="28"/>
          <w:rtl/>
        </w:rPr>
        <w:lastRenderedPageBreak/>
        <w:t>استراتيجيات التعافي والاستجابة، الاختبار والتمرين والتحسين المستمر) على استمرارية سلسلة الإمداد في ظل الأزمات في الشركات الكبرى بالمملكة العربية السعودية؟</w:t>
      </w:r>
    </w:p>
    <w:p w14:paraId="32C3508E" w14:textId="2A95BE1D" w:rsidR="005E5CFA" w:rsidRPr="00063135" w:rsidRDefault="005E5CFA" w:rsidP="005E5CF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923261"/>
      <w:r w:rsidRPr="00063135">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3F18D589"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تهدف هذه الدراسة إلى دراسة أثر خطط استمرارية الأعمال بأبعادها (تحليل الأثر على الأعمال، تقييم المخاطر والتهديدات، استراتيجيات التعافي والاستجابة، الاختبار والتمرين والتحسين المستمر) 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37871408" w14:textId="77777777" w:rsidR="00057A28" w:rsidRPr="00063135" w:rsidRDefault="00057A2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063135">
        <w:rPr>
          <w:rFonts w:ascii="Simplified Arabic" w:eastAsia="Times New Roman" w:hAnsi="Simplified Arabic" w:cs="Simplified Arabic"/>
          <w:b/>
          <w:bCs/>
          <w:color w:val="000000" w:themeColor="text1"/>
          <w:kern w:val="0"/>
          <w:sz w:val="28"/>
          <w:szCs w:val="28"/>
          <w14:ligatures w14:val="none"/>
        </w:rPr>
        <w:t>:</w:t>
      </w:r>
    </w:p>
    <w:p w14:paraId="42ADCEC4" w14:textId="5325AB6F" w:rsidR="00057A28" w:rsidRPr="00063135" w:rsidRDefault="00057A28" w:rsidP="005E5C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قياس أثر بُعد تحليل الأثر على الأعمال</w:t>
      </w:r>
      <w:r w:rsidRPr="00063135">
        <w:rPr>
          <w:rFonts w:ascii="Simplified Arabic" w:eastAsia="Times New Roman" w:hAnsi="Simplified Arabic" w:cs="Simplified Arabic"/>
          <w:color w:val="000000" w:themeColor="text1"/>
          <w:kern w:val="0"/>
          <w:sz w:val="28"/>
          <w:szCs w:val="28"/>
          <w14:ligatures w14:val="none"/>
        </w:rPr>
        <w:t xml:space="preserve"> (Business Impact Analysis) </w:t>
      </w:r>
      <w:r w:rsidRPr="00063135">
        <w:rPr>
          <w:rFonts w:ascii="Simplified Arabic" w:eastAsia="Times New Roman" w:hAnsi="Simplified Arabic" w:cs="Simplified Arabic"/>
          <w:color w:val="000000" w:themeColor="text1"/>
          <w:kern w:val="0"/>
          <w:sz w:val="28"/>
          <w:szCs w:val="28"/>
          <w:rtl/>
          <w14:ligatures w14:val="none"/>
        </w:rPr>
        <w:t>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20E21D6E" w14:textId="672E91DF" w:rsidR="00057A28" w:rsidRPr="00063135" w:rsidRDefault="00057A28" w:rsidP="005E5C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قياس أثر بُعد تقييم المخاطر والتهديدات</w:t>
      </w:r>
      <w:r w:rsidRPr="00063135">
        <w:rPr>
          <w:rFonts w:ascii="Simplified Arabic" w:eastAsia="Times New Roman" w:hAnsi="Simplified Arabic" w:cs="Simplified Arabic"/>
          <w:color w:val="000000" w:themeColor="text1"/>
          <w:kern w:val="0"/>
          <w:sz w:val="28"/>
          <w:szCs w:val="28"/>
          <w14:ligatures w14:val="none"/>
        </w:rPr>
        <w:t xml:space="preserve"> (Risk and Threat Assessment) </w:t>
      </w:r>
      <w:r w:rsidRPr="00063135">
        <w:rPr>
          <w:rFonts w:ascii="Simplified Arabic" w:eastAsia="Times New Roman" w:hAnsi="Simplified Arabic" w:cs="Simplified Arabic"/>
          <w:color w:val="000000" w:themeColor="text1"/>
          <w:kern w:val="0"/>
          <w:sz w:val="28"/>
          <w:szCs w:val="28"/>
          <w:rtl/>
          <w14:ligatures w14:val="none"/>
        </w:rPr>
        <w:t>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1D8FD1D7" w14:textId="009EFBF8" w:rsidR="00057A28" w:rsidRPr="00063135" w:rsidRDefault="00057A28" w:rsidP="005E5C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قياس أثر بُعد استراتيجيات التعافي والاستجابة</w:t>
      </w:r>
      <w:r w:rsidRPr="00063135">
        <w:rPr>
          <w:rFonts w:ascii="Simplified Arabic" w:eastAsia="Times New Roman" w:hAnsi="Simplified Arabic" w:cs="Simplified Arabic"/>
          <w:color w:val="000000" w:themeColor="text1"/>
          <w:kern w:val="0"/>
          <w:sz w:val="28"/>
          <w:szCs w:val="28"/>
          <w14:ligatures w14:val="none"/>
        </w:rPr>
        <w:t xml:space="preserve"> (Recovery and Response Strategies) </w:t>
      </w:r>
      <w:r w:rsidRPr="00063135">
        <w:rPr>
          <w:rFonts w:ascii="Simplified Arabic" w:eastAsia="Times New Roman" w:hAnsi="Simplified Arabic" w:cs="Simplified Arabic"/>
          <w:color w:val="000000" w:themeColor="text1"/>
          <w:kern w:val="0"/>
          <w:sz w:val="28"/>
          <w:szCs w:val="28"/>
          <w:rtl/>
          <w14:ligatures w14:val="none"/>
        </w:rPr>
        <w:t>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3171E685" w14:textId="6E351868" w:rsidR="00057A28" w:rsidRPr="00063135" w:rsidRDefault="00057A28" w:rsidP="005E5C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قياس أثر بُعد الاختبار والتمرين والتحسين المستمر</w:t>
      </w:r>
      <w:r w:rsidRPr="00063135">
        <w:rPr>
          <w:rFonts w:ascii="Simplified Arabic" w:eastAsia="Times New Roman" w:hAnsi="Simplified Arabic" w:cs="Simplified Arabic"/>
          <w:color w:val="000000" w:themeColor="text1"/>
          <w:kern w:val="0"/>
          <w:sz w:val="28"/>
          <w:szCs w:val="28"/>
          <w14:ligatures w14:val="none"/>
        </w:rPr>
        <w:t xml:space="preserve"> (Testing, Exercising &amp; Continuous Improvement) </w:t>
      </w:r>
      <w:r w:rsidRPr="00063135">
        <w:rPr>
          <w:rFonts w:ascii="Simplified Arabic" w:eastAsia="Times New Roman" w:hAnsi="Simplified Arabic" w:cs="Simplified Arabic"/>
          <w:color w:val="000000" w:themeColor="text1"/>
          <w:kern w:val="0"/>
          <w:sz w:val="28"/>
          <w:szCs w:val="28"/>
          <w:rtl/>
          <w14:ligatures w14:val="none"/>
        </w:rPr>
        <w:t>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22DC244D" w14:textId="05F63A48" w:rsidR="00057A28" w:rsidRPr="00063135" w:rsidRDefault="00057A28" w:rsidP="005E5CFA">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تقديم إطار مقترح وتوصيات عملية للشركات الكبرى بالمملكة العربية السعودية لتعزيز خطط استمرارية الأعمال بما يضمن استمرارية سلسلة الإمداد في ظل الأزمات، بما يتوافق مع أهداف رؤية المملكة 2030</w:t>
      </w:r>
      <w:r w:rsidRPr="00063135">
        <w:rPr>
          <w:rFonts w:ascii="Simplified Arabic" w:eastAsia="Times New Roman" w:hAnsi="Simplified Arabic" w:cs="Simplified Arabic"/>
          <w:color w:val="000000" w:themeColor="text1"/>
          <w:kern w:val="0"/>
          <w:sz w:val="28"/>
          <w:szCs w:val="28"/>
          <w14:ligatures w14:val="none"/>
        </w:rPr>
        <w:t>.</w:t>
      </w:r>
    </w:p>
    <w:p w14:paraId="3C332CD3" w14:textId="77777777" w:rsidR="005E5CFA" w:rsidRPr="00063135" w:rsidRDefault="005E5CFA" w:rsidP="005E5CF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23262"/>
      <w:r w:rsidRPr="00063135">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5F00BCB7" w14:textId="124B7757" w:rsidR="005E5CFA" w:rsidRPr="00063135" w:rsidRDefault="005E5CFA"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63135">
        <w:rPr>
          <w:rFonts w:ascii="Simplified Arabic" w:eastAsia="Times New Roman" w:hAnsi="Simplified Arabic" w:cs="Simplified Arabic"/>
          <w:b/>
          <w:bCs/>
          <w:color w:val="000000" w:themeColor="text1"/>
          <w:kern w:val="0"/>
          <w:sz w:val="32"/>
          <w:szCs w:val="32"/>
          <w:rtl/>
          <w14:ligatures w14:val="none"/>
        </w:rPr>
        <w:t>السؤال الرئيسي</w:t>
      </w:r>
    </w:p>
    <w:p w14:paraId="41A44791"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ما أثر خطط استمرارية الأعمال بأبعادها (تحليل الأثر على الأعمال، تقييم المخاطر والتهديدات، استراتيجيات التعافي والاستجابة، الاختبار والتمرين والتحسين المستمر) على استمرارية سلسلة الإمداد في ظل الأزمات في الشركات الكبرى بالمملكة العربية السعودية؟</w:t>
      </w:r>
    </w:p>
    <w:p w14:paraId="62882E36" w14:textId="77777777" w:rsidR="00057A28" w:rsidRPr="00063135" w:rsidRDefault="00057A2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Pr="00063135">
        <w:rPr>
          <w:rFonts w:ascii="Simplified Arabic" w:eastAsia="Times New Roman" w:hAnsi="Simplified Arabic" w:cs="Simplified Arabic"/>
          <w:b/>
          <w:bCs/>
          <w:color w:val="000000" w:themeColor="text1"/>
          <w:kern w:val="0"/>
          <w:sz w:val="28"/>
          <w:szCs w:val="28"/>
          <w14:ligatures w14:val="none"/>
        </w:rPr>
        <w:t>:</w:t>
      </w:r>
    </w:p>
    <w:p w14:paraId="0997FB49" w14:textId="419D48DF" w:rsidR="00057A28" w:rsidRPr="00063135" w:rsidRDefault="00057A28" w:rsidP="005E5C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ما أثر تحليل الأثر على الأعمال على استمرارية سلسلة الإمداد في ظل الأزمات في الشركات الكبرى بالمملكة العربية السعودية؟</w:t>
      </w:r>
    </w:p>
    <w:p w14:paraId="268FC6EF" w14:textId="4A016F9F" w:rsidR="00057A28" w:rsidRPr="00063135" w:rsidRDefault="00057A28" w:rsidP="005E5C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ما أثر تقييم المخاطر والتهديدات على استمرارية سلسلة الإمداد في ظل الأزمات في الشركات الكبرى بالمملكة العربية السعودية؟</w:t>
      </w:r>
    </w:p>
    <w:p w14:paraId="74CF8721" w14:textId="34241415" w:rsidR="00057A28" w:rsidRPr="00063135" w:rsidRDefault="00057A28" w:rsidP="005E5C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ما أثر استراتيجيات التعافي والاستجابة على استمرارية سلسلة الإمداد في ظل الأزمات في الشركات الكبرى بالمملكة العربية السعودية؟</w:t>
      </w:r>
    </w:p>
    <w:p w14:paraId="587FE1B1" w14:textId="672343FE" w:rsidR="00057A28" w:rsidRPr="00063135" w:rsidRDefault="00057A28" w:rsidP="005E5CFA">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ما أثر الاختبار والتمرين والتحسين المستمر على استمرارية سلسلة الإمداد في ظل الأزمات في الشركات الكبرى بالمملكة العربية السعودية؟</w:t>
      </w:r>
    </w:p>
    <w:p w14:paraId="75F77A46" w14:textId="77777777" w:rsidR="005E5CFA" w:rsidRPr="00063135" w:rsidRDefault="005E5CFA" w:rsidP="005E5CF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923263"/>
      <w:r w:rsidRPr="00063135">
        <w:rPr>
          <w:rFonts w:ascii="Simplified Arabic" w:eastAsia="Times New Roman" w:hAnsi="Simplified Arabic" w:cs="Simplified Arabic"/>
          <w:b/>
          <w:bCs/>
          <w:color w:val="000000" w:themeColor="text1"/>
          <w:kern w:val="0"/>
          <w:sz w:val="36"/>
          <w:szCs w:val="36"/>
          <w:rtl/>
          <w14:ligatures w14:val="none"/>
        </w:rPr>
        <w:t>5.1 فروض الدراسة</w:t>
      </w:r>
      <w:bookmarkEnd w:id="8"/>
    </w:p>
    <w:p w14:paraId="235BF68C" w14:textId="321AD780" w:rsidR="005E5CFA" w:rsidRPr="00063135" w:rsidRDefault="005E5CFA"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63135">
        <w:rPr>
          <w:rFonts w:ascii="Simplified Arabic" w:eastAsia="Times New Roman" w:hAnsi="Simplified Arabic" w:cs="Simplified Arabic"/>
          <w:b/>
          <w:bCs/>
          <w:color w:val="000000" w:themeColor="text1"/>
          <w:kern w:val="0"/>
          <w:sz w:val="32"/>
          <w:szCs w:val="32"/>
          <w:rtl/>
          <w14:ligatures w14:val="none"/>
        </w:rPr>
        <w:t>الفرض الرئيسي</w:t>
      </w:r>
    </w:p>
    <w:p w14:paraId="077D6CB5" w14:textId="790C890D" w:rsidR="00057A28" w:rsidRPr="00063135" w:rsidRDefault="00057A28" w:rsidP="005E5CFA">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H0: </w:t>
      </w:r>
      <w:r w:rsidRPr="000631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Cambria" w:eastAsia="Times New Roman" w:hAnsi="Cambria" w:cs="Cambria"/>
          <w:color w:val="000000" w:themeColor="text1"/>
          <w:kern w:val="0"/>
          <w:sz w:val="28"/>
          <w:szCs w:val="28"/>
          <w14:ligatures w14:val="none"/>
        </w:rPr>
        <w:t>α</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Times New Roman" w:eastAsia="Times New Roman" w:hAnsi="Times New Roman" w:cs="Times New Roman"/>
          <w:color w:val="000000" w:themeColor="text1"/>
          <w:kern w:val="0"/>
          <w:sz w:val="28"/>
          <w:szCs w:val="28"/>
          <w14:ligatures w14:val="none"/>
        </w:rPr>
        <w:t>≤</w:t>
      </w:r>
      <w:r w:rsidRPr="00063135">
        <w:rPr>
          <w:rFonts w:ascii="Simplified Arabic" w:eastAsia="Times New Roman" w:hAnsi="Simplified Arabic" w:cs="Simplified Arabic"/>
          <w:color w:val="000000" w:themeColor="text1"/>
          <w:kern w:val="0"/>
          <w:sz w:val="28"/>
          <w:szCs w:val="28"/>
          <w14:ligatures w14:val="none"/>
        </w:rPr>
        <w:t xml:space="preserve"> 0.05) </w:t>
      </w:r>
      <w:r w:rsidRPr="00063135">
        <w:rPr>
          <w:rFonts w:ascii="Simplified Arabic" w:eastAsia="Times New Roman" w:hAnsi="Simplified Arabic" w:cs="Simplified Arabic"/>
          <w:color w:val="000000" w:themeColor="text1"/>
          <w:kern w:val="0"/>
          <w:sz w:val="28"/>
          <w:szCs w:val="28"/>
          <w:rtl/>
          <w14:ligatures w14:val="none"/>
        </w:rPr>
        <w:t xml:space="preserve">لخطط استمرارية الأعمال بأبعادها </w:t>
      </w:r>
      <w:r w:rsidR="005E5CFA" w:rsidRPr="00063135">
        <w:rPr>
          <w:rFonts w:ascii="Simplified Arabic" w:eastAsia="Times New Roman" w:hAnsi="Simplified Arabic" w:cs="Simplified Arabic" w:hint="cs"/>
          <w:color w:val="000000" w:themeColor="text1"/>
          <w:kern w:val="0"/>
          <w:sz w:val="28"/>
          <w:szCs w:val="28"/>
          <w:rtl/>
          <w14:ligatures w14:val="none"/>
        </w:rPr>
        <w:t>(</w:t>
      </w:r>
      <w:r w:rsidRPr="00063135">
        <w:rPr>
          <w:rFonts w:ascii="Simplified Arabic" w:eastAsia="Times New Roman" w:hAnsi="Simplified Arabic" w:cs="Simplified Arabic"/>
          <w:color w:val="000000" w:themeColor="text1"/>
          <w:kern w:val="0"/>
          <w:sz w:val="28"/>
          <w:szCs w:val="28"/>
          <w:rtl/>
          <w14:ligatures w14:val="none"/>
        </w:rPr>
        <w:t>تحليل الأثر على الأعمال، تقييم المخاطر والتهديدات، استراتيجيات التعافي والاستجابة، الاختبار والتمرين والتحسين المستمر) 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71C01958" w14:textId="77777777" w:rsidR="00057A28" w:rsidRPr="00063135" w:rsidRDefault="00057A28"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4726648"/>
      <w:r w:rsidRPr="00063135">
        <w:rPr>
          <w:rFonts w:ascii="Simplified Arabic" w:eastAsia="Times New Roman" w:hAnsi="Simplified Arabic" w:cs="Simplified Arabic"/>
          <w:b/>
          <w:bCs/>
          <w:color w:val="000000" w:themeColor="text1"/>
          <w:kern w:val="0"/>
          <w:sz w:val="32"/>
          <w:szCs w:val="32"/>
          <w:rtl/>
          <w14:ligatures w14:val="none"/>
        </w:rPr>
        <w:t>الفروض الفرعية</w:t>
      </w:r>
      <w:bookmarkEnd w:id="9"/>
    </w:p>
    <w:p w14:paraId="71992AA5" w14:textId="77777777" w:rsidR="00057A28" w:rsidRPr="00063135" w:rsidRDefault="00057A28" w:rsidP="005E5CFA">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H01: </w:t>
      </w:r>
      <w:r w:rsidRPr="000631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Cambria" w:eastAsia="Times New Roman" w:hAnsi="Cambria" w:cs="Cambria"/>
          <w:color w:val="000000" w:themeColor="text1"/>
          <w:kern w:val="0"/>
          <w:sz w:val="28"/>
          <w:szCs w:val="28"/>
          <w14:ligatures w14:val="none"/>
        </w:rPr>
        <w:t>α</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Times New Roman" w:eastAsia="Times New Roman" w:hAnsi="Times New Roman" w:cs="Times New Roman"/>
          <w:color w:val="000000" w:themeColor="text1"/>
          <w:kern w:val="0"/>
          <w:sz w:val="28"/>
          <w:szCs w:val="28"/>
          <w14:ligatures w14:val="none"/>
        </w:rPr>
        <w:t>≤</w:t>
      </w:r>
      <w:r w:rsidRPr="00063135">
        <w:rPr>
          <w:rFonts w:ascii="Simplified Arabic" w:eastAsia="Times New Roman" w:hAnsi="Simplified Arabic" w:cs="Simplified Arabic"/>
          <w:color w:val="000000" w:themeColor="text1"/>
          <w:kern w:val="0"/>
          <w:sz w:val="28"/>
          <w:szCs w:val="28"/>
          <w14:ligatures w14:val="none"/>
        </w:rPr>
        <w:t xml:space="preserve"> 0.05) </w:t>
      </w:r>
      <w:r w:rsidRPr="00063135">
        <w:rPr>
          <w:rFonts w:ascii="Simplified Arabic" w:eastAsia="Times New Roman" w:hAnsi="Simplified Arabic" w:cs="Simplified Arabic"/>
          <w:color w:val="000000" w:themeColor="text1"/>
          <w:kern w:val="0"/>
          <w:sz w:val="28"/>
          <w:szCs w:val="28"/>
          <w:rtl/>
          <w14:ligatures w14:val="none"/>
        </w:rPr>
        <w:t>لتحليل الأثر على الأعمال 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1C05E884" w14:textId="77777777" w:rsidR="00057A28" w:rsidRPr="00063135" w:rsidRDefault="00057A28" w:rsidP="005E5CFA">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H02: </w:t>
      </w:r>
      <w:r w:rsidRPr="000631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Cambria" w:eastAsia="Times New Roman" w:hAnsi="Cambria" w:cs="Cambria"/>
          <w:color w:val="000000" w:themeColor="text1"/>
          <w:kern w:val="0"/>
          <w:sz w:val="28"/>
          <w:szCs w:val="28"/>
          <w14:ligatures w14:val="none"/>
        </w:rPr>
        <w:t>α</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Times New Roman" w:eastAsia="Times New Roman" w:hAnsi="Times New Roman" w:cs="Times New Roman"/>
          <w:color w:val="000000" w:themeColor="text1"/>
          <w:kern w:val="0"/>
          <w:sz w:val="28"/>
          <w:szCs w:val="28"/>
          <w14:ligatures w14:val="none"/>
        </w:rPr>
        <w:t>≤</w:t>
      </w:r>
      <w:r w:rsidRPr="00063135">
        <w:rPr>
          <w:rFonts w:ascii="Simplified Arabic" w:eastAsia="Times New Roman" w:hAnsi="Simplified Arabic" w:cs="Simplified Arabic"/>
          <w:color w:val="000000" w:themeColor="text1"/>
          <w:kern w:val="0"/>
          <w:sz w:val="28"/>
          <w:szCs w:val="28"/>
          <w14:ligatures w14:val="none"/>
        </w:rPr>
        <w:t xml:space="preserve"> 0.05) </w:t>
      </w:r>
      <w:r w:rsidRPr="00063135">
        <w:rPr>
          <w:rFonts w:ascii="Simplified Arabic" w:eastAsia="Times New Roman" w:hAnsi="Simplified Arabic" w:cs="Simplified Arabic"/>
          <w:color w:val="000000" w:themeColor="text1"/>
          <w:kern w:val="0"/>
          <w:sz w:val="28"/>
          <w:szCs w:val="28"/>
          <w:rtl/>
          <w14:ligatures w14:val="none"/>
        </w:rPr>
        <w:t>لتقييم المخاطر والتهديدات 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29B5CB13" w14:textId="77777777" w:rsidR="00057A28" w:rsidRPr="00063135" w:rsidRDefault="00057A28" w:rsidP="005E5CFA">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lastRenderedPageBreak/>
        <w:t xml:space="preserve">H03: </w:t>
      </w:r>
      <w:r w:rsidRPr="000631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Cambria" w:eastAsia="Times New Roman" w:hAnsi="Cambria" w:cs="Cambria"/>
          <w:color w:val="000000" w:themeColor="text1"/>
          <w:kern w:val="0"/>
          <w:sz w:val="28"/>
          <w:szCs w:val="28"/>
          <w14:ligatures w14:val="none"/>
        </w:rPr>
        <w:t>α</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Times New Roman" w:eastAsia="Times New Roman" w:hAnsi="Times New Roman" w:cs="Times New Roman"/>
          <w:color w:val="000000" w:themeColor="text1"/>
          <w:kern w:val="0"/>
          <w:sz w:val="28"/>
          <w:szCs w:val="28"/>
          <w14:ligatures w14:val="none"/>
        </w:rPr>
        <w:t>≤</w:t>
      </w:r>
      <w:r w:rsidRPr="00063135">
        <w:rPr>
          <w:rFonts w:ascii="Simplified Arabic" w:eastAsia="Times New Roman" w:hAnsi="Simplified Arabic" w:cs="Simplified Arabic"/>
          <w:color w:val="000000" w:themeColor="text1"/>
          <w:kern w:val="0"/>
          <w:sz w:val="28"/>
          <w:szCs w:val="28"/>
          <w14:ligatures w14:val="none"/>
        </w:rPr>
        <w:t xml:space="preserve"> 0.05) </w:t>
      </w:r>
      <w:r w:rsidRPr="00063135">
        <w:rPr>
          <w:rFonts w:ascii="Simplified Arabic" w:eastAsia="Times New Roman" w:hAnsi="Simplified Arabic" w:cs="Simplified Arabic"/>
          <w:color w:val="000000" w:themeColor="text1"/>
          <w:kern w:val="0"/>
          <w:sz w:val="28"/>
          <w:szCs w:val="28"/>
          <w:rtl/>
          <w14:ligatures w14:val="none"/>
        </w:rPr>
        <w:t>لاستراتيجيات التعافي والاستجابة 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3E3C5771" w14:textId="77777777" w:rsidR="00057A28" w:rsidRPr="00063135" w:rsidRDefault="00057A28" w:rsidP="005E5CFA">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H04: </w:t>
      </w:r>
      <w:r w:rsidRPr="00063135">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Cambria" w:eastAsia="Times New Roman" w:hAnsi="Cambria" w:cs="Cambria"/>
          <w:color w:val="000000" w:themeColor="text1"/>
          <w:kern w:val="0"/>
          <w:sz w:val="28"/>
          <w:szCs w:val="28"/>
          <w14:ligatures w14:val="none"/>
        </w:rPr>
        <w:t>α</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Times New Roman" w:eastAsia="Times New Roman" w:hAnsi="Times New Roman" w:cs="Times New Roman"/>
          <w:color w:val="000000" w:themeColor="text1"/>
          <w:kern w:val="0"/>
          <w:sz w:val="28"/>
          <w:szCs w:val="28"/>
          <w14:ligatures w14:val="none"/>
        </w:rPr>
        <w:t>≤</w:t>
      </w:r>
      <w:r w:rsidRPr="00063135">
        <w:rPr>
          <w:rFonts w:ascii="Simplified Arabic" w:eastAsia="Times New Roman" w:hAnsi="Simplified Arabic" w:cs="Simplified Arabic"/>
          <w:color w:val="000000" w:themeColor="text1"/>
          <w:kern w:val="0"/>
          <w:sz w:val="28"/>
          <w:szCs w:val="28"/>
          <w14:ligatures w14:val="none"/>
        </w:rPr>
        <w:t xml:space="preserve"> 0.05) </w:t>
      </w:r>
      <w:r w:rsidRPr="00063135">
        <w:rPr>
          <w:rFonts w:ascii="Simplified Arabic" w:eastAsia="Times New Roman" w:hAnsi="Simplified Arabic" w:cs="Simplified Arabic"/>
          <w:color w:val="000000" w:themeColor="text1"/>
          <w:kern w:val="0"/>
          <w:sz w:val="28"/>
          <w:szCs w:val="28"/>
          <w:rtl/>
          <w14:ligatures w14:val="none"/>
        </w:rPr>
        <w:t>للاختبار والتمرين والتحسين المستمر على استمرارية سلسلة الإمداد في ظل الأزمات في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2ED882C1" w14:textId="77777777" w:rsidR="005E5CFA" w:rsidRPr="00063135" w:rsidRDefault="005E5CFA" w:rsidP="005E5CF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923264"/>
      <w:r w:rsidRPr="00063135">
        <w:rPr>
          <w:rFonts w:ascii="Simplified Arabic" w:eastAsia="Times New Roman" w:hAnsi="Simplified Arabic" w:cs="Simplified Arabic"/>
          <w:b/>
          <w:bCs/>
          <w:color w:val="000000" w:themeColor="text1"/>
          <w:kern w:val="0"/>
          <w:sz w:val="36"/>
          <w:szCs w:val="36"/>
          <w:rtl/>
          <w14:ligatures w14:val="none"/>
        </w:rPr>
        <w:t>6.1 أهمية الدراسة</w:t>
      </w:r>
      <w:bookmarkEnd w:id="10"/>
    </w:p>
    <w:p w14:paraId="0AE78187" w14:textId="431CECD9" w:rsidR="005E5CFA" w:rsidRPr="00063135" w:rsidRDefault="005E5CFA"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063135">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7B589E1" w14:textId="0BC90355" w:rsidR="00057A28" w:rsidRPr="00063135" w:rsidRDefault="00057A28" w:rsidP="005E5CFA">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تُسهم هذه الدراسة في إثراء الأدبيات العربية المتعلقة بإدارة استمرارية الأعمال وسلاسل الإمداد، إذ تُقدّم إطاراً نظرياً متكاملاً يربط بين خطط استمرارية الأعمال بأبعادها الأربعة واستمرارية سلسلة الإمداد في ظل الأزمات، وهو مجال لا يزال يعاني من ندرة واضحة في الدراسات العربية بشكل عام والسعودية بشكل خاص</w:t>
      </w:r>
      <w:r w:rsidRPr="00063135">
        <w:rPr>
          <w:rFonts w:ascii="Simplified Arabic" w:eastAsia="Times New Roman" w:hAnsi="Simplified Arabic" w:cs="Simplified Arabic"/>
          <w:color w:val="000000" w:themeColor="text1"/>
          <w:kern w:val="0"/>
          <w:sz w:val="28"/>
          <w:szCs w:val="28"/>
          <w14:ligatures w14:val="none"/>
        </w:rPr>
        <w:t>.</w:t>
      </w:r>
    </w:p>
    <w:p w14:paraId="4A775394" w14:textId="0CBDBB27" w:rsidR="00057A28" w:rsidRPr="00063135" w:rsidRDefault="00057A28" w:rsidP="005E5CFA">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تُسهم الدراسة في سد فجوة معرفية واضحة في الأدبيات الأكاديمية، حيث أن غالبية الدراسات السابقة تناولت إدارة استمرارية الأعمال في قطاعات مصرفية أو صحية، بينما تُركّز هذه الدراسة على الشركات الكبرى متعددة القطاعات في المملكة العربية السعودية، مما يوفر منظوراً أوسع وأشمل</w:t>
      </w:r>
      <w:r w:rsidRPr="00063135">
        <w:rPr>
          <w:rFonts w:ascii="Simplified Arabic" w:eastAsia="Times New Roman" w:hAnsi="Simplified Arabic" w:cs="Simplified Arabic"/>
          <w:color w:val="000000" w:themeColor="text1"/>
          <w:kern w:val="0"/>
          <w:sz w:val="28"/>
          <w:szCs w:val="28"/>
          <w14:ligatures w14:val="none"/>
        </w:rPr>
        <w:t>.</w:t>
      </w:r>
    </w:p>
    <w:p w14:paraId="5ECE429C" w14:textId="0CE95F72" w:rsidR="00057A28" w:rsidRPr="00063135" w:rsidRDefault="00057A28" w:rsidP="005E5CFA">
      <w:pPr>
        <w:pStyle w:val="ListParagraph"/>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تُقدّم الدراسة نموذجاً بحثياً يمكن أن يُشكّل أساساً للباحثين في إجراء دراسات مستقبلية في بيئات تنظيمية مختلفة، كما يمكن تطويره واختباره في سياقات ثقافية واقتصادية متنوعة</w:t>
      </w:r>
      <w:r w:rsidRPr="00063135">
        <w:rPr>
          <w:rFonts w:ascii="Simplified Arabic" w:eastAsia="Times New Roman" w:hAnsi="Simplified Arabic" w:cs="Simplified Arabic"/>
          <w:color w:val="000000" w:themeColor="text1"/>
          <w:kern w:val="0"/>
          <w:sz w:val="28"/>
          <w:szCs w:val="28"/>
          <w14:ligatures w14:val="none"/>
        </w:rPr>
        <w:t>.</w:t>
      </w:r>
    </w:p>
    <w:p w14:paraId="0E0957C4" w14:textId="77777777" w:rsidR="00057A28" w:rsidRPr="00063135" w:rsidRDefault="00057A28"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4726651"/>
      <w:r w:rsidRPr="00063135">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1"/>
    </w:p>
    <w:p w14:paraId="1778B686" w14:textId="6FFF600B" w:rsidR="00057A28" w:rsidRPr="00063135" w:rsidRDefault="00057A28" w:rsidP="005E5CF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تكتسب هذه الدراسة أهمية عملية بالغة كونها تتماشى مع أهداف رؤية المملكة العربية السعودية 2030 التي تسعى إلى تعزيز مرونة الاقتصاد الوطني وتنويع مصادر الدخل وتقليل الاعتماد على النفط، حيث تُقدّم الدراسة رؤى عملية للشركات الكبرى حول كيفية تعزيز استمرارية سلاسل إمدادها</w:t>
      </w:r>
      <w:r w:rsidRPr="00063135">
        <w:rPr>
          <w:rFonts w:ascii="Simplified Arabic" w:eastAsia="Times New Roman" w:hAnsi="Simplified Arabic" w:cs="Simplified Arabic"/>
          <w:color w:val="000000" w:themeColor="text1"/>
          <w:kern w:val="0"/>
          <w:sz w:val="28"/>
          <w:szCs w:val="28"/>
          <w14:ligatures w14:val="none"/>
        </w:rPr>
        <w:t>.</w:t>
      </w:r>
    </w:p>
    <w:p w14:paraId="0CFEEEA0" w14:textId="331478B6" w:rsidR="00057A28" w:rsidRPr="00063135" w:rsidRDefault="00057A28" w:rsidP="005E5CF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تُزوّد الدراسة المديرين التنفيذيين وصانعي القرار في الشركات الكبرى بالمملكة بمعلومات دقيقة وموثوقة حول مستوى تطبيق خطط استمرارية الأعمال ومدى فاعليتها في حماية سلاسل الإمداد، مما يُساعدهم في اتخاذ قرارات استراتيجية مبنية على أدلة علمية</w:t>
      </w:r>
      <w:r w:rsidRPr="00063135">
        <w:rPr>
          <w:rFonts w:ascii="Simplified Arabic" w:eastAsia="Times New Roman" w:hAnsi="Simplified Arabic" w:cs="Simplified Arabic"/>
          <w:color w:val="000000" w:themeColor="text1"/>
          <w:kern w:val="0"/>
          <w:sz w:val="28"/>
          <w:szCs w:val="28"/>
          <w14:ligatures w14:val="none"/>
        </w:rPr>
        <w:t>.</w:t>
      </w:r>
    </w:p>
    <w:p w14:paraId="2B152F97" w14:textId="3367BB8E" w:rsidR="00057A28" w:rsidRPr="00063135" w:rsidRDefault="00057A28" w:rsidP="005E5CF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تُسهم نتائج الدراسة وتوصياتها في تحسين مستوى الجاهزية المؤسسية للشركات الكبرى في مواجهة الأزمات المستقبلية المحتملة، سواء كانت أوبئة أو أزمات اقتصادية أو كوارث طبيعية أو اضطرابات جيوسياسية</w:t>
      </w:r>
      <w:r w:rsidRPr="00063135">
        <w:rPr>
          <w:rFonts w:ascii="Simplified Arabic" w:eastAsia="Times New Roman" w:hAnsi="Simplified Arabic" w:cs="Simplified Arabic"/>
          <w:color w:val="000000" w:themeColor="text1"/>
          <w:kern w:val="0"/>
          <w:sz w:val="28"/>
          <w:szCs w:val="28"/>
          <w14:ligatures w14:val="none"/>
        </w:rPr>
        <w:t>.</w:t>
      </w:r>
    </w:p>
    <w:p w14:paraId="66CF87EC" w14:textId="2D92FD78" w:rsidR="00057A28" w:rsidRPr="00063135" w:rsidRDefault="00057A28" w:rsidP="005E5CFA">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تُساعد الدراسة الشركات الكبرى على تعزيز قدرتها التنافسية من خلال تبني أفضل الممارسات العالمية في إدارة استمرارية الأعمال وسلاسل الإمداد، مما يُعزّز موقعها التنافسي محلياً وإقليمياً ودولياً</w:t>
      </w:r>
      <w:r w:rsidRPr="00063135">
        <w:rPr>
          <w:rFonts w:ascii="Simplified Arabic" w:eastAsia="Times New Roman" w:hAnsi="Simplified Arabic" w:cs="Simplified Arabic"/>
          <w:color w:val="000000" w:themeColor="text1"/>
          <w:kern w:val="0"/>
          <w:sz w:val="28"/>
          <w:szCs w:val="28"/>
          <w14:ligatures w14:val="none"/>
        </w:rPr>
        <w:t>.</w:t>
      </w:r>
    </w:p>
    <w:p w14:paraId="6538BBCB" w14:textId="77777777" w:rsidR="005E5CFA" w:rsidRPr="00063135" w:rsidRDefault="005E5CFA" w:rsidP="005E5CF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169790501"/>
      <w:bookmarkStart w:id="13" w:name="_Toc233923265"/>
      <w:bookmarkEnd w:id="4"/>
      <w:r w:rsidRPr="00063135">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7448A94E" w14:textId="4C893722" w:rsidR="005E5CFA" w:rsidRPr="00063135" w:rsidRDefault="005E5CFA"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63135">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3FCA074E" w14:textId="77777777" w:rsidR="00057A28" w:rsidRPr="00063135" w:rsidRDefault="00057A28"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(قندوز، 2022) بعنوان: "إدارة سلاسل الإمداد الدولية في ظل أزمة كوفيد-19</w:t>
      </w:r>
      <w:r w:rsidRPr="00063135">
        <w:rPr>
          <w:rFonts w:ascii="Simplified Arabic" w:eastAsia="Times New Roman" w:hAnsi="Simplified Arabic" w:cs="Simplified Arabic"/>
          <w:b/>
          <w:bCs/>
          <w:color w:val="000000" w:themeColor="text1"/>
          <w:kern w:val="0"/>
          <w:sz w:val="28"/>
          <w:szCs w:val="28"/>
          <w14:ligatures w14:val="none"/>
        </w:rPr>
        <w:t>"</w:t>
      </w:r>
    </w:p>
    <w:p w14:paraId="4487224A"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المفاهيم المتعلقة بإدارة سلاسل الإمداد الدولية بأبعادها (مفهوم سلاسل الإمداد الدولية ومكوناتها، خصائصها، مبادئها) وتأثير أزمة كوفيد-19 عليها</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القائم على المراجعة النظرية والتأطير المفاهيمي للأدبيات ذات الصلة. وتناولت الدراسة تحليلاً معمقاً لمكونات سلاسل الإمداد الدولية وكيفية تأثرها بالجائحة. وتوصلت نتائج الدراسة إلى أن أزمة كوفيد-19 أحدثت اضطراباً جوهرياً في سلاسل الإمداد الدولية نتيجة لإغلاق المصانع وتقييد حركة النقل وتغير أنماط الطلب العالمي، كما بيّنت أن المؤسسات التي اعتمدت على استراتيجيات مرنة في إدارة سلاسل الإمداد كانت أكثر قدرة على التكيف مع الأزمة. وأوصت الدراسة بضرورة تبني المؤسسات لاستراتيجيات استباقية لإدارة سلاسل الإمداد وتنويع مصادر التوريد وتعزيز الرقمنة في عمليات الإمداد</w:t>
      </w:r>
      <w:r w:rsidRPr="00063135">
        <w:rPr>
          <w:rFonts w:ascii="Simplified Arabic" w:eastAsia="Times New Roman" w:hAnsi="Simplified Arabic" w:cs="Simplified Arabic"/>
          <w:color w:val="000000" w:themeColor="text1"/>
          <w:kern w:val="0"/>
          <w:sz w:val="28"/>
          <w:szCs w:val="28"/>
          <w14:ligatures w14:val="none"/>
        </w:rPr>
        <w:t>.</w:t>
      </w:r>
    </w:p>
    <w:p w14:paraId="0588B4A5"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(شديد، 2022) بعنوان: "استمرارية الأعمال في مواجهة الأزمات والمخاطر: دراسة حالة وزارة الصحة المصرية في ظل أزمة كورونا</w:t>
      </w:r>
      <w:r w:rsidRPr="00063135">
        <w:rPr>
          <w:rFonts w:ascii="Simplified Arabic" w:eastAsia="Times New Roman" w:hAnsi="Simplified Arabic" w:cs="Simplified Arabic"/>
          <w:b/>
          <w:bCs/>
          <w:color w:val="000000" w:themeColor="text1"/>
          <w:kern w:val="0"/>
          <w:sz w:val="28"/>
          <w:szCs w:val="28"/>
          <w14:ligatures w14:val="none"/>
        </w:rPr>
        <w:t>"</w:t>
      </w:r>
    </w:p>
    <w:p w14:paraId="12453ED9" w14:textId="1927F002"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استمرارية الأعمال بأبعادها (التخطيط لاستمرارية الأعمال، إدارة الأزمات، التعافي من الكوارث) في مواجهة الأزمات والمخاطر في وزارة الصحة المصرية خلال أزمة كورونا. واستخدمت الدراسة منهج دراسة الحالة، وتكونت العينة من العاملين في وزارة الصحة المصرية المعنيين بإدارة الأزمة، واعتمدت على الاستبانة والمقابلات كأدوات لجمع البيانات. وتوصلت نتائج الدراسة إلى أن وزارة الصحة المصرية اتخذت إجراءات عديدة لضمان استمرارية أعمالها في ظل أزمة كورونا، إلا </w:t>
      </w:r>
      <w:r w:rsidRPr="00063135">
        <w:rPr>
          <w:rFonts w:ascii="Simplified Arabic" w:eastAsia="Times New Roman" w:hAnsi="Simplified Arabic" w:cs="Simplified Arabic"/>
          <w:color w:val="000000" w:themeColor="text1"/>
          <w:kern w:val="0"/>
          <w:sz w:val="28"/>
          <w:szCs w:val="28"/>
          <w:rtl/>
          <w14:ligatures w14:val="none"/>
        </w:rPr>
        <w:lastRenderedPageBreak/>
        <w:t>أن هناك بعض التحديات في التخطيط المسبق والتنسيق بين الجهات المختلفة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وأوصت الدراسة بضرورة وضع خطط شاملة لاستمرارية الأعمال وتطوير أنظمة الإنذار المبكر وتعزيز القدرات المؤسسية لمواجهة الأزمات المستقبلية</w:t>
      </w:r>
      <w:r w:rsidRPr="00063135">
        <w:rPr>
          <w:rFonts w:ascii="Simplified Arabic" w:eastAsia="Times New Roman" w:hAnsi="Simplified Arabic" w:cs="Simplified Arabic"/>
          <w:color w:val="000000" w:themeColor="text1"/>
          <w:kern w:val="0"/>
          <w:sz w:val="28"/>
          <w:szCs w:val="28"/>
          <w14:ligatures w14:val="none"/>
        </w:rPr>
        <w:t>.</w:t>
      </w:r>
    </w:p>
    <w:p w14:paraId="6E3BC912" w14:textId="77777777" w:rsidR="00057A28" w:rsidRPr="00063135" w:rsidRDefault="00057A28"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(علاق، 2023) بعنوان: "استخدام تقنية سلسلة الكتل لتحسين أداء سلسلة الإمداد</w:t>
      </w:r>
      <w:r w:rsidRPr="00063135">
        <w:rPr>
          <w:rFonts w:ascii="Simplified Arabic" w:eastAsia="Times New Roman" w:hAnsi="Simplified Arabic" w:cs="Simplified Arabic"/>
          <w:b/>
          <w:bCs/>
          <w:color w:val="000000" w:themeColor="text1"/>
          <w:kern w:val="0"/>
          <w:sz w:val="28"/>
          <w:szCs w:val="28"/>
          <w14:ligatures w14:val="none"/>
        </w:rPr>
        <w:t>"</w:t>
      </w:r>
    </w:p>
    <w:p w14:paraId="069DA0F8"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أهمية استخدام تقنية سلسلة الكتل</w:t>
      </w:r>
      <w:r w:rsidRPr="00063135">
        <w:rPr>
          <w:rFonts w:ascii="Simplified Arabic" w:eastAsia="Times New Roman" w:hAnsi="Simplified Arabic" w:cs="Simplified Arabic"/>
          <w:color w:val="000000" w:themeColor="text1"/>
          <w:kern w:val="0"/>
          <w:sz w:val="28"/>
          <w:szCs w:val="28"/>
          <w14:ligatures w14:val="none"/>
        </w:rPr>
        <w:t xml:space="preserve"> (Blockchain) </w:t>
      </w:r>
      <w:r w:rsidRPr="00063135">
        <w:rPr>
          <w:rFonts w:ascii="Simplified Arabic" w:eastAsia="Times New Roman" w:hAnsi="Simplified Arabic" w:cs="Simplified Arabic"/>
          <w:color w:val="000000" w:themeColor="text1"/>
          <w:kern w:val="0"/>
          <w:sz w:val="28"/>
          <w:szCs w:val="28"/>
          <w:rtl/>
          <w14:ligatures w14:val="none"/>
        </w:rPr>
        <w:t>بأبعادها (اللّامركزية، التشفير، تتبع المنتجات، تأمين التبادلات) في تحسين أداء سلسلة الإمداد. واستخدمت الدراسة المنهج الوصفي التحليلي القائم على تحليل الأدبيات والدراسات النظرية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وتوصلت نتائج الدراسة إلى أن استخدام سلسلة الكتل يُسهم إيجابياً في تحسين أداء سلسلة الإمداد، حيث تُمكّن من تأمين التبادلات وتسجيل كافة البيانات المتعلقة بالمعاملات والمنتجات ومشاركتها مع جميع المستخدمين بطريقة آمنة وشفافة، كما تُتيح إمكانية تتبع المنتجات في جميع مراحل إنتاجها وتسويقها والتقليل من المخاطر المحتملة. وأوصت الدراسة بضرورة توجه المؤسسات نحو تبني تقنية سلسلة الكتل لدعم أنظمة سلسلة الإمداد وتحسين أدائها</w:t>
      </w:r>
      <w:r w:rsidRPr="00063135">
        <w:rPr>
          <w:rFonts w:ascii="Simplified Arabic" w:eastAsia="Times New Roman" w:hAnsi="Simplified Arabic" w:cs="Simplified Arabic"/>
          <w:color w:val="000000" w:themeColor="text1"/>
          <w:kern w:val="0"/>
          <w:sz w:val="28"/>
          <w:szCs w:val="28"/>
          <w14:ligatures w14:val="none"/>
        </w:rPr>
        <w:t>.</w:t>
      </w:r>
    </w:p>
    <w:p w14:paraId="1AAF890E"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w:t>
      </w:r>
      <w:r w:rsidRPr="00063135">
        <w:rPr>
          <w:rFonts w:ascii="Simplified Arabic" w:eastAsia="Times New Roman" w:hAnsi="Simplified Arabic" w:cs="Simplified Arabic"/>
          <w:b/>
          <w:bCs/>
          <w:color w:val="000000" w:themeColor="text1"/>
          <w:kern w:val="0"/>
          <w:sz w:val="28"/>
          <w:szCs w:val="28"/>
          <w14:ligatures w14:val="none"/>
        </w:rPr>
        <w:t xml:space="preserve"> (Al-Nimri &amp; Al-Shawabkeh, 2023) </w:t>
      </w:r>
      <w:r w:rsidRPr="00063135">
        <w:rPr>
          <w:rFonts w:ascii="Simplified Arabic" w:eastAsia="Times New Roman" w:hAnsi="Simplified Arabic" w:cs="Simplified Arabic"/>
          <w:b/>
          <w:bCs/>
          <w:color w:val="000000" w:themeColor="text1"/>
          <w:kern w:val="0"/>
          <w:sz w:val="28"/>
          <w:szCs w:val="28"/>
          <w:rtl/>
          <w14:ligatures w14:val="none"/>
        </w:rPr>
        <w:t>بعنوان: "المواءمة الاستراتيجية وأثرها في إدارة استمرارية الأعمال</w:t>
      </w:r>
      <w:r w:rsidRPr="00063135">
        <w:rPr>
          <w:rFonts w:ascii="Simplified Arabic" w:eastAsia="Times New Roman" w:hAnsi="Simplified Arabic" w:cs="Simplified Arabic"/>
          <w:b/>
          <w:bCs/>
          <w:color w:val="000000" w:themeColor="text1"/>
          <w:kern w:val="0"/>
          <w:sz w:val="28"/>
          <w:szCs w:val="28"/>
          <w14:ligatures w14:val="none"/>
        </w:rPr>
        <w:t xml:space="preserve">: </w:t>
      </w:r>
      <w:r w:rsidRPr="00063135">
        <w:rPr>
          <w:rFonts w:ascii="Simplified Arabic" w:eastAsia="Times New Roman" w:hAnsi="Simplified Arabic" w:cs="Simplified Arabic"/>
          <w:b/>
          <w:bCs/>
          <w:color w:val="000000" w:themeColor="text1"/>
          <w:kern w:val="0"/>
          <w:sz w:val="28"/>
          <w:szCs w:val="28"/>
          <w:rtl/>
          <w14:ligatures w14:val="none"/>
        </w:rPr>
        <w:t>الدور الوسيط لخفة الحركة الاستراتيجية في المصارف التجارية الأردنية</w:t>
      </w:r>
      <w:r w:rsidRPr="00063135">
        <w:rPr>
          <w:rFonts w:ascii="Simplified Arabic" w:eastAsia="Times New Roman" w:hAnsi="Simplified Arabic" w:cs="Simplified Arabic"/>
          <w:b/>
          <w:bCs/>
          <w:color w:val="000000" w:themeColor="text1"/>
          <w:kern w:val="0"/>
          <w:sz w:val="28"/>
          <w:szCs w:val="28"/>
          <w14:ligatures w14:val="none"/>
        </w:rPr>
        <w:t>"</w:t>
      </w:r>
    </w:p>
    <w:p w14:paraId="5B29AB43" w14:textId="77777777"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أثر المواءمة الاستراتيجية بأبعادها على إدارة استمرارية الأعمال بوجود خفة الحركة الاستراتيجية كمتغير وسيط في المصارف التجارية الأردنية. واستخدمت الدراسة المنهج الوصفي التحليلي، وتكونت العينة من المديرين في المستويات الإدارية المختلفة بالمصارف التجارية الأردنية، واعتمدت على الاستبانة كأداة لجمع البيانات. وتوصلت نتائج الدراسة إلى وجود أثر ذي دلالة إحصائية للمواءمة الاستراتيجية في إدارة استمرارية الأعمال، وأن خفة الحركة الاستراتيجية تلعب دوراً وسيطاً في تعزيز هذه العلاقة. وأوصت الدراسة بضرورة تبني ممارسات المواءمة الاستراتيجية وتعزيز خفة الحركة الاستراتيجية لتحسين قدرة المصارف على إدارة استمرارية أعمالها</w:t>
      </w:r>
      <w:r w:rsidRPr="00063135">
        <w:rPr>
          <w:rFonts w:ascii="Simplified Arabic" w:eastAsia="Times New Roman" w:hAnsi="Simplified Arabic" w:cs="Simplified Arabic"/>
          <w:color w:val="000000" w:themeColor="text1"/>
          <w:kern w:val="0"/>
          <w:sz w:val="28"/>
          <w:szCs w:val="28"/>
          <w14:ligatures w14:val="none"/>
        </w:rPr>
        <w:t>.</w:t>
      </w:r>
    </w:p>
    <w:p w14:paraId="689C06A0"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(الزعبي والشوابكة، 2023) بعنوان: "أثر تبني نظام استمرارية الأعمال على الميزة التنافسية في شركة السمرا لتوليد الكهرباء</w:t>
      </w:r>
      <w:r w:rsidRPr="00063135">
        <w:rPr>
          <w:rFonts w:ascii="Simplified Arabic" w:eastAsia="Times New Roman" w:hAnsi="Simplified Arabic" w:cs="Simplified Arabic"/>
          <w:b/>
          <w:bCs/>
          <w:color w:val="000000" w:themeColor="text1"/>
          <w:kern w:val="0"/>
          <w:sz w:val="28"/>
          <w:szCs w:val="28"/>
          <w14:ligatures w14:val="none"/>
        </w:rPr>
        <w:t>"</w:t>
      </w:r>
    </w:p>
    <w:p w14:paraId="44B7076F" w14:textId="77777777"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تبني نظام استمرارية الأعمال بأبعاده (تحليل الأثر على الأعمال، تقييم المخاطر، خطط الاستمرارية، الاختبار والتمرين) على الميزة التنافسية في شركة السمرا لتوليد الكهرباء </w:t>
      </w:r>
      <w:r w:rsidRPr="00063135">
        <w:rPr>
          <w:rFonts w:ascii="Simplified Arabic" w:eastAsia="Times New Roman" w:hAnsi="Simplified Arabic" w:cs="Simplified Arabic"/>
          <w:color w:val="000000" w:themeColor="text1"/>
          <w:kern w:val="0"/>
          <w:sz w:val="28"/>
          <w:szCs w:val="28"/>
          <w:rtl/>
          <w14:ligatures w14:val="none"/>
        </w:rPr>
        <w:lastRenderedPageBreak/>
        <w:t>في الأردن. واستخدمت الدراسة المنهج الوصفي التحليلي، وتكونت العينة من العاملين في المستويات الإدارية بالشركة، واعتمدت على الاستبانة كأداة لجمع البيانات. وتوصلت نتائج الدراسة إلى وجود أثر إيجابي ذي دلالة إحصائية لتبني نظام استمرارية الأعمال على تحقيق الميزة التنافسية في الشركة. وأوصت الدراسة بضرورة الاستمرار في تبني وتطوير نظام إدارة استمرارية الأعمال وتعميمه على كافة الوحدات التنظيمية لتعزيز القدرة التنافسية</w:t>
      </w:r>
      <w:r w:rsidRPr="00063135">
        <w:rPr>
          <w:rFonts w:ascii="Simplified Arabic" w:eastAsia="Times New Roman" w:hAnsi="Simplified Arabic" w:cs="Simplified Arabic"/>
          <w:color w:val="000000" w:themeColor="text1"/>
          <w:kern w:val="0"/>
          <w:sz w:val="28"/>
          <w:szCs w:val="28"/>
          <w14:ligatures w14:val="none"/>
        </w:rPr>
        <w:t>.</w:t>
      </w:r>
    </w:p>
    <w:p w14:paraId="3CA508F6"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(حسب الله ومحمد، 2023) بعنوان</w:t>
      </w:r>
      <w:r w:rsidRPr="00063135">
        <w:rPr>
          <w:rFonts w:ascii="Simplified Arabic" w:eastAsia="Times New Roman" w:hAnsi="Simplified Arabic" w:cs="Simplified Arabic"/>
          <w:b/>
          <w:bCs/>
          <w:color w:val="000000" w:themeColor="text1"/>
          <w:kern w:val="0"/>
          <w:sz w:val="28"/>
          <w:szCs w:val="28"/>
          <w14:ligatures w14:val="none"/>
        </w:rPr>
        <w:t>: "</w:t>
      </w:r>
      <w:r w:rsidRPr="00063135">
        <w:rPr>
          <w:rFonts w:ascii="Simplified Arabic" w:eastAsia="Times New Roman" w:hAnsi="Simplified Arabic" w:cs="Simplified Arabic"/>
          <w:b/>
          <w:bCs/>
          <w:color w:val="000000" w:themeColor="text1"/>
          <w:kern w:val="0"/>
          <w:sz w:val="28"/>
          <w:szCs w:val="28"/>
          <w:rtl/>
          <w14:ligatures w14:val="none"/>
        </w:rPr>
        <w:t>دور إدارة المخاطر الاستراتيجية في تحقيق استمرارية الأعمال في المنظمات الأهلية: الدور الوسيط للتمويل المستدام</w:t>
      </w:r>
      <w:r w:rsidRPr="00063135">
        <w:rPr>
          <w:rFonts w:ascii="Simplified Arabic" w:eastAsia="Times New Roman" w:hAnsi="Simplified Arabic" w:cs="Simplified Arabic"/>
          <w:b/>
          <w:bCs/>
          <w:color w:val="000000" w:themeColor="text1"/>
          <w:kern w:val="0"/>
          <w:sz w:val="28"/>
          <w:szCs w:val="28"/>
          <w14:ligatures w14:val="none"/>
        </w:rPr>
        <w:t>"</w:t>
      </w:r>
    </w:p>
    <w:p w14:paraId="5222C5AB" w14:textId="15F764DF"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دور إدارة المخاطر الاستراتيجية بأبعادها (مخاطر الوثائق والمعلومات، مخاطر الثقافة التنظيمية، مخاطر السمعة التنظيمية، مخاطر الموارد البشرية) في تحقيق استمرارية الأعمال بأبعادها (فهم الجمعية وطبيعة عملها، صياغة استراتيجية إدارة استمرارية الأعمال، تطوير وتنفيذ إدارة استمرارية الأعمال، إدامة خطط استمرارية الأعمال) بوجود التمويل المستدام كمتغير وسيط في المنظمات الأهلية. واستخدمت الدراسة المنهج الوصفي التحليلي، وتكونت العينة من</w:t>
      </w:r>
      <w:r w:rsidRPr="00063135">
        <w:rPr>
          <w:rFonts w:ascii="Simplified Arabic" w:eastAsia="Times New Roman" w:hAnsi="Simplified Arabic" w:cs="Simplified Arabic"/>
          <w:color w:val="000000" w:themeColor="text1"/>
          <w:kern w:val="0"/>
          <w:sz w:val="28"/>
          <w:szCs w:val="28"/>
          <w14:ligatures w14:val="none"/>
        </w:rPr>
        <w:t xml:space="preserve"> (371) </w:t>
      </w:r>
      <w:r w:rsidRPr="00063135">
        <w:rPr>
          <w:rFonts w:ascii="Simplified Arabic" w:eastAsia="Times New Roman" w:hAnsi="Simplified Arabic" w:cs="Simplified Arabic"/>
          <w:color w:val="000000" w:themeColor="text1"/>
          <w:kern w:val="0"/>
          <w:sz w:val="28"/>
          <w:szCs w:val="28"/>
          <w:rtl/>
          <w14:ligatures w14:val="none"/>
        </w:rPr>
        <w:t>مفردة من الجمعيات والمؤسسات الأهلية العاملة في مجالات التنمية بأسلوب العينة العشوائية البسيطة، وتم توزيع (500) استبانة وبلغت الاستبانات الصالحة للتحليل (396) استبانة بنسبة 79.2%، واستُخدم برنامجا</w:t>
      </w:r>
      <w:r w:rsidRPr="00063135">
        <w:rPr>
          <w:rFonts w:ascii="Simplified Arabic" w:eastAsia="Times New Roman" w:hAnsi="Simplified Arabic" w:cs="Simplified Arabic"/>
          <w:color w:val="000000" w:themeColor="text1"/>
          <w:kern w:val="0"/>
          <w:sz w:val="28"/>
          <w:szCs w:val="28"/>
          <w14:ligatures w14:val="none"/>
        </w:rPr>
        <w:t xml:space="preserve"> (IBM SPSS 20) </w:t>
      </w:r>
      <w:r w:rsidRPr="00063135">
        <w:rPr>
          <w:rFonts w:ascii="Simplified Arabic" w:eastAsia="Times New Roman" w:hAnsi="Simplified Arabic" w:cs="Simplified Arabic"/>
          <w:color w:val="000000" w:themeColor="text1"/>
          <w:kern w:val="0"/>
          <w:sz w:val="28"/>
          <w:szCs w:val="28"/>
          <w:rtl/>
          <w14:ligatures w14:val="none"/>
        </w:rPr>
        <w:t>و</w:t>
      </w:r>
      <w:r w:rsidRPr="00063135">
        <w:rPr>
          <w:rFonts w:ascii="Simplified Arabic" w:eastAsia="Times New Roman" w:hAnsi="Simplified Arabic" w:cs="Simplified Arabic"/>
          <w:color w:val="000000" w:themeColor="text1"/>
          <w:kern w:val="0"/>
          <w:sz w:val="28"/>
          <w:szCs w:val="28"/>
          <w14:ligatures w14:val="none"/>
        </w:rPr>
        <w:t xml:space="preserve">(AMOS V.20) </w:t>
      </w:r>
      <w:r w:rsidRPr="00063135">
        <w:rPr>
          <w:rFonts w:ascii="Simplified Arabic" w:eastAsia="Times New Roman" w:hAnsi="Simplified Arabic" w:cs="Simplified Arabic"/>
          <w:color w:val="000000" w:themeColor="text1"/>
          <w:kern w:val="0"/>
          <w:sz w:val="28"/>
          <w:szCs w:val="28"/>
          <w:rtl/>
          <w14:ligatures w14:val="none"/>
        </w:rPr>
        <w:t>في التحليل. وتوصلت نتائج الدراسة إلى وجود أثر ذي دلالة إحصائية لإدارة المخاطر الاستراتيجية على استمرارية الأعمال وعلى التمويل المستدام، كما تبيّن وجود دور وسيط للتمويل المستدام في العلاقة بينهما</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وأوصت الدراسة بإجراء دراسات إضافية بأبعاد جديدة لمتغيري إدارة المخاطر الاستراتيجية واستمرارية الأعمال لقلة الدراسات في هذا المجال</w:t>
      </w:r>
      <w:r w:rsidRPr="00063135">
        <w:rPr>
          <w:rFonts w:ascii="Simplified Arabic" w:eastAsia="Times New Roman" w:hAnsi="Simplified Arabic" w:cs="Simplified Arabic"/>
          <w:color w:val="000000" w:themeColor="text1"/>
          <w:kern w:val="0"/>
          <w:sz w:val="28"/>
          <w:szCs w:val="28"/>
          <w14:ligatures w14:val="none"/>
        </w:rPr>
        <w:t>.</w:t>
      </w:r>
    </w:p>
    <w:p w14:paraId="51783829" w14:textId="77777777" w:rsidR="00057A28" w:rsidRPr="00063135" w:rsidRDefault="00057A28"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(عربيات وأبو رمان، 2024) بعنوان: "أثر اليقظة الاستراتيجية في إدارة استمرارية الأعمال: الدور الوسيط للتعلم التنظيمي في البنوك التجارية الأردنية</w:t>
      </w:r>
      <w:r w:rsidRPr="00063135">
        <w:rPr>
          <w:rFonts w:ascii="Simplified Arabic" w:eastAsia="Times New Roman" w:hAnsi="Simplified Arabic" w:cs="Simplified Arabic"/>
          <w:b/>
          <w:bCs/>
          <w:color w:val="000000" w:themeColor="text1"/>
          <w:kern w:val="0"/>
          <w:sz w:val="28"/>
          <w:szCs w:val="28"/>
          <w14:ligatures w14:val="none"/>
        </w:rPr>
        <w:t>"</w:t>
      </w:r>
    </w:p>
    <w:p w14:paraId="0C0F6E90"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اليقظة الاستراتيجية بأبعادها (اليقظة التنافسية، اليقظة التكنولوجية، اليقظة التسويقية، اليقظة البيئية) على إدارة استمرارية الأعمال بوجود التعلم التنظيمي كمتغير وسيط في البنوك التجارية الأردنية. واستخدمت الدراسة المنهج الوصفي التحليلي، وتكونت العينة من مجموعة من المديرين العاملين في الإدارتين العليا والوسطى في البنوك التجارية الأردنية، واعتمدت على الاستبانة كأداة لجمع البيانات. وتوصلت نتائج الدراسة إلى وجود أثر ذي دلالة إحصائية لليقظة الاستراتيجية بأبعادها في </w:t>
      </w:r>
      <w:r w:rsidRPr="00063135">
        <w:rPr>
          <w:rFonts w:ascii="Simplified Arabic" w:eastAsia="Times New Roman" w:hAnsi="Simplified Arabic" w:cs="Simplified Arabic"/>
          <w:color w:val="000000" w:themeColor="text1"/>
          <w:kern w:val="0"/>
          <w:sz w:val="28"/>
          <w:szCs w:val="28"/>
          <w:rtl/>
          <w14:ligatures w14:val="none"/>
        </w:rPr>
        <w:lastRenderedPageBreak/>
        <w:t>إدارة استمرارية الأعمال، وأن التعلم التنظيمي يلعب دوراً وسيطاً في تعزيز هذه العلاقة. وأوصت الدراسة بضرورة تعزيز ممارسات اليقظة الاستراتيجية ودعم ثقافة التعلم التنظيمي في البنوك التجارية الأردنية لتحسين إدارة استمرارية الأعمال</w:t>
      </w:r>
      <w:r w:rsidRPr="00063135">
        <w:rPr>
          <w:rFonts w:ascii="Simplified Arabic" w:eastAsia="Times New Roman" w:hAnsi="Simplified Arabic" w:cs="Simplified Arabic"/>
          <w:color w:val="000000" w:themeColor="text1"/>
          <w:kern w:val="0"/>
          <w:sz w:val="28"/>
          <w:szCs w:val="28"/>
          <w14:ligatures w14:val="none"/>
        </w:rPr>
        <w:t>.</w:t>
      </w:r>
    </w:p>
    <w:p w14:paraId="7EA3FBB6" w14:textId="77777777" w:rsidR="00057A28" w:rsidRPr="00063135" w:rsidRDefault="00057A28"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(موسى والربابعة، 2025) بعنوان</w:t>
      </w:r>
      <w:r w:rsidRPr="00063135">
        <w:rPr>
          <w:rFonts w:ascii="Simplified Arabic" w:eastAsia="Times New Roman" w:hAnsi="Simplified Arabic" w:cs="Simplified Arabic"/>
          <w:b/>
          <w:bCs/>
          <w:color w:val="000000" w:themeColor="text1"/>
          <w:kern w:val="0"/>
          <w:sz w:val="28"/>
          <w:szCs w:val="28"/>
          <w14:ligatures w14:val="none"/>
        </w:rPr>
        <w:t>: "</w:t>
      </w:r>
      <w:r w:rsidRPr="00063135">
        <w:rPr>
          <w:rFonts w:ascii="Simplified Arabic" w:eastAsia="Times New Roman" w:hAnsi="Simplified Arabic" w:cs="Simplified Arabic"/>
          <w:b/>
          <w:bCs/>
          <w:color w:val="000000" w:themeColor="text1"/>
          <w:kern w:val="0"/>
          <w:sz w:val="28"/>
          <w:szCs w:val="28"/>
          <w:rtl/>
          <w14:ligatures w14:val="none"/>
        </w:rPr>
        <w:t>أثر التوجه الريادي على إدارة استمرارية الأعمال: اليقظة الاستراتيجية متغيراً وسيطاً: دراسة ميدانية في البنوك التجارية الأردنية</w:t>
      </w:r>
      <w:r w:rsidRPr="00063135">
        <w:rPr>
          <w:rFonts w:ascii="Simplified Arabic" w:eastAsia="Times New Roman" w:hAnsi="Simplified Arabic" w:cs="Simplified Arabic"/>
          <w:b/>
          <w:bCs/>
          <w:color w:val="000000" w:themeColor="text1"/>
          <w:kern w:val="0"/>
          <w:sz w:val="28"/>
          <w:szCs w:val="28"/>
          <w14:ligatures w14:val="none"/>
        </w:rPr>
        <w:t>"</w:t>
      </w:r>
    </w:p>
    <w:p w14:paraId="73FC6DC0"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التوجه الريادي بأبعاده (الإبداع، الاستباقية، تحمل المخاطرة) على إدارة استمرارية الأعمال بوجود اليقظة الاستراتيجية كمتغير وسيط في البنوك التجارية الأردنية. واستخدمت الدراسة المنهج الوصفي التحليلي، وتكون مجتمع الدراسة من (1082) عنصراً من المديرين العاملين في الإدارتين العليا والوسطى في </w:t>
      </w:r>
      <w:r w:rsidRPr="00063135">
        <w:rPr>
          <w:rFonts w:ascii="Simplified Arabic" w:eastAsia="Times New Roman" w:hAnsi="Simplified Arabic" w:cs="Simplified Arabic"/>
          <w:color w:val="000000" w:themeColor="text1"/>
          <w:kern w:val="0"/>
          <w:sz w:val="28"/>
          <w:szCs w:val="28"/>
          <w14:ligatures w14:val="none"/>
        </w:rPr>
        <w:t xml:space="preserve">(12) </w:t>
      </w:r>
      <w:r w:rsidRPr="00063135">
        <w:rPr>
          <w:rFonts w:ascii="Simplified Arabic" w:eastAsia="Times New Roman" w:hAnsi="Simplified Arabic" w:cs="Simplified Arabic"/>
          <w:color w:val="000000" w:themeColor="text1"/>
          <w:kern w:val="0"/>
          <w:sz w:val="28"/>
          <w:szCs w:val="28"/>
          <w:rtl/>
          <w14:ligatures w14:val="none"/>
        </w:rPr>
        <w:t>بنكاً تجارياً أردنياً، وبلغت العينة (284) فرداً تم اختيارهم بالعينة العشوائية الطبقية التناسبية، وبلغ عدد الاستبانات الصالحة للتحليل</w:t>
      </w:r>
      <w:r w:rsidRPr="00063135">
        <w:rPr>
          <w:rFonts w:ascii="Simplified Arabic" w:eastAsia="Times New Roman" w:hAnsi="Simplified Arabic" w:cs="Simplified Arabic"/>
          <w:color w:val="000000" w:themeColor="text1"/>
          <w:kern w:val="0"/>
          <w:sz w:val="28"/>
          <w:szCs w:val="28"/>
          <w14:ligatures w14:val="none"/>
        </w:rPr>
        <w:t xml:space="preserve"> (219) </w:t>
      </w:r>
      <w:r w:rsidRPr="00063135">
        <w:rPr>
          <w:rFonts w:ascii="Simplified Arabic" w:eastAsia="Times New Roman" w:hAnsi="Simplified Arabic" w:cs="Simplified Arabic"/>
          <w:color w:val="000000" w:themeColor="text1"/>
          <w:kern w:val="0"/>
          <w:sz w:val="28"/>
          <w:szCs w:val="28"/>
          <w:rtl/>
          <w14:ligatures w14:val="none"/>
        </w:rPr>
        <w:t>استبانة، واستُخدم برنامج</w:t>
      </w:r>
      <w:r w:rsidRPr="00063135">
        <w:rPr>
          <w:rFonts w:ascii="Simplified Arabic" w:eastAsia="Times New Roman" w:hAnsi="Simplified Arabic" w:cs="Simplified Arabic"/>
          <w:color w:val="000000" w:themeColor="text1"/>
          <w:kern w:val="0"/>
          <w:sz w:val="28"/>
          <w:szCs w:val="28"/>
          <w14:ligatures w14:val="none"/>
        </w:rPr>
        <w:t xml:space="preserve"> (SMART-PLS 4). </w:t>
      </w:r>
      <w:r w:rsidRPr="00063135">
        <w:rPr>
          <w:rFonts w:ascii="Simplified Arabic" w:eastAsia="Times New Roman" w:hAnsi="Simplified Arabic" w:cs="Simplified Arabic"/>
          <w:color w:val="000000" w:themeColor="text1"/>
          <w:kern w:val="0"/>
          <w:sz w:val="28"/>
          <w:szCs w:val="28"/>
          <w:rtl/>
          <w14:ligatures w14:val="none"/>
        </w:rPr>
        <w:t>وتوصلت نتائج الدراسة إلى أن مستوى توافر التوجه الريادي وإدارة استمرارية الأعمال واليقظة الاستراتيجية جاء بدرجة مرتفعة، كما أشارت إلى وجود تأثير ذي دلالة إحصائية للتوجه الريادي في إدارة استمرارية الأعمال وفي اليقظة الاستراتيجية، ووجود دور وسيط لليقظة الاستراتيجية في هذه العلاقة. وأوصت الدراسة بضرورة الحفاظ على المستوى المرتفع للتوجه الريادي وتعزيز اليقظة الاستراتيجية في البنوك التجارية الأردنية</w:t>
      </w:r>
      <w:r w:rsidRPr="00063135">
        <w:rPr>
          <w:rFonts w:ascii="Simplified Arabic" w:eastAsia="Times New Roman" w:hAnsi="Simplified Arabic" w:cs="Simplified Arabic"/>
          <w:color w:val="000000" w:themeColor="text1"/>
          <w:kern w:val="0"/>
          <w:sz w:val="28"/>
          <w:szCs w:val="28"/>
          <w14:ligatures w14:val="none"/>
        </w:rPr>
        <w:t>.</w:t>
      </w:r>
    </w:p>
    <w:p w14:paraId="6A162D1D" w14:textId="77777777" w:rsidR="00057A28" w:rsidRPr="00063135" w:rsidRDefault="00057A28"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 (قطيشات والشاعر، 2025) بعنوان</w:t>
      </w:r>
      <w:r w:rsidRPr="00063135">
        <w:rPr>
          <w:rFonts w:ascii="Simplified Arabic" w:eastAsia="Times New Roman" w:hAnsi="Simplified Arabic" w:cs="Simplified Arabic"/>
          <w:b/>
          <w:bCs/>
          <w:color w:val="000000" w:themeColor="text1"/>
          <w:kern w:val="0"/>
          <w:sz w:val="28"/>
          <w:szCs w:val="28"/>
          <w14:ligatures w14:val="none"/>
        </w:rPr>
        <w:t>: "</w:t>
      </w:r>
      <w:r w:rsidRPr="00063135">
        <w:rPr>
          <w:rFonts w:ascii="Simplified Arabic" w:eastAsia="Times New Roman" w:hAnsi="Simplified Arabic" w:cs="Simplified Arabic"/>
          <w:b/>
          <w:bCs/>
          <w:color w:val="000000" w:themeColor="text1"/>
          <w:kern w:val="0"/>
          <w:sz w:val="28"/>
          <w:szCs w:val="28"/>
          <w:rtl/>
          <w14:ligatures w14:val="none"/>
        </w:rPr>
        <w:t>أثر اليقظة الاستراتيجية في إدارة استمرارية الأعمال: الدور المعدل لإدارة المخاطر في البنوك التجارية الأردنية</w:t>
      </w:r>
      <w:r w:rsidRPr="00063135">
        <w:rPr>
          <w:rFonts w:ascii="Simplified Arabic" w:eastAsia="Times New Roman" w:hAnsi="Simplified Arabic" w:cs="Simplified Arabic"/>
          <w:b/>
          <w:bCs/>
          <w:color w:val="000000" w:themeColor="text1"/>
          <w:kern w:val="0"/>
          <w:sz w:val="28"/>
          <w:szCs w:val="28"/>
          <w14:ligatures w14:val="none"/>
        </w:rPr>
        <w:t>"</w:t>
      </w:r>
    </w:p>
    <w:p w14:paraId="6FCDA55F"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أثر اليقظة الاستراتيجية بأبعادها على إدارة استمرارية الأعمال في ظل الدور المعدّل لإدارة المخاطر في البنوك التجارية الأردنية. واستخدمت الدراسة المنهج الوصفي التحليلي، وتكونت العينة من المديرين العاملين في المستويات الإدارية العليا والوسطى في البنوك التجارية الأردنية، واعتمدت على الاستبانة كأداة لجمع البيانات. وتوصلت نتائج الدراسة إلى وجود أثر ذي دلالة إحصائية لليقظة الاستراتيجية في إدارة استمرارية الأعمال، وأن إدارة المخاطر تلعب دوراً معدّلاً يعزز هذه العلاقة. وأوصت الدراسة بضرورة الاهتمام بتعزيز أنظمة اليقظة الاستراتيجية وإدارة المخاطر لضمان استمرارية الأعمال في البنوك التجارية الأردنية</w:t>
      </w:r>
      <w:r w:rsidRPr="00063135">
        <w:rPr>
          <w:rFonts w:ascii="Simplified Arabic" w:eastAsia="Times New Roman" w:hAnsi="Simplified Arabic" w:cs="Simplified Arabic"/>
          <w:color w:val="000000" w:themeColor="text1"/>
          <w:kern w:val="0"/>
          <w:sz w:val="28"/>
          <w:szCs w:val="28"/>
          <w14:ligatures w14:val="none"/>
        </w:rPr>
        <w:t>.</w:t>
      </w:r>
    </w:p>
    <w:p w14:paraId="333247A0" w14:textId="77777777" w:rsidR="00057A28" w:rsidRPr="00063135" w:rsidRDefault="00057A28" w:rsidP="00BE0CA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4" w:name="_Toc224726654"/>
      <w:bookmarkStart w:id="15" w:name="_Toc233923266"/>
      <w:r w:rsidRPr="00063135">
        <w:rPr>
          <w:rFonts w:ascii="Simplified Arabic" w:eastAsia="Times New Roman" w:hAnsi="Simplified Arabic" w:cs="Simplified Arabic"/>
          <w:b/>
          <w:bCs/>
          <w:color w:val="000000" w:themeColor="text1"/>
          <w:kern w:val="0"/>
          <w:sz w:val="32"/>
          <w:szCs w:val="32"/>
          <w:rtl/>
          <w14:ligatures w14:val="none"/>
        </w:rPr>
        <w:lastRenderedPageBreak/>
        <w:t>ثانياً: الدراسات الأجنبية</w:t>
      </w:r>
      <w:bookmarkEnd w:id="14"/>
      <w:bookmarkEnd w:id="15"/>
    </w:p>
    <w:p w14:paraId="099BA3F9"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w:t>
      </w:r>
      <w:r w:rsidRPr="00063135">
        <w:rPr>
          <w:rFonts w:ascii="Simplified Arabic" w:eastAsia="Times New Roman" w:hAnsi="Simplified Arabic" w:cs="Simplified Arabic"/>
          <w:b/>
          <w:bCs/>
          <w:color w:val="000000" w:themeColor="text1"/>
          <w:kern w:val="0"/>
          <w:sz w:val="28"/>
          <w:szCs w:val="28"/>
          <w14:ligatures w14:val="none"/>
        </w:rPr>
        <w:t xml:space="preserve"> (Riglietti, Avatefipour &amp; Trucco, 2021) </w:t>
      </w:r>
      <w:r w:rsidRPr="00063135">
        <w:rPr>
          <w:rFonts w:ascii="Simplified Arabic" w:eastAsia="Times New Roman" w:hAnsi="Simplified Arabic" w:cs="Simplified Arabic"/>
          <w:b/>
          <w:bCs/>
          <w:color w:val="000000" w:themeColor="text1"/>
          <w:kern w:val="0"/>
          <w:sz w:val="28"/>
          <w:szCs w:val="28"/>
          <w:rtl/>
          <w14:ligatures w14:val="none"/>
        </w:rPr>
        <w:t>بعنوان</w:t>
      </w:r>
      <w:r w:rsidRPr="00063135">
        <w:rPr>
          <w:rFonts w:ascii="Simplified Arabic" w:eastAsia="Times New Roman" w:hAnsi="Simplified Arabic" w:cs="Simplified Arabic"/>
          <w:b/>
          <w:bCs/>
          <w:color w:val="000000" w:themeColor="text1"/>
          <w:kern w:val="0"/>
          <w:sz w:val="28"/>
          <w:szCs w:val="28"/>
          <w14:ligatures w14:val="none"/>
        </w:rPr>
        <w:t>: "The Impact of Business Continuity Management on the Components of Supply Chain Resilience: A Quantitative Analysis"</w:t>
      </w:r>
    </w:p>
    <w:p w14:paraId="32EE3CBB" w14:textId="77777777"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إدارة استمرارية الأعمال</w:t>
      </w:r>
      <w:r w:rsidRPr="00063135">
        <w:rPr>
          <w:rFonts w:ascii="Simplified Arabic" w:eastAsia="Times New Roman" w:hAnsi="Simplified Arabic" w:cs="Simplified Arabic"/>
          <w:color w:val="000000" w:themeColor="text1"/>
          <w:kern w:val="0"/>
          <w:sz w:val="28"/>
          <w:szCs w:val="28"/>
          <w14:ligatures w14:val="none"/>
        </w:rPr>
        <w:t xml:space="preserve"> (BCM) </w:t>
      </w:r>
      <w:r w:rsidRPr="00063135">
        <w:rPr>
          <w:rFonts w:ascii="Simplified Arabic" w:eastAsia="Times New Roman" w:hAnsi="Simplified Arabic" w:cs="Simplified Arabic"/>
          <w:color w:val="000000" w:themeColor="text1"/>
          <w:kern w:val="0"/>
          <w:sz w:val="28"/>
          <w:szCs w:val="28"/>
          <w:rtl/>
          <w14:ligatures w14:val="none"/>
        </w:rPr>
        <w:t>بأبعادها (تحليل الأثر على الأعمال، تقييم المخاطر، تصميم وتنفيذ الخطط، التزام الإدارة العليا) على مكونات مرونة سلسلة الإمداد (الرؤية، التعاون، المرونة، السرعة). واستخدمت الدراسة المنهج الكمي، وتكونت العينة من بيانات تقرير معهد استمرارية الأعمال</w:t>
      </w:r>
      <w:r w:rsidRPr="00063135">
        <w:rPr>
          <w:rFonts w:ascii="Simplified Arabic" w:eastAsia="Times New Roman" w:hAnsi="Simplified Arabic" w:cs="Simplified Arabic"/>
          <w:color w:val="000000" w:themeColor="text1"/>
          <w:kern w:val="0"/>
          <w:sz w:val="28"/>
          <w:szCs w:val="28"/>
          <w14:ligatures w14:val="none"/>
        </w:rPr>
        <w:t xml:space="preserve"> (BCI) </w:t>
      </w:r>
      <w:r w:rsidRPr="00063135">
        <w:rPr>
          <w:rFonts w:ascii="Simplified Arabic" w:eastAsia="Times New Roman" w:hAnsi="Simplified Arabic" w:cs="Simplified Arabic"/>
          <w:color w:val="000000" w:themeColor="text1"/>
          <w:kern w:val="0"/>
          <w:sz w:val="28"/>
          <w:szCs w:val="28"/>
          <w:rtl/>
          <w14:ligatures w14:val="none"/>
        </w:rPr>
        <w:t>لعام 2017 والذي شمل (408) مستجيباً من (64) دولة مختلفة ومن قطاعات اقتصادية متنوعة، واستُخدم أسلوب نمذجة المعادلات الهيكلية بالمربعات الصغرى الجزئية</w:t>
      </w:r>
      <w:r w:rsidRPr="00063135">
        <w:rPr>
          <w:rFonts w:ascii="Simplified Arabic" w:eastAsia="Times New Roman" w:hAnsi="Simplified Arabic" w:cs="Simplified Arabic"/>
          <w:color w:val="000000" w:themeColor="text1"/>
          <w:kern w:val="0"/>
          <w:sz w:val="28"/>
          <w:szCs w:val="28"/>
          <w14:ligatures w14:val="none"/>
        </w:rPr>
        <w:t xml:space="preserve"> (PLS-SEM) </w:t>
      </w:r>
      <w:r w:rsidRPr="00063135">
        <w:rPr>
          <w:rFonts w:ascii="Simplified Arabic" w:eastAsia="Times New Roman" w:hAnsi="Simplified Arabic" w:cs="Simplified Arabic"/>
          <w:color w:val="000000" w:themeColor="text1"/>
          <w:kern w:val="0"/>
          <w:sz w:val="28"/>
          <w:szCs w:val="28"/>
          <w:rtl/>
          <w14:ligatures w14:val="none"/>
        </w:rPr>
        <w:t>من خلال برنامج</w:t>
      </w:r>
      <w:r w:rsidRPr="00063135">
        <w:rPr>
          <w:rFonts w:ascii="Simplified Arabic" w:eastAsia="Times New Roman" w:hAnsi="Simplified Arabic" w:cs="Simplified Arabic"/>
          <w:color w:val="000000" w:themeColor="text1"/>
          <w:kern w:val="0"/>
          <w:sz w:val="28"/>
          <w:szCs w:val="28"/>
          <w14:ligatures w14:val="none"/>
        </w:rPr>
        <w:t xml:space="preserve"> SmartPLS3. </w:t>
      </w:r>
      <w:r w:rsidRPr="00063135">
        <w:rPr>
          <w:rFonts w:ascii="Simplified Arabic" w:eastAsia="Times New Roman" w:hAnsi="Simplified Arabic" w:cs="Simplified Arabic"/>
          <w:color w:val="000000" w:themeColor="text1"/>
          <w:kern w:val="0"/>
          <w:sz w:val="28"/>
          <w:szCs w:val="28"/>
          <w:rtl/>
          <w14:ligatures w14:val="none"/>
        </w:rPr>
        <w:t>وتوصلت نتائج الدراسة إلى أن تطبيق إدارة استمرارية الأعمال يُقلّل من الهشاشة ويُخفّف من خسائر الأداء التشغيلي في مواجهة اضطرابات سلسلة الإمداد، وأن الرؤية والتعاون والمرونة هي أكثر مكونات المرونة تأثراً بإدارة استمرارية الأعمال، مع وجود أثر إيجابي معدّل للتغطية التأمينية. وأوصت الدراسة بضرورة النظر إلى إدارة استمرارية الأعمال كنظام إدارة شامل وليس مجرد خطط طوارئ، وتوسيع نطاق تطبيقها ليشمل علاقات سلسلة الإمداد</w:t>
      </w:r>
      <w:r w:rsidRPr="00063135">
        <w:rPr>
          <w:rFonts w:ascii="Simplified Arabic" w:eastAsia="Times New Roman" w:hAnsi="Simplified Arabic" w:cs="Simplified Arabic"/>
          <w:color w:val="000000" w:themeColor="text1"/>
          <w:kern w:val="0"/>
          <w:sz w:val="28"/>
          <w:szCs w:val="28"/>
          <w14:ligatures w14:val="none"/>
        </w:rPr>
        <w:t>.</w:t>
      </w:r>
    </w:p>
    <w:p w14:paraId="789CB164"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w:t>
      </w:r>
      <w:r w:rsidRPr="00063135">
        <w:rPr>
          <w:rFonts w:ascii="Simplified Arabic" w:eastAsia="Times New Roman" w:hAnsi="Simplified Arabic" w:cs="Simplified Arabic"/>
          <w:b/>
          <w:bCs/>
          <w:color w:val="000000" w:themeColor="text1"/>
          <w:kern w:val="0"/>
          <w:sz w:val="28"/>
          <w:szCs w:val="28"/>
          <w14:ligatures w14:val="none"/>
        </w:rPr>
        <w:t xml:space="preserve"> (Riglietti, Piraina &amp; Trucco, 2022) </w:t>
      </w:r>
      <w:r w:rsidRPr="00063135">
        <w:rPr>
          <w:rFonts w:ascii="Simplified Arabic" w:eastAsia="Times New Roman" w:hAnsi="Simplified Arabic" w:cs="Simplified Arabic"/>
          <w:b/>
          <w:bCs/>
          <w:color w:val="000000" w:themeColor="text1"/>
          <w:kern w:val="0"/>
          <w:sz w:val="28"/>
          <w:szCs w:val="28"/>
          <w:rtl/>
          <w14:ligatures w14:val="none"/>
        </w:rPr>
        <w:t>بعنوان</w:t>
      </w:r>
      <w:r w:rsidRPr="00063135">
        <w:rPr>
          <w:rFonts w:ascii="Simplified Arabic" w:eastAsia="Times New Roman" w:hAnsi="Simplified Arabic" w:cs="Simplified Arabic"/>
          <w:b/>
          <w:bCs/>
          <w:color w:val="000000" w:themeColor="text1"/>
          <w:kern w:val="0"/>
          <w:sz w:val="28"/>
          <w:szCs w:val="28"/>
          <w14:ligatures w14:val="none"/>
        </w:rPr>
        <w:t>: "The Contribution of Business Continuity Management (BCM) to Supply Chain Resilience: A Qualitative Study on the Response to COVID-19 Outbreak"</w:t>
      </w:r>
    </w:p>
    <w:p w14:paraId="6B9D38DF" w14:textId="09039F37"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مساهمة إدارة استمرارية الأعمال</w:t>
      </w:r>
      <w:r w:rsidRPr="00063135">
        <w:rPr>
          <w:rFonts w:ascii="Simplified Arabic" w:eastAsia="Times New Roman" w:hAnsi="Simplified Arabic" w:cs="Simplified Arabic"/>
          <w:color w:val="000000" w:themeColor="text1"/>
          <w:kern w:val="0"/>
          <w:sz w:val="28"/>
          <w:szCs w:val="28"/>
          <w14:ligatures w14:val="none"/>
        </w:rPr>
        <w:t xml:space="preserve"> (BCM) </w:t>
      </w:r>
      <w:r w:rsidRPr="00063135">
        <w:rPr>
          <w:rFonts w:ascii="Simplified Arabic" w:eastAsia="Times New Roman" w:hAnsi="Simplified Arabic" w:cs="Simplified Arabic"/>
          <w:color w:val="000000" w:themeColor="text1"/>
          <w:kern w:val="0"/>
          <w:sz w:val="28"/>
          <w:szCs w:val="28"/>
          <w:rtl/>
          <w14:ligatures w14:val="none"/>
        </w:rPr>
        <w:t xml:space="preserve">بأبعادها (إنشاء فريق إدارة الأزمات، خطط استمرارية الأعمال، تحليل الأثر على الأعمال، التواصل مع الموردين) في تعزيز مرونة سلسلة الإمداد في ظل الاستجابة لتفشي كوفيد-19. واستخدمت الدراسة المنهج النوعي القائم على دراسات الحالة المتعددة، وتكونت العينة من مجموعة من الشركات المتأثرة بجائحة كوفيد-19، واعتمدت على المقابلات المعمقة مع مديري استمرارية الأعمال وسلاسل الإمداد. وتوصلت نتائج الدراسة إلى أن ممارسات إدارة استمرارية الأعمال الأساسية لها تأثير مباشر على مكونات مرونة سلسلة الإمداد، وتحديداً أن إنشاء فريق إدارة الأزمات والتخطيط لاستمرارية الأعمال يُعزّزان من قدرة المنظمات على الاستجابة والتعافي من </w:t>
      </w:r>
      <w:r w:rsidRPr="00063135">
        <w:rPr>
          <w:rFonts w:ascii="Simplified Arabic" w:eastAsia="Times New Roman" w:hAnsi="Simplified Arabic" w:cs="Simplified Arabic"/>
          <w:color w:val="000000" w:themeColor="text1"/>
          <w:kern w:val="0"/>
          <w:sz w:val="28"/>
          <w:szCs w:val="28"/>
          <w:rtl/>
          <w14:ligatures w14:val="none"/>
        </w:rPr>
        <w:lastRenderedPageBreak/>
        <w:t>الجائحة. وأوصت الدراسة بضرورة دمج إدارة استمرارية الأعمال مع إدارة سلسلة الإمداد لبناء استجابة فعالة للأوبئة والأزمات العالمية</w:t>
      </w:r>
      <w:r w:rsidRPr="00063135">
        <w:rPr>
          <w:rFonts w:ascii="Simplified Arabic" w:eastAsia="Times New Roman" w:hAnsi="Simplified Arabic" w:cs="Simplified Arabic"/>
          <w:color w:val="000000" w:themeColor="text1"/>
          <w:kern w:val="0"/>
          <w:sz w:val="28"/>
          <w:szCs w:val="28"/>
          <w14:ligatures w14:val="none"/>
        </w:rPr>
        <w:t>.</w:t>
      </w:r>
    </w:p>
    <w:p w14:paraId="339534B9" w14:textId="77777777" w:rsidR="005E5CFA" w:rsidRPr="00063135" w:rsidRDefault="005E5CFA"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w:t>
      </w:r>
      <w:r w:rsidRPr="00063135">
        <w:rPr>
          <w:rFonts w:ascii="Simplified Arabic" w:eastAsia="Times New Roman" w:hAnsi="Simplified Arabic" w:cs="Simplified Arabic"/>
          <w:b/>
          <w:bCs/>
          <w:color w:val="000000" w:themeColor="text1"/>
          <w:kern w:val="0"/>
          <w:sz w:val="28"/>
          <w:szCs w:val="28"/>
          <w14:ligatures w14:val="none"/>
        </w:rPr>
        <w:t xml:space="preserve"> (Rumman, 2022) </w:t>
      </w:r>
      <w:r w:rsidRPr="00063135">
        <w:rPr>
          <w:rFonts w:ascii="Simplified Arabic" w:eastAsia="Times New Roman" w:hAnsi="Simplified Arabic" w:cs="Simplified Arabic"/>
          <w:b/>
          <w:bCs/>
          <w:color w:val="000000" w:themeColor="text1"/>
          <w:kern w:val="0"/>
          <w:sz w:val="28"/>
          <w:szCs w:val="28"/>
          <w:rtl/>
          <w14:ligatures w14:val="none"/>
        </w:rPr>
        <w:t>بعنوان</w:t>
      </w:r>
      <w:r w:rsidRPr="00063135">
        <w:rPr>
          <w:rFonts w:ascii="Simplified Arabic" w:eastAsia="Times New Roman" w:hAnsi="Simplified Arabic" w:cs="Simplified Arabic"/>
          <w:b/>
          <w:bCs/>
          <w:color w:val="000000" w:themeColor="text1"/>
          <w:kern w:val="0"/>
          <w:sz w:val="28"/>
          <w:szCs w:val="28"/>
          <w14:ligatures w14:val="none"/>
        </w:rPr>
        <w:t>: "Impact of Strategic Vigilance and Crisis Management on Business Continuity Management"</w:t>
      </w:r>
    </w:p>
    <w:p w14:paraId="7E1461B0" w14:textId="77777777" w:rsidR="005E5CFA" w:rsidRPr="00063135" w:rsidRDefault="005E5CFA"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أثر اليقظة الاستراتيجية وإدارة الأزمات بأبعادهما (التخطيط للطوارئ، الاستجابة للأزمات، التعافي من الكوارث، إدارة سلسلة الإمداد) على فاعلية إدارة استمرارية الأعمال</w:t>
      </w:r>
      <w:r w:rsidRPr="00063135">
        <w:rPr>
          <w:rFonts w:ascii="Simplified Arabic" w:eastAsia="Times New Roman" w:hAnsi="Simplified Arabic" w:cs="Simplified Arabic"/>
          <w:color w:val="000000" w:themeColor="text1"/>
          <w:kern w:val="0"/>
          <w:sz w:val="28"/>
          <w:szCs w:val="28"/>
          <w14:ligatures w14:val="none"/>
        </w:rPr>
        <w:t xml:space="preserve"> (BCM) </w:t>
      </w:r>
      <w:r w:rsidRPr="00063135">
        <w:rPr>
          <w:rFonts w:ascii="Simplified Arabic" w:eastAsia="Times New Roman" w:hAnsi="Simplified Arabic" w:cs="Simplified Arabic"/>
          <w:color w:val="000000" w:themeColor="text1"/>
          <w:kern w:val="0"/>
          <w:sz w:val="28"/>
          <w:szCs w:val="28"/>
          <w:rtl/>
          <w14:ligatures w14:val="none"/>
        </w:rPr>
        <w:t>في ظل جائحة كوفيد-19. واستخدمت الدراسة المنهج الوصفي التحليلي القائم على مراجعة الأدبيات وتحليل استجابة المنظمات لأنشطة استمرارية الأعمال. وتوصلت نتائج الدراسة إلى أن المنظمات تُعطي الأولوية لسلامة الأفراد والتطوير الاستراتيجي، وتتبنى الابتكار لإدارة الاضطرابات، وتلتزم بالسياسات الحكومية، وتحافظ على علاقات قوية مع أصحاب المصلحة، كما أن اليقظة الاستراتيجية ترتبط ارتباطاً وثيقاً بإدارة استمرارية الأعمال. وأوصت الدراسة بضرورة دمج اليقظة الاستراتيجية في أنشطة العمليات التشغيلية لتعزيز إدارة استمرارية الأعمال وإدارة المخاطر والحفاظ على العلاقات المتينة مع أصحاب المصلحة</w:t>
      </w:r>
      <w:r w:rsidRPr="00063135">
        <w:rPr>
          <w:rFonts w:ascii="Simplified Arabic" w:eastAsia="Times New Roman" w:hAnsi="Simplified Arabic" w:cs="Simplified Arabic"/>
          <w:color w:val="000000" w:themeColor="text1"/>
          <w:kern w:val="0"/>
          <w:sz w:val="28"/>
          <w:szCs w:val="28"/>
          <w14:ligatures w14:val="none"/>
        </w:rPr>
        <w:t>.</w:t>
      </w:r>
    </w:p>
    <w:p w14:paraId="2AF2942D" w14:textId="77777777" w:rsidR="00057A28" w:rsidRPr="00063135" w:rsidRDefault="00057A28" w:rsidP="005E5CFA">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w:t>
      </w:r>
      <w:r w:rsidRPr="00063135">
        <w:rPr>
          <w:rFonts w:ascii="Simplified Arabic" w:eastAsia="Times New Roman" w:hAnsi="Simplified Arabic" w:cs="Simplified Arabic"/>
          <w:b/>
          <w:bCs/>
          <w:color w:val="000000" w:themeColor="text1"/>
          <w:kern w:val="0"/>
          <w:sz w:val="28"/>
          <w:szCs w:val="28"/>
          <w14:ligatures w14:val="none"/>
        </w:rPr>
        <w:t xml:space="preserve"> (Guntuka, Corsi &amp; Cantor, 2024) </w:t>
      </w:r>
      <w:r w:rsidRPr="00063135">
        <w:rPr>
          <w:rFonts w:ascii="Simplified Arabic" w:eastAsia="Times New Roman" w:hAnsi="Simplified Arabic" w:cs="Simplified Arabic"/>
          <w:b/>
          <w:bCs/>
          <w:color w:val="000000" w:themeColor="text1"/>
          <w:kern w:val="0"/>
          <w:sz w:val="28"/>
          <w:szCs w:val="28"/>
          <w:rtl/>
          <w14:ligatures w14:val="none"/>
        </w:rPr>
        <w:t>بعنوان</w:t>
      </w:r>
      <w:r w:rsidRPr="00063135">
        <w:rPr>
          <w:rFonts w:ascii="Simplified Arabic" w:eastAsia="Times New Roman" w:hAnsi="Simplified Arabic" w:cs="Simplified Arabic"/>
          <w:b/>
          <w:bCs/>
          <w:color w:val="000000" w:themeColor="text1"/>
          <w:kern w:val="0"/>
          <w:sz w:val="28"/>
          <w:szCs w:val="28"/>
          <w14:ligatures w14:val="none"/>
        </w:rPr>
        <w:t>: "Recovery from Plant-Level Supply Chain Disruptions: Supply Chain Complexity and Business Continuity Management"</w:t>
      </w:r>
    </w:p>
    <w:p w14:paraId="372B4E07"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تأثير العمليات الداخلية لمصنع التصنيع وشبكة اتصالاته بأبعادها (عدد الأجزاء المُصنّعة، العمليات الداخلية، عدد سلاسل الإمداد المرتبطة بالمصنع، مسافة المصنع عن المصنّع الأصلي) على زمن التعافي من الاضطرابات، مع اختبار الدور المعدّل لخطط استمرارية الأعمال</w:t>
      </w:r>
      <w:r w:rsidRPr="00063135">
        <w:rPr>
          <w:rFonts w:ascii="Simplified Arabic" w:eastAsia="Times New Roman" w:hAnsi="Simplified Arabic" w:cs="Simplified Arabic"/>
          <w:color w:val="000000" w:themeColor="text1"/>
          <w:kern w:val="0"/>
          <w:sz w:val="28"/>
          <w:szCs w:val="28"/>
          <w14:ligatures w14:val="none"/>
        </w:rPr>
        <w:t xml:space="preserve"> (BCP). </w:t>
      </w:r>
      <w:r w:rsidRPr="00063135">
        <w:rPr>
          <w:rFonts w:ascii="Simplified Arabic" w:eastAsia="Times New Roman" w:hAnsi="Simplified Arabic" w:cs="Simplified Arabic"/>
          <w:color w:val="000000" w:themeColor="text1"/>
          <w:kern w:val="0"/>
          <w:sz w:val="28"/>
          <w:szCs w:val="28"/>
          <w:rtl/>
          <w14:ligatures w14:val="none"/>
        </w:rPr>
        <w:t>واستخدمت الدراسة المنهج الكمي بالتعاون مع شركة</w:t>
      </w:r>
      <w:r w:rsidRPr="00063135">
        <w:rPr>
          <w:rFonts w:ascii="Simplified Arabic" w:eastAsia="Times New Roman" w:hAnsi="Simplified Arabic" w:cs="Simplified Arabic"/>
          <w:color w:val="000000" w:themeColor="text1"/>
          <w:kern w:val="0"/>
          <w:sz w:val="28"/>
          <w:szCs w:val="28"/>
          <w14:ligatures w14:val="none"/>
        </w:rPr>
        <w:t xml:space="preserve"> Resilinc </w:t>
      </w:r>
      <w:r w:rsidRPr="00063135">
        <w:rPr>
          <w:rFonts w:ascii="Simplified Arabic" w:eastAsia="Times New Roman" w:hAnsi="Simplified Arabic" w:cs="Simplified Arabic"/>
          <w:color w:val="000000" w:themeColor="text1"/>
          <w:kern w:val="0"/>
          <w:sz w:val="28"/>
          <w:szCs w:val="28"/>
          <w:rtl/>
          <w14:ligatures w14:val="none"/>
        </w:rPr>
        <w:t>المتخصصة في حلول إدارة مخاطر سلسلة الإمداد، وتكونت العينة من بيانات على مستوى المصانع تشمل معلومات عن الأجزاء والأنشطة التصنيعية وقوائم المواد والمواقع البديلة وخطط استمرارية الأعمال، واستُخدم أسلوب الانحدار للبيانات المحجوبة</w:t>
      </w:r>
      <w:r w:rsidRPr="00063135">
        <w:rPr>
          <w:rFonts w:ascii="Simplified Arabic" w:eastAsia="Times New Roman" w:hAnsi="Simplified Arabic" w:cs="Simplified Arabic"/>
          <w:color w:val="000000" w:themeColor="text1"/>
          <w:kern w:val="0"/>
          <w:sz w:val="28"/>
          <w:szCs w:val="28"/>
          <w14:ligatures w14:val="none"/>
        </w:rPr>
        <w:t xml:space="preserve"> (Tobit). </w:t>
      </w:r>
      <w:r w:rsidRPr="00063135">
        <w:rPr>
          <w:rFonts w:ascii="Simplified Arabic" w:eastAsia="Times New Roman" w:hAnsi="Simplified Arabic" w:cs="Simplified Arabic"/>
          <w:color w:val="000000" w:themeColor="text1"/>
          <w:kern w:val="0"/>
          <w:sz w:val="28"/>
          <w:szCs w:val="28"/>
          <w:rtl/>
          <w14:ligatures w14:val="none"/>
        </w:rPr>
        <w:t>وتوصلت نتائج الدراسة إلى أن عدد الأجزاء المُصنّعة وعدد العمليات الداخلية وعدد سلاسل الإمداد ومسافة المصنع عن المُصنّع الأصلي تزيد جميعها بشكل ملحوظ من زمن التعافي، كما وُجدت علاقة على شكل حرف</w:t>
      </w:r>
      <w:r w:rsidRPr="00063135">
        <w:rPr>
          <w:rFonts w:ascii="Simplified Arabic" w:eastAsia="Times New Roman" w:hAnsi="Simplified Arabic" w:cs="Simplified Arabic"/>
          <w:color w:val="000000" w:themeColor="text1"/>
          <w:kern w:val="0"/>
          <w:sz w:val="28"/>
          <w:szCs w:val="28"/>
          <w14:ligatures w14:val="none"/>
        </w:rPr>
        <w:t xml:space="preserve"> U </w:t>
      </w:r>
      <w:r w:rsidRPr="00063135">
        <w:rPr>
          <w:rFonts w:ascii="Simplified Arabic" w:eastAsia="Times New Roman" w:hAnsi="Simplified Arabic" w:cs="Simplified Arabic"/>
          <w:color w:val="000000" w:themeColor="text1"/>
          <w:kern w:val="0"/>
          <w:sz w:val="28"/>
          <w:szCs w:val="28"/>
          <w:rtl/>
          <w14:ligatures w14:val="none"/>
        </w:rPr>
        <w:t xml:space="preserve">مقلوب بين التعقيد وزمن التعافي، مع وجود دعم جزئي لدور خطط </w:t>
      </w:r>
      <w:r w:rsidRPr="00063135">
        <w:rPr>
          <w:rFonts w:ascii="Simplified Arabic" w:eastAsia="Times New Roman" w:hAnsi="Simplified Arabic" w:cs="Simplified Arabic"/>
          <w:color w:val="000000" w:themeColor="text1"/>
          <w:kern w:val="0"/>
          <w:sz w:val="28"/>
          <w:szCs w:val="28"/>
          <w:rtl/>
          <w14:ligatures w14:val="none"/>
        </w:rPr>
        <w:lastRenderedPageBreak/>
        <w:t>استمرارية الأعمال في تعديل العلاقة بين التعقيد وزمن التعافي. وأوصت الدراسة بضرورة تطوير طرق أكثر دقة لقياس زمن التعافي وإجراء مزيد من الأبحاث على مستوى مواقع سلاسل الإمداد</w:t>
      </w:r>
      <w:r w:rsidRPr="00063135">
        <w:rPr>
          <w:rFonts w:ascii="Simplified Arabic" w:eastAsia="Times New Roman" w:hAnsi="Simplified Arabic" w:cs="Simplified Arabic"/>
          <w:color w:val="000000" w:themeColor="text1"/>
          <w:kern w:val="0"/>
          <w:sz w:val="28"/>
          <w:szCs w:val="28"/>
          <w14:ligatures w14:val="none"/>
        </w:rPr>
        <w:t>.</w:t>
      </w:r>
    </w:p>
    <w:p w14:paraId="6FAF1A52" w14:textId="77777777" w:rsidR="00057A28" w:rsidRPr="00063135" w:rsidRDefault="00057A28" w:rsidP="005E5CFA">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دراسة</w:t>
      </w:r>
      <w:r w:rsidRPr="00063135">
        <w:rPr>
          <w:rFonts w:ascii="Simplified Arabic" w:eastAsia="Times New Roman" w:hAnsi="Simplified Arabic" w:cs="Simplified Arabic"/>
          <w:b/>
          <w:bCs/>
          <w:color w:val="000000" w:themeColor="text1"/>
          <w:kern w:val="0"/>
          <w:sz w:val="28"/>
          <w:szCs w:val="28"/>
          <w14:ligatures w14:val="none"/>
        </w:rPr>
        <w:t xml:space="preserve"> (Maleki Vishkaei &amp; De Giovanni, 2024) </w:t>
      </w:r>
      <w:r w:rsidRPr="00063135">
        <w:rPr>
          <w:rFonts w:ascii="Simplified Arabic" w:eastAsia="Times New Roman" w:hAnsi="Simplified Arabic" w:cs="Simplified Arabic"/>
          <w:b/>
          <w:bCs/>
          <w:color w:val="000000" w:themeColor="text1"/>
          <w:kern w:val="0"/>
          <w:sz w:val="28"/>
          <w:szCs w:val="28"/>
          <w:rtl/>
          <w14:ligatures w14:val="none"/>
        </w:rPr>
        <w:t>بعنوان</w:t>
      </w:r>
      <w:r w:rsidRPr="00063135">
        <w:rPr>
          <w:rFonts w:ascii="Simplified Arabic" w:eastAsia="Times New Roman" w:hAnsi="Simplified Arabic" w:cs="Simplified Arabic"/>
          <w:b/>
          <w:bCs/>
          <w:color w:val="000000" w:themeColor="text1"/>
          <w:kern w:val="0"/>
          <w:sz w:val="28"/>
          <w:szCs w:val="28"/>
          <w14:ligatures w14:val="none"/>
        </w:rPr>
        <w:t>: "The Impact of Business Continuity on Supply Chain Practices and Resilience Due to COVID-19"</w:t>
      </w:r>
    </w:p>
    <w:p w14:paraId="2B91AAFC"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هدفت الدراسة إلى التعرف على أثر استمرارية الأعمال المتمثلة في مقاومة الأداء للاضطرابات بأبعادها (الجودة، العائد على الاستثمار، التكاليف، رؤية سلسلة الإمداد، وقت التسليم، خدمة العملاء، توافر المخزون، المبيعات) على تبني ممارسات سلسلة الإمداد (استراتيجيات القنوات المتعددة، تنسيق سلسلة الإمداد، الذكاء الاصطناعي، تطبيقات الهاتف المحمول، البيانات الضخمة) وعلى مرونة سلسلة الإمداد في ظل جائحة كوفيد-19</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واستخدمت الدراسة المنهج الكمي القائم على الشبكات البايزية</w:t>
      </w:r>
      <w:r w:rsidRPr="00063135">
        <w:rPr>
          <w:rFonts w:ascii="Simplified Arabic" w:eastAsia="Times New Roman" w:hAnsi="Simplified Arabic" w:cs="Simplified Arabic"/>
          <w:color w:val="000000" w:themeColor="text1"/>
          <w:kern w:val="0"/>
          <w:sz w:val="28"/>
          <w:szCs w:val="28"/>
          <w14:ligatures w14:val="none"/>
        </w:rPr>
        <w:t xml:space="preserve"> (Bayesian Networks)</w:t>
      </w:r>
      <w:r w:rsidRPr="00063135">
        <w:rPr>
          <w:rFonts w:ascii="Simplified Arabic" w:eastAsia="Times New Roman" w:hAnsi="Simplified Arabic" w:cs="Simplified Arabic"/>
          <w:color w:val="000000" w:themeColor="text1"/>
          <w:kern w:val="0"/>
          <w:sz w:val="28"/>
          <w:szCs w:val="28"/>
          <w:rtl/>
          <w14:ligatures w14:val="none"/>
        </w:rPr>
        <w:t>، وتكونت العينة من (525) شركة إيطالية من قطاعات متنوعة، وجُمعت البيانات بعد انتهاء الموجة الأولى من الجائحة في يوليو 2020. وتوصلت نتائج الدراسة إلى أن الشركات التي أظهرت مقاومة في أدائها خلال الجائحة كانت أكثر قدرة على تبني ممارسات سلسلة إمداد محددة لتعزيز مرونتها، وأن تطبيقات الهاتف المحمول وتنسيق سلسلة الإمداد واستراتيجيات القنوات المتعددة وأنظمة الذكاء الاصطناعي تُعزّز احتمالية مرونة الشركات. وأوصت الدراسة بضرورة تبني مجموعة متكاملة من ممارسات سلسلة الإمداد لتعزيز المرونة في مواجهة الأزمات المستقبلية</w:t>
      </w:r>
      <w:r w:rsidRPr="00063135">
        <w:rPr>
          <w:rFonts w:ascii="Simplified Arabic" w:eastAsia="Times New Roman" w:hAnsi="Simplified Arabic" w:cs="Simplified Arabic"/>
          <w:color w:val="000000" w:themeColor="text1"/>
          <w:kern w:val="0"/>
          <w:sz w:val="28"/>
          <w:szCs w:val="28"/>
          <w14:ligatures w14:val="none"/>
        </w:rPr>
        <w:t>.</w:t>
      </w:r>
    </w:p>
    <w:p w14:paraId="2E2A12EF" w14:textId="5E505AFC" w:rsidR="005E5CFA" w:rsidRPr="00063135" w:rsidRDefault="005E5CFA" w:rsidP="005E5CF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6" w:name="_Toc233923267"/>
      <w:r w:rsidRPr="00063135">
        <w:rPr>
          <w:rFonts w:ascii="Simplified Arabic" w:hAnsi="Simplified Arabic" w:cs="Simplified Arabic"/>
          <w:b/>
          <w:bCs/>
          <w:color w:val="000000" w:themeColor="text1"/>
          <w:sz w:val="36"/>
          <w:szCs w:val="36"/>
          <w:rtl/>
        </w:rPr>
        <w:t>8.1 الفجوة البحثية</w:t>
      </w:r>
      <w:bookmarkEnd w:id="16"/>
    </w:p>
    <w:p w14:paraId="192F998D" w14:textId="055FBAFE" w:rsidR="007B08E2" w:rsidRPr="00063135" w:rsidRDefault="00057A28" w:rsidP="005E5CFA">
      <w:pPr>
        <w:pStyle w:val="NormalWeb"/>
        <w:bidi/>
        <w:spacing w:line="276" w:lineRule="auto"/>
        <w:ind w:firstLine="424"/>
        <w:jc w:val="both"/>
        <w:rPr>
          <w:rFonts w:ascii="Simplified Arabic" w:hAnsi="Simplified Arabic" w:cs="Simplified Arabic"/>
          <w:color w:val="000000" w:themeColor="text1"/>
          <w:sz w:val="28"/>
          <w:szCs w:val="28"/>
        </w:rPr>
      </w:pPr>
      <w:r w:rsidRPr="00063135">
        <w:rPr>
          <w:rFonts w:ascii="Simplified Arabic" w:hAnsi="Simplified Arabic" w:cs="Simplified Arabic"/>
          <w:color w:val="000000" w:themeColor="text1"/>
          <w:sz w:val="28"/>
          <w:szCs w:val="28"/>
          <w:rtl/>
        </w:rPr>
        <w:t>من خلال الاستعراض المعمّق للدراسات السابقة العربية والأجنبية ذات الصلة بموضوع الدراسة، يتضح وجود فجوة بحثية واضحة على عدة مستويات. فعلى المستوى الموضوعي، ركّزت غالبية الدراسات العربية على العلاقة بين اليقظة الاستراتيجية وإدارة استمرارية الأعمال في القطاع المصرفي الأردني كدراسات (عربيات وأبو رمان، 2024) و(موسى والربابعة، 2025) و(قطيشات والشاعر، 2025) و</w:t>
      </w:r>
      <w:r w:rsidRPr="00063135">
        <w:rPr>
          <w:rFonts w:ascii="Simplified Arabic" w:hAnsi="Simplified Arabic" w:cs="Simplified Arabic"/>
          <w:color w:val="000000" w:themeColor="text1"/>
          <w:sz w:val="28"/>
          <w:szCs w:val="28"/>
        </w:rPr>
        <w:t>(Al-Nimri &amp; Al-Shawabkeh, 2023)</w:t>
      </w:r>
      <w:r w:rsidRPr="00063135">
        <w:rPr>
          <w:rFonts w:ascii="Simplified Arabic" w:hAnsi="Simplified Arabic" w:cs="Simplified Arabic"/>
          <w:color w:val="000000" w:themeColor="text1"/>
          <w:sz w:val="28"/>
          <w:szCs w:val="28"/>
          <w:rtl/>
        </w:rPr>
        <w:t>، بينما تناولت دراسة (شديد، 2022</w:t>
      </w:r>
      <w:r w:rsidRPr="00063135">
        <w:rPr>
          <w:rFonts w:ascii="Simplified Arabic" w:hAnsi="Simplified Arabic" w:cs="Simplified Arabic"/>
          <w:color w:val="000000" w:themeColor="text1"/>
          <w:sz w:val="28"/>
          <w:szCs w:val="28"/>
        </w:rPr>
        <w:t xml:space="preserve">) </w:t>
      </w:r>
      <w:r w:rsidRPr="00063135">
        <w:rPr>
          <w:rFonts w:ascii="Simplified Arabic" w:hAnsi="Simplified Arabic" w:cs="Simplified Arabic"/>
          <w:color w:val="000000" w:themeColor="text1"/>
          <w:sz w:val="28"/>
          <w:szCs w:val="28"/>
          <w:rtl/>
        </w:rPr>
        <w:t xml:space="preserve">استمرارية الأعمال في القطاع الصحي المصري، ودراسة (حسب الله ومحمد، 2023) في المنظمات الأهلية، في حين اقتصرت دراسة (الزعبي والشوابكة، 2023) على شركة واحدة في قطاع الكهرباء، ولم تتطرق أيٌّ من هذه الدراسات إلى العلاقة المباشرة بين خطط استمرارية الأعمال واستمرارية سلسلة الإمداد. أما على صعيد الدراسات </w:t>
      </w:r>
      <w:r w:rsidRPr="00063135">
        <w:rPr>
          <w:rFonts w:ascii="Simplified Arabic" w:hAnsi="Simplified Arabic" w:cs="Simplified Arabic"/>
          <w:color w:val="000000" w:themeColor="text1"/>
          <w:sz w:val="28"/>
          <w:szCs w:val="28"/>
          <w:rtl/>
        </w:rPr>
        <w:lastRenderedPageBreak/>
        <w:t>الأجنبية، فقد تناولت دراستا</w:t>
      </w:r>
      <w:r w:rsidRPr="00063135">
        <w:rPr>
          <w:rFonts w:ascii="Simplified Arabic" w:hAnsi="Simplified Arabic" w:cs="Simplified Arabic"/>
          <w:color w:val="000000" w:themeColor="text1"/>
          <w:sz w:val="28"/>
          <w:szCs w:val="28"/>
        </w:rPr>
        <w:t xml:space="preserve"> (Riglietti, Avatefipour &amp; Trucco, 2021) </w:t>
      </w:r>
      <w:r w:rsidRPr="00063135">
        <w:rPr>
          <w:rFonts w:ascii="Simplified Arabic" w:hAnsi="Simplified Arabic" w:cs="Simplified Arabic"/>
          <w:color w:val="000000" w:themeColor="text1"/>
          <w:sz w:val="28"/>
          <w:szCs w:val="28"/>
          <w:rtl/>
        </w:rPr>
        <w:t>و</w:t>
      </w:r>
      <w:r w:rsidRPr="00063135">
        <w:rPr>
          <w:rFonts w:ascii="Simplified Arabic" w:hAnsi="Simplified Arabic" w:cs="Simplified Arabic"/>
          <w:color w:val="000000" w:themeColor="text1"/>
          <w:sz w:val="28"/>
          <w:szCs w:val="28"/>
        </w:rPr>
        <w:t xml:space="preserve">(Riglietti, Piraina &amp; Trucco, 2022) </w:t>
      </w:r>
      <w:r w:rsidRPr="00063135">
        <w:rPr>
          <w:rFonts w:ascii="Simplified Arabic" w:hAnsi="Simplified Arabic" w:cs="Simplified Arabic"/>
          <w:color w:val="000000" w:themeColor="text1"/>
          <w:sz w:val="28"/>
          <w:szCs w:val="28"/>
          <w:rtl/>
        </w:rPr>
        <w:t xml:space="preserve">أثر إدارة استمرارية الأعمال على مرونة سلسلة الإمداد في بيئات غربية، وركّزت دراسة </w:t>
      </w:r>
      <w:r w:rsidRPr="00063135">
        <w:rPr>
          <w:rFonts w:ascii="Simplified Arabic" w:hAnsi="Simplified Arabic" w:cs="Simplified Arabic"/>
          <w:color w:val="000000" w:themeColor="text1"/>
          <w:sz w:val="28"/>
          <w:szCs w:val="28"/>
        </w:rPr>
        <w:t xml:space="preserve">(Guntuka, Corsi &amp; Cantor, 2024) </w:t>
      </w:r>
      <w:r w:rsidRPr="00063135">
        <w:rPr>
          <w:rFonts w:ascii="Simplified Arabic" w:hAnsi="Simplified Arabic" w:cs="Simplified Arabic"/>
          <w:color w:val="000000" w:themeColor="text1"/>
          <w:sz w:val="28"/>
          <w:szCs w:val="28"/>
          <w:rtl/>
        </w:rPr>
        <w:t xml:space="preserve">على مستوى المصانع الفردية، فيما درست </w:t>
      </w:r>
      <w:r w:rsidRPr="00063135">
        <w:rPr>
          <w:rFonts w:ascii="Simplified Arabic" w:hAnsi="Simplified Arabic" w:cs="Simplified Arabic"/>
          <w:color w:val="000000" w:themeColor="text1"/>
          <w:sz w:val="28"/>
          <w:szCs w:val="28"/>
        </w:rPr>
        <w:t xml:space="preserve">(Maleki Vishkaei &amp; De Giovanni, 2024) </w:t>
      </w:r>
      <w:r w:rsidRPr="00063135">
        <w:rPr>
          <w:rFonts w:ascii="Simplified Arabic" w:hAnsi="Simplified Arabic" w:cs="Simplified Arabic"/>
          <w:color w:val="000000" w:themeColor="text1"/>
          <w:sz w:val="28"/>
          <w:szCs w:val="28"/>
          <w:rtl/>
        </w:rPr>
        <w:t>الشركات الإيطالية خلال الموجة الأولى من كوفيد-19، بينما عالجت دراسات أخرى كدراسة (قندوز، 2022) و(علاق، 2023) سلاسل الإمداد من زوايا مختلفة كأثر الجائحة وتقنية سلسلة الكتل دون ربطها بخطط استمرارية الأعمال. وعلى المستوى الجغرافي، يتبيّن غياب شبه تام للدراسات التي تناولت هذا الموضوع في بيئة الأعمال السعودية رغم أهميتها الاستراتيجية في ظل رؤية 2030. ومن ثمّ، تأتي الدراسة الحالية لسدّ هذه الفجوة من خلال دراسة أثر خطط استمرارية الأعمال بأبعادها الأربعة على استمرارية سلسلة الإمداد في ظل الأزمات في الشركات الكبرى بالمملكة العربية السعودية، وهو ما يُشكّل إضافة نوعية للأدبيات العربية في هذا الحقل المعرفي</w:t>
      </w:r>
      <w:r w:rsidRPr="00063135">
        <w:rPr>
          <w:rFonts w:ascii="Simplified Arabic" w:hAnsi="Simplified Arabic" w:cs="Simplified Arabic"/>
          <w:color w:val="000000" w:themeColor="text1"/>
          <w:sz w:val="28"/>
          <w:szCs w:val="28"/>
        </w:rPr>
        <w:t>.</w:t>
      </w:r>
      <w:r w:rsidR="007B08E2" w:rsidRPr="00063135">
        <w:rPr>
          <w:rFonts w:ascii="Simplified Arabic" w:hAnsi="Simplified Arabic" w:cs="Simplified Arabic"/>
          <w:color w:val="000000" w:themeColor="text1"/>
          <w:sz w:val="28"/>
          <w:szCs w:val="28"/>
        </w:rPr>
        <w:t>.</w:t>
      </w:r>
    </w:p>
    <w:p w14:paraId="4F621E7A" w14:textId="77777777" w:rsidR="005E5CFA" w:rsidRPr="00063135" w:rsidRDefault="005E5CFA" w:rsidP="005E5CF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169790502"/>
      <w:bookmarkStart w:id="18" w:name="_Toc233923268"/>
      <w:bookmarkEnd w:id="12"/>
      <w:r w:rsidRPr="00063135">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8"/>
    </w:p>
    <w:p w14:paraId="5D995D62" w14:textId="0237FE33" w:rsidR="005E5CFA" w:rsidRPr="00063135" w:rsidRDefault="005E5CFA"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063135">
        <w:rPr>
          <w:rFonts w:ascii="Simplified Arabic" w:eastAsia="Times New Roman" w:hAnsi="Simplified Arabic" w:cs="Simplified Arabic"/>
          <w:b/>
          <w:bCs/>
          <w:color w:val="000000" w:themeColor="text1"/>
          <w:kern w:val="0"/>
          <w:sz w:val="32"/>
          <w:szCs w:val="32"/>
          <w:rtl/>
          <w14:ligatures w14:val="none"/>
        </w:rPr>
        <w:t>مفهوم استمرارية الأعمال</w:t>
      </w:r>
    </w:p>
    <w:p w14:paraId="53AC154E"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يُعدّ مفهوم استمرارية الأعمال من المفاهيم الإدارية التي تطورت بشكل ملحوظ خلال العقود الأخيرة، حيث انتقل من كونه مجرد إجراءات تقنية للتعافي من الكوارث إلى منظومة إدارية استراتيجية شاملة تُعنى بضمان استمرار العمليات الحيوية للمنظمة في مواجهة مختلف أنواع الأزمات والتهديدات. ويُعرّف معهد استمرارية الأعمال</w:t>
      </w:r>
      <w:r w:rsidRPr="00063135">
        <w:rPr>
          <w:rFonts w:ascii="Simplified Arabic" w:eastAsia="Times New Roman" w:hAnsi="Simplified Arabic" w:cs="Simplified Arabic"/>
          <w:color w:val="000000" w:themeColor="text1"/>
          <w:kern w:val="0"/>
          <w:sz w:val="28"/>
          <w:szCs w:val="28"/>
          <w14:ligatures w14:val="none"/>
        </w:rPr>
        <w:t xml:space="preserve"> (BCI) </w:t>
      </w:r>
      <w:r w:rsidRPr="00063135">
        <w:rPr>
          <w:rFonts w:ascii="Simplified Arabic" w:eastAsia="Times New Roman" w:hAnsi="Simplified Arabic" w:cs="Simplified Arabic"/>
          <w:color w:val="000000" w:themeColor="text1"/>
          <w:kern w:val="0"/>
          <w:sz w:val="28"/>
          <w:szCs w:val="28"/>
          <w:rtl/>
          <w14:ligatures w14:val="none"/>
        </w:rPr>
        <w:t>استمرارية الأعمال بأنها القدرة الاستراتيجية والتكتيكية للمنظمة على التخطيط والاستجابة للحوادث والاضطرابات من أجل مواصلة عملياتها التجارية عند مستوى مقبول مُحدد مسبقاً. أما المعيار الدولي</w:t>
      </w:r>
      <w:r w:rsidRPr="00063135">
        <w:rPr>
          <w:rFonts w:ascii="Simplified Arabic" w:eastAsia="Times New Roman" w:hAnsi="Simplified Arabic" w:cs="Simplified Arabic"/>
          <w:color w:val="000000" w:themeColor="text1"/>
          <w:kern w:val="0"/>
          <w:sz w:val="28"/>
          <w:szCs w:val="28"/>
          <w14:ligatures w14:val="none"/>
        </w:rPr>
        <w:t xml:space="preserve"> (ISO 22301:2019) </w:t>
      </w:r>
      <w:r w:rsidRPr="00063135">
        <w:rPr>
          <w:rFonts w:ascii="Simplified Arabic" w:eastAsia="Times New Roman" w:hAnsi="Simplified Arabic" w:cs="Simplified Arabic"/>
          <w:color w:val="000000" w:themeColor="text1"/>
          <w:kern w:val="0"/>
          <w:sz w:val="28"/>
          <w:szCs w:val="28"/>
          <w:rtl/>
          <w14:ligatures w14:val="none"/>
        </w:rPr>
        <w:t>فيُعرّف نظام إدارة استمرارية الأعمال بأنه جزء من نظام الإدارة الشامل الذي يُنشئ ويُنفّذ ويُشغّل ويُراقب ويُراجع ويُحافظ على سياسة استمرارية الأعمال ويُحسّنها. وتُشير خطة استمرارية الأعمال إلى الوثائق والإجراءات المُحددة مسبقاً التي تُوجّه المنظمة للاستجابة والتعافي واستئناف عملياتها واستمرارها عند مستوى مُحدد مسبقاً بعد حدوث الاضطراب</w:t>
      </w:r>
      <w:r w:rsidRPr="00063135">
        <w:rPr>
          <w:rFonts w:ascii="Simplified Arabic" w:eastAsia="Times New Roman" w:hAnsi="Simplified Arabic" w:cs="Simplified Arabic"/>
          <w:color w:val="000000" w:themeColor="text1"/>
          <w:kern w:val="0"/>
          <w:sz w:val="28"/>
          <w:szCs w:val="28"/>
          <w14:ligatures w14:val="none"/>
        </w:rPr>
        <w:t xml:space="preserve"> (Riglietti, Avatefipour &amp; Trucco, 2021).</w:t>
      </w:r>
    </w:p>
    <w:p w14:paraId="0BBA3465" w14:textId="29607E16"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وقد مرّ تطور مفهوم استمرارية الأعمال بعدة مراحل تاريخية، بدأت بالتركيز على التعافي من كوارث تقنية المعلومات في ثمانينيات القرن الماضي، ثم توسّع ليشمل التخطيط للطوارئ وإدارة الأزمات في </w:t>
      </w:r>
      <w:r w:rsidRPr="00063135">
        <w:rPr>
          <w:rFonts w:ascii="Simplified Arabic" w:eastAsia="Times New Roman" w:hAnsi="Simplified Arabic" w:cs="Simplified Arabic"/>
          <w:color w:val="000000" w:themeColor="text1"/>
          <w:kern w:val="0"/>
          <w:sz w:val="28"/>
          <w:szCs w:val="28"/>
          <w:rtl/>
          <w14:ligatures w14:val="none"/>
        </w:rPr>
        <w:lastRenderedPageBreak/>
        <w:t xml:space="preserve">التسعينيات، قبل أن يتبلور كنظام إداري متكامل مع مطلع الألفية الثالثة عقب أحداث الحادي عشر من سبتمبر 2001، ليصل إلى صورته الحالية كمقاربة استراتيجية تتكامل مع إدارة المخاطر المؤسسية والمرونة التنظيمية (شديد، </w:t>
      </w:r>
      <w:r w:rsidRPr="00063135">
        <w:rPr>
          <w:rFonts w:ascii="Simplified Arabic" w:eastAsia="Times New Roman" w:hAnsi="Simplified Arabic" w:cs="Simplified Arabic"/>
          <w:color w:val="000000" w:themeColor="text1"/>
          <w:kern w:val="0"/>
          <w:sz w:val="28"/>
          <w:szCs w:val="28"/>
          <w14:ligatures w14:val="none"/>
        </w:rPr>
        <w:t>2022).</w:t>
      </w:r>
    </w:p>
    <w:p w14:paraId="0178BF1E" w14:textId="77777777" w:rsidR="00057A28" w:rsidRPr="00063135" w:rsidRDefault="00057A28"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4726658"/>
      <w:r w:rsidRPr="00063135">
        <w:rPr>
          <w:rFonts w:ascii="Simplified Arabic" w:eastAsia="Times New Roman" w:hAnsi="Simplified Arabic" w:cs="Simplified Arabic"/>
          <w:b/>
          <w:bCs/>
          <w:color w:val="000000" w:themeColor="text1"/>
          <w:kern w:val="0"/>
          <w:sz w:val="32"/>
          <w:szCs w:val="32"/>
          <w:rtl/>
          <w14:ligatures w14:val="none"/>
        </w:rPr>
        <w:t>أبعاد خطط استمرارية الأعمال</w:t>
      </w:r>
      <w:bookmarkEnd w:id="19"/>
    </w:p>
    <w:p w14:paraId="10488CC3"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تتضمن خطط استمرارية الأعمال في هذه الدراسة أربعة أبعاد أساسية تُشكّل الدورة الحياتية المتكاملة لإدارة استمرارية الأعمال وفقاً للمعايير الدولية وأفضل الممارسات العالمية</w:t>
      </w:r>
      <w:r w:rsidRPr="00063135">
        <w:rPr>
          <w:rFonts w:ascii="Simplified Arabic" w:eastAsia="Times New Roman" w:hAnsi="Simplified Arabic" w:cs="Simplified Arabic"/>
          <w:color w:val="000000" w:themeColor="text1"/>
          <w:kern w:val="0"/>
          <w:sz w:val="28"/>
          <w:szCs w:val="28"/>
          <w14:ligatures w14:val="none"/>
        </w:rPr>
        <w:t>:</w:t>
      </w:r>
    </w:p>
    <w:p w14:paraId="4A4CC46C"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البُعد الأول: تحليل الأثر على الأعمال</w:t>
      </w:r>
      <w:r w:rsidRPr="00063135">
        <w:rPr>
          <w:rFonts w:ascii="Simplified Arabic" w:eastAsia="Times New Roman" w:hAnsi="Simplified Arabic" w:cs="Simplified Arabic"/>
          <w:color w:val="000000" w:themeColor="text1"/>
          <w:kern w:val="0"/>
          <w:sz w:val="28"/>
          <w:szCs w:val="28"/>
          <w14:ligatures w14:val="none"/>
        </w:rPr>
        <w:t xml:space="preserve"> (Business Impact Analysis - BIA): </w:t>
      </w:r>
      <w:r w:rsidRPr="00063135">
        <w:rPr>
          <w:rFonts w:ascii="Simplified Arabic" w:eastAsia="Times New Roman" w:hAnsi="Simplified Arabic" w:cs="Simplified Arabic"/>
          <w:color w:val="000000" w:themeColor="text1"/>
          <w:kern w:val="0"/>
          <w:sz w:val="28"/>
          <w:szCs w:val="28"/>
          <w:rtl/>
          <w14:ligatures w14:val="none"/>
        </w:rPr>
        <w:t>ويُشير إلى العملية المنهجية التي تهدف إلى تحديد وتقييم الآثار المحتملة لانقطاع العمليات والأنشطة الحرجة في المنظمة، من خلال تحديد العمليات الجوهرية وترتيبها حسب أولويتها، وتقدير الحد الأقصى المقبول لفترة الانقطاع، وتحديد الموارد اللازمة لاستئناف كل عملية. ويُعدّ تحليل الأثر على الأعمال الأساس الذي تُبنى عليه جميع المراحل اللاحقة في خطة استمرارية الأعمال، إذ يُوفّر فهماً معمقاً لطبيعة العمليات الحرجة ومتطلبات استمرارها</w:t>
      </w:r>
      <w:r w:rsidRPr="00063135">
        <w:rPr>
          <w:rFonts w:ascii="Simplified Arabic" w:eastAsia="Times New Roman" w:hAnsi="Simplified Arabic" w:cs="Simplified Arabic"/>
          <w:color w:val="000000" w:themeColor="text1"/>
          <w:kern w:val="0"/>
          <w:sz w:val="28"/>
          <w:szCs w:val="28"/>
          <w14:ligatures w14:val="none"/>
        </w:rPr>
        <w:t xml:space="preserve"> (Guntuka, Corsi &amp; Cantor, 2024).</w:t>
      </w:r>
    </w:p>
    <w:p w14:paraId="7E182F52"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البُعد الثاني: تقييم المخاطر والتهديدات</w:t>
      </w:r>
      <w:r w:rsidRPr="00063135">
        <w:rPr>
          <w:rFonts w:ascii="Simplified Arabic" w:eastAsia="Times New Roman" w:hAnsi="Simplified Arabic" w:cs="Simplified Arabic"/>
          <w:color w:val="000000" w:themeColor="text1"/>
          <w:kern w:val="0"/>
          <w:sz w:val="28"/>
          <w:szCs w:val="28"/>
          <w14:ligatures w14:val="none"/>
        </w:rPr>
        <w:t xml:space="preserve"> (Risk and Threat Assessment): </w:t>
      </w:r>
      <w:r w:rsidRPr="00063135">
        <w:rPr>
          <w:rFonts w:ascii="Simplified Arabic" w:eastAsia="Times New Roman" w:hAnsi="Simplified Arabic" w:cs="Simplified Arabic"/>
          <w:color w:val="000000" w:themeColor="text1"/>
          <w:kern w:val="0"/>
          <w:sz w:val="28"/>
          <w:szCs w:val="28"/>
          <w:rtl/>
          <w14:ligatures w14:val="none"/>
        </w:rPr>
        <w:t>ويُشير إلى العملية المنظمة لتحديد وتحليل وتقييم المخاطر والتهديدات الداخلية والخارجية التي قد تُؤدي إلى اضطراب أو انقطاع في عمليات المنظمة، وتشمل تحديد مصادر المخاطر وتقدير احتمالية وقوعها وتقييم شدة أثرها على العمليات الحيوية، ومن ثم ترتيبها وفق أولوياتها لوضع استراتيجيات المعالجة المناسبة. ويرتبط هذا البُعد ارتباطاً وثيقاً بإدارة المخاطر الاستراتيجية التي تُسهم في تحقيق استمرارية الأعمال (حسب الله ومحمد، 2023)</w:t>
      </w:r>
      <w:r w:rsidRPr="00063135">
        <w:rPr>
          <w:rFonts w:ascii="Simplified Arabic" w:eastAsia="Times New Roman" w:hAnsi="Simplified Arabic" w:cs="Simplified Arabic"/>
          <w:color w:val="000000" w:themeColor="text1"/>
          <w:kern w:val="0"/>
          <w:sz w:val="28"/>
          <w:szCs w:val="28"/>
          <w14:ligatures w14:val="none"/>
        </w:rPr>
        <w:t>.</w:t>
      </w:r>
    </w:p>
    <w:p w14:paraId="00DC5B46"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البُعد الثالث: استراتيجيات التعافي والاستجابة</w:t>
      </w:r>
      <w:r w:rsidRPr="00063135">
        <w:rPr>
          <w:rFonts w:ascii="Simplified Arabic" w:eastAsia="Times New Roman" w:hAnsi="Simplified Arabic" w:cs="Simplified Arabic"/>
          <w:color w:val="000000" w:themeColor="text1"/>
          <w:kern w:val="0"/>
          <w:sz w:val="28"/>
          <w:szCs w:val="28"/>
          <w14:ligatures w14:val="none"/>
        </w:rPr>
        <w:t xml:space="preserve"> (Recovery and Response Strategies): </w:t>
      </w:r>
      <w:r w:rsidRPr="00063135">
        <w:rPr>
          <w:rFonts w:ascii="Simplified Arabic" w:eastAsia="Times New Roman" w:hAnsi="Simplified Arabic" w:cs="Simplified Arabic"/>
          <w:color w:val="000000" w:themeColor="text1"/>
          <w:kern w:val="0"/>
          <w:sz w:val="28"/>
          <w:szCs w:val="28"/>
          <w:rtl/>
          <w14:ligatures w14:val="none"/>
        </w:rPr>
        <w:t>ويُشير إلى مجموعة الخطط والإجراءات والبدائل التي تضعها المنظمة مُسبقاً لضمان استئناف عملياتها الحرجة خلال الإطار الزمني المُحدد بعد وقوع الاضطراب، وتشمل تحديد المواقع البديلة وتوفير الموارد الاحتياطية ووضع بروتوكولات الاتصال والتنسيق وتحديد الأدوار والمسؤوليات في حالات الطوارئ</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وتُشكّل هذه الاستراتيجيات جوهر خطة استمرارية الأعمال كونها تُترجم التحليلات والتقييمات إلى إجراءات عملية قابلة للتنفيذ</w:t>
      </w:r>
      <w:r w:rsidRPr="00063135">
        <w:rPr>
          <w:rFonts w:ascii="Simplified Arabic" w:eastAsia="Times New Roman" w:hAnsi="Simplified Arabic" w:cs="Simplified Arabic"/>
          <w:color w:val="000000" w:themeColor="text1"/>
          <w:kern w:val="0"/>
          <w:sz w:val="28"/>
          <w:szCs w:val="28"/>
          <w14:ligatures w14:val="none"/>
        </w:rPr>
        <w:t xml:space="preserve"> (Rumman, 2022).</w:t>
      </w:r>
    </w:p>
    <w:p w14:paraId="20A630EC"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البُعد الرابع: الاختبار والتمرين والتحسين المستمر</w:t>
      </w:r>
      <w:r w:rsidRPr="00063135">
        <w:rPr>
          <w:rFonts w:ascii="Simplified Arabic" w:eastAsia="Times New Roman" w:hAnsi="Simplified Arabic" w:cs="Simplified Arabic"/>
          <w:color w:val="000000" w:themeColor="text1"/>
          <w:kern w:val="0"/>
          <w:sz w:val="28"/>
          <w:szCs w:val="28"/>
          <w14:ligatures w14:val="none"/>
        </w:rPr>
        <w:t xml:space="preserve"> (Testing, Exercising &amp; Continuous Improvement): </w:t>
      </w:r>
      <w:r w:rsidRPr="00063135">
        <w:rPr>
          <w:rFonts w:ascii="Simplified Arabic" w:eastAsia="Times New Roman" w:hAnsi="Simplified Arabic" w:cs="Simplified Arabic"/>
          <w:color w:val="000000" w:themeColor="text1"/>
          <w:kern w:val="0"/>
          <w:sz w:val="28"/>
          <w:szCs w:val="28"/>
          <w:rtl/>
          <w14:ligatures w14:val="none"/>
        </w:rPr>
        <w:t>ويُشير إلى الأنشطة المنهجية الدورية التي تقوم بها المنظمة للتحقق من فاعلية خطط استمرارية الأعمال وجاهزيتها للتطبيق الفعلي، من خلال إجراء المحاكاة والتدريبات والتمارين الواقعية، ومراجعة الدروس المستفادة وتحديث الخطط بناءً على نتائج الاختبارات والتغيرات في بيئة الأعمال. ويضمن هذا البُعد أن تظل خطط استمرارية الأعمال حيّة ومُحدّثة وقادرة على الاستجابة للتهديدات المتجددة (الزعبي والشوابكة، 2023)</w:t>
      </w:r>
      <w:r w:rsidRPr="00063135">
        <w:rPr>
          <w:rFonts w:ascii="Simplified Arabic" w:eastAsia="Times New Roman" w:hAnsi="Simplified Arabic" w:cs="Simplified Arabic"/>
          <w:color w:val="000000" w:themeColor="text1"/>
          <w:kern w:val="0"/>
          <w:sz w:val="28"/>
          <w:szCs w:val="28"/>
          <w14:ligatures w14:val="none"/>
        </w:rPr>
        <w:t>.</w:t>
      </w:r>
    </w:p>
    <w:p w14:paraId="44A05366" w14:textId="77777777" w:rsidR="00057A28" w:rsidRPr="00063135" w:rsidRDefault="00057A28"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4726659"/>
      <w:r w:rsidRPr="00063135">
        <w:rPr>
          <w:rFonts w:ascii="Simplified Arabic" w:eastAsia="Times New Roman" w:hAnsi="Simplified Arabic" w:cs="Simplified Arabic"/>
          <w:b/>
          <w:bCs/>
          <w:color w:val="000000" w:themeColor="text1"/>
          <w:kern w:val="0"/>
          <w:sz w:val="32"/>
          <w:szCs w:val="32"/>
          <w:rtl/>
          <w14:ligatures w14:val="none"/>
        </w:rPr>
        <w:t>ثانياً: استمرارية سلسلة الإمداد في ظل الأزمات</w:t>
      </w:r>
      <w:r w:rsidRPr="00063135">
        <w:rPr>
          <w:rFonts w:ascii="Simplified Arabic" w:eastAsia="Times New Roman" w:hAnsi="Simplified Arabic" w:cs="Simplified Arabic"/>
          <w:b/>
          <w:bCs/>
          <w:color w:val="000000" w:themeColor="text1"/>
          <w:kern w:val="0"/>
          <w:sz w:val="32"/>
          <w:szCs w:val="32"/>
          <w14:ligatures w14:val="none"/>
        </w:rPr>
        <w:t xml:space="preserve"> (Supply Chain Continuity During Crises)</w:t>
      </w:r>
      <w:bookmarkEnd w:id="20"/>
    </w:p>
    <w:p w14:paraId="55AC4EBA" w14:textId="77777777" w:rsidR="00057A28" w:rsidRPr="00063135" w:rsidRDefault="00057A28" w:rsidP="005E5CFA">
      <w:pPr>
        <w:pStyle w:val="ListParagraph"/>
        <w:numPr>
          <w:ilvl w:val="0"/>
          <w:numId w:val="37"/>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1" w:name="_Toc224726660"/>
      <w:r w:rsidRPr="00063135">
        <w:rPr>
          <w:rFonts w:ascii="Simplified Arabic" w:eastAsia="Times New Roman" w:hAnsi="Simplified Arabic" w:cs="Simplified Arabic"/>
          <w:b/>
          <w:bCs/>
          <w:color w:val="000000" w:themeColor="text1"/>
          <w:kern w:val="0"/>
          <w:sz w:val="28"/>
          <w:szCs w:val="28"/>
          <w:rtl/>
          <w14:ligatures w14:val="none"/>
        </w:rPr>
        <w:t>مفهوم سلسلة الإمداد</w:t>
      </w:r>
      <w:bookmarkEnd w:id="21"/>
    </w:p>
    <w:p w14:paraId="4E550F7C"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تُعرّف سلسلة الإمداد بأنها شبكة متكاملة من المنظمات والأنشطة والمعلومات والموارد المترابطة التي تشترك في عمليات تدفق المنتجات والخدمات من مصادر المواد الخام إلى العميل النهائي، وتتضمن جميع مراحل التحويل والنقل والتخزين والتوزيع. وقد تطور مفهوم إدارة سلسلة الإمداد ليتجاوز البُعد اللوجستي التقليدي ويشمل التكامل الاستراتيجي بين جميع أطراف السلسلة لتحقيق القيمة المُضافة وتعزيز القدرة التنافسية (علاق، </w:t>
      </w:r>
      <w:r w:rsidRPr="00063135">
        <w:rPr>
          <w:rFonts w:ascii="Simplified Arabic" w:eastAsia="Times New Roman" w:hAnsi="Simplified Arabic" w:cs="Simplified Arabic"/>
          <w:color w:val="000000" w:themeColor="text1"/>
          <w:kern w:val="0"/>
          <w:sz w:val="28"/>
          <w:szCs w:val="28"/>
          <w14:ligatures w14:val="none"/>
        </w:rPr>
        <w:t>2023).</w:t>
      </w:r>
    </w:p>
    <w:p w14:paraId="303FE0B0" w14:textId="77777777" w:rsidR="00057A28" w:rsidRPr="00063135" w:rsidRDefault="00057A28" w:rsidP="005E5CFA">
      <w:pPr>
        <w:pStyle w:val="ListParagraph"/>
        <w:numPr>
          <w:ilvl w:val="0"/>
          <w:numId w:val="37"/>
        </w:numPr>
        <w:spacing w:before="100" w:beforeAutospacing="1" w:after="100" w:afterAutospacing="1" w:line="276" w:lineRule="auto"/>
        <w:ind w:left="419" w:hanging="357"/>
        <w:jc w:val="both"/>
        <w:rPr>
          <w:rFonts w:ascii="Simplified Arabic" w:eastAsia="Times New Roman" w:hAnsi="Simplified Arabic" w:cs="Simplified Arabic"/>
          <w:b/>
          <w:bCs/>
          <w:color w:val="000000" w:themeColor="text1"/>
          <w:kern w:val="0"/>
          <w:sz w:val="28"/>
          <w:szCs w:val="28"/>
          <w14:ligatures w14:val="none"/>
        </w:rPr>
      </w:pPr>
      <w:bookmarkStart w:id="22" w:name="_Toc224726661"/>
      <w:r w:rsidRPr="00063135">
        <w:rPr>
          <w:rFonts w:ascii="Simplified Arabic" w:eastAsia="Times New Roman" w:hAnsi="Simplified Arabic" w:cs="Simplified Arabic"/>
          <w:b/>
          <w:bCs/>
          <w:color w:val="000000" w:themeColor="text1"/>
          <w:kern w:val="0"/>
          <w:sz w:val="28"/>
          <w:szCs w:val="28"/>
          <w:rtl/>
          <w14:ligatures w14:val="none"/>
        </w:rPr>
        <w:t>مفهوم استمرارية سلسلة الإمداد في ظل الأزمات</w:t>
      </w:r>
      <w:bookmarkEnd w:id="22"/>
    </w:p>
    <w:p w14:paraId="1D9B9535"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يُشير مفهوم استمرارية سلسلة الإمداد في ظل الأزمات إلى قدرة سلسلة الإمداد على الحفاظ على تدفقاتها التشغيلية واستمرار وظائفها الجوهرية عند مستوى مقبول أثناء فترات الاضطراب والأزمات، واستعادة مستواها الطبيعي في أقصر فترة زمنية ممكنة بعد انتهاء الأزمة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 xml:space="preserve">ويتجاوز هذا المفهوم فكرة المرونة التقليدية ليشمل القدرة على الاستشراف والاستعداد المسبق والاستجابة الفورية والتعافي المنظّم والتكيّف مع الواقع الجديد. وقد أبرزت الدراسات أن استمرارية سلسلة الإمداد ترتبط بعدة مكونات أساسية تشمل الرؤية الواضحة لعمليات السلسلة، والتعاون الفعّال بين أطرافها، والمرونة في التكيّف مع المتغيرات، وسرعة الاستجابة للاضطرابات </w:t>
      </w:r>
      <w:r w:rsidRPr="00063135">
        <w:rPr>
          <w:rFonts w:ascii="Simplified Arabic" w:eastAsia="Times New Roman" w:hAnsi="Simplified Arabic" w:cs="Simplified Arabic"/>
          <w:color w:val="000000" w:themeColor="text1"/>
          <w:kern w:val="0"/>
          <w:sz w:val="28"/>
          <w:szCs w:val="28"/>
          <w14:ligatures w14:val="none"/>
        </w:rPr>
        <w:t>(Riglietti, Piraina &amp; Trucco, 2022).</w:t>
      </w:r>
    </w:p>
    <w:p w14:paraId="74B7E0DA"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وتكتسب استمرارية سلسلة الإمداد أهمية متزايدة في ظل الأزمات المعاصرة، حيث أثبتت جائحة كوفيد-19 أن الاضطرابات الحادة في سلاسل الإمداد لا تُؤثر فقط على المنظمة الواحدة بل تمتد آثارها لتشمل جميع أطراف السلسلة وصولاً إلى الاقتصادات الوطنية بأكملها، مما يُحتّم على المنظمات تبني مقاربات شاملة تضمن استمرارية تدفقات سلاسل إمدادها</w:t>
      </w:r>
      <w:r w:rsidRPr="00063135">
        <w:rPr>
          <w:rFonts w:ascii="Simplified Arabic" w:eastAsia="Times New Roman" w:hAnsi="Simplified Arabic" w:cs="Simplified Arabic"/>
          <w:color w:val="000000" w:themeColor="text1"/>
          <w:kern w:val="0"/>
          <w:sz w:val="28"/>
          <w:szCs w:val="28"/>
          <w14:ligatures w14:val="none"/>
        </w:rPr>
        <w:t xml:space="preserve"> (Maleki Vishkaei &amp; De Giovanni, 2024).</w:t>
      </w:r>
    </w:p>
    <w:p w14:paraId="4430981E" w14:textId="77777777" w:rsidR="00057A28" w:rsidRPr="00063135" w:rsidRDefault="00057A28" w:rsidP="005E5CF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4726662"/>
      <w:r w:rsidRPr="00063135">
        <w:rPr>
          <w:rFonts w:ascii="Simplified Arabic" w:eastAsia="Times New Roman" w:hAnsi="Simplified Arabic" w:cs="Simplified Arabic"/>
          <w:b/>
          <w:bCs/>
          <w:color w:val="000000" w:themeColor="text1"/>
          <w:kern w:val="0"/>
          <w:sz w:val="32"/>
          <w:szCs w:val="32"/>
          <w:rtl/>
          <w14:ligatures w14:val="none"/>
        </w:rPr>
        <w:t>ثالثاً: العلاقة النظرية بين خطط استمرارية الأعمال واستمرارية سلسلة الإمداد</w:t>
      </w:r>
      <w:bookmarkEnd w:id="23"/>
    </w:p>
    <w:p w14:paraId="174899A8"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يستند الإطار النظري لهذه الدراسة إلى عدة نظريات ومداخل إدارية تدعم العلاقة بين المتغيرين. فمن منظور نظرية الموارد </w:t>
      </w:r>
      <w:r w:rsidRPr="00063135">
        <w:rPr>
          <w:rFonts w:ascii="Simplified Arabic" w:eastAsia="Times New Roman" w:hAnsi="Simplified Arabic" w:cs="Simplified Arabic"/>
          <w:color w:val="000000" w:themeColor="text1"/>
          <w:kern w:val="0"/>
          <w:sz w:val="28"/>
          <w:szCs w:val="28"/>
          <w14:ligatures w14:val="none"/>
        </w:rPr>
        <w:t>(Resource-Based View)</w:t>
      </w:r>
      <w:r w:rsidRPr="00063135">
        <w:rPr>
          <w:rFonts w:ascii="Simplified Arabic" w:eastAsia="Times New Roman" w:hAnsi="Simplified Arabic" w:cs="Simplified Arabic"/>
          <w:color w:val="000000" w:themeColor="text1"/>
          <w:kern w:val="0"/>
          <w:sz w:val="28"/>
          <w:szCs w:val="28"/>
          <w:rtl/>
          <w14:ligatures w14:val="none"/>
        </w:rPr>
        <w:t>، تُمثّل خطط استمرارية الأعمال مورداً تنظيمياً استراتيجياً يُعزّز القدرات الديناميكية للمنظمة في مواجهة الاضطرابات. كما تُفسّر نظرية الطوارئ</w:t>
      </w:r>
      <w:r w:rsidRPr="00063135">
        <w:rPr>
          <w:rFonts w:ascii="Simplified Arabic" w:eastAsia="Times New Roman" w:hAnsi="Simplified Arabic" w:cs="Simplified Arabic"/>
          <w:color w:val="000000" w:themeColor="text1"/>
          <w:kern w:val="0"/>
          <w:sz w:val="28"/>
          <w:szCs w:val="28"/>
          <w14:ligatures w14:val="none"/>
        </w:rPr>
        <w:t xml:space="preserve"> (Contingency Theory) </w:t>
      </w:r>
      <w:r w:rsidRPr="00063135">
        <w:rPr>
          <w:rFonts w:ascii="Simplified Arabic" w:eastAsia="Times New Roman" w:hAnsi="Simplified Arabic" w:cs="Simplified Arabic"/>
          <w:color w:val="000000" w:themeColor="text1"/>
          <w:kern w:val="0"/>
          <w:sz w:val="28"/>
          <w:szCs w:val="28"/>
          <w:rtl/>
          <w14:ligatures w14:val="none"/>
        </w:rPr>
        <w:t>ضرورة مواءمة خطط استمرارية الأعمال مع طبيعة التهديدات والسياق البيئي الذي تعمل فيه المنظمة. فضلاً عن ذلك، يُؤكد مدخل المرونة التنظيمية</w:t>
      </w:r>
      <w:r w:rsidRPr="00063135">
        <w:rPr>
          <w:rFonts w:ascii="Simplified Arabic" w:eastAsia="Times New Roman" w:hAnsi="Simplified Arabic" w:cs="Simplified Arabic"/>
          <w:color w:val="000000" w:themeColor="text1"/>
          <w:kern w:val="0"/>
          <w:sz w:val="28"/>
          <w:szCs w:val="28"/>
          <w14:ligatures w14:val="none"/>
        </w:rPr>
        <w:t xml:space="preserve"> (Organizational Resilience) </w:t>
      </w:r>
      <w:r w:rsidRPr="00063135">
        <w:rPr>
          <w:rFonts w:ascii="Simplified Arabic" w:eastAsia="Times New Roman" w:hAnsi="Simplified Arabic" w:cs="Simplified Arabic"/>
          <w:color w:val="000000" w:themeColor="text1"/>
          <w:kern w:val="0"/>
          <w:sz w:val="28"/>
          <w:szCs w:val="28"/>
          <w:rtl/>
          <w14:ligatures w14:val="none"/>
        </w:rPr>
        <w:t>على أن التكامل بين تحليل الأثر على الأعمال وتقييم المخاطر واستراتيجيات التعافي والاختبار المستمر يُنتج قدرة مؤسسية متميزة تُمكّن المنظمة من حماية تدفقات سلسلة إمدادها في ظل مختلف السيناريوهات. وقد أكدت الدراسات أن المنظمات التي تمتلك أنظمة يقظة استراتيجية فعّالة وخطط استمرارية أعمال متكاملة تكون أكثر قدرة على إدارة استمرارية أعمالها وسلاسل إمدادها بكفاءة في أوقات الأزمات</w:t>
      </w:r>
      <w:r w:rsidRPr="00063135">
        <w:rPr>
          <w:rFonts w:ascii="Simplified Arabic" w:eastAsia="Times New Roman" w:hAnsi="Simplified Arabic" w:cs="Simplified Arabic"/>
          <w:color w:val="000000" w:themeColor="text1"/>
          <w:kern w:val="0"/>
          <w:sz w:val="28"/>
          <w:szCs w:val="28"/>
          <w14:ligatures w14:val="none"/>
        </w:rPr>
        <w:t xml:space="preserve"> (Al-Nimri &amp; Al-Shawabkeh, 2023).</w:t>
      </w:r>
    </w:p>
    <w:p w14:paraId="7DEADCEF" w14:textId="093263AC" w:rsidR="005E5CFA" w:rsidRPr="00063135" w:rsidRDefault="005E5CFA" w:rsidP="005E5CF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169790506"/>
      <w:bookmarkStart w:id="25" w:name="_Toc233923269"/>
      <w:bookmarkEnd w:id="17"/>
      <w:r w:rsidRPr="00063135">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3B2E083A"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محل الدراسة كما هي في الواقع وصفاً دقيقاً، والتعبير عنها تعبيراً كمياً وكيفياً، من خلال جمع البيانات والمعلومات عن أثر خطط استمرارية الأعمال بأبعادها (تحليل الأثر على الأعمال، تقييم المخاطر والتهديدات، استراتيجيات التعافي والاستجابة، الاختبار والتمرين والتحسين المستمر) على استمرارية سلسلة الإمداد في ظل الأزمات في الشركات الكبرى بالمملكة العربية السعودية، وتحليلها إحصائياً للوصول إلى استنتاجات علمية دقيقة</w:t>
      </w:r>
      <w:r w:rsidRPr="00063135">
        <w:rPr>
          <w:rFonts w:ascii="Simplified Arabic" w:eastAsia="Times New Roman" w:hAnsi="Simplified Arabic" w:cs="Simplified Arabic"/>
          <w:color w:val="000000" w:themeColor="text1"/>
          <w:kern w:val="0"/>
          <w:sz w:val="28"/>
          <w:szCs w:val="28"/>
          <w14:ligatures w14:val="none"/>
        </w:rPr>
        <w:t>.</w:t>
      </w:r>
    </w:p>
    <w:p w14:paraId="6FFE6199"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وسيتم توظيف هذا المنهج في شقّين أساسيين: الشقّ النظري الذي سيعتمد على المسح المكتبي للأدبيات والدراسات السابقة والكتب والدوريات العلمية المحكّمة ذات الصلة بموضوع الدراسة لبناء الإطار النظري </w:t>
      </w:r>
      <w:r w:rsidRPr="00063135">
        <w:rPr>
          <w:rFonts w:ascii="Simplified Arabic" w:eastAsia="Times New Roman" w:hAnsi="Simplified Arabic" w:cs="Simplified Arabic"/>
          <w:color w:val="000000" w:themeColor="text1"/>
          <w:kern w:val="0"/>
          <w:sz w:val="28"/>
          <w:szCs w:val="28"/>
          <w:rtl/>
          <w14:ligatures w14:val="none"/>
        </w:rPr>
        <w:lastRenderedPageBreak/>
        <w:t>والمفاهيمي، والشقّ الميداني الذي سيعتمد على تصميم استبانة كأداة رئيسية لجمع البيانات الأولية من أفراد عينة الدراسة، ومن ثم تحليلها باستخدام الأساليب الإحصائية المناسبة لاختبار فرضيات الدراسة والإجابة عن أسئلتها وتحقيق أهدافها</w:t>
      </w:r>
      <w:r w:rsidRPr="00063135">
        <w:rPr>
          <w:rFonts w:ascii="Simplified Arabic" w:eastAsia="Times New Roman" w:hAnsi="Simplified Arabic" w:cs="Simplified Arabic"/>
          <w:color w:val="000000" w:themeColor="text1"/>
          <w:kern w:val="0"/>
          <w:sz w:val="28"/>
          <w:szCs w:val="28"/>
          <w14:ligatures w14:val="none"/>
        </w:rPr>
        <w:t>.</w:t>
      </w:r>
    </w:p>
    <w:p w14:paraId="68780A48" w14:textId="47874693" w:rsidR="00057A28" w:rsidRPr="00063135" w:rsidRDefault="005E5CFA" w:rsidP="005E5CF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4726664"/>
      <w:bookmarkStart w:id="27" w:name="_Toc233923270"/>
      <w:r w:rsidRPr="00063135">
        <w:rPr>
          <w:rFonts w:ascii="Simplified Arabic" w:eastAsia="Times New Roman" w:hAnsi="Simplified Arabic" w:cs="Simplified Arabic" w:hint="cs"/>
          <w:b/>
          <w:bCs/>
          <w:color w:val="000000" w:themeColor="text1"/>
          <w:kern w:val="0"/>
          <w:sz w:val="36"/>
          <w:szCs w:val="36"/>
          <w:rtl/>
          <w14:ligatures w14:val="none"/>
        </w:rPr>
        <w:t xml:space="preserve">11.1 </w:t>
      </w:r>
      <w:r w:rsidR="00057A28" w:rsidRPr="00063135">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6"/>
      <w:bookmarkEnd w:id="27"/>
    </w:p>
    <w:p w14:paraId="602F6C95"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سيتكون مجتمع الدراسة من جميع المديرين العاملين في المستويات الإدارية العليا والوسطى في الشركات الكبرى المُدرجة في السوق المالية السعودية (تداول) والعاملة في قطاعات ذات سلاسل إمداد نشطة ومعقدة، وتشمل قطاعات: المواد الأساسية، والسلع الرأسمالية، والسلع الاستهلاكية، والتجزئة، والنقل والخدمات اللوجستية، والأغذية والمشروبات</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ويُقدّر حجم مجتمع الدراسة بنحو (2,400) مدير يعملون في الإدارات ذات الصلة المباشرة بموضوع الدراسة، والتي تشمل إدارات سلسلة الإمداد، وإدارات المخاطر واستمرارية الأعمال، وإدارات العمليات والتشغيل، وإدارات التخطيط الاستراتيجي، وذلك في حوالي (85) شركة كبرى تستوفي معايير الاختيار</w:t>
      </w:r>
      <w:r w:rsidRPr="00063135">
        <w:rPr>
          <w:rFonts w:ascii="Simplified Arabic" w:eastAsia="Times New Roman" w:hAnsi="Simplified Arabic" w:cs="Simplified Arabic"/>
          <w:color w:val="000000" w:themeColor="text1"/>
          <w:kern w:val="0"/>
          <w:sz w:val="28"/>
          <w:szCs w:val="28"/>
          <w14:ligatures w14:val="none"/>
        </w:rPr>
        <w:t>.</w:t>
      </w:r>
    </w:p>
    <w:p w14:paraId="166576B5"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وسيتم اختيار عينة الدراسة بأسلوب العينة العشوائية الطبقية التناسبية لضمان تمثيل متوازن لمختلف القطاعات والمستويات الإدارية، وسيتم تحديد حجم العينة وفقاً لجدول</w:t>
      </w:r>
      <w:r w:rsidRPr="00063135">
        <w:rPr>
          <w:rFonts w:ascii="Simplified Arabic" w:eastAsia="Times New Roman" w:hAnsi="Simplified Arabic" w:cs="Simplified Arabic"/>
          <w:color w:val="000000" w:themeColor="text1"/>
          <w:kern w:val="0"/>
          <w:sz w:val="28"/>
          <w:szCs w:val="28"/>
          <w14:ligatures w14:val="none"/>
        </w:rPr>
        <w:t xml:space="preserve"> (Krejcie &amp; Morgan, 1970) </w:t>
      </w:r>
      <w:r w:rsidRPr="00063135">
        <w:rPr>
          <w:rFonts w:ascii="Simplified Arabic" w:eastAsia="Times New Roman" w:hAnsi="Simplified Arabic" w:cs="Simplified Arabic"/>
          <w:color w:val="000000" w:themeColor="text1"/>
          <w:kern w:val="0"/>
          <w:sz w:val="28"/>
          <w:szCs w:val="28"/>
          <w:rtl/>
          <w14:ligatures w14:val="none"/>
        </w:rPr>
        <w:t>لتحديد حجم العينات، حيث سيبلغ الحد الأدنى لحجم العينة المطلوب (331) مفردة من مجتمع قدره (2,400)، وسيتم توزيع (400) استبانة لتعويض الفاقد المتوقع في الاستبانات غير المُستردّة أو غير الصالحة للتحليل الإحصائي، وذلك بهدف الحصول على عدد كافٍ من الاستبانات الصالحة التي تُحقق الشروط الإحصائية اللازمة لتعميم النتائج على مجتمع الدراسة بمستوى ثقة (95%) وهامش خطأ لا يتجاوز</w:t>
      </w:r>
      <w:r w:rsidRPr="00063135">
        <w:rPr>
          <w:rFonts w:ascii="Simplified Arabic" w:eastAsia="Times New Roman" w:hAnsi="Simplified Arabic" w:cs="Simplified Arabic"/>
          <w:color w:val="000000" w:themeColor="text1"/>
          <w:kern w:val="0"/>
          <w:sz w:val="28"/>
          <w:szCs w:val="28"/>
          <w14:ligatures w14:val="none"/>
        </w:rPr>
        <w:t xml:space="preserve"> (5%).</w:t>
      </w:r>
    </w:p>
    <w:p w14:paraId="6D7B2A01" w14:textId="3FD8AD44" w:rsidR="00057A28" w:rsidRPr="00063135" w:rsidRDefault="005E5CFA" w:rsidP="005E5CF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4726665"/>
      <w:bookmarkStart w:id="29" w:name="_Toc233923271"/>
      <w:r w:rsidRPr="00063135">
        <w:rPr>
          <w:rFonts w:ascii="Simplified Arabic" w:eastAsia="Times New Roman" w:hAnsi="Simplified Arabic" w:cs="Simplified Arabic" w:hint="cs"/>
          <w:b/>
          <w:bCs/>
          <w:color w:val="000000" w:themeColor="text1"/>
          <w:kern w:val="0"/>
          <w:sz w:val="36"/>
          <w:szCs w:val="36"/>
          <w:rtl/>
          <w14:ligatures w14:val="none"/>
        </w:rPr>
        <w:t xml:space="preserve">12.1 </w:t>
      </w:r>
      <w:r w:rsidR="00057A28" w:rsidRPr="00063135">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8"/>
      <w:bookmarkEnd w:id="29"/>
    </w:p>
    <w:p w14:paraId="29074FEA" w14:textId="77777777" w:rsidR="00057A28" w:rsidRPr="00063135" w:rsidRDefault="00057A2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063135">
        <w:rPr>
          <w:rFonts w:ascii="Simplified Arabic" w:eastAsia="Times New Roman" w:hAnsi="Simplified Arabic" w:cs="Simplified Arabic"/>
          <w:b/>
          <w:bCs/>
          <w:color w:val="000000" w:themeColor="text1"/>
          <w:kern w:val="0"/>
          <w:sz w:val="28"/>
          <w:szCs w:val="28"/>
          <w14:ligatures w14:val="none"/>
        </w:rPr>
        <w:t>:</w:t>
      </w:r>
    </w:p>
    <w:p w14:paraId="18919F0C" w14:textId="77777777" w:rsidR="00057A28" w:rsidRPr="00063135" w:rsidRDefault="00057A28" w:rsidP="005E5CFA">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المصادر الثانوية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 xml:space="preserve">وتشمل الكتب والمراجع العربية والأجنبية، والدوريات والمجلات العلمية المحكّمة، والرسائل الجامعية (ماجستير ودكتوراه)، والتقارير والمنشورات الرسمية، وقواعد البيانات الإلكترونية </w:t>
      </w:r>
      <w:r w:rsidRPr="00063135">
        <w:rPr>
          <w:rFonts w:ascii="Simplified Arabic" w:eastAsia="Times New Roman" w:hAnsi="Simplified Arabic" w:cs="Simplified Arabic"/>
          <w:color w:val="000000" w:themeColor="text1"/>
          <w:kern w:val="0"/>
          <w:sz w:val="28"/>
          <w:szCs w:val="28"/>
          <w:rtl/>
          <w14:ligatures w14:val="none"/>
        </w:rPr>
        <w:lastRenderedPageBreak/>
        <w:t>مثل</w:t>
      </w:r>
      <w:r w:rsidRPr="00063135">
        <w:rPr>
          <w:rFonts w:ascii="Simplified Arabic" w:eastAsia="Times New Roman" w:hAnsi="Simplified Arabic" w:cs="Simplified Arabic"/>
          <w:color w:val="000000" w:themeColor="text1"/>
          <w:kern w:val="0"/>
          <w:sz w:val="28"/>
          <w:szCs w:val="28"/>
          <w14:ligatures w14:val="none"/>
        </w:rPr>
        <w:t xml:space="preserve"> (Scopus, Web of Science, EBSCOhost, Google Scholar)</w:t>
      </w:r>
      <w:r w:rsidRPr="00063135">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والاطلاع على الدراسات السابقة</w:t>
      </w:r>
      <w:r w:rsidRPr="00063135">
        <w:rPr>
          <w:rFonts w:ascii="Simplified Arabic" w:eastAsia="Times New Roman" w:hAnsi="Simplified Arabic" w:cs="Simplified Arabic"/>
          <w:color w:val="000000" w:themeColor="text1"/>
          <w:kern w:val="0"/>
          <w:sz w:val="28"/>
          <w:szCs w:val="28"/>
          <w14:ligatures w14:val="none"/>
        </w:rPr>
        <w:t>.</w:t>
      </w:r>
    </w:p>
    <w:p w14:paraId="258F5D70" w14:textId="77777777" w:rsidR="00057A28" w:rsidRPr="00063135" w:rsidRDefault="00057A28" w:rsidP="005E5CFA">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المصادر الأولية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أفراد عينة الدراسة من خلال الاستبانة التي سيتم تصميمها خصيصاً لهذه الدراسة، والتي ستُوزّع إلكترونياً عبر منصات متخصصة لضمان سرعة الوصول وسهولة الاستجابة</w:t>
      </w:r>
      <w:r w:rsidRPr="00063135">
        <w:rPr>
          <w:rFonts w:ascii="Simplified Arabic" w:eastAsia="Times New Roman" w:hAnsi="Simplified Arabic" w:cs="Simplified Arabic"/>
          <w:color w:val="000000" w:themeColor="text1"/>
          <w:kern w:val="0"/>
          <w:sz w:val="28"/>
          <w:szCs w:val="28"/>
          <w14:ligatures w14:val="none"/>
        </w:rPr>
        <w:t>.</w:t>
      </w:r>
    </w:p>
    <w:p w14:paraId="0EF6DC16" w14:textId="082F79EE" w:rsidR="00057A28" w:rsidRPr="00063135" w:rsidRDefault="005E5CFA" w:rsidP="005E5CF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4726666"/>
      <w:bookmarkStart w:id="31" w:name="_Toc233923272"/>
      <w:r w:rsidRPr="00063135">
        <w:rPr>
          <w:rFonts w:ascii="Simplified Arabic" w:eastAsia="Times New Roman" w:hAnsi="Simplified Arabic" w:cs="Simplified Arabic" w:hint="cs"/>
          <w:b/>
          <w:bCs/>
          <w:color w:val="000000" w:themeColor="text1"/>
          <w:kern w:val="0"/>
          <w:sz w:val="36"/>
          <w:szCs w:val="36"/>
          <w:rtl/>
          <w14:ligatures w14:val="none"/>
        </w:rPr>
        <w:t xml:space="preserve">13.1 </w:t>
      </w:r>
      <w:r w:rsidR="00057A28" w:rsidRPr="00063135">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0"/>
      <w:bookmarkEnd w:id="31"/>
    </w:p>
    <w:p w14:paraId="2F65F1C3"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063135">
        <w:rPr>
          <w:rFonts w:ascii="Simplified Arabic" w:eastAsia="Times New Roman" w:hAnsi="Simplified Arabic" w:cs="Simplified Arabic"/>
          <w:b/>
          <w:bCs/>
          <w:color w:val="000000" w:themeColor="text1"/>
          <w:kern w:val="0"/>
          <w:sz w:val="28"/>
          <w:szCs w:val="28"/>
          <w:rtl/>
          <w14:ligatures w14:val="none"/>
        </w:rPr>
        <w:t>سيتم تصميم استبانة مُحكّمة كأداة رئيسية لجمع البيانات الأولية، وستتكون الاستبانة من ثلاثة أقسام رئيسية على النحو التالي</w:t>
      </w:r>
      <w:r w:rsidRPr="00063135">
        <w:rPr>
          <w:rFonts w:ascii="Simplified Arabic" w:eastAsia="Times New Roman" w:hAnsi="Simplified Arabic" w:cs="Simplified Arabic"/>
          <w:b/>
          <w:bCs/>
          <w:color w:val="000000" w:themeColor="text1"/>
          <w:kern w:val="0"/>
          <w:sz w:val="28"/>
          <w:szCs w:val="28"/>
          <w14:ligatures w14:val="none"/>
        </w:rPr>
        <w:t>:</w:t>
      </w:r>
    </w:p>
    <w:p w14:paraId="74F8A166" w14:textId="77777777" w:rsidR="00057A28" w:rsidRPr="00063135" w:rsidRDefault="00057A28" w:rsidP="005E5CFA">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القسم الأول: البيانات الديموغرافية والتنظيمية </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 xml:space="preserve">ويشمل المعلومات المتعلقة بالخصائص الشخصية والوظيفية لأفراد العينة </w:t>
      </w:r>
      <w:r w:rsidRPr="00063135">
        <w:rPr>
          <w:rFonts w:ascii="Simplified Arabic" w:eastAsia="Times New Roman" w:hAnsi="Simplified Arabic" w:cs="Simplified Arabic"/>
          <w:color w:val="000000" w:themeColor="text1"/>
          <w:kern w:val="0"/>
          <w:sz w:val="28"/>
          <w:szCs w:val="28"/>
          <w14:ligatures w14:val="none"/>
        </w:rPr>
        <w:t>(</w:t>
      </w:r>
      <w:r w:rsidRPr="00063135">
        <w:rPr>
          <w:rFonts w:ascii="Simplified Arabic" w:eastAsia="Times New Roman" w:hAnsi="Simplified Arabic" w:cs="Simplified Arabic"/>
          <w:color w:val="000000" w:themeColor="text1"/>
          <w:kern w:val="0"/>
          <w:sz w:val="28"/>
          <w:szCs w:val="28"/>
          <w:rtl/>
          <w14:ligatures w14:val="none"/>
        </w:rPr>
        <w:t>القطاع الصناعي، حجم الشركة، سنوات الخبرة، المستوى الإداري</w:t>
      </w:r>
      <w:r w:rsidRPr="00063135">
        <w:rPr>
          <w:rFonts w:ascii="Simplified Arabic" w:eastAsia="Times New Roman" w:hAnsi="Simplified Arabic" w:cs="Simplified Arabic"/>
          <w:color w:val="000000" w:themeColor="text1"/>
          <w:kern w:val="0"/>
          <w:sz w:val="28"/>
          <w:szCs w:val="28"/>
          <w14:ligatures w14:val="none"/>
        </w:rPr>
        <w:t>).</w:t>
      </w:r>
    </w:p>
    <w:p w14:paraId="0154C4EA" w14:textId="77777777" w:rsidR="00057A28" w:rsidRPr="00063135" w:rsidRDefault="00057A28" w:rsidP="005E5CFA">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القسم الثاني: المتغير المستقل — خطط استمرارية الأعمال </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ويتكون من (4) محاور تُمثّل أبعاد المتغير المستقل، بإجمالي (16) فقرة، وذلك على النحو التالي</w:t>
      </w:r>
      <w:r w:rsidRPr="00063135">
        <w:rPr>
          <w:rFonts w:ascii="Simplified Arabic" w:eastAsia="Times New Roman" w:hAnsi="Simplified Arabic" w:cs="Simplified Arabic"/>
          <w:color w:val="000000" w:themeColor="text1"/>
          <w:kern w:val="0"/>
          <w:sz w:val="28"/>
          <w:szCs w:val="28"/>
          <w14:ligatures w14:val="none"/>
        </w:rPr>
        <w:t>:</w:t>
      </w:r>
    </w:p>
    <w:tbl>
      <w:tblPr>
        <w:tblStyle w:val="GridTable4-Accent6"/>
        <w:bidiVisual/>
        <w:tblW w:w="0" w:type="auto"/>
        <w:jc w:val="center"/>
        <w:tblLook w:val="04A0" w:firstRow="1" w:lastRow="0" w:firstColumn="1" w:lastColumn="0" w:noHBand="0" w:noVBand="1"/>
      </w:tblPr>
      <w:tblGrid>
        <w:gridCol w:w="823"/>
        <w:gridCol w:w="3327"/>
        <w:gridCol w:w="1798"/>
      </w:tblGrid>
      <w:tr w:rsidR="00057A28" w:rsidRPr="00063135" w14:paraId="79452066" w14:textId="77777777" w:rsidTr="005E5CF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2E60E" w14:textId="77777777" w:rsidR="00057A28" w:rsidRPr="00063135" w:rsidRDefault="00057A28" w:rsidP="005E5CF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المحور</w:t>
            </w:r>
          </w:p>
        </w:tc>
        <w:tc>
          <w:tcPr>
            <w:tcW w:w="0" w:type="auto"/>
            <w:vAlign w:val="center"/>
            <w:hideMark/>
          </w:tcPr>
          <w:p w14:paraId="6C105E88" w14:textId="77777777" w:rsidR="00057A28" w:rsidRPr="00063135" w:rsidRDefault="00057A28" w:rsidP="005E5CF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البُعد</w:t>
            </w:r>
          </w:p>
        </w:tc>
        <w:tc>
          <w:tcPr>
            <w:tcW w:w="1798" w:type="dxa"/>
            <w:vAlign w:val="center"/>
            <w:hideMark/>
          </w:tcPr>
          <w:p w14:paraId="4B077CA2" w14:textId="77777777" w:rsidR="00057A28" w:rsidRPr="00063135" w:rsidRDefault="00057A28" w:rsidP="005E5CF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057A28" w:rsidRPr="00063135" w14:paraId="1AEEBD57" w14:textId="77777777" w:rsidTr="005E5C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F8E92E" w14:textId="77777777" w:rsidR="00057A28" w:rsidRPr="00063135" w:rsidRDefault="00057A28" w:rsidP="005E5CF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الأول</w:t>
            </w:r>
          </w:p>
        </w:tc>
        <w:tc>
          <w:tcPr>
            <w:tcW w:w="0" w:type="auto"/>
            <w:vAlign w:val="center"/>
            <w:hideMark/>
          </w:tcPr>
          <w:p w14:paraId="47167AED" w14:textId="77777777" w:rsidR="00057A28" w:rsidRPr="00063135" w:rsidRDefault="00057A28" w:rsidP="005E5CF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تحليل الأثر على الأعمال</w:t>
            </w:r>
          </w:p>
        </w:tc>
        <w:tc>
          <w:tcPr>
            <w:tcW w:w="1798" w:type="dxa"/>
            <w:vAlign w:val="center"/>
            <w:hideMark/>
          </w:tcPr>
          <w:p w14:paraId="4476C19F" w14:textId="77777777" w:rsidR="00057A28" w:rsidRPr="00063135" w:rsidRDefault="00057A28" w:rsidP="005E5CF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(4) </w:t>
            </w:r>
            <w:r w:rsidRPr="00063135">
              <w:rPr>
                <w:rFonts w:ascii="Simplified Arabic" w:eastAsia="Times New Roman" w:hAnsi="Simplified Arabic" w:cs="Simplified Arabic"/>
                <w:color w:val="000000" w:themeColor="text1"/>
                <w:kern w:val="0"/>
                <w:sz w:val="28"/>
                <w:szCs w:val="28"/>
                <w:rtl/>
                <w14:ligatures w14:val="none"/>
              </w:rPr>
              <w:t>فقرات</w:t>
            </w:r>
          </w:p>
        </w:tc>
      </w:tr>
      <w:tr w:rsidR="00057A28" w:rsidRPr="00063135" w14:paraId="2BD6C41D" w14:textId="77777777" w:rsidTr="005E5C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E27E82" w14:textId="77777777" w:rsidR="00057A28" w:rsidRPr="00063135" w:rsidRDefault="00057A28" w:rsidP="005E5CF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الثاني</w:t>
            </w:r>
          </w:p>
        </w:tc>
        <w:tc>
          <w:tcPr>
            <w:tcW w:w="0" w:type="auto"/>
            <w:vAlign w:val="center"/>
            <w:hideMark/>
          </w:tcPr>
          <w:p w14:paraId="331C1B24" w14:textId="77777777" w:rsidR="00057A28" w:rsidRPr="00063135" w:rsidRDefault="00057A28" w:rsidP="005E5CF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تقييم المخاطر والتهديدات</w:t>
            </w:r>
          </w:p>
        </w:tc>
        <w:tc>
          <w:tcPr>
            <w:tcW w:w="1798" w:type="dxa"/>
            <w:vAlign w:val="center"/>
            <w:hideMark/>
          </w:tcPr>
          <w:p w14:paraId="584A0CB8" w14:textId="77777777" w:rsidR="00057A28" w:rsidRPr="00063135" w:rsidRDefault="00057A28" w:rsidP="005E5CF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(4) </w:t>
            </w:r>
            <w:r w:rsidRPr="00063135">
              <w:rPr>
                <w:rFonts w:ascii="Simplified Arabic" w:eastAsia="Times New Roman" w:hAnsi="Simplified Arabic" w:cs="Simplified Arabic"/>
                <w:color w:val="000000" w:themeColor="text1"/>
                <w:kern w:val="0"/>
                <w:sz w:val="28"/>
                <w:szCs w:val="28"/>
                <w:rtl/>
                <w14:ligatures w14:val="none"/>
              </w:rPr>
              <w:t>فقرات</w:t>
            </w:r>
          </w:p>
        </w:tc>
      </w:tr>
      <w:tr w:rsidR="00057A28" w:rsidRPr="00063135" w14:paraId="16793D10" w14:textId="77777777" w:rsidTr="005E5C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2E5B22" w14:textId="77777777" w:rsidR="00057A28" w:rsidRPr="00063135" w:rsidRDefault="00057A28" w:rsidP="005E5CF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الثالث</w:t>
            </w:r>
          </w:p>
        </w:tc>
        <w:tc>
          <w:tcPr>
            <w:tcW w:w="0" w:type="auto"/>
            <w:vAlign w:val="center"/>
            <w:hideMark/>
          </w:tcPr>
          <w:p w14:paraId="326B15F2" w14:textId="77777777" w:rsidR="00057A28" w:rsidRPr="00063135" w:rsidRDefault="00057A28" w:rsidP="005E5CF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استراتيجيات التعافي والاستجابة</w:t>
            </w:r>
          </w:p>
        </w:tc>
        <w:tc>
          <w:tcPr>
            <w:tcW w:w="1798" w:type="dxa"/>
            <w:vAlign w:val="center"/>
            <w:hideMark/>
          </w:tcPr>
          <w:p w14:paraId="5135C2A6" w14:textId="77777777" w:rsidR="00057A28" w:rsidRPr="00063135" w:rsidRDefault="00057A28" w:rsidP="005E5CF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(4) </w:t>
            </w:r>
            <w:r w:rsidRPr="00063135">
              <w:rPr>
                <w:rFonts w:ascii="Simplified Arabic" w:eastAsia="Times New Roman" w:hAnsi="Simplified Arabic" w:cs="Simplified Arabic"/>
                <w:color w:val="000000" w:themeColor="text1"/>
                <w:kern w:val="0"/>
                <w:sz w:val="28"/>
                <w:szCs w:val="28"/>
                <w:rtl/>
                <w14:ligatures w14:val="none"/>
              </w:rPr>
              <w:t>فقرات</w:t>
            </w:r>
          </w:p>
        </w:tc>
      </w:tr>
      <w:tr w:rsidR="00057A28" w:rsidRPr="00063135" w14:paraId="6126E0D0" w14:textId="77777777" w:rsidTr="005E5CF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2851B9" w14:textId="77777777" w:rsidR="00057A28" w:rsidRPr="00063135" w:rsidRDefault="00057A28" w:rsidP="005E5CF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الرابع</w:t>
            </w:r>
          </w:p>
        </w:tc>
        <w:tc>
          <w:tcPr>
            <w:tcW w:w="0" w:type="auto"/>
            <w:vAlign w:val="center"/>
            <w:hideMark/>
          </w:tcPr>
          <w:p w14:paraId="59D407EA" w14:textId="77777777" w:rsidR="00057A28" w:rsidRPr="00063135" w:rsidRDefault="00057A28" w:rsidP="005E5CF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الاختبار والتمرين والتحسين المستمر</w:t>
            </w:r>
          </w:p>
        </w:tc>
        <w:tc>
          <w:tcPr>
            <w:tcW w:w="1798" w:type="dxa"/>
            <w:vAlign w:val="center"/>
            <w:hideMark/>
          </w:tcPr>
          <w:p w14:paraId="36407074" w14:textId="77777777" w:rsidR="00057A28" w:rsidRPr="00063135" w:rsidRDefault="00057A28" w:rsidP="005E5CF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(4) </w:t>
            </w:r>
            <w:r w:rsidRPr="00063135">
              <w:rPr>
                <w:rFonts w:ascii="Simplified Arabic" w:eastAsia="Times New Roman" w:hAnsi="Simplified Arabic" w:cs="Simplified Arabic"/>
                <w:color w:val="000000" w:themeColor="text1"/>
                <w:kern w:val="0"/>
                <w:sz w:val="28"/>
                <w:szCs w:val="28"/>
                <w:rtl/>
                <w14:ligatures w14:val="none"/>
              </w:rPr>
              <w:t>فقرات</w:t>
            </w:r>
          </w:p>
        </w:tc>
      </w:tr>
      <w:tr w:rsidR="005E5CFA" w:rsidRPr="00063135" w14:paraId="434F99A3" w14:textId="77777777" w:rsidTr="005E5C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1E5823E" w14:textId="262F47BF" w:rsidR="005E5CFA" w:rsidRPr="00063135" w:rsidRDefault="005E5CFA" w:rsidP="005E5CFA">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063135">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1798" w:type="dxa"/>
            <w:vAlign w:val="center"/>
            <w:hideMark/>
          </w:tcPr>
          <w:p w14:paraId="7CC24149" w14:textId="77777777" w:rsidR="005E5CFA" w:rsidRPr="00063135" w:rsidRDefault="005E5CFA" w:rsidP="005E5CF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14:ligatures w14:val="none"/>
              </w:rPr>
              <w:t xml:space="preserve">(16) </w:t>
            </w:r>
            <w:r w:rsidRPr="00063135">
              <w:rPr>
                <w:rFonts w:ascii="Simplified Arabic" w:eastAsia="Times New Roman" w:hAnsi="Simplified Arabic" w:cs="Simplified Arabic"/>
                <w:color w:val="000000" w:themeColor="text1"/>
                <w:kern w:val="0"/>
                <w:sz w:val="28"/>
                <w:szCs w:val="28"/>
                <w:rtl/>
                <w14:ligatures w14:val="none"/>
              </w:rPr>
              <w:t>فقرة</w:t>
            </w:r>
          </w:p>
        </w:tc>
      </w:tr>
    </w:tbl>
    <w:p w14:paraId="5FC5CF77" w14:textId="77777777" w:rsidR="00057A28" w:rsidRPr="00063135" w:rsidRDefault="00057A28" w:rsidP="005E5CFA">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القسم الثالث: المتغير التابع — استمرارية سلسلة الإمداد في ظل الأزمات </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ويتكون من محور واحد يضم (10) فقرات تقيس مستوى استمرارية سلسلة الإمداد في ظل الأزمات</w:t>
      </w:r>
      <w:r w:rsidRPr="00063135">
        <w:rPr>
          <w:rFonts w:ascii="Simplified Arabic" w:eastAsia="Times New Roman" w:hAnsi="Simplified Arabic" w:cs="Simplified Arabic"/>
          <w:color w:val="000000" w:themeColor="text1"/>
          <w:kern w:val="0"/>
          <w:sz w:val="28"/>
          <w:szCs w:val="28"/>
          <w14:ligatures w14:val="none"/>
        </w:rPr>
        <w:t>.</w:t>
      </w:r>
    </w:p>
    <w:p w14:paraId="7620D1CF"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063135">
        <w:rPr>
          <w:rFonts w:ascii="Simplified Arabic" w:eastAsia="Times New Roman" w:hAnsi="Simplified Arabic" w:cs="Simplified Arabic"/>
          <w:color w:val="000000" w:themeColor="text1"/>
          <w:kern w:val="0"/>
          <w:sz w:val="28"/>
          <w:szCs w:val="28"/>
          <w14:ligatures w14:val="none"/>
        </w:rPr>
        <w:t xml:space="preserve">(26) </w:t>
      </w:r>
      <w:r w:rsidRPr="00063135">
        <w:rPr>
          <w:rFonts w:ascii="Simplified Arabic" w:eastAsia="Times New Roman" w:hAnsi="Simplified Arabic" w:cs="Simplified Arabic"/>
          <w:color w:val="000000" w:themeColor="text1"/>
          <w:kern w:val="0"/>
          <w:sz w:val="28"/>
          <w:szCs w:val="28"/>
          <w:rtl/>
          <w14:ligatures w14:val="none"/>
        </w:rPr>
        <w:t>فقرة بالإضافة إلى البيانات الديموغرافية والتنظيمية. وسيتم استخدام مقياس ليكرت الخماسي</w:t>
      </w:r>
      <w:r w:rsidRPr="00063135">
        <w:rPr>
          <w:rFonts w:ascii="Simplified Arabic" w:eastAsia="Times New Roman" w:hAnsi="Simplified Arabic" w:cs="Simplified Arabic"/>
          <w:color w:val="000000" w:themeColor="text1"/>
          <w:kern w:val="0"/>
          <w:sz w:val="28"/>
          <w:szCs w:val="28"/>
          <w14:ligatures w14:val="none"/>
        </w:rPr>
        <w:t xml:space="preserve"> (Likert Scale) </w:t>
      </w:r>
      <w:r w:rsidRPr="00063135">
        <w:rPr>
          <w:rFonts w:ascii="Simplified Arabic" w:eastAsia="Times New Roman" w:hAnsi="Simplified Arabic" w:cs="Simplified Arabic"/>
          <w:color w:val="000000" w:themeColor="text1"/>
          <w:kern w:val="0"/>
          <w:sz w:val="28"/>
          <w:szCs w:val="28"/>
          <w:rtl/>
          <w14:ligatures w14:val="none"/>
        </w:rPr>
        <w:t>لقياس استجابات أفراد العينة، والذي يتراوح من (1 = غير موافق بشدة) إلى (5 = موافق بشدة)</w:t>
      </w:r>
      <w:r w:rsidRPr="00063135">
        <w:rPr>
          <w:rFonts w:ascii="Simplified Arabic" w:eastAsia="Times New Roman" w:hAnsi="Simplified Arabic" w:cs="Simplified Arabic"/>
          <w:color w:val="000000" w:themeColor="text1"/>
          <w:kern w:val="0"/>
          <w:sz w:val="28"/>
          <w:szCs w:val="28"/>
          <w14:ligatures w14:val="none"/>
        </w:rPr>
        <w:t>.</w:t>
      </w:r>
    </w:p>
    <w:p w14:paraId="504B1782" w14:textId="0C6AA82E" w:rsidR="00057A28" w:rsidRPr="00063135" w:rsidRDefault="005E5CFA" w:rsidP="00C12E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4726667"/>
      <w:bookmarkStart w:id="33" w:name="_Toc233923273"/>
      <w:r w:rsidRPr="00063135">
        <w:rPr>
          <w:rFonts w:ascii="Simplified Arabic" w:eastAsia="Times New Roman" w:hAnsi="Simplified Arabic" w:cs="Simplified Arabic" w:hint="cs"/>
          <w:b/>
          <w:bCs/>
          <w:color w:val="000000" w:themeColor="text1"/>
          <w:kern w:val="0"/>
          <w:sz w:val="36"/>
          <w:szCs w:val="36"/>
          <w:rtl/>
          <w14:ligatures w14:val="none"/>
        </w:rPr>
        <w:lastRenderedPageBreak/>
        <w:t xml:space="preserve">14.1 </w:t>
      </w:r>
      <w:r w:rsidR="00057A28" w:rsidRPr="00063135">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2"/>
      <w:bookmarkEnd w:id="33"/>
    </w:p>
    <w:p w14:paraId="6BD1ADAA" w14:textId="77777777" w:rsidR="00057A28" w:rsidRPr="00063135" w:rsidRDefault="00057A28" w:rsidP="005E5CF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سيتم تحليل البيانات باستخدام برنامج الحزم الإحصائية للعلوم الاجتماعية</w:t>
      </w:r>
      <w:r w:rsidRPr="00063135">
        <w:rPr>
          <w:rFonts w:ascii="Simplified Arabic" w:eastAsia="Times New Roman" w:hAnsi="Simplified Arabic" w:cs="Simplified Arabic"/>
          <w:color w:val="000000" w:themeColor="text1"/>
          <w:kern w:val="0"/>
          <w:sz w:val="28"/>
          <w:szCs w:val="28"/>
          <w14:ligatures w14:val="none"/>
        </w:rPr>
        <w:t xml:space="preserve"> (SPSS V.28)</w:t>
      </w:r>
      <w:r w:rsidRPr="00063135">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063135">
        <w:rPr>
          <w:rFonts w:ascii="Simplified Arabic" w:eastAsia="Times New Roman" w:hAnsi="Simplified Arabic" w:cs="Simplified Arabic"/>
          <w:color w:val="000000" w:themeColor="text1"/>
          <w:kern w:val="0"/>
          <w:sz w:val="28"/>
          <w:szCs w:val="28"/>
          <w14:ligatures w14:val="none"/>
        </w:rPr>
        <w:t>:</w:t>
      </w:r>
    </w:p>
    <w:p w14:paraId="660051FC" w14:textId="77777777" w:rsidR="00057A28" w:rsidRPr="00063135" w:rsidRDefault="00057A28" w:rsidP="00C12E12">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أساليب الإحصاء الوصفي</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اتجاهات استجابات أفراد العينة ودرجة تشتتها</w:t>
      </w:r>
      <w:r w:rsidRPr="00063135">
        <w:rPr>
          <w:rFonts w:ascii="Simplified Arabic" w:eastAsia="Times New Roman" w:hAnsi="Simplified Arabic" w:cs="Simplified Arabic"/>
          <w:color w:val="000000" w:themeColor="text1"/>
          <w:kern w:val="0"/>
          <w:sz w:val="28"/>
          <w:szCs w:val="28"/>
          <w14:ligatures w14:val="none"/>
        </w:rPr>
        <w:t>.</w:t>
      </w:r>
    </w:p>
    <w:p w14:paraId="35561ADF" w14:textId="77777777" w:rsidR="00057A28" w:rsidRPr="00063135" w:rsidRDefault="00057A28" w:rsidP="00C12E12">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أساليب التحقق من جودة الأداة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وتشمل معامل ألفا كرونباخ</w:t>
      </w:r>
      <w:r w:rsidRPr="00063135">
        <w:rPr>
          <w:rFonts w:ascii="Simplified Arabic" w:eastAsia="Times New Roman" w:hAnsi="Simplified Arabic" w:cs="Simplified Arabic"/>
          <w:color w:val="000000" w:themeColor="text1"/>
          <w:kern w:val="0"/>
          <w:sz w:val="28"/>
          <w:szCs w:val="28"/>
          <w14:ligatures w14:val="none"/>
        </w:rPr>
        <w:t xml:space="preserve"> (Cronbach's Alpha) </w:t>
      </w:r>
      <w:r w:rsidRPr="00063135">
        <w:rPr>
          <w:rFonts w:ascii="Simplified Arabic" w:eastAsia="Times New Roman" w:hAnsi="Simplified Arabic" w:cs="Simplified Arabic"/>
          <w:color w:val="000000" w:themeColor="text1"/>
          <w:kern w:val="0"/>
          <w:sz w:val="28"/>
          <w:szCs w:val="28"/>
          <w:rtl/>
          <w14:ligatures w14:val="none"/>
        </w:rPr>
        <w:t>لقياس ثبات الأداة، ومعاملات ارتباط بيرسون</w:t>
      </w:r>
      <w:r w:rsidRPr="00063135">
        <w:rPr>
          <w:rFonts w:ascii="Simplified Arabic" w:eastAsia="Times New Roman" w:hAnsi="Simplified Arabic" w:cs="Simplified Arabic"/>
          <w:color w:val="000000" w:themeColor="text1"/>
          <w:kern w:val="0"/>
          <w:sz w:val="28"/>
          <w:szCs w:val="28"/>
          <w14:ligatures w14:val="none"/>
        </w:rPr>
        <w:t xml:space="preserve"> (Pearson Correlation) </w:t>
      </w:r>
      <w:r w:rsidRPr="00063135">
        <w:rPr>
          <w:rFonts w:ascii="Simplified Arabic" w:eastAsia="Times New Roman" w:hAnsi="Simplified Arabic" w:cs="Simplified Arabic"/>
          <w:color w:val="000000" w:themeColor="text1"/>
          <w:kern w:val="0"/>
          <w:sz w:val="28"/>
          <w:szCs w:val="28"/>
          <w:rtl/>
          <w14:ligatures w14:val="none"/>
        </w:rPr>
        <w:t>لقياس صدق الاتساق الداخلي</w:t>
      </w:r>
      <w:r w:rsidRPr="00063135">
        <w:rPr>
          <w:rFonts w:ascii="Simplified Arabic" w:eastAsia="Times New Roman" w:hAnsi="Simplified Arabic" w:cs="Simplified Arabic"/>
          <w:color w:val="000000" w:themeColor="text1"/>
          <w:kern w:val="0"/>
          <w:sz w:val="28"/>
          <w:szCs w:val="28"/>
          <w14:ligatures w14:val="none"/>
        </w:rPr>
        <w:t>.</w:t>
      </w:r>
    </w:p>
    <w:p w14:paraId="4351AD2F" w14:textId="77777777" w:rsidR="00057A28" w:rsidRPr="00063135" w:rsidRDefault="00057A28" w:rsidP="00C12E12">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وتشمل تحليل الانحدار الخطي البسيط</w:t>
      </w:r>
      <w:r w:rsidRPr="00063135">
        <w:rPr>
          <w:rFonts w:ascii="Simplified Arabic" w:eastAsia="Times New Roman" w:hAnsi="Simplified Arabic" w:cs="Simplified Arabic"/>
          <w:color w:val="000000" w:themeColor="text1"/>
          <w:kern w:val="0"/>
          <w:sz w:val="28"/>
          <w:szCs w:val="28"/>
          <w14:ligatures w14:val="none"/>
        </w:rPr>
        <w:t xml:space="preserve"> (Simple Linear Regression) </w:t>
      </w:r>
      <w:r w:rsidRPr="00063135">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وتحليل الانحدار الخطي المتعدد</w:t>
      </w:r>
      <w:r w:rsidRPr="00063135">
        <w:rPr>
          <w:rFonts w:ascii="Simplified Arabic" w:eastAsia="Times New Roman" w:hAnsi="Simplified Arabic" w:cs="Simplified Arabic"/>
          <w:color w:val="000000" w:themeColor="text1"/>
          <w:kern w:val="0"/>
          <w:sz w:val="28"/>
          <w:szCs w:val="28"/>
          <w14:ligatures w14:val="none"/>
        </w:rPr>
        <w:t xml:space="preserve"> (Multiple Linear Regression) </w:t>
      </w:r>
      <w:r w:rsidRPr="00063135">
        <w:rPr>
          <w:rFonts w:ascii="Simplified Arabic" w:eastAsia="Times New Roman" w:hAnsi="Simplified Arabic" w:cs="Simplified Arabic"/>
          <w:color w:val="000000" w:themeColor="text1"/>
          <w:kern w:val="0"/>
          <w:sz w:val="28"/>
          <w:szCs w:val="28"/>
          <w:rtl/>
          <w14:ligatures w14:val="none"/>
        </w:rPr>
        <w:t>لاختبار الأثر المشترك لأبعاد المتغير المستقل مجتمعة على المتغير التابع، واختبار</w:t>
      </w:r>
      <w:r w:rsidRPr="00063135">
        <w:rPr>
          <w:rFonts w:ascii="Simplified Arabic" w:eastAsia="Times New Roman" w:hAnsi="Simplified Arabic" w:cs="Simplified Arabic"/>
          <w:color w:val="000000" w:themeColor="text1"/>
          <w:kern w:val="0"/>
          <w:sz w:val="28"/>
          <w:szCs w:val="28"/>
          <w14:ligatures w14:val="none"/>
        </w:rPr>
        <w:t xml:space="preserve"> (T-Test) </w:t>
      </w:r>
      <w:r w:rsidRPr="00063135">
        <w:rPr>
          <w:rFonts w:ascii="Simplified Arabic" w:eastAsia="Times New Roman" w:hAnsi="Simplified Arabic" w:cs="Simplified Arabic"/>
          <w:color w:val="000000" w:themeColor="text1"/>
          <w:kern w:val="0"/>
          <w:sz w:val="28"/>
          <w:szCs w:val="28"/>
          <w:rtl/>
          <w14:ligatures w14:val="none"/>
        </w:rPr>
        <w:t>للعينات المستقلة واختبار تحليل التباين الأحادي</w:t>
      </w:r>
      <w:r w:rsidRPr="00063135">
        <w:rPr>
          <w:rFonts w:ascii="Simplified Arabic" w:eastAsia="Times New Roman" w:hAnsi="Simplified Arabic" w:cs="Simplified Arabic"/>
          <w:color w:val="000000" w:themeColor="text1"/>
          <w:kern w:val="0"/>
          <w:sz w:val="28"/>
          <w:szCs w:val="28"/>
          <w14:ligatures w14:val="none"/>
        </w:rPr>
        <w:t xml:space="preserve"> (One-Way ANOVA) </w:t>
      </w:r>
      <w:r w:rsidRPr="00063135">
        <w:rPr>
          <w:rFonts w:ascii="Simplified Arabic" w:eastAsia="Times New Roman" w:hAnsi="Simplified Arabic" w:cs="Simplified Arabic"/>
          <w:color w:val="000000" w:themeColor="text1"/>
          <w:kern w:val="0"/>
          <w:sz w:val="28"/>
          <w:szCs w:val="28"/>
          <w:rtl/>
          <w14:ligatures w14:val="none"/>
        </w:rPr>
        <w:t>لفحص دلالة الفروق في استجابات أفراد العينة وفقاً للمتغيرات الديموغرافية والتنظيمية، واختبار معامل تضخم التباين</w:t>
      </w:r>
      <w:r w:rsidRPr="00063135">
        <w:rPr>
          <w:rFonts w:ascii="Simplified Arabic" w:eastAsia="Times New Roman" w:hAnsi="Simplified Arabic" w:cs="Simplified Arabic"/>
          <w:color w:val="000000" w:themeColor="text1"/>
          <w:kern w:val="0"/>
          <w:sz w:val="28"/>
          <w:szCs w:val="28"/>
          <w14:ligatures w14:val="none"/>
        </w:rPr>
        <w:t xml:space="preserve"> (VIF) </w:t>
      </w:r>
      <w:r w:rsidRPr="00063135">
        <w:rPr>
          <w:rFonts w:ascii="Simplified Arabic" w:eastAsia="Times New Roman" w:hAnsi="Simplified Arabic" w:cs="Simplified Arabic"/>
          <w:color w:val="000000" w:themeColor="text1"/>
          <w:kern w:val="0"/>
          <w:sz w:val="28"/>
          <w:szCs w:val="28"/>
          <w:rtl/>
          <w14:ligatures w14:val="none"/>
        </w:rPr>
        <w:t>واختبار التحمّل</w:t>
      </w:r>
      <w:r w:rsidRPr="00063135">
        <w:rPr>
          <w:rFonts w:ascii="Simplified Arabic" w:eastAsia="Times New Roman" w:hAnsi="Simplified Arabic" w:cs="Simplified Arabic"/>
          <w:color w:val="000000" w:themeColor="text1"/>
          <w:kern w:val="0"/>
          <w:sz w:val="28"/>
          <w:szCs w:val="28"/>
          <w14:ligatures w14:val="none"/>
        </w:rPr>
        <w:t xml:space="preserve"> (Tolerance) </w:t>
      </w:r>
      <w:r w:rsidRPr="00063135">
        <w:rPr>
          <w:rFonts w:ascii="Simplified Arabic" w:eastAsia="Times New Roman" w:hAnsi="Simplified Arabic" w:cs="Simplified Arabic"/>
          <w:color w:val="000000" w:themeColor="text1"/>
          <w:kern w:val="0"/>
          <w:sz w:val="28"/>
          <w:szCs w:val="28"/>
          <w:rtl/>
          <w14:ligatures w14:val="none"/>
        </w:rPr>
        <w:t>للكشف عن مشكلة الازدواج الخطي بين المتغيرات المستقلة</w:t>
      </w:r>
      <w:r w:rsidRPr="00063135">
        <w:rPr>
          <w:rFonts w:ascii="Simplified Arabic" w:eastAsia="Times New Roman" w:hAnsi="Simplified Arabic" w:cs="Simplified Arabic"/>
          <w:color w:val="000000" w:themeColor="text1"/>
          <w:kern w:val="0"/>
          <w:sz w:val="28"/>
          <w:szCs w:val="28"/>
          <w14:ligatures w14:val="none"/>
        </w:rPr>
        <w:t>.</w:t>
      </w:r>
    </w:p>
    <w:p w14:paraId="2226B425" w14:textId="4D961CDD" w:rsidR="00057A28" w:rsidRPr="00063135" w:rsidRDefault="00C12E12" w:rsidP="00C12E1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4726668"/>
      <w:bookmarkStart w:id="35" w:name="_Toc233923274"/>
      <w:r w:rsidRPr="00063135">
        <w:rPr>
          <w:rFonts w:ascii="Simplified Arabic" w:eastAsia="Times New Roman" w:hAnsi="Simplified Arabic" w:cs="Simplified Arabic" w:hint="cs"/>
          <w:b/>
          <w:bCs/>
          <w:color w:val="000000" w:themeColor="text1"/>
          <w:kern w:val="0"/>
          <w:sz w:val="36"/>
          <w:szCs w:val="36"/>
          <w:rtl/>
          <w14:ligatures w14:val="none"/>
        </w:rPr>
        <w:t xml:space="preserve">15.1 </w:t>
      </w:r>
      <w:r w:rsidR="00057A28" w:rsidRPr="00063135">
        <w:rPr>
          <w:rFonts w:ascii="Simplified Arabic" w:eastAsia="Times New Roman" w:hAnsi="Simplified Arabic" w:cs="Simplified Arabic"/>
          <w:b/>
          <w:bCs/>
          <w:color w:val="000000" w:themeColor="text1"/>
          <w:kern w:val="0"/>
          <w:sz w:val="36"/>
          <w:szCs w:val="36"/>
          <w:rtl/>
          <w14:ligatures w14:val="none"/>
        </w:rPr>
        <w:t>حدود الدراسة</w:t>
      </w:r>
      <w:bookmarkEnd w:id="34"/>
      <w:bookmarkEnd w:id="35"/>
    </w:p>
    <w:p w14:paraId="41D9B3B4" w14:textId="77777777" w:rsidR="00057A28" w:rsidRPr="00063135" w:rsidRDefault="00057A28" w:rsidP="00C12E12">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الحدود الموضوعية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ستقتصر الدراسة على دراسة أثر خطط استمرارية الأعمال بأبعادها الأربعة (تحليل الأثر على الأعمال، تقييم المخاطر والتهديدات، استراتيجيات التعافي والاستجابة، الاختبار والتمرين والتحسين المستمر) كمتغير مستقل، على استمرارية سلسلة الإمداد في ظل الأزمات كمتغير تابع</w:t>
      </w:r>
      <w:r w:rsidRPr="00063135">
        <w:rPr>
          <w:rFonts w:ascii="Simplified Arabic" w:eastAsia="Times New Roman" w:hAnsi="Simplified Arabic" w:cs="Simplified Arabic"/>
          <w:color w:val="000000" w:themeColor="text1"/>
          <w:kern w:val="0"/>
          <w:sz w:val="28"/>
          <w:szCs w:val="28"/>
          <w14:ligatures w14:val="none"/>
        </w:rPr>
        <w:t>.</w:t>
      </w:r>
    </w:p>
    <w:p w14:paraId="57CFC613" w14:textId="77777777" w:rsidR="00057A28" w:rsidRPr="00063135" w:rsidRDefault="00057A28" w:rsidP="00C12E12">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الحدود المكانية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ستُطبّق الدراسة على الشركات الكبرى المُدرجة في السوق المالية السعودية (تداول) والعاملة في قطاعات ذات سلاسل إمداد نشطة بالمملكة العربية السعودية</w:t>
      </w:r>
      <w:r w:rsidRPr="00063135">
        <w:rPr>
          <w:rFonts w:ascii="Simplified Arabic" w:eastAsia="Times New Roman" w:hAnsi="Simplified Arabic" w:cs="Simplified Arabic"/>
          <w:color w:val="000000" w:themeColor="text1"/>
          <w:kern w:val="0"/>
          <w:sz w:val="28"/>
          <w:szCs w:val="28"/>
          <w14:ligatures w14:val="none"/>
        </w:rPr>
        <w:t>.</w:t>
      </w:r>
    </w:p>
    <w:p w14:paraId="58EE9DE5" w14:textId="77777777" w:rsidR="00057A28" w:rsidRPr="00063135" w:rsidRDefault="00057A28" w:rsidP="00C12E12">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063135">
        <w:rPr>
          <w:rFonts w:ascii="Simplified Arabic" w:eastAsia="Times New Roman" w:hAnsi="Simplified Arabic" w:cs="Simplified Arabic"/>
          <w:color w:val="000000" w:themeColor="text1"/>
          <w:kern w:val="0"/>
          <w:sz w:val="28"/>
          <w:szCs w:val="28"/>
          <w:rtl/>
          <w14:ligatures w14:val="none"/>
        </w:rPr>
        <w:t>الحدود البشرية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ستقتصر الدراسة على المديرين العاملين في المستويات الإدارية العليا والوسطى في إدارات سلسلة الإمداد، والمخاطر واستمرارية الأعمال، والعمليات والتشغيل، والتخطيط الاستراتيجي بالشركات محل الدراسة</w:t>
      </w:r>
      <w:r w:rsidRPr="00063135">
        <w:rPr>
          <w:rFonts w:ascii="Simplified Arabic" w:eastAsia="Times New Roman" w:hAnsi="Simplified Arabic" w:cs="Simplified Arabic"/>
          <w:color w:val="000000" w:themeColor="text1"/>
          <w:kern w:val="0"/>
          <w:sz w:val="28"/>
          <w:szCs w:val="28"/>
          <w14:ligatures w14:val="none"/>
        </w:rPr>
        <w:t>.</w:t>
      </w:r>
    </w:p>
    <w:p w14:paraId="552C2F9C" w14:textId="46C62680" w:rsidR="00057A28" w:rsidRPr="00063135" w:rsidRDefault="00057A28" w:rsidP="00C12E12">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الحدود الزمنية</w:t>
      </w:r>
      <w:r w:rsidRPr="00063135">
        <w:rPr>
          <w:rFonts w:ascii="Simplified Arabic" w:eastAsia="Times New Roman" w:hAnsi="Simplified Arabic" w:cs="Simplified Arabic"/>
          <w:color w:val="000000" w:themeColor="text1"/>
          <w:kern w:val="0"/>
          <w:sz w:val="28"/>
          <w:szCs w:val="28"/>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2026م</w:t>
      </w:r>
    </w:p>
    <w:p w14:paraId="33840D8A" w14:textId="2DB116DD" w:rsidR="006477C8" w:rsidRPr="00063135" w:rsidRDefault="00C12E12" w:rsidP="00C12E12">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063135">
        <w:rPr>
          <w:rFonts w:ascii="Simplified Arabic" w:eastAsia="Times New Roman" w:hAnsi="Simplified Arabic" w:cs="Simplified Arabic"/>
          <w:b/>
          <w:bCs/>
          <w:color w:val="000000" w:themeColor="text1"/>
          <w:kern w:val="0"/>
          <w:sz w:val="40"/>
          <w:szCs w:val="40"/>
          <w:rtl/>
          <w:lang w:bidi="ar-EG"/>
          <w14:ligatures w14:val="none"/>
        </w:rPr>
        <w:br w:type="page"/>
      </w:r>
      <w:bookmarkStart w:id="36" w:name="_Toc233923275"/>
      <w:r w:rsidRPr="00063135">
        <w:rPr>
          <w:rFonts w:ascii="Simplified Arabic" w:eastAsia="Times New Roman" w:hAnsi="Simplified Arabic" w:cs="Simplified Arabic" w:hint="cs"/>
          <w:b/>
          <w:bCs/>
          <w:color w:val="000000" w:themeColor="text1"/>
          <w:kern w:val="0"/>
          <w:sz w:val="40"/>
          <w:szCs w:val="40"/>
          <w:rtl/>
          <w:lang w:bidi="ar-EG"/>
          <w14:ligatures w14:val="none"/>
        </w:rPr>
        <w:lastRenderedPageBreak/>
        <w:t xml:space="preserve">الفصل الثاني: </w:t>
      </w:r>
      <w:r w:rsidR="006477C8" w:rsidRPr="00063135">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6"/>
    </w:p>
    <w:p w14:paraId="6C083D26" w14:textId="7BF53BE2" w:rsidR="006477C8" w:rsidRPr="00063135" w:rsidRDefault="006477C8" w:rsidP="00C12E1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37" w:name="_Toc233923276"/>
      <w:r w:rsidRPr="00063135">
        <w:rPr>
          <w:rFonts w:ascii="Simplified Arabic" w:eastAsia="Times New Roman" w:hAnsi="Simplified Arabic" w:cs="Simplified Arabic"/>
          <w:b/>
          <w:bCs/>
          <w:color w:val="000000" w:themeColor="text1"/>
          <w:kern w:val="0"/>
          <w:sz w:val="36"/>
          <w:szCs w:val="36"/>
          <w:rtl/>
          <w14:ligatures w14:val="none"/>
        </w:rPr>
        <w:t>المبحث الأول: خطط استمرارية الأعمال</w:t>
      </w:r>
      <w:bookmarkEnd w:id="37"/>
    </w:p>
    <w:p w14:paraId="131EC8BA" w14:textId="311A2E35"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923277"/>
      <w:r w:rsidRPr="00063135">
        <w:rPr>
          <w:rFonts w:ascii="Simplified Arabic" w:eastAsia="Times New Roman" w:hAnsi="Simplified Arabic" w:cs="Simplified Arabic" w:hint="cs"/>
          <w:b/>
          <w:bCs/>
          <w:color w:val="000000" w:themeColor="text1"/>
          <w:kern w:val="0"/>
          <w:sz w:val="32"/>
          <w:szCs w:val="32"/>
          <w:rtl/>
          <w14:ligatures w14:val="none"/>
        </w:rPr>
        <w:t xml:space="preserve">1.1.2 </w:t>
      </w:r>
      <w:r w:rsidR="006477C8" w:rsidRPr="00063135">
        <w:rPr>
          <w:rFonts w:ascii="Simplified Arabic" w:eastAsia="Times New Roman" w:hAnsi="Simplified Arabic" w:cs="Simplified Arabic"/>
          <w:b/>
          <w:bCs/>
          <w:color w:val="000000" w:themeColor="text1"/>
          <w:kern w:val="0"/>
          <w:sz w:val="32"/>
          <w:szCs w:val="32"/>
          <w:rtl/>
          <w14:ligatures w14:val="none"/>
        </w:rPr>
        <w:t>تمهيد</w:t>
      </w:r>
      <w:bookmarkEnd w:id="38"/>
    </w:p>
    <w:p w14:paraId="1F074D08"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فرضت التحولات المتسارعة في بيئة الأعمال المعاصرة، وما رافقها من أزمات متعاقبة تراوحت بين الجوائح الصحية والاضطرابات الجيوسياسية والتقلبات الاقتصادية، ضرورةً حتميةً على المنظمات لإعادة النظر في مقاربتها التقليدية لإدارة عملياتها. ولم تعد المنظمة الحديثة قادرةً على الاكتفاء بردود الفعل الآنية تجاه ما يعتريها من صدمات، بل باتت مطالَبةً بتبنّي منظومة متكاملة من الخطط الاستباقية التي تكفل لها القدرة على الصمود والتعافي والنمو في مواجهة المتغيرات. وفي هذا السياق، برزت خطط استمرارية الأعمال بوصفها إطارًا إداريًا متقدمًا يجمع بين الرؤية الاستراتيجية والممارسة التنفيذية، ويستهدف حماية القدرات الجوهرية للمنظمة وضمان استدامة عملياتها الحيوية في مختلف الظروف. وقد اكتسبت هذه الخطط أهميةً مضاعفةً في ظل جائحة كوفيد-19 التي كشفت عن هشاشة كثير من المنظمات في مواجهة الأزمات غير التقليدية، وأبرزت الحاجة إلى بناء نُظم مؤسسية أكثر مرونةً وجاهزيةً (شديد، 2022). ويُعالج هذا المبحث المتغير المستقل من زوايا متعددة تشمل المفهوم والأهمية والأهداف والمداخل النظرية والأبعاد، ويُختتم بتعقيب الباحث الذي يُظهر تكامل هذه الجوانب في تشكيل فهم علمي دقيق للظاهرة</w:t>
      </w:r>
      <w:r w:rsidRPr="00063135">
        <w:rPr>
          <w:rFonts w:ascii="Simplified Arabic" w:eastAsia="Times New Roman" w:hAnsi="Simplified Arabic" w:cs="Simplified Arabic"/>
          <w:color w:val="000000" w:themeColor="text1"/>
          <w:kern w:val="0"/>
          <w:sz w:val="28"/>
          <w:szCs w:val="28"/>
          <w:lang w:bidi="ar-EG"/>
          <w14:ligatures w14:val="none"/>
        </w:rPr>
        <w:t>.</w:t>
      </w:r>
    </w:p>
    <w:p w14:paraId="7622EDFD" w14:textId="47C847A9"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923278"/>
      <w:r w:rsidRPr="00063135">
        <w:rPr>
          <w:rFonts w:ascii="Simplified Arabic" w:eastAsia="Times New Roman" w:hAnsi="Simplified Arabic" w:cs="Simplified Arabic" w:hint="cs"/>
          <w:b/>
          <w:bCs/>
          <w:color w:val="000000" w:themeColor="text1"/>
          <w:kern w:val="0"/>
          <w:sz w:val="32"/>
          <w:szCs w:val="32"/>
          <w:rtl/>
          <w14:ligatures w14:val="none"/>
        </w:rPr>
        <w:t>2.1.2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مفهوم خطط استمرارية الأعمال</w:t>
      </w:r>
      <w:bookmarkEnd w:id="39"/>
    </w:p>
    <w:p w14:paraId="35110B0E"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يُعدّ مفهوم خطط استمرارية الأعمال من المفاهيم الإدارية التي شهدت تطورًا ملحوظًا خلال العقدين الأخيرين، إذ انتقل من كونه ممارسةً تقنيةً محدودةً ترتبط بحماية أنظمة المعلومات والتعافي من الكوارث، إلى إطار استراتيجي شامل يُعنى بحماية القيمة المؤسسية بمجملها. ويُشير الحسين ومتولي (2023) إلى أن خطط استمرارية الأعمال تُمثّل منظومةً متكاملةً من الإجراءات والسياسات التي تضعها المنظمة لضمان استمرار تقديم منتجاتها وخدماتها بمستويات مقبولة عند وقوع الاضطرابات، وذلك من خلال تحديد العمليات الحرجة وتوفير البدائل اللازمة لتشغيلها في أوقات الأزمات. ويتضح من هذا الطرح أن التركيز ينصبّ على البُعد التشغيلي والاستمرارية الفعلية للأنشطة، لا على مجرد التعامل مع الحدث الطارئ</w:t>
      </w:r>
      <w:r w:rsidRPr="00063135">
        <w:rPr>
          <w:rFonts w:ascii="Simplified Arabic" w:eastAsia="Times New Roman" w:hAnsi="Simplified Arabic" w:cs="Simplified Arabic"/>
          <w:color w:val="000000" w:themeColor="text1"/>
          <w:kern w:val="0"/>
          <w:sz w:val="28"/>
          <w:szCs w:val="28"/>
          <w:lang w:bidi="ar-EG"/>
          <w14:ligatures w14:val="none"/>
        </w:rPr>
        <w:t>.</w:t>
      </w:r>
    </w:p>
    <w:p w14:paraId="69E1F39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وفي مقاربة أكثر شمولًا، يرى شديد (2022) أن خطط استمرارية الأعمال تُعبّر عن نهج إداري استباقي يهدف إلى بناء قدرات مؤسسية تُمكّن المنظمة من التنبؤ بالمخاطر المحتملة وتقييم آثارها ووضع الترتيبات الكفيلة بمواجهتها، مع التأكيد على أن هذه الخطط لا تقتصر على مرحلة الاستجابة، بل تمتد لتشمل مراحل الوقاية والتخفيف والتعافي والتعلّم. ويكشف هذا التعريف عن نقلة نوعية في التوجه من رد الفعل إلى الاستباق، ومن التركيز على الأصول المادية إلى الاهتمام بالقدرات التنظيمية الشاملة</w:t>
      </w:r>
      <w:r w:rsidRPr="00063135">
        <w:rPr>
          <w:rFonts w:ascii="Simplified Arabic" w:eastAsia="Times New Roman" w:hAnsi="Simplified Arabic" w:cs="Simplified Arabic"/>
          <w:color w:val="000000" w:themeColor="text1"/>
          <w:kern w:val="0"/>
          <w:sz w:val="28"/>
          <w:szCs w:val="28"/>
          <w:lang w:bidi="ar-EG"/>
          <w14:ligatures w14:val="none"/>
        </w:rPr>
        <w:t>.</w:t>
      </w:r>
    </w:p>
    <w:p w14:paraId="1C4A1FED"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ومن زاوية مختلفة تُبرز البُعد الاستراتيجي، يُقدّم</w:t>
      </w:r>
      <w:r w:rsidRPr="00063135">
        <w:rPr>
          <w:rFonts w:ascii="Simplified Arabic" w:eastAsia="Times New Roman" w:hAnsi="Simplified Arabic" w:cs="Simplified Arabic"/>
          <w:color w:val="000000" w:themeColor="text1"/>
          <w:kern w:val="0"/>
          <w:sz w:val="28"/>
          <w:szCs w:val="28"/>
          <w:lang w:bidi="ar-EG"/>
          <w14:ligatures w14:val="none"/>
        </w:rPr>
        <w:t xml:space="preserve"> Al-Nimri and Al-Shawabkeh (2023) </w:t>
      </w:r>
      <w:r w:rsidRPr="00063135">
        <w:rPr>
          <w:rFonts w:ascii="Simplified Arabic" w:eastAsia="Times New Roman" w:hAnsi="Simplified Arabic" w:cs="Simplified Arabic"/>
          <w:color w:val="000000" w:themeColor="text1"/>
          <w:kern w:val="0"/>
          <w:sz w:val="28"/>
          <w:szCs w:val="28"/>
          <w:rtl/>
          <w14:ligatures w14:val="none"/>
        </w:rPr>
        <w:t>تصورًا يُموضِع خطط استمرارية الأعمال ضمن منظومة الحوكمة الاستراتيجية للمنظمة، بوصفها آليةً لضمان المواءمة بين الأهداف طويلة المدى والقدرة التشغيلية على تحقيقها في ظل بيئة متقلبة. ويُميّز هذا التصور بين الاستمرارية بوصفها هدفًا استراتيجيًا، والخطط بوصفها الأدوات التنفيذية التي تُترجم هذا الهدف إلى ممارسات ملموسة، مما يُعزز الفهم بأن هذه الخطط ليست وثيقةً جامدةً بل عمليةً حيّةً تتفاعل مع مستجدات البيئة</w:t>
      </w:r>
      <w:r w:rsidRPr="00063135">
        <w:rPr>
          <w:rFonts w:ascii="Simplified Arabic" w:eastAsia="Times New Roman" w:hAnsi="Simplified Arabic" w:cs="Simplified Arabic"/>
          <w:color w:val="000000" w:themeColor="text1"/>
          <w:kern w:val="0"/>
          <w:sz w:val="28"/>
          <w:szCs w:val="28"/>
          <w:lang w:bidi="ar-EG"/>
          <w14:ligatures w14:val="none"/>
        </w:rPr>
        <w:t>.</w:t>
      </w:r>
    </w:p>
    <w:p w14:paraId="62B7928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أما الزعبي والشوابكة (2023) فيُقاربان المفهوم من منظور أنظمي، إذ يُعرّفان خطط استمرارية الأعمال بوصفها نظامًا إداريًا يتكامل مع سائر النظم المؤسسية كإدارة الجودة وإدارة المخاطر وإدارة الأزمات، ويعمل على تحقيق التوازن بين متطلبات الحماية ومتطلبات الاستمرار في تحقيق الأهداف. ويُضفي هذا التصور بُعدًا تكامليًا يُخرج المفهوم من عزلته الوظيفية ويربطه بمنظومة الإدارة الاستراتيجية للمنظمة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377E01B1"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ويُوسّع</w:t>
      </w:r>
      <w:r w:rsidRPr="00063135">
        <w:rPr>
          <w:rFonts w:ascii="Simplified Arabic" w:eastAsia="Times New Roman" w:hAnsi="Simplified Arabic" w:cs="Simplified Arabic"/>
          <w:color w:val="000000" w:themeColor="text1"/>
          <w:kern w:val="0"/>
          <w:sz w:val="28"/>
          <w:szCs w:val="28"/>
          <w:lang w:bidi="ar-EG"/>
          <w14:ligatures w14:val="none"/>
        </w:rPr>
        <w:t xml:space="preserve"> Rumman (2022) </w:t>
      </w:r>
      <w:r w:rsidRPr="00063135">
        <w:rPr>
          <w:rFonts w:ascii="Simplified Arabic" w:eastAsia="Times New Roman" w:hAnsi="Simplified Arabic" w:cs="Simplified Arabic"/>
          <w:color w:val="000000" w:themeColor="text1"/>
          <w:kern w:val="0"/>
          <w:sz w:val="28"/>
          <w:szCs w:val="28"/>
          <w:rtl/>
          <w14:ligatures w14:val="none"/>
        </w:rPr>
        <w:t>دائرة المفهوم ليشمل الأبعاد السلوكية والتنظيمية، حيث يرى أن خطط استمرارية الأعمال تنطوي على مكوّن ثقافي جوهري يتمثل في تنمية وعي جماعي داخل المنظمة بأهمية الجاهزية، وتشكيل قيم مؤسسية تُشجّع على الابتكار في مواجهة التحديات، وتُرسّخ لدى العاملين الاستعداد الدائم للتكيّف مع المستجدات. ويُثري هذا الطرح المفهوم بإدخال البعد الإنساني إلى جانب البعدين التقني والإجرائي</w:t>
      </w:r>
      <w:r w:rsidRPr="00063135">
        <w:rPr>
          <w:rFonts w:ascii="Simplified Arabic" w:eastAsia="Times New Roman" w:hAnsi="Simplified Arabic" w:cs="Simplified Arabic"/>
          <w:color w:val="000000" w:themeColor="text1"/>
          <w:kern w:val="0"/>
          <w:sz w:val="28"/>
          <w:szCs w:val="28"/>
          <w:lang w:bidi="ar-EG"/>
          <w14:ligatures w14:val="none"/>
        </w:rPr>
        <w:t>.</w:t>
      </w:r>
    </w:p>
    <w:p w14:paraId="7813AE4D"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وفي سياق تطبيقي يرتبط بالبيئة الرقمية المعاصرة، تُقارب صلاح (2025) المفهوم من خلال ربطه بمنظومة التحول الرقمي، مؤكّدةً أن خطط استمرارية الأعمال في المنظمات الحديثة لم تعد ممكنةً دون توظيف التقنيات الرقمية التي تُوفّر البنية التحتية اللازمة للمرونة التشغيلية، وتُتيح جمع البيانات وتحليلها بصورة آنية لدعم اتخاذ القرارات في أوقات الأزمات. ويكشف هذا الطرح عن التطور المتسارع في مضمون المفهوم بفعل التحولات التقنية</w:t>
      </w:r>
      <w:r w:rsidRPr="00063135">
        <w:rPr>
          <w:rFonts w:ascii="Simplified Arabic" w:eastAsia="Times New Roman" w:hAnsi="Simplified Arabic" w:cs="Simplified Arabic"/>
          <w:color w:val="000000" w:themeColor="text1"/>
          <w:kern w:val="0"/>
          <w:sz w:val="28"/>
          <w:szCs w:val="28"/>
          <w:lang w:bidi="ar-EG"/>
          <w14:ligatures w14:val="none"/>
        </w:rPr>
        <w:t>.</w:t>
      </w:r>
    </w:p>
    <w:p w14:paraId="2612B95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رأي الباحث</w:t>
      </w:r>
      <w:r w:rsidRPr="00063135">
        <w:rPr>
          <w:rFonts w:ascii="Simplified Arabic" w:eastAsia="Times New Roman" w:hAnsi="Simplified Arabic" w:cs="Simplified Arabic"/>
          <w:color w:val="000000" w:themeColor="text1"/>
          <w:kern w:val="0"/>
          <w:sz w:val="28"/>
          <w:szCs w:val="28"/>
          <w:lang w:bidi="ar-EG"/>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يتبيّن مما سبق أن مفهوم خطط استمرارية الأعمال يتّسع ليشمل أبعادًا متكاملةً استراتيجيةً وتشغيليةً وثقافيةً وتقنيةً، وأن التعريفات المطروحة وإن تباينت في زوايا معالجتها إلا أنها تلتقي حول جوهر مشترك يتمثّل في القدرة المؤسسية على ضمان استمرار الأنشطة الحيوية في مواجهة الاضطرابات. ويرى الباحث أن خطط استمرارية الأعمال يمكن تعريفها إجرائيًا بوصفها منظومةً استراتيجيةً وتشغيليةً متكاملةً تُصمّمها المنظمة الكبرى استباقيًا لتحديد أنشطتها الجوهرية وتحليل آثار الاضطرابات المحتملة عليها وتقييم مخاطرها ووضع استراتيجيات التعافي والاستجابة الملائمة واختبارها وتحسينها المستمر، بما يكفل الحفاظ على قدرتها التنافسية والوفاء بالتزاماتها تجاه أصحاب المصلحة في ظل الأزمات، وهو تعريف يتّسق مع طبيعة الدراسة الحالية التي تستهدف الشركات الكبرى بالمملكة العربية السعودية</w:t>
      </w:r>
      <w:r w:rsidRPr="00063135">
        <w:rPr>
          <w:rFonts w:ascii="Simplified Arabic" w:eastAsia="Times New Roman" w:hAnsi="Simplified Arabic" w:cs="Simplified Arabic"/>
          <w:color w:val="000000" w:themeColor="text1"/>
          <w:kern w:val="0"/>
          <w:sz w:val="28"/>
          <w:szCs w:val="28"/>
          <w:lang w:bidi="ar-EG"/>
          <w14:ligatures w14:val="none"/>
        </w:rPr>
        <w:t>.</w:t>
      </w:r>
    </w:p>
    <w:p w14:paraId="375DBBCA" w14:textId="122917D8"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923279"/>
      <w:r w:rsidRPr="00063135">
        <w:rPr>
          <w:rFonts w:ascii="Simplified Arabic" w:eastAsia="Times New Roman" w:hAnsi="Simplified Arabic" w:cs="Simplified Arabic" w:hint="cs"/>
          <w:b/>
          <w:bCs/>
          <w:color w:val="000000" w:themeColor="text1"/>
          <w:kern w:val="0"/>
          <w:sz w:val="32"/>
          <w:szCs w:val="32"/>
          <w:rtl/>
          <w14:ligatures w14:val="none"/>
        </w:rPr>
        <w:t>3.1.2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أهمية خطط استمرارية الأعمال</w:t>
      </w:r>
      <w:bookmarkEnd w:id="40"/>
    </w:p>
    <w:p w14:paraId="21FA0528"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تحتلّ خطط استمرارية الأعمال مكانةً محوريةً في منظومة الإدارة المعاصرة، وقد تصاعدت أهميتها بصورة لافتة في ظل تعاظم حالة عدم اليقين البيئي وتنامي تعقيد سلاسل الأعمال العالمية. ولا تنحصر هذه الأهمية في بُعد واحد، بل تمتدّ لتشمل الأبعاد الاستراتيجية والتشغيلية والمالية والسمعية والاجتماعية، مما يجعل هذه الخطط ركيزةً لا غنى عنها في بناء المنظمات القادرة على الصمود</w:t>
      </w:r>
      <w:r w:rsidRPr="00063135">
        <w:rPr>
          <w:rFonts w:ascii="Simplified Arabic" w:eastAsia="Times New Roman" w:hAnsi="Simplified Arabic" w:cs="Simplified Arabic"/>
          <w:color w:val="000000" w:themeColor="text1"/>
          <w:kern w:val="0"/>
          <w:sz w:val="28"/>
          <w:szCs w:val="28"/>
          <w:lang w:bidi="ar-EG"/>
          <w14:ligatures w14:val="none"/>
        </w:rPr>
        <w:t>.</w:t>
      </w:r>
    </w:p>
    <w:p w14:paraId="0FA4A208"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ويُشير قطيشات والشاعر (2025) إلى أن أهمية خطط استمرارية الأعمال تتجلّى في عدة جوانب متكاملة، أولها أنها تُوفّر إطارًا منهجيًا لحماية الأصول المؤسسية بمختلف أنواعها المادية والبشرية والمعلوماتية والمعنوية من التأثيرات السلبية للأزمات، وثانيها أنها تُسهم في ترسيخ ثقافة الجاهزية داخل المنظمة بحيث يصبح التفكير الاستباقي جزءًا من نسيجها التنظيمي، وثالثها أنها تُعزّز قدرة المنظمة على الوفاء بالتزاماتها التعاقدية والقانونية والتنظيمية حتى في أشد الظروف صعوبة، ورابعها أنها تدعم الثقة لدى الأطراف ذات المصلحة من مساهمين وعملاء وموردين وجهات رقابية، وخامسها أنها تُشكّل ميزةً استراتيجيةً تُميّز المنظمة عن منافسيها في السوق</w:t>
      </w:r>
      <w:r w:rsidRPr="00063135">
        <w:rPr>
          <w:rFonts w:ascii="Simplified Arabic" w:eastAsia="Times New Roman" w:hAnsi="Simplified Arabic" w:cs="Simplified Arabic"/>
          <w:color w:val="000000" w:themeColor="text1"/>
          <w:kern w:val="0"/>
          <w:sz w:val="28"/>
          <w:szCs w:val="28"/>
          <w:lang w:bidi="ar-EG"/>
          <w14:ligatures w14:val="none"/>
        </w:rPr>
        <w:t>.</w:t>
      </w:r>
    </w:p>
    <w:p w14:paraId="39E8BFD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ويرى موسى والربابعة (2025) أن أهمية خطط استمرارية الأعمال تنبع من كونها آليةً فاعلةً لتحقيق التوازن بين مبدأي الحماية والنمو، إذ تُمكّن المنظمة من متابعة مساراتها التوسعية دون التخلّي عن الحيطة اللازمة، وتُتيح لها استثمار الفرص المتاحة حتى في بيئات الأزمات من خلال ما توفّره من قدرات على التكيّف السريع وإعادة تخصيص الموارد. كما يُبرزان أن هذه الخطط تُسهم في ترشيد التكاليف بعيدة المدى، </w:t>
      </w:r>
      <w:r w:rsidRPr="00063135">
        <w:rPr>
          <w:rFonts w:ascii="Simplified Arabic" w:eastAsia="Times New Roman" w:hAnsi="Simplified Arabic" w:cs="Simplified Arabic"/>
          <w:color w:val="000000" w:themeColor="text1"/>
          <w:kern w:val="0"/>
          <w:sz w:val="28"/>
          <w:szCs w:val="28"/>
          <w:rtl/>
          <w14:ligatures w14:val="none"/>
        </w:rPr>
        <w:lastRenderedPageBreak/>
        <w:t>لأن استثمار المنظمة في الجاهزية يُقلّل من الخسائر المحتملة عند وقوع الاضطرابات، ويُوفّر عليها أعباء التعامل الارتجالي مع الأحداث</w:t>
      </w:r>
      <w:r w:rsidRPr="00063135">
        <w:rPr>
          <w:rFonts w:ascii="Simplified Arabic" w:eastAsia="Times New Roman" w:hAnsi="Simplified Arabic" w:cs="Simplified Arabic"/>
          <w:color w:val="000000" w:themeColor="text1"/>
          <w:kern w:val="0"/>
          <w:sz w:val="28"/>
          <w:szCs w:val="28"/>
          <w:lang w:bidi="ar-EG"/>
          <w14:ligatures w14:val="none"/>
        </w:rPr>
        <w:t>.</w:t>
      </w:r>
    </w:p>
    <w:p w14:paraId="3115222E"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ويُبيّن حسب الله ومحمد (2023) أن الأهمية تتضح كذلك من زاوية الدور المتنامي لخطط استمرارية الأعمال في تعزيز الحوكمة المؤسسية والمساءلة الإدارية، حيث تفرض على القيادات العليا وضع تصورات واضحة حول السيناريوهات المحتملة وسبل التعامل معها، وتُلزم الإدارات التنفيذية بتوثيق الإجراءات وتحديد المسؤوليات، مما يُقلّل من الغموض ويُعزّز الشفافية داخل المنظمة. كما تُسهم هذه الخطط في تحقيق الاستدامة المالية للمنظمة من خلال حماية إيراداتها وتدفّقاتها النقدية من الانقطاعات التي قد تُهدّد بقاءها، فضلًا عن دورها في دعم الاستقرار الوظيفي للعاملين الذي يُعدّ ركيزةً للأداء المتميّز</w:t>
      </w:r>
      <w:r w:rsidRPr="00063135">
        <w:rPr>
          <w:rFonts w:ascii="Simplified Arabic" w:eastAsia="Times New Roman" w:hAnsi="Simplified Arabic" w:cs="Simplified Arabic"/>
          <w:color w:val="000000" w:themeColor="text1"/>
          <w:kern w:val="0"/>
          <w:sz w:val="28"/>
          <w:szCs w:val="28"/>
          <w:lang w:bidi="ar-EG"/>
          <w14:ligatures w14:val="none"/>
        </w:rPr>
        <w:t>.</w:t>
      </w:r>
    </w:p>
    <w:p w14:paraId="12CD0E96"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ويُضيف</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(2021) </w:t>
      </w:r>
      <w:r w:rsidRPr="00063135">
        <w:rPr>
          <w:rFonts w:ascii="Simplified Arabic" w:eastAsia="Times New Roman" w:hAnsi="Simplified Arabic" w:cs="Simplified Arabic"/>
          <w:color w:val="000000" w:themeColor="text1"/>
          <w:kern w:val="0"/>
          <w:sz w:val="28"/>
          <w:szCs w:val="28"/>
          <w:rtl/>
          <w14:ligatures w14:val="none"/>
        </w:rPr>
        <w:t>بُعدًا آخر للأهمية يتّصل بالمنظور الشبكي، إذ يُوضّحون أن خطط استمرارية الأعمال لم تعد شأنًا داخليًا مقصورًا على المنظمة الواحدة، بل امتدّت أهميتها لتشمل قدرة المنظمة على المحافظة على علاقاتها مع شركائها في السلسلة القيمية، وضمان استمرار تدفّق المنتجات والخدمات عبر الشبكة المؤسسية المعقّدة التي تنتمي إليها. ويعكس هذا الطرح تحوّلًا مفاهيميًا مهمًا يُموضع الخطط في سياق العلاقات البينية بين المنظمات، لا في حدود المنظمة الفردية</w:t>
      </w:r>
      <w:r w:rsidRPr="00063135">
        <w:rPr>
          <w:rFonts w:ascii="Simplified Arabic" w:eastAsia="Times New Roman" w:hAnsi="Simplified Arabic" w:cs="Simplified Arabic"/>
          <w:color w:val="000000" w:themeColor="text1"/>
          <w:kern w:val="0"/>
          <w:sz w:val="28"/>
          <w:szCs w:val="28"/>
          <w:lang w:bidi="ar-EG"/>
          <w14:ligatures w14:val="none"/>
        </w:rPr>
        <w:t>.</w:t>
      </w:r>
    </w:p>
    <w:p w14:paraId="5FB55C18"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ويرى</w:t>
      </w:r>
      <w:r w:rsidRPr="00063135">
        <w:rPr>
          <w:rFonts w:ascii="Simplified Arabic" w:eastAsia="Times New Roman" w:hAnsi="Simplified Arabic" w:cs="Simplified Arabic"/>
          <w:color w:val="000000" w:themeColor="text1"/>
          <w:kern w:val="0"/>
          <w:sz w:val="28"/>
          <w:szCs w:val="28"/>
          <w:lang w:bidi="ar-EG"/>
          <w14:ligatures w14:val="none"/>
        </w:rPr>
        <w:t xml:space="preserve"> Guntuka et al. (2024) </w:t>
      </w:r>
      <w:r w:rsidRPr="00063135">
        <w:rPr>
          <w:rFonts w:ascii="Simplified Arabic" w:eastAsia="Times New Roman" w:hAnsi="Simplified Arabic" w:cs="Simplified Arabic"/>
          <w:color w:val="000000" w:themeColor="text1"/>
          <w:kern w:val="0"/>
          <w:sz w:val="28"/>
          <w:szCs w:val="28"/>
          <w:rtl/>
          <w14:ligatures w14:val="none"/>
        </w:rPr>
        <w:t>أن الأهمية تتضاعف في الشركات الكبرى ذات العمليات المعقدة، لأن تشابك عملياتها وتعدد وحداتها ومواقعها يجعل أي اضطراب في نقطة واحدة قادرًا على إحداث تأثيرات متتالية تمتدّ إلى مجمل النظام المؤسسي، مما يُحتّم وجود خطط دقيقة تُغطّي هذا التعقيد وتُوفّر آليات احتواء سريعة تحول دون تحوّل الاضطرابات المحلية إلى أزمات شاملة</w:t>
      </w:r>
      <w:r w:rsidRPr="00063135">
        <w:rPr>
          <w:rFonts w:ascii="Simplified Arabic" w:eastAsia="Times New Roman" w:hAnsi="Simplified Arabic" w:cs="Simplified Arabic"/>
          <w:color w:val="000000" w:themeColor="text1"/>
          <w:kern w:val="0"/>
          <w:sz w:val="28"/>
          <w:szCs w:val="28"/>
          <w:lang w:bidi="ar-EG"/>
          <w14:ligatures w14:val="none"/>
        </w:rPr>
        <w:t>.</w:t>
      </w:r>
    </w:p>
    <w:p w14:paraId="4B9AE91F"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كما تُبرز عربيات وأبو رمان (2024) أن الأهمية تتّصل ببناء رأس المال المعرفي للمنظمة، حيث تُشكّل عمليات إعداد الخطط ومراجعتها فرصةً منهجيةً لتوثيق المعارف الحرجة وتعميمها بين العاملين، مما يُقلّل من مخاطر فقدان المعرفة الناجم عن دوران العمالة أو تغيّر القيادات، ويُرسّخ ذاكرةً مؤسسيةً قادرةً على الاستمرار عبر الأجيال الإدارية المتعاقبة</w:t>
      </w:r>
      <w:r w:rsidRPr="00063135">
        <w:rPr>
          <w:rFonts w:ascii="Simplified Arabic" w:eastAsia="Times New Roman" w:hAnsi="Simplified Arabic" w:cs="Simplified Arabic"/>
          <w:color w:val="000000" w:themeColor="text1"/>
          <w:kern w:val="0"/>
          <w:sz w:val="28"/>
          <w:szCs w:val="28"/>
          <w:lang w:bidi="ar-EG"/>
          <w14:ligatures w14:val="none"/>
        </w:rPr>
        <w:t>.</w:t>
      </w:r>
    </w:p>
    <w:p w14:paraId="10EE3364" w14:textId="0ED143D0"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923280"/>
      <w:r w:rsidRPr="00063135">
        <w:rPr>
          <w:rFonts w:ascii="Simplified Arabic" w:eastAsia="Times New Roman" w:hAnsi="Simplified Arabic" w:cs="Simplified Arabic" w:hint="cs"/>
          <w:b/>
          <w:bCs/>
          <w:color w:val="000000" w:themeColor="text1"/>
          <w:kern w:val="0"/>
          <w:sz w:val="32"/>
          <w:szCs w:val="32"/>
          <w:rtl/>
          <w14:ligatures w14:val="none"/>
        </w:rPr>
        <w:t>4.1.2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أهداف خطط استمرارية الأعمال</w:t>
      </w:r>
      <w:bookmarkEnd w:id="41"/>
    </w:p>
    <w:p w14:paraId="1D3630BD"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تتعدّد الأهداف التي تسعى خطط استمرارية الأعمال إلى تحقيقها، وتتشعّب هذه الأهداف بين ما هو استراتيجي وما هو تشغيلي، وبين ما يخدم البُعد الداخلي للمنظمة وما يرتبط بعلاقاتها الخارجية. ويتّفق </w:t>
      </w:r>
      <w:r w:rsidRPr="00063135">
        <w:rPr>
          <w:rFonts w:ascii="Simplified Arabic" w:eastAsia="Times New Roman" w:hAnsi="Simplified Arabic" w:cs="Simplified Arabic"/>
          <w:color w:val="000000" w:themeColor="text1"/>
          <w:kern w:val="0"/>
          <w:sz w:val="28"/>
          <w:szCs w:val="28"/>
          <w:rtl/>
          <w14:ligatures w14:val="none"/>
        </w:rPr>
        <w:lastRenderedPageBreak/>
        <w:t>الباحثون على أن هذه الأهداف تُمثّل المرجعية التي تُقاس على أساسها فاعلية الخطط ومدى إسهامها في تحقيق قيمة مضافة للمنظمة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42F878FC"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ويُحدّد شديد (2022) جملةً من الأهداف الرئيسة لخطط استمرارية الأعمال يمكن إجمالها فيما يأتي</w:t>
      </w:r>
      <w:r w:rsidRPr="00063135">
        <w:rPr>
          <w:rFonts w:ascii="Simplified Arabic" w:eastAsia="Times New Roman" w:hAnsi="Simplified Arabic" w:cs="Simplified Arabic"/>
          <w:b/>
          <w:bCs/>
          <w:color w:val="000000" w:themeColor="text1"/>
          <w:kern w:val="0"/>
          <w:sz w:val="28"/>
          <w:szCs w:val="28"/>
          <w:lang w:bidi="ar-EG"/>
          <w14:ligatures w14:val="none"/>
        </w:rPr>
        <w:t>:</w:t>
      </w:r>
    </w:p>
    <w:p w14:paraId="51462979" w14:textId="77777777" w:rsidR="006477C8" w:rsidRPr="00063135" w:rsidRDefault="006477C8" w:rsidP="00C12E12">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ضمان استمرار تقديم المنتجات والخدمات الجوهرية للعملاء بمستويات مقبولة خلال فترات الاضطراب</w:t>
      </w:r>
      <w:r w:rsidRPr="00063135">
        <w:rPr>
          <w:rFonts w:ascii="Simplified Arabic" w:eastAsia="Times New Roman" w:hAnsi="Simplified Arabic" w:cs="Simplified Arabic"/>
          <w:color w:val="000000" w:themeColor="text1"/>
          <w:kern w:val="0"/>
          <w:sz w:val="28"/>
          <w:szCs w:val="28"/>
          <w:lang w:bidi="ar-EG"/>
          <w14:ligatures w14:val="none"/>
        </w:rPr>
        <w:t>.</w:t>
      </w:r>
    </w:p>
    <w:p w14:paraId="0BB1DD34" w14:textId="77777777" w:rsidR="006477C8" w:rsidRPr="00063135" w:rsidRDefault="006477C8" w:rsidP="00C12E12">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حماية الأرواح البشرية والحفاظ على سلامة العاملين والأطراف ذات المصلحة عند وقوع الأحداث الطارئة</w:t>
      </w:r>
      <w:r w:rsidRPr="00063135">
        <w:rPr>
          <w:rFonts w:ascii="Simplified Arabic" w:eastAsia="Times New Roman" w:hAnsi="Simplified Arabic" w:cs="Simplified Arabic"/>
          <w:color w:val="000000" w:themeColor="text1"/>
          <w:kern w:val="0"/>
          <w:sz w:val="28"/>
          <w:szCs w:val="28"/>
          <w:lang w:bidi="ar-EG"/>
          <w14:ligatures w14:val="none"/>
        </w:rPr>
        <w:t>.</w:t>
      </w:r>
    </w:p>
    <w:p w14:paraId="417FC9FD" w14:textId="77777777" w:rsidR="006477C8" w:rsidRPr="00063135" w:rsidRDefault="006477C8" w:rsidP="00C12E12">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تقليل الخسائر المالية والتشغيلية المترتّبة على الأزمات إلى أدنى حدّ ممكن</w:t>
      </w:r>
      <w:r w:rsidRPr="00063135">
        <w:rPr>
          <w:rFonts w:ascii="Simplified Arabic" w:eastAsia="Times New Roman" w:hAnsi="Simplified Arabic" w:cs="Simplified Arabic"/>
          <w:color w:val="000000" w:themeColor="text1"/>
          <w:kern w:val="0"/>
          <w:sz w:val="28"/>
          <w:szCs w:val="28"/>
          <w:lang w:bidi="ar-EG"/>
          <w14:ligatures w14:val="none"/>
        </w:rPr>
        <w:t>.</w:t>
      </w:r>
    </w:p>
    <w:p w14:paraId="5E74CE4B" w14:textId="77777777" w:rsidR="006477C8" w:rsidRPr="00063135" w:rsidRDefault="006477C8" w:rsidP="00C12E12">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المحافظة على السمعة المؤسسية والثقة العامة في المنظمة أمام الجمهور والشركاء</w:t>
      </w:r>
      <w:r w:rsidRPr="00063135">
        <w:rPr>
          <w:rFonts w:ascii="Simplified Arabic" w:eastAsia="Times New Roman" w:hAnsi="Simplified Arabic" w:cs="Simplified Arabic"/>
          <w:color w:val="000000" w:themeColor="text1"/>
          <w:kern w:val="0"/>
          <w:sz w:val="28"/>
          <w:szCs w:val="28"/>
          <w:lang w:bidi="ar-EG"/>
          <w14:ligatures w14:val="none"/>
        </w:rPr>
        <w:t>.</w:t>
      </w:r>
    </w:p>
    <w:p w14:paraId="421AF5DA" w14:textId="77777777" w:rsidR="006477C8" w:rsidRPr="00063135" w:rsidRDefault="006477C8" w:rsidP="00C12E12">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ضمان الامتثال للمتطلبات التشريعية والتنظيمية المتّصلة بإدارة الأزمات والاستمرارية</w:t>
      </w:r>
      <w:r w:rsidRPr="00063135">
        <w:rPr>
          <w:rFonts w:ascii="Simplified Arabic" w:eastAsia="Times New Roman" w:hAnsi="Simplified Arabic" w:cs="Simplified Arabic"/>
          <w:color w:val="000000" w:themeColor="text1"/>
          <w:kern w:val="0"/>
          <w:sz w:val="28"/>
          <w:szCs w:val="28"/>
          <w:lang w:bidi="ar-EG"/>
          <w14:ligatures w14:val="none"/>
        </w:rPr>
        <w:t>.</w:t>
      </w:r>
    </w:p>
    <w:p w14:paraId="1F568789"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ويرى الحسين ومتولي (2023) أن الأهداف تمتدّ لتشمل أبعادًا استراتيجيةً بعيدة المدى، ويُلخّصانها في النقاط الآتية</w:t>
      </w:r>
      <w:r w:rsidRPr="00063135">
        <w:rPr>
          <w:rFonts w:ascii="Simplified Arabic" w:eastAsia="Times New Roman" w:hAnsi="Simplified Arabic" w:cs="Simplified Arabic"/>
          <w:color w:val="000000" w:themeColor="text1"/>
          <w:kern w:val="0"/>
          <w:sz w:val="28"/>
          <w:szCs w:val="28"/>
          <w:lang w:bidi="ar-EG"/>
          <w14:ligatures w14:val="none"/>
        </w:rPr>
        <w:t>:</w:t>
      </w:r>
    </w:p>
    <w:p w14:paraId="559A565B"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تعزيز القدرة التنافسية للمنظمة من خلال تقديم نفسها بوصفها كيانًا موثوقًا قادرًا على الوفاء بالتزاماته في مختلف الظروف</w:t>
      </w:r>
      <w:r w:rsidRPr="00063135">
        <w:rPr>
          <w:rFonts w:ascii="Simplified Arabic" w:eastAsia="Times New Roman" w:hAnsi="Simplified Arabic" w:cs="Simplified Arabic"/>
          <w:color w:val="000000" w:themeColor="text1"/>
          <w:kern w:val="0"/>
          <w:sz w:val="28"/>
          <w:szCs w:val="28"/>
          <w:lang w:bidi="ar-EG"/>
          <w14:ligatures w14:val="none"/>
        </w:rPr>
        <w:t>.</w:t>
      </w:r>
    </w:p>
    <w:p w14:paraId="1CEFB4C2"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بناء قدرات تنظيمية متجدّدة تُمكّن المنظمة من التعلّم من الأحداث السابقة وتطوير آليات مواجهتها للأحداث المستقبلية</w:t>
      </w:r>
      <w:r w:rsidRPr="00063135">
        <w:rPr>
          <w:rFonts w:ascii="Simplified Arabic" w:eastAsia="Times New Roman" w:hAnsi="Simplified Arabic" w:cs="Simplified Arabic"/>
          <w:color w:val="000000" w:themeColor="text1"/>
          <w:kern w:val="0"/>
          <w:sz w:val="28"/>
          <w:szCs w:val="28"/>
          <w:lang w:bidi="ar-EG"/>
          <w14:ligatures w14:val="none"/>
        </w:rPr>
        <w:t>.</w:t>
      </w:r>
    </w:p>
    <w:p w14:paraId="32F625D5"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تحقيق الاستدامة المؤسسية بمفهومها الشامل الذي يجمع بين الاستمرار الاقتصادي والمسؤولية الاجتماعية والمحافظة البيئية</w:t>
      </w:r>
      <w:r w:rsidRPr="00063135">
        <w:rPr>
          <w:rFonts w:ascii="Simplified Arabic" w:eastAsia="Times New Roman" w:hAnsi="Simplified Arabic" w:cs="Simplified Arabic"/>
          <w:color w:val="000000" w:themeColor="text1"/>
          <w:kern w:val="0"/>
          <w:sz w:val="28"/>
          <w:szCs w:val="28"/>
          <w:lang w:bidi="ar-EG"/>
          <w14:ligatures w14:val="none"/>
        </w:rPr>
        <w:t>.</w:t>
      </w:r>
    </w:p>
    <w:p w14:paraId="28162E6D"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دعم عمليات التخطيط الاستراتيجي بتوفير معلومات دقيقة عن نقاط الضعف والقوة في المنظومة التشغيلية للمنظمة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75FFE176"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ويُشير</w:t>
      </w:r>
      <w:r w:rsidRPr="00063135">
        <w:rPr>
          <w:rFonts w:ascii="Simplified Arabic" w:eastAsia="Times New Roman" w:hAnsi="Simplified Arabic" w:cs="Simplified Arabic"/>
          <w:color w:val="000000" w:themeColor="text1"/>
          <w:kern w:val="0"/>
          <w:sz w:val="28"/>
          <w:szCs w:val="28"/>
          <w:lang w:bidi="ar-EG"/>
          <w14:ligatures w14:val="none"/>
        </w:rPr>
        <w:t xml:space="preserve"> Namdar et al. (2021) </w:t>
      </w:r>
      <w:r w:rsidRPr="00063135">
        <w:rPr>
          <w:rFonts w:ascii="Simplified Arabic" w:eastAsia="Times New Roman" w:hAnsi="Simplified Arabic" w:cs="Simplified Arabic"/>
          <w:color w:val="000000" w:themeColor="text1"/>
          <w:kern w:val="0"/>
          <w:sz w:val="28"/>
          <w:szCs w:val="28"/>
          <w:rtl/>
          <w14:ligatures w14:val="none"/>
        </w:rPr>
        <w:t>إلى أهداف ذات طابع شبكي تتّصل بموقع المنظمة في سلاسل القيمة الممتدّة، ومنها</w:t>
      </w:r>
      <w:r w:rsidRPr="00063135">
        <w:rPr>
          <w:rFonts w:ascii="Simplified Arabic" w:eastAsia="Times New Roman" w:hAnsi="Simplified Arabic" w:cs="Simplified Arabic"/>
          <w:color w:val="000000" w:themeColor="text1"/>
          <w:kern w:val="0"/>
          <w:sz w:val="28"/>
          <w:szCs w:val="28"/>
          <w:lang w:bidi="ar-EG"/>
          <w14:ligatures w14:val="none"/>
        </w:rPr>
        <w:t>:</w:t>
      </w:r>
    </w:p>
    <w:p w14:paraId="74797236"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ضمان استمرار تدفّق المواد والمعلومات عبر الشبكات المؤسسية التي تنتمي إليها المنظمة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721F75AE"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تعزيز قدرة المنظمة على تنسيق استجاباتها مع شركائها في السلسلة القيمية لتحقيق مواجهة جماعية للأزمات</w:t>
      </w:r>
      <w:r w:rsidRPr="00063135">
        <w:rPr>
          <w:rFonts w:ascii="Simplified Arabic" w:eastAsia="Times New Roman" w:hAnsi="Simplified Arabic" w:cs="Simplified Arabic"/>
          <w:color w:val="000000" w:themeColor="text1"/>
          <w:kern w:val="0"/>
          <w:sz w:val="28"/>
          <w:szCs w:val="28"/>
          <w:lang w:bidi="ar-EG"/>
          <w14:ligatures w14:val="none"/>
        </w:rPr>
        <w:t>.</w:t>
      </w:r>
    </w:p>
    <w:p w14:paraId="3BF27BFD" w14:textId="77777777" w:rsidR="006477C8" w:rsidRPr="00063135" w:rsidRDefault="006477C8" w:rsidP="00C12E12">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تصميم شبكات موردين ومنافذ توزيع أكثر مرونةً قادرة على استيعاب الاضطرابات دون توقّف كامل</w:t>
      </w:r>
      <w:r w:rsidRPr="00063135">
        <w:rPr>
          <w:rFonts w:ascii="Simplified Arabic" w:eastAsia="Times New Roman" w:hAnsi="Simplified Arabic" w:cs="Simplified Arabic"/>
          <w:color w:val="000000" w:themeColor="text1"/>
          <w:kern w:val="0"/>
          <w:sz w:val="28"/>
          <w:szCs w:val="28"/>
          <w:lang w:bidi="ar-EG"/>
          <w14:ligatures w14:val="none"/>
        </w:rPr>
        <w:t>.</w:t>
      </w:r>
    </w:p>
    <w:p w14:paraId="608B626A"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ويُضيف</w:t>
      </w:r>
      <w:r w:rsidRPr="00063135">
        <w:rPr>
          <w:rFonts w:ascii="Simplified Arabic" w:eastAsia="Times New Roman" w:hAnsi="Simplified Arabic" w:cs="Simplified Arabic"/>
          <w:color w:val="000000" w:themeColor="text1"/>
          <w:kern w:val="0"/>
          <w:sz w:val="28"/>
          <w:szCs w:val="28"/>
          <w:lang w:bidi="ar-EG"/>
          <w14:ligatures w14:val="none"/>
        </w:rPr>
        <w:t xml:space="preserve"> Mohezar et al. (2023) </w:t>
      </w:r>
      <w:r w:rsidRPr="00063135">
        <w:rPr>
          <w:rFonts w:ascii="Simplified Arabic" w:eastAsia="Times New Roman" w:hAnsi="Simplified Arabic" w:cs="Simplified Arabic"/>
          <w:color w:val="000000" w:themeColor="text1"/>
          <w:kern w:val="0"/>
          <w:sz w:val="28"/>
          <w:szCs w:val="28"/>
          <w:rtl/>
          <w14:ligatures w14:val="none"/>
        </w:rPr>
        <w:t>أهدافًا أخرى تتّصل بالاستدامة التنظيمية على المدى الطويل، وأبرزها</w:t>
      </w:r>
      <w:r w:rsidRPr="00063135">
        <w:rPr>
          <w:rFonts w:ascii="Simplified Arabic" w:eastAsia="Times New Roman" w:hAnsi="Simplified Arabic" w:cs="Simplified Arabic"/>
          <w:color w:val="000000" w:themeColor="text1"/>
          <w:kern w:val="0"/>
          <w:sz w:val="28"/>
          <w:szCs w:val="28"/>
          <w:lang w:bidi="ar-EG"/>
          <w14:ligatures w14:val="none"/>
        </w:rPr>
        <w:t>:</w:t>
      </w:r>
    </w:p>
    <w:p w14:paraId="5E4B5D9D" w14:textId="77777777" w:rsidR="006477C8" w:rsidRPr="00063135" w:rsidRDefault="006477C8" w:rsidP="00C12E12">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تنمية ثقافة مؤسسية تستند إلى الجاهزية والابتكار في مواجهة عدم اليقين</w:t>
      </w:r>
      <w:r w:rsidRPr="00063135">
        <w:rPr>
          <w:rFonts w:ascii="Simplified Arabic" w:eastAsia="Times New Roman" w:hAnsi="Simplified Arabic" w:cs="Simplified Arabic"/>
          <w:color w:val="000000" w:themeColor="text1"/>
          <w:kern w:val="0"/>
          <w:sz w:val="28"/>
          <w:szCs w:val="28"/>
          <w:lang w:bidi="ar-EG"/>
          <w14:ligatures w14:val="none"/>
        </w:rPr>
        <w:t>.</w:t>
      </w:r>
    </w:p>
    <w:p w14:paraId="0C533976" w14:textId="77777777" w:rsidR="006477C8" w:rsidRPr="00063135" w:rsidRDefault="006477C8" w:rsidP="00C12E12">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بناء منظومة معرفية متراكمة تُغذّي عمليات التطوير المستمر للممارسات الإدارية</w:t>
      </w:r>
      <w:r w:rsidRPr="00063135">
        <w:rPr>
          <w:rFonts w:ascii="Simplified Arabic" w:eastAsia="Times New Roman" w:hAnsi="Simplified Arabic" w:cs="Simplified Arabic"/>
          <w:color w:val="000000" w:themeColor="text1"/>
          <w:kern w:val="0"/>
          <w:sz w:val="28"/>
          <w:szCs w:val="28"/>
          <w:lang w:bidi="ar-EG"/>
          <w14:ligatures w14:val="none"/>
        </w:rPr>
        <w:t>.</w:t>
      </w:r>
    </w:p>
    <w:p w14:paraId="6FD02D25" w14:textId="77777777" w:rsidR="006477C8" w:rsidRPr="00063135" w:rsidRDefault="006477C8" w:rsidP="00C12E12">
      <w:pPr>
        <w:pStyle w:val="ListParagraph"/>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ترسيخ آليات التعلّم المؤسسي التي تُحوّل تجارب الأزمات إلى دروس مستفادة تُثري قدرات المنظمة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2060D70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كما يُبرز</w:t>
      </w:r>
      <w:r w:rsidRPr="00063135">
        <w:rPr>
          <w:rFonts w:ascii="Simplified Arabic" w:eastAsia="Times New Roman" w:hAnsi="Simplified Arabic" w:cs="Simplified Arabic"/>
          <w:color w:val="000000" w:themeColor="text1"/>
          <w:kern w:val="0"/>
          <w:sz w:val="28"/>
          <w:szCs w:val="28"/>
          <w:lang w:bidi="ar-EG"/>
          <w14:ligatures w14:val="none"/>
        </w:rPr>
        <w:t xml:space="preserve"> Rumman (2022) </w:t>
      </w:r>
      <w:r w:rsidRPr="00063135">
        <w:rPr>
          <w:rFonts w:ascii="Simplified Arabic" w:eastAsia="Times New Roman" w:hAnsi="Simplified Arabic" w:cs="Simplified Arabic"/>
          <w:color w:val="000000" w:themeColor="text1"/>
          <w:kern w:val="0"/>
          <w:sz w:val="28"/>
          <w:szCs w:val="28"/>
          <w:rtl/>
          <w14:ligatures w14:val="none"/>
        </w:rPr>
        <w:t>في تناوله لهذه الأهداف أن الخطط تستهدف كذلك تنمية القدرة على اليقظة الاستراتيجية داخل المنظمة، بحيث تصبح رصد المؤشرات المبكرة للأزمات والتفاعل معها ممارسةً مؤسسيةً راسخةً لا مجرد ردود فعل ظرفية، وهو ما يُعزّز الطابع الاستباقي للخطط ويرفع من كفاءتها في مواجهة المتغيرات</w:t>
      </w:r>
      <w:r w:rsidRPr="00063135">
        <w:rPr>
          <w:rFonts w:ascii="Simplified Arabic" w:eastAsia="Times New Roman" w:hAnsi="Simplified Arabic" w:cs="Simplified Arabic"/>
          <w:color w:val="000000" w:themeColor="text1"/>
          <w:kern w:val="0"/>
          <w:sz w:val="28"/>
          <w:szCs w:val="28"/>
          <w:lang w:bidi="ar-EG"/>
          <w14:ligatures w14:val="none"/>
        </w:rPr>
        <w:t>.</w:t>
      </w:r>
    </w:p>
    <w:p w14:paraId="3E25373A" w14:textId="25C1E3F8"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2" w:name="_Toc233923281"/>
      <w:r w:rsidRPr="00063135">
        <w:rPr>
          <w:rFonts w:ascii="Simplified Arabic" w:eastAsia="Times New Roman" w:hAnsi="Simplified Arabic" w:cs="Simplified Arabic" w:hint="cs"/>
          <w:b/>
          <w:bCs/>
          <w:color w:val="000000" w:themeColor="text1"/>
          <w:kern w:val="0"/>
          <w:sz w:val="32"/>
          <w:szCs w:val="32"/>
          <w:rtl/>
          <w14:ligatures w14:val="none"/>
        </w:rPr>
        <w:t>5.1.2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المداخل النظرية لخطط استمرارية الأعمال</w:t>
      </w:r>
      <w:bookmarkEnd w:id="42"/>
    </w:p>
    <w:p w14:paraId="34C47B3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يستند فهم خطط استمرارية الأعمال إلى مداخل نظرية متعددة تُضيء جوانب مختلفة من الظاهرة، وتُثري تحليلها الأكاديمي. ويُقارب</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(2022) </w:t>
      </w:r>
      <w:r w:rsidRPr="00063135">
        <w:rPr>
          <w:rFonts w:ascii="Simplified Arabic" w:eastAsia="Times New Roman" w:hAnsi="Simplified Arabic" w:cs="Simplified Arabic"/>
          <w:color w:val="000000" w:themeColor="text1"/>
          <w:kern w:val="0"/>
          <w:sz w:val="28"/>
          <w:szCs w:val="28"/>
          <w:rtl/>
          <w14:ligatures w14:val="none"/>
        </w:rPr>
        <w:t>هذه الخطط من منظور نظرية القدرات الديناميكية التي تُركّز على قدرة المنظمة على إعادة تشكيل مواردها وقدراتها بما يستجيب للتغيرات البيئية، إذ تُنظر إلى خطط الاستمرارية بوصفها آليةً لتفعيل هذه القدرات الديناميكية في مواجهة الاضطرابات</w:t>
      </w:r>
      <w:r w:rsidRPr="00063135">
        <w:rPr>
          <w:rFonts w:ascii="Simplified Arabic" w:eastAsia="Times New Roman" w:hAnsi="Simplified Arabic" w:cs="Simplified Arabic"/>
          <w:color w:val="000000" w:themeColor="text1"/>
          <w:kern w:val="0"/>
          <w:sz w:val="28"/>
          <w:szCs w:val="28"/>
          <w:lang w:bidi="ar-EG"/>
          <w14:ligatures w14:val="none"/>
        </w:rPr>
        <w:t>.</w:t>
      </w:r>
    </w:p>
    <w:p w14:paraId="70B6FFCF"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ومن جهة أخرى، يعتمد</w:t>
      </w:r>
      <w:r w:rsidRPr="00063135">
        <w:rPr>
          <w:rFonts w:ascii="Simplified Arabic" w:eastAsia="Times New Roman" w:hAnsi="Simplified Arabic" w:cs="Simplified Arabic"/>
          <w:color w:val="000000" w:themeColor="text1"/>
          <w:kern w:val="0"/>
          <w:sz w:val="28"/>
          <w:szCs w:val="28"/>
          <w:lang w:bidi="ar-EG"/>
          <w14:ligatures w14:val="none"/>
        </w:rPr>
        <w:t xml:space="preserve"> Maleki Vishkaei and De Giovanni (2024) </w:t>
      </w:r>
      <w:r w:rsidRPr="00063135">
        <w:rPr>
          <w:rFonts w:ascii="Simplified Arabic" w:eastAsia="Times New Roman" w:hAnsi="Simplified Arabic" w:cs="Simplified Arabic"/>
          <w:color w:val="000000" w:themeColor="text1"/>
          <w:kern w:val="0"/>
          <w:sz w:val="28"/>
          <w:szCs w:val="28"/>
          <w:rtl/>
          <w14:ligatures w14:val="none"/>
        </w:rPr>
        <w:t>على منظور المرونة التنظيمية الذي يُعنى بقدرة المنظمة على امتصاص الصدمات والتعافي منها والعودة إلى مسارها التشغيلي، بل وربما الخروج من الأزمة بحالة أفضل مما كانت عليه، وهو ما يُعرف بمفهوم النمو ما بعد الأزمة. ويُوفّر هذا المنظور إطارًا تحليليًا يربط بين خطط الاستمرارية والقدرات التكيّفية للمنظمة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37808F74"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أما</w:t>
      </w:r>
      <w:r w:rsidRPr="00063135">
        <w:rPr>
          <w:rFonts w:ascii="Simplified Arabic" w:eastAsia="Times New Roman" w:hAnsi="Simplified Arabic" w:cs="Simplified Arabic"/>
          <w:color w:val="000000" w:themeColor="text1"/>
          <w:kern w:val="0"/>
          <w:sz w:val="28"/>
          <w:szCs w:val="28"/>
          <w:lang w:bidi="ar-EG"/>
          <w14:ligatures w14:val="none"/>
        </w:rPr>
        <w:t xml:space="preserve"> Dehghani Sadrabadi et al. (2024) </w:t>
      </w:r>
      <w:r w:rsidRPr="00063135">
        <w:rPr>
          <w:rFonts w:ascii="Simplified Arabic" w:eastAsia="Times New Roman" w:hAnsi="Simplified Arabic" w:cs="Simplified Arabic"/>
          <w:color w:val="000000" w:themeColor="text1"/>
          <w:kern w:val="0"/>
          <w:sz w:val="28"/>
          <w:szCs w:val="28"/>
          <w:rtl/>
          <w14:ligatures w14:val="none"/>
        </w:rPr>
        <w:t>فيتبنّى مقاربةً تكامليةً تجمع بين نظرية إدارة المخاطر ونظرية النظم، إذ يُنظَر إلى المنظمة بوصفها نظامًا مفتوحًا يتفاعل مع بيئته، وتُعدّ خطط الاستمرارية آليات ضبطٍ تحافظ على توازن هذا النظام في مواجهة المدخلات الاضطرابية التي قد تعتريه. ويُتيح هذا المدخل قراءة الخطط في سياق شمولي يُبرز تفاعلاتها مع مجمل المكوّنات المؤسسية</w:t>
      </w:r>
      <w:r w:rsidRPr="00063135">
        <w:rPr>
          <w:rFonts w:ascii="Simplified Arabic" w:eastAsia="Times New Roman" w:hAnsi="Simplified Arabic" w:cs="Simplified Arabic"/>
          <w:color w:val="000000" w:themeColor="text1"/>
          <w:kern w:val="0"/>
          <w:sz w:val="28"/>
          <w:szCs w:val="28"/>
          <w:lang w:bidi="ar-EG"/>
          <w14:ligatures w14:val="none"/>
        </w:rPr>
        <w:t>.</w:t>
      </w:r>
    </w:p>
    <w:p w14:paraId="5A0C144E" w14:textId="18AB6041"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3" w:name="_Toc233923282"/>
      <w:r w:rsidRPr="00063135">
        <w:rPr>
          <w:rFonts w:ascii="Simplified Arabic" w:eastAsia="Times New Roman" w:hAnsi="Simplified Arabic" w:cs="Simplified Arabic" w:hint="cs"/>
          <w:b/>
          <w:bCs/>
          <w:color w:val="000000" w:themeColor="text1"/>
          <w:kern w:val="0"/>
          <w:sz w:val="32"/>
          <w:szCs w:val="32"/>
          <w:rtl/>
          <w14:ligatures w14:val="none"/>
        </w:rPr>
        <w:lastRenderedPageBreak/>
        <w:t>6.1.2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أبعاد خطط استمرارية الأعمال</w:t>
      </w:r>
      <w:bookmarkEnd w:id="43"/>
    </w:p>
    <w:p w14:paraId="1C73D2E6"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تم تحديد أبعاد خطط استمرارية الأعمال في هذه الدراسة بالاعتماد على دراسة قطيشات والشاعر (2025) ودراسة عربيات وأبو رمان (2024) ودراسة موسى والربابعة (2025) التي تناولت المتغير في سياق تطبيقي مشابه، وبما يتّسق مع التوجّهات النظرية السائدة في الأدبيات المعاصرة. وتشمل هذه الأبعاد أربعة محاور رئيسة يُقدّمها الباحث فيما يأتي بشيء من التفصيل</w:t>
      </w:r>
      <w:r w:rsidRPr="00063135">
        <w:rPr>
          <w:rFonts w:ascii="Simplified Arabic" w:eastAsia="Times New Roman" w:hAnsi="Simplified Arabic" w:cs="Simplified Arabic"/>
          <w:color w:val="000000" w:themeColor="text1"/>
          <w:kern w:val="0"/>
          <w:sz w:val="28"/>
          <w:szCs w:val="28"/>
          <w:lang w:bidi="ar-EG"/>
          <w14:ligatures w14:val="none"/>
        </w:rPr>
        <w:t>:</w:t>
      </w:r>
    </w:p>
    <w:p w14:paraId="226E7DE0"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الأول: تحليل الأثر على الأعمال</w:t>
      </w:r>
    </w:p>
    <w:p w14:paraId="03DFB65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يُمثّل تحليل الأثر على الأعمال حجر الأساس في منظومة خطط استمرارية الأعمال، إذ يُعدّ نقطة الانطلاق التي تستند إليها سائر الخطوات اللاحقة. ويُقصد بهذا التحليل عملية منهجية تسعى المنظمة من خلالها إلى تحديد أنشطتها الجوهرية وتصنيفها وفق مستويات أهميتها، وقياس الآثار المحتملة لتوقّفها أو تعطّلها على مؤشرات الأداء المختلفة سواء أكانت مالية أم تشغيلية أم سمعية أم قانونية. ويُبيّن قندوز (2022) أن هذا التحليل يُوفّر للمنظمة قاعدة معلومات دقيقة تُساعدها في ترتيب أولوياتها وتخصيص مواردها الاحتياطية على نحو رشيد، مما يجعل الاستجابة للأزمات أكثر فاعليةً وأقل عشوائيةً</w:t>
      </w:r>
      <w:r w:rsidRPr="00063135">
        <w:rPr>
          <w:rFonts w:ascii="Simplified Arabic" w:eastAsia="Times New Roman" w:hAnsi="Simplified Arabic" w:cs="Simplified Arabic"/>
          <w:color w:val="000000" w:themeColor="text1"/>
          <w:kern w:val="0"/>
          <w:sz w:val="28"/>
          <w:szCs w:val="28"/>
          <w:lang w:bidi="ar-EG"/>
          <w14:ligatures w14:val="none"/>
        </w:rPr>
        <w:t>.</w:t>
      </w:r>
    </w:p>
    <w:p w14:paraId="38622741"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ويُتيح تحليل الأثر على الأعمال للمنظمة تحديد ما يُعرف بأزمنة التعافي المستهدفة، أي الفترة القصوى التي يمكن أن يتوقّف فيها نشاط معيّن قبل أن تُصبح آثاره مدمّرةً على مسار المنظمة. كما يُمكّنها من تحديد نقاط التعافي المستهدفة التي تُعبّر عن الحجم الأقصى من البيانات أو المعاملات الذي يمكن أن يُفقد دون إحداث ضرر جوهري. ويرتبط هذا التحليل ارتباطًا وثيقًا بفهم الترابطات الداخلية بين الأنشطة والوحدات المؤسسية، إذ لا يمكن تقدير الأثر الحقيقي لتوقّف نشاط ما دون إدراك اعتماديّته على غيره من الأنشطة والموارد</w:t>
      </w:r>
      <w:r w:rsidRPr="00063135">
        <w:rPr>
          <w:rFonts w:ascii="Simplified Arabic" w:eastAsia="Times New Roman" w:hAnsi="Simplified Arabic" w:cs="Simplified Arabic"/>
          <w:color w:val="000000" w:themeColor="text1"/>
          <w:kern w:val="0"/>
          <w:sz w:val="28"/>
          <w:szCs w:val="28"/>
          <w:lang w:bidi="ar-EG"/>
          <w14:ligatures w14:val="none"/>
        </w:rPr>
        <w:t>.</w:t>
      </w:r>
    </w:p>
    <w:p w14:paraId="2888BCAF"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الثاني: تقييم المخاطر والتهديدات</w:t>
      </w:r>
    </w:p>
    <w:p w14:paraId="20BB57C6"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يُشكّل تقييم المخاطر والتهديدات البُعد الثاني الذي يُكمّل تحليل الأثر ويُوجّهه، إذ ينتقل التركيز فيه من داخل المنظمة إلى بيئتها الأوسع، ومن السؤال عن آثار الاضطراب إلى السؤال عن مصادره واحتمالاته. ويشمل هذا البُعد عمليات منهجية لرصد المخاطر المحتملة التي قد تُهدّد استمرارية العمليات وتحليل احتمالات وقوعها وتقدير شدّة آثارها. ويُوضّح الصاعدي وآخرون (2024) أن التقييم الفاعل للمخاطر </w:t>
      </w:r>
      <w:r w:rsidRPr="00063135">
        <w:rPr>
          <w:rFonts w:ascii="Simplified Arabic" w:eastAsia="Times New Roman" w:hAnsi="Simplified Arabic" w:cs="Simplified Arabic"/>
          <w:color w:val="000000" w:themeColor="text1"/>
          <w:kern w:val="0"/>
          <w:sz w:val="28"/>
          <w:szCs w:val="28"/>
          <w:rtl/>
          <w14:ligatures w14:val="none"/>
        </w:rPr>
        <w:lastRenderedPageBreak/>
        <w:t>يستوجب اعتماد منهجية شاملة تُغطّي المخاطر بمختلف أنواعها من طبيعية وتكنولوجية وبشرية واقتصادية وسياسية وصحية، مع مراعاة التفاعلات المحتملة بين هذه الأنواع</w:t>
      </w:r>
      <w:r w:rsidRPr="00063135">
        <w:rPr>
          <w:rFonts w:ascii="Simplified Arabic" w:eastAsia="Times New Roman" w:hAnsi="Simplified Arabic" w:cs="Simplified Arabic"/>
          <w:color w:val="000000" w:themeColor="text1"/>
          <w:kern w:val="0"/>
          <w:sz w:val="28"/>
          <w:szCs w:val="28"/>
          <w:lang w:bidi="ar-EG"/>
          <w14:ligatures w14:val="none"/>
        </w:rPr>
        <w:t>.</w:t>
      </w:r>
    </w:p>
    <w:p w14:paraId="4E23045F"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ويعتمد هذا البُعد على أدوات كمية ونوعية متعددة، تشمل مصفوفات المخاطر التي تجمع بين احتمال الوقوع وشدة الأثر، وأساليب السيناريوهات التي تستكشف الأحداث المستقبلية المحتملة، وتحليلات نقاط الضعف التي تكشف عن مواطن الهشاشة في المنظومة المؤسسية. ويُثمر هذا التقييم عن خارطة مخاطر تُستخدم مرجعيةً في تصميم إجراءات التخفيف والتحكّم، وتُوجّه القرارات المتعلقة بتخصيص الموارد الوقائية. كما يُوفّر أساسًا لتحديد المخاطر التي يمكن تجنّبها والمخاطر التي ينبغي قبولها ضمن حدود متسامحٍ معها، والمخاطر التي تستدعي نقلها إلى أطراف خارجية عبر آليات كالتأمين والتعاقد</w:t>
      </w:r>
      <w:r w:rsidRPr="00063135">
        <w:rPr>
          <w:rFonts w:ascii="Simplified Arabic" w:eastAsia="Times New Roman" w:hAnsi="Simplified Arabic" w:cs="Simplified Arabic"/>
          <w:color w:val="000000" w:themeColor="text1"/>
          <w:kern w:val="0"/>
          <w:sz w:val="28"/>
          <w:szCs w:val="28"/>
          <w:lang w:bidi="ar-EG"/>
          <w14:ligatures w14:val="none"/>
        </w:rPr>
        <w:t>.</w:t>
      </w:r>
    </w:p>
    <w:p w14:paraId="306B8841"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الثالث: استراتيجيات التعافي والاستجابة</w:t>
      </w:r>
    </w:p>
    <w:p w14:paraId="2856F3FD"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يُمثّل هذا البُعد الجانب التنفيذي الذي تتحوّل فيه المخرجات التحليلية إلى ترتيبات عملية للمواجهة. وتُعنى استراتيجيات التعافي والاستجابة بتحديد البدائل التي تلجأ إليها المنظمة عند وقوع الاضطراب، وتشمل هذه البدائل ترتيبات المواقع البديلة والأنظمة الاحتياطية وسلاسل التوريد البديلة وآليات التواصل في حالات الطوارئ. ويُبرز حسب الله ومحمد (2023) أن نجاح هذه الاستراتيجيات يتوقّف على قدرتها على تحقيق التوازن بين متطلبات السرعة والفاعلية من جهة، ومتطلبات التكلفة والاستدامة من جهة أخرى</w:t>
      </w:r>
      <w:r w:rsidRPr="00063135">
        <w:rPr>
          <w:rFonts w:ascii="Simplified Arabic" w:eastAsia="Times New Roman" w:hAnsi="Simplified Arabic" w:cs="Simplified Arabic"/>
          <w:color w:val="000000" w:themeColor="text1"/>
          <w:kern w:val="0"/>
          <w:sz w:val="28"/>
          <w:szCs w:val="28"/>
          <w:lang w:bidi="ar-EG"/>
          <w14:ligatures w14:val="none"/>
        </w:rPr>
        <w:t>.</w:t>
      </w:r>
    </w:p>
    <w:p w14:paraId="2ADB0A9A"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وتنطوي استراتيجيات التعافي على مستويات متعدّدة تبدأ من الاستجابة الفورية التي تستهدف احتواء الحدث ومنع تصاعده، مرورًا بمرحلة التعافي التشغيلي التي تُركّز على إعادة تشغيل الأنشطة الحرجة في الأجل القصير، وصولًا إلى مرحلة الاستعادة الكاملة التي تُعيد المنظمة إلى مستوى أدائها الطبيعي أو تُطوّره. ويستلزم هذا البُعد وجود فرق عمل مدرّبة وأدوار محدّدة بوضوح وقنوات اتصال فاعلة، فضلًا عن آليات لصنع القرار في الظروف الاستثنائية التي تتّسم بضغط الوقت وشحّ المعلومات. كما يستوجب الأمر تنسيقًا محكمًا مع الأطراف الخارجية من موردين وعملاء وجهات حكومية ووسائل إعلام، بحيث تظهر المنظمة بموقف موحّد ومتماسك في تعاملها مع الأزمة</w:t>
      </w:r>
      <w:r w:rsidRPr="00063135">
        <w:rPr>
          <w:rFonts w:ascii="Simplified Arabic" w:eastAsia="Times New Roman" w:hAnsi="Simplified Arabic" w:cs="Simplified Arabic"/>
          <w:color w:val="000000" w:themeColor="text1"/>
          <w:kern w:val="0"/>
          <w:sz w:val="28"/>
          <w:szCs w:val="28"/>
          <w:lang w:bidi="ar-EG"/>
          <w14:ligatures w14:val="none"/>
        </w:rPr>
        <w:t>.</w:t>
      </w:r>
    </w:p>
    <w:p w14:paraId="303279AF"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الرابع: الاختبار والتمرين والتحسين المستمر</w:t>
      </w:r>
    </w:p>
    <w:p w14:paraId="1B72E9D8"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 xml:space="preserve">يُختتم إطار خطط استمرارية الأعمال بهذا البُعد الذي يضمن حيويّتها وفاعليّتها المستمرة. فالخطة التي لا تُختبر تظلّ افتراضًا نظريًا لا يُعرف مدى قابليّته للتطبيق، والخطة التي لا تُحدّث تفقد ملاءمتها مع تغيّر </w:t>
      </w:r>
      <w:r w:rsidRPr="00063135">
        <w:rPr>
          <w:rFonts w:ascii="Simplified Arabic" w:eastAsia="Times New Roman" w:hAnsi="Simplified Arabic" w:cs="Simplified Arabic"/>
          <w:color w:val="000000" w:themeColor="text1"/>
          <w:kern w:val="0"/>
          <w:sz w:val="28"/>
          <w:szCs w:val="28"/>
          <w:rtl/>
          <w14:ligatures w14:val="none"/>
        </w:rPr>
        <w:lastRenderedPageBreak/>
        <w:t>الظروف. ويُشير الزعبي والشوابكة (2023) إلى أن الاختبار والتمرين يتّخذان أشكالًا متدرّجةً تبدأ من المراجعات المكتبية التي تستعرض الخطة نظريًا، مرورًا بالتمارين الحوارية التي تُناقش سيناريوهات محدّدة، وصولًا إلى التمارين الميدانية الشاملة التي تُحاكي الأحداث الحقيقية</w:t>
      </w:r>
      <w:r w:rsidRPr="00063135">
        <w:rPr>
          <w:rFonts w:ascii="Simplified Arabic" w:eastAsia="Times New Roman" w:hAnsi="Simplified Arabic" w:cs="Simplified Arabic"/>
          <w:color w:val="000000" w:themeColor="text1"/>
          <w:kern w:val="0"/>
          <w:sz w:val="28"/>
          <w:szCs w:val="28"/>
          <w:lang w:bidi="ar-EG"/>
          <w14:ligatures w14:val="none"/>
        </w:rPr>
        <w:t>.</w:t>
      </w:r>
    </w:p>
    <w:p w14:paraId="2281D0F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ويقترن هذا البُعد بمفهوم التحسين المستمر الذي يُوفّر آلية تعلّم تنظيمي تستند إلى الدروس المستفادة من كل اختبار وكل حدث فعلي. ويُنظر إلى الخطط في ضوء هذا المفهوم بوصفها وثائق حيّة تخضع للتطوير الدائم، بحيث تعكس التغيّرات في هيكل المنظمة وعملياتها وبيئتها. كما يشمل هذا البُعد عمليات مراجعة دورية للأصول الحرجة وسلاسل الاعتماديات والمخاطر الناشئة، وتحديث بيانات الاتصال وأدوار المسؤولية، وتقييم كفاءة الموارد المخصّصة للاستمرارية. وتُعزّز عمليات التوثيق المنهجية للتجارب والدروس المستفادة الذاكرة المؤسسية التي تُشكّل رأس مال معرفيًا لا يُقدّر بثمن</w:t>
      </w:r>
      <w:r w:rsidRPr="00063135">
        <w:rPr>
          <w:rFonts w:ascii="Simplified Arabic" w:eastAsia="Times New Roman" w:hAnsi="Simplified Arabic" w:cs="Simplified Arabic"/>
          <w:color w:val="000000" w:themeColor="text1"/>
          <w:kern w:val="0"/>
          <w:sz w:val="28"/>
          <w:szCs w:val="28"/>
          <w:lang w:bidi="ar-EG"/>
          <w14:ligatures w14:val="none"/>
        </w:rPr>
        <w:t>.</w:t>
      </w:r>
    </w:p>
    <w:p w14:paraId="6939A6B5" w14:textId="2CFA4114"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4" w:name="_Toc233923283"/>
      <w:r w:rsidRPr="00063135">
        <w:rPr>
          <w:rFonts w:ascii="Simplified Arabic" w:eastAsia="Times New Roman" w:hAnsi="Simplified Arabic" w:cs="Simplified Arabic" w:hint="cs"/>
          <w:b/>
          <w:bCs/>
          <w:color w:val="000000" w:themeColor="text1"/>
          <w:kern w:val="0"/>
          <w:sz w:val="32"/>
          <w:szCs w:val="32"/>
          <w:rtl/>
          <w14:ligatures w14:val="none"/>
        </w:rPr>
        <w:t>7.1.2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مؤشرات قياس خطط استمرارية الأعمال</w:t>
      </w:r>
      <w:bookmarkEnd w:id="44"/>
    </w:p>
    <w:p w14:paraId="63BD62F1"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يُقدّم</w:t>
      </w:r>
      <w:r w:rsidRPr="00063135">
        <w:rPr>
          <w:rFonts w:ascii="Simplified Arabic" w:eastAsia="Times New Roman" w:hAnsi="Simplified Arabic" w:cs="Simplified Arabic"/>
          <w:color w:val="000000" w:themeColor="text1"/>
          <w:kern w:val="0"/>
          <w:sz w:val="28"/>
          <w:szCs w:val="28"/>
          <w:lang w:bidi="ar-EG"/>
          <w14:ligatures w14:val="none"/>
        </w:rPr>
        <w:t xml:space="preserve"> Rumman (2022) </w:t>
      </w:r>
      <w:r w:rsidRPr="00063135">
        <w:rPr>
          <w:rFonts w:ascii="Simplified Arabic" w:eastAsia="Times New Roman" w:hAnsi="Simplified Arabic" w:cs="Simplified Arabic"/>
          <w:color w:val="000000" w:themeColor="text1"/>
          <w:kern w:val="0"/>
          <w:sz w:val="28"/>
          <w:szCs w:val="28"/>
          <w:rtl/>
          <w14:ligatures w14:val="none"/>
        </w:rPr>
        <w:t>في تناوله لقياس خطط استمرارية الأعمال جملةً من المؤشرات تشمل مدى شمولية الخطط، وتكامل مكوّناتها، ووضوح توزيع الأدوار والمسؤوليات، ودرجة الالتزام بجداول الاختبار والمراجعة، وكفاءة إجراءات التواصل الداخلي والخارجي. وتُوفّر هذه المؤشرات إطارًا كميًا يُمكّن الباحثين من قياس المتغير على نحو يتّسق مع أبعاده النظرية، ويُعزّز إمكانية المقارنة بين المنظمات ودراسة التطورات عبر الزمن</w:t>
      </w:r>
      <w:r w:rsidRPr="00063135">
        <w:rPr>
          <w:rFonts w:ascii="Simplified Arabic" w:eastAsia="Times New Roman" w:hAnsi="Simplified Arabic" w:cs="Simplified Arabic"/>
          <w:color w:val="000000" w:themeColor="text1"/>
          <w:kern w:val="0"/>
          <w:sz w:val="28"/>
          <w:szCs w:val="28"/>
          <w:lang w:bidi="ar-EG"/>
          <w14:ligatures w14:val="none"/>
        </w:rPr>
        <w:t>.</w:t>
      </w:r>
    </w:p>
    <w:p w14:paraId="3BBB5FC6" w14:textId="1C24E3A2" w:rsidR="006477C8" w:rsidRPr="00063135" w:rsidRDefault="00C12E12" w:rsidP="00C12E12">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063135">
        <w:rPr>
          <w:rFonts w:ascii="Simplified Arabic" w:eastAsia="Times New Roman" w:hAnsi="Simplified Arabic" w:cs="Simplified Arabic"/>
          <w:b/>
          <w:bCs/>
          <w:color w:val="000000" w:themeColor="text1"/>
          <w:kern w:val="0"/>
          <w:sz w:val="36"/>
          <w:szCs w:val="36"/>
          <w:lang w:bidi="ar-EG"/>
          <w14:ligatures w14:val="none"/>
        </w:rPr>
        <w:br w:type="page"/>
      </w:r>
      <w:bookmarkStart w:id="45" w:name="_Toc233923284"/>
      <w:r w:rsidR="006477C8" w:rsidRPr="00063135">
        <w:rPr>
          <w:rFonts w:ascii="Simplified Arabic" w:eastAsia="Times New Roman" w:hAnsi="Simplified Arabic" w:cs="Simplified Arabic"/>
          <w:b/>
          <w:bCs/>
          <w:color w:val="000000" w:themeColor="text1"/>
          <w:kern w:val="0"/>
          <w:sz w:val="36"/>
          <w:szCs w:val="36"/>
          <w:rtl/>
          <w14:ligatures w14:val="none"/>
        </w:rPr>
        <w:lastRenderedPageBreak/>
        <w:t>المبحث الثاني: استمرارية سلسلة الإمداد في ظل الأزمات</w:t>
      </w:r>
      <w:bookmarkEnd w:id="45"/>
    </w:p>
    <w:p w14:paraId="1E5607CC" w14:textId="33C956D8"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6" w:name="_Toc233923285"/>
      <w:r w:rsidRPr="00063135">
        <w:rPr>
          <w:rFonts w:ascii="Simplified Arabic" w:eastAsia="Times New Roman" w:hAnsi="Simplified Arabic" w:cs="Simplified Arabic" w:hint="cs"/>
          <w:b/>
          <w:bCs/>
          <w:color w:val="000000" w:themeColor="text1"/>
          <w:kern w:val="0"/>
          <w:sz w:val="32"/>
          <w:szCs w:val="32"/>
          <w:rtl/>
          <w14:ligatures w14:val="none"/>
        </w:rPr>
        <w:t xml:space="preserve">1.2.2 </w:t>
      </w:r>
      <w:r w:rsidR="006477C8" w:rsidRPr="00063135">
        <w:rPr>
          <w:rFonts w:ascii="Simplified Arabic" w:eastAsia="Times New Roman" w:hAnsi="Simplified Arabic" w:cs="Simplified Arabic"/>
          <w:b/>
          <w:bCs/>
          <w:color w:val="000000" w:themeColor="text1"/>
          <w:kern w:val="0"/>
          <w:sz w:val="32"/>
          <w:szCs w:val="32"/>
          <w:rtl/>
          <w14:ligatures w14:val="none"/>
        </w:rPr>
        <w:t>تمهيد</w:t>
      </w:r>
      <w:bookmarkEnd w:id="46"/>
    </w:p>
    <w:p w14:paraId="6575E0EB"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شهدت العقود الأخيرة تحوّلًا جذريًا في طبيعة سلاسل الإمداد، إذ انتقلت من كيانات محلية بسيطة إلى شبكات عالمية معقّدة تمتدّ عبر القارات وتنطوي على تفاعلات متشعّبة بين موردين ومصنّعين وموزّعين وعملاء نهائيين. ورافق هذا التحوّل تصاعد في مستويات الترابط والاعتمادية المتبادلة، مما جعل هذه السلاسل أكثر كفاءةً في الظروف المستقرة، وأكثر هشاشةً في مواجهة الاضطرابات في الوقت ذاته. وقد كشفت الأزمات المتعاقبة، ولا سيّما جائحة كوفيد-19 والاضطرابات الجيوسياسية اللاحقة، عن حجم المخاطر التي تتعرّض لها هذه السلاسل، وأبرزت الحاجة الملحّة إلى بناء منظومات إمدادية قادرة على الاستمرار في أداء وظائفها في مواجهة الصدمات (قندوز، 2022). وفي هذا السياق برز مفهوم استمرارية سلسلة الإمداد بوصفه إطارًا تحليليًا وتطبيقيًا يتناول قدرة السلسلة على الحفاظ على تدفقاتها الأساسية في ظل الاضطرابات، ويُعنى بدراسة العوامل التي تُعزّز هذه القدرة وسبل تنميتها</w:t>
      </w:r>
      <w:r w:rsidRPr="00063135">
        <w:rPr>
          <w:rFonts w:ascii="Simplified Arabic" w:eastAsia="Times New Roman" w:hAnsi="Simplified Arabic" w:cs="Simplified Arabic"/>
          <w:color w:val="000000" w:themeColor="text1"/>
          <w:kern w:val="0"/>
          <w:sz w:val="28"/>
          <w:szCs w:val="28"/>
          <w:lang w:bidi="ar-EG"/>
          <w14:ligatures w14:val="none"/>
        </w:rPr>
        <w:t>.</w:t>
      </w:r>
    </w:p>
    <w:p w14:paraId="76427FF8" w14:textId="7C5F3A26"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7" w:name="_Toc233923286"/>
      <w:r w:rsidRPr="00063135">
        <w:rPr>
          <w:rFonts w:ascii="Simplified Arabic" w:eastAsia="Times New Roman" w:hAnsi="Simplified Arabic" w:cs="Simplified Arabic" w:hint="cs"/>
          <w:b/>
          <w:bCs/>
          <w:color w:val="000000" w:themeColor="text1"/>
          <w:kern w:val="0"/>
          <w:sz w:val="32"/>
          <w:szCs w:val="32"/>
          <w:rtl/>
          <w14:ligatures w14:val="none"/>
        </w:rPr>
        <w:t>2.2.2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مفهوم استمرارية سلسلة الإمداد في ظل الأزمات</w:t>
      </w:r>
      <w:bookmarkEnd w:id="47"/>
    </w:p>
    <w:p w14:paraId="70343CCF"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يتّسم مفهوم استمرارية سلسلة الإمداد في ظل الأزمات بالثراء والتعدّد، إذ يتقاطع فيه ما هو تشغيلي بما هو استراتيجي، وما هو تنظيمي بما هو شبكي. ويُقدّم عمرو وعبدالقادر (2023) تعريفًا يُركّز على البُعد التدفّقي، إذ يُعرّفان الاستمرارية بوصفها قدرة السلسلة على الحفاظ على انسيابية تدفّق المواد والمعلومات والأموال بين حلقاتها المختلفة في مواجهة الاضطرابات، بما يضمن الوفاء بمتطلبات العملاء النهائيين بمستويات مقبولة من الجودة والزمن والتكلفة. ويكشف هذا التعريف عن اهتمام مبكّر بمعايير الأداء التي تحكم عمل السلسلة حتى في الظروف الاستثنائية</w:t>
      </w:r>
      <w:r w:rsidRPr="00063135">
        <w:rPr>
          <w:rFonts w:ascii="Simplified Arabic" w:eastAsia="Times New Roman" w:hAnsi="Simplified Arabic" w:cs="Simplified Arabic"/>
          <w:color w:val="000000" w:themeColor="text1"/>
          <w:kern w:val="0"/>
          <w:sz w:val="28"/>
          <w:szCs w:val="28"/>
          <w:lang w:bidi="ar-EG"/>
          <w14:ligatures w14:val="none"/>
        </w:rPr>
        <w:t>.</w:t>
      </w:r>
    </w:p>
    <w:p w14:paraId="1F0DCACF"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وفي مقاربة توسّع دائرة المفهوم، يُشير محمد وحمودة وعيسى وعطية (2021) إلى أن استمرارية سلسلة الإمداد لا تنحصر في الحفاظ على التدفّقات الحالية، بل تمتدّ لتشمل القدرة على إعادة تشكيل السلسلة عند الحاجة، وذلك من خلال آليات مرنة تُتيح استبدال الموردين وتغيير المسارات اللوجستية وتعديل بروتوكولات التنسيق بما يستجيب لطبيعة الاضطراب. ويعكس هذا التصور تحوّلًا مفاهيميًا من الاستمرارية الثابتة إلى الاستمرارية الديناميكية</w:t>
      </w:r>
      <w:r w:rsidRPr="00063135">
        <w:rPr>
          <w:rFonts w:ascii="Simplified Arabic" w:eastAsia="Times New Roman" w:hAnsi="Simplified Arabic" w:cs="Simplified Arabic"/>
          <w:color w:val="000000" w:themeColor="text1"/>
          <w:kern w:val="0"/>
          <w:sz w:val="28"/>
          <w:szCs w:val="28"/>
          <w:lang w:bidi="ar-EG"/>
          <w14:ligatures w14:val="none"/>
        </w:rPr>
        <w:t>.</w:t>
      </w:r>
    </w:p>
    <w:p w14:paraId="6F2A398B"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ومن منظور نظرية المرونة، يُعرّف</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(2021) </w:t>
      </w:r>
      <w:r w:rsidRPr="00063135">
        <w:rPr>
          <w:rFonts w:ascii="Simplified Arabic" w:eastAsia="Times New Roman" w:hAnsi="Simplified Arabic" w:cs="Simplified Arabic"/>
          <w:color w:val="000000" w:themeColor="text1"/>
          <w:kern w:val="0"/>
          <w:sz w:val="28"/>
          <w:szCs w:val="28"/>
          <w:rtl/>
          <w14:ligatures w14:val="none"/>
        </w:rPr>
        <w:t>استمرارية سلسلة الإمداد بوصفها خاصيةً منظوميةً تجمع بين قدرات الاستيعاب والتكيّف والاستعادة، إذ لا تكتفي السلسلة المستمرّة بامتصاص الصدمة، بل تُكيّف بنيتها معها وتستعيد أداءها المعياري بأسرع وقت ممكن. ويُميّز هذا التصور بين الاستمرارية بوصفها حالةً والاستمرارية بوصفها قدرةً، ويُرجّح المنظور الثاني الذي يُبرز الديناميكية والتفاعل مع البيئة</w:t>
      </w:r>
      <w:r w:rsidRPr="00063135">
        <w:rPr>
          <w:rFonts w:ascii="Simplified Arabic" w:eastAsia="Times New Roman" w:hAnsi="Simplified Arabic" w:cs="Simplified Arabic"/>
          <w:color w:val="000000" w:themeColor="text1"/>
          <w:kern w:val="0"/>
          <w:sz w:val="28"/>
          <w:szCs w:val="28"/>
          <w:lang w:bidi="ar-EG"/>
          <w14:ligatures w14:val="none"/>
        </w:rPr>
        <w:t>.</w:t>
      </w:r>
    </w:p>
    <w:p w14:paraId="41EE7B3D"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ويُقدّم</w:t>
      </w:r>
      <w:r w:rsidRPr="00063135">
        <w:rPr>
          <w:rFonts w:ascii="Simplified Arabic" w:eastAsia="Times New Roman" w:hAnsi="Simplified Arabic" w:cs="Simplified Arabic"/>
          <w:color w:val="000000" w:themeColor="text1"/>
          <w:kern w:val="0"/>
          <w:sz w:val="28"/>
          <w:szCs w:val="28"/>
          <w:lang w:bidi="ar-EG"/>
          <w14:ligatures w14:val="none"/>
        </w:rPr>
        <w:t xml:space="preserve"> Guntuka et al. (2024) </w:t>
      </w:r>
      <w:r w:rsidRPr="00063135">
        <w:rPr>
          <w:rFonts w:ascii="Simplified Arabic" w:eastAsia="Times New Roman" w:hAnsi="Simplified Arabic" w:cs="Simplified Arabic"/>
          <w:color w:val="000000" w:themeColor="text1"/>
          <w:kern w:val="0"/>
          <w:sz w:val="28"/>
          <w:szCs w:val="28"/>
          <w:rtl/>
          <w14:ligatures w14:val="none"/>
        </w:rPr>
        <w:t>تعريفًا يُبرز البُعد التعافي، حيث يُنظَر إلى استمرارية سلسلة الإمداد بوصفها القدرة على تجاوز الاضطرابات على مستوى المنشآت وإعادة تشغيل العمليات الإنتاجية والتوزيعية في أعقاب الصدمات، مع الأخذ في الاعتبار مستويات التعقيد التي تتّسم بها السلسلة الحديثة. ويُوفّر هذا التعريف زاويةً تحليليةً تربط بين خصائص السلسلة البنيوية وقدرتها على الاستمرار</w:t>
      </w:r>
      <w:r w:rsidRPr="00063135">
        <w:rPr>
          <w:rFonts w:ascii="Simplified Arabic" w:eastAsia="Times New Roman" w:hAnsi="Simplified Arabic" w:cs="Simplified Arabic"/>
          <w:color w:val="000000" w:themeColor="text1"/>
          <w:kern w:val="0"/>
          <w:sz w:val="28"/>
          <w:szCs w:val="28"/>
          <w:lang w:bidi="ar-EG"/>
          <w14:ligatures w14:val="none"/>
        </w:rPr>
        <w:t>.</w:t>
      </w:r>
    </w:p>
    <w:p w14:paraId="74FAA2CE"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أما محمد وفضل الله (2021) فيُقاربان المفهوم من زاوية تقنية معلوماتية، إذ يُبرزان أن استمرارية السلسلة الحديثة أصبحت مرتبطةً ارتباطًا وثيقًا بقدرة نُظم المعلومات المتّصلة بها على العمل دون انقطاع، وقدرتها على معالجة البيانات وتحويلها إلى قرارات تشغيلية سريعة. ويُوسّع هذا الطرح المفهوم ليشمل البنية التحتية الرقمية التي أصبحت عصب سلاسل الإمداد المعاصرة</w:t>
      </w:r>
      <w:r w:rsidRPr="00063135">
        <w:rPr>
          <w:rFonts w:ascii="Simplified Arabic" w:eastAsia="Times New Roman" w:hAnsi="Simplified Arabic" w:cs="Simplified Arabic"/>
          <w:color w:val="000000" w:themeColor="text1"/>
          <w:kern w:val="0"/>
          <w:sz w:val="28"/>
          <w:szCs w:val="28"/>
          <w:lang w:bidi="ar-EG"/>
          <w14:ligatures w14:val="none"/>
        </w:rPr>
        <w:t>.</w:t>
      </w:r>
    </w:p>
    <w:p w14:paraId="4E44BC4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ويُضيف علاق (2023) بُعدًا تكنولوجيًا معاصرًا يتّصل بتقنيات سلسلة الكتل، حيث يُنظَر إلى الاستمرارية في ضوء ما تُتيحه هذه التقنيات من شفافية وموثوقية في تتبّع المعاملات وتوثيقها عبر حلقات السلسلة، مما يُعزّز الثقة بين الأطراف ويُقلّل من مخاطر الانقطاع الناجمة عن عدم اتّساق المعلومات</w:t>
      </w:r>
      <w:r w:rsidRPr="00063135">
        <w:rPr>
          <w:rFonts w:ascii="Simplified Arabic" w:eastAsia="Times New Roman" w:hAnsi="Simplified Arabic" w:cs="Simplified Arabic"/>
          <w:color w:val="000000" w:themeColor="text1"/>
          <w:kern w:val="0"/>
          <w:sz w:val="28"/>
          <w:szCs w:val="28"/>
          <w:lang w:bidi="ar-EG"/>
          <w14:ligatures w14:val="none"/>
        </w:rPr>
        <w:t>.</w:t>
      </w:r>
    </w:p>
    <w:p w14:paraId="3DF720E5"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رأي الباحث</w:t>
      </w:r>
      <w:r w:rsidRPr="00063135">
        <w:rPr>
          <w:rFonts w:ascii="Simplified Arabic" w:eastAsia="Times New Roman" w:hAnsi="Simplified Arabic" w:cs="Simplified Arabic"/>
          <w:color w:val="000000" w:themeColor="text1"/>
          <w:kern w:val="0"/>
          <w:sz w:val="28"/>
          <w:szCs w:val="28"/>
          <w:lang w:bidi="ar-EG"/>
          <w14:ligatures w14:val="none"/>
        </w:rPr>
        <w:t xml:space="preserve">: </w:t>
      </w:r>
      <w:r w:rsidRPr="00063135">
        <w:rPr>
          <w:rFonts w:ascii="Simplified Arabic" w:eastAsia="Times New Roman" w:hAnsi="Simplified Arabic" w:cs="Simplified Arabic"/>
          <w:color w:val="000000" w:themeColor="text1"/>
          <w:kern w:val="0"/>
          <w:sz w:val="28"/>
          <w:szCs w:val="28"/>
          <w:rtl/>
          <w14:ligatures w14:val="none"/>
        </w:rPr>
        <w:t>يستنتج الباحث ممّا سبق أن استمرارية سلسلة الإمداد في ظل الأزمات مفهوم متعدّد الأبعاد يجمع بين التدفّق والمرونة والتعافي والرقمنة والثقة الشبكية، وأن التعريفات المطروحة تتكامل أكثر مما تتعارض. ويُقدّم الباحث تعريفًا إجرائيًا للمفهوم بأنه القدرة المنظومية لسلسلة الإمداد على الحفاظ على تدفّقاتها المادية والمعلوماتية والمالية بمستويات مقبولة من الأداء، وعلى التكيّف السريع مع الاضطرابات وإعادة تشكيل هيكلها عند الحاجة، بحيث تضمن الوفاء بالتزامات المنظمة تجاه العملاء وأصحاب المصلحة في ظل الأزمات وما بعدها، وهو تعريف يُلائم دراسة السلوك الإمدادي في الشركات الكبرى بالمملكة العربية السعودية التي تعمل في بيئات تشغيلية معقّدة</w:t>
      </w:r>
      <w:r w:rsidRPr="00063135">
        <w:rPr>
          <w:rFonts w:ascii="Simplified Arabic" w:eastAsia="Times New Roman" w:hAnsi="Simplified Arabic" w:cs="Simplified Arabic"/>
          <w:color w:val="000000" w:themeColor="text1"/>
          <w:kern w:val="0"/>
          <w:sz w:val="28"/>
          <w:szCs w:val="28"/>
          <w:lang w:bidi="ar-EG"/>
          <w14:ligatures w14:val="none"/>
        </w:rPr>
        <w:t>.</w:t>
      </w:r>
    </w:p>
    <w:p w14:paraId="4CB5C0C4" w14:textId="312D114F"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8" w:name="_Toc233923287"/>
      <w:r w:rsidRPr="00063135">
        <w:rPr>
          <w:rFonts w:ascii="Simplified Arabic" w:eastAsia="Times New Roman" w:hAnsi="Simplified Arabic" w:cs="Simplified Arabic" w:hint="cs"/>
          <w:b/>
          <w:bCs/>
          <w:color w:val="000000" w:themeColor="text1"/>
          <w:kern w:val="0"/>
          <w:sz w:val="32"/>
          <w:szCs w:val="32"/>
          <w:rtl/>
          <w14:ligatures w14:val="none"/>
        </w:rPr>
        <w:t>3.2.2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أهمية استمرارية سلسلة الإمداد في ظل الأزمات</w:t>
      </w:r>
      <w:bookmarkEnd w:id="48"/>
    </w:p>
    <w:p w14:paraId="73B0F54B"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تكتسب استمرارية سلسلة الإمداد أهميةً مضاعفةً في العصر الراهن، الذي يتّسم بتصاعد وتيرة الأزمات وتشابك مصادرها، وباعتماد الاقتصادات العالمية على شبكات إمدادية عابرة للحدود. ولم تعد هذه الاستمرارية مسألةً تشغيليةً تخصّ إدارات اللوجستيات، بل باتت قضيةً استراتيجيةً تُعنى بها القيادات العليا وتؤثّر في مجمل الأداء المؤسسي</w:t>
      </w:r>
      <w:r w:rsidRPr="00063135">
        <w:rPr>
          <w:rFonts w:ascii="Simplified Arabic" w:eastAsia="Times New Roman" w:hAnsi="Simplified Arabic" w:cs="Simplified Arabic"/>
          <w:color w:val="000000" w:themeColor="text1"/>
          <w:kern w:val="0"/>
          <w:sz w:val="28"/>
          <w:szCs w:val="28"/>
          <w:lang w:bidi="ar-EG"/>
          <w14:ligatures w14:val="none"/>
        </w:rPr>
        <w:t>.</w:t>
      </w:r>
    </w:p>
    <w:p w14:paraId="66BF3322"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ويُشير عبدالنبي (2023) إلى أن أهمية استمرارية سلسلة الإمداد تتجلّى في جوانب متعدّدة، أولها أنها تُشكّل مصدرًا رئيسًا للميزة التنافسية، إذ تتنافس المنظمات في العصر الحاضر بقدرة سلاسلها الإمدادية أكثر مما تتنافس بمنتجاتها المفردة، وثانيها أنها تُوفّر الحماية للعلاقات التعاقدية مع العملاء التي بُنيت على وعود التسليم في الأوقات المتّفق عليها، وثالثها أنها تُعزّز موقف المنظمة التفاوضي مع شركائها من خلال إثبات موثوقيتها، ورابعها أنها تدعم الاستقرار المالي بمنع الخسائر الناجمة عن توقّف المبيعات، وخامسها أنها تُسهم في صيانة السمعة المؤسسية التي تتأثّر مباشرةً بأي انقطاع في الخدمة</w:t>
      </w:r>
      <w:r w:rsidRPr="00063135">
        <w:rPr>
          <w:rFonts w:ascii="Simplified Arabic" w:eastAsia="Times New Roman" w:hAnsi="Simplified Arabic" w:cs="Simplified Arabic"/>
          <w:color w:val="000000" w:themeColor="text1"/>
          <w:kern w:val="0"/>
          <w:sz w:val="28"/>
          <w:szCs w:val="28"/>
          <w:lang w:bidi="ar-EG"/>
          <w14:ligatures w14:val="none"/>
        </w:rPr>
        <w:t>.</w:t>
      </w:r>
    </w:p>
    <w:p w14:paraId="501986FA"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ويرى الصاعدي والمعمري وباوزير (2024) أن الأهمية تنبثق من طبيعة الأزمات المعاصرة التي تتّسم بالمفاجأة والامتداد والتأثير المتعدّي، إذ لم تعد الأزمة تنحصر في جغرافيا محدّدة أو قطاع بعينه، بل أصبحت تنتشر عبر الشبكات المتّصلة كما تنتشر العدوى في الأنظمة الحيّة. وتفرض هذه الطبيعة الجديدة على المنظمات أن تُوفّر لسلاسلها آليات دفاعية تحول دون انتقال آثار الأزمة من نقطة إلى أخرى، ومنظومات إنذار مبكّر تكشف عن الاضطرابات في مراحلها الأولى</w:t>
      </w:r>
      <w:r w:rsidRPr="00063135">
        <w:rPr>
          <w:rFonts w:ascii="Simplified Arabic" w:eastAsia="Times New Roman" w:hAnsi="Simplified Arabic" w:cs="Simplified Arabic"/>
          <w:color w:val="000000" w:themeColor="text1"/>
          <w:kern w:val="0"/>
          <w:sz w:val="28"/>
          <w:szCs w:val="28"/>
          <w:lang w:bidi="ar-EG"/>
          <w14:ligatures w14:val="none"/>
        </w:rPr>
        <w:t>.</w:t>
      </w:r>
    </w:p>
    <w:p w14:paraId="7E5C06A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ويُبيّن</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(2022) </w:t>
      </w:r>
      <w:r w:rsidRPr="00063135">
        <w:rPr>
          <w:rFonts w:ascii="Simplified Arabic" w:eastAsia="Times New Roman" w:hAnsi="Simplified Arabic" w:cs="Simplified Arabic"/>
          <w:color w:val="000000" w:themeColor="text1"/>
          <w:kern w:val="0"/>
          <w:sz w:val="28"/>
          <w:szCs w:val="28"/>
          <w:rtl/>
          <w14:ligatures w14:val="none"/>
        </w:rPr>
        <w:t>أن الأهمية تتّصل كذلك بالبُعد الإنساني والاجتماعي، إذ تُوفّر سلاسل الإمداد المستمرّة الاحتياجات الأساسية للمجتمعات من غذاء ودواء ومستلزمات طبية، وأي انقطاع فيها يترتّب عليه آثار اجتماعية بالغة قد تُهدّد الاستقرار العام. ويرفع هذا البُعد استمرارية السلسلة إلى مستوى المسؤولية المجتمعية التي تتحمّلها المنظمات الكبرى تجاه المجتمعات التي تعمل فيها</w:t>
      </w:r>
      <w:r w:rsidRPr="00063135">
        <w:rPr>
          <w:rFonts w:ascii="Simplified Arabic" w:eastAsia="Times New Roman" w:hAnsi="Simplified Arabic" w:cs="Simplified Arabic"/>
          <w:color w:val="000000" w:themeColor="text1"/>
          <w:kern w:val="0"/>
          <w:sz w:val="28"/>
          <w:szCs w:val="28"/>
          <w:lang w:bidi="ar-EG"/>
          <w14:ligatures w14:val="none"/>
        </w:rPr>
        <w:t>.</w:t>
      </w:r>
    </w:p>
    <w:p w14:paraId="2B78FD3B"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كما يُبرز</w:t>
      </w:r>
      <w:r w:rsidRPr="00063135">
        <w:rPr>
          <w:rFonts w:ascii="Simplified Arabic" w:eastAsia="Times New Roman" w:hAnsi="Simplified Arabic" w:cs="Simplified Arabic"/>
          <w:color w:val="000000" w:themeColor="text1"/>
          <w:kern w:val="0"/>
          <w:sz w:val="28"/>
          <w:szCs w:val="28"/>
          <w:lang w:bidi="ar-EG"/>
          <w14:ligatures w14:val="none"/>
        </w:rPr>
        <w:t xml:space="preserve"> Namdar et al. (2021) </w:t>
      </w:r>
      <w:r w:rsidRPr="00063135">
        <w:rPr>
          <w:rFonts w:ascii="Simplified Arabic" w:eastAsia="Times New Roman" w:hAnsi="Simplified Arabic" w:cs="Simplified Arabic"/>
          <w:color w:val="000000" w:themeColor="text1"/>
          <w:kern w:val="0"/>
          <w:sz w:val="28"/>
          <w:szCs w:val="28"/>
          <w:rtl/>
          <w14:ligatures w14:val="none"/>
        </w:rPr>
        <w:t>الأهمية الاستراتيجية للاستمرارية بربطها بمنظومة تصميم شبكات الإمداد، حيث تُشكّل الاستمرارية معيارًا رئيسًا يُوجّه قرارات اختيار المواقع والموردين وتوزيع المخزون وتحديد المسارات، بما يُثمر شبكات أكثر مقاومةً للاضطرابات منذ لحظة تصميمها لا بعد وقوع الأحداث. وهذا الفهم يُدخل الاستمرارية في صميم القرارات الاستراتيجية بعيدة المدى</w:t>
      </w:r>
      <w:r w:rsidRPr="00063135">
        <w:rPr>
          <w:rFonts w:ascii="Simplified Arabic" w:eastAsia="Times New Roman" w:hAnsi="Simplified Arabic" w:cs="Simplified Arabic"/>
          <w:color w:val="000000" w:themeColor="text1"/>
          <w:kern w:val="0"/>
          <w:sz w:val="28"/>
          <w:szCs w:val="28"/>
          <w:lang w:bidi="ar-EG"/>
          <w14:ligatures w14:val="none"/>
        </w:rPr>
        <w:t>.</w:t>
      </w:r>
    </w:p>
    <w:p w14:paraId="5B9786F1"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ويُلفت شديد (2022) إلى أن الأهمية تتّصل بضرورات الحوكمة الرشيدة، إذ تفرض الاستمرارية على المنظمات الكبرى مستويات عالية من الشفافية في تعاملاتها الشبكية والإفصاح عن مخاطرها الإمدادية، وإدماج مؤشرات الاستمرارية في تقاريرها الدورية للأطراف ذات المصلحة. ويُعزّز هذا التوجّه الثقة العامة بالمنظمة ويُدعم موقعها في الأسواق المالية والتجارية</w:t>
      </w:r>
      <w:r w:rsidRPr="00063135">
        <w:rPr>
          <w:rFonts w:ascii="Simplified Arabic" w:eastAsia="Times New Roman" w:hAnsi="Simplified Arabic" w:cs="Simplified Arabic"/>
          <w:color w:val="000000" w:themeColor="text1"/>
          <w:kern w:val="0"/>
          <w:sz w:val="28"/>
          <w:szCs w:val="28"/>
          <w:lang w:bidi="ar-EG"/>
          <w14:ligatures w14:val="none"/>
        </w:rPr>
        <w:t>.</w:t>
      </w:r>
    </w:p>
    <w:p w14:paraId="5F20A277" w14:textId="22A0EB85"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9" w:name="_Toc233923288"/>
      <w:r w:rsidRPr="00063135">
        <w:rPr>
          <w:rFonts w:ascii="Simplified Arabic" w:eastAsia="Times New Roman" w:hAnsi="Simplified Arabic" w:cs="Simplified Arabic" w:hint="cs"/>
          <w:b/>
          <w:bCs/>
          <w:color w:val="000000" w:themeColor="text1"/>
          <w:kern w:val="0"/>
          <w:sz w:val="32"/>
          <w:szCs w:val="32"/>
          <w:rtl/>
          <w14:ligatures w14:val="none"/>
        </w:rPr>
        <w:t>4.2.2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أهداف استمرارية سلسلة الإمداد في ظل الأزمات</w:t>
      </w:r>
      <w:bookmarkEnd w:id="49"/>
    </w:p>
    <w:p w14:paraId="0205A40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تسعى المنظمات من خلال تعزيز استمرارية سلاسل الإمداد إلى تحقيق جملة من الأهداف المتشعّبة والمتكاملة، تتوزّع بين أهداف تشغيلية مباشرة وأهداف استراتيجية بعيدة المدى. ويُقدّم الباحثون تصنيفات متعدّدة لهذه الأهداف تنطلق كلها من الاعتراف بمركزية سلسلة الإمداد في تحقيق قيمة المنظمة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2D731AA8"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ويُحدّد</w:t>
      </w:r>
      <w:r w:rsidRPr="00063135">
        <w:rPr>
          <w:rFonts w:ascii="Simplified Arabic" w:eastAsia="Times New Roman" w:hAnsi="Simplified Arabic" w:cs="Simplified Arabic"/>
          <w:b/>
          <w:bCs/>
          <w:color w:val="000000" w:themeColor="text1"/>
          <w:kern w:val="0"/>
          <w:sz w:val="28"/>
          <w:szCs w:val="28"/>
          <w:lang w:bidi="ar-EG"/>
          <w14:ligatures w14:val="none"/>
        </w:rPr>
        <w:t xml:space="preserve"> Mohezar et al. (2023) </w:t>
      </w:r>
      <w:r w:rsidRPr="00063135">
        <w:rPr>
          <w:rFonts w:ascii="Simplified Arabic" w:eastAsia="Times New Roman" w:hAnsi="Simplified Arabic" w:cs="Simplified Arabic"/>
          <w:b/>
          <w:bCs/>
          <w:color w:val="000000" w:themeColor="text1"/>
          <w:kern w:val="0"/>
          <w:sz w:val="28"/>
          <w:szCs w:val="28"/>
          <w:rtl/>
          <w14:ligatures w14:val="none"/>
        </w:rPr>
        <w:t>الأهداف الرئيسة لاستمرارية سلسلة الإمداد في النقاط الآتية</w:t>
      </w:r>
      <w:r w:rsidRPr="00063135">
        <w:rPr>
          <w:rFonts w:ascii="Simplified Arabic" w:eastAsia="Times New Roman" w:hAnsi="Simplified Arabic" w:cs="Simplified Arabic"/>
          <w:b/>
          <w:bCs/>
          <w:color w:val="000000" w:themeColor="text1"/>
          <w:kern w:val="0"/>
          <w:sz w:val="28"/>
          <w:szCs w:val="28"/>
          <w:lang w:bidi="ar-EG"/>
          <w14:ligatures w14:val="none"/>
        </w:rPr>
        <w:t>:</w:t>
      </w:r>
    </w:p>
    <w:p w14:paraId="33D25EA6" w14:textId="77777777" w:rsidR="006477C8" w:rsidRPr="00063135" w:rsidRDefault="006477C8" w:rsidP="00C12E12">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الحفاظ على مستويات الخدمة المقدّمة للعملاء في ظل الاضطرابات، والوفاء بمواعيد التسليم قدر الإمكان</w:t>
      </w:r>
      <w:r w:rsidRPr="00063135">
        <w:rPr>
          <w:rFonts w:ascii="Simplified Arabic" w:eastAsia="Times New Roman" w:hAnsi="Simplified Arabic" w:cs="Simplified Arabic"/>
          <w:color w:val="000000" w:themeColor="text1"/>
          <w:kern w:val="0"/>
          <w:sz w:val="28"/>
          <w:szCs w:val="28"/>
          <w:lang w:bidi="ar-EG"/>
          <w14:ligatures w14:val="none"/>
        </w:rPr>
        <w:t>.</w:t>
      </w:r>
    </w:p>
    <w:p w14:paraId="2885D8F4" w14:textId="77777777" w:rsidR="006477C8" w:rsidRPr="00063135" w:rsidRDefault="006477C8" w:rsidP="00C12E12">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تقليل مدد الانقطاع في تدفّق المواد بين حلقات السلسلة إلى أدنى قدر مستطاع</w:t>
      </w:r>
      <w:r w:rsidRPr="00063135">
        <w:rPr>
          <w:rFonts w:ascii="Simplified Arabic" w:eastAsia="Times New Roman" w:hAnsi="Simplified Arabic" w:cs="Simplified Arabic"/>
          <w:color w:val="000000" w:themeColor="text1"/>
          <w:kern w:val="0"/>
          <w:sz w:val="28"/>
          <w:szCs w:val="28"/>
          <w:lang w:bidi="ar-EG"/>
          <w14:ligatures w14:val="none"/>
        </w:rPr>
        <w:t>.</w:t>
      </w:r>
    </w:p>
    <w:p w14:paraId="31E0C988" w14:textId="77777777" w:rsidR="006477C8" w:rsidRPr="00063135" w:rsidRDefault="006477C8" w:rsidP="00C12E12">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المحافظة على مستويات المخزون في نطاق آمن يُوازن بين تكاليف الاحتفاظ ومخاطر النفاد</w:t>
      </w:r>
      <w:r w:rsidRPr="00063135">
        <w:rPr>
          <w:rFonts w:ascii="Simplified Arabic" w:eastAsia="Times New Roman" w:hAnsi="Simplified Arabic" w:cs="Simplified Arabic"/>
          <w:color w:val="000000" w:themeColor="text1"/>
          <w:kern w:val="0"/>
          <w:sz w:val="28"/>
          <w:szCs w:val="28"/>
          <w:lang w:bidi="ar-EG"/>
          <w14:ligatures w14:val="none"/>
        </w:rPr>
        <w:t>.</w:t>
      </w:r>
    </w:p>
    <w:p w14:paraId="17A0256C" w14:textId="77777777" w:rsidR="006477C8" w:rsidRPr="00063135" w:rsidRDefault="006477C8" w:rsidP="00C12E12">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تقليص التكاليف الإضافية الناجمة عن الاضطرابات كتكاليف التموين الطارئ والنقل السريع</w:t>
      </w:r>
      <w:r w:rsidRPr="00063135">
        <w:rPr>
          <w:rFonts w:ascii="Simplified Arabic" w:eastAsia="Times New Roman" w:hAnsi="Simplified Arabic" w:cs="Simplified Arabic"/>
          <w:color w:val="000000" w:themeColor="text1"/>
          <w:kern w:val="0"/>
          <w:sz w:val="28"/>
          <w:szCs w:val="28"/>
          <w:lang w:bidi="ar-EG"/>
          <w14:ligatures w14:val="none"/>
        </w:rPr>
        <w:t>.</w:t>
      </w:r>
    </w:p>
    <w:p w14:paraId="75C870DB" w14:textId="77777777" w:rsidR="006477C8" w:rsidRPr="00063135" w:rsidRDefault="006477C8" w:rsidP="00C12E12">
      <w:pPr>
        <w:pStyle w:val="ListParagraph"/>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ضمان استمرار تدفّق المعلومات بين شركاء السلسلة لدعم اتخاذ القرارات المنسّقة</w:t>
      </w:r>
      <w:r w:rsidRPr="00063135">
        <w:rPr>
          <w:rFonts w:ascii="Simplified Arabic" w:eastAsia="Times New Roman" w:hAnsi="Simplified Arabic" w:cs="Simplified Arabic"/>
          <w:color w:val="000000" w:themeColor="text1"/>
          <w:kern w:val="0"/>
          <w:sz w:val="28"/>
          <w:szCs w:val="28"/>
          <w:lang w:bidi="ar-EG"/>
          <w14:ligatures w14:val="none"/>
        </w:rPr>
        <w:t>.</w:t>
      </w:r>
    </w:p>
    <w:p w14:paraId="259E6C7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ويرى</w:t>
      </w:r>
      <w:r w:rsidRPr="00063135">
        <w:rPr>
          <w:rFonts w:ascii="Simplified Arabic" w:eastAsia="Times New Roman" w:hAnsi="Simplified Arabic" w:cs="Simplified Arabic"/>
          <w:color w:val="000000" w:themeColor="text1"/>
          <w:kern w:val="0"/>
          <w:sz w:val="28"/>
          <w:szCs w:val="28"/>
          <w:lang w:bidi="ar-EG"/>
          <w14:ligatures w14:val="none"/>
        </w:rPr>
        <w:t xml:space="preserve"> Dehghani Sadrabadi et al. (2024) </w:t>
      </w:r>
      <w:r w:rsidRPr="00063135">
        <w:rPr>
          <w:rFonts w:ascii="Simplified Arabic" w:eastAsia="Times New Roman" w:hAnsi="Simplified Arabic" w:cs="Simplified Arabic"/>
          <w:color w:val="000000" w:themeColor="text1"/>
          <w:kern w:val="0"/>
          <w:sz w:val="28"/>
          <w:szCs w:val="28"/>
          <w:rtl/>
          <w14:ligatures w14:val="none"/>
        </w:rPr>
        <w:t>أن الأهداف تمتدّ إلى مستويات استراتيجية بعيدة المدى، ويُقسّمها إلى العناصر الآتية</w:t>
      </w:r>
      <w:r w:rsidRPr="00063135">
        <w:rPr>
          <w:rFonts w:ascii="Simplified Arabic" w:eastAsia="Times New Roman" w:hAnsi="Simplified Arabic" w:cs="Simplified Arabic"/>
          <w:color w:val="000000" w:themeColor="text1"/>
          <w:kern w:val="0"/>
          <w:sz w:val="28"/>
          <w:szCs w:val="28"/>
          <w:lang w:bidi="ar-EG"/>
          <w14:ligatures w14:val="none"/>
        </w:rPr>
        <w:t>:</w:t>
      </w:r>
    </w:p>
    <w:p w14:paraId="49B48C51"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تصميم شبكات إمدادية تتّسم ببنية أكثر مقاومةً للاضطرابات من حيث توزيع الموردين والمخزون والمنافذ</w:t>
      </w:r>
      <w:r w:rsidRPr="00063135">
        <w:rPr>
          <w:rFonts w:ascii="Simplified Arabic" w:eastAsia="Times New Roman" w:hAnsi="Simplified Arabic" w:cs="Simplified Arabic"/>
          <w:color w:val="000000" w:themeColor="text1"/>
          <w:kern w:val="0"/>
          <w:sz w:val="28"/>
          <w:szCs w:val="28"/>
          <w:lang w:bidi="ar-EG"/>
          <w14:ligatures w14:val="none"/>
        </w:rPr>
        <w:t>.</w:t>
      </w:r>
    </w:p>
    <w:p w14:paraId="2E77CCE7"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تنويع مصادر التوريد بما يُقلّل من الاعتماد على مصدر واحد ويُوزّع المخاطر على شركاء متعدّدين</w:t>
      </w:r>
      <w:r w:rsidRPr="00063135">
        <w:rPr>
          <w:rFonts w:ascii="Simplified Arabic" w:eastAsia="Times New Roman" w:hAnsi="Simplified Arabic" w:cs="Simplified Arabic"/>
          <w:color w:val="000000" w:themeColor="text1"/>
          <w:kern w:val="0"/>
          <w:sz w:val="28"/>
          <w:szCs w:val="28"/>
          <w:lang w:bidi="ar-EG"/>
          <w14:ligatures w14:val="none"/>
        </w:rPr>
        <w:t>.</w:t>
      </w:r>
    </w:p>
    <w:p w14:paraId="44FC8CB7"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بناء علاقات استراتيجية طويلة الأمد مع الشركاء تُسهم في تعزيز الثقة والتنسيق في أوقات الأزمات</w:t>
      </w:r>
      <w:r w:rsidRPr="00063135">
        <w:rPr>
          <w:rFonts w:ascii="Simplified Arabic" w:eastAsia="Times New Roman" w:hAnsi="Simplified Arabic" w:cs="Simplified Arabic"/>
          <w:color w:val="000000" w:themeColor="text1"/>
          <w:kern w:val="0"/>
          <w:sz w:val="28"/>
          <w:szCs w:val="28"/>
          <w:lang w:bidi="ar-EG"/>
          <w14:ligatures w14:val="none"/>
        </w:rPr>
        <w:t>.</w:t>
      </w:r>
    </w:p>
    <w:p w14:paraId="27AF174F"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تنمية قدرات التنبؤ والاستشعار المبكّر التي تُتيح استشراف الاضطرابات قبل تصاعدها</w:t>
      </w:r>
      <w:r w:rsidRPr="00063135">
        <w:rPr>
          <w:rFonts w:ascii="Simplified Arabic" w:eastAsia="Times New Roman" w:hAnsi="Simplified Arabic" w:cs="Simplified Arabic"/>
          <w:color w:val="000000" w:themeColor="text1"/>
          <w:kern w:val="0"/>
          <w:sz w:val="28"/>
          <w:szCs w:val="28"/>
          <w:lang w:bidi="ar-EG"/>
          <w14:ligatures w14:val="none"/>
        </w:rPr>
        <w:t>.</w:t>
      </w:r>
    </w:p>
    <w:p w14:paraId="031DE87A"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تحقيق التوازن بين الكفاءة والمرونة في تصميم السلسلة بما يُلائم طبيعة القطاع والمنتج</w:t>
      </w:r>
      <w:r w:rsidRPr="00063135">
        <w:rPr>
          <w:rFonts w:ascii="Simplified Arabic" w:eastAsia="Times New Roman" w:hAnsi="Simplified Arabic" w:cs="Simplified Arabic"/>
          <w:color w:val="000000" w:themeColor="text1"/>
          <w:kern w:val="0"/>
          <w:sz w:val="28"/>
          <w:szCs w:val="28"/>
          <w:lang w:bidi="ar-EG"/>
          <w14:ligatures w14:val="none"/>
        </w:rPr>
        <w:t>.</w:t>
      </w:r>
    </w:p>
    <w:p w14:paraId="2D6C3B55"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ويُضيف</w:t>
      </w:r>
      <w:r w:rsidRPr="00063135">
        <w:rPr>
          <w:rFonts w:ascii="Simplified Arabic" w:eastAsia="Times New Roman" w:hAnsi="Simplified Arabic" w:cs="Simplified Arabic"/>
          <w:color w:val="000000" w:themeColor="text1"/>
          <w:kern w:val="0"/>
          <w:sz w:val="28"/>
          <w:szCs w:val="28"/>
          <w:lang w:bidi="ar-EG"/>
          <w14:ligatures w14:val="none"/>
        </w:rPr>
        <w:t xml:space="preserve"> Maleki Vishkaei and De Giovanni (2024) </w:t>
      </w:r>
      <w:r w:rsidRPr="00063135">
        <w:rPr>
          <w:rFonts w:ascii="Simplified Arabic" w:eastAsia="Times New Roman" w:hAnsi="Simplified Arabic" w:cs="Simplified Arabic"/>
          <w:color w:val="000000" w:themeColor="text1"/>
          <w:kern w:val="0"/>
          <w:sz w:val="28"/>
          <w:szCs w:val="28"/>
          <w:rtl/>
          <w14:ligatures w14:val="none"/>
        </w:rPr>
        <w:t>أهدافًا تتّصل بالتعلّم من الأزمات والاستفادة من دروسها، وأبرزها</w:t>
      </w:r>
      <w:r w:rsidRPr="00063135">
        <w:rPr>
          <w:rFonts w:ascii="Simplified Arabic" w:eastAsia="Times New Roman" w:hAnsi="Simplified Arabic" w:cs="Simplified Arabic"/>
          <w:color w:val="000000" w:themeColor="text1"/>
          <w:kern w:val="0"/>
          <w:sz w:val="28"/>
          <w:szCs w:val="28"/>
          <w:lang w:bidi="ar-EG"/>
          <w14:ligatures w14:val="none"/>
        </w:rPr>
        <w:t>:</w:t>
      </w:r>
    </w:p>
    <w:p w14:paraId="2C2CE966"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تحويل الأزمات إلى فرص لإعادة هندسة السلسلة وتحسين ممارساتها</w:t>
      </w:r>
      <w:r w:rsidRPr="00063135">
        <w:rPr>
          <w:rFonts w:ascii="Simplified Arabic" w:eastAsia="Times New Roman" w:hAnsi="Simplified Arabic" w:cs="Simplified Arabic"/>
          <w:color w:val="000000" w:themeColor="text1"/>
          <w:kern w:val="0"/>
          <w:sz w:val="28"/>
          <w:szCs w:val="28"/>
          <w:lang w:bidi="ar-EG"/>
          <w14:ligatures w14:val="none"/>
        </w:rPr>
        <w:t>.</w:t>
      </w:r>
    </w:p>
    <w:p w14:paraId="5202BD67"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بناء ذاكرة مؤسسية توثّق تجارب الأزمات وتُوظّفها في تطوير الجاهزية المستقبلية</w:t>
      </w:r>
      <w:r w:rsidRPr="00063135">
        <w:rPr>
          <w:rFonts w:ascii="Simplified Arabic" w:eastAsia="Times New Roman" w:hAnsi="Simplified Arabic" w:cs="Simplified Arabic"/>
          <w:color w:val="000000" w:themeColor="text1"/>
          <w:kern w:val="0"/>
          <w:sz w:val="28"/>
          <w:szCs w:val="28"/>
          <w:lang w:bidi="ar-EG"/>
          <w14:ligatures w14:val="none"/>
        </w:rPr>
        <w:t>.</w:t>
      </w:r>
    </w:p>
    <w:p w14:paraId="4E28FFF8"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تعزيز التعاون بين شركاء السلسلة من خلال المرور الجماعي بتجارب الاضطراب</w:t>
      </w:r>
      <w:r w:rsidRPr="00063135">
        <w:rPr>
          <w:rFonts w:ascii="Simplified Arabic" w:eastAsia="Times New Roman" w:hAnsi="Simplified Arabic" w:cs="Simplified Arabic"/>
          <w:color w:val="000000" w:themeColor="text1"/>
          <w:kern w:val="0"/>
          <w:sz w:val="28"/>
          <w:szCs w:val="28"/>
          <w:lang w:bidi="ar-EG"/>
          <w14:ligatures w14:val="none"/>
        </w:rPr>
        <w:t>.</w:t>
      </w:r>
    </w:p>
    <w:p w14:paraId="15F0A7FC"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تنمية الوعي المؤسسي بأهمية المرونة والتنوّع في تصميم السلسلة</w:t>
      </w:r>
      <w:r w:rsidRPr="00063135">
        <w:rPr>
          <w:rFonts w:ascii="Simplified Arabic" w:eastAsia="Times New Roman" w:hAnsi="Simplified Arabic" w:cs="Simplified Arabic"/>
          <w:color w:val="000000" w:themeColor="text1"/>
          <w:kern w:val="0"/>
          <w:sz w:val="28"/>
          <w:szCs w:val="28"/>
          <w:lang w:bidi="ar-EG"/>
          <w14:ligatures w14:val="none"/>
        </w:rPr>
        <w:t>.</w:t>
      </w:r>
    </w:p>
    <w:p w14:paraId="4C692EAF"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كما يُوسّع علاق (2023) هذه الأهداف من زاوية تقنية عبر إبرازها</w:t>
      </w:r>
      <w:r w:rsidRPr="00063135">
        <w:rPr>
          <w:rFonts w:ascii="Simplified Arabic" w:eastAsia="Times New Roman" w:hAnsi="Simplified Arabic" w:cs="Simplified Arabic"/>
          <w:b/>
          <w:bCs/>
          <w:color w:val="000000" w:themeColor="text1"/>
          <w:kern w:val="0"/>
          <w:sz w:val="28"/>
          <w:szCs w:val="28"/>
          <w:lang w:bidi="ar-EG"/>
          <w14:ligatures w14:val="none"/>
        </w:rPr>
        <w:t>:</w:t>
      </w:r>
    </w:p>
    <w:p w14:paraId="7A30DBFE"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توظيف التقنيات الحديثة كسلسلة الكتل في تعزيز الشفافية والموثوقية عبر السلسلة</w:t>
      </w:r>
      <w:r w:rsidRPr="00063135">
        <w:rPr>
          <w:rFonts w:ascii="Simplified Arabic" w:eastAsia="Times New Roman" w:hAnsi="Simplified Arabic" w:cs="Simplified Arabic"/>
          <w:color w:val="000000" w:themeColor="text1"/>
          <w:kern w:val="0"/>
          <w:sz w:val="28"/>
          <w:szCs w:val="28"/>
          <w:lang w:bidi="ar-EG"/>
          <w14:ligatures w14:val="none"/>
        </w:rPr>
        <w:t>.</w:t>
      </w:r>
    </w:p>
    <w:p w14:paraId="3F74991B"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بناء منظومات معلوماتية متكاملة تربط شركاء السلسلة وتُتيح تبادل البيانات بصورة آنية</w:t>
      </w:r>
      <w:r w:rsidRPr="00063135">
        <w:rPr>
          <w:rFonts w:ascii="Simplified Arabic" w:eastAsia="Times New Roman" w:hAnsi="Simplified Arabic" w:cs="Simplified Arabic"/>
          <w:color w:val="000000" w:themeColor="text1"/>
          <w:kern w:val="0"/>
          <w:sz w:val="28"/>
          <w:szCs w:val="28"/>
          <w:lang w:bidi="ar-EG"/>
          <w14:ligatures w14:val="none"/>
        </w:rPr>
        <w:t>.</w:t>
      </w:r>
    </w:p>
    <w:p w14:paraId="77228822" w14:textId="77777777" w:rsidR="006477C8" w:rsidRPr="00063135" w:rsidRDefault="006477C8" w:rsidP="00C12E12">
      <w:pPr>
        <w:pStyle w:val="ListParagraph"/>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استخدام التحليلات المتقدّمة في التنبؤ بالمخاطر ورصد المؤشرات المبكّرة للاضطرابات</w:t>
      </w:r>
      <w:r w:rsidRPr="00063135">
        <w:rPr>
          <w:rFonts w:ascii="Simplified Arabic" w:eastAsia="Times New Roman" w:hAnsi="Simplified Arabic" w:cs="Simplified Arabic"/>
          <w:color w:val="000000" w:themeColor="text1"/>
          <w:kern w:val="0"/>
          <w:sz w:val="28"/>
          <w:szCs w:val="28"/>
          <w:lang w:bidi="ar-EG"/>
          <w14:ligatures w14:val="none"/>
        </w:rPr>
        <w:t>.</w:t>
      </w:r>
    </w:p>
    <w:p w14:paraId="02CD6CB4" w14:textId="0F6A5625"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0" w:name="_Toc233923289"/>
      <w:r w:rsidRPr="00063135">
        <w:rPr>
          <w:rFonts w:ascii="Simplified Arabic" w:eastAsia="Times New Roman" w:hAnsi="Simplified Arabic" w:cs="Simplified Arabic" w:hint="cs"/>
          <w:b/>
          <w:bCs/>
          <w:color w:val="000000" w:themeColor="text1"/>
          <w:kern w:val="0"/>
          <w:sz w:val="32"/>
          <w:szCs w:val="32"/>
          <w:rtl/>
          <w14:ligatures w14:val="none"/>
        </w:rPr>
        <w:t>5.2.2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المداخل النظرية لاستمرارية سلسلة الإمداد</w:t>
      </w:r>
      <w:bookmarkEnd w:id="50"/>
    </w:p>
    <w:p w14:paraId="1DCFDBAE"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يُقارب</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(2022) </w:t>
      </w:r>
      <w:r w:rsidRPr="00063135">
        <w:rPr>
          <w:rFonts w:ascii="Simplified Arabic" w:eastAsia="Times New Roman" w:hAnsi="Simplified Arabic" w:cs="Simplified Arabic"/>
          <w:color w:val="000000" w:themeColor="text1"/>
          <w:kern w:val="0"/>
          <w:sz w:val="28"/>
          <w:szCs w:val="28"/>
          <w:rtl/>
          <w14:ligatures w14:val="none"/>
        </w:rPr>
        <w:t>استمرارية سلسلة الإمداد من منظور نظرية المرونة التنظيمية بوصفها إطارًا يجمع بين ثلاث قدرات جوهرية هي الاستيعاب والتكيّف والتحوّل، ويُطبّق هذا الإطار على السلسلة بمجملها لا على المنظمة الفردية، مما يُبرز الطابع الشبكي للمفهوم</w:t>
      </w:r>
      <w:r w:rsidRPr="00063135">
        <w:rPr>
          <w:rFonts w:ascii="Simplified Arabic" w:eastAsia="Times New Roman" w:hAnsi="Simplified Arabic" w:cs="Simplified Arabic"/>
          <w:color w:val="000000" w:themeColor="text1"/>
          <w:kern w:val="0"/>
          <w:sz w:val="28"/>
          <w:szCs w:val="28"/>
          <w:lang w:bidi="ar-EG"/>
          <w14:ligatures w14:val="none"/>
        </w:rPr>
        <w:t>.</w:t>
      </w:r>
    </w:p>
    <w:p w14:paraId="4A2B7515"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ومن منظور مغاير، يعتمد</w:t>
      </w:r>
      <w:r w:rsidRPr="00063135">
        <w:rPr>
          <w:rFonts w:ascii="Simplified Arabic" w:eastAsia="Times New Roman" w:hAnsi="Simplified Arabic" w:cs="Simplified Arabic"/>
          <w:color w:val="000000" w:themeColor="text1"/>
          <w:kern w:val="0"/>
          <w:sz w:val="28"/>
          <w:szCs w:val="28"/>
          <w:lang w:bidi="ar-EG"/>
          <w14:ligatures w14:val="none"/>
        </w:rPr>
        <w:t xml:space="preserve"> Namdar et al. (2021) </w:t>
      </w:r>
      <w:r w:rsidRPr="00063135">
        <w:rPr>
          <w:rFonts w:ascii="Simplified Arabic" w:eastAsia="Times New Roman" w:hAnsi="Simplified Arabic" w:cs="Simplified Arabic"/>
          <w:color w:val="000000" w:themeColor="text1"/>
          <w:kern w:val="0"/>
          <w:sz w:val="28"/>
          <w:szCs w:val="28"/>
          <w:rtl/>
          <w14:ligatures w14:val="none"/>
        </w:rPr>
        <w:t>على مدخل تصميم الشبكات الذي يجمع بين البحوث التشغيلية ونظرية الأنظمة المعقّدة، ويُنظَر إلى الاستمرارية في هذا المدخل بوصفها خاصيةً تنبثق من طريقة تصميم الشبكة ذاتها، لا مجرد استجابة ظرفية للأحداث. ويُتيح هذا المدخل فهم الاستمرارية في ضوء الخيارات البنيوية التي تتّخذها المنظمة عند بناء شبكتها الإمدادية</w:t>
      </w:r>
      <w:r w:rsidRPr="00063135">
        <w:rPr>
          <w:rFonts w:ascii="Simplified Arabic" w:eastAsia="Times New Roman" w:hAnsi="Simplified Arabic" w:cs="Simplified Arabic"/>
          <w:color w:val="000000" w:themeColor="text1"/>
          <w:kern w:val="0"/>
          <w:sz w:val="28"/>
          <w:szCs w:val="28"/>
          <w:lang w:bidi="ar-EG"/>
          <w14:ligatures w14:val="none"/>
        </w:rPr>
        <w:t>.</w:t>
      </w:r>
    </w:p>
    <w:p w14:paraId="0037936E"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ويطرح</w:t>
      </w:r>
      <w:r w:rsidRPr="00063135">
        <w:rPr>
          <w:rFonts w:ascii="Simplified Arabic" w:eastAsia="Times New Roman" w:hAnsi="Simplified Arabic" w:cs="Simplified Arabic"/>
          <w:color w:val="000000" w:themeColor="text1"/>
          <w:kern w:val="0"/>
          <w:sz w:val="28"/>
          <w:szCs w:val="28"/>
          <w:lang w:bidi="ar-EG"/>
          <w14:ligatures w14:val="none"/>
        </w:rPr>
        <w:t xml:space="preserve"> Dehghani Sadrabadi et al. (2024) </w:t>
      </w:r>
      <w:r w:rsidRPr="00063135">
        <w:rPr>
          <w:rFonts w:ascii="Simplified Arabic" w:eastAsia="Times New Roman" w:hAnsi="Simplified Arabic" w:cs="Simplified Arabic"/>
          <w:color w:val="000000" w:themeColor="text1"/>
          <w:kern w:val="0"/>
          <w:sz w:val="28"/>
          <w:szCs w:val="28"/>
          <w:rtl/>
          <w14:ligatures w14:val="none"/>
        </w:rPr>
        <w:t>مقاربةً تكامليةً تجمع بين نظرية إدارة المخاطر ونظرية الأنظمة المعقّدة التكيّفية، إذ يُنظَر إلى السلسلة بوصفها نظامًا يتفاعل ذاتيًا مع بيئته ويُطوّر قدراته من خلال التغذية المرتدّة من الأحداث التي يمرّ بها</w:t>
      </w:r>
      <w:r w:rsidRPr="00063135">
        <w:rPr>
          <w:rFonts w:ascii="Simplified Arabic" w:eastAsia="Times New Roman" w:hAnsi="Simplified Arabic" w:cs="Simplified Arabic"/>
          <w:color w:val="000000" w:themeColor="text1"/>
          <w:kern w:val="0"/>
          <w:sz w:val="28"/>
          <w:szCs w:val="28"/>
          <w:lang w:bidi="ar-EG"/>
          <w14:ligatures w14:val="none"/>
        </w:rPr>
        <w:t>.</w:t>
      </w:r>
    </w:p>
    <w:p w14:paraId="6F1F8C8B" w14:textId="36311846"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1" w:name="_Toc233923290"/>
      <w:r w:rsidRPr="00063135">
        <w:rPr>
          <w:rFonts w:ascii="Simplified Arabic" w:eastAsia="Times New Roman" w:hAnsi="Simplified Arabic" w:cs="Simplified Arabic" w:hint="cs"/>
          <w:b/>
          <w:bCs/>
          <w:color w:val="000000" w:themeColor="text1"/>
          <w:kern w:val="0"/>
          <w:sz w:val="32"/>
          <w:szCs w:val="32"/>
          <w:rtl/>
          <w14:ligatures w14:val="none"/>
        </w:rPr>
        <w:t>6.2.2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أبعاد استمرارية سلسلة الإمداد في ظل الأزمات</w:t>
      </w:r>
      <w:bookmarkEnd w:id="51"/>
    </w:p>
    <w:p w14:paraId="285FA96F"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يُقدّم الباحث في هذا الجزء استعراضًا مفصّلًا للأبعاد الجوهرية لاستمرارية سلسلة الإمداد التي تُشكّل مرجعيةً لفهم المتغير وقياسه، وقد اعتمد الباحث في تحديد هذه الأبعاد على دراسة عبدالنبي (2023) ودراسة محمد وحمودة وعيسى وعطية (2021) الخاصة بتكامل السلاسل، مع الإفادة من الأدبيات الأجنبية ذات الصلة</w:t>
      </w:r>
      <w:r w:rsidRPr="00063135">
        <w:rPr>
          <w:rFonts w:ascii="Simplified Arabic" w:eastAsia="Times New Roman" w:hAnsi="Simplified Arabic" w:cs="Simplified Arabic"/>
          <w:color w:val="000000" w:themeColor="text1"/>
          <w:kern w:val="0"/>
          <w:sz w:val="28"/>
          <w:szCs w:val="28"/>
          <w:lang w:bidi="ar-EG"/>
          <w14:ligatures w14:val="none"/>
        </w:rPr>
        <w:t>.</w:t>
      </w:r>
    </w:p>
    <w:p w14:paraId="78F3CFA0"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الأول: مرونة سلسلة الإمداد</w:t>
      </w:r>
    </w:p>
    <w:p w14:paraId="3C713831"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تُمثّل المرونة قدرة السلسلة على التكيّف مع التغيّرات المفاجئة في البيئة التشغيلية دون فقدان استقرارها الجوهري. وتتجلّى هذه المرونة في القدرة على تعديل مستويات الإنتاج بسرعة، وتغيير مسارات النقل عند الحاجة، وإعادة تخصيص الموارد بين خطوط الإنتاج المختلفة. ويُوضّح</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(2021) </w:t>
      </w:r>
      <w:r w:rsidRPr="00063135">
        <w:rPr>
          <w:rFonts w:ascii="Simplified Arabic" w:eastAsia="Times New Roman" w:hAnsi="Simplified Arabic" w:cs="Simplified Arabic"/>
          <w:color w:val="000000" w:themeColor="text1"/>
          <w:kern w:val="0"/>
          <w:sz w:val="28"/>
          <w:szCs w:val="28"/>
          <w:rtl/>
          <w14:ligatures w14:val="none"/>
        </w:rPr>
        <w:t>أن المرونة ليست خاصيةً مكتسبةً بصورة تلقائية، بل نتاج قرارات استثمارية واعية تضع مسألة الاستمرارية في صميم تصميم القدرات التشغيلية</w:t>
      </w:r>
      <w:r w:rsidRPr="00063135">
        <w:rPr>
          <w:rFonts w:ascii="Simplified Arabic" w:eastAsia="Times New Roman" w:hAnsi="Simplified Arabic" w:cs="Simplified Arabic"/>
          <w:color w:val="000000" w:themeColor="text1"/>
          <w:kern w:val="0"/>
          <w:sz w:val="28"/>
          <w:szCs w:val="28"/>
          <w:lang w:bidi="ar-EG"/>
          <w14:ligatures w14:val="none"/>
        </w:rPr>
        <w:t>.</w:t>
      </w:r>
    </w:p>
    <w:p w14:paraId="5E858E6F"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الثاني: التنوّع الشبكي</w:t>
      </w:r>
    </w:p>
    <w:p w14:paraId="44B621F9"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يُشير هذا البُعد إلى مدى تنوّع الموردين ومنافذ التوزيع والمسارات اللوجستية والأسواق التي تعمل بها السلسلة. ويُوفّر التنوّع الشبكي حاجزًا وقائيًا يحول دون تعرّض السلسلة بمجملها للانقطاع بسبب مشكلة في نقطة واحدة. ويُبرز</w:t>
      </w:r>
      <w:r w:rsidRPr="00063135">
        <w:rPr>
          <w:rFonts w:ascii="Simplified Arabic" w:eastAsia="Times New Roman" w:hAnsi="Simplified Arabic" w:cs="Simplified Arabic"/>
          <w:color w:val="000000" w:themeColor="text1"/>
          <w:kern w:val="0"/>
          <w:sz w:val="28"/>
          <w:szCs w:val="28"/>
          <w:lang w:bidi="ar-EG"/>
          <w14:ligatures w14:val="none"/>
        </w:rPr>
        <w:t xml:space="preserve"> Namdar et al. (2021) </w:t>
      </w:r>
      <w:r w:rsidRPr="00063135">
        <w:rPr>
          <w:rFonts w:ascii="Simplified Arabic" w:eastAsia="Times New Roman" w:hAnsi="Simplified Arabic" w:cs="Simplified Arabic"/>
          <w:color w:val="000000" w:themeColor="text1"/>
          <w:kern w:val="0"/>
          <w:sz w:val="28"/>
          <w:szCs w:val="28"/>
          <w:rtl/>
          <w14:ligatures w14:val="none"/>
        </w:rPr>
        <w:t>أن التنوّع يستلزم موازنةً دقيقةً بين مكاسبه الوقائية وتكاليفه الإضافية، وأن التصميم الأمثل للشبكة يستوجب حسابات دقيقة لهذا التوازن في ضوء طبيعة المنتج والأسواق المستهدفة</w:t>
      </w:r>
      <w:r w:rsidRPr="00063135">
        <w:rPr>
          <w:rFonts w:ascii="Simplified Arabic" w:eastAsia="Times New Roman" w:hAnsi="Simplified Arabic" w:cs="Simplified Arabic"/>
          <w:color w:val="000000" w:themeColor="text1"/>
          <w:kern w:val="0"/>
          <w:sz w:val="28"/>
          <w:szCs w:val="28"/>
          <w:lang w:bidi="ar-EG"/>
          <w14:ligatures w14:val="none"/>
        </w:rPr>
        <w:t>.</w:t>
      </w:r>
    </w:p>
    <w:p w14:paraId="1A422BA5"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الثالث: الرؤية والشفافية عبر السلسلة</w:t>
      </w:r>
    </w:p>
    <w:p w14:paraId="779118C7"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تعتمد الاستمرارية اعتمادًا كبيرًا على قدرة المنظمة على رؤية ما يحدث في مختلف حلقات سلسلتها بصورة آنية، ومعرفة مواقع المخزون ومستوياته، وأوضاع الشحنات في مساراتها، وأحوال المصانع والمنشآت. ويُوضّح علاق (2023) أن التقنيات الحديثة كسلسلة الكتل والاستشعار الرقمي وإنترنت الأشياء أسهمت إسهامًا جوهريًا في تعزيز هذه الرؤية، مما مكّن المنظمات من الانتقال من الاستجابة المتأخّرة إلى التدخّل الاستباقي</w:t>
      </w:r>
      <w:r w:rsidRPr="00063135">
        <w:rPr>
          <w:rFonts w:ascii="Simplified Arabic" w:eastAsia="Times New Roman" w:hAnsi="Simplified Arabic" w:cs="Simplified Arabic"/>
          <w:color w:val="000000" w:themeColor="text1"/>
          <w:kern w:val="0"/>
          <w:sz w:val="28"/>
          <w:szCs w:val="28"/>
          <w:lang w:bidi="ar-EG"/>
          <w14:ligatures w14:val="none"/>
        </w:rPr>
        <w:t>.</w:t>
      </w:r>
    </w:p>
    <w:p w14:paraId="14708135"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الرابع: التعاون والتكامل بين شركاء السلسلة</w:t>
      </w:r>
    </w:p>
    <w:p w14:paraId="3B198BEC"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lastRenderedPageBreak/>
        <w:t>يُشكّل التعاون بين حلقات السلسلة عمودًا فقريًا لاستمراريتها، إذ لا تستطيع أي حلقة منفردة أن تضمن الاستمرارية دون تنسيق مع سائر الحلقات. ويشمل هذا التعاون تبادل المعلومات في الوقت المناسب، والمشاركة في التخطيط للطوارئ، وتنسيق الاستجابات عند وقوع الأحداث. ويُبيّن محمد وحمودة وعيسى وعطية (2021) في تناولهم لتكامل السلاسل أن مستويات التكامل بين الشركاء تُوفّر بنيةً تحتيةً علاقاتيةً تُسهّل المواجهة الجماعية للأزمات، وأن هذا التكامل ينبني عبر الزمن على أساس الثقة المتبادلة والمصالح المشتركة</w:t>
      </w:r>
      <w:r w:rsidRPr="00063135">
        <w:rPr>
          <w:rFonts w:ascii="Simplified Arabic" w:eastAsia="Times New Roman" w:hAnsi="Simplified Arabic" w:cs="Simplified Arabic"/>
          <w:color w:val="000000" w:themeColor="text1"/>
          <w:kern w:val="0"/>
          <w:sz w:val="28"/>
          <w:szCs w:val="28"/>
          <w:lang w:bidi="ar-EG"/>
          <w14:ligatures w14:val="none"/>
        </w:rPr>
        <w:t>.</w:t>
      </w:r>
    </w:p>
    <w:p w14:paraId="5E19A304"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الخامس: التعافي وسرعة الاستجابة</w:t>
      </w:r>
    </w:p>
    <w:p w14:paraId="188FB8D5"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يُعبّر هذا البُعد عن قدرة السلسلة على استعادة أدائها المعياري بأسرع وقت ممكن بعد التعرّض للاضطراب. ويشمل ذلك امتلاك احتياطيات كافية من المخزون في المواقع الحرجة، وتفعيل خطط الطوارئ الجاهزة، وتنشيط قنوات التوريد البديلة، ونقل الإنتاج بين المواقع عند الحاجة. ويُبيّن</w:t>
      </w:r>
      <w:r w:rsidRPr="00063135">
        <w:rPr>
          <w:rFonts w:ascii="Simplified Arabic" w:eastAsia="Times New Roman" w:hAnsi="Simplified Arabic" w:cs="Simplified Arabic"/>
          <w:color w:val="000000" w:themeColor="text1"/>
          <w:kern w:val="0"/>
          <w:sz w:val="28"/>
          <w:szCs w:val="28"/>
          <w:lang w:bidi="ar-EG"/>
          <w14:ligatures w14:val="none"/>
        </w:rPr>
        <w:t xml:space="preserve"> Guntuka et al. (2024) </w:t>
      </w:r>
      <w:r w:rsidRPr="00063135">
        <w:rPr>
          <w:rFonts w:ascii="Simplified Arabic" w:eastAsia="Times New Roman" w:hAnsi="Simplified Arabic" w:cs="Simplified Arabic"/>
          <w:color w:val="000000" w:themeColor="text1"/>
          <w:kern w:val="0"/>
          <w:sz w:val="28"/>
          <w:szCs w:val="28"/>
          <w:rtl/>
          <w14:ligatures w14:val="none"/>
        </w:rPr>
        <w:t>أن التعافي على مستوى المنشأة يعتمد على تفاعل عوامل متعدّدة تشمل تعقيد السلسلة وممارسات إدارة الاستمرارية والقدرات القيادية للمنظمة</w:t>
      </w:r>
      <w:r w:rsidRPr="00063135">
        <w:rPr>
          <w:rFonts w:ascii="Simplified Arabic" w:eastAsia="Times New Roman" w:hAnsi="Simplified Arabic" w:cs="Simplified Arabic"/>
          <w:color w:val="000000" w:themeColor="text1"/>
          <w:kern w:val="0"/>
          <w:sz w:val="28"/>
          <w:szCs w:val="28"/>
          <w:lang w:bidi="ar-EG"/>
          <w14:ligatures w14:val="none"/>
        </w:rPr>
        <w:t>.</w:t>
      </w:r>
    </w:p>
    <w:p w14:paraId="5CB277D4" w14:textId="77777777" w:rsidR="006477C8" w:rsidRPr="00063135" w:rsidRDefault="006477C8" w:rsidP="00BE0C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lang w:bidi="ar-EG"/>
          <w14:ligatures w14:val="none"/>
        </w:rPr>
      </w:pPr>
      <w:r w:rsidRPr="00063135">
        <w:rPr>
          <w:rFonts w:ascii="Simplified Arabic" w:eastAsia="Times New Roman" w:hAnsi="Simplified Arabic" w:cs="Simplified Arabic"/>
          <w:b/>
          <w:bCs/>
          <w:color w:val="000000" w:themeColor="text1"/>
          <w:kern w:val="0"/>
          <w:sz w:val="28"/>
          <w:szCs w:val="28"/>
          <w:rtl/>
          <w14:ligatures w14:val="none"/>
        </w:rPr>
        <w:t>البُعد السادس: الابتكار والتطوير المستمر</w:t>
      </w:r>
    </w:p>
    <w:p w14:paraId="45ABDF8D"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يُضاف هذا البُعد بوصفه ركيزةً حديثةً لاستمرارية السلسلة، إذ تستوجب المتغيرات المتسارعة أن تكون السلسلة قادرةً على التطوير الذاتي المستمر وتبنّي الممارسات المبتكرة. ويشمل ذلك تبنّي التقنيات الناشئة وتحديث الأساليب التشغيلية واستكشاف نماذج أعمال جديدة تتّسم بمستويات أعلى من المرونة. ويُبرز</w:t>
      </w:r>
      <w:r w:rsidRPr="00063135">
        <w:rPr>
          <w:rFonts w:ascii="Simplified Arabic" w:eastAsia="Times New Roman" w:hAnsi="Simplified Arabic" w:cs="Simplified Arabic"/>
          <w:color w:val="000000" w:themeColor="text1"/>
          <w:kern w:val="0"/>
          <w:sz w:val="28"/>
          <w:szCs w:val="28"/>
          <w:lang w:bidi="ar-EG"/>
          <w14:ligatures w14:val="none"/>
        </w:rPr>
        <w:t xml:space="preserve"> Maleki Vishkaei and De Giovanni (2024) </w:t>
      </w:r>
      <w:r w:rsidRPr="00063135">
        <w:rPr>
          <w:rFonts w:ascii="Simplified Arabic" w:eastAsia="Times New Roman" w:hAnsi="Simplified Arabic" w:cs="Simplified Arabic"/>
          <w:color w:val="000000" w:themeColor="text1"/>
          <w:kern w:val="0"/>
          <w:sz w:val="28"/>
          <w:szCs w:val="28"/>
          <w:rtl/>
          <w14:ligatures w14:val="none"/>
        </w:rPr>
        <w:t>أن الأزمات الكبرى كجائحة كوفيد-19 دفعت السلاسل إلى إعادة النظر في ممارساتها التقليدية والانفتاح على ابتكارات كانت تُعدّ في السابق ضربًا من المخاطرة</w:t>
      </w:r>
      <w:r w:rsidRPr="00063135">
        <w:rPr>
          <w:rFonts w:ascii="Simplified Arabic" w:eastAsia="Times New Roman" w:hAnsi="Simplified Arabic" w:cs="Simplified Arabic"/>
          <w:color w:val="000000" w:themeColor="text1"/>
          <w:kern w:val="0"/>
          <w:sz w:val="28"/>
          <w:szCs w:val="28"/>
          <w:lang w:bidi="ar-EG"/>
          <w14:ligatures w14:val="none"/>
        </w:rPr>
        <w:t>.</w:t>
      </w:r>
    </w:p>
    <w:p w14:paraId="6DABEE66" w14:textId="6CC54F0F"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2" w:name="_Toc233923291"/>
      <w:r w:rsidRPr="00063135">
        <w:rPr>
          <w:rFonts w:ascii="Simplified Arabic" w:eastAsia="Times New Roman" w:hAnsi="Simplified Arabic" w:cs="Simplified Arabic" w:hint="cs"/>
          <w:b/>
          <w:bCs/>
          <w:color w:val="000000" w:themeColor="text1"/>
          <w:kern w:val="0"/>
          <w:sz w:val="32"/>
          <w:szCs w:val="32"/>
          <w:rtl/>
          <w14:ligatures w14:val="none"/>
        </w:rPr>
        <w:t>7.2.2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مؤشرات قياس استمرارية سلسلة الإمداد</w:t>
      </w:r>
      <w:bookmarkEnd w:id="52"/>
    </w:p>
    <w:p w14:paraId="77E5B883"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يُقدّم</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(2021) </w:t>
      </w:r>
      <w:r w:rsidRPr="00063135">
        <w:rPr>
          <w:rFonts w:ascii="Simplified Arabic" w:eastAsia="Times New Roman" w:hAnsi="Simplified Arabic" w:cs="Simplified Arabic"/>
          <w:color w:val="000000" w:themeColor="text1"/>
          <w:kern w:val="0"/>
          <w:sz w:val="28"/>
          <w:szCs w:val="28"/>
          <w:rtl/>
          <w14:ligatures w14:val="none"/>
        </w:rPr>
        <w:t xml:space="preserve">في معالجتهم لمكوّنات المرونة الإمدادية جملةً من المؤشرات القابلة للقياس تشمل قدرة السلسلة على الحفاظ على تدفّق المنتجات في أوقات الاضطراب، ومدى تنوّع الموردين والمسارات، ومستوى تبادل المعلومات بين الشركاء، وسرعة الاستجابة للأحداث، وقدرة التعافي المقدّرة بأزمنة </w:t>
      </w:r>
      <w:r w:rsidRPr="00063135">
        <w:rPr>
          <w:rFonts w:ascii="Simplified Arabic" w:eastAsia="Times New Roman" w:hAnsi="Simplified Arabic" w:cs="Simplified Arabic"/>
          <w:color w:val="000000" w:themeColor="text1"/>
          <w:kern w:val="0"/>
          <w:sz w:val="28"/>
          <w:szCs w:val="28"/>
          <w:rtl/>
          <w14:ligatures w14:val="none"/>
        </w:rPr>
        <w:lastRenderedPageBreak/>
        <w:t>العودة إلى المستويات المعيارية. وتُوفّر هذه المؤشرات إطارًا كميًا يُلائم دراسة استمرارية السلسلة بوصفها متغيرًا يُقاس على مستوى الشركات الكبرى</w:t>
      </w:r>
      <w:r w:rsidRPr="00063135">
        <w:rPr>
          <w:rFonts w:ascii="Simplified Arabic" w:eastAsia="Times New Roman" w:hAnsi="Simplified Arabic" w:cs="Simplified Arabic"/>
          <w:color w:val="000000" w:themeColor="text1"/>
          <w:kern w:val="0"/>
          <w:sz w:val="28"/>
          <w:szCs w:val="28"/>
          <w:lang w:bidi="ar-EG"/>
          <w14:ligatures w14:val="none"/>
        </w:rPr>
        <w:t>.</w:t>
      </w:r>
    </w:p>
    <w:p w14:paraId="42E4645D" w14:textId="61187F17" w:rsidR="006477C8" w:rsidRPr="00063135" w:rsidRDefault="00C12E12" w:rsidP="00C12E1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53" w:name="_Toc233923292"/>
      <w:r w:rsidRPr="00063135">
        <w:rPr>
          <w:rFonts w:ascii="Simplified Arabic" w:eastAsia="Times New Roman" w:hAnsi="Simplified Arabic" w:cs="Simplified Arabic" w:hint="cs"/>
          <w:b/>
          <w:bCs/>
          <w:color w:val="000000" w:themeColor="text1"/>
          <w:kern w:val="0"/>
          <w:sz w:val="32"/>
          <w:szCs w:val="32"/>
          <w:rtl/>
          <w14:ligatures w14:val="none"/>
        </w:rPr>
        <w:t>8.2.2</w:t>
      </w:r>
      <w:r w:rsidR="006477C8" w:rsidRPr="00063135">
        <w:rPr>
          <w:rFonts w:ascii="Simplified Arabic" w:eastAsia="Times New Roman" w:hAnsi="Simplified Arabic" w:cs="Simplified Arabic"/>
          <w:b/>
          <w:bCs/>
          <w:color w:val="000000" w:themeColor="text1"/>
          <w:kern w:val="0"/>
          <w:sz w:val="32"/>
          <w:szCs w:val="32"/>
          <w:rtl/>
          <w14:ligatures w14:val="none"/>
        </w:rPr>
        <w:t xml:space="preserve"> العلاقة بين خطط استمرارية الأعمال واستمرارية سلسلة الإمداد</w:t>
      </w:r>
      <w:bookmarkEnd w:id="53"/>
    </w:p>
    <w:p w14:paraId="4EEB177B" w14:textId="77777777" w:rsidR="006477C8" w:rsidRPr="00063135" w:rsidRDefault="006477C8" w:rsidP="00C12E1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063135">
        <w:rPr>
          <w:rFonts w:ascii="Simplified Arabic" w:eastAsia="Times New Roman" w:hAnsi="Simplified Arabic" w:cs="Simplified Arabic"/>
          <w:color w:val="000000" w:themeColor="text1"/>
          <w:kern w:val="0"/>
          <w:sz w:val="28"/>
          <w:szCs w:val="28"/>
          <w:rtl/>
          <w14:ligatures w14:val="none"/>
        </w:rPr>
        <w:t>تنطلق الدراسة الحالية من افتراض جوهري مفاده أن خطط استمرارية الأعمال تُشكّل عاملًا مؤثّرًا في استمرارية سلسلة الإمداد. ويُوفّر</w:t>
      </w:r>
      <w:r w:rsidRPr="00063135">
        <w:rPr>
          <w:rFonts w:ascii="Simplified Arabic" w:eastAsia="Times New Roman" w:hAnsi="Simplified Arabic" w:cs="Simplified Arabic"/>
          <w:color w:val="000000" w:themeColor="text1"/>
          <w:kern w:val="0"/>
          <w:sz w:val="28"/>
          <w:szCs w:val="28"/>
          <w:lang w:bidi="ar-EG"/>
          <w14:ligatures w14:val="none"/>
        </w:rPr>
        <w:t xml:space="preserve"> Riglietti et al. (2022) </w:t>
      </w:r>
      <w:r w:rsidRPr="00063135">
        <w:rPr>
          <w:rFonts w:ascii="Simplified Arabic" w:eastAsia="Times New Roman" w:hAnsi="Simplified Arabic" w:cs="Simplified Arabic"/>
          <w:color w:val="000000" w:themeColor="text1"/>
          <w:kern w:val="0"/>
          <w:sz w:val="28"/>
          <w:szCs w:val="28"/>
          <w:rtl/>
          <w14:ligatures w14:val="none"/>
        </w:rPr>
        <w:t>في معالجتهم النوعية لمساهمة إدارة استمرارية الأعمال في مرونة السلسلة إطارًا تحليليًا لهذه العلاقة، من خلال إبراز كيف تنعكس الممارسات المؤسسية للاستمرارية على قدرة السلسلة الشاملة. ويُقدّم</w:t>
      </w:r>
      <w:r w:rsidRPr="00063135">
        <w:rPr>
          <w:rFonts w:ascii="Simplified Arabic" w:eastAsia="Times New Roman" w:hAnsi="Simplified Arabic" w:cs="Simplified Arabic"/>
          <w:color w:val="000000" w:themeColor="text1"/>
          <w:kern w:val="0"/>
          <w:sz w:val="28"/>
          <w:szCs w:val="28"/>
          <w:lang w:bidi="ar-EG"/>
          <w14:ligatures w14:val="none"/>
        </w:rPr>
        <w:t xml:space="preserve"> Guntuka et al. (2024) </w:t>
      </w:r>
      <w:r w:rsidRPr="00063135">
        <w:rPr>
          <w:rFonts w:ascii="Simplified Arabic" w:eastAsia="Times New Roman" w:hAnsi="Simplified Arabic" w:cs="Simplified Arabic"/>
          <w:color w:val="000000" w:themeColor="text1"/>
          <w:kern w:val="0"/>
          <w:sz w:val="28"/>
          <w:szCs w:val="28"/>
          <w:rtl/>
          <w14:ligatures w14:val="none"/>
        </w:rPr>
        <w:t>قراءةً تُبرز كيف يُتيح تبنّي المنظمة لممارسات استمرارية الأعمال تحسين قدرتها على التعافي من الاضطرابات على مستوى المنشأة، مع مراعاة تعقيد السلسلة عاملًا مؤثّرًا في هذه العلاقة</w:t>
      </w:r>
      <w:r w:rsidRPr="00063135">
        <w:rPr>
          <w:rFonts w:ascii="Simplified Arabic" w:eastAsia="Times New Roman" w:hAnsi="Simplified Arabic" w:cs="Simplified Arabic"/>
          <w:color w:val="000000" w:themeColor="text1"/>
          <w:kern w:val="0"/>
          <w:sz w:val="28"/>
          <w:szCs w:val="28"/>
          <w:lang w:bidi="ar-EG"/>
          <w14:ligatures w14:val="none"/>
        </w:rPr>
        <w:t>.</w:t>
      </w:r>
    </w:p>
    <w:p w14:paraId="3DA391AF" w14:textId="67C76968" w:rsidR="00EA3235" w:rsidRPr="00063135" w:rsidRDefault="00C12E12" w:rsidP="002A75B8">
      <w:pPr>
        <w:jc w:val="center"/>
        <w:outlineLvl w:val="0"/>
        <w:rPr>
          <w:rFonts w:ascii="Simplified Arabic" w:hAnsi="Simplified Arabic" w:cs="Simplified Arabic"/>
          <w:b/>
          <w:bCs/>
          <w:color w:val="000000" w:themeColor="text1"/>
          <w:szCs w:val="28"/>
          <w:rtl/>
        </w:rPr>
        <w:sectPr w:rsidR="00EA3235" w:rsidRPr="00063135" w:rsidSect="005E5CFA">
          <w:footerReference w:type="default" r:id="rId9"/>
          <w:pgSz w:w="11906" w:h="16838" w:code="9"/>
          <w:pgMar w:top="1134" w:right="1701" w:bottom="1134" w:left="1134" w:header="720" w:footer="720" w:gutter="0"/>
          <w:pgNumType w:start="1"/>
          <w:cols w:space="708"/>
          <w:bidi/>
          <w:rtlGutter/>
          <w:docGrid w:linePitch="360"/>
        </w:sectPr>
      </w:pPr>
      <w:r w:rsidRPr="00063135">
        <w:rPr>
          <w:rFonts w:ascii="Simplified Arabic" w:eastAsia="Times New Roman" w:hAnsi="Simplified Arabic" w:cs="Simplified Arabic"/>
          <w:b/>
          <w:bCs/>
          <w:color w:val="000000" w:themeColor="text1"/>
          <w:kern w:val="0"/>
          <w:sz w:val="40"/>
          <w:szCs w:val="40"/>
          <w:rtl/>
          <w14:ligatures w14:val="none"/>
        </w:rPr>
        <w:br w:type="page"/>
      </w:r>
      <w:bookmarkStart w:id="54" w:name="_GoBack"/>
      <w:bookmarkEnd w:id="24"/>
      <w:bookmarkEnd w:id="54"/>
    </w:p>
    <w:p w14:paraId="29D4231B" w14:textId="3C227B82" w:rsidR="0081623B" w:rsidRPr="00063135" w:rsidRDefault="00E27D3B" w:rsidP="00BE0CA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63135">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49C0CAAE">
            <wp:simplePos x="0" y="0"/>
            <wp:positionH relativeFrom="column">
              <wp:posOffset>4263390</wp:posOffset>
            </wp:positionH>
            <wp:positionV relativeFrom="paragraph">
              <wp:posOffset>0</wp:posOffset>
            </wp:positionV>
            <wp:extent cx="1377315" cy="1275715"/>
            <wp:effectExtent l="0" t="0" r="0" b="635"/>
            <wp:wrapTight wrapText="bothSides">
              <wp:wrapPolygon edited="0">
                <wp:start x="0" y="0"/>
                <wp:lineTo x="0" y="21288"/>
                <wp:lineTo x="21212" y="21288"/>
                <wp:lineTo x="2121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77315" cy="127571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063135">
        <w:rPr>
          <w:rFonts w:asciiTheme="majorBidi" w:eastAsia="Calibri" w:hAnsiTheme="majorBidi" w:cstheme="majorBidi"/>
          <w:b/>
          <w:bCs/>
          <w:color w:val="000000" w:themeColor="text1"/>
          <w:kern w:val="0"/>
          <w:sz w:val="32"/>
          <w:szCs w:val="32"/>
          <w:lang w:bidi="ar-EG"/>
          <w14:ligatures w14:val="none"/>
        </w:rPr>
        <w:t>Mid</w:t>
      </w:r>
      <w:r w:rsidR="000D353F" w:rsidRPr="00063135">
        <w:rPr>
          <w:rFonts w:asciiTheme="majorBidi" w:eastAsia="Calibri" w:hAnsiTheme="majorBidi" w:cstheme="majorBidi"/>
          <w:b/>
          <w:bCs/>
          <w:color w:val="000000" w:themeColor="text1"/>
          <w:kern w:val="0"/>
          <w:sz w:val="32"/>
          <w:szCs w:val="32"/>
          <w:lang w:bidi="ar-EG"/>
          <w14:ligatures w14:val="none"/>
        </w:rPr>
        <w:t xml:space="preserve"> </w:t>
      </w:r>
      <w:r w:rsidR="0081623B" w:rsidRPr="00063135">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063135" w:rsidRDefault="0081623B" w:rsidP="00BE0CA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063135">
        <w:rPr>
          <w:rFonts w:asciiTheme="majorBidi" w:eastAsia="Calibri" w:hAnsiTheme="majorBidi" w:cstheme="majorBidi"/>
          <w:b/>
          <w:bCs/>
          <w:color w:val="000000" w:themeColor="text1"/>
          <w:kern w:val="0"/>
          <w:sz w:val="32"/>
          <w:szCs w:val="32"/>
          <w:lang w:bidi="ar-EG"/>
          <w14:ligatures w14:val="none"/>
        </w:rPr>
        <w:t>College of Management</w:t>
      </w:r>
    </w:p>
    <w:p w14:paraId="0479A04F" w14:textId="5BE90D26" w:rsidR="0081623B" w:rsidRPr="00063135" w:rsidRDefault="00857739" w:rsidP="00BE0CA7">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063135">
        <w:rPr>
          <w:rFonts w:asciiTheme="majorBidi" w:eastAsia="Calibri" w:hAnsiTheme="majorBidi" w:cstheme="majorBidi"/>
          <w:b/>
          <w:bCs/>
          <w:color w:val="000000" w:themeColor="text1"/>
          <w:kern w:val="0"/>
          <w:sz w:val="32"/>
          <w:szCs w:val="32"/>
          <w:lang w:bidi="ar-EG"/>
          <w14:ligatures w14:val="none"/>
        </w:rPr>
        <w:t xml:space="preserve">Department of </w:t>
      </w:r>
      <w:r w:rsidR="00FC6D22" w:rsidRPr="00063135">
        <w:rPr>
          <w:rFonts w:asciiTheme="majorBidi" w:eastAsia="Calibri" w:hAnsiTheme="majorBidi" w:cstheme="majorBidi"/>
          <w:b/>
          <w:bCs/>
          <w:color w:val="000000" w:themeColor="text1"/>
          <w:kern w:val="0"/>
          <w:sz w:val="32"/>
          <w:szCs w:val="32"/>
          <w14:ligatures w14:val="none"/>
        </w:rPr>
        <w:t>risk management</w:t>
      </w:r>
    </w:p>
    <w:p w14:paraId="0CBE22B0" w14:textId="77777777" w:rsidR="00CC6261" w:rsidRPr="00063135" w:rsidRDefault="00CC6261" w:rsidP="00BE0CA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50E173A" w14:textId="66E5F5F1" w:rsidR="005F4C3D" w:rsidRPr="00063135" w:rsidRDefault="005F4C3D" w:rsidP="00EA3235">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063135">
        <w:rPr>
          <w:rFonts w:asciiTheme="majorBidi" w:eastAsia="Calibri" w:hAnsiTheme="majorBidi" w:cstheme="majorBidi"/>
          <w:b/>
          <w:bCs/>
          <w:color w:val="000000" w:themeColor="text1"/>
          <w:kern w:val="0"/>
          <w:sz w:val="40"/>
          <w:szCs w:val="40"/>
          <w:lang w:bidi="ar-EG"/>
          <w14:ligatures w14:val="none"/>
        </w:rPr>
        <w:t xml:space="preserve">The Impact of Business Continuity Plans on Supply Chain Continuity </w:t>
      </w:r>
      <w:r w:rsidR="00EA3235" w:rsidRPr="00063135">
        <w:rPr>
          <w:rFonts w:asciiTheme="majorBidi" w:eastAsia="Calibri" w:hAnsiTheme="majorBidi" w:cstheme="majorBidi"/>
          <w:b/>
          <w:bCs/>
          <w:color w:val="000000" w:themeColor="text1"/>
          <w:kern w:val="0"/>
          <w:sz w:val="40"/>
          <w:szCs w:val="40"/>
          <w:lang w:bidi="ar-EG"/>
          <w14:ligatures w14:val="none"/>
        </w:rPr>
        <w:t>during</w:t>
      </w:r>
      <w:r w:rsidRPr="00063135">
        <w:rPr>
          <w:rFonts w:asciiTheme="majorBidi" w:eastAsia="Calibri" w:hAnsiTheme="majorBidi" w:cstheme="majorBidi"/>
          <w:b/>
          <w:bCs/>
          <w:color w:val="000000" w:themeColor="text1"/>
          <w:kern w:val="0"/>
          <w:sz w:val="40"/>
          <w:szCs w:val="40"/>
          <w:lang w:bidi="ar-EG"/>
          <w14:ligatures w14:val="none"/>
        </w:rPr>
        <w:t xml:space="preserve"> Crises: A Field Study on Major Corporations in the Kingdom of Saudi Arabia</w:t>
      </w:r>
    </w:p>
    <w:p w14:paraId="24532F5F" w14:textId="2A074C7D" w:rsidR="000D353F" w:rsidRPr="00063135" w:rsidRDefault="000D353F" w:rsidP="00EA323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63135">
        <w:rPr>
          <w:rFonts w:asciiTheme="majorBidi" w:eastAsia="Calibri" w:hAnsiTheme="majorBidi" w:cstheme="majorBidi"/>
          <w:b/>
          <w:bCs/>
          <w:color w:val="000000" w:themeColor="text1"/>
          <w:kern w:val="0"/>
          <w:sz w:val="36"/>
          <w:szCs w:val="36"/>
          <w:lang w:bidi="ar-EG"/>
          <w14:ligatures w14:val="none"/>
        </w:rPr>
        <w:t>Prepared by:</w:t>
      </w:r>
    </w:p>
    <w:p w14:paraId="1EA2342A" w14:textId="77777777" w:rsidR="0059246F" w:rsidRPr="00063135" w:rsidRDefault="0059246F" w:rsidP="00EA323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63135">
        <w:rPr>
          <w:rFonts w:asciiTheme="majorBidi" w:eastAsia="Calibri" w:hAnsiTheme="majorBidi" w:cstheme="majorBidi"/>
          <w:color w:val="000000" w:themeColor="text1"/>
          <w:kern w:val="0"/>
          <w:sz w:val="36"/>
          <w:szCs w:val="36"/>
          <w14:ligatures w14:val="none"/>
        </w:rPr>
        <w:t>Abdullah Ibrahim Al-Ammar</w:t>
      </w:r>
    </w:p>
    <w:p w14:paraId="14A09E81" w14:textId="01B883BA" w:rsidR="0059246F" w:rsidRPr="00063135" w:rsidRDefault="0059246F" w:rsidP="00EA323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063135">
        <w:rPr>
          <w:rFonts w:asciiTheme="majorBidi" w:eastAsia="Calibri" w:hAnsiTheme="majorBidi" w:cstheme="majorBidi"/>
          <w:color w:val="000000" w:themeColor="text1"/>
          <w:kern w:val="0"/>
          <w:sz w:val="36"/>
          <w:szCs w:val="36"/>
          <w:lang w:bidi="ar-EG"/>
          <w14:ligatures w14:val="none"/>
        </w:rPr>
        <w:t>253002382</w:t>
      </w:r>
    </w:p>
    <w:p w14:paraId="3142FB98"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A3235" w:rsidRPr="00063135" w14:paraId="70B058AB" w14:textId="77777777" w:rsidTr="00EA3235">
        <w:tc>
          <w:tcPr>
            <w:tcW w:w="4530" w:type="dxa"/>
          </w:tcPr>
          <w:p w14:paraId="34EDED30"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63135">
              <w:rPr>
                <w:rFonts w:asciiTheme="majorBidi" w:eastAsia="Calibri" w:hAnsiTheme="majorBidi" w:cstheme="majorBidi"/>
                <w:b/>
                <w:bCs/>
                <w:color w:val="000000" w:themeColor="text1"/>
                <w:kern w:val="0"/>
                <w:sz w:val="36"/>
                <w:szCs w:val="36"/>
                <w:lang w:bidi="ar-EG"/>
                <w14:ligatures w14:val="none"/>
              </w:rPr>
              <w:t>Main supervisor</w:t>
            </w:r>
            <w:r w:rsidRPr="00063135">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6B108EE"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63135">
              <w:rPr>
                <w:rFonts w:asciiTheme="majorBidi" w:eastAsia="Calibri" w:hAnsiTheme="majorBidi" w:cstheme="majorBidi"/>
                <w:b/>
                <w:bCs/>
                <w:color w:val="000000" w:themeColor="text1"/>
                <w:kern w:val="0"/>
                <w:sz w:val="36"/>
                <w:szCs w:val="36"/>
                <w:lang w:bidi="ar-EG"/>
                <w14:ligatures w14:val="none"/>
              </w:rPr>
              <w:t>Second supervisor</w:t>
            </w:r>
            <w:r w:rsidRPr="00063135">
              <w:rPr>
                <w:rFonts w:asciiTheme="majorBidi" w:eastAsia="Calibri" w:hAnsiTheme="majorBidi" w:cstheme="majorBidi"/>
                <w:b/>
                <w:bCs/>
                <w:color w:val="000000" w:themeColor="text1"/>
                <w:kern w:val="0"/>
                <w:sz w:val="36"/>
                <w:szCs w:val="36"/>
                <w:rtl/>
                <w:lang w:bidi="ar-EG"/>
                <w14:ligatures w14:val="none"/>
              </w:rPr>
              <w:t>/</w:t>
            </w:r>
          </w:p>
        </w:tc>
      </w:tr>
      <w:tr w:rsidR="00EA3235" w:rsidRPr="00063135" w14:paraId="5D986BFA" w14:textId="77777777" w:rsidTr="00EA3235">
        <w:tc>
          <w:tcPr>
            <w:tcW w:w="4530" w:type="dxa"/>
          </w:tcPr>
          <w:p w14:paraId="38467987"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63135">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2B10EFB"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063135">
              <w:rPr>
                <w:rFonts w:asciiTheme="majorBidi" w:eastAsia="Calibri" w:hAnsiTheme="majorBidi" w:cstheme="majorBidi"/>
                <w:color w:val="000000" w:themeColor="text1"/>
                <w:kern w:val="0"/>
                <w:sz w:val="36"/>
                <w:szCs w:val="36"/>
                <w:lang w:bidi="ar-EG"/>
                <w14:ligatures w14:val="none"/>
              </w:rPr>
              <w:t>Dr. Fayez Jarad</w:t>
            </w:r>
          </w:p>
        </w:tc>
      </w:tr>
    </w:tbl>
    <w:p w14:paraId="3B7349E3"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0E661CE" w14:textId="77777777" w:rsidR="00EA3235" w:rsidRPr="00063135" w:rsidRDefault="00EA3235" w:rsidP="00EA3235">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063135">
        <w:rPr>
          <w:rFonts w:asciiTheme="majorBidi" w:eastAsia="Calibri" w:hAnsiTheme="majorBidi" w:cstheme="majorBidi"/>
          <w:color w:val="000000" w:themeColor="text1"/>
          <w:kern w:val="0"/>
          <w:sz w:val="36"/>
          <w:szCs w:val="36"/>
          <w:rtl/>
          <w:lang w:bidi="ar-EG"/>
          <w14:ligatures w14:val="none"/>
        </w:rPr>
        <w:t>1448 – 2026</w:t>
      </w:r>
    </w:p>
    <w:p w14:paraId="44636A33" w14:textId="77777777" w:rsidR="00EA3235" w:rsidRPr="00063135" w:rsidRDefault="00EA3235" w:rsidP="00EA3235">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p w14:paraId="22130D90" w14:textId="77777777" w:rsidR="005F4C3D" w:rsidRPr="00063135" w:rsidRDefault="005F4C3D" w:rsidP="00BE0CA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11E2351E" w14:textId="77777777" w:rsidR="005F4C3D" w:rsidRPr="00063135" w:rsidRDefault="005F4C3D" w:rsidP="00BE0CA7">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1F18FA91" w:rsidR="009125CE" w:rsidRPr="00063135" w:rsidRDefault="009125CE" w:rsidP="00BE0CA7">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063135" w:rsidSect="005E5CFA">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F9F42D" w14:textId="77777777" w:rsidR="002310E6" w:rsidRDefault="002310E6" w:rsidP="009125CE">
      <w:pPr>
        <w:spacing w:after="0" w:line="240" w:lineRule="auto"/>
      </w:pPr>
      <w:r>
        <w:separator/>
      </w:r>
    </w:p>
  </w:endnote>
  <w:endnote w:type="continuationSeparator" w:id="0">
    <w:p w14:paraId="41BFD64C" w14:textId="77777777" w:rsidR="002310E6" w:rsidRDefault="002310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055123439"/>
      <w:docPartObj>
        <w:docPartGallery w:val="Page Numbers (Bottom of Page)"/>
        <w:docPartUnique/>
      </w:docPartObj>
    </w:sdtPr>
    <w:sdtEndPr>
      <w:rPr>
        <w:noProof/>
      </w:rPr>
    </w:sdtEndPr>
    <w:sdtContent>
      <w:p w14:paraId="0D4DA84B" w14:textId="77777777" w:rsidR="00EA3235" w:rsidRPr="005E5CFA" w:rsidRDefault="00EA3235" w:rsidP="005E5CFA">
        <w:pPr>
          <w:pStyle w:val="Footer"/>
          <w:tabs>
            <w:tab w:val="left" w:pos="4355"/>
            <w:tab w:val="center" w:pos="4535"/>
          </w:tabs>
          <w:rPr>
            <w:rFonts w:ascii="Simplified Arabic" w:hAnsi="Simplified Arabic" w:cs="Simplified Arabic"/>
            <w:b/>
            <w:bCs/>
            <w:sz w:val="24"/>
            <w:szCs w:val="24"/>
          </w:rPr>
        </w:pPr>
        <w:r w:rsidRPr="005E5CFA">
          <w:rPr>
            <w:rFonts w:ascii="Simplified Arabic" w:hAnsi="Simplified Arabic" w:cs="Simplified Arabic"/>
            <w:b/>
            <w:bCs/>
            <w:sz w:val="24"/>
            <w:szCs w:val="24"/>
            <w:rtl/>
          </w:rPr>
          <w:tab/>
        </w:r>
        <w:r w:rsidRPr="005E5CFA">
          <w:rPr>
            <w:rFonts w:ascii="Simplified Arabic" w:hAnsi="Simplified Arabic" w:cs="Simplified Arabic"/>
            <w:b/>
            <w:bCs/>
            <w:sz w:val="24"/>
            <w:szCs w:val="24"/>
            <w:rtl/>
          </w:rPr>
          <w:tab/>
        </w:r>
        <w:r w:rsidRPr="005E5CFA">
          <w:rPr>
            <w:rFonts w:ascii="Simplified Arabic" w:hAnsi="Simplified Arabic" w:cs="Simplified Arabic"/>
            <w:b/>
            <w:bCs/>
            <w:sz w:val="24"/>
            <w:szCs w:val="24"/>
            <w:rtl/>
          </w:rPr>
          <w:tab/>
        </w:r>
        <w:r w:rsidRPr="005E5CFA">
          <w:rPr>
            <w:rFonts w:ascii="Simplified Arabic" w:hAnsi="Simplified Arabic" w:cs="Simplified Arabic"/>
            <w:b/>
            <w:bCs/>
            <w:sz w:val="24"/>
            <w:szCs w:val="24"/>
          </w:rPr>
          <w:fldChar w:fldCharType="begin"/>
        </w:r>
        <w:r w:rsidRPr="005E5CFA">
          <w:rPr>
            <w:rFonts w:ascii="Simplified Arabic" w:hAnsi="Simplified Arabic" w:cs="Simplified Arabic"/>
            <w:b/>
            <w:bCs/>
            <w:sz w:val="24"/>
            <w:szCs w:val="24"/>
          </w:rPr>
          <w:instrText xml:space="preserve"> PAGE   \* MERGEFORMAT </w:instrText>
        </w:r>
        <w:r w:rsidRPr="005E5CFA">
          <w:rPr>
            <w:rFonts w:ascii="Simplified Arabic" w:hAnsi="Simplified Arabic" w:cs="Simplified Arabic"/>
            <w:b/>
            <w:bCs/>
            <w:sz w:val="24"/>
            <w:szCs w:val="24"/>
          </w:rPr>
          <w:fldChar w:fldCharType="separate"/>
        </w:r>
        <w:r w:rsidR="002A75B8">
          <w:rPr>
            <w:rFonts w:ascii="Simplified Arabic" w:hAnsi="Simplified Arabic" w:cs="Simplified Arabic"/>
            <w:b/>
            <w:bCs/>
            <w:noProof/>
            <w:sz w:val="24"/>
            <w:szCs w:val="24"/>
            <w:rtl/>
          </w:rPr>
          <w:t>37</w:t>
        </w:r>
        <w:r w:rsidRPr="005E5CFA">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26557E" w14:textId="30E5789A" w:rsidR="00EA3235" w:rsidRPr="005E5CFA" w:rsidRDefault="00EA3235" w:rsidP="00EA3235">
    <w:pPr>
      <w:pStyle w:val="Footer"/>
      <w:tabs>
        <w:tab w:val="left" w:pos="4355"/>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EEA0C5" w14:textId="77777777" w:rsidR="002310E6" w:rsidRDefault="002310E6" w:rsidP="009125CE">
      <w:pPr>
        <w:spacing w:after="0" w:line="240" w:lineRule="auto"/>
      </w:pPr>
      <w:r>
        <w:separator/>
      </w:r>
    </w:p>
  </w:footnote>
  <w:footnote w:type="continuationSeparator" w:id="0">
    <w:p w14:paraId="112D070B" w14:textId="77777777" w:rsidR="002310E6" w:rsidRDefault="002310E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71CDA"/>
    <w:multiLevelType w:val="hybridMultilevel"/>
    <w:tmpl w:val="701C6168"/>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0C66F8"/>
    <w:multiLevelType w:val="hybridMultilevel"/>
    <w:tmpl w:val="456A6B9E"/>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6F32DC"/>
    <w:multiLevelType w:val="multilevel"/>
    <w:tmpl w:val="E0F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4E1604"/>
    <w:multiLevelType w:val="multilevel"/>
    <w:tmpl w:val="9418CBB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4CB0641"/>
    <w:multiLevelType w:val="hybridMultilevel"/>
    <w:tmpl w:val="56821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1E7986"/>
    <w:multiLevelType w:val="multilevel"/>
    <w:tmpl w:val="93DE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32EA4"/>
    <w:multiLevelType w:val="multilevel"/>
    <w:tmpl w:val="1DD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365635"/>
    <w:multiLevelType w:val="multilevel"/>
    <w:tmpl w:val="D5A83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0E015D"/>
    <w:multiLevelType w:val="multilevel"/>
    <w:tmpl w:val="F7EE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230410"/>
    <w:multiLevelType w:val="hybridMultilevel"/>
    <w:tmpl w:val="38880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A34371"/>
    <w:multiLevelType w:val="multilevel"/>
    <w:tmpl w:val="0E04F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31825FD"/>
    <w:multiLevelType w:val="hybridMultilevel"/>
    <w:tmpl w:val="3C4202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7AF55E3"/>
    <w:multiLevelType w:val="hybridMultilevel"/>
    <w:tmpl w:val="77383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92B4167"/>
    <w:multiLevelType w:val="hybridMultilevel"/>
    <w:tmpl w:val="83F499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0CC7A70"/>
    <w:multiLevelType w:val="multilevel"/>
    <w:tmpl w:val="B634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49073DF"/>
    <w:multiLevelType w:val="multilevel"/>
    <w:tmpl w:val="1DCC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B732D4"/>
    <w:multiLevelType w:val="hybridMultilevel"/>
    <w:tmpl w:val="7900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4134C1"/>
    <w:multiLevelType w:val="multilevel"/>
    <w:tmpl w:val="049AD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E13504"/>
    <w:multiLevelType w:val="multilevel"/>
    <w:tmpl w:val="2DA0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665780"/>
    <w:multiLevelType w:val="hybridMultilevel"/>
    <w:tmpl w:val="14541942"/>
    <w:lvl w:ilvl="0" w:tplc="04090001">
      <w:start w:val="1"/>
      <w:numFmt w:val="bullet"/>
      <w:lvlText w:val=""/>
      <w:lvlJc w:val="left"/>
      <w:pPr>
        <w:ind w:left="2203" w:hanging="360"/>
      </w:pPr>
      <w:rPr>
        <w:rFonts w:ascii="Symbol" w:hAnsi="Symbol" w:hint="default"/>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21">
    <w:nsid w:val="33C955E1"/>
    <w:multiLevelType w:val="hybridMultilevel"/>
    <w:tmpl w:val="DDD61C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6C53D8"/>
    <w:multiLevelType w:val="multilevel"/>
    <w:tmpl w:val="B03E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0153D3"/>
    <w:multiLevelType w:val="multilevel"/>
    <w:tmpl w:val="FC2E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DC59BA"/>
    <w:multiLevelType w:val="multilevel"/>
    <w:tmpl w:val="E6C0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AC70F4"/>
    <w:multiLevelType w:val="hybridMultilevel"/>
    <w:tmpl w:val="21FAFCF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536744D"/>
    <w:multiLevelType w:val="hybridMultilevel"/>
    <w:tmpl w:val="EB329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0D3D6D"/>
    <w:multiLevelType w:val="multilevel"/>
    <w:tmpl w:val="7D86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9947CD2"/>
    <w:multiLevelType w:val="hybridMultilevel"/>
    <w:tmpl w:val="B31A8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9A17A79"/>
    <w:multiLevelType w:val="hybridMultilevel"/>
    <w:tmpl w:val="6E90E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E524EE"/>
    <w:multiLevelType w:val="multilevel"/>
    <w:tmpl w:val="0E32C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CB630A7"/>
    <w:multiLevelType w:val="hybridMultilevel"/>
    <w:tmpl w:val="53C2CBD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B87CAA"/>
    <w:multiLevelType w:val="hybridMultilevel"/>
    <w:tmpl w:val="EA9E4D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0482564"/>
    <w:multiLevelType w:val="hybridMultilevel"/>
    <w:tmpl w:val="49B062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873DCB"/>
    <w:multiLevelType w:val="hybridMultilevel"/>
    <w:tmpl w:val="866C71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3BE2F4A"/>
    <w:multiLevelType w:val="hybridMultilevel"/>
    <w:tmpl w:val="A980FF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AD5AA5"/>
    <w:multiLevelType w:val="multilevel"/>
    <w:tmpl w:val="8D8E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nsid w:val="67AD1A3C"/>
    <w:multiLevelType w:val="hybridMultilevel"/>
    <w:tmpl w:val="C22485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99422D1"/>
    <w:multiLevelType w:val="hybridMultilevel"/>
    <w:tmpl w:val="C5D876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6E4D499D"/>
    <w:multiLevelType w:val="multilevel"/>
    <w:tmpl w:val="A6CA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F987026"/>
    <w:multiLevelType w:val="hybridMultilevel"/>
    <w:tmpl w:val="5A422D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0C16149"/>
    <w:multiLevelType w:val="multilevel"/>
    <w:tmpl w:val="E0CA3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1522AEE"/>
    <w:multiLevelType w:val="hybridMultilevel"/>
    <w:tmpl w:val="3E3044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742D2A19"/>
    <w:multiLevelType w:val="multilevel"/>
    <w:tmpl w:val="8AC8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DE5DB2"/>
    <w:multiLevelType w:val="hybridMultilevel"/>
    <w:tmpl w:val="7ED8B7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1F2E52"/>
    <w:multiLevelType w:val="multilevel"/>
    <w:tmpl w:val="51DC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692CE9"/>
    <w:multiLevelType w:val="hybridMultilevel"/>
    <w:tmpl w:val="35E862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7F35767A"/>
    <w:multiLevelType w:val="hybridMultilevel"/>
    <w:tmpl w:val="0874BA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40"/>
  </w:num>
  <w:num w:numId="3">
    <w:abstractNumId w:val="36"/>
  </w:num>
  <w:num w:numId="4">
    <w:abstractNumId w:val="2"/>
  </w:num>
  <w:num w:numId="5">
    <w:abstractNumId w:val="8"/>
  </w:num>
  <w:num w:numId="6">
    <w:abstractNumId w:val="47"/>
  </w:num>
  <w:num w:numId="7">
    <w:abstractNumId w:val="12"/>
  </w:num>
  <w:num w:numId="8">
    <w:abstractNumId w:val="20"/>
  </w:num>
  <w:num w:numId="9">
    <w:abstractNumId w:val="3"/>
  </w:num>
  <w:num w:numId="10">
    <w:abstractNumId w:val="15"/>
  </w:num>
  <w:num w:numId="11">
    <w:abstractNumId w:val="14"/>
  </w:num>
  <w:num w:numId="12">
    <w:abstractNumId w:val="46"/>
  </w:num>
  <w:num w:numId="13">
    <w:abstractNumId w:val="45"/>
  </w:num>
  <w:num w:numId="14">
    <w:abstractNumId w:val="31"/>
  </w:num>
  <w:num w:numId="15">
    <w:abstractNumId w:val="9"/>
  </w:num>
  <w:num w:numId="16">
    <w:abstractNumId w:val="44"/>
  </w:num>
  <w:num w:numId="17">
    <w:abstractNumId w:val="19"/>
  </w:num>
  <w:num w:numId="18">
    <w:abstractNumId w:val="26"/>
  </w:num>
  <w:num w:numId="19">
    <w:abstractNumId w:val="28"/>
  </w:num>
  <w:num w:numId="20">
    <w:abstractNumId w:val="17"/>
  </w:num>
  <w:num w:numId="21">
    <w:abstractNumId w:val="4"/>
  </w:num>
  <w:num w:numId="22">
    <w:abstractNumId w:val="7"/>
  </w:num>
  <w:num w:numId="23">
    <w:abstractNumId w:val="30"/>
  </w:num>
  <w:num w:numId="24">
    <w:abstractNumId w:val="24"/>
  </w:num>
  <w:num w:numId="25">
    <w:abstractNumId w:val="23"/>
  </w:num>
  <w:num w:numId="26">
    <w:abstractNumId w:val="5"/>
  </w:num>
  <w:num w:numId="27">
    <w:abstractNumId w:val="22"/>
  </w:num>
  <w:num w:numId="28">
    <w:abstractNumId w:val="27"/>
  </w:num>
  <w:num w:numId="29">
    <w:abstractNumId w:val="42"/>
  </w:num>
  <w:num w:numId="30">
    <w:abstractNumId w:val="6"/>
  </w:num>
  <w:num w:numId="31">
    <w:abstractNumId w:val="18"/>
  </w:num>
  <w:num w:numId="32">
    <w:abstractNumId w:val="38"/>
  </w:num>
  <w:num w:numId="33">
    <w:abstractNumId w:val="29"/>
  </w:num>
  <w:num w:numId="34">
    <w:abstractNumId w:val="34"/>
  </w:num>
  <w:num w:numId="35">
    <w:abstractNumId w:val="41"/>
  </w:num>
  <w:num w:numId="36">
    <w:abstractNumId w:val="0"/>
  </w:num>
  <w:num w:numId="37">
    <w:abstractNumId w:val="1"/>
  </w:num>
  <w:num w:numId="38">
    <w:abstractNumId w:val="32"/>
  </w:num>
  <w:num w:numId="39">
    <w:abstractNumId w:val="33"/>
  </w:num>
  <w:num w:numId="40">
    <w:abstractNumId w:val="11"/>
  </w:num>
  <w:num w:numId="41">
    <w:abstractNumId w:val="21"/>
  </w:num>
  <w:num w:numId="42">
    <w:abstractNumId w:val="13"/>
  </w:num>
  <w:num w:numId="43">
    <w:abstractNumId w:val="25"/>
  </w:num>
  <w:num w:numId="44">
    <w:abstractNumId w:val="39"/>
  </w:num>
  <w:num w:numId="45">
    <w:abstractNumId w:val="35"/>
  </w:num>
  <w:num w:numId="46">
    <w:abstractNumId w:val="48"/>
  </w:num>
  <w:num w:numId="47">
    <w:abstractNumId w:val="43"/>
  </w:num>
  <w:num w:numId="48">
    <w:abstractNumId w:val="16"/>
  </w:num>
  <w:num w:numId="49">
    <w:abstractNumId w:val="3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31E77"/>
    <w:rsid w:val="0004554E"/>
    <w:rsid w:val="00052AB0"/>
    <w:rsid w:val="00053122"/>
    <w:rsid w:val="000543EF"/>
    <w:rsid w:val="00057A28"/>
    <w:rsid w:val="000602CA"/>
    <w:rsid w:val="000610C9"/>
    <w:rsid w:val="00061FA2"/>
    <w:rsid w:val="00063135"/>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10127C"/>
    <w:rsid w:val="00110487"/>
    <w:rsid w:val="0012342D"/>
    <w:rsid w:val="001306F3"/>
    <w:rsid w:val="00131E44"/>
    <w:rsid w:val="00143989"/>
    <w:rsid w:val="00150B32"/>
    <w:rsid w:val="001510C1"/>
    <w:rsid w:val="00152611"/>
    <w:rsid w:val="00153B41"/>
    <w:rsid w:val="00170871"/>
    <w:rsid w:val="00174E80"/>
    <w:rsid w:val="00175050"/>
    <w:rsid w:val="00177375"/>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B769E"/>
    <w:rsid w:val="001C2162"/>
    <w:rsid w:val="001C42F9"/>
    <w:rsid w:val="001D4406"/>
    <w:rsid w:val="001E7B16"/>
    <w:rsid w:val="001F0034"/>
    <w:rsid w:val="001F159D"/>
    <w:rsid w:val="001F2BA1"/>
    <w:rsid w:val="001F46A5"/>
    <w:rsid w:val="0021718D"/>
    <w:rsid w:val="00217ADA"/>
    <w:rsid w:val="00223AE0"/>
    <w:rsid w:val="002304C2"/>
    <w:rsid w:val="002310E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5B8"/>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6AB"/>
    <w:rsid w:val="00401DBE"/>
    <w:rsid w:val="00402123"/>
    <w:rsid w:val="00403383"/>
    <w:rsid w:val="004130C0"/>
    <w:rsid w:val="00413CBD"/>
    <w:rsid w:val="00413DF8"/>
    <w:rsid w:val="00413F36"/>
    <w:rsid w:val="004163C7"/>
    <w:rsid w:val="004215C5"/>
    <w:rsid w:val="0042402B"/>
    <w:rsid w:val="004260FE"/>
    <w:rsid w:val="00433FD4"/>
    <w:rsid w:val="0043649D"/>
    <w:rsid w:val="00446ED1"/>
    <w:rsid w:val="004475C8"/>
    <w:rsid w:val="004613E8"/>
    <w:rsid w:val="00461DB2"/>
    <w:rsid w:val="00464637"/>
    <w:rsid w:val="00464AF1"/>
    <w:rsid w:val="00467028"/>
    <w:rsid w:val="004706B4"/>
    <w:rsid w:val="004708AB"/>
    <w:rsid w:val="00470A2D"/>
    <w:rsid w:val="00473631"/>
    <w:rsid w:val="00474A1C"/>
    <w:rsid w:val="00475C10"/>
    <w:rsid w:val="00476ADB"/>
    <w:rsid w:val="0047707D"/>
    <w:rsid w:val="00482056"/>
    <w:rsid w:val="00482616"/>
    <w:rsid w:val="00491EAB"/>
    <w:rsid w:val="004A035D"/>
    <w:rsid w:val="004A04D1"/>
    <w:rsid w:val="004A1755"/>
    <w:rsid w:val="004B118D"/>
    <w:rsid w:val="004B1EF3"/>
    <w:rsid w:val="004B352F"/>
    <w:rsid w:val="004C0303"/>
    <w:rsid w:val="004C3BAD"/>
    <w:rsid w:val="004C4331"/>
    <w:rsid w:val="004D23E7"/>
    <w:rsid w:val="004D6581"/>
    <w:rsid w:val="004D6B08"/>
    <w:rsid w:val="004E439C"/>
    <w:rsid w:val="004F00A5"/>
    <w:rsid w:val="004F1444"/>
    <w:rsid w:val="004F2475"/>
    <w:rsid w:val="004F3AF6"/>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1C45"/>
    <w:rsid w:val="0059246F"/>
    <w:rsid w:val="00597F74"/>
    <w:rsid w:val="005A4FB6"/>
    <w:rsid w:val="005A755A"/>
    <w:rsid w:val="005B112C"/>
    <w:rsid w:val="005B2F92"/>
    <w:rsid w:val="005B5824"/>
    <w:rsid w:val="005B7D85"/>
    <w:rsid w:val="005D0E3A"/>
    <w:rsid w:val="005D1F90"/>
    <w:rsid w:val="005D25AE"/>
    <w:rsid w:val="005D2620"/>
    <w:rsid w:val="005D5DB7"/>
    <w:rsid w:val="005E37C2"/>
    <w:rsid w:val="005E4AF3"/>
    <w:rsid w:val="005E5CFA"/>
    <w:rsid w:val="005F2722"/>
    <w:rsid w:val="005F467A"/>
    <w:rsid w:val="005F4C3D"/>
    <w:rsid w:val="006020A6"/>
    <w:rsid w:val="006044AD"/>
    <w:rsid w:val="006111E3"/>
    <w:rsid w:val="006112DD"/>
    <w:rsid w:val="0061146E"/>
    <w:rsid w:val="00617C5B"/>
    <w:rsid w:val="00625CAD"/>
    <w:rsid w:val="0062761F"/>
    <w:rsid w:val="0063094E"/>
    <w:rsid w:val="00633F50"/>
    <w:rsid w:val="006344B4"/>
    <w:rsid w:val="00642229"/>
    <w:rsid w:val="006450DB"/>
    <w:rsid w:val="00647482"/>
    <w:rsid w:val="006477C8"/>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6DB8"/>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952EA"/>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1963"/>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AF5D89"/>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817"/>
    <w:rsid w:val="00BB1144"/>
    <w:rsid w:val="00BB3514"/>
    <w:rsid w:val="00BB6CD7"/>
    <w:rsid w:val="00BC24EE"/>
    <w:rsid w:val="00BC454D"/>
    <w:rsid w:val="00BC61BD"/>
    <w:rsid w:val="00BD03D1"/>
    <w:rsid w:val="00BD590D"/>
    <w:rsid w:val="00BE0CA7"/>
    <w:rsid w:val="00BE2024"/>
    <w:rsid w:val="00BF35D5"/>
    <w:rsid w:val="00C01C2B"/>
    <w:rsid w:val="00C1175F"/>
    <w:rsid w:val="00C12E12"/>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1E1B"/>
    <w:rsid w:val="00CF08A2"/>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3051"/>
    <w:rsid w:val="00D417B5"/>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6613"/>
    <w:rsid w:val="00E97126"/>
    <w:rsid w:val="00EA15E2"/>
    <w:rsid w:val="00EA3235"/>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A0A03"/>
    <w:rsid w:val="00FA24AF"/>
    <w:rsid w:val="00FA4282"/>
    <w:rsid w:val="00FA44AF"/>
    <w:rsid w:val="00FB11CC"/>
    <w:rsid w:val="00FB22B3"/>
    <w:rsid w:val="00FB4F4E"/>
    <w:rsid w:val="00FB7A83"/>
    <w:rsid w:val="00FC20BB"/>
    <w:rsid w:val="00FC31E7"/>
    <w:rsid w:val="00FC4E54"/>
    <w:rsid w:val="00FC5CD9"/>
    <w:rsid w:val="00FC65CC"/>
    <w:rsid w:val="00FC6D22"/>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C50BCD"/>
    <w:rPr>
      <w:rFonts w:ascii="Simplified Arabic" w:eastAsia="Times New Roman" w:hAnsi="Simplified Arabic" w:cs="Simplified Arabic"/>
      <w:b/>
      <w:bCs/>
      <w:kern w:val="0"/>
      <w:sz w:val="28"/>
      <w:szCs w:val="28"/>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table" w:styleId="GridTable4-Accent6">
    <w:name w:val="Grid Table 4 Accent 6"/>
    <w:basedOn w:val="TableNormal"/>
    <w:uiPriority w:val="49"/>
    <w:rsid w:val="005E5CFA"/>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C12E12"/>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EA323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337210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09201442">
      <w:bodyDiv w:val="1"/>
      <w:marLeft w:val="0"/>
      <w:marRight w:val="0"/>
      <w:marTop w:val="0"/>
      <w:marBottom w:val="0"/>
      <w:divBdr>
        <w:top w:val="none" w:sz="0" w:space="0" w:color="auto"/>
        <w:left w:val="none" w:sz="0" w:space="0" w:color="auto"/>
        <w:bottom w:val="none" w:sz="0" w:space="0" w:color="auto"/>
        <w:right w:val="none" w:sz="0" w:space="0" w:color="auto"/>
      </w:divBdr>
    </w:div>
    <w:div w:id="1121922388">
      <w:bodyDiv w:val="1"/>
      <w:marLeft w:val="0"/>
      <w:marRight w:val="0"/>
      <w:marTop w:val="0"/>
      <w:marBottom w:val="0"/>
      <w:divBdr>
        <w:top w:val="none" w:sz="0" w:space="0" w:color="auto"/>
        <w:left w:val="none" w:sz="0" w:space="0" w:color="auto"/>
        <w:bottom w:val="none" w:sz="0" w:space="0" w:color="auto"/>
        <w:right w:val="none" w:sz="0" w:space="0" w:color="auto"/>
      </w:divBdr>
      <w:divsChild>
        <w:div w:id="2031176865">
          <w:marLeft w:val="0"/>
          <w:marRight w:val="0"/>
          <w:marTop w:val="0"/>
          <w:marBottom w:val="0"/>
          <w:divBdr>
            <w:top w:val="none" w:sz="0" w:space="0" w:color="auto"/>
            <w:left w:val="none" w:sz="0" w:space="0" w:color="auto"/>
            <w:bottom w:val="none" w:sz="0" w:space="0" w:color="auto"/>
            <w:right w:val="none" w:sz="0" w:space="0" w:color="auto"/>
          </w:divBdr>
        </w:div>
        <w:div w:id="389153313">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2939991">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092410">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6055504">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B38313-8E79-46D8-8FD7-BF3AAE0E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10233</Words>
  <Characters>58330</Characters>
  <Application>Microsoft Office Word</Application>
  <DocSecurity>0</DocSecurity>
  <Lines>486</Lines>
  <Paragraphs>136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2026-07-02T19:27:00Z</cp:lastPrinted>
  <dcterms:created xsi:type="dcterms:W3CDTF">2026-07-02T19:25:00Z</dcterms:created>
  <dcterms:modified xsi:type="dcterms:W3CDTF">2026-07-02T19:27:00Z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