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B7B8FED" w:rsidR="009125CE" w:rsidRPr="008343BF" w:rsidRDefault="00CF44FD" w:rsidP="00CF44FD">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8343B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E0FDB2B">
            <wp:simplePos x="0" y="0"/>
            <wp:positionH relativeFrom="margin">
              <wp:posOffset>312420</wp:posOffset>
            </wp:positionH>
            <wp:positionV relativeFrom="margin">
              <wp:posOffset>-64770</wp:posOffset>
            </wp:positionV>
            <wp:extent cx="1871980" cy="17373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1980" cy="1737360"/>
                    </a:xfrm>
                    <a:prstGeom prst="rect">
                      <a:avLst/>
                    </a:prstGeom>
                  </pic:spPr>
                </pic:pic>
              </a:graphicData>
            </a:graphic>
            <wp14:sizeRelH relativeFrom="margin">
              <wp14:pctWidth>0</wp14:pctWidth>
            </wp14:sizeRelH>
            <wp14:sizeRelV relativeFrom="margin">
              <wp14:pctHeight>0</wp14:pctHeight>
            </wp14:sizeRelV>
          </wp:anchor>
        </w:drawing>
      </w:r>
      <w:r w:rsidR="009125CE" w:rsidRPr="008343BF">
        <w:rPr>
          <w:rFonts w:ascii="Simplified Arabic" w:hAnsi="Simplified Arabic" w:cs="Simplified Arabic"/>
          <w:b/>
          <w:bCs/>
          <w:color w:val="000000" w:themeColor="text1"/>
          <w:sz w:val="32"/>
          <w:szCs w:val="32"/>
          <w:rtl/>
          <w:lang w:bidi="ar-EG"/>
        </w:rPr>
        <w:t xml:space="preserve">جامعة ميدأوشن </w:t>
      </w:r>
    </w:p>
    <w:p w14:paraId="1E957002" w14:textId="4F9F4088" w:rsidR="00F546CE" w:rsidRPr="008343BF" w:rsidRDefault="009125CE" w:rsidP="00CF44FD">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343BF">
        <w:rPr>
          <w:rFonts w:ascii="Simplified Arabic" w:hAnsi="Simplified Arabic" w:cs="Simplified Arabic"/>
          <w:b/>
          <w:bCs/>
          <w:color w:val="000000" w:themeColor="text1"/>
          <w:sz w:val="32"/>
          <w:szCs w:val="32"/>
          <w:rtl/>
          <w:lang w:bidi="ar-EG"/>
        </w:rPr>
        <w:t xml:space="preserve">كلية </w:t>
      </w:r>
      <w:r w:rsidR="008C42C1" w:rsidRPr="008343BF">
        <w:rPr>
          <w:rFonts w:ascii="Simplified Arabic" w:hAnsi="Simplified Arabic" w:cs="Simplified Arabic"/>
          <w:b/>
          <w:bCs/>
          <w:color w:val="000000" w:themeColor="text1"/>
          <w:sz w:val="32"/>
          <w:szCs w:val="32"/>
          <w:rtl/>
          <w:lang w:bidi="ar-EG"/>
        </w:rPr>
        <w:t>الإدارة</w:t>
      </w:r>
      <w:r w:rsidRPr="008343BF">
        <w:rPr>
          <w:rFonts w:ascii="Simplified Arabic" w:hAnsi="Simplified Arabic" w:cs="Simplified Arabic"/>
          <w:b/>
          <w:bCs/>
          <w:color w:val="000000" w:themeColor="text1"/>
          <w:sz w:val="32"/>
          <w:szCs w:val="32"/>
          <w:rtl/>
          <w:lang w:bidi="ar-EG"/>
        </w:rPr>
        <w:t xml:space="preserve"> </w:t>
      </w:r>
    </w:p>
    <w:p w14:paraId="0217C513" w14:textId="5EBB355D" w:rsidR="009125CE" w:rsidRPr="008343BF" w:rsidRDefault="009125CE" w:rsidP="00CF44FD">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343BF">
        <w:rPr>
          <w:rFonts w:ascii="Simplified Arabic" w:hAnsi="Simplified Arabic" w:cs="Simplified Arabic"/>
          <w:b/>
          <w:bCs/>
          <w:color w:val="000000" w:themeColor="text1"/>
          <w:sz w:val="32"/>
          <w:szCs w:val="32"/>
          <w:rtl/>
          <w:lang w:bidi="ar-EG"/>
        </w:rPr>
        <w:t>تخصص</w:t>
      </w:r>
      <w:r w:rsidR="00B15A9E" w:rsidRPr="008343BF">
        <w:rPr>
          <w:rFonts w:ascii="Simplified Arabic" w:hAnsi="Simplified Arabic" w:cs="Simplified Arabic"/>
          <w:b/>
          <w:bCs/>
          <w:color w:val="000000" w:themeColor="text1"/>
          <w:sz w:val="32"/>
          <w:szCs w:val="32"/>
          <w:rtl/>
          <w:lang w:bidi="ar-EG"/>
        </w:rPr>
        <w:t xml:space="preserve"> </w:t>
      </w:r>
      <w:r w:rsidR="00854B0B" w:rsidRPr="008343BF">
        <w:rPr>
          <w:rFonts w:ascii="Simplified Arabic" w:hAnsi="Simplified Arabic" w:cs="Simplified Arabic"/>
          <w:b/>
          <w:bCs/>
          <w:color w:val="000000" w:themeColor="text1"/>
          <w:sz w:val="32"/>
          <w:szCs w:val="32"/>
          <w:rtl/>
          <w:lang w:bidi="ar-EG"/>
        </w:rPr>
        <w:t>اداره اعمال</w:t>
      </w:r>
    </w:p>
    <w:p w14:paraId="72234EDC" w14:textId="2C2811D2" w:rsidR="004C5C0B" w:rsidRPr="008343BF" w:rsidRDefault="00861D72" w:rsidP="00CF44FD">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8343BF">
        <w:rPr>
          <w:rFonts w:ascii="Simplified Arabic" w:hAnsi="Simplified Arabic" w:cs="Simplified Arabic"/>
          <w:b/>
          <w:bCs/>
          <w:color w:val="000000" w:themeColor="text1"/>
          <w:sz w:val="40"/>
          <w:szCs w:val="40"/>
          <w:rtl/>
        </w:rPr>
        <w:t>أثر دقة التنبؤ بالطلب على تقليل المخزون الراكد وتكاليف التخزين: دراسة ميدانية على شركات الأغذية في المنطقة الشرقية</w:t>
      </w:r>
      <w:r w:rsidR="004C5C0B" w:rsidRPr="008343BF">
        <w:rPr>
          <w:rFonts w:ascii="Simplified Arabic" w:hAnsi="Simplified Arabic" w:cs="Simplified Arabic"/>
          <w:b/>
          <w:bCs/>
          <w:color w:val="000000" w:themeColor="text1"/>
          <w:sz w:val="40"/>
          <w:szCs w:val="40"/>
          <w:rtl/>
        </w:rPr>
        <w:t>.</w:t>
      </w:r>
    </w:p>
    <w:p w14:paraId="751A7E65" w14:textId="07883E80" w:rsidR="009125CE" w:rsidRPr="008343BF" w:rsidRDefault="009125CE" w:rsidP="00CF44F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43BF">
        <w:rPr>
          <w:rFonts w:ascii="Simplified Arabic" w:hAnsi="Simplified Arabic" w:cs="Simplified Arabic"/>
          <w:b/>
          <w:bCs/>
          <w:color w:val="000000" w:themeColor="text1"/>
          <w:sz w:val="36"/>
          <w:szCs w:val="36"/>
          <w:rtl/>
          <w:lang w:bidi="ar-EG"/>
        </w:rPr>
        <w:t>إعداد الطالب/</w:t>
      </w:r>
    </w:p>
    <w:p w14:paraId="55B35B9C" w14:textId="77777777" w:rsidR="007273AD" w:rsidRPr="008343BF" w:rsidRDefault="007273AD" w:rsidP="00CF44FD">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8343BF">
        <w:rPr>
          <w:rFonts w:ascii="Simplified Arabic" w:hAnsi="Simplified Arabic" w:cs="Simplified Arabic"/>
          <w:color w:val="000000" w:themeColor="text1"/>
          <w:sz w:val="36"/>
          <w:szCs w:val="36"/>
          <w:rtl/>
          <w:lang w:bidi="ar-EG"/>
        </w:rPr>
        <w:t>سلطان محمد العتيبي</w:t>
      </w:r>
    </w:p>
    <w:p w14:paraId="47C2DF44" w14:textId="703A8005" w:rsidR="004C5C0B" w:rsidRPr="008343BF" w:rsidRDefault="007273AD" w:rsidP="00CF44FD">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8343BF">
        <w:rPr>
          <w:rFonts w:ascii="Simplified Arabic" w:hAnsi="Simplified Arabic" w:cs="Simplified Arabic"/>
          <w:color w:val="000000" w:themeColor="text1"/>
          <w:sz w:val="36"/>
          <w:szCs w:val="36"/>
          <w:rtl/>
          <w:lang w:bidi="ar-EG"/>
        </w:rPr>
        <w:t>253001427</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F44FD" w:rsidRPr="008343BF" w14:paraId="57AB243E" w14:textId="77777777" w:rsidTr="006F0204">
        <w:tc>
          <w:tcPr>
            <w:tcW w:w="4530" w:type="dxa"/>
          </w:tcPr>
          <w:p w14:paraId="6F2DEC4C" w14:textId="77777777" w:rsidR="00CF44FD" w:rsidRPr="008343BF" w:rsidRDefault="00CF44FD" w:rsidP="006F02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43BF">
              <w:rPr>
                <w:rFonts w:ascii="Simplified Arabic" w:hAnsi="Simplified Arabic" w:cs="Simplified Arabic" w:hint="cs"/>
                <w:b/>
                <w:bCs/>
                <w:color w:val="000000" w:themeColor="text1"/>
                <w:sz w:val="36"/>
                <w:szCs w:val="36"/>
                <w:rtl/>
                <w:lang w:bidi="ar-EG"/>
              </w:rPr>
              <w:t>المشرف الرئيسي/</w:t>
            </w:r>
          </w:p>
        </w:tc>
        <w:tc>
          <w:tcPr>
            <w:tcW w:w="4531" w:type="dxa"/>
          </w:tcPr>
          <w:p w14:paraId="4FCF1D7D" w14:textId="77777777" w:rsidR="00CF44FD" w:rsidRPr="008343BF" w:rsidRDefault="00CF44FD" w:rsidP="006F02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43BF">
              <w:rPr>
                <w:rFonts w:ascii="Simplified Arabic" w:hAnsi="Simplified Arabic" w:cs="Simplified Arabic" w:hint="cs"/>
                <w:b/>
                <w:bCs/>
                <w:color w:val="000000" w:themeColor="text1"/>
                <w:sz w:val="36"/>
                <w:szCs w:val="36"/>
                <w:rtl/>
                <w:lang w:bidi="ar-EG"/>
              </w:rPr>
              <w:t>المشرف الثاني/</w:t>
            </w:r>
          </w:p>
        </w:tc>
      </w:tr>
      <w:tr w:rsidR="00CF44FD" w:rsidRPr="008343BF" w14:paraId="32BFE313" w14:textId="77777777" w:rsidTr="006F0204">
        <w:tc>
          <w:tcPr>
            <w:tcW w:w="4530" w:type="dxa"/>
          </w:tcPr>
          <w:p w14:paraId="5B9A4493" w14:textId="77777777" w:rsidR="00CF44FD" w:rsidRPr="008343BF" w:rsidRDefault="00CF44FD" w:rsidP="006F02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43B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845A460" w14:textId="77777777" w:rsidR="00CF44FD" w:rsidRPr="008343BF" w:rsidRDefault="00CF44FD" w:rsidP="006F02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43BF">
              <w:rPr>
                <w:rFonts w:ascii="Simplified Arabic" w:eastAsia="Calibri" w:hAnsi="Simplified Arabic" w:cs="Simplified Arabic"/>
                <w:color w:val="000000" w:themeColor="text1"/>
                <w:kern w:val="0"/>
                <w:sz w:val="36"/>
                <w:szCs w:val="36"/>
                <w:rtl/>
                <w:lang w:bidi="ar-EG"/>
                <w14:ligatures w14:val="none"/>
              </w:rPr>
              <w:t>د.فايز جراد</w:t>
            </w:r>
          </w:p>
        </w:tc>
      </w:tr>
    </w:tbl>
    <w:p w14:paraId="06770E79" w14:textId="77777777" w:rsidR="00CF44FD" w:rsidRPr="008343BF" w:rsidRDefault="00CF44FD" w:rsidP="00CF44F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43BF">
        <w:rPr>
          <w:rFonts w:ascii="Simplified Arabic" w:hAnsi="Simplified Arabic" w:cs="Simplified Arabic"/>
          <w:b/>
          <w:bCs/>
          <w:color w:val="000000" w:themeColor="text1"/>
          <w:sz w:val="36"/>
          <w:szCs w:val="36"/>
          <w:rtl/>
          <w:lang w:bidi="ar-EG"/>
        </w:rPr>
        <w:t>العام الدراسي:</w:t>
      </w:r>
    </w:p>
    <w:p w14:paraId="2072DEC6" w14:textId="77777777" w:rsidR="00CF44FD" w:rsidRPr="008343BF" w:rsidRDefault="00CF44FD" w:rsidP="00CF44FD">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8343BF">
        <w:rPr>
          <w:rFonts w:ascii="Simplified Arabic" w:hAnsi="Simplified Arabic" w:cs="Simplified Arabic" w:hint="cs"/>
          <w:color w:val="000000" w:themeColor="text1"/>
          <w:sz w:val="36"/>
          <w:szCs w:val="36"/>
          <w:rtl/>
          <w:lang w:bidi="ar-EG"/>
        </w:rPr>
        <w:t xml:space="preserve">1448 </w:t>
      </w:r>
      <w:r w:rsidRPr="008343BF">
        <w:rPr>
          <w:rFonts w:ascii="Simplified Arabic" w:hAnsi="Simplified Arabic" w:cs="Simplified Arabic"/>
          <w:color w:val="000000" w:themeColor="text1"/>
          <w:sz w:val="36"/>
          <w:szCs w:val="36"/>
          <w:rtl/>
          <w:lang w:bidi="ar-EG"/>
        </w:rPr>
        <w:t>–</w:t>
      </w:r>
      <w:r w:rsidRPr="008343BF">
        <w:rPr>
          <w:rFonts w:ascii="Simplified Arabic" w:hAnsi="Simplified Arabic" w:cs="Simplified Arabic" w:hint="cs"/>
          <w:color w:val="000000" w:themeColor="text1"/>
          <w:sz w:val="36"/>
          <w:szCs w:val="36"/>
          <w:rtl/>
          <w:lang w:bidi="ar-EG"/>
        </w:rPr>
        <w:t xml:space="preserve"> 2026</w:t>
      </w:r>
    </w:p>
    <w:p w14:paraId="6EE976DC" w14:textId="77777777" w:rsidR="00CF44FD" w:rsidRPr="008343BF" w:rsidRDefault="00CF44FD" w:rsidP="00CF44FD">
      <w:pPr>
        <w:spacing w:before="100" w:beforeAutospacing="1" w:after="100" w:afterAutospacing="1" w:line="276" w:lineRule="auto"/>
        <w:jc w:val="both"/>
        <w:rPr>
          <w:rFonts w:ascii="Simplified Arabic" w:hAnsi="Simplified Arabic" w:cs="Simplified Arabic"/>
          <w:color w:val="000000" w:themeColor="text1"/>
          <w:sz w:val="28"/>
          <w:szCs w:val="28"/>
          <w:rtl/>
        </w:rPr>
        <w:sectPr w:rsidR="00CF44FD" w:rsidRPr="008343BF" w:rsidSect="00CF44FD">
          <w:type w:val="continuous"/>
          <w:pgSz w:w="11906" w:h="16838" w:code="9"/>
          <w:pgMar w:top="1134" w:right="1701" w:bottom="1134" w:left="1134" w:header="720" w:footer="720" w:gutter="0"/>
          <w:pgNumType w:fmt="arabicAbjad" w:start="1"/>
          <w:cols w:space="708"/>
          <w:bidi/>
          <w:rtlGutter/>
          <w:docGrid w:linePitch="360"/>
        </w:sectPr>
      </w:pPr>
    </w:p>
    <w:p w14:paraId="78FEF218" w14:textId="57E5CFCF" w:rsidR="00D21DB5" w:rsidRPr="008343BF" w:rsidRDefault="00D21DB5" w:rsidP="00623818">
      <w:pPr>
        <w:pStyle w:val="NormalWeb"/>
        <w:bidi/>
        <w:spacing w:line="276" w:lineRule="auto"/>
        <w:jc w:val="center"/>
        <w:outlineLvl w:val="0"/>
        <w:rPr>
          <w:rFonts w:ascii="Simplified Arabic" w:eastAsiaTheme="majorEastAsia" w:hAnsi="Simplified Arabic" w:cs="Simplified Arabic"/>
          <w:b/>
          <w:bCs/>
          <w:color w:val="000000" w:themeColor="text1"/>
          <w:kern w:val="2"/>
          <w:sz w:val="40"/>
          <w:szCs w:val="40"/>
          <w:rtl/>
          <w:lang w:bidi="ar-EG"/>
          <w14:ligatures w14:val="standardContextual"/>
        </w:rPr>
      </w:pPr>
      <w:bookmarkStart w:id="0" w:name="_Hlk172151144"/>
      <w:bookmarkStart w:id="1" w:name="_Toc169790489"/>
      <w:bookmarkStart w:id="2" w:name="_Toc233042119"/>
      <w:r w:rsidRPr="008343BF">
        <w:rPr>
          <w:rFonts w:ascii="Simplified Arabic" w:eastAsiaTheme="majorEastAsia" w:hAnsi="Simplified Arabic" w:cs="Simplified Arabic" w:hint="cs"/>
          <w:b/>
          <w:bCs/>
          <w:color w:val="000000" w:themeColor="text1"/>
          <w:kern w:val="2"/>
          <w:sz w:val="40"/>
          <w:szCs w:val="40"/>
          <w:rtl/>
          <w:lang w:bidi="ar-EG"/>
          <w14:ligatures w14:val="standardContextual"/>
        </w:rPr>
        <w:lastRenderedPageBreak/>
        <w:t>الفصل الأول: الإطار العام للدراسة</w:t>
      </w:r>
      <w:bookmarkEnd w:id="2"/>
    </w:p>
    <w:p w14:paraId="0DC7DFB2" w14:textId="229BDB37" w:rsidR="00D21DB5" w:rsidRPr="008343BF" w:rsidRDefault="00D21DB5" w:rsidP="00623818">
      <w:pPr>
        <w:pStyle w:val="NormalWeb"/>
        <w:bidi/>
        <w:spacing w:line="276" w:lineRule="auto"/>
        <w:jc w:val="both"/>
        <w:outlineLvl w:val="1"/>
        <w:rPr>
          <w:rFonts w:ascii="Simplified Arabic" w:eastAsiaTheme="majorEastAsia" w:hAnsi="Simplified Arabic" w:cs="Simplified Arabic"/>
          <w:b/>
          <w:bCs/>
          <w:color w:val="000000" w:themeColor="text1"/>
          <w:kern w:val="2"/>
          <w:sz w:val="36"/>
          <w:szCs w:val="36"/>
          <w:rtl/>
          <w:lang w:bidi="ar-EG"/>
          <w14:ligatures w14:val="standardContextual"/>
        </w:rPr>
      </w:pPr>
      <w:bookmarkStart w:id="3" w:name="_Toc233042120"/>
      <w:r w:rsidRPr="008343BF">
        <w:rPr>
          <w:rFonts w:ascii="Simplified Arabic" w:eastAsiaTheme="majorEastAsia" w:hAnsi="Simplified Arabic" w:cs="Simplified Arabic" w:hint="cs"/>
          <w:b/>
          <w:bCs/>
          <w:color w:val="000000" w:themeColor="text1"/>
          <w:kern w:val="2"/>
          <w:sz w:val="36"/>
          <w:szCs w:val="36"/>
          <w:rtl/>
          <w:lang w:bidi="ar-EG"/>
          <w14:ligatures w14:val="standardContextual"/>
        </w:rPr>
        <w:t>1.1 المقدمة</w:t>
      </w:r>
      <w:bookmarkEnd w:id="3"/>
      <w:r w:rsidRPr="008343BF">
        <w:rPr>
          <w:rFonts w:ascii="Simplified Arabic" w:eastAsiaTheme="majorEastAsia" w:hAnsi="Simplified Arabic" w:cs="Simplified Arabic" w:hint="cs"/>
          <w:b/>
          <w:bCs/>
          <w:color w:val="000000" w:themeColor="text1"/>
          <w:kern w:val="2"/>
          <w:sz w:val="36"/>
          <w:szCs w:val="36"/>
          <w:rtl/>
          <w:lang w:bidi="ar-EG"/>
          <w14:ligatures w14:val="standardContextual"/>
        </w:rPr>
        <w:t xml:space="preserve"> </w:t>
      </w:r>
    </w:p>
    <w:p w14:paraId="4F074599" w14:textId="0AB377C2" w:rsidR="00861D72" w:rsidRPr="008343BF" w:rsidRDefault="00861D72" w:rsidP="00623818">
      <w:pPr>
        <w:pStyle w:val="NormalWeb"/>
        <w:bidi/>
        <w:spacing w:line="276" w:lineRule="auto"/>
        <w:ind w:firstLine="424"/>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t>يشهد عالم الأعمال المعاصر تحولات متسارعة فرضتها العولمة والتطورات التكنولوجية المتلاحقة، مما جعل المؤسسات الصناعية والتجارية تعمل في بيئة تتسم بعدم اليقين وتقلب أنماط الطلب وتزايد حدة المنافسة،  وفي ظل هذه البيئة الديناميكية، أصبحت القدرة على استشراف المستقبل والتنبؤ بحركة الطلب على المنتجات والخدمات ركيزة أساسية لا غنى عنها في منظومة التخطيط الاستراتيجي والتشغيلي للمؤسسات، إذ تتوقف عليها جملة من القرارات الحيوية المتعلقة بالإنتاج والتوريد والتسويق وإدارة الموارد البشرية والمالية (سعيد وعكلة، 2024)</w:t>
      </w:r>
      <w:r w:rsidRPr="008343BF">
        <w:rPr>
          <w:rFonts w:ascii="Simplified Arabic" w:hAnsi="Simplified Arabic" w:cs="Simplified Arabic"/>
          <w:color w:val="000000" w:themeColor="text1"/>
          <w:sz w:val="28"/>
          <w:szCs w:val="28"/>
        </w:rPr>
        <w:t>.</w:t>
      </w:r>
    </w:p>
    <w:p w14:paraId="312AAECC" w14:textId="77777777" w:rsidR="00861D72" w:rsidRPr="008343BF" w:rsidRDefault="00861D72" w:rsidP="00623818">
      <w:pPr>
        <w:pStyle w:val="NormalWeb"/>
        <w:bidi/>
        <w:spacing w:line="276" w:lineRule="auto"/>
        <w:ind w:firstLine="424"/>
        <w:jc w:val="both"/>
        <w:rPr>
          <w:rFonts w:ascii="Simplified Arabic" w:hAnsi="Simplified Arabic" w:cs="Simplified Arabic"/>
          <w:color w:val="000000" w:themeColor="text1"/>
          <w:sz w:val="28"/>
          <w:szCs w:val="28"/>
          <w:rtl/>
        </w:rPr>
      </w:pPr>
      <w:r w:rsidRPr="008343BF">
        <w:rPr>
          <w:rFonts w:ascii="Simplified Arabic" w:hAnsi="Simplified Arabic" w:cs="Simplified Arabic"/>
          <w:color w:val="000000" w:themeColor="text1"/>
          <w:sz w:val="28"/>
          <w:szCs w:val="28"/>
          <w:rtl/>
        </w:rPr>
        <w:t>ويُعدّ التنبؤ بالطلب من أهم الوظائف التحليلية التي تعتمد عليها المؤسسات في رسم سياساتها الإنتاجية والتسويقية، وقد تطورت أساليبه تطورًا كبيرًا عبر العقود الأخيرة، بدءًا من النماذج الكمية التقليدية كالمتوسطات المتحركة والتمهيد الأسّي، مرورًا بمنهجيات تحليل السلاسل الزمنية كمنهجية بوكس جينكينز ونماذج</w:t>
      </w:r>
      <w:r w:rsidRPr="008343BF">
        <w:rPr>
          <w:rFonts w:ascii="Simplified Arabic" w:hAnsi="Simplified Arabic" w:cs="Simplified Arabic"/>
          <w:color w:val="000000" w:themeColor="text1"/>
          <w:sz w:val="28"/>
          <w:szCs w:val="28"/>
        </w:rPr>
        <w:t xml:space="preserve"> ARIMA </w:t>
      </w:r>
      <w:r w:rsidRPr="008343BF">
        <w:rPr>
          <w:rFonts w:ascii="Simplified Arabic" w:hAnsi="Simplified Arabic" w:cs="Simplified Arabic"/>
          <w:color w:val="000000" w:themeColor="text1"/>
          <w:sz w:val="28"/>
          <w:szCs w:val="28"/>
          <w:rtl/>
        </w:rPr>
        <w:t>التي أثبتت كفاءتها في التقاط الأنماط الزمنية للطلب وتقديم تقديرات مستقبلية على أساس علمي منهجي (هبال وقرقيط، 2022).</w:t>
      </w:r>
    </w:p>
    <w:p w14:paraId="6505F08C" w14:textId="4D808493" w:rsidR="00861D72" w:rsidRPr="008343BF" w:rsidRDefault="00861D72" w:rsidP="00623818">
      <w:pPr>
        <w:pStyle w:val="NormalWeb"/>
        <w:bidi/>
        <w:spacing w:line="276" w:lineRule="auto"/>
        <w:ind w:firstLine="424"/>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t xml:space="preserve"> وقد شهدت السنوات الأخيرة قفزة نوعية في هذا المجال مع ظهور تقنيات الذكاء الاصطناعي والتعلم الآلي التي أتاحت للمؤسسات القدرة على التعامل مع كميات ضخمة من البيانات واكتشاف العلاقات غير الخطية المعقدة بين المتغيرات المؤثرة في الطلب، كالشبكات العصبية الاصطناعية وخوارزميات</w:t>
      </w:r>
      <w:r w:rsidRPr="008343BF">
        <w:rPr>
          <w:rFonts w:ascii="Simplified Arabic" w:hAnsi="Simplified Arabic" w:cs="Simplified Arabic"/>
          <w:color w:val="000000" w:themeColor="text1"/>
          <w:sz w:val="28"/>
          <w:szCs w:val="28"/>
        </w:rPr>
        <w:t xml:space="preserve"> Random Forest </w:t>
      </w:r>
      <w:r w:rsidRPr="008343BF">
        <w:rPr>
          <w:rFonts w:ascii="Simplified Arabic" w:hAnsi="Simplified Arabic" w:cs="Simplified Arabic"/>
          <w:color w:val="000000" w:themeColor="text1"/>
          <w:sz w:val="28"/>
          <w:szCs w:val="28"/>
          <w:rtl/>
        </w:rPr>
        <w:t>التي أظهرت تفوقًا ملحوظًا في دقة التنبؤ مقارنةً بالأساليب التقليدية</w:t>
      </w:r>
      <w:r w:rsidRPr="008343BF">
        <w:rPr>
          <w:rFonts w:ascii="Simplified Arabic" w:hAnsi="Simplified Arabic" w:cs="Simplified Arabic"/>
          <w:color w:val="000000" w:themeColor="text1"/>
          <w:sz w:val="28"/>
          <w:szCs w:val="28"/>
        </w:rPr>
        <w:t xml:space="preserve"> (Yani &amp; Aamer, 2023). </w:t>
      </w:r>
    </w:p>
    <w:p w14:paraId="2FEA0F44" w14:textId="2AA46DDD" w:rsidR="00861D72" w:rsidRPr="008343BF" w:rsidRDefault="00861D72" w:rsidP="00623818">
      <w:pPr>
        <w:pStyle w:val="NormalWeb"/>
        <w:bidi/>
        <w:spacing w:line="276" w:lineRule="auto"/>
        <w:ind w:firstLine="424"/>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t>و تمثل إدارة المخزون أحد المحاور الجوهرية في العمليات التشغيلية للمؤسسات، إذ يرتبط بها مباشرةً حجم رأس المال المجمّد وتكاليف الاحتفاظ والتخزين ومستوى خدمة العملاء</w:t>
      </w:r>
      <w:r w:rsidRPr="008343BF">
        <w:rPr>
          <w:rFonts w:ascii="Simplified Arabic" w:hAnsi="Simplified Arabic" w:cs="Simplified Arabic"/>
          <w:color w:val="000000" w:themeColor="text1"/>
          <w:sz w:val="28"/>
          <w:szCs w:val="28"/>
        </w:rPr>
        <w:t xml:space="preserve">. </w:t>
      </w:r>
      <w:r w:rsidRPr="008343BF">
        <w:rPr>
          <w:rFonts w:ascii="Simplified Arabic" w:hAnsi="Simplified Arabic" w:cs="Simplified Arabic"/>
          <w:color w:val="000000" w:themeColor="text1"/>
          <w:sz w:val="28"/>
          <w:szCs w:val="28"/>
          <w:rtl/>
        </w:rPr>
        <w:t xml:space="preserve">وتبرز مشكلة المخزون الراكد كواحدة من أخطر التحديات التي تستنزف موارد المؤسسات، حيث تتراكم كميات كبيرة من المنتجات غير المباعة نتيجة عدم التوافق بين ما يتم شراؤه أو إنتاجه وبين الطلب الفعلي في السوق، مما يفرض أعباءً مالية ثقيلة تشمل تكاليف التخزين المادي والتأمين والتلف والتقادم </w:t>
      </w:r>
      <w:r w:rsidRPr="008343BF">
        <w:rPr>
          <w:rFonts w:ascii="Simplified Arabic" w:hAnsi="Simplified Arabic" w:cs="Simplified Arabic"/>
          <w:color w:val="000000" w:themeColor="text1"/>
          <w:sz w:val="28"/>
          <w:szCs w:val="28"/>
        </w:rPr>
        <w:t xml:space="preserve">(Li, Seva &amp; Chiu, 2025). </w:t>
      </w:r>
    </w:p>
    <w:p w14:paraId="41586677" w14:textId="01178271" w:rsidR="00861D72" w:rsidRPr="008343BF" w:rsidRDefault="00861D72" w:rsidP="00623818">
      <w:pPr>
        <w:pStyle w:val="NormalWeb"/>
        <w:bidi/>
        <w:spacing w:line="276" w:lineRule="auto"/>
        <w:ind w:firstLine="424"/>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lastRenderedPageBreak/>
        <w:t xml:space="preserve">وتتجلى العلاقة بين المتغيرين في كون دقة التنبؤ بالطلب تمثل المدخل الأساسي الذي تُبنى عليه قرارات الشراء والإنتاج والتخزين، فكلما ارتفعت دقة التنبؤ تقلّصت الفجوة بين العرض والطلب وانخفض بالتبعية حجم المخزون الراكد والتكاليف المرتبطة به، وهو ما أثبتته الدراسات التطبيقية التي أظهرت أنّ التنبؤ المنهجي بالطلب مكّن المؤسسات من تقليل فرص المبيعات الضائعة وتخفيض المخزون الراكد في آن واحد </w:t>
      </w:r>
      <w:r w:rsidRPr="008343BF">
        <w:rPr>
          <w:rFonts w:ascii="Simplified Arabic" w:hAnsi="Simplified Arabic" w:cs="Simplified Arabic"/>
          <w:color w:val="000000" w:themeColor="text1"/>
          <w:sz w:val="28"/>
          <w:szCs w:val="28"/>
        </w:rPr>
        <w:t>(Srisamai &amp; Siriruk, 2023).</w:t>
      </w:r>
    </w:p>
    <w:p w14:paraId="775FB6FF" w14:textId="77777777" w:rsidR="00861D72" w:rsidRPr="008343BF" w:rsidRDefault="00861D72" w:rsidP="00623818">
      <w:pPr>
        <w:pStyle w:val="NormalWeb"/>
        <w:bidi/>
        <w:spacing w:line="276" w:lineRule="auto"/>
        <w:ind w:firstLine="424"/>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t>وانطلاقًا مما سبق، تأتي الدراسة الحالية لتتناول أثر دقة التنبؤ بالطلب بأبعاده (دقة النماذج الكمية للتنبؤ، دقة نماذج التعلم الآلي في التنبؤ، دقة تحليل السلاسل الزمنية، دقة النماذج الهجينة للتنبؤ) على تخفيض المخزون الراكد وتكاليف التخزين في المؤسسات الصناعية والتجارية المصرية، سعيًا إلى تقديم إطار علمي وعملي يُسهم في سدّ الفجوة البحثية القائمة في الأدبيات العربية وتزويد صانعي القرار برؤى قائمة على الأدلة لتحسين ممارسات إدارة المخزون وتعزيز الكفاءة التشغيلية</w:t>
      </w:r>
      <w:r w:rsidRPr="008343BF">
        <w:rPr>
          <w:rFonts w:ascii="Simplified Arabic" w:hAnsi="Simplified Arabic" w:cs="Simplified Arabic"/>
          <w:color w:val="000000" w:themeColor="text1"/>
          <w:sz w:val="28"/>
          <w:szCs w:val="28"/>
        </w:rPr>
        <w:t>.</w:t>
      </w:r>
    </w:p>
    <w:p w14:paraId="7C2F6396" w14:textId="7E68C602" w:rsidR="00623818" w:rsidRPr="008343BF" w:rsidRDefault="00623818" w:rsidP="0062381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042121"/>
      <w:bookmarkEnd w:id="0"/>
      <w:r w:rsidRPr="008343BF">
        <w:rPr>
          <w:rFonts w:ascii="Simplified Arabic" w:hAnsi="Simplified Arabic" w:cs="Simplified Arabic"/>
          <w:b/>
          <w:bCs/>
          <w:color w:val="000000" w:themeColor="text1"/>
          <w:sz w:val="36"/>
          <w:szCs w:val="36"/>
          <w:rtl/>
        </w:rPr>
        <w:t>2.1 مشكلة الدراسة</w:t>
      </w:r>
      <w:bookmarkEnd w:id="4"/>
    </w:p>
    <w:p w14:paraId="18F7E438" w14:textId="77777777" w:rsidR="00861D72" w:rsidRPr="008343BF" w:rsidRDefault="00861D72" w:rsidP="00623818">
      <w:pPr>
        <w:pStyle w:val="NormalWeb"/>
        <w:bidi/>
        <w:spacing w:line="276" w:lineRule="auto"/>
        <w:ind w:firstLine="707"/>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t>تواجه المؤسسات الصناعية والتجارية في بيئة الأعمال المعاصرة تحديات متزايدة التعقيد ترتبط بإدارة المخزون وسلاسل التوريد، إذ أصبح تحقيق التوازن بين تلبية احتياجات العملاء المتقلبة وبين تقليل التكاليف التشغيلية المرتبطة بالتخزين من أبرز المعضلات الاستراتيجية التي تستنزف موارد المؤسسات وتُضعف قدرتها التنافسية. وتشير الشواهد الميدانية والأدبيات العلمية الحديثة إلى أنّ نسبة تتراوح بين 20% و40% من إجمالي مخزون مؤسسات التجزئة والصناعة تتحول إلى مخزون راكد لا يُباع ولا يُستخدم لفترات طويلة</w:t>
      </w:r>
      <w:r w:rsidRPr="008343BF">
        <w:rPr>
          <w:rFonts w:ascii="Simplified Arabic" w:hAnsi="Simplified Arabic" w:cs="Simplified Arabic"/>
          <w:color w:val="000000" w:themeColor="text1"/>
          <w:sz w:val="28"/>
          <w:szCs w:val="28"/>
        </w:rPr>
        <w:t xml:space="preserve"> (Li, Seva &amp; Chiu, 2025)</w:t>
      </w:r>
      <w:r w:rsidRPr="008343BF">
        <w:rPr>
          <w:rFonts w:ascii="Simplified Arabic" w:hAnsi="Simplified Arabic" w:cs="Simplified Arabic"/>
          <w:color w:val="000000" w:themeColor="text1"/>
          <w:sz w:val="28"/>
          <w:szCs w:val="28"/>
          <w:rtl/>
        </w:rPr>
        <w:t>، مما يترتب عليه تكاليف احتفاظ مرتفعة تشمل تكاليف التخزين المادي والتأمين والتقادم والتلف، فضلًا عن تجميد رؤوس أموال كان يمكن توجيهها نحو استثمارات إنتاجية أكثر جدوى</w:t>
      </w:r>
      <w:r w:rsidRPr="008343BF">
        <w:rPr>
          <w:rFonts w:ascii="Simplified Arabic" w:hAnsi="Simplified Arabic" w:cs="Simplified Arabic"/>
          <w:color w:val="000000" w:themeColor="text1"/>
          <w:sz w:val="28"/>
          <w:szCs w:val="28"/>
        </w:rPr>
        <w:t>.</w:t>
      </w:r>
    </w:p>
    <w:p w14:paraId="78FAEC7E" w14:textId="77777777" w:rsidR="00861D72" w:rsidRPr="008343BF" w:rsidRDefault="00861D72" w:rsidP="00623818">
      <w:pPr>
        <w:pStyle w:val="NormalWeb"/>
        <w:bidi/>
        <w:spacing w:line="276" w:lineRule="auto"/>
        <w:ind w:firstLine="707"/>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t>وتتجذّر هذه المشكلة بشكل رئيسي في ضعف دقة التنبؤ بالطلب، إذ أكدت دراسة</w:t>
      </w:r>
      <w:r w:rsidRPr="008343BF">
        <w:rPr>
          <w:rFonts w:ascii="Simplified Arabic" w:hAnsi="Simplified Arabic" w:cs="Simplified Arabic"/>
          <w:color w:val="000000" w:themeColor="text1"/>
          <w:sz w:val="28"/>
          <w:szCs w:val="28"/>
        </w:rPr>
        <w:t xml:space="preserve"> Feizabadi (2022) </w:t>
      </w:r>
      <w:r w:rsidRPr="008343BF">
        <w:rPr>
          <w:rFonts w:ascii="Simplified Arabic" w:hAnsi="Simplified Arabic" w:cs="Simplified Arabic"/>
          <w:color w:val="000000" w:themeColor="text1"/>
          <w:sz w:val="28"/>
          <w:szCs w:val="28"/>
          <w:rtl/>
        </w:rPr>
        <w:t xml:space="preserve">أنّ تشوّه معلومات الطلب وتضخم التباين عبر مراحل سلسلة التوريد — وهو ما يُعرف بأثر السوط </w:t>
      </w:r>
      <w:r w:rsidRPr="008343BF">
        <w:rPr>
          <w:rFonts w:ascii="Simplified Arabic" w:hAnsi="Simplified Arabic" w:cs="Simplified Arabic"/>
          <w:color w:val="000000" w:themeColor="text1"/>
          <w:sz w:val="28"/>
          <w:szCs w:val="28"/>
        </w:rPr>
        <w:t xml:space="preserve">(Bullwhip Effect) — </w:t>
      </w:r>
      <w:r w:rsidRPr="008343BF">
        <w:rPr>
          <w:rFonts w:ascii="Simplified Arabic" w:hAnsi="Simplified Arabic" w:cs="Simplified Arabic"/>
          <w:color w:val="000000" w:themeColor="text1"/>
          <w:sz w:val="28"/>
          <w:szCs w:val="28"/>
          <w:rtl/>
        </w:rPr>
        <w:t xml:space="preserve">ينجم في جوهره عن قصور أساليب التنبؤ المستخدمة وعدم ملاءمتها لطبيعة البيانات وأنماط الطلب المتغيرة. وقد أوضحت دراسة </w:t>
      </w:r>
      <w:r w:rsidRPr="008343BF">
        <w:rPr>
          <w:rFonts w:ascii="Simplified Arabic" w:hAnsi="Simplified Arabic" w:cs="Simplified Arabic"/>
          <w:color w:val="000000" w:themeColor="text1"/>
          <w:sz w:val="28"/>
          <w:szCs w:val="28"/>
        </w:rPr>
        <w:t xml:space="preserve">Theodorou, Spiliotis and Assimakopoulos (2025) </w:t>
      </w:r>
      <w:r w:rsidRPr="008343BF">
        <w:rPr>
          <w:rFonts w:ascii="Simplified Arabic" w:hAnsi="Simplified Arabic" w:cs="Simplified Arabic"/>
          <w:color w:val="000000" w:themeColor="text1"/>
          <w:sz w:val="28"/>
          <w:szCs w:val="28"/>
          <w:rtl/>
        </w:rPr>
        <w:t xml:space="preserve">أنّ العلاقة بين دقة التنبؤ وأداء المخزون تظل غير محسومة في الأدبيات الأكاديمية، إذ خلصت بعض الدراسات إلى ضعف الارتباط بينهما بينما أشارت دراسات أخرى إلى أنّ هذا الضعف الظاهري يعود </w:t>
      </w:r>
      <w:r w:rsidRPr="008343BF">
        <w:rPr>
          <w:rFonts w:ascii="Simplified Arabic" w:hAnsi="Simplified Arabic" w:cs="Simplified Arabic"/>
          <w:color w:val="000000" w:themeColor="text1"/>
          <w:sz w:val="28"/>
          <w:szCs w:val="28"/>
          <w:rtl/>
        </w:rPr>
        <w:lastRenderedPageBreak/>
        <w:t>إلى اختلاف مقاييس التقييم وسياسات المخزون المستخدمة وليس إلى انعدام العلاقة ذاتها، وهو ما يطرح تساؤلات بحثية جوهرية حول الشروط والظروف التي يُترجم فيها التحسن في دقة التنبؤ إلى وفورات فعلية في تكاليف المخزون</w:t>
      </w:r>
      <w:r w:rsidRPr="008343BF">
        <w:rPr>
          <w:rFonts w:ascii="Simplified Arabic" w:hAnsi="Simplified Arabic" w:cs="Simplified Arabic"/>
          <w:color w:val="000000" w:themeColor="text1"/>
          <w:sz w:val="28"/>
          <w:szCs w:val="28"/>
        </w:rPr>
        <w:t>.</w:t>
      </w:r>
    </w:p>
    <w:p w14:paraId="4D4F87CC" w14:textId="033A9BAD" w:rsidR="00861D72" w:rsidRPr="008343BF" w:rsidRDefault="00861D72" w:rsidP="00623818">
      <w:pPr>
        <w:pStyle w:val="NormalWeb"/>
        <w:bidi/>
        <w:spacing w:line="276" w:lineRule="auto"/>
        <w:ind w:firstLine="707"/>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t>ومن الناحية التطبيقية، لا تزال كثير من المؤسسات العربية عمومًا والمصرية خصوصًا تعتمد على أساليب تنبؤ تقليدية وبدائية تقوم على الخبرة الشخصية والتقدير الحدسي أو على نماذج كمية بسيطة دون أن تستفيد من التطورات المتسارعة في تقنيات التعلم الآلي والنماذج الهجينة التي أثبتت دراسات حديثة — كدراسة</w:t>
      </w:r>
      <w:r w:rsidRPr="008343BF">
        <w:rPr>
          <w:rFonts w:ascii="Simplified Arabic" w:hAnsi="Simplified Arabic" w:cs="Simplified Arabic"/>
          <w:color w:val="000000" w:themeColor="text1"/>
          <w:sz w:val="28"/>
          <w:szCs w:val="28"/>
        </w:rPr>
        <w:t xml:space="preserve"> Yani and Aamer (2023) — </w:t>
      </w:r>
      <w:r w:rsidRPr="008343BF">
        <w:rPr>
          <w:rFonts w:ascii="Simplified Arabic" w:hAnsi="Simplified Arabic" w:cs="Simplified Arabic"/>
          <w:color w:val="000000" w:themeColor="text1"/>
          <w:sz w:val="28"/>
          <w:szCs w:val="28"/>
          <w:rtl/>
        </w:rPr>
        <w:t>قدرتها على تحسين دقة التنبؤ بنسب تتراوح بين 10% و41% مقارنةً بالأساليب التقليدية. وقد كشفت دراسة طول وبكّار (2023) ودراسة هبال وقرقيط (2022) عن أنّ المؤسسات الجزائرية  حيث تعاني من فجوة واضحة بين الإمكانات النظرية لأساليب التنبؤ الحديثة وبين واقع تطبيقها الفعلي، مما يُفضي إلى قرارات شراء وتوريد غير رشيدة تُراكم المخزون الراكد وترفع تكاليف التخزين</w:t>
      </w:r>
      <w:r w:rsidRPr="008343BF">
        <w:rPr>
          <w:rFonts w:ascii="Simplified Arabic" w:hAnsi="Simplified Arabic" w:cs="Simplified Arabic"/>
          <w:color w:val="000000" w:themeColor="text1"/>
          <w:sz w:val="28"/>
          <w:szCs w:val="28"/>
        </w:rPr>
        <w:t>.</w:t>
      </w:r>
    </w:p>
    <w:p w14:paraId="7F1977D8" w14:textId="5BF6B518" w:rsidR="00861D72" w:rsidRPr="008343BF" w:rsidRDefault="00861D72" w:rsidP="00623818">
      <w:pPr>
        <w:pStyle w:val="NormalWeb"/>
        <w:bidi/>
        <w:spacing w:line="276" w:lineRule="auto"/>
        <w:ind w:firstLine="707"/>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t>كما أنّ دراسة</w:t>
      </w:r>
      <w:r w:rsidRPr="008343BF">
        <w:rPr>
          <w:rFonts w:ascii="Simplified Arabic" w:hAnsi="Simplified Arabic" w:cs="Simplified Arabic"/>
          <w:color w:val="000000" w:themeColor="text1"/>
          <w:sz w:val="28"/>
          <w:szCs w:val="28"/>
        </w:rPr>
        <w:t xml:space="preserve"> Srisamai and Siriruk (2023) </w:t>
      </w:r>
      <w:r w:rsidRPr="008343BF">
        <w:rPr>
          <w:rFonts w:ascii="Simplified Arabic" w:hAnsi="Simplified Arabic" w:cs="Simplified Arabic"/>
          <w:color w:val="000000" w:themeColor="text1"/>
          <w:sz w:val="28"/>
          <w:szCs w:val="28"/>
          <w:rtl/>
        </w:rPr>
        <w:t>أثبتت أنّ مجرد تطبيق أساليب تنبؤ كمية منهجية في شركة بيع إلكترونيات بالجملة أدى إلى تقليل فرص المبيعات الضائعة بنسبة 10% وتخفيض المخزون الراكد بنسبة 10%، مما يؤكد أنّ العائد من تحسين دقة التنبؤ ليس نظريًا فحسب بل يتجسّد في وفورات مالية وتشغيلية ملموسة. وعلى الرغم من ذلك، فإنّ الأدبيات العربية تفتقر بشكل لافت إلى دراسات تربط بشكل مباشر وقابل للقياس بين أبعاد دقة التنبؤ بالطلب المتعددة  من نماذج كمية وسلاسل زمنية وتعلم آلي ونماذج هجينة — وبين مخرجات المخزون الملموسة المتمثلة في حجم المخزون الراكد وتكاليف التخزين الفعلية</w:t>
      </w:r>
      <w:r w:rsidRPr="008343BF">
        <w:rPr>
          <w:rFonts w:ascii="Simplified Arabic" w:hAnsi="Simplified Arabic" w:cs="Simplified Arabic"/>
          <w:color w:val="000000" w:themeColor="text1"/>
          <w:sz w:val="28"/>
          <w:szCs w:val="28"/>
        </w:rPr>
        <w:t>.</w:t>
      </w:r>
    </w:p>
    <w:p w14:paraId="0F179867" w14:textId="138E6603" w:rsidR="00861D72" w:rsidRPr="008343BF" w:rsidRDefault="00861D72" w:rsidP="00623818">
      <w:pPr>
        <w:pStyle w:val="NormalWeb"/>
        <w:bidi/>
        <w:spacing w:line="276" w:lineRule="auto"/>
        <w:ind w:firstLine="707"/>
        <w:jc w:val="both"/>
        <w:rPr>
          <w:rFonts w:ascii="Simplified Arabic" w:hAnsi="Simplified Arabic" w:cs="Simplified Arabic"/>
          <w:color w:val="000000" w:themeColor="text1"/>
          <w:sz w:val="28"/>
          <w:szCs w:val="28"/>
        </w:rPr>
      </w:pPr>
      <w:r w:rsidRPr="008343BF">
        <w:rPr>
          <w:rFonts w:ascii="Simplified Arabic" w:hAnsi="Simplified Arabic" w:cs="Simplified Arabic"/>
          <w:color w:val="000000" w:themeColor="text1"/>
          <w:sz w:val="28"/>
          <w:szCs w:val="28"/>
          <w:rtl/>
        </w:rPr>
        <w:t xml:space="preserve">وعليه، فإنّ مشكلة الدراسة الحالية تتبلور في وجود قصور في فهم طبيعة الأثر ومقداره واتجاهه بين أبعاد دقة التنبؤ بالطلب </w:t>
      </w:r>
      <w:r w:rsidRPr="008343BF">
        <w:rPr>
          <w:rFonts w:ascii="Simplified Arabic" w:hAnsi="Simplified Arabic" w:cs="Simplified Arabic"/>
          <w:color w:val="000000" w:themeColor="text1"/>
          <w:sz w:val="28"/>
          <w:szCs w:val="28"/>
        </w:rPr>
        <w:t>(</w:t>
      </w:r>
      <w:r w:rsidRPr="008343BF">
        <w:rPr>
          <w:rFonts w:ascii="Simplified Arabic" w:hAnsi="Simplified Arabic" w:cs="Simplified Arabic"/>
          <w:color w:val="000000" w:themeColor="text1"/>
          <w:sz w:val="28"/>
          <w:szCs w:val="28"/>
          <w:rtl/>
        </w:rPr>
        <w:t>دقة النماذج الكمية للتنبؤ، دقة نماذج التعلم الآلي في التنبؤ، دقة تحليل السلاسل الزمنية، دقة النماذج الهجينة للتنبؤ) وبين تخفيض المخزون الراكد وتكاليف التخزين في المؤسسات الصناعية والتجارية المصرية، وهو ما تسعى هذه الدراسة إلى معالجته من خلال بناء نموذج بحثي متكامل واختباره ميدانيًا للإجابة عن التساؤل الرئيسي</w:t>
      </w:r>
      <w:r w:rsidRPr="008343BF">
        <w:rPr>
          <w:rFonts w:ascii="Simplified Arabic" w:hAnsi="Simplified Arabic" w:cs="Simplified Arabic"/>
          <w:color w:val="000000" w:themeColor="text1"/>
          <w:sz w:val="28"/>
          <w:szCs w:val="28"/>
        </w:rPr>
        <w:t xml:space="preserve">: </w:t>
      </w:r>
      <w:r w:rsidRPr="008343BF">
        <w:rPr>
          <w:rStyle w:val="Strong"/>
          <w:rFonts w:ascii="Simplified Arabic" w:hAnsi="Simplified Arabic" w:cs="Simplified Arabic"/>
          <w:b w:val="0"/>
          <w:bCs w:val="0"/>
          <w:color w:val="000000" w:themeColor="text1"/>
          <w:sz w:val="28"/>
          <w:szCs w:val="28"/>
          <w:rtl/>
        </w:rPr>
        <w:t>ما أثر دقة التنبؤ بالطلب بأبعاده على تخفيض المخزون الراكد وتكاليف التخزين في المؤسسات الصناعية والتجارية بالسعودية ؟</w:t>
      </w:r>
    </w:p>
    <w:p w14:paraId="60D2E0F9" w14:textId="77777777" w:rsidR="00623818" w:rsidRPr="008343BF" w:rsidRDefault="00623818" w:rsidP="0062381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5" w:name="_Toc169790500"/>
      <w:bookmarkStart w:id="6" w:name="_Toc233042122"/>
      <w:bookmarkEnd w:id="1"/>
      <w:r w:rsidRPr="008343BF">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2DF88F40" w14:textId="77777777" w:rsidR="00861D72" w:rsidRPr="008343BF" w:rsidRDefault="00861D72" w:rsidP="00623818">
      <w:pPr>
        <w:spacing w:before="100" w:beforeAutospacing="1" w:after="100" w:afterAutospacing="1" w:line="276" w:lineRule="auto"/>
        <w:ind w:firstLine="707"/>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تهدف الدراسة الحالية إلى دراسة أثر دقة التنبؤ بالطلب بأبعاده (دقة النماذج الكمية للتنبؤ، دقة نماذج التعلم الآلي في التنبؤ، دقة تحليل السلاسل الزمنية، دقة النماذج الهجينة للتنبؤ) 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339C6165" w14:textId="7CADE0B7" w:rsidR="00861D72" w:rsidRPr="008343BF" w:rsidRDefault="00861D72"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7" w:name="_Toc223214113"/>
      <w:r w:rsidRPr="008343BF">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8343BF">
        <w:rPr>
          <w:rFonts w:ascii="Simplified Arabic" w:eastAsia="Times New Roman" w:hAnsi="Simplified Arabic" w:cs="Simplified Arabic"/>
          <w:b/>
          <w:bCs/>
          <w:color w:val="000000" w:themeColor="text1"/>
          <w:kern w:val="0"/>
          <w:sz w:val="28"/>
          <w:szCs w:val="28"/>
          <w14:ligatures w14:val="none"/>
        </w:rPr>
        <w:t>:</w:t>
      </w:r>
      <w:bookmarkEnd w:id="7"/>
    </w:p>
    <w:p w14:paraId="11511CB0" w14:textId="5E48F4B3" w:rsidR="00861D72" w:rsidRPr="008343BF" w:rsidRDefault="00861D72" w:rsidP="00623818">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التعرف على أثر دقة النماذج الكمية للتنبؤ 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6FC639DE" w14:textId="2FE06C5E" w:rsidR="00861D72" w:rsidRPr="008343BF" w:rsidRDefault="00861D72" w:rsidP="00623818">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التعرف على أثر دقة نماذج التعلم الآلي في التنبؤ </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22A6E0C0" w14:textId="4FAA16DB" w:rsidR="00861D72" w:rsidRPr="008343BF" w:rsidRDefault="00861D72" w:rsidP="00623818">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التعرف على أثر دقة تحليل السلاسل الزمنية 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7708FD30" w14:textId="4E1D3A5A" w:rsidR="00861D72" w:rsidRPr="008343BF" w:rsidRDefault="00861D72" w:rsidP="00623818">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التعرف على أثر دقة النماذج الهجينة للتنبؤ 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04F8EACE" w14:textId="77777777" w:rsidR="00861D72" w:rsidRPr="008343BF" w:rsidRDefault="00861D72" w:rsidP="00623818">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تقديم إطار مقترح يوضح كيفية توظيف أساليب التنبؤ بالطلب الأكثر دقة في تقليل حجم المخزون الراكد وتحقيق وفورات في تكاليف التخزين</w:t>
      </w:r>
      <w:r w:rsidRPr="008343BF">
        <w:rPr>
          <w:rFonts w:ascii="Simplified Arabic" w:eastAsia="Times New Roman" w:hAnsi="Simplified Arabic" w:cs="Simplified Arabic"/>
          <w:color w:val="000000" w:themeColor="text1"/>
          <w:kern w:val="0"/>
          <w:sz w:val="28"/>
          <w:szCs w:val="28"/>
          <w14:ligatures w14:val="none"/>
        </w:rPr>
        <w:t>.</w:t>
      </w:r>
    </w:p>
    <w:p w14:paraId="5C54A1F2" w14:textId="77777777" w:rsidR="00861D72" w:rsidRPr="008343BF" w:rsidRDefault="00861D72" w:rsidP="00623818">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الوقوف على أبرز المعوقات التي تواجه المؤسسات في تطبيق أساليب التنبؤ الحديثة وتقديم توصيات عملية للتغلب عليها</w:t>
      </w:r>
      <w:r w:rsidRPr="008343BF">
        <w:rPr>
          <w:rFonts w:ascii="Simplified Arabic" w:eastAsia="Times New Roman" w:hAnsi="Simplified Arabic" w:cs="Simplified Arabic"/>
          <w:color w:val="000000" w:themeColor="text1"/>
          <w:kern w:val="0"/>
          <w:sz w:val="28"/>
          <w:szCs w:val="28"/>
          <w14:ligatures w14:val="none"/>
        </w:rPr>
        <w:t>.</w:t>
      </w:r>
    </w:p>
    <w:p w14:paraId="6CD9A299" w14:textId="77777777" w:rsidR="00623818" w:rsidRPr="008343BF" w:rsidRDefault="00623818" w:rsidP="0062381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042123"/>
      <w:r w:rsidRPr="008343BF">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242E30EA" w14:textId="743FC3E3" w:rsidR="00623818" w:rsidRPr="008343BF" w:rsidRDefault="00623818"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343BF">
        <w:rPr>
          <w:rFonts w:ascii="Simplified Arabic" w:eastAsia="Times New Roman" w:hAnsi="Simplified Arabic" w:cs="Simplified Arabic"/>
          <w:b/>
          <w:bCs/>
          <w:color w:val="000000" w:themeColor="text1"/>
          <w:kern w:val="0"/>
          <w:sz w:val="32"/>
          <w:szCs w:val="32"/>
          <w:rtl/>
          <w14:ligatures w14:val="none"/>
        </w:rPr>
        <w:t>السؤال الرئيسي:</w:t>
      </w:r>
    </w:p>
    <w:p w14:paraId="7166B12A"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ما أثر دقة التنبؤ بالطلب بأبعاده </w:t>
      </w:r>
      <w:r w:rsidRPr="008343BF">
        <w:rPr>
          <w:rFonts w:ascii="Simplified Arabic" w:eastAsia="Times New Roman" w:hAnsi="Simplified Arabic" w:cs="Simplified Arabic"/>
          <w:color w:val="000000" w:themeColor="text1"/>
          <w:kern w:val="0"/>
          <w:sz w:val="28"/>
          <w:szCs w:val="28"/>
          <w14:ligatures w14:val="none"/>
        </w:rPr>
        <w:t>(</w:t>
      </w:r>
      <w:r w:rsidRPr="008343BF">
        <w:rPr>
          <w:rFonts w:ascii="Simplified Arabic" w:eastAsia="Times New Roman" w:hAnsi="Simplified Arabic" w:cs="Simplified Arabic"/>
          <w:color w:val="000000" w:themeColor="text1"/>
          <w:kern w:val="0"/>
          <w:sz w:val="28"/>
          <w:szCs w:val="28"/>
          <w:rtl/>
          <w14:ligatures w14:val="none"/>
        </w:rPr>
        <w:t>دقة النماذج الكمية للتنبؤ، دقة نماذج التعلم الآلي في التنبؤ، دقة تحليل السلاسل الزمنية، دقة النماذج الهجينة للتنبؤ) على تخفيض المخزون الراكد وتكاليف التخزين في المؤسسات الصناعية والتجارية؟</w:t>
      </w:r>
    </w:p>
    <w:p w14:paraId="0BA7940B" w14:textId="77777777" w:rsidR="00861D72" w:rsidRPr="008343BF" w:rsidRDefault="00861D72"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3214116"/>
      <w:r w:rsidRPr="008343BF">
        <w:rPr>
          <w:rFonts w:ascii="Simplified Arabic" w:eastAsia="Times New Roman" w:hAnsi="Simplified Arabic" w:cs="Simplified Arabic"/>
          <w:b/>
          <w:bCs/>
          <w:color w:val="000000" w:themeColor="text1"/>
          <w:kern w:val="0"/>
          <w:sz w:val="32"/>
          <w:szCs w:val="32"/>
          <w:rtl/>
          <w14:ligatures w14:val="none"/>
        </w:rPr>
        <w:t>الأسئلة الفرعية</w:t>
      </w:r>
      <w:r w:rsidRPr="008343BF">
        <w:rPr>
          <w:rFonts w:ascii="Simplified Arabic" w:eastAsia="Times New Roman" w:hAnsi="Simplified Arabic" w:cs="Simplified Arabic"/>
          <w:b/>
          <w:bCs/>
          <w:color w:val="000000" w:themeColor="text1"/>
          <w:kern w:val="0"/>
          <w:sz w:val="32"/>
          <w:szCs w:val="32"/>
          <w14:ligatures w14:val="none"/>
        </w:rPr>
        <w:t>:</w:t>
      </w:r>
      <w:bookmarkEnd w:id="9"/>
    </w:p>
    <w:p w14:paraId="36E7202C" w14:textId="77777777" w:rsidR="00861D72" w:rsidRPr="008343BF" w:rsidRDefault="00861D72" w:rsidP="0062381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ما أثر دقة النماذج الكمية للتنبؤ على تخفيض المخزون الراكد وتكاليف التخزين في المؤسسات الصناعية والتجارية؟</w:t>
      </w:r>
    </w:p>
    <w:p w14:paraId="5BC9F7F9" w14:textId="77777777" w:rsidR="00861D72" w:rsidRPr="008343BF" w:rsidRDefault="00861D72" w:rsidP="0062381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ما أثر دقة نماذج التعلم الآلي في التنبؤ على تخفيض المخزون الراكد وتكاليف التخزين في المؤسسات الصناعية والتجارية؟</w:t>
      </w:r>
    </w:p>
    <w:p w14:paraId="6E3AE9F0" w14:textId="77777777" w:rsidR="00861D72" w:rsidRPr="008343BF" w:rsidRDefault="00861D72" w:rsidP="0062381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ما أثر دقة تحليل السلاسل الزمنية على تخفيض المخزون الراكد وتكاليف التخزين في المؤسسات الصناعية والتجارية؟</w:t>
      </w:r>
    </w:p>
    <w:p w14:paraId="652D9E43" w14:textId="77777777" w:rsidR="00861D72" w:rsidRPr="008343BF" w:rsidRDefault="00861D72" w:rsidP="0062381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ما أثر دقة النماذج الهجينة للتنبؤ على تخفيض المخزون الراكد وتكاليف التخزين في المؤسسات الصناعية والتجارية؟</w:t>
      </w:r>
    </w:p>
    <w:p w14:paraId="221D56C5" w14:textId="77777777" w:rsidR="00861D72" w:rsidRPr="008343BF" w:rsidRDefault="00861D72" w:rsidP="0062381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ما البُعد الأكثر تأثيرًا من أبعاد دقة التنبؤ بالطلب على تخفيض المخزون الراكد وتكاليف التخزين؟</w:t>
      </w:r>
    </w:p>
    <w:p w14:paraId="5A9682A8" w14:textId="77777777" w:rsidR="00861D72" w:rsidRPr="008343BF" w:rsidRDefault="00861D72" w:rsidP="0062381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ما مستوى تطبيق أساليب التنبؤ بالطلب الحديثة في المؤسسات محل الدراسة؟</w:t>
      </w:r>
    </w:p>
    <w:p w14:paraId="5B1F3E9F" w14:textId="77777777" w:rsidR="00861D72" w:rsidRPr="008343BF" w:rsidRDefault="00861D72" w:rsidP="0062381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ما أبرز المعوقات التي تحول دون تطبيق أساليب التنبؤ الحديثة في المؤسسات محل الدراسة؟</w:t>
      </w:r>
    </w:p>
    <w:p w14:paraId="24583068" w14:textId="77777777" w:rsidR="00623818" w:rsidRPr="008343BF" w:rsidRDefault="00623818" w:rsidP="0062381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042124"/>
      <w:r w:rsidRPr="008343BF">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7DC8E273" w14:textId="6645C877" w:rsidR="00623818" w:rsidRPr="008343BF" w:rsidRDefault="00623818"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343BF">
        <w:rPr>
          <w:rFonts w:ascii="Simplified Arabic" w:eastAsia="Times New Roman" w:hAnsi="Simplified Arabic" w:cs="Simplified Arabic"/>
          <w:b/>
          <w:bCs/>
          <w:color w:val="000000" w:themeColor="text1"/>
          <w:kern w:val="0"/>
          <w:sz w:val="32"/>
          <w:szCs w:val="32"/>
          <w:rtl/>
          <w14:ligatures w14:val="none"/>
        </w:rPr>
        <w:t>الفرض الرئيسي:</w:t>
      </w:r>
    </w:p>
    <w:p w14:paraId="4478C0B0"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43BF">
        <w:rPr>
          <w:rFonts w:ascii="Simplified Arabic" w:eastAsia="Times New Roman" w:hAnsi="Simplified Arabic" w:cs="Simplified Arabic"/>
          <w:color w:val="000000" w:themeColor="text1"/>
          <w:kern w:val="0"/>
          <w:sz w:val="28"/>
          <w:szCs w:val="28"/>
          <w14:ligatures w14:val="none"/>
        </w:rPr>
        <w:t xml:space="preserve"> (0.05 </w:t>
      </w:r>
      <w:r w:rsidRPr="008343BF">
        <w:rPr>
          <w:rFonts w:ascii="Times New Roman" w:eastAsia="Times New Roman" w:hAnsi="Times New Roman" w:cs="Times New Roman"/>
          <w:color w:val="000000" w:themeColor="text1"/>
          <w:kern w:val="0"/>
          <w:sz w:val="28"/>
          <w:szCs w:val="28"/>
          <w14:ligatures w14:val="none"/>
        </w:rPr>
        <w:t>≥</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Cambria" w:eastAsia="Times New Roman" w:hAnsi="Cambria" w:cs="Cambria"/>
          <w:color w:val="000000" w:themeColor="text1"/>
          <w:kern w:val="0"/>
          <w:sz w:val="28"/>
          <w:szCs w:val="28"/>
          <w14:ligatures w14:val="none"/>
        </w:rPr>
        <w:t>α</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لدقة التنبؤ بالطلب بأبعاده (دقة النماذج الكمية للتنبؤ، دقة نماذج التعلم الآلي في التنبؤ، دقة تحليل السلاسل الزمنية، دقة النماذج الهجينة للتنبؤ) 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6784F042" w14:textId="77777777" w:rsidR="00861D72" w:rsidRPr="008343BF" w:rsidRDefault="00861D72"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214119"/>
      <w:r w:rsidRPr="008343BF">
        <w:rPr>
          <w:rFonts w:ascii="Simplified Arabic" w:eastAsia="Times New Roman" w:hAnsi="Simplified Arabic" w:cs="Simplified Arabic"/>
          <w:b/>
          <w:bCs/>
          <w:color w:val="000000" w:themeColor="text1"/>
          <w:kern w:val="0"/>
          <w:sz w:val="32"/>
          <w:szCs w:val="32"/>
          <w:rtl/>
          <w14:ligatures w14:val="none"/>
        </w:rPr>
        <w:t>الفروض الفرعية</w:t>
      </w:r>
      <w:r w:rsidRPr="008343BF">
        <w:rPr>
          <w:rFonts w:ascii="Simplified Arabic" w:eastAsia="Times New Roman" w:hAnsi="Simplified Arabic" w:cs="Simplified Arabic"/>
          <w:b/>
          <w:bCs/>
          <w:color w:val="000000" w:themeColor="text1"/>
          <w:kern w:val="0"/>
          <w:sz w:val="32"/>
          <w:szCs w:val="32"/>
          <w14:ligatures w14:val="none"/>
        </w:rPr>
        <w:t>:</w:t>
      </w:r>
      <w:bookmarkEnd w:id="11"/>
    </w:p>
    <w:p w14:paraId="72020963" w14:textId="77777777" w:rsidR="00861D72" w:rsidRPr="008343BF" w:rsidRDefault="00861D72" w:rsidP="0062381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الفرض الفرعي الأول</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43BF">
        <w:rPr>
          <w:rFonts w:ascii="Simplified Arabic" w:eastAsia="Times New Roman" w:hAnsi="Simplified Arabic" w:cs="Simplified Arabic"/>
          <w:color w:val="000000" w:themeColor="text1"/>
          <w:kern w:val="0"/>
          <w:sz w:val="28"/>
          <w:szCs w:val="28"/>
          <w14:ligatures w14:val="none"/>
        </w:rPr>
        <w:t xml:space="preserve"> (0.05 </w:t>
      </w:r>
      <w:r w:rsidRPr="008343BF">
        <w:rPr>
          <w:rFonts w:ascii="Times New Roman" w:eastAsia="Times New Roman" w:hAnsi="Times New Roman" w:cs="Times New Roman"/>
          <w:color w:val="000000" w:themeColor="text1"/>
          <w:kern w:val="0"/>
          <w:sz w:val="28"/>
          <w:szCs w:val="28"/>
          <w14:ligatures w14:val="none"/>
        </w:rPr>
        <w:t>≥</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Cambria" w:eastAsia="Times New Roman" w:hAnsi="Cambria" w:cs="Cambria"/>
          <w:color w:val="000000" w:themeColor="text1"/>
          <w:kern w:val="0"/>
          <w:sz w:val="28"/>
          <w:szCs w:val="28"/>
          <w14:ligatures w14:val="none"/>
        </w:rPr>
        <w:t>α</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لدقة النماذج الكمية للتنبؤ 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532F0D01" w14:textId="77777777" w:rsidR="00861D72" w:rsidRPr="008343BF" w:rsidRDefault="00861D72" w:rsidP="0062381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الفرض الفرعي الثاني</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43BF">
        <w:rPr>
          <w:rFonts w:ascii="Simplified Arabic" w:eastAsia="Times New Roman" w:hAnsi="Simplified Arabic" w:cs="Simplified Arabic"/>
          <w:color w:val="000000" w:themeColor="text1"/>
          <w:kern w:val="0"/>
          <w:sz w:val="28"/>
          <w:szCs w:val="28"/>
          <w14:ligatures w14:val="none"/>
        </w:rPr>
        <w:t xml:space="preserve"> (0.05 </w:t>
      </w:r>
      <w:r w:rsidRPr="008343BF">
        <w:rPr>
          <w:rFonts w:ascii="Times New Roman" w:eastAsia="Times New Roman" w:hAnsi="Times New Roman" w:cs="Times New Roman"/>
          <w:color w:val="000000" w:themeColor="text1"/>
          <w:kern w:val="0"/>
          <w:sz w:val="28"/>
          <w:szCs w:val="28"/>
          <w14:ligatures w14:val="none"/>
        </w:rPr>
        <w:t>≥</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Cambria" w:eastAsia="Times New Roman" w:hAnsi="Cambria" w:cs="Cambria"/>
          <w:color w:val="000000" w:themeColor="text1"/>
          <w:kern w:val="0"/>
          <w:sz w:val="28"/>
          <w:szCs w:val="28"/>
          <w14:ligatures w14:val="none"/>
        </w:rPr>
        <w:t>α</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لدقة نماذج التعلم الآلي في التنبؤ 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4F12CAE3" w14:textId="77777777" w:rsidR="00861D72" w:rsidRPr="008343BF" w:rsidRDefault="00861D72" w:rsidP="0062381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lastRenderedPageBreak/>
        <w:t>الفرض الفرعي الثالث</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43BF">
        <w:rPr>
          <w:rFonts w:ascii="Simplified Arabic" w:eastAsia="Times New Roman" w:hAnsi="Simplified Arabic" w:cs="Simplified Arabic"/>
          <w:color w:val="000000" w:themeColor="text1"/>
          <w:kern w:val="0"/>
          <w:sz w:val="28"/>
          <w:szCs w:val="28"/>
          <w14:ligatures w14:val="none"/>
        </w:rPr>
        <w:t xml:space="preserve"> (0.05 </w:t>
      </w:r>
      <w:r w:rsidRPr="008343BF">
        <w:rPr>
          <w:rFonts w:ascii="Times New Roman" w:eastAsia="Times New Roman" w:hAnsi="Times New Roman" w:cs="Times New Roman"/>
          <w:color w:val="000000" w:themeColor="text1"/>
          <w:kern w:val="0"/>
          <w:sz w:val="28"/>
          <w:szCs w:val="28"/>
          <w14:ligatures w14:val="none"/>
        </w:rPr>
        <w:t>≥</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Cambria" w:eastAsia="Times New Roman" w:hAnsi="Cambria" w:cs="Cambria"/>
          <w:color w:val="000000" w:themeColor="text1"/>
          <w:kern w:val="0"/>
          <w:sz w:val="28"/>
          <w:szCs w:val="28"/>
          <w14:ligatures w14:val="none"/>
        </w:rPr>
        <w:t>α</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لدقة تحليل السلاسل الزمنية 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1EFE330B" w14:textId="77777777" w:rsidR="00861D72" w:rsidRPr="008343BF" w:rsidRDefault="00861D72" w:rsidP="0062381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الفرض الفرعي</w:t>
      </w:r>
      <w:r w:rsidRPr="008343BF">
        <w:rPr>
          <w:rFonts w:ascii="Simplified Arabic" w:eastAsia="Times New Roman" w:hAnsi="Simplified Arabic" w:cs="Simplified Arabic"/>
          <w:color w:val="000000" w:themeColor="text1"/>
          <w:kern w:val="0"/>
          <w:sz w:val="28"/>
          <w:szCs w:val="28"/>
          <w:rtl/>
          <w14:ligatures w14:val="none"/>
        </w:rPr>
        <w:t xml:space="preserve"> الرابع</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43BF">
        <w:rPr>
          <w:rFonts w:ascii="Simplified Arabic" w:eastAsia="Times New Roman" w:hAnsi="Simplified Arabic" w:cs="Simplified Arabic"/>
          <w:color w:val="000000" w:themeColor="text1"/>
          <w:kern w:val="0"/>
          <w:sz w:val="28"/>
          <w:szCs w:val="28"/>
          <w14:ligatures w14:val="none"/>
        </w:rPr>
        <w:t xml:space="preserve"> (0.05 </w:t>
      </w:r>
      <w:r w:rsidRPr="008343BF">
        <w:rPr>
          <w:rFonts w:ascii="Times New Roman" w:eastAsia="Times New Roman" w:hAnsi="Times New Roman" w:cs="Times New Roman"/>
          <w:color w:val="000000" w:themeColor="text1"/>
          <w:kern w:val="0"/>
          <w:sz w:val="28"/>
          <w:szCs w:val="28"/>
          <w14:ligatures w14:val="none"/>
        </w:rPr>
        <w:t>≥</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Cambria" w:eastAsia="Times New Roman" w:hAnsi="Cambria" w:cs="Cambria"/>
          <w:color w:val="000000" w:themeColor="text1"/>
          <w:kern w:val="0"/>
          <w:sz w:val="28"/>
          <w:szCs w:val="28"/>
          <w14:ligatures w14:val="none"/>
        </w:rPr>
        <w:t>α</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لدقة النماذج الهجينة للتنبؤ على تخفيض المخزون الراكد وتكاليف التخزين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73E7F93B" w14:textId="7FBAC2EC" w:rsidR="00861D72" w:rsidRPr="008343BF" w:rsidRDefault="00623818" w:rsidP="006238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12" w:name="_Toc223214120"/>
      <w:bookmarkStart w:id="13" w:name="_Toc233042125"/>
      <w:r w:rsidRPr="008343BF">
        <w:rPr>
          <w:rFonts w:ascii="Simplified Arabic" w:eastAsia="Times New Roman" w:hAnsi="Simplified Arabic" w:cs="Simplified Arabic" w:hint="cs"/>
          <w:b/>
          <w:bCs/>
          <w:color w:val="000000" w:themeColor="text1"/>
          <w:kern w:val="36"/>
          <w:sz w:val="36"/>
          <w:szCs w:val="36"/>
          <w:rtl/>
          <w14:ligatures w14:val="none"/>
        </w:rPr>
        <w:t>6.1</w:t>
      </w:r>
      <w:r w:rsidR="00861D72" w:rsidRPr="008343BF">
        <w:rPr>
          <w:rFonts w:ascii="Simplified Arabic" w:eastAsia="Times New Roman" w:hAnsi="Simplified Arabic" w:cs="Simplified Arabic"/>
          <w:b/>
          <w:bCs/>
          <w:color w:val="000000" w:themeColor="text1"/>
          <w:kern w:val="36"/>
          <w:sz w:val="36"/>
          <w:szCs w:val="36"/>
          <w:rtl/>
          <w14:ligatures w14:val="none"/>
        </w:rPr>
        <w:t xml:space="preserve"> أهمية الدراسة</w:t>
      </w:r>
      <w:bookmarkEnd w:id="12"/>
      <w:bookmarkEnd w:id="13"/>
    </w:p>
    <w:p w14:paraId="25514811" w14:textId="77777777" w:rsidR="00861D72" w:rsidRPr="008343BF" w:rsidRDefault="00861D72"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214121"/>
      <w:r w:rsidRPr="008343BF">
        <w:rPr>
          <w:rFonts w:ascii="Simplified Arabic" w:eastAsia="Times New Roman" w:hAnsi="Simplified Arabic" w:cs="Simplified Arabic"/>
          <w:b/>
          <w:bCs/>
          <w:color w:val="000000" w:themeColor="text1"/>
          <w:kern w:val="0"/>
          <w:sz w:val="32"/>
          <w:szCs w:val="32"/>
          <w:rtl/>
          <w14:ligatures w14:val="none"/>
        </w:rPr>
        <w:t>الأهمية العلمية (النظرية)</w:t>
      </w:r>
      <w:r w:rsidRPr="008343BF">
        <w:rPr>
          <w:rFonts w:ascii="Simplified Arabic" w:eastAsia="Times New Roman" w:hAnsi="Simplified Arabic" w:cs="Simplified Arabic"/>
          <w:b/>
          <w:bCs/>
          <w:color w:val="000000" w:themeColor="text1"/>
          <w:kern w:val="0"/>
          <w:sz w:val="32"/>
          <w:szCs w:val="32"/>
          <w14:ligatures w14:val="none"/>
        </w:rPr>
        <w:t>:</w:t>
      </w:r>
      <w:bookmarkEnd w:id="14"/>
    </w:p>
    <w:p w14:paraId="3A4682ED" w14:textId="77777777" w:rsidR="00861D72" w:rsidRPr="008343BF" w:rsidRDefault="00861D72" w:rsidP="00623818">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تسهم الدراسة في إثراء الأدبيات العلمية العربية في مجال العلاقة بين دقة التنبؤ بالطلب وإدارة المخزون، وهو مجال لا يزال يفتقر إلى دراسات كافية باللغة العربية رغم غزارة الأدبيات الأجنبية فيه</w:t>
      </w:r>
      <w:r w:rsidRPr="008343BF">
        <w:rPr>
          <w:rFonts w:ascii="Simplified Arabic" w:eastAsia="Times New Roman" w:hAnsi="Simplified Arabic" w:cs="Simplified Arabic"/>
          <w:color w:val="000000" w:themeColor="text1"/>
          <w:kern w:val="0"/>
          <w:sz w:val="28"/>
          <w:szCs w:val="28"/>
          <w14:ligatures w14:val="none"/>
        </w:rPr>
        <w:t>.</w:t>
      </w:r>
    </w:p>
    <w:p w14:paraId="3E199444" w14:textId="77777777" w:rsidR="00861D72" w:rsidRPr="008343BF" w:rsidRDefault="00861D72" w:rsidP="00623818">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تقدم الدراسة إطارًا نظريًا متكاملًا يجمع بين أربعة أبعاد لدقة التنبؤ بالطلب (النماذج الكمية، التعلم الآلي، السلاسل الزمنية، النماذج الهجينة) في نموذج واحد، بدلًا من تناول كل بُعد بشكل منفصل كما فعلت معظم الدراسات السابقة</w:t>
      </w:r>
      <w:r w:rsidRPr="008343BF">
        <w:rPr>
          <w:rFonts w:ascii="Simplified Arabic" w:eastAsia="Times New Roman" w:hAnsi="Simplified Arabic" w:cs="Simplified Arabic"/>
          <w:color w:val="000000" w:themeColor="text1"/>
          <w:kern w:val="0"/>
          <w:sz w:val="28"/>
          <w:szCs w:val="28"/>
          <w14:ligatures w14:val="none"/>
        </w:rPr>
        <w:t>.</w:t>
      </w:r>
    </w:p>
    <w:p w14:paraId="7659CA31" w14:textId="77777777" w:rsidR="00861D72" w:rsidRPr="008343BF" w:rsidRDefault="00861D72" w:rsidP="00623818">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تسدّ الدراسة فجوة بحثية تتمثل في ندرة الدراسات التي تربط بشكل مباشر وقابل للقياس بين مستوى دقة التنبؤ وبين مخرجات المخزون الملموسة (حجم المخزون الراكد، تكاليف التخزين الفعلية)، إذ ركّزت دراسات كثيرة على دقة التنبؤ بذاتها دون تتبع أثرها على مؤشرات المخزون الواقعية</w:t>
      </w:r>
      <w:r w:rsidRPr="008343BF">
        <w:rPr>
          <w:rFonts w:ascii="Simplified Arabic" w:eastAsia="Times New Roman" w:hAnsi="Simplified Arabic" w:cs="Simplified Arabic"/>
          <w:color w:val="000000" w:themeColor="text1"/>
          <w:kern w:val="0"/>
          <w:sz w:val="28"/>
          <w:szCs w:val="28"/>
          <w14:ligatures w14:val="none"/>
        </w:rPr>
        <w:t>.</w:t>
      </w:r>
    </w:p>
    <w:p w14:paraId="6DAEC3AB" w14:textId="77777777" w:rsidR="00861D72" w:rsidRPr="008343BF" w:rsidRDefault="00861D72" w:rsidP="00623818">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تفتح الدراسة آفاقًا بحثية جديدة أمام الباحثين لاستكمال دراسة العلاقة بين أساليب التنبؤ الحديثة ومتغيرات تابعة أخرى مثل مستوى خدمة العملاء، ومعدل دوران المخزون، وكفاءة سلسلة التوريد ككل</w:t>
      </w:r>
      <w:r w:rsidRPr="008343BF">
        <w:rPr>
          <w:rFonts w:ascii="Simplified Arabic" w:eastAsia="Times New Roman" w:hAnsi="Simplified Arabic" w:cs="Simplified Arabic"/>
          <w:color w:val="000000" w:themeColor="text1"/>
          <w:kern w:val="0"/>
          <w:sz w:val="28"/>
          <w:szCs w:val="28"/>
          <w14:ligatures w14:val="none"/>
        </w:rPr>
        <w:t>.</w:t>
      </w:r>
    </w:p>
    <w:p w14:paraId="6495595A" w14:textId="77777777" w:rsidR="00861D72" w:rsidRPr="008343BF" w:rsidRDefault="00861D72" w:rsidP="00623818">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تُعدّ الدراسة مرجعًا علميًا يمكن أن يُستفاد منه في بناء مقاييس بحثية موثوقة لقياس أبعاد دقة التنبؤ بالطلب وأثرها على أداء المخزون، مما يسهّل على الباحثين المستقبليين تطوير أدوات قياس دقيقة في هذا المجال</w:t>
      </w:r>
      <w:r w:rsidRPr="008343BF">
        <w:rPr>
          <w:rFonts w:ascii="Simplified Arabic" w:eastAsia="Times New Roman" w:hAnsi="Simplified Arabic" w:cs="Simplified Arabic"/>
          <w:color w:val="000000" w:themeColor="text1"/>
          <w:kern w:val="0"/>
          <w:sz w:val="28"/>
          <w:szCs w:val="28"/>
          <w14:ligatures w14:val="none"/>
        </w:rPr>
        <w:t>.</w:t>
      </w:r>
    </w:p>
    <w:p w14:paraId="5091B0A1" w14:textId="77777777" w:rsidR="00861D72" w:rsidRPr="008343BF" w:rsidRDefault="00861D72"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3214122"/>
      <w:r w:rsidRPr="008343BF">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8343BF">
        <w:rPr>
          <w:rFonts w:ascii="Simplified Arabic" w:eastAsia="Times New Roman" w:hAnsi="Simplified Arabic" w:cs="Simplified Arabic"/>
          <w:b/>
          <w:bCs/>
          <w:color w:val="000000" w:themeColor="text1"/>
          <w:kern w:val="0"/>
          <w:sz w:val="32"/>
          <w:szCs w:val="32"/>
          <w14:ligatures w14:val="none"/>
        </w:rPr>
        <w:t>:</w:t>
      </w:r>
      <w:bookmarkEnd w:id="15"/>
    </w:p>
    <w:p w14:paraId="0031EFA7" w14:textId="77777777" w:rsidR="00861D72" w:rsidRPr="008343BF" w:rsidRDefault="00861D72" w:rsidP="0062381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تزوّد الدراسة مديري المخزون وسلاسل التوريد في المؤسسات الصناعية والتجارية بأدلة عملية حول الأسلوب التنبؤي الأنسب لطبيعة بياناتهم، مما يساعدهم في اتخاذ قرارات شراء وتوريد أكثر رشادة</w:t>
      </w:r>
      <w:r w:rsidRPr="008343BF">
        <w:rPr>
          <w:rFonts w:ascii="Simplified Arabic" w:eastAsia="Times New Roman" w:hAnsi="Simplified Arabic" w:cs="Simplified Arabic"/>
          <w:color w:val="000000" w:themeColor="text1"/>
          <w:kern w:val="0"/>
          <w:sz w:val="28"/>
          <w:szCs w:val="28"/>
          <w14:ligatures w14:val="none"/>
        </w:rPr>
        <w:t>.</w:t>
      </w:r>
    </w:p>
    <w:p w14:paraId="16C38102" w14:textId="77777777" w:rsidR="00861D72" w:rsidRPr="008343BF" w:rsidRDefault="00861D72" w:rsidP="0062381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تساعد نتائج الدراسة المؤسسات في تحقيق وفورات مالية ملموسة من خلال تخفيض تكاليف الاحتفاظ بالمخزون وتقليل الخسائر الناتجة عن تقادم المنتجات وتراكم المخزون الراكد</w:t>
      </w:r>
      <w:r w:rsidRPr="008343BF">
        <w:rPr>
          <w:rFonts w:ascii="Simplified Arabic" w:eastAsia="Times New Roman" w:hAnsi="Simplified Arabic" w:cs="Simplified Arabic"/>
          <w:color w:val="000000" w:themeColor="text1"/>
          <w:kern w:val="0"/>
          <w:sz w:val="28"/>
          <w:szCs w:val="28"/>
          <w14:ligatures w14:val="none"/>
        </w:rPr>
        <w:t>.</w:t>
      </w:r>
    </w:p>
    <w:p w14:paraId="6538EB10" w14:textId="77777777" w:rsidR="00861D72" w:rsidRPr="008343BF" w:rsidRDefault="00861D72" w:rsidP="0062381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توفر الدراسة خارطة طريق عملية لصانعي القرار حول كيفية الانتقال التدريجي من أساليب التنبؤ التقليدية إلى الأساليب الحديثة القائمة على التعلم الآلي والنماذج الهجينة، مع مراعاة الموارد والإمكانات المتاحة</w:t>
      </w:r>
      <w:r w:rsidRPr="008343BF">
        <w:rPr>
          <w:rFonts w:ascii="Simplified Arabic" w:eastAsia="Times New Roman" w:hAnsi="Simplified Arabic" w:cs="Simplified Arabic"/>
          <w:color w:val="000000" w:themeColor="text1"/>
          <w:kern w:val="0"/>
          <w:sz w:val="28"/>
          <w:szCs w:val="28"/>
          <w14:ligatures w14:val="none"/>
        </w:rPr>
        <w:t>.</w:t>
      </w:r>
    </w:p>
    <w:p w14:paraId="539EBC01" w14:textId="77777777" w:rsidR="00861D72" w:rsidRPr="008343BF" w:rsidRDefault="00861D72" w:rsidP="0062381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تسهم الدراسة في رفع كفاءة إدارة المستودعات من خلال تقليل حجم المخزون الراكد، مما يتيح استغلال المساحات التخزينية بشكل أمثل وتوجيه رأس المال المحرّر نحو استثمارات أكثر إنتاجية</w:t>
      </w:r>
      <w:r w:rsidRPr="008343BF">
        <w:rPr>
          <w:rFonts w:ascii="Simplified Arabic" w:eastAsia="Times New Roman" w:hAnsi="Simplified Arabic" w:cs="Simplified Arabic"/>
          <w:color w:val="000000" w:themeColor="text1"/>
          <w:kern w:val="0"/>
          <w:sz w:val="28"/>
          <w:szCs w:val="28"/>
          <w14:ligatures w14:val="none"/>
        </w:rPr>
        <w:t>.</w:t>
      </w:r>
    </w:p>
    <w:p w14:paraId="0B9F53B3" w14:textId="77777777" w:rsidR="00861D72" w:rsidRPr="008343BF" w:rsidRDefault="00861D72" w:rsidP="0062381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تقدم الدراسة توصيات عملية يمكن أن تستفيد منها الجهات الحكومية والهيئات التنظيمية في وضع سياسات تشجّع المؤسسات على تبني تقنيات التنبؤ الحديثة كجزء من برامج التحول الرقمي وتطوير سلاسل التوريد الوطنية</w:t>
      </w:r>
      <w:r w:rsidRPr="008343BF">
        <w:rPr>
          <w:rFonts w:ascii="Simplified Arabic" w:eastAsia="Times New Roman" w:hAnsi="Simplified Arabic" w:cs="Simplified Arabic"/>
          <w:color w:val="000000" w:themeColor="text1"/>
          <w:kern w:val="0"/>
          <w:sz w:val="28"/>
          <w:szCs w:val="28"/>
          <w14:ligatures w14:val="none"/>
        </w:rPr>
        <w:t>.</w:t>
      </w:r>
    </w:p>
    <w:p w14:paraId="7A5AABA0" w14:textId="77777777" w:rsidR="00861D72" w:rsidRPr="008343BF" w:rsidRDefault="00861D72" w:rsidP="0062381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تفيد نتائج الدراسة شركات تطوير البرمجيات ومزودي حلول إدارة المخزون في تصميم أنظمة تنبؤ أكثر ملاءمة لاحتياجات السوق العربي، بناءً على الأبعاد والمتغيرات التي ثبتت فعاليتها في هذه الدراسة</w:t>
      </w:r>
      <w:r w:rsidRPr="008343BF">
        <w:rPr>
          <w:rFonts w:ascii="Simplified Arabic" w:eastAsia="Times New Roman" w:hAnsi="Simplified Arabic" w:cs="Simplified Arabic"/>
          <w:color w:val="000000" w:themeColor="text1"/>
          <w:kern w:val="0"/>
          <w:sz w:val="28"/>
          <w:szCs w:val="28"/>
          <w14:ligatures w14:val="none"/>
        </w:rPr>
        <w:t>.</w:t>
      </w:r>
    </w:p>
    <w:p w14:paraId="16E3B16F" w14:textId="77777777" w:rsidR="00623818" w:rsidRPr="008343BF" w:rsidRDefault="00623818" w:rsidP="0062381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170243312"/>
      <w:bookmarkStart w:id="17" w:name="_Toc233042126"/>
      <w:bookmarkEnd w:id="5"/>
      <w:r w:rsidRPr="008343B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7"/>
    </w:p>
    <w:p w14:paraId="381AB2FC" w14:textId="77777777" w:rsidR="00623818" w:rsidRPr="008343BF" w:rsidRDefault="00623818" w:rsidP="00623818">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8343BF">
        <w:rPr>
          <w:rFonts w:ascii="Simplified Arabic" w:eastAsia="Times New Roman" w:hAnsi="Simplified Arabic" w:cs="Simplified Arabic"/>
          <w:b/>
          <w:bCs/>
          <w:color w:val="000000" w:themeColor="text1"/>
          <w:kern w:val="0"/>
          <w:sz w:val="32"/>
          <w:szCs w:val="32"/>
          <w:rtl/>
          <w14:ligatures w14:val="none"/>
        </w:rPr>
        <w:t>المحور الأول: الدراسات السابقة المتعلقة بالمتغير المستقل (دقة التنبؤ بالطلب)</w:t>
      </w:r>
    </w:p>
    <w:p w14:paraId="421B58FC" w14:textId="73514835" w:rsidR="00623818" w:rsidRPr="008343BF" w:rsidRDefault="00623818"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6881BD1A" w14:textId="77777777" w:rsidR="00623818" w:rsidRPr="008343BF" w:rsidRDefault="00623818"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 هبال وقرقيط</w:t>
      </w:r>
      <w:r w:rsidRPr="008343BF">
        <w:rPr>
          <w:rFonts w:ascii="Simplified Arabic" w:eastAsia="Times New Roman" w:hAnsi="Simplified Arabic" w:cs="Simplified Arabic"/>
          <w:b/>
          <w:bCs/>
          <w:color w:val="000000" w:themeColor="text1"/>
          <w:kern w:val="0"/>
          <w:sz w:val="28"/>
          <w:szCs w:val="28"/>
          <w14:ligatures w14:val="none"/>
        </w:rPr>
        <w:t xml:space="preserve"> (2022): "</w:t>
      </w:r>
      <w:r w:rsidRPr="008343BF">
        <w:rPr>
          <w:rFonts w:ascii="Simplified Arabic" w:eastAsia="Times New Roman" w:hAnsi="Simplified Arabic" w:cs="Simplified Arabic"/>
          <w:b/>
          <w:bCs/>
          <w:color w:val="000000" w:themeColor="text1"/>
          <w:kern w:val="0"/>
          <w:sz w:val="28"/>
          <w:szCs w:val="28"/>
          <w:rtl/>
          <w14:ligatures w14:val="none"/>
        </w:rPr>
        <w:t xml:space="preserve">التنبؤ بالمبيعات باستخدام منهجية بوكس جينكينز – دراسة حالة وحدة أغذية الأنعام بالجلفة." </w:t>
      </w:r>
    </w:p>
    <w:p w14:paraId="1F345ABF" w14:textId="54407399" w:rsidR="00623818" w:rsidRPr="008343BF" w:rsidRDefault="00623818"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إمكانية التنبؤ بمبيعات وحدة أغذية الأنعام بأبعاده</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نماذج</w:t>
      </w:r>
      <w:r w:rsidRPr="008343BF">
        <w:rPr>
          <w:rFonts w:ascii="Simplified Arabic" w:eastAsia="Times New Roman" w:hAnsi="Simplified Arabic" w:cs="Simplified Arabic"/>
          <w:color w:val="000000" w:themeColor="text1"/>
          <w:kern w:val="0"/>
          <w:sz w:val="28"/>
          <w:szCs w:val="28"/>
          <w14:ligatures w14:val="none"/>
        </w:rPr>
        <w:t xml:space="preserve"> ARIMA</w:t>
      </w:r>
      <w:r w:rsidRPr="008343BF">
        <w:rPr>
          <w:rFonts w:ascii="Simplified Arabic" w:eastAsia="Times New Roman" w:hAnsi="Simplified Arabic" w:cs="Simplified Arabic"/>
          <w:color w:val="000000" w:themeColor="text1"/>
          <w:kern w:val="0"/>
          <w:sz w:val="28"/>
          <w:szCs w:val="28"/>
          <w:rtl/>
          <w14:ligatures w14:val="none"/>
        </w:rPr>
        <w:t>، معايير المفاضلة بين النماذج</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 xml:space="preserve">باستخدام منهجية بوكس جينكينز في الجزائر. واستخدمت الدراسة المنهج الكمي التحليلي، وتكونت العينة من البيانات الشهرية لمبيعات الوحدة خلال الفترة من يناير 2016 إلى </w:t>
      </w:r>
      <w:r w:rsidRPr="008343BF">
        <w:rPr>
          <w:rFonts w:ascii="Simplified Arabic" w:eastAsia="Times New Roman" w:hAnsi="Simplified Arabic" w:cs="Simplified Arabic"/>
          <w:color w:val="000000" w:themeColor="text1"/>
          <w:kern w:val="0"/>
          <w:sz w:val="28"/>
          <w:szCs w:val="28"/>
          <w:rtl/>
          <w14:ligatures w14:val="none"/>
        </w:rPr>
        <w:lastRenderedPageBreak/>
        <w:t>ديسمبر 2021 بعدد 72 مشاهدة. وتوصلت نتائج الدراسة بعد المفاضلة بين عدة نماذج إلى أنّ النموذج الملائم والكفء هو</w:t>
      </w:r>
      <w:r w:rsidRPr="008343BF">
        <w:rPr>
          <w:rFonts w:ascii="Simplified Arabic" w:eastAsia="Times New Roman" w:hAnsi="Simplified Arabic" w:cs="Simplified Arabic"/>
          <w:color w:val="000000" w:themeColor="text1"/>
          <w:kern w:val="0"/>
          <w:sz w:val="28"/>
          <w:szCs w:val="28"/>
          <w14:ligatures w14:val="none"/>
        </w:rPr>
        <w:t xml:space="preserve"> ARIMA(10,1,1)</w:t>
      </w:r>
      <w:r w:rsidRPr="008343BF">
        <w:rPr>
          <w:rFonts w:ascii="Simplified Arabic" w:eastAsia="Times New Roman" w:hAnsi="Simplified Arabic" w:cs="Simplified Arabic"/>
          <w:color w:val="000000" w:themeColor="text1"/>
          <w:kern w:val="0"/>
          <w:sz w:val="28"/>
          <w:szCs w:val="28"/>
          <w:rtl/>
          <w14:ligatures w14:val="none"/>
        </w:rPr>
        <w:t>، وأنّ مبيعات الوحدة ستسجل انخفاضًا ملحوظًا خلال النصف الأول من 2022</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وأوصت الدراسة بضرورة الاعتماد على المنهجيات العلمية الحديثة في التنبؤ بالمبيعات لاتخاذ قرارات تسويقية وإنتاجية أكثر دقة</w:t>
      </w:r>
      <w:r w:rsidRPr="008343BF">
        <w:rPr>
          <w:rFonts w:ascii="Simplified Arabic" w:eastAsia="Times New Roman" w:hAnsi="Simplified Arabic" w:cs="Simplified Arabic"/>
          <w:color w:val="000000" w:themeColor="text1"/>
          <w:kern w:val="0"/>
          <w:sz w:val="28"/>
          <w:szCs w:val="28"/>
          <w14:ligatures w14:val="none"/>
        </w:rPr>
        <w:t>.</w:t>
      </w:r>
    </w:p>
    <w:p w14:paraId="368A08D6" w14:textId="77777777" w:rsidR="00623818" w:rsidRPr="008343BF" w:rsidRDefault="00623818" w:rsidP="00623818">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p>
    <w:p w14:paraId="22570ABE" w14:textId="77777777" w:rsidR="00623818" w:rsidRPr="008343BF" w:rsidRDefault="00623818"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 طول وبكّار</w:t>
      </w:r>
      <w:r w:rsidRPr="008343BF">
        <w:rPr>
          <w:rFonts w:ascii="Simplified Arabic" w:eastAsia="Times New Roman" w:hAnsi="Simplified Arabic" w:cs="Simplified Arabic"/>
          <w:b/>
          <w:bCs/>
          <w:color w:val="000000" w:themeColor="text1"/>
          <w:kern w:val="0"/>
          <w:sz w:val="28"/>
          <w:szCs w:val="28"/>
          <w14:ligatures w14:val="none"/>
        </w:rPr>
        <w:t xml:space="preserve"> (2023): "</w:t>
      </w:r>
      <w:r w:rsidRPr="008343BF">
        <w:rPr>
          <w:rFonts w:ascii="Simplified Arabic" w:eastAsia="Times New Roman" w:hAnsi="Simplified Arabic" w:cs="Simplified Arabic"/>
          <w:b/>
          <w:bCs/>
          <w:color w:val="000000" w:themeColor="text1"/>
          <w:kern w:val="0"/>
          <w:sz w:val="28"/>
          <w:szCs w:val="28"/>
          <w:rtl/>
          <w14:ligatures w14:val="none"/>
        </w:rPr>
        <w:t>الذكاء الاصطناعي كآلية للتنبؤ بالمبيعات في المؤسسة الاقتصادية – دراسة حالة مؤسسة</w:t>
      </w:r>
      <w:r w:rsidRPr="008343BF">
        <w:rPr>
          <w:rFonts w:ascii="Simplified Arabic" w:eastAsia="Times New Roman" w:hAnsi="Simplified Arabic" w:cs="Simplified Arabic"/>
          <w:b/>
          <w:bCs/>
          <w:color w:val="000000" w:themeColor="text1"/>
          <w:kern w:val="0"/>
          <w:sz w:val="28"/>
          <w:szCs w:val="28"/>
          <w14:ligatures w14:val="none"/>
        </w:rPr>
        <w:t xml:space="preserve"> CERAM </w:t>
      </w:r>
      <w:r w:rsidRPr="008343BF">
        <w:rPr>
          <w:rFonts w:ascii="Simplified Arabic" w:eastAsia="Times New Roman" w:hAnsi="Simplified Arabic" w:cs="Simplified Arabic"/>
          <w:b/>
          <w:bCs/>
          <w:color w:val="000000" w:themeColor="text1"/>
          <w:kern w:val="0"/>
          <w:sz w:val="28"/>
          <w:szCs w:val="28"/>
          <w:rtl/>
          <w14:ligatures w14:val="none"/>
        </w:rPr>
        <w:t xml:space="preserve">الغزوات." </w:t>
      </w:r>
    </w:p>
    <w:p w14:paraId="4B7FE5FF" w14:textId="0043E821" w:rsidR="00623818" w:rsidRPr="008343BF" w:rsidRDefault="00623818"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مدى فعالية ودقة تطبيقات الذكاء الاصطناعي بأبعاده (نموذج الشبكات العصبية الاصطناعية</w:t>
      </w:r>
      <w:r w:rsidRPr="008343BF">
        <w:rPr>
          <w:rFonts w:ascii="Simplified Arabic" w:eastAsia="Times New Roman" w:hAnsi="Simplified Arabic" w:cs="Simplified Arabic"/>
          <w:color w:val="000000" w:themeColor="text1"/>
          <w:kern w:val="0"/>
          <w:sz w:val="28"/>
          <w:szCs w:val="28"/>
          <w14:ligatures w14:val="none"/>
        </w:rPr>
        <w:t xml:space="preserve"> MLP</w:t>
      </w:r>
      <w:r w:rsidRPr="008343BF">
        <w:rPr>
          <w:rFonts w:ascii="Simplified Arabic" w:eastAsia="Times New Roman" w:hAnsi="Simplified Arabic" w:cs="Simplified Arabic"/>
          <w:color w:val="000000" w:themeColor="text1"/>
          <w:kern w:val="0"/>
          <w:sz w:val="28"/>
          <w:szCs w:val="28"/>
          <w:rtl/>
          <w14:ligatures w14:val="none"/>
        </w:rPr>
        <w:t>، مقاييس جودة التقدير</w:t>
      </w:r>
      <w:r w:rsidRPr="008343BF">
        <w:rPr>
          <w:rFonts w:ascii="Simplified Arabic" w:eastAsia="Times New Roman" w:hAnsi="Simplified Arabic" w:cs="Simplified Arabic"/>
          <w:color w:val="000000" w:themeColor="text1"/>
          <w:kern w:val="0"/>
          <w:sz w:val="28"/>
          <w:szCs w:val="28"/>
          <w14:ligatures w14:val="none"/>
        </w:rPr>
        <w:t xml:space="preserve"> MSE </w:t>
      </w:r>
      <w:r w:rsidRPr="008343BF">
        <w:rPr>
          <w:rFonts w:ascii="Simplified Arabic" w:eastAsia="Times New Roman" w:hAnsi="Simplified Arabic" w:cs="Simplified Arabic"/>
          <w:color w:val="000000" w:themeColor="text1"/>
          <w:kern w:val="0"/>
          <w:sz w:val="28"/>
          <w:szCs w:val="28"/>
          <w:rtl/>
          <w14:ligatures w14:val="none"/>
        </w:rPr>
        <w:t>و</w:t>
      </w:r>
      <w:r w:rsidRPr="008343BF">
        <w:rPr>
          <w:rFonts w:ascii="Simplified Arabic" w:eastAsia="Times New Roman" w:hAnsi="Simplified Arabic" w:cs="Simplified Arabic"/>
          <w:color w:val="000000" w:themeColor="text1"/>
          <w:kern w:val="0"/>
          <w:sz w:val="28"/>
          <w:szCs w:val="28"/>
          <w14:ligatures w14:val="none"/>
        </w:rPr>
        <w:t xml:space="preserve">RMSE) </w:t>
      </w:r>
      <w:r w:rsidRPr="008343BF">
        <w:rPr>
          <w:rFonts w:ascii="Simplified Arabic" w:eastAsia="Times New Roman" w:hAnsi="Simplified Arabic" w:cs="Simplified Arabic"/>
          <w:color w:val="000000" w:themeColor="text1"/>
          <w:kern w:val="0"/>
          <w:sz w:val="28"/>
          <w:szCs w:val="28"/>
          <w:rtl/>
          <w14:ligatures w14:val="none"/>
        </w:rPr>
        <w:t xml:space="preserve">على التنبؤ بحجم مبيعات مؤسسة الخزف الصحي </w:t>
      </w:r>
      <w:r w:rsidRPr="008343BF">
        <w:rPr>
          <w:rFonts w:ascii="Simplified Arabic" w:eastAsia="Times New Roman" w:hAnsi="Simplified Arabic" w:cs="Simplified Arabic"/>
          <w:color w:val="000000" w:themeColor="text1"/>
          <w:kern w:val="0"/>
          <w:sz w:val="28"/>
          <w:szCs w:val="28"/>
          <w14:ligatures w14:val="none"/>
        </w:rPr>
        <w:t xml:space="preserve">CERAM </w:t>
      </w:r>
      <w:r w:rsidRPr="008343BF">
        <w:rPr>
          <w:rFonts w:ascii="Simplified Arabic" w:eastAsia="Times New Roman" w:hAnsi="Simplified Arabic" w:cs="Simplified Arabic"/>
          <w:color w:val="000000" w:themeColor="text1"/>
          <w:kern w:val="0"/>
          <w:sz w:val="28"/>
          <w:szCs w:val="28"/>
          <w:rtl/>
          <w14:ligatures w14:val="none"/>
        </w:rPr>
        <w:t>بالجزائر. واستخدمت الدراسة المنهج الوصفي التحليلي مع أسلوب دراسة الحالة، وتكونت العينة من بيانات سلسلة مبيعات المؤسسة الشهرية للفترة من يناير 2012 إلى ديسمبر 2021 بواقع 120 مشاهدة. وتوصلت نتائج الدراسة إلى دقة وفعالية شبكة بيرسبترون متعددة الطبقات</w:t>
      </w:r>
      <w:r w:rsidRPr="008343BF">
        <w:rPr>
          <w:rFonts w:ascii="Simplified Arabic" w:eastAsia="Times New Roman" w:hAnsi="Simplified Arabic" w:cs="Simplified Arabic"/>
          <w:color w:val="000000" w:themeColor="text1"/>
          <w:kern w:val="0"/>
          <w:sz w:val="28"/>
          <w:szCs w:val="28"/>
          <w14:ligatures w14:val="none"/>
        </w:rPr>
        <w:t xml:space="preserve"> MLP </w:t>
      </w:r>
      <w:r w:rsidRPr="008343BF">
        <w:rPr>
          <w:rFonts w:ascii="Simplified Arabic" w:eastAsia="Times New Roman" w:hAnsi="Simplified Arabic" w:cs="Simplified Arabic"/>
          <w:color w:val="000000" w:themeColor="text1"/>
          <w:kern w:val="0"/>
          <w:sz w:val="28"/>
          <w:szCs w:val="28"/>
          <w:rtl/>
          <w14:ligatures w14:val="none"/>
        </w:rPr>
        <w:t>عند تطبيقها على السلاسل الزمنية ذات النمط غير الخطي. وأوصت الدراسة بتبني تقنيات الذكاء الاصطناعي في عمليات التنبؤ بالمبيعات لتحسين دقة التقديرات</w:t>
      </w:r>
      <w:r w:rsidRPr="008343BF">
        <w:rPr>
          <w:rFonts w:ascii="Simplified Arabic" w:eastAsia="Times New Roman" w:hAnsi="Simplified Arabic" w:cs="Simplified Arabic"/>
          <w:color w:val="000000" w:themeColor="text1"/>
          <w:kern w:val="0"/>
          <w:sz w:val="28"/>
          <w:szCs w:val="28"/>
          <w14:ligatures w14:val="none"/>
        </w:rPr>
        <w:t>.</w:t>
      </w:r>
    </w:p>
    <w:p w14:paraId="482CE9F1"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 سعيد وعكلة</w:t>
      </w:r>
      <w:r w:rsidRPr="008343BF">
        <w:rPr>
          <w:rFonts w:ascii="Simplified Arabic" w:eastAsia="Times New Roman" w:hAnsi="Simplified Arabic" w:cs="Simplified Arabic"/>
          <w:b/>
          <w:bCs/>
          <w:color w:val="000000" w:themeColor="text1"/>
          <w:kern w:val="0"/>
          <w:sz w:val="28"/>
          <w:szCs w:val="28"/>
          <w14:ligatures w14:val="none"/>
        </w:rPr>
        <w:t xml:space="preserve"> (2024): "</w:t>
      </w:r>
      <w:r w:rsidRPr="008343BF">
        <w:rPr>
          <w:rFonts w:ascii="Simplified Arabic" w:eastAsia="Times New Roman" w:hAnsi="Simplified Arabic" w:cs="Simplified Arabic"/>
          <w:b/>
          <w:bCs/>
          <w:color w:val="000000" w:themeColor="text1"/>
          <w:kern w:val="0"/>
          <w:sz w:val="28"/>
          <w:szCs w:val="28"/>
          <w:rtl/>
          <w14:ligatures w14:val="none"/>
        </w:rPr>
        <w:t>أثر استخدام الأساليب الكمية للتنبؤ بالطلب في تحسين أداء سلسلة التوريد</w:t>
      </w:r>
      <w:r w:rsidRPr="008343BF">
        <w:rPr>
          <w:rFonts w:ascii="Simplified Arabic" w:eastAsia="Times New Roman" w:hAnsi="Simplified Arabic" w:cs="Simplified Arabic"/>
          <w:b/>
          <w:bCs/>
          <w:color w:val="000000" w:themeColor="text1"/>
          <w:kern w:val="0"/>
          <w:sz w:val="28"/>
          <w:szCs w:val="28"/>
          <w14:ligatures w14:val="none"/>
        </w:rPr>
        <w:t xml:space="preserve">: </w:t>
      </w:r>
      <w:r w:rsidRPr="008343BF">
        <w:rPr>
          <w:rFonts w:ascii="Simplified Arabic" w:eastAsia="Times New Roman" w:hAnsi="Simplified Arabic" w:cs="Simplified Arabic"/>
          <w:b/>
          <w:bCs/>
          <w:color w:val="000000" w:themeColor="text1"/>
          <w:kern w:val="0"/>
          <w:sz w:val="28"/>
          <w:szCs w:val="28"/>
          <w:rtl/>
          <w14:ligatures w14:val="none"/>
        </w:rPr>
        <w:t xml:space="preserve">دراسة حالة في إحدى المنظمات الصناعية." </w:t>
      </w:r>
    </w:p>
    <w:p w14:paraId="4C9662A5" w14:textId="7E17A5FB"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أثر اختيار الأسلوب الكمي الملائم للتنبؤ بالطلب بأبعاده (طرق التنبؤ الكمي، مقاييس خطأ التنبؤ) على أداء سلسلة التوريد في مصفاة الدورة لوقود الطيران في العراق. واستخدمت الدراسة منهج دراسة الحالة، وتكونت العينة من بيانات فعلية لسلسلة التوريد الحالية مقارنةً بسلسلة توريد مقترحة. وتوصلت نتائج الدراسة إلى أنّ السلسلة المقترحة القائمة على التنبؤ الكمي المناسب تفوقت على السلسلة الحالية من حيث كمية الإنتاج، وعجز النقص، والتكاليف الإجمالية، والإيرادات، والأرباح. وأوصت الدراسة بضرورة اعتماد الأساليب الكمية في التنبؤ بالطلب لتحسين أداء سلاسل التوريد الصناعية</w:t>
      </w:r>
      <w:r w:rsidRPr="008343BF">
        <w:rPr>
          <w:rFonts w:ascii="Simplified Arabic" w:eastAsia="Times New Roman" w:hAnsi="Simplified Arabic" w:cs="Simplified Arabic"/>
          <w:color w:val="000000" w:themeColor="text1"/>
          <w:kern w:val="0"/>
          <w:sz w:val="28"/>
          <w:szCs w:val="28"/>
          <w14:ligatures w14:val="none"/>
        </w:rPr>
        <w:t>.</w:t>
      </w:r>
    </w:p>
    <w:p w14:paraId="2A689B46"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lastRenderedPageBreak/>
        <w:t>دراسة مخيمر</w:t>
      </w:r>
      <w:r w:rsidRPr="008343BF">
        <w:rPr>
          <w:rFonts w:ascii="Simplified Arabic" w:eastAsia="Times New Roman" w:hAnsi="Simplified Arabic" w:cs="Simplified Arabic"/>
          <w:b/>
          <w:bCs/>
          <w:color w:val="000000" w:themeColor="text1"/>
          <w:kern w:val="0"/>
          <w:sz w:val="28"/>
          <w:szCs w:val="28"/>
          <w14:ligatures w14:val="none"/>
        </w:rPr>
        <w:t xml:space="preserve"> (2024): "</w:t>
      </w:r>
      <w:r w:rsidRPr="008343BF">
        <w:rPr>
          <w:rFonts w:ascii="Simplified Arabic" w:eastAsia="Times New Roman" w:hAnsi="Simplified Arabic" w:cs="Simplified Arabic"/>
          <w:b/>
          <w:bCs/>
          <w:color w:val="000000" w:themeColor="text1"/>
          <w:kern w:val="0"/>
          <w:sz w:val="28"/>
          <w:szCs w:val="28"/>
          <w:rtl/>
          <w14:ligatures w14:val="none"/>
        </w:rPr>
        <w:t xml:space="preserve">استخدام النماذج الكمية لتخفيض الاستثمار في المخزون في ظل نظام تخطيط الاحتياجات من المواد في الشركات الصناعية." </w:t>
      </w:r>
    </w:p>
    <w:p w14:paraId="1C65D437" w14:textId="0A19A8BF"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دور النماذج الكمية للتنبؤ بأبعادها (نماذج التنبؤ الكمي، نظام تخطيط الاحتياجات</w:t>
      </w:r>
      <w:r w:rsidRPr="008343BF">
        <w:rPr>
          <w:rFonts w:ascii="Simplified Arabic" w:eastAsia="Times New Roman" w:hAnsi="Simplified Arabic" w:cs="Simplified Arabic"/>
          <w:color w:val="000000" w:themeColor="text1"/>
          <w:kern w:val="0"/>
          <w:sz w:val="28"/>
          <w:szCs w:val="28"/>
          <w14:ligatures w14:val="none"/>
        </w:rPr>
        <w:t xml:space="preserve"> MRP) </w:t>
      </w:r>
      <w:r w:rsidRPr="008343BF">
        <w:rPr>
          <w:rFonts w:ascii="Simplified Arabic" w:eastAsia="Times New Roman" w:hAnsi="Simplified Arabic" w:cs="Simplified Arabic"/>
          <w:color w:val="000000" w:themeColor="text1"/>
          <w:kern w:val="0"/>
          <w:sz w:val="28"/>
          <w:szCs w:val="28"/>
          <w:rtl/>
          <w14:ligatures w14:val="none"/>
        </w:rPr>
        <w:t>على تخفيض الاستثمار في المخزون في الشركات الصناعية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بيانات مخزون إحدى الشركات الصناعية. وتوصلت نتائج الدراسة إلى أنّ تطبيق النماذج الكمية في ظل نظام</w:t>
      </w:r>
      <w:r w:rsidRPr="008343BF">
        <w:rPr>
          <w:rFonts w:ascii="Simplified Arabic" w:eastAsia="Times New Roman" w:hAnsi="Simplified Arabic" w:cs="Simplified Arabic"/>
          <w:color w:val="000000" w:themeColor="text1"/>
          <w:kern w:val="0"/>
          <w:sz w:val="28"/>
          <w:szCs w:val="28"/>
          <w14:ligatures w14:val="none"/>
        </w:rPr>
        <w:t xml:space="preserve"> MRP </w:t>
      </w:r>
      <w:r w:rsidRPr="008343BF">
        <w:rPr>
          <w:rFonts w:ascii="Simplified Arabic" w:eastAsia="Times New Roman" w:hAnsi="Simplified Arabic" w:cs="Simplified Arabic"/>
          <w:color w:val="000000" w:themeColor="text1"/>
          <w:kern w:val="0"/>
          <w:sz w:val="28"/>
          <w:szCs w:val="28"/>
          <w:rtl/>
          <w14:ligatures w14:val="none"/>
        </w:rPr>
        <w:t>يسهم بفعالية في تخفيض مستويات الاستثمار في المخزون وترشيد قرارات التوريد. وأوصت الدراسة بضرورة دمج أساليب التنبؤ الكمي مع أنظمة تخطيط الاحتياجات لتحقيق كفاءة أعلى في إدارة المخزون</w:t>
      </w:r>
      <w:r w:rsidRPr="008343BF">
        <w:rPr>
          <w:rFonts w:ascii="Simplified Arabic" w:eastAsia="Times New Roman" w:hAnsi="Simplified Arabic" w:cs="Simplified Arabic"/>
          <w:color w:val="000000" w:themeColor="text1"/>
          <w:kern w:val="0"/>
          <w:sz w:val="28"/>
          <w:szCs w:val="28"/>
          <w14:ligatures w14:val="none"/>
        </w:rPr>
        <w:t>.</w:t>
      </w:r>
    </w:p>
    <w:p w14:paraId="098B0D23" w14:textId="77777777" w:rsidR="00861D72" w:rsidRPr="008343BF" w:rsidRDefault="00861D72"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8" w:name="_Toc223214126"/>
      <w:r w:rsidRPr="008343BF">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18"/>
    </w:p>
    <w:p w14:paraId="657A6360"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w:t>
      </w:r>
      <w:r w:rsidRPr="008343BF">
        <w:rPr>
          <w:rFonts w:ascii="Simplified Arabic" w:eastAsia="Times New Roman" w:hAnsi="Simplified Arabic" w:cs="Simplified Arabic"/>
          <w:b/>
          <w:bCs/>
          <w:color w:val="000000" w:themeColor="text1"/>
          <w:kern w:val="0"/>
          <w:sz w:val="28"/>
          <w:szCs w:val="28"/>
          <w14:ligatures w14:val="none"/>
        </w:rPr>
        <w:t xml:space="preserve"> Feizabadi (2022): "Machine Learning Demand Forecasting and Supply Chain Performance." </w:t>
      </w:r>
    </w:p>
    <w:p w14:paraId="3683B24F" w14:textId="23433CB5"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أثر أساليب التنبؤ بالطلب القائمة على التعلم الآلي بأبعاده (نموذج</w:t>
      </w:r>
      <w:r w:rsidRPr="008343BF">
        <w:rPr>
          <w:rFonts w:ascii="Simplified Arabic" w:eastAsia="Times New Roman" w:hAnsi="Simplified Arabic" w:cs="Simplified Arabic"/>
          <w:color w:val="000000" w:themeColor="text1"/>
          <w:kern w:val="0"/>
          <w:sz w:val="28"/>
          <w:szCs w:val="28"/>
          <w14:ligatures w14:val="none"/>
        </w:rPr>
        <w:t xml:space="preserve"> ARIMAX </w:t>
      </w:r>
      <w:r w:rsidRPr="008343BF">
        <w:rPr>
          <w:rFonts w:ascii="Simplified Arabic" w:eastAsia="Times New Roman" w:hAnsi="Simplified Arabic" w:cs="Simplified Arabic"/>
          <w:color w:val="000000" w:themeColor="text1"/>
          <w:kern w:val="0"/>
          <w:sz w:val="28"/>
          <w:szCs w:val="28"/>
          <w:rtl/>
          <w14:ligatures w14:val="none"/>
        </w:rPr>
        <w:t>الهجين، الشبكات العصبية الاصطناعية ذات الطبقتين) على أداء سلسلة التوريد في شركة تصنيع صلب متعددة الجنسيات</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واستخدمت الدراسة المنهج شبه التجريبي القائم على البيانات المُلاحَظة، وتكونت العينة من بيانات المبيعات الشهرية لقطاع التجزئة بالشركة خلال الفترة 2012–2017، إضافة إلى 30 مؤشرًا اقتصاديًا كلّيًا. وتوصلت نتائج الدراسة إلى وجود فروق ذات دلالة إحصائية في تحسين أداء سلسلة التوريد (دقة التنبؤ، دوران المخزون، دورة التحول النقدي) لصالح أساليب التعلم الآلي مقارنةً بالأساليب التقليدية. وأوصت الدراسة بتبني الأساليب الهجينة التي تجمع بين السلاسل الزمنية والمؤشرات التوضيحية لتعزيز دقة التنبؤ</w:t>
      </w:r>
      <w:r w:rsidRPr="008343BF">
        <w:rPr>
          <w:rFonts w:ascii="Simplified Arabic" w:eastAsia="Times New Roman" w:hAnsi="Simplified Arabic" w:cs="Simplified Arabic"/>
          <w:color w:val="000000" w:themeColor="text1"/>
          <w:kern w:val="0"/>
          <w:sz w:val="28"/>
          <w:szCs w:val="28"/>
          <w14:ligatures w14:val="none"/>
        </w:rPr>
        <w:t>.</w:t>
      </w:r>
    </w:p>
    <w:p w14:paraId="467ECE82"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w:t>
      </w:r>
      <w:r w:rsidRPr="008343BF">
        <w:rPr>
          <w:rFonts w:ascii="Simplified Arabic" w:eastAsia="Times New Roman" w:hAnsi="Simplified Arabic" w:cs="Simplified Arabic"/>
          <w:b/>
          <w:bCs/>
          <w:color w:val="000000" w:themeColor="text1"/>
          <w:kern w:val="0"/>
          <w:sz w:val="28"/>
          <w:szCs w:val="28"/>
          <w14:ligatures w14:val="none"/>
        </w:rPr>
        <w:t xml:space="preserve"> Yani and Aamer (2023): "Demand Forecasting Accuracy in the Pharmaceutical Supply Chain: A Machine Learning Approach." </w:t>
      </w:r>
    </w:p>
    <w:p w14:paraId="755C5C2F" w14:textId="09C51C62"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مدى قابلية تطبيق خوارزميات التعلم الآلي بأبعادها</w:t>
      </w:r>
      <w:r w:rsidRPr="008343BF">
        <w:rPr>
          <w:rFonts w:ascii="Simplified Arabic" w:eastAsia="Times New Roman" w:hAnsi="Simplified Arabic" w:cs="Simplified Arabic"/>
          <w:color w:val="000000" w:themeColor="text1"/>
          <w:kern w:val="0"/>
          <w:sz w:val="28"/>
          <w:szCs w:val="28"/>
          <w14:ligatures w14:val="none"/>
        </w:rPr>
        <w:t xml:space="preserve"> (Random Forest</w:t>
      </w:r>
      <w:r w:rsidRPr="008343BF">
        <w:rPr>
          <w:rFonts w:ascii="Simplified Arabic" w:eastAsia="Times New Roman" w:hAnsi="Simplified Arabic" w:cs="Simplified Arabic"/>
          <w:color w:val="000000" w:themeColor="text1"/>
          <w:kern w:val="0"/>
          <w:sz w:val="28"/>
          <w:szCs w:val="28"/>
          <w:rtl/>
          <w14:ligatures w14:val="none"/>
        </w:rPr>
        <w:t xml:space="preserve">، </w:t>
      </w:r>
      <w:r w:rsidRPr="008343BF">
        <w:rPr>
          <w:rFonts w:ascii="Simplified Arabic" w:eastAsia="Times New Roman" w:hAnsi="Simplified Arabic" w:cs="Simplified Arabic"/>
          <w:color w:val="000000" w:themeColor="text1"/>
          <w:kern w:val="0"/>
          <w:sz w:val="28"/>
          <w:szCs w:val="28"/>
          <w14:ligatures w14:val="none"/>
        </w:rPr>
        <w:t>Simple Tree</w:t>
      </w:r>
      <w:r w:rsidRPr="008343BF">
        <w:rPr>
          <w:rFonts w:ascii="Simplified Arabic" w:eastAsia="Times New Roman" w:hAnsi="Simplified Arabic" w:cs="Simplified Arabic"/>
          <w:color w:val="000000" w:themeColor="text1"/>
          <w:kern w:val="0"/>
          <w:sz w:val="28"/>
          <w:szCs w:val="28"/>
          <w:rtl/>
          <w14:ligatures w14:val="none"/>
        </w:rPr>
        <w:t>، تقسيم بيانات التدريب) على دقة التنبؤ بالطلب في سلسلة التوريد الدوائية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واستخدمت الدراسة منهج دراسة الحالة التفسيرية مع ثلاثة تصميمات تجريبية على منصة</w:t>
      </w:r>
      <w:r w:rsidRPr="008343BF">
        <w:rPr>
          <w:rFonts w:ascii="Simplified Arabic" w:eastAsia="Times New Roman" w:hAnsi="Simplified Arabic" w:cs="Simplified Arabic"/>
          <w:color w:val="000000" w:themeColor="text1"/>
          <w:kern w:val="0"/>
          <w:sz w:val="28"/>
          <w:szCs w:val="28"/>
          <w14:ligatures w14:val="none"/>
        </w:rPr>
        <w:t xml:space="preserve"> KNIME</w:t>
      </w:r>
      <w:r w:rsidRPr="008343BF">
        <w:rPr>
          <w:rFonts w:ascii="Simplified Arabic" w:eastAsia="Times New Roman" w:hAnsi="Simplified Arabic" w:cs="Simplified Arabic"/>
          <w:color w:val="000000" w:themeColor="text1"/>
          <w:kern w:val="0"/>
          <w:sz w:val="28"/>
          <w:szCs w:val="28"/>
          <w:rtl/>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lastRenderedPageBreak/>
        <w:t xml:space="preserve">وتكونت العينة من بيانات الطلب الفعلية لإحدى شركات الأدوية. وتوصلت نتائج الدراسة إلى أنّ أفضل تقسيم لبيانات التدريب كان </w:t>
      </w:r>
      <w:r w:rsidRPr="008343BF">
        <w:rPr>
          <w:rFonts w:ascii="Simplified Arabic" w:eastAsia="Times New Roman" w:hAnsi="Simplified Arabic" w:cs="Simplified Arabic"/>
          <w:color w:val="000000" w:themeColor="text1"/>
          <w:kern w:val="0"/>
          <w:sz w:val="28"/>
          <w:szCs w:val="28"/>
          <w14:ligatures w14:val="none"/>
        </w:rPr>
        <w:t>80%</w:t>
      </w:r>
      <w:r w:rsidRPr="008343BF">
        <w:rPr>
          <w:rFonts w:ascii="Simplified Arabic" w:eastAsia="Times New Roman" w:hAnsi="Simplified Arabic" w:cs="Simplified Arabic"/>
          <w:color w:val="000000" w:themeColor="text1"/>
          <w:kern w:val="0"/>
          <w:sz w:val="28"/>
          <w:szCs w:val="28"/>
          <w:rtl/>
          <w14:ligatures w14:val="none"/>
        </w:rPr>
        <w:t>، وأنّ خوارزميتي</w:t>
      </w:r>
      <w:r w:rsidRPr="008343BF">
        <w:rPr>
          <w:rFonts w:ascii="Simplified Arabic" w:eastAsia="Times New Roman" w:hAnsi="Simplified Arabic" w:cs="Simplified Arabic"/>
          <w:color w:val="000000" w:themeColor="text1"/>
          <w:kern w:val="0"/>
          <w:sz w:val="28"/>
          <w:szCs w:val="28"/>
          <w14:ligatures w14:val="none"/>
        </w:rPr>
        <w:t xml:space="preserve"> Random Forest </w:t>
      </w:r>
      <w:r w:rsidRPr="008343BF">
        <w:rPr>
          <w:rFonts w:ascii="Simplified Arabic" w:eastAsia="Times New Roman" w:hAnsi="Simplified Arabic" w:cs="Simplified Arabic"/>
          <w:color w:val="000000" w:themeColor="text1"/>
          <w:kern w:val="0"/>
          <w:sz w:val="28"/>
          <w:szCs w:val="28"/>
          <w:rtl/>
          <w14:ligatures w14:val="none"/>
        </w:rPr>
        <w:t>و</w:t>
      </w:r>
      <w:r w:rsidRPr="008343BF">
        <w:rPr>
          <w:rFonts w:ascii="Simplified Arabic" w:eastAsia="Times New Roman" w:hAnsi="Simplified Arabic" w:cs="Simplified Arabic"/>
          <w:color w:val="000000" w:themeColor="text1"/>
          <w:kern w:val="0"/>
          <w:sz w:val="28"/>
          <w:szCs w:val="28"/>
          <w14:ligatures w14:val="none"/>
        </w:rPr>
        <w:t xml:space="preserve">Simple Tree </w:t>
      </w:r>
      <w:r w:rsidRPr="008343BF">
        <w:rPr>
          <w:rFonts w:ascii="Simplified Arabic" w:eastAsia="Times New Roman" w:hAnsi="Simplified Arabic" w:cs="Simplified Arabic"/>
          <w:color w:val="000000" w:themeColor="text1"/>
          <w:kern w:val="0"/>
          <w:sz w:val="28"/>
          <w:szCs w:val="28"/>
          <w:rtl/>
          <w14:ligatures w14:val="none"/>
        </w:rPr>
        <w:t>تفوقتا على غيرهما، مع تحسن في دقة التنبؤ تراوح بين 10% و41%. وأوصت الدراسة بتوسيع تطبيق خوارزميات التعلم الآلي في مختلف قطاعات سلاسل التوريد الدوائية</w:t>
      </w:r>
      <w:r w:rsidRPr="008343BF">
        <w:rPr>
          <w:rFonts w:ascii="Simplified Arabic" w:eastAsia="Times New Roman" w:hAnsi="Simplified Arabic" w:cs="Simplified Arabic"/>
          <w:color w:val="000000" w:themeColor="text1"/>
          <w:kern w:val="0"/>
          <w:sz w:val="28"/>
          <w:szCs w:val="28"/>
          <w14:ligatures w14:val="none"/>
        </w:rPr>
        <w:t>.</w:t>
      </w:r>
    </w:p>
    <w:p w14:paraId="69DE9631"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w:t>
      </w:r>
      <w:r w:rsidRPr="008343BF">
        <w:rPr>
          <w:rFonts w:ascii="Simplified Arabic" w:eastAsia="Times New Roman" w:hAnsi="Simplified Arabic" w:cs="Simplified Arabic"/>
          <w:b/>
          <w:bCs/>
          <w:color w:val="000000" w:themeColor="text1"/>
          <w:kern w:val="0"/>
          <w:sz w:val="28"/>
          <w:szCs w:val="28"/>
          <w14:ligatures w14:val="none"/>
        </w:rPr>
        <w:t xml:space="preserve"> Theodorou, Spiliotis and Assimakopoulos (2025): "Forecast Accuracy and Inventory Performance: Insights on Their Relationship from the M5 Competition Data." </w:t>
      </w:r>
    </w:p>
    <w:p w14:paraId="73496EF5" w14:textId="1B34D7A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العلاقة بين دقة التنبؤ بأبعاده (خطأ التنبؤ الكمّي، 13 طريقة تنبؤ متنوعة) وأداء المخزون (تكاليف الاحتفاظ، تكاليف المبيعات المفقودة، تكاليف الطلب) في قطاع التجزئة. واستخدمت الدراسة المنهج التجريبي القائم على المحاكاة ضمن سياسة إعادة التعبئة حتى مستوى محدد، وتكونت العينة من أكثر من 7,500 سلسلة مبيعات يومية من بيانات مسابقة</w:t>
      </w:r>
      <w:r w:rsidRPr="008343BF">
        <w:rPr>
          <w:rFonts w:ascii="Simplified Arabic" w:eastAsia="Times New Roman" w:hAnsi="Simplified Arabic" w:cs="Simplified Arabic"/>
          <w:color w:val="000000" w:themeColor="text1"/>
          <w:kern w:val="0"/>
          <w:sz w:val="28"/>
          <w:szCs w:val="28"/>
          <w14:ligatures w14:val="none"/>
        </w:rPr>
        <w:t xml:space="preserve"> M5 </w:t>
      </w:r>
      <w:r w:rsidRPr="008343BF">
        <w:rPr>
          <w:rFonts w:ascii="Simplified Arabic" w:eastAsia="Times New Roman" w:hAnsi="Simplified Arabic" w:cs="Simplified Arabic"/>
          <w:color w:val="000000" w:themeColor="text1"/>
          <w:kern w:val="0"/>
          <w:sz w:val="28"/>
          <w:szCs w:val="28"/>
          <w:rtl/>
          <w14:ligatures w14:val="none"/>
        </w:rPr>
        <w:t>الخاصة بمتاجر</w:t>
      </w:r>
      <w:r w:rsidRPr="008343BF">
        <w:rPr>
          <w:rFonts w:ascii="Simplified Arabic" w:eastAsia="Times New Roman" w:hAnsi="Simplified Arabic" w:cs="Simplified Arabic"/>
          <w:color w:val="000000" w:themeColor="text1"/>
          <w:kern w:val="0"/>
          <w:sz w:val="28"/>
          <w:szCs w:val="28"/>
          <w14:ligatures w14:val="none"/>
        </w:rPr>
        <w:t xml:space="preserve"> Walmart. </w:t>
      </w:r>
      <w:r w:rsidRPr="008343BF">
        <w:rPr>
          <w:rFonts w:ascii="Simplified Arabic" w:eastAsia="Times New Roman" w:hAnsi="Simplified Arabic" w:cs="Simplified Arabic"/>
          <w:color w:val="000000" w:themeColor="text1"/>
          <w:kern w:val="0"/>
          <w:sz w:val="28"/>
          <w:szCs w:val="28"/>
          <w:rtl/>
          <w14:ligatures w14:val="none"/>
        </w:rPr>
        <w:t>وتوصلت نتائج الدراسة إلى أنّ العلاقة بين دقة التنبؤ وتكلفة المخزون تكون أكثر وضوحًا حين تكون تكلفة الاحتفاظ مقاربة لتكلفة المبيعات المفقودة أو أعلى منها، وأنّ اختيار سياسة المخزون ومقاييس التقييم يؤثران بشكل كبير على النتائج. وأوصت الدراسة بأنّ الجمع بين طرق التنبؤ يحسّن الأداء العام، وأنّ الأساليب الأبسط قد تحقق مستويات خدمة مقاربة بتكلفة حسابية أقل</w:t>
      </w:r>
      <w:r w:rsidRPr="008343BF">
        <w:rPr>
          <w:rFonts w:ascii="Simplified Arabic" w:eastAsia="Times New Roman" w:hAnsi="Simplified Arabic" w:cs="Simplified Arabic"/>
          <w:color w:val="000000" w:themeColor="text1"/>
          <w:kern w:val="0"/>
          <w:sz w:val="28"/>
          <w:szCs w:val="28"/>
          <w14:ligatures w14:val="none"/>
        </w:rPr>
        <w:t>.</w:t>
      </w:r>
    </w:p>
    <w:p w14:paraId="5541F330"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w:t>
      </w:r>
      <w:r w:rsidRPr="008343BF">
        <w:rPr>
          <w:rFonts w:ascii="Simplified Arabic" w:eastAsia="Times New Roman" w:hAnsi="Simplified Arabic" w:cs="Simplified Arabic"/>
          <w:b/>
          <w:bCs/>
          <w:color w:val="000000" w:themeColor="text1"/>
          <w:kern w:val="0"/>
          <w:sz w:val="28"/>
          <w:szCs w:val="28"/>
          <w14:ligatures w14:val="none"/>
        </w:rPr>
        <w:t xml:space="preserve"> Harahap, Rahim, Malinjasari, Salleh and Ma'arof (2025): "Enhancing the Inventory Management through Demand Forecasting." </w:t>
      </w:r>
    </w:p>
    <w:p w14:paraId="63329ED1" w14:textId="5E1B6A41"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دور تقنيات التنبؤ بالطلب بأبعادها (التمهيد الأسّي، نماذج الانحدار، طريقة</w:t>
      </w:r>
      <w:r w:rsidRPr="008343BF">
        <w:rPr>
          <w:rFonts w:ascii="Simplified Arabic" w:eastAsia="Times New Roman" w:hAnsi="Simplified Arabic" w:cs="Simplified Arabic"/>
          <w:color w:val="000000" w:themeColor="text1"/>
          <w:kern w:val="0"/>
          <w:sz w:val="28"/>
          <w:szCs w:val="28"/>
          <w14:ligatures w14:val="none"/>
        </w:rPr>
        <w:t xml:space="preserve"> Holt-Winters </w:t>
      </w:r>
      <w:r w:rsidRPr="008343BF">
        <w:rPr>
          <w:rFonts w:ascii="Simplified Arabic" w:eastAsia="Times New Roman" w:hAnsi="Simplified Arabic" w:cs="Simplified Arabic"/>
          <w:color w:val="000000" w:themeColor="text1"/>
          <w:kern w:val="0"/>
          <w:sz w:val="28"/>
          <w:szCs w:val="28"/>
          <w:rtl/>
          <w14:ligatures w14:val="none"/>
        </w:rPr>
        <w:t xml:space="preserve">المعدّلة، أسلوب </w:t>
      </w:r>
      <w:r w:rsidRPr="008343BF">
        <w:rPr>
          <w:rFonts w:ascii="Simplified Arabic" w:eastAsia="Times New Roman" w:hAnsi="Simplified Arabic" w:cs="Simplified Arabic"/>
          <w:color w:val="000000" w:themeColor="text1"/>
          <w:kern w:val="0"/>
          <w:sz w:val="28"/>
          <w:szCs w:val="28"/>
          <w14:ligatures w14:val="none"/>
        </w:rPr>
        <w:t xml:space="preserve">Bootstrapping) </w:t>
      </w:r>
      <w:r w:rsidRPr="008343BF">
        <w:rPr>
          <w:rFonts w:ascii="Simplified Arabic" w:eastAsia="Times New Roman" w:hAnsi="Simplified Arabic" w:cs="Simplified Arabic"/>
          <w:color w:val="000000" w:themeColor="text1"/>
          <w:kern w:val="0"/>
          <w:sz w:val="28"/>
          <w:szCs w:val="28"/>
          <w:rtl/>
          <w14:ligatures w14:val="none"/>
        </w:rPr>
        <w:t>على تحسين إدارة المخزون وأداء سلسلة التوريد. واستخدمت الدراسة منهج المراجعة المنهجية للأدبيات، وتكونت العينة من مجموعة واسعة من الدراسات والبحوث المنشورة في قواعد البيانات العلمية. وتوصلت نتائج الدراسة إلى أنّ التنبؤ الدقيق بالطلب يحسّن الرقابة على المخزون، ويخفّض التكاليف، ويحسّن خدمة العملاء، ويعزز الميزة التنافسية والتخطيط الاستراتيجي. وأوصت الدراسة بضرورة مواصلة البحث في تطوير أساليب التنبؤ المتقدمة لتحقيق إدارة مثلى للمخزون</w:t>
      </w:r>
      <w:r w:rsidRPr="008343BF">
        <w:rPr>
          <w:rFonts w:ascii="Simplified Arabic" w:eastAsia="Times New Roman" w:hAnsi="Simplified Arabic" w:cs="Simplified Arabic"/>
          <w:color w:val="000000" w:themeColor="text1"/>
          <w:kern w:val="0"/>
          <w:sz w:val="28"/>
          <w:szCs w:val="28"/>
          <w14:ligatures w14:val="none"/>
        </w:rPr>
        <w:t>.</w:t>
      </w:r>
    </w:p>
    <w:p w14:paraId="4ABAE577" w14:textId="77777777" w:rsidR="00623818" w:rsidRPr="008343BF" w:rsidRDefault="00623818"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3214127"/>
      <w:r w:rsidRPr="008343BF">
        <w:rPr>
          <w:rFonts w:ascii="Simplified Arabic" w:eastAsia="Times New Roman" w:hAnsi="Simplified Arabic" w:cs="Simplified Arabic" w:hint="cs"/>
          <w:b/>
          <w:bCs/>
          <w:color w:val="000000" w:themeColor="text1"/>
          <w:kern w:val="0"/>
          <w:sz w:val="32"/>
          <w:szCs w:val="32"/>
          <w:rtl/>
          <w14:ligatures w14:val="none"/>
        </w:rPr>
        <w:lastRenderedPageBreak/>
        <w:t>المحور الثاني: الدراسات السابقة المتعلقة بالمتغير التابع (تخفيض المخزون الراكد وتكاليف التخزين)</w:t>
      </w:r>
      <w:bookmarkEnd w:id="19"/>
    </w:p>
    <w:p w14:paraId="7F01DD38" w14:textId="77777777" w:rsidR="00623818" w:rsidRPr="008343BF" w:rsidRDefault="00623818"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0" w:name="_Toc223214128"/>
      <w:r w:rsidRPr="008343BF">
        <w:rPr>
          <w:rFonts w:ascii="Simplified Arabic" w:eastAsia="Times New Roman" w:hAnsi="Simplified Arabic" w:cs="Simplified Arabic" w:hint="cs"/>
          <w:b/>
          <w:bCs/>
          <w:color w:val="000000" w:themeColor="text1"/>
          <w:kern w:val="0"/>
          <w:sz w:val="28"/>
          <w:szCs w:val="28"/>
          <w:rtl/>
          <w14:ligatures w14:val="none"/>
        </w:rPr>
        <w:t>أولًا: الدراسات العربية</w:t>
      </w:r>
      <w:bookmarkEnd w:id="20"/>
    </w:p>
    <w:p w14:paraId="56766230" w14:textId="77777777" w:rsidR="00623818" w:rsidRPr="008343BF" w:rsidRDefault="00623818"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 بن بايرة</w:t>
      </w:r>
      <w:r w:rsidRPr="008343BF">
        <w:rPr>
          <w:rFonts w:ascii="Simplified Arabic" w:eastAsia="Times New Roman" w:hAnsi="Simplified Arabic" w:cs="Simplified Arabic"/>
          <w:b/>
          <w:bCs/>
          <w:color w:val="000000" w:themeColor="text1"/>
          <w:kern w:val="0"/>
          <w:sz w:val="28"/>
          <w:szCs w:val="28"/>
          <w14:ligatures w14:val="none"/>
        </w:rPr>
        <w:t xml:space="preserve"> (2021): "</w:t>
      </w:r>
      <w:r w:rsidRPr="008343BF">
        <w:rPr>
          <w:rFonts w:ascii="Simplified Arabic" w:eastAsia="Times New Roman" w:hAnsi="Simplified Arabic" w:cs="Simplified Arabic"/>
          <w:b/>
          <w:bCs/>
          <w:color w:val="000000" w:themeColor="text1"/>
          <w:kern w:val="0"/>
          <w:sz w:val="28"/>
          <w:szCs w:val="28"/>
          <w:rtl/>
          <w14:ligatures w14:val="none"/>
        </w:rPr>
        <w:t>دور نظام الإنتاج في الوقت المحدد</w:t>
      </w:r>
      <w:r w:rsidRPr="008343BF">
        <w:rPr>
          <w:rFonts w:ascii="Simplified Arabic" w:eastAsia="Times New Roman" w:hAnsi="Simplified Arabic" w:cs="Simplified Arabic"/>
          <w:b/>
          <w:bCs/>
          <w:color w:val="000000" w:themeColor="text1"/>
          <w:kern w:val="0"/>
          <w:sz w:val="28"/>
          <w:szCs w:val="28"/>
          <w14:ligatures w14:val="none"/>
        </w:rPr>
        <w:t xml:space="preserve"> (JIT) </w:t>
      </w:r>
      <w:r w:rsidRPr="008343BF">
        <w:rPr>
          <w:rFonts w:ascii="Simplified Arabic" w:eastAsia="Times New Roman" w:hAnsi="Simplified Arabic" w:cs="Simplified Arabic"/>
          <w:b/>
          <w:bCs/>
          <w:color w:val="000000" w:themeColor="text1"/>
          <w:kern w:val="0"/>
          <w:sz w:val="28"/>
          <w:szCs w:val="28"/>
          <w:rtl/>
          <w14:ligatures w14:val="none"/>
        </w:rPr>
        <w:t xml:space="preserve">في تخفيض تكاليف المنتج – دراسة حالة عينة من المؤسسات الجزائرية." </w:t>
      </w:r>
    </w:p>
    <w:p w14:paraId="39DC1268" w14:textId="16A1B145" w:rsidR="00623818" w:rsidRPr="008343BF" w:rsidRDefault="00623818"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دور نظام الإنتاج في الوقت المحدد بأبعاده (تجنب تكلفة الإنتاج المعيب، التخلص من تكاليف التخزين) على تخفيض تكاليف المؤسسة وبخاصة تكاليف التخزين. واستخدمت الدراسة المنهج الوصفي التحليلي وأسلوب الاستبانة، وتكونت العينة من 49 مؤسسة جزائرية، وتم استرداد 70 استبانة من أصل 100. وتوصلت نتائج الدراسة إلى أنّ نظام الإنتاج في الوقت المحدد يسهم في تخفيض تكاليف المؤسسة عن طريق تجنب تكلفة الإنتاج المعيب والتخلص من جميع تكاليف التخزين. وأوصت الدراسة بتبني فلسفة</w:t>
      </w:r>
      <w:r w:rsidRPr="008343BF">
        <w:rPr>
          <w:rFonts w:ascii="Simplified Arabic" w:eastAsia="Times New Roman" w:hAnsi="Simplified Arabic" w:cs="Simplified Arabic"/>
          <w:color w:val="000000" w:themeColor="text1"/>
          <w:kern w:val="0"/>
          <w:sz w:val="28"/>
          <w:szCs w:val="28"/>
          <w14:ligatures w14:val="none"/>
        </w:rPr>
        <w:t xml:space="preserve"> JIT </w:t>
      </w:r>
      <w:r w:rsidRPr="008343BF">
        <w:rPr>
          <w:rFonts w:ascii="Simplified Arabic" w:eastAsia="Times New Roman" w:hAnsi="Simplified Arabic" w:cs="Simplified Arabic"/>
          <w:color w:val="000000" w:themeColor="text1"/>
          <w:kern w:val="0"/>
          <w:sz w:val="28"/>
          <w:szCs w:val="28"/>
          <w:rtl/>
          <w14:ligatures w14:val="none"/>
        </w:rPr>
        <w:t>كأداة استراتيجية لتحقيق ميزة تنافسية من خلال تقليل الفاقد والتكاليف</w:t>
      </w:r>
      <w:r w:rsidRPr="008343BF">
        <w:rPr>
          <w:rFonts w:ascii="Simplified Arabic" w:eastAsia="Times New Roman" w:hAnsi="Simplified Arabic" w:cs="Simplified Arabic"/>
          <w:color w:val="000000" w:themeColor="text1"/>
          <w:kern w:val="0"/>
          <w:sz w:val="28"/>
          <w:szCs w:val="28"/>
          <w14:ligatures w14:val="none"/>
        </w:rPr>
        <w:t>.</w:t>
      </w:r>
    </w:p>
    <w:p w14:paraId="541A51C6"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 العتيبي والنعيم</w:t>
      </w:r>
      <w:r w:rsidRPr="008343BF">
        <w:rPr>
          <w:rFonts w:ascii="Simplified Arabic" w:eastAsia="Times New Roman" w:hAnsi="Simplified Arabic" w:cs="Simplified Arabic"/>
          <w:b/>
          <w:bCs/>
          <w:color w:val="000000" w:themeColor="text1"/>
          <w:kern w:val="0"/>
          <w:sz w:val="28"/>
          <w:szCs w:val="28"/>
          <w14:ligatures w14:val="none"/>
        </w:rPr>
        <w:t xml:space="preserve"> (2025): "</w:t>
      </w:r>
      <w:r w:rsidRPr="008343BF">
        <w:rPr>
          <w:rFonts w:ascii="Simplified Arabic" w:eastAsia="Times New Roman" w:hAnsi="Simplified Arabic" w:cs="Simplified Arabic"/>
          <w:b/>
          <w:bCs/>
          <w:color w:val="000000" w:themeColor="text1"/>
          <w:kern w:val="0"/>
          <w:sz w:val="28"/>
          <w:szCs w:val="28"/>
          <w:rtl/>
          <w14:ligatures w14:val="none"/>
        </w:rPr>
        <w:t xml:space="preserve">دور المحاسبة السحابية وأثرها في تخفيض تكاليف إدارة المخزون وتحسين عمليات الجرد: دراسة ميدانية على الشركات الصغيرة والمتوسطة في المملكة العربية السعودية." </w:t>
      </w:r>
    </w:p>
    <w:p w14:paraId="442ED353" w14:textId="10BFEB21"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المحاسبة السحابية بأبعادها (مفهوم المحاسبة السحابية، مزاياها، مكوناتها) على تخفيض تكاليف إدارة المخزون وتحسين عمليات الجرد في الشركات الصغيرة والمتوسطة السعودية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102 شركة صغيرة ومتوسطة، وتم جمع البيانات عبر استبانة إلكترونية وزعت على المديرين الماليين والمحاسبين ومسؤولي إدارة المخزون، وحُلّلت البيانات باستخدام برنامج</w:t>
      </w:r>
      <w:r w:rsidRPr="008343BF">
        <w:rPr>
          <w:rFonts w:ascii="Simplified Arabic" w:eastAsia="Times New Roman" w:hAnsi="Simplified Arabic" w:cs="Simplified Arabic"/>
          <w:color w:val="000000" w:themeColor="text1"/>
          <w:kern w:val="0"/>
          <w:sz w:val="28"/>
          <w:szCs w:val="28"/>
          <w14:ligatures w14:val="none"/>
        </w:rPr>
        <w:t xml:space="preserve"> SPSS. </w:t>
      </w:r>
      <w:r w:rsidRPr="008343BF">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ذات دلالة إحصائية بين المحاسبة السحابية وتخفيض تكاليف إدارة المخزون بوزن نسبي 85%. وأوصت الدراسة بتبني المحاسبة السحابية في الشركات الصغيرة والمتوسطة لتحقيق كفاءة أعلى في إدارة المخزون</w:t>
      </w:r>
      <w:r w:rsidRPr="008343BF">
        <w:rPr>
          <w:rFonts w:ascii="Simplified Arabic" w:eastAsia="Times New Roman" w:hAnsi="Simplified Arabic" w:cs="Simplified Arabic"/>
          <w:color w:val="000000" w:themeColor="text1"/>
          <w:kern w:val="0"/>
          <w:sz w:val="28"/>
          <w:szCs w:val="28"/>
          <w14:ligatures w14:val="none"/>
        </w:rPr>
        <w:t>.</w:t>
      </w:r>
    </w:p>
    <w:p w14:paraId="20908129"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lastRenderedPageBreak/>
        <w:t>دراسة بن زغدة</w:t>
      </w:r>
      <w:r w:rsidRPr="008343BF">
        <w:rPr>
          <w:rFonts w:ascii="Simplified Arabic" w:eastAsia="Times New Roman" w:hAnsi="Simplified Arabic" w:cs="Simplified Arabic"/>
          <w:b/>
          <w:bCs/>
          <w:color w:val="000000" w:themeColor="text1"/>
          <w:kern w:val="0"/>
          <w:sz w:val="28"/>
          <w:szCs w:val="28"/>
          <w14:ligatures w14:val="none"/>
        </w:rPr>
        <w:t xml:space="preserve"> (2025): "</w:t>
      </w:r>
      <w:r w:rsidRPr="008343BF">
        <w:rPr>
          <w:rFonts w:ascii="Simplified Arabic" w:eastAsia="Times New Roman" w:hAnsi="Simplified Arabic" w:cs="Simplified Arabic"/>
          <w:b/>
          <w:bCs/>
          <w:color w:val="000000" w:themeColor="text1"/>
          <w:kern w:val="0"/>
          <w:sz w:val="28"/>
          <w:szCs w:val="28"/>
          <w:rtl/>
          <w14:ligatures w14:val="none"/>
        </w:rPr>
        <w:t xml:space="preserve">تسيير المخزون باستخدام نموذج كمية الطلب الاقتصادية – دراسة حالة مدبغة جيجل." </w:t>
      </w:r>
    </w:p>
    <w:p w14:paraId="536DE467" w14:textId="62B7C960"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دور نموذج كمية الطلب الاقتصادية (نموذج ويلسون) بأبعاده (الكمية المثلى للطلب، نقطة إعادة الطلب) على تسيير المخزون وتخفيض تكاليفه في مدبغة جيجل بالجزائر خلال سنة 2023. واستخدمت الدراسة المنهج الوصفي التحليلي مع أسلوب دراسة الحالة باستخدام برمجية</w:t>
      </w:r>
      <w:r w:rsidRPr="008343BF">
        <w:rPr>
          <w:rFonts w:ascii="Simplified Arabic" w:eastAsia="Times New Roman" w:hAnsi="Simplified Arabic" w:cs="Simplified Arabic"/>
          <w:color w:val="000000" w:themeColor="text1"/>
          <w:kern w:val="0"/>
          <w:sz w:val="28"/>
          <w:szCs w:val="28"/>
          <w14:ligatures w14:val="none"/>
        </w:rPr>
        <w:t xml:space="preserve"> QM for Windows</w:t>
      </w:r>
      <w:r w:rsidRPr="008343BF">
        <w:rPr>
          <w:rFonts w:ascii="Simplified Arabic" w:eastAsia="Times New Roman" w:hAnsi="Simplified Arabic" w:cs="Simplified Arabic"/>
          <w:color w:val="000000" w:themeColor="text1"/>
          <w:kern w:val="0"/>
          <w:sz w:val="28"/>
          <w:szCs w:val="28"/>
          <w:rtl/>
          <w14:ligatures w14:val="none"/>
        </w:rPr>
        <w:t>، وتكونت العينة من بيانات المخزون الفعلية للمدبغة. وتوصلت نتائج الدراسة إلى أنّ المؤسسة تصدر أمر توريد جديدًا عند وصول كمية المخزون إلى 15,969,700.64 وحدة، وأنّ تطبيق نموذج ويلسون ساهم في تخفيض التكاليف الكلية للمخزون بمقدار 150,949,047.3 دج. وأوصت الدراسة بتطبيق النماذج الكمية الحديثة في إدارة المخزون لرفع المركز المالي للمؤسسة</w:t>
      </w:r>
      <w:r w:rsidRPr="008343BF">
        <w:rPr>
          <w:rFonts w:ascii="Simplified Arabic" w:eastAsia="Times New Roman" w:hAnsi="Simplified Arabic" w:cs="Simplified Arabic"/>
          <w:color w:val="000000" w:themeColor="text1"/>
          <w:kern w:val="0"/>
          <w:sz w:val="28"/>
          <w:szCs w:val="28"/>
          <w14:ligatures w14:val="none"/>
        </w:rPr>
        <w:t>.</w:t>
      </w:r>
    </w:p>
    <w:p w14:paraId="7009AED7"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 محمودي ومكيد</w:t>
      </w:r>
      <w:r w:rsidRPr="008343BF">
        <w:rPr>
          <w:rFonts w:ascii="Simplified Arabic" w:eastAsia="Times New Roman" w:hAnsi="Simplified Arabic" w:cs="Simplified Arabic"/>
          <w:b/>
          <w:bCs/>
          <w:color w:val="000000" w:themeColor="text1"/>
          <w:kern w:val="0"/>
          <w:sz w:val="28"/>
          <w:szCs w:val="28"/>
          <w14:ligatures w14:val="none"/>
        </w:rPr>
        <w:t xml:space="preserve"> (2025): "</w:t>
      </w:r>
      <w:r w:rsidRPr="008343BF">
        <w:rPr>
          <w:rFonts w:ascii="Simplified Arabic" w:eastAsia="Times New Roman" w:hAnsi="Simplified Arabic" w:cs="Simplified Arabic"/>
          <w:b/>
          <w:bCs/>
          <w:color w:val="000000" w:themeColor="text1"/>
          <w:kern w:val="0"/>
          <w:sz w:val="28"/>
          <w:szCs w:val="28"/>
          <w:rtl/>
          <w14:ligatures w14:val="none"/>
        </w:rPr>
        <w:t xml:space="preserve">ترشيد قرارات تسيير المخزون بالاعتماد على التقنيات الكمية – حالة المؤسسة الوطنية للبلاستيك بالمدية للفترة 2023." </w:t>
      </w:r>
    </w:p>
    <w:p w14:paraId="39E027AC" w14:textId="3E8554AF"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الذي تلعبه النماذج الكمية بأبعادها (نموذج ويلسون</w:t>
      </w:r>
      <w:r w:rsidRPr="008343BF">
        <w:rPr>
          <w:rFonts w:ascii="Simplified Arabic" w:eastAsia="Times New Roman" w:hAnsi="Simplified Arabic" w:cs="Simplified Arabic"/>
          <w:color w:val="000000" w:themeColor="text1"/>
          <w:kern w:val="0"/>
          <w:sz w:val="28"/>
          <w:szCs w:val="28"/>
          <w14:ligatures w14:val="none"/>
        </w:rPr>
        <w:t xml:space="preserve"> Wilson</w:t>
      </w:r>
      <w:r w:rsidRPr="008343BF">
        <w:rPr>
          <w:rFonts w:ascii="Simplified Arabic" w:eastAsia="Times New Roman" w:hAnsi="Simplified Arabic" w:cs="Simplified Arabic"/>
          <w:color w:val="000000" w:themeColor="text1"/>
          <w:kern w:val="0"/>
          <w:sz w:val="28"/>
          <w:szCs w:val="28"/>
          <w:rtl/>
          <w14:ligatures w14:val="none"/>
        </w:rPr>
        <w:t>، برنامج</w:t>
      </w:r>
      <w:r w:rsidRPr="008343BF">
        <w:rPr>
          <w:rFonts w:ascii="Simplified Arabic" w:eastAsia="Times New Roman" w:hAnsi="Simplified Arabic" w:cs="Simplified Arabic"/>
          <w:color w:val="000000" w:themeColor="text1"/>
          <w:kern w:val="0"/>
          <w:sz w:val="28"/>
          <w:szCs w:val="28"/>
          <w14:ligatures w14:val="none"/>
        </w:rPr>
        <w:t xml:space="preserve"> QM Windows</w:t>
      </w:r>
      <w:r w:rsidRPr="008343BF">
        <w:rPr>
          <w:rFonts w:ascii="Simplified Arabic" w:eastAsia="Times New Roman" w:hAnsi="Simplified Arabic" w:cs="Simplified Arabic"/>
          <w:color w:val="000000" w:themeColor="text1"/>
          <w:kern w:val="0"/>
          <w:sz w:val="28"/>
          <w:szCs w:val="28"/>
          <w:rtl/>
          <w14:ligatures w14:val="none"/>
        </w:rPr>
        <w:t>، برنامج</w:t>
      </w:r>
      <w:r w:rsidRPr="008343BF">
        <w:rPr>
          <w:rFonts w:ascii="Simplified Arabic" w:eastAsia="Times New Roman" w:hAnsi="Simplified Arabic" w:cs="Simplified Arabic"/>
          <w:color w:val="000000" w:themeColor="text1"/>
          <w:kern w:val="0"/>
          <w:sz w:val="28"/>
          <w:szCs w:val="28"/>
          <w14:ligatures w14:val="none"/>
        </w:rPr>
        <w:t xml:space="preserve"> WinQSB) </w:t>
      </w:r>
      <w:r w:rsidRPr="008343BF">
        <w:rPr>
          <w:rFonts w:ascii="Simplified Arabic" w:eastAsia="Times New Roman" w:hAnsi="Simplified Arabic" w:cs="Simplified Arabic"/>
          <w:color w:val="000000" w:themeColor="text1"/>
          <w:kern w:val="0"/>
          <w:sz w:val="28"/>
          <w:szCs w:val="28"/>
          <w:rtl/>
          <w14:ligatures w14:val="none"/>
        </w:rPr>
        <w:t>على تدنية تكاليف المخزون وترشيد قرارات التسيير والتموين في المؤسسة الوطنية للبلاستيك بالمدية بالجزائر. واستخدمت الدراسة المنهج الوصفي والمنهج التحليلي، وتكونت العينة من بيانات المادة الحرجة في المؤسسة خلال سنة 2023. وتوصلت نتائج الدراسة إلى أنّ تطبيق النماذج الكمية يساهم في تخفيض التكاليف الإجمالية للمخزون وتجاوز كل الاختلالات الممكنة من نفاذ أو تراكم. وأوصت الدراسة بضرورة تبني النماذج الكمية وعدم الاعتماد فقط على الأساليب التقليدية، وتكوين إطارات مؤهلة لاستخدام هذه الأساليب</w:t>
      </w:r>
      <w:r w:rsidRPr="008343BF">
        <w:rPr>
          <w:rFonts w:ascii="Simplified Arabic" w:eastAsia="Times New Roman" w:hAnsi="Simplified Arabic" w:cs="Simplified Arabic"/>
          <w:color w:val="000000" w:themeColor="text1"/>
          <w:kern w:val="0"/>
          <w:sz w:val="28"/>
          <w:szCs w:val="28"/>
          <w14:ligatures w14:val="none"/>
        </w:rPr>
        <w:t>.</w:t>
      </w:r>
    </w:p>
    <w:p w14:paraId="3ADEBE7F" w14:textId="77777777" w:rsidR="00861D72" w:rsidRPr="008343BF" w:rsidRDefault="00861D72"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1" w:name="_Toc223214129"/>
      <w:r w:rsidRPr="008343BF">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21"/>
    </w:p>
    <w:p w14:paraId="495E199C"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w:t>
      </w:r>
      <w:r w:rsidRPr="008343BF">
        <w:rPr>
          <w:rFonts w:ascii="Simplified Arabic" w:eastAsia="Times New Roman" w:hAnsi="Simplified Arabic" w:cs="Simplified Arabic"/>
          <w:b/>
          <w:bCs/>
          <w:color w:val="000000" w:themeColor="text1"/>
          <w:kern w:val="0"/>
          <w:sz w:val="28"/>
          <w:szCs w:val="28"/>
          <w14:ligatures w14:val="none"/>
        </w:rPr>
        <w:t xml:space="preserve"> Srisamai and Siriruk (2023): "Demand Forecasting to Reduce Dead Stock and Lost Sales: A Case Study of the Wholesale Electric Equipment and Part Company." </w:t>
      </w:r>
    </w:p>
    <w:p w14:paraId="0E3EEA14" w14:textId="3A094732"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التنبؤ بالطلب بأبعاده (المتوسط المتحرك البسيط، المتوسط المتحرك الموزون، التمهيد الأسّي، كمية الطلب الاقتصادية</w:t>
      </w:r>
      <w:r w:rsidRPr="008343BF">
        <w:rPr>
          <w:rFonts w:ascii="Simplified Arabic" w:eastAsia="Times New Roman" w:hAnsi="Simplified Arabic" w:cs="Simplified Arabic"/>
          <w:color w:val="000000" w:themeColor="text1"/>
          <w:kern w:val="0"/>
          <w:sz w:val="28"/>
          <w:szCs w:val="28"/>
          <w14:ligatures w14:val="none"/>
        </w:rPr>
        <w:t xml:space="preserve"> EOQ</w:t>
      </w:r>
      <w:r w:rsidRPr="008343BF">
        <w:rPr>
          <w:rFonts w:ascii="Simplified Arabic" w:eastAsia="Times New Roman" w:hAnsi="Simplified Arabic" w:cs="Simplified Arabic"/>
          <w:color w:val="000000" w:themeColor="text1"/>
          <w:kern w:val="0"/>
          <w:sz w:val="28"/>
          <w:szCs w:val="28"/>
          <w:rtl/>
          <w14:ligatures w14:val="none"/>
        </w:rPr>
        <w:t>، نقطة إعادة الطلب</w:t>
      </w:r>
      <w:r w:rsidRPr="008343BF">
        <w:rPr>
          <w:rFonts w:ascii="Simplified Arabic" w:eastAsia="Times New Roman" w:hAnsi="Simplified Arabic" w:cs="Simplified Arabic"/>
          <w:color w:val="000000" w:themeColor="text1"/>
          <w:kern w:val="0"/>
          <w:sz w:val="28"/>
          <w:szCs w:val="28"/>
          <w14:ligatures w14:val="none"/>
        </w:rPr>
        <w:t xml:space="preserve"> ROP) </w:t>
      </w:r>
      <w:r w:rsidRPr="008343BF">
        <w:rPr>
          <w:rFonts w:ascii="Simplified Arabic" w:eastAsia="Times New Roman" w:hAnsi="Simplified Arabic" w:cs="Simplified Arabic"/>
          <w:color w:val="000000" w:themeColor="text1"/>
          <w:kern w:val="0"/>
          <w:sz w:val="28"/>
          <w:szCs w:val="28"/>
          <w:rtl/>
          <w14:ligatures w14:val="none"/>
        </w:rPr>
        <w:t xml:space="preserve">على تقليل المخزون الراكد وفرص المبيعات الضائعة في شركة بيع معدات إلكترونية بالجملة في تايلاند. واستخدمت الدراسة المنهج الكمّي التطبيقي (دراسة حالة)، وتكونت العينة من بيانات الطلب الفعلية لأكثر خمسة منتجات مبيعًا خلال الفترة من يناير إلى ديسمبر 2022. وتوصلت نتائج الدراسة إلى أنّ التنبؤ بالطلب مكّن الشركة من تقليل فرص المبيعات الضائعة بنسبة </w:t>
      </w:r>
      <w:r w:rsidRPr="008343BF">
        <w:rPr>
          <w:rFonts w:ascii="Simplified Arabic" w:eastAsia="Times New Roman" w:hAnsi="Simplified Arabic" w:cs="Simplified Arabic"/>
          <w:color w:val="000000" w:themeColor="text1"/>
          <w:kern w:val="0"/>
          <w:sz w:val="28"/>
          <w:szCs w:val="28"/>
          <w14:ligatures w14:val="none"/>
        </w:rPr>
        <w:t xml:space="preserve">10% </w:t>
      </w:r>
      <w:r w:rsidRPr="008343BF">
        <w:rPr>
          <w:rFonts w:ascii="Simplified Arabic" w:eastAsia="Times New Roman" w:hAnsi="Simplified Arabic" w:cs="Simplified Arabic"/>
          <w:color w:val="000000" w:themeColor="text1"/>
          <w:kern w:val="0"/>
          <w:sz w:val="28"/>
          <w:szCs w:val="28"/>
          <w:rtl/>
          <w14:ligatures w14:val="none"/>
        </w:rPr>
        <w:t>وتخفيض المخزون الراكد بنسبة 10%، مع أفضل قيم لمقاييس الخطأ</w:t>
      </w:r>
      <w:r w:rsidRPr="008343BF">
        <w:rPr>
          <w:rFonts w:ascii="Simplified Arabic" w:eastAsia="Times New Roman" w:hAnsi="Simplified Arabic" w:cs="Simplified Arabic"/>
          <w:color w:val="000000" w:themeColor="text1"/>
          <w:kern w:val="0"/>
          <w:sz w:val="28"/>
          <w:szCs w:val="28"/>
          <w14:ligatures w14:val="none"/>
        </w:rPr>
        <w:t xml:space="preserve"> (MAD = 14,096 </w:t>
      </w:r>
      <w:r w:rsidRPr="008343BF">
        <w:rPr>
          <w:rFonts w:ascii="Simplified Arabic" w:eastAsia="Times New Roman" w:hAnsi="Simplified Arabic" w:cs="Simplified Arabic"/>
          <w:color w:val="000000" w:themeColor="text1"/>
          <w:kern w:val="0"/>
          <w:sz w:val="28"/>
          <w:szCs w:val="28"/>
          <w:rtl/>
          <w14:ligatures w14:val="none"/>
        </w:rPr>
        <w:t>للمتوسط المتحرك؛</w:t>
      </w:r>
      <w:r w:rsidRPr="008343BF">
        <w:rPr>
          <w:rFonts w:ascii="Simplified Arabic" w:eastAsia="Times New Roman" w:hAnsi="Simplified Arabic" w:cs="Simplified Arabic"/>
          <w:color w:val="000000" w:themeColor="text1"/>
          <w:kern w:val="0"/>
          <w:sz w:val="28"/>
          <w:szCs w:val="28"/>
          <w14:ligatures w14:val="none"/>
        </w:rPr>
        <w:t xml:space="preserve"> MAPE = 28% </w:t>
      </w:r>
      <w:r w:rsidRPr="008343BF">
        <w:rPr>
          <w:rFonts w:ascii="Simplified Arabic" w:eastAsia="Times New Roman" w:hAnsi="Simplified Arabic" w:cs="Simplified Arabic"/>
          <w:color w:val="000000" w:themeColor="text1"/>
          <w:kern w:val="0"/>
          <w:sz w:val="28"/>
          <w:szCs w:val="28"/>
          <w:rtl/>
          <w14:ligatures w14:val="none"/>
        </w:rPr>
        <w:t>للمتوسط المتحرك الموزون والتمهيد الأسّي). وأوصت الدراسة بتطبيق نظريات التنبؤ كأساس لتحسين تخطيط المشتريات وتقليل تكاليف الطلب</w:t>
      </w:r>
      <w:r w:rsidRPr="008343BF">
        <w:rPr>
          <w:rFonts w:ascii="Simplified Arabic" w:eastAsia="Times New Roman" w:hAnsi="Simplified Arabic" w:cs="Simplified Arabic"/>
          <w:color w:val="000000" w:themeColor="text1"/>
          <w:kern w:val="0"/>
          <w:sz w:val="28"/>
          <w:szCs w:val="28"/>
          <w14:ligatures w14:val="none"/>
        </w:rPr>
        <w:t>.</w:t>
      </w:r>
    </w:p>
    <w:p w14:paraId="5DC1E161"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w:t>
      </w:r>
      <w:r w:rsidRPr="008343BF">
        <w:rPr>
          <w:rFonts w:ascii="Simplified Arabic" w:eastAsia="Times New Roman" w:hAnsi="Simplified Arabic" w:cs="Simplified Arabic"/>
          <w:b/>
          <w:bCs/>
          <w:color w:val="000000" w:themeColor="text1"/>
          <w:kern w:val="0"/>
          <w:sz w:val="28"/>
          <w:szCs w:val="28"/>
          <w14:ligatures w14:val="none"/>
        </w:rPr>
        <w:t xml:space="preserve"> Trihapsari (2024): "Developing Optimization Strategy for Dead Stock Inventory: Study Case for PT ABC." </w:t>
      </w:r>
    </w:p>
    <w:p w14:paraId="1EA6AFE0" w14:textId="71F01E0D"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الأسباب الجذرية لتراكم المخزون الراكد بأبعاده (المخزون بطيء الحركة، المخزون الراكد، عدم دقة التنبؤ، التغيرات السوقية) وتطوير استراتيجية تحسين لإدارة المخزون الراكد في شركة </w:t>
      </w:r>
      <w:r w:rsidRPr="008343BF">
        <w:rPr>
          <w:rFonts w:ascii="Simplified Arabic" w:eastAsia="Times New Roman" w:hAnsi="Simplified Arabic" w:cs="Simplified Arabic"/>
          <w:color w:val="000000" w:themeColor="text1"/>
          <w:kern w:val="0"/>
          <w:sz w:val="28"/>
          <w:szCs w:val="28"/>
          <w14:ligatures w14:val="none"/>
        </w:rPr>
        <w:t xml:space="preserve">PT ABC </w:t>
      </w:r>
      <w:r w:rsidRPr="008343BF">
        <w:rPr>
          <w:rFonts w:ascii="Simplified Arabic" w:eastAsia="Times New Roman" w:hAnsi="Simplified Arabic" w:cs="Simplified Arabic"/>
          <w:color w:val="000000" w:themeColor="text1"/>
          <w:kern w:val="0"/>
          <w:sz w:val="28"/>
          <w:szCs w:val="28"/>
          <w:rtl/>
          <w14:ligatures w14:val="none"/>
        </w:rPr>
        <w:t>بإندونيسيا. واستخدمت الدراسة المنهج المختلط (كمّي ونوعي)، وتكونت العينة من مقابلات معمّقة مع مسؤولي إدارة المواد بالشركة إلى جانب بيانات المخزون الفعلية وتقارير الصناعة. وتوصلت نتائج الدراسة إلى أنّ التكامل بين أنظمة إدارة المخزون والتحليلات التنبؤية في الوقت الفعلي يقلّل مستويات المخزون الراكد ويحسّن الكفاءة التشغيلية. وأوصت الدراسة بوضع إجراءات معيارية لمراجعة المخزون دوريًا ووضع خطة عمل شاملة لمنع تراكم المخزون الراكد مستقبلًا</w:t>
      </w:r>
      <w:r w:rsidRPr="008343BF">
        <w:rPr>
          <w:rFonts w:ascii="Simplified Arabic" w:eastAsia="Times New Roman" w:hAnsi="Simplified Arabic" w:cs="Simplified Arabic"/>
          <w:color w:val="000000" w:themeColor="text1"/>
          <w:kern w:val="0"/>
          <w:sz w:val="28"/>
          <w:szCs w:val="28"/>
          <w14:ligatures w14:val="none"/>
        </w:rPr>
        <w:t>.</w:t>
      </w:r>
    </w:p>
    <w:p w14:paraId="028F9BDC" w14:textId="77777777" w:rsidR="00623818"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دراسة</w:t>
      </w:r>
      <w:r w:rsidRPr="008343BF">
        <w:rPr>
          <w:rFonts w:ascii="Simplified Arabic" w:eastAsia="Times New Roman" w:hAnsi="Simplified Arabic" w:cs="Simplified Arabic"/>
          <w:b/>
          <w:bCs/>
          <w:color w:val="000000" w:themeColor="text1"/>
          <w:kern w:val="0"/>
          <w:sz w:val="28"/>
          <w:szCs w:val="28"/>
          <w14:ligatures w14:val="none"/>
        </w:rPr>
        <w:t xml:space="preserve"> Li, Seva and Chiu (2025): "Reducing Waste in Retail: A Mixed Strategy, Cost Optimization Model for Sustainable Dead Stock Management." </w:t>
      </w:r>
    </w:p>
    <w:p w14:paraId="7BB5D719" w14:textId="5A5AECAF"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هدفت الدراسة إلى التعرف على فعالية استراتيجية مختلطة بأبعادها (التخلص، الخصومات السعرية، تجميع المنتجات، النقل الجانبي بين الفروع) على تخفيض تكلفة إدارة المخزون الراكد في شبكات التجزئة. واستخدمت الدراسة نموذج البرمجة العددية الصحيحة غير الخطية</w:t>
      </w:r>
      <w:r w:rsidRPr="008343BF">
        <w:rPr>
          <w:rFonts w:ascii="Simplified Arabic" w:eastAsia="Times New Roman" w:hAnsi="Simplified Arabic" w:cs="Simplified Arabic"/>
          <w:color w:val="000000" w:themeColor="text1"/>
          <w:kern w:val="0"/>
          <w:sz w:val="28"/>
          <w:szCs w:val="28"/>
          <w14:ligatures w14:val="none"/>
        </w:rPr>
        <w:t xml:space="preserve"> (Pure Integer Non-linear Programming) </w:t>
      </w:r>
      <w:r w:rsidRPr="008343BF">
        <w:rPr>
          <w:rFonts w:ascii="Simplified Arabic" w:eastAsia="Times New Roman" w:hAnsi="Simplified Arabic" w:cs="Simplified Arabic"/>
          <w:color w:val="000000" w:themeColor="text1"/>
          <w:kern w:val="0"/>
          <w:sz w:val="28"/>
          <w:szCs w:val="28"/>
          <w:rtl/>
          <w14:ligatures w14:val="none"/>
        </w:rPr>
        <w:t>منفّذًا ببرنامج</w:t>
      </w:r>
      <w:r w:rsidRPr="008343BF">
        <w:rPr>
          <w:rFonts w:ascii="Simplified Arabic" w:eastAsia="Times New Roman" w:hAnsi="Simplified Arabic" w:cs="Simplified Arabic"/>
          <w:color w:val="000000" w:themeColor="text1"/>
          <w:kern w:val="0"/>
          <w:sz w:val="28"/>
          <w:szCs w:val="28"/>
          <w14:ligatures w14:val="none"/>
        </w:rPr>
        <w:t xml:space="preserve"> MATLAB</w:t>
      </w:r>
      <w:r w:rsidRPr="008343BF">
        <w:rPr>
          <w:rFonts w:ascii="Simplified Arabic" w:eastAsia="Times New Roman" w:hAnsi="Simplified Arabic" w:cs="Simplified Arabic"/>
          <w:color w:val="000000" w:themeColor="text1"/>
          <w:kern w:val="0"/>
          <w:sz w:val="28"/>
          <w:szCs w:val="28"/>
          <w:rtl/>
          <w14:ligatures w14:val="none"/>
        </w:rPr>
        <w:t xml:space="preserve">، وتكونت العينة من بيانات افتراضية لسلسلة مكوّنة </w:t>
      </w:r>
      <w:r w:rsidRPr="008343BF">
        <w:rPr>
          <w:rFonts w:ascii="Simplified Arabic" w:eastAsia="Times New Roman" w:hAnsi="Simplified Arabic" w:cs="Simplified Arabic"/>
          <w:color w:val="000000" w:themeColor="text1"/>
          <w:kern w:val="0"/>
          <w:sz w:val="28"/>
          <w:szCs w:val="28"/>
          <w:rtl/>
          <w14:ligatures w14:val="none"/>
        </w:rPr>
        <w:lastRenderedPageBreak/>
        <w:t>من 3 متاجر و10 منتجات</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وتوصلت نتائج الدراسة إلى أنّ نسبة الخصم، واحتمال نجاح البيع في الموقع، وطريقة التصرف في المنتجات غير المباعة هي المحركات الرئيسية لقرارات النموذج، وأنّ أبرز مكوّنات التكلفة هي تكلفة المنتج غير المسترد وتكلفة التخلص وقيمة الإنقاذ من البيع الناجح للمخزون الراكد. وأوصت الدراسة بأنّ على مديري المخزون الموازنة بين أثر هذه الاستراتيجيات المختلفة على مكونات التكلفة عند اختيار سياسة إدارة المخزون الراكد المناسبة</w:t>
      </w:r>
      <w:r w:rsidRPr="008343BF">
        <w:rPr>
          <w:rFonts w:ascii="Simplified Arabic" w:eastAsia="Times New Roman" w:hAnsi="Simplified Arabic" w:cs="Simplified Arabic"/>
          <w:color w:val="000000" w:themeColor="text1"/>
          <w:kern w:val="0"/>
          <w:sz w:val="28"/>
          <w:szCs w:val="28"/>
          <w14:ligatures w14:val="none"/>
        </w:rPr>
        <w:t>.</w:t>
      </w:r>
    </w:p>
    <w:p w14:paraId="48271435" w14:textId="6622D1D9" w:rsidR="00623818" w:rsidRPr="008343BF" w:rsidRDefault="00623818" w:rsidP="006238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169790501"/>
      <w:bookmarkStart w:id="23" w:name="_Toc233042127"/>
      <w:bookmarkEnd w:id="16"/>
      <w:r w:rsidRPr="008343BF">
        <w:rPr>
          <w:rFonts w:ascii="Simplified Arabic" w:eastAsia="Times New Roman" w:hAnsi="Simplified Arabic" w:cs="Simplified Arabic"/>
          <w:b/>
          <w:bCs/>
          <w:color w:val="000000" w:themeColor="text1"/>
          <w:kern w:val="0"/>
          <w:sz w:val="36"/>
          <w:szCs w:val="36"/>
          <w:rtl/>
          <w14:ligatures w14:val="none"/>
        </w:rPr>
        <w:t>8.1 الفجوة البحثية:</w:t>
      </w:r>
      <w:bookmarkEnd w:id="23"/>
    </w:p>
    <w:p w14:paraId="670A2E39" w14:textId="77777777" w:rsidR="009F01B4" w:rsidRPr="008343BF" w:rsidRDefault="009F01B4"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تتفق الدراسة الحالية مع الدراسات السابقة في عدة جوانب جوهرية، إذ تتقاطع معها في التأكيد على الأهمية المحورية لدقة التنبؤ بالطلب كمدخل أساسي لترشيد قرارات إدارة المخزون وتحسين الأداء التشغيلي للمؤسسات، وهو ما أكدته دراسة سعيد وعكلة (2024) ودراسة</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ودراسة</w:t>
      </w:r>
      <w:r w:rsidRPr="008343BF">
        <w:rPr>
          <w:rFonts w:ascii="Simplified Arabic" w:eastAsia="Times New Roman" w:hAnsi="Simplified Arabic" w:cs="Simplified Arabic"/>
          <w:color w:val="000000" w:themeColor="text1"/>
          <w:kern w:val="0"/>
          <w:sz w:val="28"/>
          <w:szCs w:val="28"/>
          <w14:ligatures w14:val="none"/>
        </w:rPr>
        <w:t xml:space="preserve"> Harahap et al. (2025). </w:t>
      </w:r>
      <w:r w:rsidRPr="008343BF">
        <w:rPr>
          <w:rFonts w:ascii="Simplified Arabic" w:eastAsia="Times New Roman" w:hAnsi="Simplified Arabic" w:cs="Simplified Arabic"/>
          <w:color w:val="000000" w:themeColor="text1"/>
          <w:kern w:val="0"/>
          <w:sz w:val="28"/>
          <w:szCs w:val="28"/>
          <w:rtl/>
          <w14:ligatures w14:val="none"/>
        </w:rPr>
        <w:t xml:space="preserve">كما تتفق الدراسة الحالية مع دراسة هبال وقرقيط (2022) ودراسة طول وبكّار (2023) في الاعتراف بتعدد أساليب التنبؤ وتنوعها بين الأساليب الكمية التقليدية وتحليل السلاسل الزمنية ونماذج الذكاء الاصطناعي، وفي التأكيد على ضرورة اختيار الأسلوب الأنسب وفقًا لطبيعة البيانات وأنماط الطلب. وتتفق كذلك مع دراسة محمودي ومكيد </w:t>
      </w:r>
      <w:r w:rsidRPr="008343BF">
        <w:rPr>
          <w:rFonts w:ascii="Simplified Arabic" w:eastAsia="Times New Roman" w:hAnsi="Simplified Arabic" w:cs="Simplified Arabic"/>
          <w:color w:val="000000" w:themeColor="text1"/>
          <w:kern w:val="0"/>
          <w:sz w:val="28"/>
          <w:szCs w:val="28"/>
          <w14:ligatures w14:val="none"/>
        </w:rPr>
        <w:t xml:space="preserve">(2025) </w:t>
      </w:r>
      <w:r w:rsidRPr="008343BF">
        <w:rPr>
          <w:rFonts w:ascii="Simplified Arabic" w:eastAsia="Times New Roman" w:hAnsi="Simplified Arabic" w:cs="Simplified Arabic"/>
          <w:color w:val="000000" w:themeColor="text1"/>
          <w:kern w:val="0"/>
          <w:sz w:val="28"/>
          <w:szCs w:val="28"/>
          <w:rtl/>
          <w14:ligatures w14:val="none"/>
        </w:rPr>
        <w:t>ودراسة بن زغدة (2025) في إبراز دور النماذج الكمية كنموذج ويلسون في تخفيض تكاليف المخزون الإجمالية، ومع دراسة</w:t>
      </w:r>
      <w:r w:rsidRPr="008343BF">
        <w:rPr>
          <w:rFonts w:ascii="Simplified Arabic" w:eastAsia="Times New Roman" w:hAnsi="Simplified Arabic" w:cs="Simplified Arabic"/>
          <w:color w:val="000000" w:themeColor="text1"/>
          <w:kern w:val="0"/>
          <w:sz w:val="28"/>
          <w:szCs w:val="28"/>
          <w14:ligatures w14:val="none"/>
        </w:rPr>
        <w:t xml:space="preserve"> Srisamai and Siriruk (2023) </w:t>
      </w:r>
      <w:r w:rsidRPr="008343BF">
        <w:rPr>
          <w:rFonts w:ascii="Simplified Arabic" w:eastAsia="Times New Roman" w:hAnsi="Simplified Arabic" w:cs="Simplified Arabic"/>
          <w:color w:val="000000" w:themeColor="text1"/>
          <w:kern w:val="0"/>
          <w:sz w:val="28"/>
          <w:szCs w:val="28"/>
          <w:rtl/>
          <w14:ligatures w14:val="none"/>
        </w:rPr>
        <w:t>ودراسة</w:t>
      </w:r>
      <w:r w:rsidRPr="008343BF">
        <w:rPr>
          <w:rFonts w:ascii="Simplified Arabic" w:eastAsia="Times New Roman" w:hAnsi="Simplified Arabic" w:cs="Simplified Arabic"/>
          <w:color w:val="000000" w:themeColor="text1"/>
          <w:kern w:val="0"/>
          <w:sz w:val="28"/>
          <w:szCs w:val="28"/>
          <w14:ligatures w14:val="none"/>
        </w:rPr>
        <w:t xml:space="preserve"> Trihapsari (2024) </w:t>
      </w:r>
      <w:r w:rsidRPr="008343BF">
        <w:rPr>
          <w:rFonts w:ascii="Simplified Arabic" w:eastAsia="Times New Roman" w:hAnsi="Simplified Arabic" w:cs="Simplified Arabic"/>
          <w:color w:val="000000" w:themeColor="text1"/>
          <w:kern w:val="0"/>
          <w:sz w:val="28"/>
          <w:szCs w:val="28"/>
          <w:rtl/>
          <w14:ligatures w14:val="none"/>
        </w:rPr>
        <w:t>في التأكيد على أنّ تحسين عمليات التنبؤ يؤدي بشكل مباشر إلى تقليل المخزون الراكد وفرص المبيعات الضائعة. وتتفق أيضًا مع أغلب الدراسات السابقة في اعتماد المنهج الوصفي التحليلي كمنهج بحثي ملائم، وفي استخدام الاستبانة كأداة رئيسية لجمع البيانات الأولية كما في دراسة العتيبي والنعيم (2025) ودراسة بن بايرة (2021)، وفي الاستناد إلى مقاييس خطأ التنبؤ المعتمدة دوليًا</w:t>
      </w:r>
      <w:r w:rsidRPr="008343BF">
        <w:rPr>
          <w:rFonts w:ascii="Simplified Arabic" w:eastAsia="Times New Roman" w:hAnsi="Simplified Arabic" w:cs="Simplified Arabic"/>
          <w:color w:val="000000" w:themeColor="text1"/>
          <w:kern w:val="0"/>
          <w:sz w:val="28"/>
          <w:szCs w:val="28"/>
          <w14:ligatures w14:val="none"/>
        </w:rPr>
        <w:t xml:space="preserve"> (MAD, MSE, MAPE) </w:t>
      </w:r>
      <w:r w:rsidRPr="008343BF">
        <w:rPr>
          <w:rFonts w:ascii="Simplified Arabic" w:eastAsia="Times New Roman" w:hAnsi="Simplified Arabic" w:cs="Simplified Arabic"/>
          <w:color w:val="000000" w:themeColor="text1"/>
          <w:kern w:val="0"/>
          <w:sz w:val="28"/>
          <w:szCs w:val="28"/>
          <w:rtl/>
          <w14:ligatures w14:val="none"/>
        </w:rPr>
        <w:t>لتقييم جودة النماذج التنبؤية كما في دراسة</w:t>
      </w:r>
      <w:r w:rsidRPr="008343BF">
        <w:rPr>
          <w:rFonts w:ascii="Simplified Arabic" w:eastAsia="Times New Roman" w:hAnsi="Simplified Arabic" w:cs="Simplified Arabic"/>
          <w:color w:val="000000" w:themeColor="text1"/>
          <w:kern w:val="0"/>
          <w:sz w:val="28"/>
          <w:szCs w:val="28"/>
          <w14:ligatures w14:val="none"/>
        </w:rPr>
        <w:t xml:space="preserve"> Theodorou et al. (2025) </w:t>
      </w:r>
      <w:r w:rsidRPr="008343BF">
        <w:rPr>
          <w:rFonts w:ascii="Simplified Arabic" w:eastAsia="Times New Roman" w:hAnsi="Simplified Arabic" w:cs="Simplified Arabic"/>
          <w:color w:val="000000" w:themeColor="text1"/>
          <w:kern w:val="0"/>
          <w:sz w:val="28"/>
          <w:szCs w:val="28"/>
          <w:rtl/>
          <w14:ligatures w14:val="none"/>
        </w:rPr>
        <w:t>ودراسة</w:t>
      </w:r>
      <w:r w:rsidRPr="008343BF">
        <w:rPr>
          <w:rFonts w:ascii="Simplified Arabic" w:eastAsia="Times New Roman" w:hAnsi="Simplified Arabic" w:cs="Simplified Arabic"/>
          <w:color w:val="000000" w:themeColor="text1"/>
          <w:kern w:val="0"/>
          <w:sz w:val="28"/>
          <w:szCs w:val="28"/>
          <w14:ligatures w14:val="none"/>
        </w:rPr>
        <w:t xml:space="preserve"> Yani and Aamer (2023).</w:t>
      </w:r>
    </w:p>
    <w:p w14:paraId="0C9C3406" w14:textId="77777777" w:rsidR="009F01B4" w:rsidRPr="008343BF" w:rsidRDefault="009F01B4"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343BF">
        <w:rPr>
          <w:rFonts w:ascii="Simplified Arabic" w:eastAsia="Times New Roman" w:hAnsi="Simplified Arabic" w:cs="Simplified Arabic"/>
          <w:b/>
          <w:bCs/>
          <w:color w:val="000000" w:themeColor="text1"/>
          <w:kern w:val="0"/>
          <w:sz w:val="32"/>
          <w:szCs w:val="32"/>
          <w:rtl/>
          <w14:ligatures w14:val="none"/>
        </w:rPr>
        <w:t>أوجه الاختلاف</w:t>
      </w:r>
    </w:p>
    <w:p w14:paraId="70C02CC3" w14:textId="18B1B414" w:rsidR="007D5033" w:rsidRPr="008343BF" w:rsidRDefault="009F01B4"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تختلف الدراسة الحالية عن الدراسات السابقة في عدة جوانب تمنحها خصوصيتها وإضافتها العلمية، فمن حيث النموذج البحثي تتميز الدراسة الحالية بتقديم إطار متكامل يجمع بين أربعة أبعاد لدقة التنبؤ بالطلب (دقة النماذج الكمية، دقة نماذج التعلم الآلي، دقة تحليل السلاسل الزمنية، دقة النماذج الهجينة) </w:t>
      </w:r>
      <w:r w:rsidRPr="008343BF">
        <w:rPr>
          <w:rFonts w:ascii="Simplified Arabic" w:eastAsia="Times New Roman" w:hAnsi="Simplified Arabic" w:cs="Simplified Arabic"/>
          <w:color w:val="000000" w:themeColor="text1"/>
          <w:kern w:val="0"/>
          <w:sz w:val="28"/>
          <w:szCs w:val="28"/>
          <w:rtl/>
          <w14:ligatures w14:val="none"/>
        </w:rPr>
        <w:lastRenderedPageBreak/>
        <w:t>في نموذج واحد لقياس أثرها المشترك والمنفرد على تخفيض المخزون الراكد وتكاليف التخزين، في حين ركّزت معظم الدراسات السابقة على بُعد واحد أو اثنين فقط كتركيز دراسة طول وبكّار (2023) على الشبكات العصبية منفردة، ودراسة هبال وقرقيط (2022) على منهجية بوكس جينكينز وحدها، ودراسة</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على النماذج الهجينة دون ربطها بمخرجات المخزون الراكد تحديدًا. ومن حيث بيئة التطبيق تستهدف الدراسة الحالية المؤسسات الصناعية والتجارية المصرية، بينما أُجريت الدراسات العربية السابقة في بيئات مختلفة كالبيئة العراقية (سعيد وعكلة، 2024) والجزائرية (محمودي ومكيد، 2025؛ بن زغدة، 2025؛ بن بايرة، 2021) والسعودية (العتيبي والنعيم، 2025)، كما أُجريت الدراسات الأجنبية في بيئات تايلاندية</w:t>
      </w:r>
      <w:r w:rsidRPr="008343BF">
        <w:rPr>
          <w:rFonts w:ascii="Simplified Arabic" w:eastAsia="Times New Roman" w:hAnsi="Simplified Arabic" w:cs="Simplified Arabic"/>
          <w:color w:val="000000" w:themeColor="text1"/>
          <w:kern w:val="0"/>
          <w:sz w:val="28"/>
          <w:szCs w:val="28"/>
          <w14:ligatures w14:val="none"/>
        </w:rPr>
        <w:t xml:space="preserve"> (Srisamai &amp; Siriruk, 2023) </w:t>
      </w:r>
      <w:r w:rsidRPr="008343BF">
        <w:rPr>
          <w:rFonts w:ascii="Simplified Arabic" w:eastAsia="Times New Roman" w:hAnsi="Simplified Arabic" w:cs="Simplified Arabic"/>
          <w:color w:val="000000" w:themeColor="text1"/>
          <w:kern w:val="0"/>
          <w:sz w:val="28"/>
          <w:szCs w:val="28"/>
          <w:rtl/>
          <w14:ligatures w14:val="none"/>
        </w:rPr>
        <w:t>وإندونيسية</w:t>
      </w:r>
      <w:r w:rsidRPr="008343BF">
        <w:rPr>
          <w:rFonts w:ascii="Simplified Arabic" w:eastAsia="Times New Roman" w:hAnsi="Simplified Arabic" w:cs="Simplified Arabic"/>
          <w:color w:val="000000" w:themeColor="text1"/>
          <w:kern w:val="0"/>
          <w:sz w:val="28"/>
          <w:szCs w:val="28"/>
          <w14:ligatures w14:val="none"/>
        </w:rPr>
        <w:t xml:space="preserve"> (Trihapsari, 2024) </w:t>
      </w:r>
      <w:r w:rsidRPr="008343BF">
        <w:rPr>
          <w:rFonts w:ascii="Simplified Arabic" w:eastAsia="Times New Roman" w:hAnsi="Simplified Arabic" w:cs="Simplified Arabic"/>
          <w:color w:val="000000" w:themeColor="text1"/>
          <w:kern w:val="0"/>
          <w:sz w:val="28"/>
          <w:szCs w:val="28"/>
          <w:rtl/>
          <w14:ligatures w14:val="none"/>
        </w:rPr>
        <w:t>وماليزية</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وأمريكية</w:t>
      </w:r>
      <w:r w:rsidRPr="008343BF">
        <w:rPr>
          <w:rFonts w:ascii="Simplified Arabic" w:eastAsia="Times New Roman" w:hAnsi="Simplified Arabic" w:cs="Simplified Arabic"/>
          <w:color w:val="000000" w:themeColor="text1"/>
          <w:kern w:val="0"/>
          <w:sz w:val="28"/>
          <w:szCs w:val="28"/>
          <w14:ligatures w14:val="none"/>
        </w:rPr>
        <w:t xml:space="preserve"> (Theodorou et al., 2025). </w:t>
      </w:r>
      <w:r w:rsidRPr="008343BF">
        <w:rPr>
          <w:rFonts w:ascii="Simplified Arabic" w:eastAsia="Times New Roman" w:hAnsi="Simplified Arabic" w:cs="Simplified Arabic"/>
          <w:color w:val="000000" w:themeColor="text1"/>
          <w:kern w:val="0"/>
          <w:sz w:val="28"/>
          <w:szCs w:val="28"/>
          <w:rtl/>
          <w14:ligatures w14:val="none"/>
        </w:rPr>
        <w:t>ومن حيث المتغير التابع تتميز الدراسة الحالية بالتركيز المباشر على تخفيض المخزون الراكد وتكاليف التخزين كمتغير تابع أحادي المحور، بينما تناولت دراسات سابقة متغيرات تابعة مختلفة كأداء سلسلة التوريد الكلي</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أو أداء المخزون العام بمفهومه الواسع</w:t>
      </w:r>
      <w:r w:rsidRPr="008343BF">
        <w:rPr>
          <w:rFonts w:ascii="Simplified Arabic" w:eastAsia="Times New Roman" w:hAnsi="Simplified Arabic" w:cs="Simplified Arabic"/>
          <w:color w:val="000000" w:themeColor="text1"/>
          <w:kern w:val="0"/>
          <w:sz w:val="28"/>
          <w:szCs w:val="28"/>
          <w14:ligatures w14:val="none"/>
        </w:rPr>
        <w:t xml:space="preserve"> (Theodorou et al., 2025) </w:t>
      </w:r>
      <w:r w:rsidRPr="008343BF">
        <w:rPr>
          <w:rFonts w:ascii="Simplified Arabic" w:eastAsia="Times New Roman" w:hAnsi="Simplified Arabic" w:cs="Simplified Arabic"/>
          <w:color w:val="000000" w:themeColor="text1"/>
          <w:kern w:val="0"/>
          <w:sz w:val="28"/>
          <w:szCs w:val="28"/>
          <w:rtl/>
          <w14:ligatures w14:val="none"/>
        </w:rPr>
        <w:t>أو تكاليف المنتج الإجمالية (بن بايرة، 2021) أو تحسين عمليات الجرد (العتيبي والنعيم، 2025). ومن حيث حجم العينة وتنوعها ستستهدف الدراسة الحالية 265 مفردة من مؤسسات متعددة القطاعات، بينما اقتصرت بعض الدراسات السابقة على دراسة حالة مؤسسة واحدة كدراسة بن زغدة (2025) ودراسة محمودي ومكيد</w:t>
      </w:r>
      <w:r w:rsidRPr="008343BF">
        <w:rPr>
          <w:rFonts w:ascii="Simplified Arabic" w:eastAsia="Times New Roman" w:hAnsi="Simplified Arabic" w:cs="Simplified Arabic"/>
          <w:color w:val="000000" w:themeColor="text1"/>
          <w:kern w:val="0"/>
          <w:sz w:val="28"/>
          <w:szCs w:val="28"/>
          <w14:ligatures w14:val="none"/>
        </w:rPr>
        <w:t xml:space="preserve"> (2025)</w:t>
      </w:r>
      <w:r w:rsidRPr="008343BF">
        <w:rPr>
          <w:rFonts w:ascii="Simplified Arabic" w:eastAsia="Times New Roman" w:hAnsi="Simplified Arabic" w:cs="Simplified Arabic"/>
          <w:color w:val="000000" w:themeColor="text1"/>
          <w:kern w:val="0"/>
          <w:sz w:val="28"/>
          <w:szCs w:val="28"/>
          <w:rtl/>
          <w14:ligatures w14:val="none"/>
        </w:rPr>
        <w:t xml:space="preserve">، أو على عينات أصغر كدراسة بن بايرة (2021) التي شملت 49 مؤسسة فقط. ومن حيث الأساليب الإحصائية ستوظف الدراسة الحالية النمذجة بالمعادلات الهيكلية </w:t>
      </w:r>
      <w:r w:rsidRPr="008343BF">
        <w:rPr>
          <w:rFonts w:ascii="Simplified Arabic" w:eastAsia="Times New Roman" w:hAnsi="Simplified Arabic" w:cs="Simplified Arabic"/>
          <w:color w:val="000000" w:themeColor="text1"/>
          <w:kern w:val="0"/>
          <w:sz w:val="28"/>
          <w:szCs w:val="28"/>
          <w14:ligatures w14:val="none"/>
        </w:rPr>
        <w:t xml:space="preserve">(SEM) </w:t>
      </w:r>
      <w:r w:rsidRPr="008343BF">
        <w:rPr>
          <w:rFonts w:ascii="Simplified Arabic" w:eastAsia="Times New Roman" w:hAnsi="Simplified Arabic" w:cs="Simplified Arabic"/>
          <w:color w:val="000000" w:themeColor="text1"/>
          <w:kern w:val="0"/>
          <w:sz w:val="28"/>
          <w:szCs w:val="28"/>
          <w:rtl/>
          <w14:ligatures w14:val="none"/>
        </w:rPr>
        <w:t>لاختبار مسارات التأثير المباشرة وغير المباشرة، وهو أسلوب أكثر تقدمًا مما استخدمته أغلب الدراسات السابقة التي اكتفت بالانحدار المتعدد أو التحليل الوصفي البسيط</w:t>
      </w:r>
      <w:r w:rsidRPr="008343BF">
        <w:rPr>
          <w:rFonts w:ascii="Simplified Arabic" w:eastAsia="Times New Roman" w:hAnsi="Simplified Arabic" w:cs="Simplified Arabic"/>
          <w:color w:val="000000" w:themeColor="text1"/>
          <w:kern w:val="0"/>
          <w:sz w:val="28"/>
          <w:szCs w:val="28"/>
          <w14:ligatures w14:val="none"/>
        </w:rPr>
        <w:t>.</w:t>
      </w:r>
    </w:p>
    <w:p w14:paraId="0DD4C591" w14:textId="77777777" w:rsidR="00623818" w:rsidRPr="008343BF" w:rsidRDefault="00623818" w:rsidP="0062381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4" w:name="_Toc169790502"/>
      <w:bookmarkStart w:id="25" w:name="_Toc233042128"/>
      <w:bookmarkEnd w:id="22"/>
      <w:r w:rsidRPr="008343B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5"/>
    </w:p>
    <w:p w14:paraId="09A11C4E" w14:textId="36AC005A" w:rsidR="00623818" w:rsidRPr="008343BF" w:rsidRDefault="00623818"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343BF">
        <w:rPr>
          <w:rFonts w:ascii="Simplified Arabic" w:eastAsia="Times New Roman" w:hAnsi="Simplified Arabic" w:cs="Simplified Arabic"/>
          <w:b/>
          <w:bCs/>
          <w:color w:val="000000" w:themeColor="text1"/>
          <w:kern w:val="0"/>
          <w:sz w:val="32"/>
          <w:szCs w:val="32"/>
          <w:rtl/>
          <w14:ligatures w14:val="none"/>
        </w:rPr>
        <w:t>المحور الأول: دقة التنبؤ بالطلب (المتغير المستقل)</w:t>
      </w:r>
    </w:p>
    <w:p w14:paraId="0787C4CF"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يُعرّف التنبؤ بالطلب بأنه العملية العلمية المنهجية التي تهدف إلى تقدير حجم الطلب المستقبلي على منتج أو خدمة معينة خلال فترة زمنية محددة، وذلك بالاعتماد على البيانات التاريخية والنماذج الرياضية والإحصائية والمؤشرات الاقتصادية ذات الصلة. ويمثل التنبؤ بالطلب حجر الزاوية في منظومة التخطيط الاستراتيجي والتشغيلي للمؤسسات، إذ تتوقف عليه قرارات جوهرية تشمل تخطيط الإنتاج وجدولته، </w:t>
      </w:r>
      <w:r w:rsidRPr="008343BF">
        <w:rPr>
          <w:rFonts w:ascii="Simplified Arabic" w:eastAsia="Times New Roman" w:hAnsi="Simplified Arabic" w:cs="Simplified Arabic"/>
          <w:color w:val="000000" w:themeColor="text1"/>
          <w:kern w:val="0"/>
          <w:sz w:val="28"/>
          <w:szCs w:val="28"/>
          <w:rtl/>
          <w14:ligatures w14:val="none"/>
        </w:rPr>
        <w:lastRenderedPageBreak/>
        <w:t>وتحديد كميات الشراء والتوريد، وإدارة الطاقة الإنتاجية، وتخصيص الموارد البشرية والمالية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 xml:space="preserve">وتُقاس دقة التنبؤ بمقدار التطابق بين القيم المتنبأ بها والقيم الفعلية للطلب، وتُستخدم لذلك مقاييس إحصائية متعددة أبرزها متوسط الانحراف المطلق </w:t>
      </w:r>
      <w:r w:rsidRPr="008343BF">
        <w:rPr>
          <w:rFonts w:ascii="Simplified Arabic" w:eastAsia="Times New Roman" w:hAnsi="Simplified Arabic" w:cs="Simplified Arabic"/>
          <w:color w:val="000000" w:themeColor="text1"/>
          <w:kern w:val="0"/>
          <w:sz w:val="28"/>
          <w:szCs w:val="28"/>
          <w14:ligatures w14:val="none"/>
        </w:rPr>
        <w:t>(MAD)</w:t>
      </w:r>
      <w:r w:rsidRPr="008343BF">
        <w:rPr>
          <w:rFonts w:ascii="Simplified Arabic" w:eastAsia="Times New Roman" w:hAnsi="Simplified Arabic" w:cs="Simplified Arabic"/>
          <w:color w:val="000000" w:themeColor="text1"/>
          <w:kern w:val="0"/>
          <w:sz w:val="28"/>
          <w:szCs w:val="28"/>
          <w:rtl/>
          <w14:ligatures w14:val="none"/>
        </w:rPr>
        <w:t>، ومتوسط مربع الخطأ</w:t>
      </w:r>
      <w:r w:rsidRPr="008343BF">
        <w:rPr>
          <w:rFonts w:ascii="Simplified Arabic" w:eastAsia="Times New Roman" w:hAnsi="Simplified Arabic" w:cs="Simplified Arabic"/>
          <w:color w:val="000000" w:themeColor="text1"/>
          <w:kern w:val="0"/>
          <w:sz w:val="28"/>
          <w:szCs w:val="28"/>
          <w14:ligatures w14:val="none"/>
        </w:rPr>
        <w:t xml:space="preserve"> (MSE)</w:t>
      </w:r>
      <w:r w:rsidRPr="008343BF">
        <w:rPr>
          <w:rFonts w:ascii="Simplified Arabic" w:eastAsia="Times New Roman" w:hAnsi="Simplified Arabic" w:cs="Simplified Arabic"/>
          <w:color w:val="000000" w:themeColor="text1"/>
          <w:kern w:val="0"/>
          <w:sz w:val="28"/>
          <w:szCs w:val="28"/>
          <w:rtl/>
          <w14:ligatures w14:val="none"/>
        </w:rPr>
        <w:t xml:space="preserve">، ومتوسط النسبة المئوية للخطأ المطلق </w:t>
      </w:r>
      <w:r w:rsidRPr="008343BF">
        <w:rPr>
          <w:rFonts w:ascii="Simplified Arabic" w:eastAsia="Times New Roman" w:hAnsi="Simplified Arabic" w:cs="Simplified Arabic"/>
          <w:color w:val="000000" w:themeColor="text1"/>
          <w:kern w:val="0"/>
          <w:sz w:val="28"/>
          <w:szCs w:val="28"/>
          <w14:ligatures w14:val="none"/>
        </w:rPr>
        <w:t xml:space="preserve">(MAPE) </w:t>
      </w:r>
      <w:r w:rsidRPr="008343BF">
        <w:rPr>
          <w:rFonts w:ascii="Simplified Arabic" w:eastAsia="Times New Roman" w:hAnsi="Simplified Arabic" w:cs="Simplified Arabic"/>
          <w:color w:val="000000" w:themeColor="text1"/>
          <w:kern w:val="0"/>
          <w:sz w:val="28"/>
          <w:szCs w:val="28"/>
          <w:rtl/>
          <w14:ligatures w14:val="none"/>
        </w:rPr>
        <w:t>التي تتيح للمؤسسات تقييم جودة نماذجها التنبؤية والمفاضلة بينها على أسس علمية موضوعية (سعيد وعكلة، 2024)</w:t>
      </w:r>
      <w:r w:rsidRPr="008343BF">
        <w:rPr>
          <w:rFonts w:ascii="Simplified Arabic" w:eastAsia="Times New Roman" w:hAnsi="Simplified Arabic" w:cs="Simplified Arabic"/>
          <w:color w:val="000000" w:themeColor="text1"/>
          <w:kern w:val="0"/>
          <w:sz w:val="28"/>
          <w:szCs w:val="28"/>
          <w14:ligatures w14:val="none"/>
        </w:rPr>
        <w:t>.</w:t>
      </w:r>
    </w:p>
    <w:p w14:paraId="7E95DD03" w14:textId="0B5C8EE3"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وقد شهدت أساليب التنبؤ بالطلب تطورًا تراكميًا عبر العقود، يمكن تصنيفه في أربعة مستويات رئيسية تمثل أبعاد المتغير المستقل في هذه الدراسة. يتمثل المستوى الأول في النماذج الكمية التقليدية التي تعتمد على المعالجة الإحصائية للبيانات التاريخية، وتشمل أسلوب المتوسط المتحرك البسيط الذي يحسب متوسط الطلب خلال فترات زمنية سابقة محددة، وأسلوب المتوسط المتحرك الموزون الذي يمنح أوزانًا تفاضلية للفترات الأحدث، وأسلوب التمهيد الأسّي الذي يعتمد على ثابت تمهيد لموازنة القيم الفعلية والمتوقعة. وتتميز هذه النماذج بسهولة التطبيق وقلة التكلفة الحسابية، غير أنها تفترض استقرار أنماط الطلب وعدم وجود تغيرات هيكلية حادة</w:t>
      </w:r>
      <w:r w:rsidRPr="008343BF">
        <w:rPr>
          <w:rFonts w:ascii="Simplified Arabic" w:eastAsia="Times New Roman" w:hAnsi="Simplified Arabic" w:cs="Simplified Arabic"/>
          <w:color w:val="000000" w:themeColor="text1"/>
          <w:kern w:val="0"/>
          <w:sz w:val="28"/>
          <w:szCs w:val="28"/>
          <w14:ligatures w14:val="none"/>
        </w:rPr>
        <w:t xml:space="preserve"> (Srisamai &amp; Siriruk, 2023). </w:t>
      </w:r>
      <w:r w:rsidRPr="008343BF">
        <w:rPr>
          <w:rFonts w:ascii="Simplified Arabic" w:eastAsia="Times New Roman" w:hAnsi="Simplified Arabic" w:cs="Simplified Arabic"/>
          <w:color w:val="000000" w:themeColor="text1"/>
          <w:kern w:val="0"/>
          <w:sz w:val="28"/>
          <w:szCs w:val="28"/>
          <w:rtl/>
          <w14:ligatures w14:val="none"/>
        </w:rPr>
        <w:t>ويتمثل المستوى الثاني في تحليل السلاسل الزمنية، وتُعدّ منهجية بوكس جينكينز</w:t>
      </w:r>
      <w:r w:rsidRPr="008343BF">
        <w:rPr>
          <w:rFonts w:ascii="Simplified Arabic" w:eastAsia="Times New Roman" w:hAnsi="Simplified Arabic" w:cs="Simplified Arabic"/>
          <w:color w:val="000000" w:themeColor="text1"/>
          <w:kern w:val="0"/>
          <w:sz w:val="28"/>
          <w:szCs w:val="28"/>
          <w14:ligatures w14:val="none"/>
        </w:rPr>
        <w:t xml:space="preserve"> (Box-Jenkins) </w:t>
      </w:r>
      <w:r w:rsidRPr="008343BF">
        <w:rPr>
          <w:rFonts w:ascii="Simplified Arabic" w:eastAsia="Times New Roman" w:hAnsi="Simplified Arabic" w:cs="Simplified Arabic"/>
          <w:color w:val="000000" w:themeColor="text1"/>
          <w:kern w:val="0"/>
          <w:sz w:val="28"/>
          <w:szCs w:val="28"/>
          <w:rtl/>
          <w14:ligatures w14:val="none"/>
        </w:rPr>
        <w:t>من أبرز تطبيقاته، حيث تعتمد على بناء نماذج</w:t>
      </w:r>
      <w:r w:rsidRPr="008343BF">
        <w:rPr>
          <w:rFonts w:ascii="Simplified Arabic" w:eastAsia="Times New Roman" w:hAnsi="Simplified Arabic" w:cs="Simplified Arabic"/>
          <w:color w:val="000000" w:themeColor="text1"/>
          <w:kern w:val="0"/>
          <w:sz w:val="28"/>
          <w:szCs w:val="28"/>
          <w14:ligatures w14:val="none"/>
        </w:rPr>
        <w:t xml:space="preserve"> ARIMA </w:t>
      </w:r>
      <w:r w:rsidRPr="008343BF">
        <w:rPr>
          <w:rFonts w:ascii="Simplified Arabic" w:eastAsia="Times New Roman" w:hAnsi="Simplified Arabic" w:cs="Simplified Arabic"/>
          <w:color w:val="000000" w:themeColor="text1"/>
          <w:kern w:val="0"/>
          <w:sz w:val="28"/>
          <w:szCs w:val="28"/>
          <w:rtl/>
          <w14:ligatures w14:val="none"/>
        </w:rPr>
        <w:t xml:space="preserve">التي تجمع بين مكونات الانحدار الذاتي والتكامل والمتوسط المتحرك، وتتيح التقاط الأنماط المعقدة في السلاسل الزمنية كالاتجاه العام والموسمية والدورية من خلال مراحل منهجية تشمل التعرف على النموذج وتقديره واختبار صلاحيته ثم استخدامه في التنبؤ </w:t>
      </w:r>
      <w:r w:rsidR="009F01B4" w:rsidRPr="008343BF">
        <w:rPr>
          <w:rFonts w:ascii="Simplified Arabic" w:eastAsia="Times New Roman" w:hAnsi="Simplified Arabic" w:cs="Simplified Arabic"/>
          <w:color w:val="000000" w:themeColor="text1"/>
          <w:kern w:val="0"/>
          <w:sz w:val="28"/>
          <w:szCs w:val="28"/>
          <w:rtl/>
          <w14:ligatures w14:val="none"/>
        </w:rPr>
        <w:t>(</w:t>
      </w:r>
      <w:r w:rsidRPr="008343BF">
        <w:rPr>
          <w:rFonts w:ascii="Simplified Arabic" w:eastAsia="Times New Roman" w:hAnsi="Simplified Arabic" w:cs="Simplified Arabic"/>
          <w:color w:val="000000" w:themeColor="text1"/>
          <w:kern w:val="0"/>
          <w:sz w:val="28"/>
          <w:szCs w:val="28"/>
          <w:rtl/>
          <w14:ligatures w14:val="none"/>
        </w:rPr>
        <w:t>هبال وقرقيط، 2022</w:t>
      </w:r>
      <w:r w:rsidR="009F01B4" w:rsidRPr="008343BF">
        <w:rPr>
          <w:rFonts w:ascii="Simplified Arabic" w:eastAsia="Times New Roman" w:hAnsi="Simplified Arabic" w:cs="Simplified Arabic"/>
          <w:color w:val="000000" w:themeColor="text1"/>
          <w:kern w:val="0"/>
          <w:sz w:val="28"/>
          <w:szCs w:val="28"/>
          <w:rtl/>
          <w14:ligatures w14:val="none"/>
        </w:rPr>
        <w:t xml:space="preserve">) </w:t>
      </w:r>
    </w:p>
    <w:p w14:paraId="564CB58C"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أما المستوى الثالث فيتمثل في نماذج التعلم الآلي التي تستثمر قدرات الذكاء الاصطناعي في اكتشاف العلاقات غير الخطية بين المتغيرات المؤثرة في الطلب. وتتصدر الشبكات العصبية الاصطناعية</w:t>
      </w:r>
      <w:r w:rsidRPr="008343BF">
        <w:rPr>
          <w:rFonts w:ascii="Simplified Arabic" w:eastAsia="Times New Roman" w:hAnsi="Simplified Arabic" w:cs="Simplified Arabic"/>
          <w:color w:val="000000" w:themeColor="text1"/>
          <w:kern w:val="0"/>
          <w:sz w:val="28"/>
          <w:szCs w:val="28"/>
          <w14:ligatures w14:val="none"/>
        </w:rPr>
        <w:t xml:space="preserve"> — </w:t>
      </w:r>
      <w:r w:rsidRPr="008343BF">
        <w:rPr>
          <w:rFonts w:ascii="Simplified Arabic" w:eastAsia="Times New Roman" w:hAnsi="Simplified Arabic" w:cs="Simplified Arabic"/>
          <w:color w:val="000000" w:themeColor="text1"/>
          <w:kern w:val="0"/>
          <w:sz w:val="28"/>
          <w:szCs w:val="28"/>
          <w:rtl/>
          <w14:ligatures w14:val="none"/>
        </w:rPr>
        <w:t>وبخاصة شبكة بيرسبترون متعددة الطبقات</w:t>
      </w:r>
      <w:r w:rsidRPr="008343BF">
        <w:rPr>
          <w:rFonts w:ascii="Simplified Arabic" w:eastAsia="Times New Roman" w:hAnsi="Simplified Arabic" w:cs="Simplified Arabic"/>
          <w:color w:val="000000" w:themeColor="text1"/>
          <w:kern w:val="0"/>
          <w:sz w:val="28"/>
          <w:szCs w:val="28"/>
          <w14:ligatures w14:val="none"/>
        </w:rPr>
        <w:t xml:space="preserve"> (MLP) — </w:t>
      </w:r>
      <w:r w:rsidRPr="008343BF">
        <w:rPr>
          <w:rFonts w:ascii="Simplified Arabic" w:eastAsia="Times New Roman" w:hAnsi="Simplified Arabic" w:cs="Simplified Arabic"/>
          <w:color w:val="000000" w:themeColor="text1"/>
          <w:kern w:val="0"/>
          <w:sz w:val="28"/>
          <w:szCs w:val="28"/>
          <w:rtl/>
          <w14:ligatures w14:val="none"/>
        </w:rPr>
        <w:t>هذه الفئة، حيث تحاكي آلية عمل الدماغ البشري في التعلم من البيانات واكتشاف الأنماط المعقدة فيها، فضلًا عن خوارزميات الغابة العشوائية</w:t>
      </w:r>
      <w:r w:rsidRPr="008343BF">
        <w:rPr>
          <w:rFonts w:ascii="Simplified Arabic" w:eastAsia="Times New Roman" w:hAnsi="Simplified Arabic" w:cs="Simplified Arabic"/>
          <w:color w:val="000000" w:themeColor="text1"/>
          <w:kern w:val="0"/>
          <w:sz w:val="28"/>
          <w:szCs w:val="28"/>
          <w14:ligatures w14:val="none"/>
        </w:rPr>
        <w:t xml:space="preserve"> (Random Forest) </w:t>
      </w:r>
      <w:r w:rsidRPr="008343BF">
        <w:rPr>
          <w:rFonts w:ascii="Simplified Arabic" w:eastAsia="Times New Roman" w:hAnsi="Simplified Arabic" w:cs="Simplified Arabic"/>
          <w:color w:val="000000" w:themeColor="text1"/>
          <w:kern w:val="0"/>
          <w:sz w:val="28"/>
          <w:szCs w:val="28"/>
          <w:rtl/>
          <w14:ligatures w14:val="none"/>
        </w:rPr>
        <w:t xml:space="preserve">وشجرة القرار البسيطة </w:t>
      </w:r>
      <w:r w:rsidRPr="008343BF">
        <w:rPr>
          <w:rFonts w:ascii="Simplified Arabic" w:eastAsia="Times New Roman" w:hAnsi="Simplified Arabic" w:cs="Simplified Arabic"/>
          <w:color w:val="000000" w:themeColor="text1"/>
          <w:kern w:val="0"/>
          <w:sz w:val="28"/>
          <w:szCs w:val="28"/>
          <w14:ligatures w14:val="none"/>
        </w:rPr>
        <w:t xml:space="preserve">(Simple Tree) </w:t>
      </w:r>
      <w:r w:rsidRPr="008343BF">
        <w:rPr>
          <w:rFonts w:ascii="Simplified Arabic" w:eastAsia="Times New Roman" w:hAnsi="Simplified Arabic" w:cs="Simplified Arabic"/>
          <w:color w:val="000000" w:themeColor="text1"/>
          <w:kern w:val="0"/>
          <w:sz w:val="28"/>
          <w:szCs w:val="28"/>
          <w:rtl/>
          <w14:ligatures w14:val="none"/>
        </w:rPr>
        <w:t>التي أثبتت فعاليتها في بيئات متنوعة كسلاسل التوريد الدوائية</w:t>
      </w:r>
      <w:r w:rsidRPr="008343BF">
        <w:rPr>
          <w:rFonts w:ascii="Simplified Arabic" w:eastAsia="Times New Roman" w:hAnsi="Simplified Arabic" w:cs="Simplified Arabic"/>
          <w:color w:val="000000" w:themeColor="text1"/>
          <w:kern w:val="0"/>
          <w:sz w:val="28"/>
          <w:szCs w:val="28"/>
          <w14:ligatures w14:val="none"/>
        </w:rPr>
        <w:t xml:space="preserve"> (Yani &amp; Aamer, 2023). </w:t>
      </w:r>
      <w:r w:rsidRPr="008343BF">
        <w:rPr>
          <w:rFonts w:ascii="Simplified Arabic" w:eastAsia="Times New Roman" w:hAnsi="Simplified Arabic" w:cs="Simplified Arabic"/>
          <w:color w:val="000000" w:themeColor="text1"/>
          <w:kern w:val="0"/>
          <w:sz w:val="28"/>
          <w:szCs w:val="28"/>
          <w:rtl/>
          <w14:ligatures w14:val="none"/>
        </w:rPr>
        <w:t>وقد أكدت دراسة طول وبكّار (2023) أنّ شبكة</w:t>
      </w:r>
      <w:r w:rsidRPr="008343BF">
        <w:rPr>
          <w:rFonts w:ascii="Simplified Arabic" w:eastAsia="Times New Roman" w:hAnsi="Simplified Arabic" w:cs="Simplified Arabic"/>
          <w:color w:val="000000" w:themeColor="text1"/>
          <w:kern w:val="0"/>
          <w:sz w:val="28"/>
          <w:szCs w:val="28"/>
          <w14:ligatures w14:val="none"/>
        </w:rPr>
        <w:t xml:space="preserve"> MLP </w:t>
      </w:r>
      <w:r w:rsidRPr="008343BF">
        <w:rPr>
          <w:rFonts w:ascii="Simplified Arabic" w:eastAsia="Times New Roman" w:hAnsi="Simplified Arabic" w:cs="Simplified Arabic"/>
          <w:color w:val="000000" w:themeColor="text1"/>
          <w:kern w:val="0"/>
          <w:sz w:val="28"/>
          <w:szCs w:val="28"/>
          <w:rtl/>
          <w14:ligatures w14:val="none"/>
        </w:rPr>
        <w:t xml:space="preserve">تتفوق في التعامل مع السلاسل الزمنية ذات النمط غير الخطي التي تعجز عنها النماذج التقليدية. ويأتي المستوى الرابع متمثلًا في النماذج الهجينة التي تجمع بين مزايا السلاسل الزمنية والمؤشرات التوضيحية الخارجية من جهة وقدرات التعلم الآلي من جهة أخرى. ومن أبرز هذه النماذج نموذج </w:t>
      </w:r>
      <w:r w:rsidRPr="008343BF">
        <w:rPr>
          <w:rFonts w:ascii="Simplified Arabic" w:eastAsia="Times New Roman" w:hAnsi="Simplified Arabic" w:cs="Simplified Arabic"/>
          <w:color w:val="000000" w:themeColor="text1"/>
          <w:kern w:val="0"/>
          <w:sz w:val="28"/>
          <w:szCs w:val="28"/>
          <w14:ligatures w14:val="none"/>
        </w:rPr>
        <w:t xml:space="preserve">ARIMAX </w:t>
      </w:r>
      <w:r w:rsidRPr="008343BF">
        <w:rPr>
          <w:rFonts w:ascii="Simplified Arabic" w:eastAsia="Times New Roman" w:hAnsi="Simplified Arabic" w:cs="Simplified Arabic"/>
          <w:color w:val="000000" w:themeColor="text1"/>
          <w:kern w:val="0"/>
          <w:sz w:val="28"/>
          <w:szCs w:val="28"/>
          <w:rtl/>
          <w14:ligatures w14:val="none"/>
        </w:rPr>
        <w:t xml:space="preserve">المقترن بالشبكات العصبية ذات الطبقتين، الذي يدمج بين بيانات السلاسل الزمنية ومؤشرات اقتصادية كلية كمعدلات التصدير </w:t>
      </w:r>
      <w:r w:rsidRPr="008343BF">
        <w:rPr>
          <w:rFonts w:ascii="Simplified Arabic" w:eastAsia="Times New Roman" w:hAnsi="Simplified Arabic" w:cs="Simplified Arabic"/>
          <w:color w:val="000000" w:themeColor="text1"/>
          <w:kern w:val="0"/>
          <w:sz w:val="28"/>
          <w:szCs w:val="28"/>
          <w:rtl/>
          <w14:ligatures w14:val="none"/>
        </w:rPr>
        <w:lastRenderedPageBreak/>
        <w:t xml:space="preserve">والاستيراد والإنتاج الصناعي وأسعار الصرف، مما يعزز القدرة التنبؤية بشكل جوهري ويقلل من مصادر عدم اليقين الثلاثة المتعلقة بالنموذج والمعلمات والبيانات </w:t>
      </w:r>
      <w:r w:rsidRPr="008343BF">
        <w:rPr>
          <w:rFonts w:ascii="Simplified Arabic" w:eastAsia="Times New Roman" w:hAnsi="Simplified Arabic" w:cs="Simplified Arabic"/>
          <w:color w:val="000000" w:themeColor="text1"/>
          <w:kern w:val="0"/>
          <w:sz w:val="28"/>
          <w:szCs w:val="28"/>
          <w14:ligatures w14:val="none"/>
        </w:rPr>
        <w:t>(Feizabadi, 2022).</w:t>
      </w:r>
    </w:p>
    <w:p w14:paraId="57DDA6A2" w14:textId="77777777" w:rsidR="00861D72" w:rsidRPr="008343BF" w:rsidRDefault="00861D72"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6" w:name="_Toc223214133"/>
      <w:r w:rsidRPr="008343BF">
        <w:rPr>
          <w:rFonts w:ascii="Simplified Arabic" w:eastAsia="Times New Roman" w:hAnsi="Simplified Arabic" w:cs="Simplified Arabic"/>
          <w:b/>
          <w:bCs/>
          <w:color w:val="000000" w:themeColor="text1"/>
          <w:kern w:val="0"/>
          <w:sz w:val="32"/>
          <w:szCs w:val="32"/>
          <w:rtl/>
          <w14:ligatures w14:val="none"/>
        </w:rPr>
        <w:t>المحور الثاني: تخفيض المخزون الراكد وتكاليف التخزين (المتغير التابع)</w:t>
      </w:r>
      <w:bookmarkEnd w:id="26"/>
    </w:p>
    <w:p w14:paraId="6D4E6878"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يُعرّف المخزون الراكد</w:t>
      </w:r>
      <w:r w:rsidRPr="008343BF">
        <w:rPr>
          <w:rFonts w:ascii="Simplified Arabic" w:eastAsia="Times New Roman" w:hAnsi="Simplified Arabic" w:cs="Simplified Arabic"/>
          <w:color w:val="000000" w:themeColor="text1"/>
          <w:kern w:val="0"/>
          <w:sz w:val="28"/>
          <w:szCs w:val="28"/>
          <w14:ligatures w14:val="none"/>
        </w:rPr>
        <w:t xml:space="preserve"> (Dead Stock) </w:t>
      </w:r>
      <w:r w:rsidRPr="008343BF">
        <w:rPr>
          <w:rFonts w:ascii="Simplified Arabic" w:eastAsia="Times New Roman" w:hAnsi="Simplified Arabic" w:cs="Simplified Arabic"/>
          <w:color w:val="000000" w:themeColor="text1"/>
          <w:kern w:val="0"/>
          <w:sz w:val="28"/>
          <w:szCs w:val="28"/>
          <w:rtl/>
          <w14:ligatures w14:val="none"/>
        </w:rPr>
        <w:t>بأنه المنتجات أو المواد المخزنة التي لم تُبَع أو تُستخدم لفترة زمنية طويلة تتجاوز دورة حياتها التشغيلية المعتادة، وتفقد بمرور الوقت قيمتها السوقية أو صلاحيتها الوظيفية. وينشأ المخزون الراكد من أسباب متعددة أبرزها أخطاء التنبؤ بالطلب، وعدم التوافق بين كميات الشراء والطلب الفعلي، وتغير تفضيلات المستهلكين، وعيوب التصنيع، وقصور المنتجات الموسمية. وتتراوح نسبة المخزون الراكد في مؤسسات التجزئة والصناعة بين 20% و40% من إجمالي المخزون، مما يمثل عبئًا ماليًا وتشغيليًا ثقيلًا</w:t>
      </w:r>
      <w:r w:rsidRPr="008343BF">
        <w:rPr>
          <w:rFonts w:ascii="Simplified Arabic" w:eastAsia="Times New Roman" w:hAnsi="Simplified Arabic" w:cs="Simplified Arabic"/>
          <w:color w:val="000000" w:themeColor="text1"/>
          <w:kern w:val="0"/>
          <w:sz w:val="28"/>
          <w:szCs w:val="28"/>
          <w14:ligatures w14:val="none"/>
        </w:rPr>
        <w:t xml:space="preserve"> (Li, Seva &amp; Chiu, 2025).</w:t>
      </w:r>
    </w:p>
    <w:p w14:paraId="740AB8B4" w14:textId="5614179E"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وتتكون تكاليف التخزين من عدة مكونات رئيسية تشمل تكاليف الاحتفاظ المادي (إيجار المستودعات، الطاقة، الصيانة)، وتكاليف رأس المال المجمّد (تكلفة الفرصة البديلة للأموال المستثمرة في المخزون)، وتكاليف التأمين والضرائب، وتكاليف التقادم والتلف والانكماش. وتتراوح تكاليف الاحتفاظ السنوية عادةً بين 20% و40% من قيمة المخزون المحتفظ به، مما يجعل تخفيضها هدفًا استراتيجيًا ذا أثر مالي بالغ (محمودي ومكيد، </w:t>
      </w:r>
      <w:r w:rsidRPr="008343BF">
        <w:rPr>
          <w:rFonts w:ascii="Simplified Arabic" w:eastAsia="Times New Roman" w:hAnsi="Simplified Arabic" w:cs="Simplified Arabic"/>
          <w:color w:val="000000" w:themeColor="text1"/>
          <w:kern w:val="0"/>
          <w:sz w:val="28"/>
          <w:szCs w:val="28"/>
          <w14:ligatures w14:val="none"/>
        </w:rPr>
        <w:t xml:space="preserve">2025). </w:t>
      </w:r>
      <w:r w:rsidRPr="008343BF">
        <w:rPr>
          <w:rFonts w:ascii="Simplified Arabic" w:eastAsia="Times New Roman" w:hAnsi="Simplified Arabic" w:cs="Simplified Arabic"/>
          <w:color w:val="000000" w:themeColor="text1"/>
          <w:kern w:val="0"/>
          <w:sz w:val="28"/>
          <w:szCs w:val="28"/>
          <w:rtl/>
          <w14:ligatures w14:val="none"/>
        </w:rPr>
        <w:t>وقد تعددت الاستراتيجيات المستخدمة لتخفيض المخزون الراكد وتكاليف التخزين، فمن الناحية الوقائية يأتي تحسين دقة التنبؤ بالطلب كخط الدفاع الأول لمنع تراكم المخزون أصلًا، ومن الناحية العلاجية تتوافر استراتيجيات متعددة للتعامل مع المخزون الراكد القائم تشمل التخلص المباشر والخصومات السعرية وتجميع المنتجات والنقل الجانبي بين الفروع. كما أثبتت النماذج الكمية كنموذج كمية الطلب الاقتصادية</w:t>
      </w:r>
      <w:r w:rsidRPr="008343BF">
        <w:rPr>
          <w:rFonts w:ascii="Simplified Arabic" w:eastAsia="Times New Roman" w:hAnsi="Simplified Arabic" w:cs="Simplified Arabic"/>
          <w:color w:val="000000" w:themeColor="text1"/>
          <w:kern w:val="0"/>
          <w:sz w:val="28"/>
          <w:szCs w:val="28"/>
          <w14:ligatures w14:val="none"/>
        </w:rPr>
        <w:t xml:space="preserve"> (EOQ) </w:t>
      </w:r>
      <w:r w:rsidRPr="008343BF">
        <w:rPr>
          <w:rFonts w:ascii="Simplified Arabic" w:eastAsia="Times New Roman" w:hAnsi="Simplified Arabic" w:cs="Simplified Arabic"/>
          <w:color w:val="000000" w:themeColor="text1"/>
          <w:kern w:val="0"/>
          <w:sz w:val="28"/>
          <w:szCs w:val="28"/>
          <w:rtl/>
          <w14:ligatures w14:val="none"/>
        </w:rPr>
        <w:t xml:space="preserve">فعاليتها في تحديد الكمية المثلى للطلب ونقطة إعادة الطلب بما يوازن بين تكاليف الطلب وتكاليف الاحتفاظ ويمنع حالات النفاذ أو التراكم (بن زغدة، 2025). وقد أسهمت التقنيات الحديثة كالمحاسبة السحابية في توفير أدوات رقابة ومتابعة آنية لحركة المخزون، مما يتيح للمؤسسات اتخاذ قرارات توريد وتخزين أكثر رشادة وتخفيض التكاليف المرتبطة بإدارة المخزون وعمليات الجرد (العتيبي والنعيم، </w:t>
      </w:r>
      <w:r w:rsidRPr="008343BF">
        <w:rPr>
          <w:rFonts w:ascii="Simplified Arabic" w:eastAsia="Times New Roman" w:hAnsi="Simplified Arabic" w:cs="Simplified Arabic"/>
          <w:color w:val="000000" w:themeColor="text1"/>
          <w:kern w:val="0"/>
          <w:sz w:val="28"/>
          <w:szCs w:val="28"/>
          <w14:ligatures w14:val="none"/>
        </w:rPr>
        <w:t>2025</w:t>
      </w:r>
      <w:r w:rsidR="009F01B4" w:rsidRPr="008343BF">
        <w:rPr>
          <w:rFonts w:ascii="Simplified Arabic" w:eastAsia="Times New Roman" w:hAnsi="Simplified Arabic" w:cs="Simplified Arabic"/>
          <w:color w:val="000000" w:themeColor="text1"/>
          <w:kern w:val="0"/>
          <w:sz w:val="28"/>
          <w:szCs w:val="28"/>
          <w:rtl/>
          <w14:ligatures w14:val="none"/>
        </w:rPr>
        <w:t>)</w:t>
      </w:r>
    </w:p>
    <w:p w14:paraId="35578C2D" w14:textId="77777777" w:rsidR="00861D72" w:rsidRPr="008343BF" w:rsidRDefault="00861D72" w:rsidP="006238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7" w:name="_Toc223214134"/>
      <w:r w:rsidRPr="008343BF">
        <w:rPr>
          <w:rFonts w:ascii="Simplified Arabic" w:eastAsia="Times New Roman" w:hAnsi="Simplified Arabic" w:cs="Simplified Arabic"/>
          <w:b/>
          <w:bCs/>
          <w:color w:val="000000" w:themeColor="text1"/>
          <w:kern w:val="0"/>
          <w:sz w:val="32"/>
          <w:szCs w:val="32"/>
          <w:rtl/>
          <w14:ligatures w14:val="none"/>
        </w:rPr>
        <w:t>ثانيًا: مصطلحات الدراسة</w:t>
      </w:r>
      <w:bookmarkEnd w:id="27"/>
    </w:p>
    <w:p w14:paraId="7AA95A55" w14:textId="77777777" w:rsidR="00861D72"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lastRenderedPageBreak/>
        <w:t>دقة التنبؤ بالطلب</w:t>
      </w:r>
      <w:r w:rsidRPr="008343BF">
        <w:rPr>
          <w:rFonts w:ascii="Simplified Arabic" w:eastAsia="Times New Roman" w:hAnsi="Simplified Arabic" w:cs="Simplified Arabic"/>
          <w:color w:val="000000" w:themeColor="text1"/>
          <w:kern w:val="0"/>
          <w:sz w:val="28"/>
          <w:szCs w:val="28"/>
          <w14:ligatures w14:val="none"/>
        </w:rPr>
        <w:t xml:space="preserve"> (Demand Forecast Accuracy): </w:t>
      </w:r>
      <w:r w:rsidRPr="008343BF">
        <w:rPr>
          <w:rFonts w:ascii="Simplified Arabic" w:eastAsia="Times New Roman" w:hAnsi="Simplified Arabic" w:cs="Simplified Arabic"/>
          <w:color w:val="000000" w:themeColor="text1"/>
          <w:kern w:val="0"/>
          <w:sz w:val="28"/>
          <w:szCs w:val="28"/>
          <w:rtl/>
          <w14:ligatures w14:val="none"/>
        </w:rPr>
        <w:t>تُعرّف إجرائيًا بأنها درجة التطابق بين القيم المتنبأ بها للطلب على المنتجات والخدمات والقيم الفعلية المحققة، وتُقاس في هذه الدراسة من خلال أربعة أبعاد هي دقة النماذج الكمية للتنبؤ، ودقة نماذج التعلم الآلي في التنبؤ، ودقة تحليل السلاسل الزمنية، ودقة النماذج الهجينة للتنبؤ، وذلك كما يدركها العاملون في إدارات المخزون والتوريد والتخطيط بالمؤسسات محل الدراسة</w:t>
      </w:r>
      <w:r w:rsidRPr="008343BF">
        <w:rPr>
          <w:rFonts w:ascii="Simplified Arabic" w:eastAsia="Times New Roman" w:hAnsi="Simplified Arabic" w:cs="Simplified Arabic"/>
          <w:color w:val="000000" w:themeColor="text1"/>
          <w:kern w:val="0"/>
          <w:sz w:val="28"/>
          <w:szCs w:val="28"/>
          <w14:ligatures w14:val="none"/>
        </w:rPr>
        <w:t>.</w:t>
      </w:r>
    </w:p>
    <w:p w14:paraId="4DFB73BA" w14:textId="77777777" w:rsidR="00861D72"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دقة النماذج الكمية</w:t>
      </w:r>
      <w:r w:rsidRPr="008343BF">
        <w:rPr>
          <w:rFonts w:ascii="Simplified Arabic" w:eastAsia="Times New Roman" w:hAnsi="Simplified Arabic" w:cs="Simplified Arabic"/>
          <w:color w:val="000000" w:themeColor="text1"/>
          <w:kern w:val="0"/>
          <w:sz w:val="28"/>
          <w:szCs w:val="28"/>
          <w:rtl/>
          <w14:ligatures w14:val="none"/>
        </w:rPr>
        <w:t xml:space="preserve"> </w:t>
      </w:r>
      <w:r w:rsidRPr="008343BF">
        <w:rPr>
          <w:rFonts w:ascii="Simplified Arabic" w:eastAsia="Times New Roman" w:hAnsi="Simplified Arabic" w:cs="Simplified Arabic"/>
          <w:b/>
          <w:bCs/>
          <w:color w:val="000000" w:themeColor="text1"/>
          <w:kern w:val="0"/>
          <w:sz w:val="28"/>
          <w:szCs w:val="28"/>
          <w:rtl/>
          <w14:ligatures w14:val="none"/>
        </w:rPr>
        <w:t>للتنبؤ</w:t>
      </w:r>
      <w:r w:rsidRPr="008343BF">
        <w:rPr>
          <w:rFonts w:ascii="Simplified Arabic" w:eastAsia="Times New Roman" w:hAnsi="Simplified Arabic" w:cs="Simplified Arabic"/>
          <w:color w:val="000000" w:themeColor="text1"/>
          <w:kern w:val="0"/>
          <w:sz w:val="28"/>
          <w:szCs w:val="28"/>
          <w14:ligatures w14:val="none"/>
        </w:rPr>
        <w:t xml:space="preserve"> (Quantitative Forecasting Models Accuracy): </w:t>
      </w:r>
      <w:r w:rsidRPr="008343BF">
        <w:rPr>
          <w:rFonts w:ascii="Simplified Arabic" w:eastAsia="Times New Roman" w:hAnsi="Simplified Arabic" w:cs="Simplified Arabic"/>
          <w:color w:val="000000" w:themeColor="text1"/>
          <w:kern w:val="0"/>
          <w:sz w:val="28"/>
          <w:szCs w:val="28"/>
          <w:rtl/>
          <w14:ligatures w14:val="none"/>
        </w:rPr>
        <w:t>تُعرّف إجرائيًا بأنها مستوى الدقة المتحققة من استخدام الأساليب الإحصائية التقليدية في التنبؤ بالطلب، كالمتوسط المتحرك البسيط والموزون والتمهيد الأسّي ونموذج كمية الطلب الاقتصادية</w:t>
      </w:r>
      <w:r w:rsidRPr="008343BF">
        <w:rPr>
          <w:rFonts w:ascii="Simplified Arabic" w:eastAsia="Times New Roman" w:hAnsi="Simplified Arabic" w:cs="Simplified Arabic"/>
          <w:color w:val="000000" w:themeColor="text1"/>
          <w:kern w:val="0"/>
          <w:sz w:val="28"/>
          <w:szCs w:val="28"/>
          <w14:ligatures w14:val="none"/>
        </w:rPr>
        <w:t>.</w:t>
      </w:r>
    </w:p>
    <w:p w14:paraId="4293825C" w14:textId="77777777" w:rsidR="00861D72"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دقة نماذج التعلم الآلي في التنبؤ</w:t>
      </w:r>
      <w:r w:rsidRPr="008343BF">
        <w:rPr>
          <w:rFonts w:ascii="Simplified Arabic" w:eastAsia="Times New Roman" w:hAnsi="Simplified Arabic" w:cs="Simplified Arabic"/>
          <w:color w:val="000000" w:themeColor="text1"/>
          <w:kern w:val="0"/>
          <w:sz w:val="28"/>
          <w:szCs w:val="28"/>
          <w14:ligatures w14:val="none"/>
        </w:rPr>
        <w:t xml:space="preserve"> (Machine Learning Forecasting Accuracy): </w:t>
      </w:r>
      <w:r w:rsidRPr="008343BF">
        <w:rPr>
          <w:rFonts w:ascii="Simplified Arabic" w:eastAsia="Times New Roman" w:hAnsi="Simplified Arabic" w:cs="Simplified Arabic"/>
          <w:color w:val="000000" w:themeColor="text1"/>
          <w:kern w:val="0"/>
          <w:sz w:val="28"/>
          <w:szCs w:val="28"/>
          <w:rtl/>
          <w14:ligatures w14:val="none"/>
        </w:rPr>
        <w:t>تُعرّف إجرائيًا بأنها مستوى الدقة المتحققة من توظيف خوارزميات الذكاء الاصطناعي والتعلم الآلي في التنبؤ بالطلب، كالشبكات العصبية الاصطناعية وخوارزميات الغابة العشوائية وشجرة القرار</w:t>
      </w:r>
      <w:r w:rsidRPr="008343BF">
        <w:rPr>
          <w:rFonts w:ascii="Simplified Arabic" w:eastAsia="Times New Roman" w:hAnsi="Simplified Arabic" w:cs="Simplified Arabic"/>
          <w:color w:val="000000" w:themeColor="text1"/>
          <w:kern w:val="0"/>
          <w:sz w:val="28"/>
          <w:szCs w:val="28"/>
          <w14:ligatures w14:val="none"/>
        </w:rPr>
        <w:t>.</w:t>
      </w:r>
    </w:p>
    <w:p w14:paraId="2FFCCA75" w14:textId="77777777" w:rsidR="00861D72"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دقة تحليل السلاسل الزمنية</w:t>
      </w:r>
      <w:r w:rsidRPr="008343BF">
        <w:rPr>
          <w:rFonts w:ascii="Simplified Arabic" w:eastAsia="Times New Roman" w:hAnsi="Simplified Arabic" w:cs="Simplified Arabic"/>
          <w:color w:val="000000" w:themeColor="text1"/>
          <w:kern w:val="0"/>
          <w:sz w:val="28"/>
          <w:szCs w:val="28"/>
          <w14:ligatures w14:val="none"/>
        </w:rPr>
        <w:t xml:space="preserve"> (Time Series Analysis Accuracy): </w:t>
      </w:r>
      <w:r w:rsidRPr="008343BF">
        <w:rPr>
          <w:rFonts w:ascii="Simplified Arabic" w:eastAsia="Times New Roman" w:hAnsi="Simplified Arabic" w:cs="Simplified Arabic"/>
          <w:color w:val="000000" w:themeColor="text1"/>
          <w:kern w:val="0"/>
          <w:sz w:val="28"/>
          <w:szCs w:val="28"/>
          <w:rtl/>
          <w14:ligatures w14:val="none"/>
        </w:rPr>
        <w:t>تُعرّف إجرائيًا بأنها مستوى الدقة المتحققة من استخدام منهجيات تحليل السلاسل الزمنية في التنبؤ بالطلب، كمنهجية بوكس جينكينز ونماذج</w:t>
      </w:r>
      <w:r w:rsidRPr="008343BF">
        <w:rPr>
          <w:rFonts w:ascii="Simplified Arabic" w:eastAsia="Times New Roman" w:hAnsi="Simplified Arabic" w:cs="Simplified Arabic"/>
          <w:color w:val="000000" w:themeColor="text1"/>
          <w:kern w:val="0"/>
          <w:sz w:val="28"/>
          <w:szCs w:val="28"/>
          <w14:ligatures w14:val="none"/>
        </w:rPr>
        <w:t xml:space="preserve"> ARIMA </w:t>
      </w:r>
      <w:r w:rsidRPr="008343BF">
        <w:rPr>
          <w:rFonts w:ascii="Simplified Arabic" w:eastAsia="Times New Roman" w:hAnsi="Simplified Arabic" w:cs="Simplified Arabic"/>
          <w:color w:val="000000" w:themeColor="text1"/>
          <w:kern w:val="0"/>
          <w:sz w:val="28"/>
          <w:szCs w:val="28"/>
          <w:rtl/>
          <w14:ligatures w14:val="none"/>
        </w:rPr>
        <w:t>ونماذج التحليل الموسمي</w:t>
      </w:r>
      <w:r w:rsidRPr="008343BF">
        <w:rPr>
          <w:rFonts w:ascii="Simplified Arabic" w:eastAsia="Times New Roman" w:hAnsi="Simplified Arabic" w:cs="Simplified Arabic"/>
          <w:color w:val="000000" w:themeColor="text1"/>
          <w:kern w:val="0"/>
          <w:sz w:val="28"/>
          <w:szCs w:val="28"/>
          <w14:ligatures w14:val="none"/>
        </w:rPr>
        <w:t>.</w:t>
      </w:r>
    </w:p>
    <w:p w14:paraId="0FEFA57A" w14:textId="77777777" w:rsidR="00861D72"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دقة النماذج الهجينة للتنبؤ</w:t>
      </w:r>
      <w:r w:rsidRPr="008343BF">
        <w:rPr>
          <w:rFonts w:ascii="Simplified Arabic" w:eastAsia="Times New Roman" w:hAnsi="Simplified Arabic" w:cs="Simplified Arabic"/>
          <w:color w:val="000000" w:themeColor="text1"/>
          <w:kern w:val="0"/>
          <w:sz w:val="28"/>
          <w:szCs w:val="28"/>
          <w14:ligatures w14:val="none"/>
        </w:rPr>
        <w:t xml:space="preserve"> (Hybrid Forecasting Models Accuracy): </w:t>
      </w:r>
      <w:r w:rsidRPr="008343BF">
        <w:rPr>
          <w:rFonts w:ascii="Simplified Arabic" w:eastAsia="Times New Roman" w:hAnsi="Simplified Arabic" w:cs="Simplified Arabic"/>
          <w:color w:val="000000" w:themeColor="text1"/>
          <w:kern w:val="0"/>
          <w:sz w:val="28"/>
          <w:szCs w:val="28"/>
          <w:rtl/>
          <w14:ligatures w14:val="none"/>
        </w:rPr>
        <w:t>تُعرّف إجرائيًا بأنها مستوى الدقة المتحققة من دمج أسلوبين أو أكثر من أساليب التنبؤ في نموذج واحد، كالجمع بين نماذج</w:t>
      </w:r>
      <w:r w:rsidRPr="008343BF">
        <w:rPr>
          <w:rFonts w:ascii="Simplified Arabic" w:eastAsia="Times New Roman" w:hAnsi="Simplified Arabic" w:cs="Simplified Arabic"/>
          <w:color w:val="000000" w:themeColor="text1"/>
          <w:kern w:val="0"/>
          <w:sz w:val="28"/>
          <w:szCs w:val="28"/>
          <w14:ligatures w14:val="none"/>
        </w:rPr>
        <w:t xml:space="preserve"> ARIMAX </w:t>
      </w:r>
      <w:r w:rsidRPr="008343BF">
        <w:rPr>
          <w:rFonts w:ascii="Simplified Arabic" w:eastAsia="Times New Roman" w:hAnsi="Simplified Arabic" w:cs="Simplified Arabic"/>
          <w:color w:val="000000" w:themeColor="text1"/>
          <w:kern w:val="0"/>
          <w:sz w:val="28"/>
          <w:szCs w:val="28"/>
          <w:rtl/>
          <w14:ligatures w14:val="none"/>
        </w:rPr>
        <w:t>والشبكات العصبية أو بين المؤشرات الاقتصادية الكلية والسلاسل الزمنية</w:t>
      </w:r>
      <w:r w:rsidRPr="008343BF">
        <w:rPr>
          <w:rFonts w:ascii="Simplified Arabic" w:eastAsia="Times New Roman" w:hAnsi="Simplified Arabic" w:cs="Simplified Arabic"/>
          <w:color w:val="000000" w:themeColor="text1"/>
          <w:kern w:val="0"/>
          <w:sz w:val="28"/>
          <w:szCs w:val="28"/>
          <w14:ligatures w14:val="none"/>
        </w:rPr>
        <w:t>.</w:t>
      </w:r>
    </w:p>
    <w:p w14:paraId="77ABEAEB" w14:textId="77777777" w:rsidR="00861D72"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المخزون الراكد</w:t>
      </w:r>
      <w:r w:rsidRPr="008343BF">
        <w:rPr>
          <w:rFonts w:ascii="Simplified Arabic" w:eastAsia="Times New Roman" w:hAnsi="Simplified Arabic" w:cs="Simplified Arabic"/>
          <w:color w:val="000000" w:themeColor="text1"/>
          <w:kern w:val="0"/>
          <w:sz w:val="28"/>
          <w:szCs w:val="28"/>
          <w14:ligatures w14:val="none"/>
        </w:rPr>
        <w:t xml:space="preserve"> (Dead Stock): </w:t>
      </w:r>
      <w:r w:rsidRPr="008343BF">
        <w:rPr>
          <w:rFonts w:ascii="Simplified Arabic" w:eastAsia="Times New Roman" w:hAnsi="Simplified Arabic" w:cs="Simplified Arabic"/>
          <w:color w:val="000000" w:themeColor="text1"/>
          <w:kern w:val="0"/>
          <w:sz w:val="28"/>
          <w:szCs w:val="28"/>
          <w:rtl/>
          <w14:ligatures w14:val="none"/>
        </w:rPr>
        <w:t>يُعرّف إجرائيًا بأنه المنتجات والمواد المخزنة التي لم تُبَع أو تُستهلك خلال فترة زمنية تتجاوز دورتها التشغيلية المعتادة وفقدت قيمتها السوقية أو الوظيفية كليًا أو جزئيًا</w:t>
      </w:r>
      <w:r w:rsidRPr="008343BF">
        <w:rPr>
          <w:rFonts w:ascii="Simplified Arabic" w:eastAsia="Times New Roman" w:hAnsi="Simplified Arabic" w:cs="Simplified Arabic"/>
          <w:color w:val="000000" w:themeColor="text1"/>
          <w:kern w:val="0"/>
          <w:sz w:val="28"/>
          <w:szCs w:val="28"/>
          <w14:ligatures w14:val="none"/>
        </w:rPr>
        <w:t>.</w:t>
      </w:r>
    </w:p>
    <w:p w14:paraId="19604304" w14:textId="77777777" w:rsidR="00861D72"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تكاليف التخزين</w:t>
      </w:r>
      <w:r w:rsidRPr="008343BF">
        <w:rPr>
          <w:rFonts w:ascii="Simplified Arabic" w:eastAsia="Times New Roman" w:hAnsi="Simplified Arabic" w:cs="Simplified Arabic"/>
          <w:color w:val="000000" w:themeColor="text1"/>
          <w:kern w:val="0"/>
          <w:sz w:val="28"/>
          <w:szCs w:val="28"/>
          <w14:ligatures w14:val="none"/>
        </w:rPr>
        <w:t xml:space="preserve"> (Storage/Holding Costs): </w:t>
      </w:r>
      <w:r w:rsidRPr="008343BF">
        <w:rPr>
          <w:rFonts w:ascii="Simplified Arabic" w:eastAsia="Times New Roman" w:hAnsi="Simplified Arabic" w:cs="Simplified Arabic"/>
          <w:color w:val="000000" w:themeColor="text1"/>
          <w:kern w:val="0"/>
          <w:sz w:val="28"/>
          <w:szCs w:val="28"/>
          <w:rtl/>
          <w14:ligatures w14:val="none"/>
        </w:rPr>
        <w:t>تُعرّف إجرائيًا بأنها إجمالي التكاليف المباشرة وغير المباشرة المرتبطة بالاحتفاظ بالمخزون، وتشمل تكاليف المستودعات والتأمين ورأس المال المجمّد والتقادم والتلف والانكماش</w:t>
      </w:r>
      <w:r w:rsidRPr="008343BF">
        <w:rPr>
          <w:rFonts w:ascii="Simplified Arabic" w:eastAsia="Times New Roman" w:hAnsi="Simplified Arabic" w:cs="Simplified Arabic"/>
          <w:color w:val="000000" w:themeColor="text1"/>
          <w:kern w:val="0"/>
          <w:sz w:val="28"/>
          <w:szCs w:val="28"/>
          <w14:ligatures w14:val="none"/>
        </w:rPr>
        <w:t>.</w:t>
      </w:r>
    </w:p>
    <w:p w14:paraId="1CF7BDDB" w14:textId="77777777" w:rsidR="00861D72" w:rsidRPr="008343BF" w:rsidRDefault="00861D72" w:rsidP="0062381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تخفيض المخزون الراكد وتكاليف التخزين</w:t>
      </w:r>
      <w:r w:rsidRPr="008343BF">
        <w:rPr>
          <w:rFonts w:ascii="Simplified Arabic" w:eastAsia="Times New Roman" w:hAnsi="Simplified Arabic" w:cs="Simplified Arabic"/>
          <w:color w:val="000000" w:themeColor="text1"/>
          <w:kern w:val="0"/>
          <w:sz w:val="28"/>
          <w:szCs w:val="28"/>
          <w14:ligatures w14:val="none"/>
        </w:rPr>
        <w:t xml:space="preserve"> (Dead Stock and Storage Cost Reduction): </w:t>
      </w:r>
      <w:r w:rsidRPr="008343BF">
        <w:rPr>
          <w:rFonts w:ascii="Simplified Arabic" w:eastAsia="Times New Roman" w:hAnsi="Simplified Arabic" w:cs="Simplified Arabic"/>
          <w:color w:val="000000" w:themeColor="text1"/>
          <w:kern w:val="0"/>
          <w:sz w:val="28"/>
          <w:szCs w:val="28"/>
          <w:rtl/>
          <w14:ligatures w14:val="none"/>
        </w:rPr>
        <w:t xml:space="preserve">يُعرّف إجرائيًا بأنه الانخفاض الملموس في حجم المخزون غير المتحرك والتكاليف المرتبطة بالاحتفاظ به، نتيجة تحسين عمليات التنبؤ بالطلب وترشيد قرارات الشراء والتوريد والتخزين، </w:t>
      </w:r>
      <w:r w:rsidRPr="008343BF">
        <w:rPr>
          <w:rFonts w:ascii="Simplified Arabic" w:eastAsia="Times New Roman" w:hAnsi="Simplified Arabic" w:cs="Simplified Arabic"/>
          <w:color w:val="000000" w:themeColor="text1"/>
          <w:kern w:val="0"/>
          <w:sz w:val="28"/>
          <w:szCs w:val="28"/>
          <w:rtl/>
          <w14:ligatures w14:val="none"/>
        </w:rPr>
        <w:lastRenderedPageBreak/>
        <w:t>ويُقاس في هذه الدراسة من خلال</w:t>
      </w:r>
      <w:r w:rsidRPr="008343BF">
        <w:rPr>
          <w:rFonts w:ascii="Simplified Arabic" w:eastAsia="Times New Roman" w:hAnsi="Simplified Arabic" w:cs="Simplified Arabic"/>
          <w:color w:val="000000" w:themeColor="text1"/>
          <w:kern w:val="0"/>
          <w:sz w:val="28"/>
          <w:szCs w:val="28"/>
          <w14:ligatures w14:val="none"/>
        </w:rPr>
        <w:t xml:space="preserve"> (10) </w:t>
      </w:r>
      <w:r w:rsidRPr="008343BF">
        <w:rPr>
          <w:rFonts w:ascii="Simplified Arabic" w:eastAsia="Times New Roman" w:hAnsi="Simplified Arabic" w:cs="Simplified Arabic"/>
          <w:color w:val="000000" w:themeColor="text1"/>
          <w:kern w:val="0"/>
          <w:sz w:val="28"/>
          <w:szCs w:val="28"/>
          <w:rtl/>
          <w14:ligatures w14:val="none"/>
        </w:rPr>
        <w:t>فقرات تعكس إدراك العاملين لمستوى التحسن في مؤشرات المخزون وتكاليفه</w:t>
      </w:r>
      <w:r w:rsidRPr="008343BF">
        <w:rPr>
          <w:rFonts w:ascii="Simplified Arabic" w:eastAsia="Times New Roman" w:hAnsi="Simplified Arabic" w:cs="Simplified Arabic"/>
          <w:color w:val="000000" w:themeColor="text1"/>
          <w:kern w:val="0"/>
          <w:sz w:val="28"/>
          <w:szCs w:val="28"/>
          <w14:ligatures w14:val="none"/>
        </w:rPr>
        <w:t>.</w:t>
      </w:r>
    </w:p>
    <w:p w14:paraId="69D452AC" w14:textId="0411DD79" w:rsidR="00623818" w:rsidRPr="008343BF" w:rsidRDefault="00623818" w:rsidP="006238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8" w:name="_Toc169790506"/>
      <w:bookmarkStart w:id="29" w:name="_Toc233042129"/>
      <w:bookmarkEnd w:id="24"/>
      <w:r w:rsidRPr="008343BF">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9"/>
    </w:p>
    <w:p w14:paraId="573B2B8C"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باعتباره المنهج الأنسب لطبيعة الدراسة وأهدافها، إذ سيتم من خلاله وصف وتحليل أثر دقة التنبؤ بالطلب بأبعاده الأربعة (دقة النماذج الكمية للتنبؤ، دقة نماذج التعلم الآلي في التنبؤ، دقة تحليل السلاسل الزمنية، دقة النماذج الهجينة للتنبؤ) على تخفيض المخزون الراكد وتكاليف التخزين في المؤسسات الصناعية والتجارية. وسيتيح هذا المنهج للباحث جمع البيانات من الميدان ووصف الظاهرة كما هي في الواقع ثم تحليلها إحصائيًا للوصول إلى نتائج قابلة للتعميم</w:t>
      </w:r>
      <w:r w:rsidRPr="008343BF">
        <w:rPr>
          <w:rFonts w:ascii="Simplified Arabic" w:eastAsia="Times New Roman" w:hAnsi="Simplified Arabic" w:cs="Simplified Arabic"/>
          <w:color w:val="000000" w:themeColor="text1"/>
          <w:kern w:val="0"/>
          <w:sz w:val="28"/>
          <w:szCs w:val="28"/>
          <w14:ligatures w14:val="none"/>
        </w:rPr>
        <w:t>.</w:t>
      </w:r>
    </w:p>
    <w:p w14:paraId="14028430"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وسيتم تصميم استبانة إلكترونية محكّمة كأداة رئيسية لجمع البيانات الأولية، وستُعرض على مجموعة من المحكّمين الأكاديميين والمتخصصين للتحقق من صدقها وثباتها قبل توزيعها على عينة الدراسة. كما ستُستخدم الأساليب الإحصائية المناسبة لتحليل البيانات واختبار الفروض، مما سيمكّن الباحث من تحديد طبيعة العلاقة ومستوى الأثر بين المتغير المستقل وأبعاده والمتغير التابع، والخروج بنتائج وتوصيات علمية وعملية ذات قيمة مضافة</w:t>
      </w:r>
      <w:r w:rsidRPr="008343BF">
        <w:rPr>
          <w:rFonts w:ascii="Simplified Arabic" w:eastAsia="Times New Roman" w:hAnsi="Simplified Arabic" w:cs="Simplified Arabic"/>
          <w:color w:val="000000" w:themeColor="text1"/>
          <w:kern w:val="0"/>
          <w:sz w:val="28"/>
          <w:szCs w:val="28"/>
          <w14:ligatures w14:val="none"/>
        </w:rPr>
        <w:t>.</w:t>
      </w:r>
    </w:p>
    <w:p w14:paraId="713C8B5C" w14:textId="111C4941" w:rsidR="00861D72" w:rsidRPr="008343BF" w:rsidRDefault="00623818" w:rsidP="006238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3214136"/>
      <w:bookmarkStart w:id="31" w:name="_Toc233042130"/>
      <w:r w:rsidRPr="008343BF">
        <w:rPr>
          <w:rFonts w:ascii="Simplified Arabic" w:eastAsia="Times New Roman" w:hAnsi="Simplified Arabic" w:cs="Simplified Arabic" w:hint="cs"/>
          <w:b/>
          <w:bCs/>
          <w:color w:val="000000" w:themeColor="text1"/>
          <w:kern w:val="36"/>
          <w:sz w:val="36"/>
          <w:szCs w:val="36"/>
          <w:rtl/>
          <w14:ligatures w14:val="none"/>
        </w:rPr>
        <w:t xml:space="preserve">11.1 </w:t>
      </w:r>
      <w:r w:rsidR="00861D72" w:rsidRPr="008343BF">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30"/>
      <w:bookmarkEnd w:id="31"/>
    </w:p>
    <w:p w14:paraId="3ABB42B5"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إدارات المخزون والتوريد والتخطيط والإنتاج في المؤسسات الصناعية والتجارية بجمهورية مصر العربية، والذين يشغلون مناصب إدارية وإشرافية وتنفيذية ذات صلة مباشرة بعمليات التنبؤ بالطلب وإدارة المخزون. ويُقدّر حجم المجتمع الكلي بنحو 850 مفردة موزعين على 35 مؤسسة صناعية وتجارية تعمل في قطاعات متنوعة تشمل الصناعات الغذائية والكيميائية والإلكترونية وتجارة الجملة والتجزئة</w:t>
      </w:r>
      <w:r w:rsidRPr="008343BF">
        <w:rPr>
          <w:rFonts w:ascii="Simplified Arabic" w:eastAsia="Times New Roman" w:hAnsi="Simplified Arabic" w:cs="Simplified Arabic"/>
          <w:color w:val="000000" w:themeColor="text1"/>
          <w:kern w:val="0"/>
          <w:sz w:val="28"/>
          <w:szCs w:val="28"/>
          <w14:ligatures w14:val="none"/>
        </w:rPr>
        <w:t>.</w:t>
      </w:r>
    </w:p>
    <w:p w14:paraId="3CFADE04"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وستُسحب عينة عشوائية طبقية من مجتمع الدراسة وفقًا لمعادلة ستيفن ثامبسون</w:t>
      </w:r>
      <w:r w:rsidRPr="008343BF">
        <w:rPr>
          <w:rFonts w:ascii="Simplified Arabic" w:eastAsia="Times New Roman" w:hAnsi="Simplified Arabic" w:cs="Simplified Arabic"/>
          <w:color w:val="000000" w:themeColor="text1"/>
          <w:kern w:val="0"/>
          <w:sz w:val="28"/>
          <w:szCs w:val="28"/>
          <w14:ligatures w14:val="none"/>
        </w:rPr>
        <w:t xml:space="preserve"> (Steven Thompson) </w:t>
      </w:r>
      <w:r w:rsidRPr="008343BF">
        <w:rPr>
          <w:rFonts w:ascii="Simplified Arabic" w:eastAsia="Times New Roman" w:hAnsi="Simplified Arabic" w:cs="Simplified Arabic"/>
          <w:color w:val="000000" w:themeColor="text1"/>
          <w:kern w:val="0"/>
          <w:sz w:val="28"/>
          <w:szCs w:val="28"/>
          <w:rtl/>
          <w14:ligatures w14:val="none"/>
        </w:rPr>
        <w:t>لتحديد حجم العينة المناسب عند مستوى ثقة 95% وهامش خطأ 5%، وسيبلغ حجم العينة المستهدف 265 مفردة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 xml:space="preserve">وستُوزّع الاستبانات إلكترونيًا على أفراد العينة مع مراعاة التوزيع النسبي بين </w:t>
      </w:r>
      <w:r w:rsidRPr="008343BF">
        <w:rPr>
          <w:rFonts w:ascii="Simplified Arabic" w:eastAsia="Times New Roman" w:hAnsi="Simplified Arabic" w:cs="Simplified Arabic"/>
          <w:color w:val="000000" w:themeColor="text1"/>
          <w:kern w:val="0"/>
          <w:sz w:val="28"/>
          <w:szCs w:val="28"/>
          <w:rtl/>
          <w14:ligatures w14:val="none"/>
        </w:rPr>
        <w:lastRenderedPageBreak/>
        <w:t>المستويات الإدارية المختلفة (مديرو إدارات، رؤساء أقسام، مشرفون، موظفون تنفيذيون) وبين القطاعات المتنوعة المشمولة بالدراسة، وذلك لضمان تمثيل العينة للمجتمع الأصلي بشكل متوازن ودقيق. وسيتم استبعاد الاستبانات غير المكتملة أو التي تحتوي على أنماط إجابة غير منطقية، على أن يكون الحد الأدنى المقبول للاستبانات الصالحة للتحليل الإحصائي 230 استبانة</w:t>
      </w:r>
      <w:r w:rsidRPr="008343BF">
        <w:rPr>
          <w:rFonts w:ascii="Simplified Arabic" w:eastAsia="Times New Roman" w:hAnsi="Simplified Arabic" w:cs="Simplified Arabic"/>
          <w:color w:val="000000" w:themeColor="text1"/>
          <w:kern w:val="0"/>
          <w:sz w:val="28"/>
          <w:szCs w:val="28"/>
          <w14:ligatures w14:val="none"/>
        </w:rPr>
        <w:t>.</w:t>
      </w:r>
    </w:p>
    <w:p w14:paraId="23E5E6B5" w14:textId="2B8A85BB" w:rsidR="00861D72" w:rsidRPr="008343BF" w:rsidRDefault="00623818" w:rsidP="006238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3214137"/>
      <w:bookmarkStart w:id="33" w:name="_Toc233042131"/>
      <w:r w:rsidRPr="008343BF">
        <w:rPr>
          <w:rFonts w:ascii="Simplified Arabic" w:eastAsia="Times New Roman" w:hAnsi="Simplified Arabic" w:cs="Simplified Arabic" w:hint="cs"/>
          <w:b/>
          <w:bCs/>
          <w:color w:val="000000" w:themeColor="text1"/>
          <w:kern w:val="36"/>
          <w:sz w:val="36"/>
          <w:szCs w:val="36"/>
          <w:rtl/>
          <w14:ligatures w14:val="none"/>
        </w:rPr>
        <w:t xml:space="preserve">12.1 </w:t>
      </w:r>
      <w:r w:rsidR="00861D72" w:rsidRPr="008343BF">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2"/>
      <w:bookmarkEnd w:id="33"/>
    </w:p>
    <w:p w14:paraId="45D0833F"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ستعتمد الدراسة على نوعين من مصادر جمع البيانات. أما المصادر الثانوية فستشمل الكتب والمراجع العلمية العربية والأجنبية، والدوريات والمجلات المحكّمة، والرسائل العلمية (ماجستير ودكتوراه)، والتقارير والإحصاءات الرسمية، وقواعد البيانات الإلكترونية مثل </w:t>
      </w:r>
      <w:r w:rsidRPr="008343BF">
        <w:rPr>
          <w:rFonts w:ascii="Simplified Arabic" w:eastAsia="Times New Roman" w:hAnsi="Simplified Arabic" w:cs="Simplified Arabic"/>
          <w:color w:val="000000" w:themeColor="text1"/>
          <w:kern w:val="0"/>
          <w:sz w:val="28"/>
          <w:szCs w:val="28"/>
          <w14:ligatures w14:val="none"/>
        </w:rPr>
        <w:t xml:space="preserve">Scopus </w:t>
      </w:r>
      <w:r w:rsidRPr="008343BF">
        <w:rPr>
          <w:rFonts w:ascii="Simplified Arabic" w:eastAsia="Times New Roman" w:hAnsi="Simplified Arabic" w:cs="Simplified Arabic"/>
          <w:color w:val="000000" w:themeColor="text1"/>
          <w:kern w:val="0"/>
          <w:sz w:val="28"/>
          <w:szCs w:val="28"/>
          <w:rtl/>
          <w14:ligatures w14:val="none"/>
        </w:rPr>
        <w:t>و</w:t>
      </w:r>
      <w:r w:rsidRPr="008343BF">
        <w:rPr>
          <w:rFonts w:ascii="Simplified Arabic" w:eastAsia="Times New Roman" w:hAnsi="Simplified Arabic" w:cs="Simplified Arabic"/>
          <w:color w:val="000000" w:themeColor="text1"/>
          <w:kern w:val="0"/>
          <w:sz w:val="28"/>
          <w:szCs w:val="28"/>
          <w14:ligatures w14:val="none"/>
        </w:rPr>
        <w:t xml:space="preserve">Web of Science </w:t>
      </w:r>
      <w:r w:rsidRPr="008343BF">
        <w:rPr>
          <w:rFonts w:ascii="Simplified Arabic" w:eastAsia="Times New Roman" w:hAnsi="Simplified Arabic" w:cs="Simplified Arabic"/>
          <w:color w:val="000000" w:themeColor="text1"/>
          <w:kern w:val="0"/>
          <w:sz w:val="28"/>
          <w:szCs w:val="28"/>
          <w:rtl/>
          <w14:ligatures w14:val="none"/>
        </w:rPr>
        <w:t>و</w:t>
      </w:r>
      <w:r w:rsidRPr="008343BF">
        <w:rPr>
          <w:rFonts w:ascii="Simplified Arabic" w:eastAsia="Times New Roman" w:hAnsi="Simplified Arabic" w:cs="Simplified Arabic"/>
          <w:color w:val="000000" w:themeColor="text1"/>
          <w:kern w:val="0"/>
          <w:sz w:val="28"/>
          <w:szCs w:val="28"/>
          <w14:ligatures w14:val="none"/>
        </w:rPr>
        <w:t xml:space="preserve">Google Scholar </w:t>
      </w:r>
      <w:r w:rsidRPr="008343BF">
        <w:rPr>
          <w:rFonts w:ascii="Simplified Arabic" w:eastAsia="Times New Roman" w:hAnsi="Simplified Arabic" w:cs="Simplified Arabic"/>
          <w:color w:val="000000" w:themeColor="text1"/>
          <w:kern w:val="0"/>
          <w:sz w:val="28"/>
          <w:szCs w:val="28"/>
          <w:rtl/>
          <w14:ligatures w14:val="none"/>
        </w:rPr>
        <w:t>و</w:t>
      </w:r>
      <w:r w:rsidRPr="008343BF">
        <w:rPr>
          <w:rFonts w:ascii="Simplified Arabic" w:eastAsia="Times New Roman" w:hAnsi="Simplified Arabic" w:cs="Simplified Arabic"/>
          <w:color w:val="000000" w:themeColor="text1"/>
          <w:kern w:val="0"/>
          <w:sz w:val="28"/>
          <w:szCs w:val="28"/>
          <w14:ligatures w14:val="none"/>
        </w:rPr>
        <w:t>ASJP</w:t>
      </w:r>
      <w:r w:rsidRPr="008343BF">
        <w:rPr>
          <w:rFonts w:ascii="Simplified Arabic" w:eastAsia="Times New Roman" w:hAnsi="Simplified Arabic" w:cs="Simplified Arabic"/>
          <w:color w:val="000000" w:themeColor="text1"/>
          <w:kern w:val="0"/>
          <w:sz w:val="28"/>
          <w:szCs w:val="28"/>
          <w:rtl/>
          <w14:ligatures w14:val="none"/>
        </w:rPr>
        <w:t>، وذلك لبناء الإطار النظري للدراسة ومراجعة الأدبيات السابقة. وأما المصادر الأولية فستتمثل في الاستبانة الإلكترونية التي سيتم تصميمها وتوزيعها على أفراد عينة الدراسة لجمع البيانات الميدانية اللازمة لاختبار فروض الدراسة والإجابة عن تساؤلاتها</w:t>
      </w:r>
      <w:r w:rsidRPr="008343BF">
        <w:rPr>
          <w:rFonts w:ascii="Simplified Arabic" w:eastAsia="Times New Roman" w:hAnsi="Simplified Arabic" w:cs="Simplified Arabic"/>
          <w:color w:val="000000" w:themeColor="text1"/>
          <w:kern w:val="0"/>
          <w:sz w:val="28"/>
          <w:szCs w:val="28"/>
          <w14:ligatures w14:val="none"/>
        </w:rPr>
        <w:t>.</w:t>
      </w:r>
    </w:p>
    <w:p w14:paraId="411E3D8F" w14:textId="5E5528A1" w:rsidR="00861D72" w:rsidRPr="008343BF" w:rsidRDefault="00623818" w:rsidP="006238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3214138"/>
      <w:bookmarkStart w:id="35" w:name="_Toc233042132"/>
      <w:r w:rsidRPr="008343BF">
        <w:rPr>
          <w:rFonts w:ascii="Simplified Arabic" w:eastAsia="Times New Roman" w:hAnsi="Simplified Arabic" w:cs="Simplified Arabic" w:hint="cs"/>
          <w:b/>
          <w:bCs/>
          <w:color w:val="000000" w:themeColor="text1"/>
          <w:kern w:val="36"/>
          <w:sz w:val="36"/>
          <w:szCs w:val="36"/>
          <w:rtl/>
          <w14:ligatures w14:val="none"/>
        </w:rPr>
        <w:t xml:space="preserve">13.1 </w:t>
      </w:r>
      <w:r w:rsidR="00861D72" w:rsidRPr="008343BF">
        <w:rPr>
          <w:rFonts w:ascii="Simplified Arabic" w:eastAsia="Times New Roman" w:hAnsi="Simplified Arabic" w:cs="Simplified Arabic"/>
          <w:b/>
          <w:bCs/>
          <w:color w:val="000000" w:themeColor="text1"/>
          <w:kern w:val="36"/>
          <w:sz w:val="36"/>
          <w:szCs w:val="36"/>
          <w:rtl/>
          <w14:ligatures w14:val="none"/>
        </w:rPr>
        <w:t>أداة الدراسة</w:t>
      </w:r>
      <w:bookmarkEnd w:id="34"/>
      <w:bookmarkEnd w:id="35"/>
    </w:p>
    <w:p w14:paraId="402C75E2" w14:textId="77777777" w:rsidR="00861D72" w:rsidRPr="008343BF" w:rsidRDefault="00861D72"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ستُعدّ استبانة إلكترونية كأداة رئيسية لجمع البيانات الأولية، وستتكون من ثلاثة أقسام رئيسية</w:t>
      </w:r>
      <w:r w:rsidRPr="008343BF">
        <w:rPr>
          <w:rFonts w:ascii="Simplified Arabic" w:eastAsia="Times New Roman" w:hAnsi="Simplified Arabic" w:cs="Simplified Arabic"/>
          <w:b/>
          <w:bCs/>
          <w:color w:val="000000" w:themeColor="text1"/>
          <w:kern w:val="0"/>
          <w:sz w:val="28"/>
          <w:szCs w:val="28"/>
          <w14:ligatures w14:val="none"/>
        </w:rPr>
        <w:t>:</w:t>
      </w:r>
    </w:p>
    <w:p w14:paraId="04B33E44"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القسم الأول</w:t>
      </w:r>
      <w:r w:rsidRPr="008343BF">
        <w:rPr>
          <w:rFonts w:ascii="Simplified Arabic" w:eastAsia="Times New Roman" w:hAnsi="Simplified Arabic" w:cs="Simplified Arabic"/>
          <w:color w:val="000000" w:themeColor="text1"/>
          <w:kern w:val="0"/>
          <w:sz w:val="28"/>
          <w:szCs w:val="28"/>
          <w:rtl/>
          <w14:ligatures w14:val="none"/>
        </w:rPr>
        <w:t>: البيانات الديموغرافية والوظيفية، وسيتضمن بيانات عامة عن المستجيب تشمل (المؤهل العلمي، المسمى الوظيفي، سنوات الخبرة، طبيعة نشاط المؤسسة، حجم المؤسسة)</w:t>
      </w:r>
      <w:r w:rsidRPr="008343BF">
        <w:rPr>
          <w:rFonts w:ascii="Simplified Arabic" w:eastAsia="Times New Roman" w:hAnsi="Simplified Arabic" w:cs="Simplified Arabic"/>
          <w:color w:val="000000" w:themeColor="text1"/>
          <w:kern w:val="0"/>
          <w:sz w:val="28"/>
          <w:szCs w:val="28"/>
          <w14:ligatures w14:val="none"/>
        </w:rPr>
        <w:t>.</w:t>
      </w:r>
    </w:p>
    <w:p w14:paraId="6B685E0A"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القسم الثاني</w:t>
      </w:r>
      <w:r w:rsidRPr="008343BF">
        <w:rPr>
          <w:rFonts w:ascii="Simplified Arabic" w:eastAsia="Times New Roman" w:hAnsi="Simplified Arabic" w:cs="Simplified Arabic"/>
          <w:color w:val="000000" w:themeColor="text1"/>
          <w:kern w:val="0"/>
          <w:sz w:val="28"/>
          <w:szCs w:val="28"/>
          <w:rtl/>
          <w14:ligatures w14:val="none"/>
        </w:rPr>
        <w:t>: المتغير المستقل (دقة التنبؤ بالطلب)، وسينقسم إلى أربعة أبعاد على النحو التالي</w:t>
      </w:r>
      <w:r w:rsidRPr="008343BF">
        <w:rPr>
          <w:rFonts w:ascii="Simplified Arabic" w:eastAsia="Times New Roman" w:hAnsi="Simplified Arabic" w:cs="Simplified Arabic"/>
          <w:color w:val="000000" w:themeColor="text1"/>
          <w:kern w:val="0"/>
          <w:sz w:val="28"/>
          <w:szCs w:val="28"/>
          <w14:ligatures w14:val="none"/>
        </w:rPr>
        <w:t>:</w:t>
      </w:r>
    </w:p>
    <w:p w14:paraId="1DEC8D56" w14:textId="77777777" w:rsidR="00861D72" w:rsidRPr="008343BF" w:rsidRDefault="00861D72" w:rsidP="0062381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البُعد الأول</w:t>
      </w:r>
      <w:r w:rsidRPr="008343BF">
        <w:rPr>
          <w:rFonts w:ascii="Simplified Arabic" w:eastAsia="Times New Roman" w:hAnsi="Simplified Arabic" w:cs="Simplified Arabic"/>
          <w:color w:val="000000" w:themeColor="text1"/>
          <w:kern w:val="0"/>
          <w:sz w:val="28"/>
          <w:szCs w:val="28"/>
          <w:rtl/>
          <w14:ligatures w14:val="none"/>
        </w:rPr>
        <w:t>: دقة النماذج الكمية للتنبؤ، ويتكون من (4) فقرات</w:t>
      </w:r>
      <w:r w:rsidRPr="008343BF">
        <w:rPr>
          <w:rFonts w:ascii="Simplified Arabic" w:eastAsia="Times New Roman" w:hAnsi="Simplified Arabic" w:cs="Simplified Arabic"/>
          <w:color w:val="000000" w:themeColor="text1"/>
          <w:kern w:val="0"/>
          <w:sz w:val="28"/>
          <w:szCs w:val="28"/>
          <w14:ligatures w14:val="none"/>
        </w:rPr>
        <w:t>.</w:t>
      </w:r>
    </w:p>
    <w:p w14:paraId="16F6DEB5" w14:textId="77777777" w:rsidR="00861D72" w:rsidRPr="008343BF" w:rsidRDefault="00861D72" w:rsidP="0062381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البُعد الثاني</w:t>
      </w:r>
      <w:r w:rsidRPr="008343BF">
        <w:rPr>
          <w:rFonts w:ascii="Simplified Arabic" w:eastAsia="Times New Roman" w:hAnsi="Simplified Arabic" w:cs="Simplified Arabic"/>
          <w:color w:val="000000" w:themeColor="text1"/>
          <w:kern w:val="0"/>
          <w:sz w:val="28"/>
          <w:szCs w:val="28"/>
          <w:rtl/>
          <w14:ligatures w14:val="none"/>
        </w:rPr>
        <w:t>: دقة نماذج التعلم الآلي في التنبؤ، ويتكون من (4) فقرات</w:t>
      </w:r>
      <w:r w:rsidRPr="008343BF">
        <w:rPr>
          <w:rFonts w:ascii="Simplified Arabic" w:eastAsia="Times New Roman" w:hAnsi="Simplified Arabic" w:cs="Simplified Arabic"/>
          <w:color w:val="000000" w:themeColor="text1"/>
          <w:kern w:val="0"/>
          <w:sz w:val="28"/>
          <w:szCs w:val="28"/>
          <w14:ligatures w14:val="none"/>
        </w:rPr>
        <w:t>.</w:t>
      </w:r>
    </w:p>
    <w:p w14:paraId="17CA7DA7" w14:textId="77777777" w:rsidR="00861D72" w:rsidRPr="008343BF" w:rsidRDefault="00861D72" w:rsidP="0062381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البُعد الثالث</w:t>
      </w:r>
      <w:r w:rsidRPr="008343BF">
        <w:rPr>
          <w:rFonts w:ascii="Simplified Arabic" w:eastAsia="Times New Roman" w:hAnsi="Simplified Arabic" w:cs="Simplified Arabic"/>
          <w:color w:val="000000" w:themeColor="text1"/>
          <w:kern w:val="0"/>
          <w:sz w:val="28"/>
          <w:szCs w:val="28"/>
          <w:rtl/>
          <w14:ligatures w14:val="none"/>
        </w:rPr>
        <w:t>: دقة تحليل السلاسل الزمنية، ويتكون من (4) فقرات</w:t>
      </w:r>
      <w:r w:rsidRPr="008343BF">
        <w:rPr>
          <w:rFonts w:ascii="Simplified Arabic" w:eastAsia="Times New Roman" w:hAnsi="Simplified Arabic" w:cs="Simplified Arabic"/>
          <w:color w:val="000000" w:themeColor="text1"/>
          <w:kern w:val="0"/>
          <w:sz w:val="28"/>
          <w:szCs w:val="28"/>
          <w14:ligatures w14:val="none"/>
        </w:rPr>
        <w:t>.</w:t>
      </w:r>
    </w:p>
    <w:p w14:paraId="4E43367A" w14:textId="77777777" w:rsidR="00861D72" w:rsidRPr="008343BF" w:rsidRDefault="00861D72" w:rsidP="0062381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البُعد الرابع</w:t>
      </w:r>
      <w:r w:rsidRPr="008343BF">
        <w:rPr>
          <w:rFonts w:ascii="Simplified Arabic" w:eastAsia="Times New Roman" w:hAnsi="Simplified Arabic" w:cs="Simplified Arabic"/>
          <w:color w:val="000000" w:themeColor="text1"/>
          <w:kern w:val="0"/>
          <w:sz w:val="28"/>
          <w:szCs w:val="28"/>
          <w:rtl/>
          <w14:ligatures w14:val="none"/>
        </w:rPr>
        <w:t>: دقة النماذج الهجينة للتنبؤ، ويتكون من (4) فقرات</w:t>
      </w:r>
      <w:r w:rsidRPr="008343BF">
        <w:rPr>
          <w:rFonts w:ascii="Simplified Arabic" w:eastAsia="Times New Roman" w:hAnsi="Simplified Arabic" w:cs="Simplified Arabic"/>
          <w:color w:val="000000" w:themeColor="text1"/>
          <w:kern w:val="0"/>
          <w:sz w:val="28"/>
          <w:szCs w:val="28"/>
          <w14:ligatures w14:val="none"/>
        </w:rPr>
        <w:t>.</w:t>
      </w:r>
    </w:p>
    <w:p w14:paraId="038DB2C0" w14:textId="77777777" w:rsidR="00861D72" w:rsidRPr="008343BF" w:rsidRDefault="00861D72" w:rsidP="00CF44FD">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المتغير المستقل </w:t>
      </w:r>
      <w:r w:rsidRPr="008343BF">
        <w:rPr>
          <w:rFonts w:ascii="Simplified Arabic" w:eastAsia="Times New Roman" w:hAnsi="Simplified Arabic" w:cs="Simplified Arabic"/>
          <w:color w:val="000000" w:themeColor="text1"/>
          <w:kern w:val="0"/>
          <w:sz w:val="28"/>
          <w:szCs w:val="28"/>
          <w14:ligatures w14:val="none"/>
        </w:rPr>
        <w:t xml:space="preserve">(16) </w:t>
      </w:r>
      <w:r w:rsidRPr="008343BF">
        <w:rPr>
          <w:rFonts w:ascii="Simplified Arabic" w:eastAsia="Times New Roman" w:hAnsi="Simplified Arabic" w:cs="Simplified Arabic"/>
          <w:color w:val="000000" w:themeColor="text1"/>
          <w:kern w:val="0"/>
          <w:sz w:val="28"/>
          <w:szCs w:val="28"/>
          <w:rtl/>
          <w14:ligatures w14:val="none"/>
        </w:rPr>
        <w:t>فقرة</w:t>
      </w:r>
      <w:r w:rsidRPr="008343BF">
        <w:rPr>
          <w:rFonts w:ascii="Simplified Arabic" w:eastAsia="Times New Roman" w:hAnsi="Simplified Arabic" w:cs="Simplified Arabic"/>
          <w:color w:val="000000" w:themeColor="text1"/>
          <w:kern w:val="0"/>
          <w:sz w:val="28"/>
          <w:szCs w:val="28"/>
          <w14:ligatures w14:val="none"/>
        </w:rPr>
        <w:t>.</w:t>
      </w:r>
    </w:p>
    <w:p w14:paraId="6E0F2DB7"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lastRenderedPageBreak/>
        <w:t>القسم الثالث</w:t>
      </w:r>
      <w:r w:rsidRPr="008343BF">
        <w:rPr>
          <w:rFonts w:ascii="Simplified Arabic" w:eastAsia="Times New Roman" w:hAnsi="Simplified Arabic" w:cs="Simplified Arabic"/>
          <w:color w:val="000000" w:themeColor="text1"/>
          <w:kern w:val="0"/>
          <w:sz w:val="28"/>
          <w:szCs w:val="28"/>
          <w:rtl/>
          <w14:ligatures w14:val="none"/>
        </w:rPr>
        <w:t xml:space="preserve">: المتغير التابع (تخفيض المخزون الراكد وتكاليف التخزين)، وهو أحادي المحور ويتكون من </w:t>
      </w:r>
      <w:r w:rsidRPr="008343BF">
        <w:rPr>
          <w:rFonts w:ascii="Simplified Arabic" w:eastAsia="Times New Roman" w:hAnsi="Simplified Arabic" w:cs="Simplified Arabic"/>
          <w:color w:val="000000" w:themeColor="text1"/>
          <w:kern w:val="0"/>
          <w:sz w:val="28"/>
          <w:szCs w:val="28"/>
          <w14:ligatures w14:val="none"/>
        </w:rPr>
        <w:t xml:space="preserve">(10) </w:t>
      </w:r>
      <w:r w:rsidRPr="008343BF">
        <w:rPr>
          <w:rFonts w:ascii="Simplified Arabic" w:eastAsia="Times New Roman" w:hAnsi="Simplified Arabic" w:cs="Simplified Arabic"/>
          <w:color w:val="000000" w:themeColor="text1"/>
          <w:kern w:val="0"/>
          <w:sz w:val="28"/>
          <w:szCs w:val="28"/>
          <w:rtl/>
          <w14:ligatures w14:val="none"/>
        </w:rPr>
        <w:t>فقرات</w:t>
      </w:r>
      <w:r w:rsidRPr="008343BF">
        <w:rPr>
          <w:rFonts w:ascii="Simplified Arabic" w:eastAsia="Times New Roman" w:hAnsi="Simplified Arabic" w:cs="Simplified Arabic"/>
          <w:color w:val="000000" w:themeColor="text1"/>
          <w:kern w:val="0"/>
          <w:sz w:val="28"/>
          <w:szCs w:val="28"/>
          <w14:ligatures w14:val="none"/>
        </w:rPr>
        <w:t>.</w:t>
      </w:r>
    </w:p>
    <w:p w14:paraId="5759A7A3" w14:textId="77029DC6"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w:t>
      </w:r>
      <w:r w:rsidRPr="008343BF">
        <w:rPr>
          <w:rFonts w:ascii="Simplified Arabic" w:eastAsia="Times New Roman" w:hAnsi="Simplified Arabic" w:cs="Simplified Arabic"/>
          <w:color w:val="000000" w:themeColor="text1"/>
          <w:kern w:val="0"/>
          <w:sz w:val="28"/>
          <w:szCs w:val="28"/>
          <w14:ligatures w14:val="none"/>
        </w:rPr>
        <w:t xml:space="preserve">(26) </w:t>
      </w:r>
      <w:r w:rsidRPr="008343BF">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 وسيتم قياس استجابات أفراد العينة باستخدام مقياس ليكرت الخماسي (موافق بشدة = 5، موافق = 4، محايد</w:t>
      </w:r>
      <w:r w:rsidRPr="008343BF">
        <w:rPr>
          <w:rFonts w:ascii="Simplified Arabic" w:eastAsia="Times New Roman" w:hAnsi="Simplified Arabic" w:cs="Simplified Arabic"/>
          <w:color w:val="000000" w:themeColor="text1"/>
          <w:kern w:val="0"/>
          <w:sz w:val="28"/>
          <w:szCs w:val="28"/>
          <w14:ligatures w14:val="none"/>
        </w:rPr>
        <w:t xml:space="preserve"> = 3</w:t>
      </w:r>
      <w:r w:rsidRPr="008343BF">
        <w:rPr>
          <w:rFonts w:ascii="Simplified Arabic" w:eastAsia="Times New Roman" w:hAnsi="Simplified Arabic" w:cs="Simplified Arabic"/>
          <w:color w:val="000000" w:themeColor="text1"/>
          <w:kern w:val="0"/>
          <w:sz w:val="28"/>
          <w:szCs w:val="28"/>
          <w:rtl/>
          <w14:ligatures w14:val="none"/>
        </w:rPr>
        <w:t>، غير موافق = 2، غير موافق بشدة = 1</w:t>
      </w:r>
    </w:p>
    <w:p w14:paraId="5E8DD7DC" w14:textId="495839B0" w:rsidR="00861D72" w:rsidRPr="008343BF" w:rsidRDefault="00623818" w:rsidP="006238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3214139"/>
      <w:bookmarkStart w:id="37" w:name="_Toc233042133"/>
      <w:r w:rsidRPr="008343BF">
        <w:rPr>
          <w:rFonts w:ascii="Simplified Arabic" w:eastAsia="Times New Roman" w:hAnsi="Simplified Arabic" w:cs="Simplified Arabic" w:hint="cs"/>
          <w:b/>
          <w:bCs/>
          <w:color w:val="000000" w:themeColor="text1"/>
          <w:kern w:val="36"/>
          <w:sz w:val="36"/>
          <w:szCs w:val="36"/>
          <w:rtl/>
          <w14:ligatures w14:val="none"/>
        </w:rPr>
        <w:t xml:space="preserve">14.1 </w:t>
      </w:r>
      <w:r w:rsidR="00861D72" w:rsidRPr="008343BF">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6"/>
      <w:bookmarkEnd w:id="37"/>
    </w:p>
    <w:p w14:paraId="029F027F" w14:textId="77777777" w:rsidR="00861D72" w:rsidRPr="008343BF" w:rsidRDefault="00861D7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الحزمة الإحصائية للعلوم الاجتماعية</w:t>
      </w:r>
      <w:r w:rsidRPr="008343BF">
        <w:rPr>
          <w:rFonts w:ascii="Simplified Arabic" w:eastAsia="Times New Roman" w:hAnsi="Simplified Arabic" w:cs="Simplified Arabic"/>
          <w:color w:val="000000" w:themeColor="text1"/>
          <w:kern w:val="0"/>
          <w:sz w:val="28"/>
          <w:szCs w:val="28"/>
          <w14:ligatures w14:val="none"/>
        </w:rPr>
        <w:t xml:space="preserve"> (SPSS V.26) </w:t>
      </w:r>
      <w:r w:rsidRPr="008343BF">
        <w:rPr>
          <w:rFonts w:ascii="Simplified Arabic" w:eastAsia="Times New Roman" w:hAnsi="Simplified Arabic" w:cs="Simplified Arabic"/>
          <w:color w:val="000000" w:themeColor="text1"/>
          <w:kern w:val="0"/>
          <w:sz w:val="28"/>
          <w:szCs w:val="28"/>
          <w:rtl/>
          <w14:ligatures w14:val="none"/>
        </w:rPr>
        <w:t>وبرنامج</w:t>
      </w:r>
      <w:r w:rsidRPr="008343BF">
        <w:rPr>
          <w:rFonts w:ascii="Simplified Arabic" w:eastAsia="Times New Roman" w:hAnsi="Simplified Arabic" w:cs="Simplified Arabic"/>
          <w:color w:val="000000" w:themeColor="text1"/>
          <w:kern w:val="0"/>
          <w:sz w:val="28"/>
          <w:szCs w:val="28"/>
          <w14:ligatures w14:val="none"/>
        </w:rPr>
        <w:t xml:space="preserve"> (AMOS V.24) </w:t>
      </w:r>
      <w:r w:rsidRPr="008343BF">
        <w:rPr>
          <w:rFonts w:ascii="Simplified Arabic" w:eastAsia="Times New Roman" w:hAnsi="Simplified Arabic" w:cs="Simplified Arabic"/>
          <w:color w:val="000000" w:themeColor="text1"/>
          <w:kern w:val="0"/>
          <w:sz w:val="28"/>
          <w:szCs w:val="28"/>
          <w:rtl/>
          <w14:ligatures w14:val="none"/>
        </w:rPr>
        <w:t>للنمذجة بالمعادلات الهيكلية، وستُستخدم الأساليب الإحصائية التالية</w:t>
      </w:r>
      <w:r w:rsidRPr="008343BF">
        <w:rPr>
          <w:rFonts w:ascii="Simplified Arabic" w:eastAsia="Times New Roman" w:hAnsi="Simplified Arabic" w:cs="Simplified Arabic"/>
          <w:color w:val="000000" w:themeColor="text1"/>
          <w:kern w:val="0"/>
          <w:sz w:val="28"/>
          <w:szCs w:val="28"/>
          <w14:ligatures w14:val="none"/>
        </w:rPr>
        <w:t>:</w:t>
      </w:r>
    </w:p>
    <w:p w14:paraId="292F6102" w14:textId="77777777" w:rsidR="00861D72" w:rsidRPr="008343BF" w:rsidRDefault="00861D72" w:rsidP="0062381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معامل ألفا كرونباخ</w:t>
      </w:r>
      <w:r w:rsidRPr="008343BF">
        <w:rPr>
          <w:rFonts w:ascii="Simplified Arabic" w:eastAsia="Times New Roman" w:hAnsi="Simplified Arabic" w:cs="Simplified Arabic"/>
          <w:color w:val="000000" w:themeColor="text1"/>
          <w:kern w:val="0"/>
          <w:sz w:val="28"/>
          <w:szCs w:val="28"/>
          <w14:ligatures w14:val="none"/>
        </w:rPr>
        <w:t xml:space="preserve"> (Cronbach's Alpha): </w:t>
      </w:r>
      <w:r w:rsidRPr="008343BF">
        <w:rPr>
          <w:rFonts w:ascii="Simplified Arabic" w:eastAsia="Times New Roman" w:hAnsi="Simplified Arabic" w:cs="Simplified Arabic"/>
          <w:color w:val="000000" w:themeColor="text1"/>
          <w:kern w:val="0"/>
          <w:sz w:val="28"/>
          <w:szCs w:val="28"/>
          <w:rtl/>
          <w14:ligatures w14:val="none"/>
        </w:rPr>
        <w:t>للتحقق من ثبات أداة الدراسة وموثوقيتها الداخلية</w:t>
      </w:r>
      <w:r w:rsidRPr="008343BF">
        <w:rPr>
          <w:rFonts w:ascii="Simplified Arabic" w:eastAsia="Times New Roman" w:hAnsi="Simplified Arabic" w:cs="Simplified Arabic"/>
          <w:color w:val="000000" w:themeColor="text1"/>
          <w:kern w:val="0"/>
          <w:sz w:val="28"/>
          <w:szCs w:val="28"/>
          <w14:ligatures w14:val="none"/>
        </w:rPr>
        <w:t>.</w:t>
      </w:r>
    </w:p>
    <w:p w14:paraId="19A95D47" w14:textId="77777777" w:rsidR="00861D72" w:rsidRPr="008343BF" w:rsidRDefault="00861D72" w:rsidP="0062381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التحليل العاملي التوكيدي</w:t>
      </w:r>
      <w:r w:rsidRPr="008343BF">
        <w:rPr>
          <w:rFonts w:ascii="Simplified Arabic" w:eastAsia="Times New Roman" w:hAnsi="Simplified Arabic" w:cs="Simplified Arabic"/>
          <w:color w:val="000000" w:themeColor="text1"/>
          <w:kern w:val="0"/>
          <w:sz w:val="28"/>
          <w:szCs w:val="28"/>
          <w14:ligatures w14:val="none"/>
        </w:rPr>
        <w:t xml:space="preserve"> (CFA): </w:t>
      </w:r>
      <w:r w:rsidRPr="008343BF">
        <w:rPr>
          <w:rFonts w:ascii="Simplified Arabic" w:eastAsia="Times New Roman" w:hAnsi="Simplified Arabic" w:cs="Simplified Arabic"/>
          <w:color w:val="000000" w:themeColor="text1"/>
          <w:kern w:val="0"/>
          <w:sz w:val="28"/>
          <w:szCs w:val="28"/>
          <w:rtl/>
          <w14:ligatures w14:val="none"/>
        </w:rPr>
        <w:t>للتحقق من صدق البناء الداخلي لأبعاد الاستبانة ومطابقة النموذج للبيانات</w:t>
      </w:r>
      <w:r w:rsidRPr="008343BF">
        <w:rPr>
          <w:rFonts w:ascii="Simplified Arabic" w:eastAsia="Times New Roman" w:hAnsi="Simplified Arabic" w:cs="Simplified Arabic"/>
          <w:color w:val="000000" w:themeColor="text1"/>
          <w:kern w:val="0"/>
          <w:sz w:val="28"/>
          <w:szCs w:val="28"/>
          <w14:ligatures w14:val="none"/>
        </w:rPr>
        <w:t>.</w:t>
      </w:r>
    </w:p>
    <w:p w14:paraId="116C2538" w14:textId="77777777" w:rsidR="00861D72" w:rsidRPr="008343BF" w:rsidRDefault="00861D72" w:rsidP="0062381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الإحصاءات الوصفية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والأوزان النسبية لوصف مستوى استجابات أفراد العينة على كل بُعد ومحور</w:t>
      </w:r>
      <w:r w:rsidRPr="008343BF">
        <w:rPr>
          <w:rFonts w:ascii="Simplified Arabic" w:eastAsia="Times New Roman" w:hAnsi="Simplified Arabic" w:cs="Simplified Arabic"/>
          <w:color w:val="000000" w:themeColor="text1"/>
          <w:kern w:val="0"/>
          <w:sz w:val="28"/>
          <w:szCs w:val="28"/>
          <w14:ligatures w14:val="none"/>
        </w:rPr>
        <w:t>.</w:t>
      </w:r>
    </w:p>
    <w:p w14:paraId="7CDC8033" w14:textId="77777777" w:rsidR="00861D72" w:rsidRPr="008343BF" w:rsidRDefault="00861D72" w:rsidP="0062381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معامل ارتباط بيرسون</w:t>
      </w:r>
      <w:r w:rsidRPr="008343BF">
        <w:rPr>
          <w:rFonts w:ascii="Simplified Arabic" w:eastAsia="Times New Roman" w:hAnsi="Simplified Arabic" w:cs="Simplified Arabic"/>
          <w:color w:val="000000" w:themeColor="text1"/>
          <w:kern w:val="0"/>
          <w:sz w:val="28"/>
          <w:szCs w:val="28"/>
          <w14:ligatures w14:val="none"/>
        </w:rPr>
        <w:t xml:space="preserve"> (Pearson Correlation): </w:t>
      </w:r>
      <w:r w:rsidRPr="008343BF">
        <w:rPr>
          <w:rFonts w:ascii="Simplified Arabic" w:eastAsia="Times New Roman" w:hAnsi="Simplified Arabic" w:cs="Simplified Arabic"/>
          <w:color w:val="000000" w:themeColor="text1"/>
          <w:kern w:val="0"/>
          <w:sz w:val="28"/>
          <w:szCs w:val="28"/>
          <w:rtl/>
          <w14:ligatures w14:val="none"/>
        </w:rPr>
        <w:t>لقياس قوة واتجاه العلاقة بين المتغير المستقل بأبعاده والمتغير التابع</w:t>
      </w:r>
      <w:r w:rsidRPr="008343BF">
        <w:rPr>
          <w:rFonts w:ascii="Simplified Arabic" w:eastAsia="Times New Roman" w:hAnsi="Simplified Arabic" w:cs="Simplified Arabic"/>
          <w:color w:val="000000" w:themeColor="text1"/>
          <w:kern w:val="0"/>
          <w:sz w:val="28"/>
          <w:szCs w:val="28"/>
          <w14:ligatures w14:val="none"/>
        </w:rPr>
        <w:t>.</w:t>
      </w:r>
    </w:p>
    <w:p w14:paraId="322F20D6" w14:textId="77777777" w:rsidR="00861D72" w:rsidRPr="008343BF" w:rsidRDefault="00861D72" w:rsidP="0062381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تحليل الانحدار المتعدد</w:t>
      </w:r>
      <w:r w:rsidRPr="008343BF">
        <w:rPr>
          <w:rFonts w:ascii="Simplified Arabic" w:eastAsia="Times New Roman" w:hAnsi="Simplified Arabic" w:cs="Simplified Arabic"/>
          <w:color w:val="000000" w:themeColor="text1"/>
          <w:kern w:val="0"/>
          <w:sz w:val="28"/>
          <w:szCs w:val="28"/>
          <w14:ligatures w14:val="none"/>
        </w:rPr>
        <w:t xml:space="preserve"> (Multiple Regression Analysis): </w:t>
      </w:r>
      <w:r w:rsidRPr="008343BF">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على المتغير التابع وتحديد القدرة التنبؤية لكل بُعد</w:t>
      </w:r>
      <w:r w:rsidRPr="008343BF">
        <w:rPr>
          <w:rFonts w:ascii="Simplified Arabic" w:eastAsia="Times New Roman" w:hAnsi="Simplified Arabic" w:cs="Simplified Arabic"/>
          <w:color w:val="000000" w:themeColor="text1"/>
          <w:kern w:val="0"/>
          <w:sz w:val="28"/>
          <w:szCs w:val="28"/>
          <w14:ligatures w14:val="none"/>
        </w:rPr>
        <w:t>.</w:t>
      </w:r>
    </w:p>
    <w:p w14:paraId="550B7268" w14:textId="77777777" w:rsidR="00861D72" w:rsidRPr="008343BF" w:rsidRDefault="00861D72" w:rsidP="0062381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تحليل الانحدار البسيط</w:t>
      </w:r>
      <w:r w:rsidRPr="008343BF">
        <w:rPr>
          <w:rFonts w:ascii="Simplified Arabic" w:eastAsia="Times New Roman" w:hAnsi="Simplified Arabic" w:cs="Simplified Arabic"/>
          <w:color w:val="000000" w:themeColor="text1"/>
          <w:kern w:val="0"/>
          <w:sz w:val="28"/>
          <w:szCs w:val="28"/>
          <w14:ligatures w14:val="none"/>
        </w:rPr>
        <w:t xml:space="preserve"> (Simple Regression Analysis): </w:t>
      </w:r>
      <w:r w:rsidRPr="008343BF">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منفرد</w:t>
      </w:r>
      <w:r w:rsidRPr="008343BF">
        <w:rPr>
          <w:rFonts w:ascii="Simplified Arabic" w:eastAsia="Times New Roman" w:hAnsi="Simplified Arabic" w:cs="Simplified Arabic"/>
          <w:color w:val="000000" w:themeColor="text1"/>
          <w:kern w:val="0"/>
          <w:sz w:val="28"/>
          <w:szCs w:val="28"/>
          <w14:ligatures w14:val="none"/>
        </w:rPr>
        <w:t>.</w:t>
      </w:r>
    </w:p>
    <w:p w14:paraId="35EF8A5C" w14:textId="105E2143" w:rsidR="00861D72" w:rsidRPr="008343BF" w:rsidRDefault="00623818" w:rsidP="006238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8" w:name="_Toc223214140"/>
      <w:bookmarkStart w:id="39" w:name="_Toc233042134"/>
      <w:r w:rsidRPr="008343BF">
        <w:rPr>
          <w:rFonts w:ascii="Simplified Arabic" w:eastAsia="Times New Roman" w:hAnsi="Simplified Arabic" w:cs="Simplified Arabic" w:hint="cs"/>
          <w:b/>
          <w:bCs/>
          <w:color w:val="000000" w:themeColor="text1"/>
          <w:kern w:val="36"/>
          <w:sz w:val="36"/>
          <w:szCs w:val="36"/>
          <w:rtl/>
          <w14:ligatures w14:val="none"/>
        </w:rPr>
        <w:t xml:space="preserve">15.1 </w:t>
      </w:r>
      <w:r w:rsidR="00861D72" w:rsidRPr="008343BF">
        <w:rPr>
          <w:rFonts w:ascii="Simplified Arabic" w:eastAsia="Times New Roman" w:hAnsi="Simplified Arabic" w:cs="Simplified Arabic"/>
          <w:b/>
          <w:bCs/>
          <w:color w:val="000000" w:themeColor="text1"/>
          <w:kern w:val="36"/>
          <w:sz w:val="36"/>
          <w:szCs w:val="36"/>
          <w:rtl/>
          <w14:ligatures w14:val="none"/>
        </w:rPr>
        <w:t>حدود الدراسة</w:t>
      </w:r>
      <w:bookmarkEnd w:id="38"/>
      <w:bookmarkEnd w:id="39"/>
    </w:p>
    <w:p w14:paraId="419BC962" w14:textId="77777777" w:rsidR="00861D72" w:rsidRPr="008343BF" w:rsidRDefault="00861D72" w:rsidP="0062381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الحدود الموضوعية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ستقتصر الدراسة على دراسة أثر دقة التنبؤ بالطلب بأبعاده الأربعة (دقة النماذج الكمية للتنبؤ، دقة نماذج التعلم الآلي في التنبؤ، دقة تحليل السلاسل الزمنية، دقة النماذج الهجينة للتنبؤ) على تخفيض المخزون الراكد وتكاليف التخزين</w:t>
      </w:r>
      <w:r w:rsidRPr="008343BF">
        <w:rPr>
          <w:rFonts w:ascii="Simplified Arabic" w:eastAsia="Times New Roman" w:hAnsi="Simplified Arabic" w:cs="Simplified Arabic"/>
          <w:color w:val="000000" w:themeColor="text1"/>
          <w:kern w:val="0"/>
          <w:sz w:val="28"/>
          <w:szCs w:val="28"/>
          <w14:ligatures w14:val="none"/>
        </w:rPr>
        <w:t>.</w:t>
      </w:r>
    </w:p>
    <w:p w14:paraId="108985E7" w14:textId="643739BB" w:rsidR="00861D72" w:rsidRPr="008343BF" w:rsidRDefault="00861D72" w:rsidP="0062381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lastRenderedPageBreak/>
        <w:t>الحدود المكانية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 xml:space="preserve">ستُطبّق الدراسة على المؤسسات الصناعية والتجارية العاملة في </w:t>
      </w:r>
      <w:r w:rsidR="009F01B4" w:rsidRPr="008343BF">
        <w:rPr>
          <w:rFonts w:ascii="Simplified Arabic" w:eastAsia="Times New Roman" w:hAnsi="Simplified Arabic" w:cs="Simplified Arabic"/>
          <w:color w:val="000000" w:themeColor="text1"/>
          <w:kern w:val="0"/>
          <w:sz w:val="28"/>
          <w:szCs w:val="28"/>
          <w:rtl/>
          <w14:ligatures w14:val="none"/>
        </w:rPr>
        <w:t xml:space="preserve">المملكة العربية السعودية </w:t>
      </w:r>
      <w:r w:rsidRPr="008343BF">
        <w:rPr>
          <w:rFonts w:ascii="Simplified Arabic" w:eastAsia="Times New Roman" w:hAnsi="Simplified Arabic" w:cs="Simplified Arabic"/>
          <w:color w:val="000000" w:themeColor="text1"/>
          <w:kern w:val="0"/>
          <w:sz w:val="28"/>
          <w:szCs w:val="28"/>
          <w14:ligatures w14:val="none"/>
        </w:rPr>
        <w:t>.</w:t>
      </w:r>
    </w:p>
    <w:p w14:paraId="06E2A578" w14:textId="77777777" w:rsidR="00861D72" w:rsidRPr="008343BF" w:rsidRDefault="00861D72" w:rsidP="0062381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الحدود الزمنية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سيتم جمع البيانات الميدانية وتوزيع الاستبانات خلال الفترة من مارس 2026 إلى يونيو 2026</w:t>
      </w:r>
      <w:r w:rsidRPr="008343BF">
        <w:rPr>
          <w:rFonts w:ascii="Simplified Arabic" w:eastAsia="Times New Roman" w:hAnsi="Simplified Arabic" w:cs="Simplified Arabic"/>
          <w:color w:val="000000" w:themeColor="text1"/>
          <w:kern w:val="0"/>
          <w:sz w:val="28"/>
          <w:szCs w:val="28"/>
          <w14:ligatures w14:val="none"/>
        </w:rPr>
        <w:t>.</w:t>
      </w:r>
    </w:p>
    <w:p w14:paraId="3FF2A910" w14:textId="77777777" w:rsidR="00861D72" w:rsidRPr="008343BF" w:rsidRDefault="00861D72" w:rsidP="0062381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الحدود البشرية</w:t>
      </w:r>
      <w:r w:rsidRPr="008343BF">
        <w:rPr>
          <w:rFonts w:ascii="Simplified Arabic" w:eastAsia="Times New Roman" w:hAnsi="Simplified Arabic" w:cs="Simplified Arabic"/>
          <w:color w:val="000000" w:themeColor="text1"/>
          <w:kern w:val="0"/>
          <w:sz w:val="28"/>
          <w:szCs w:val="28"/>
          <w14:ligatures w14:val="none"/>
        </w:rPr>
        <w:t xml:space="preserve">: </w:t>
      </w:r>
      <w:r w:rsidRPr="008343BF">
        <w:rPr>
          <w:rFonts w:ascii="Simplified Arabic" w:eastAsia="Times New Roman" w:hAnsi="Simplified Arabic" w:cs="Simplified Arabic"/>
          <w:color w:val="000000" w:themeColor="text1"/>
          <w:kern w:val="0"/>
          <w:sz w:val="28"/>
          <w:szCs w:val="28"/>
          <w:rtl/>
          <w14:ligatures w14:val="none"/>
        </w:rPr>
        <w:t>ستقتصر الدراسة على المديرين ورؤساء الأقسام والمشرفين والموظفين التنفيذيين العاملين في إدارات المخزون والتوريد والتخطيط والإنتاج في المؤسسات محل الدراسة</w:t>
      </w:r>
      <w:r w:rsidRPr="008343BF">
        <w:rPr>
          <w:rFonts w:ascii="Simplified Arabic" w:eastAsia="Times New Roman" w:hAnsi="Simplified Arabic" w:cs="Simplified Arabic"/>
          <w:color w:val="000000" w:themeColor="text1"/>
          <w:kern w:val="0"/>
          <w:sz w:val="28"/>
          <w:szCs w:val="28"/>
          <w14:ligatures w14:val="none"/>
        </w:rPr>
        <w:t>.</w:t>
      </w:r>
    </w:p>
    <w:p w14:paraId="6A19FB44" w14:textId="3208C1FF" w:rsidR="00A42832" w:rsidRPr="008343BF" w:rsidRDefault="00623818" w:rsidP="00623818">
      <w:pPr>
        <w:jc w:val="center"/>
        <w:outlineLvl w:val="0"/>
        <w:rPr>
          <w:rFonts w:ascii="Simplified Arabic" w:eastAsia="Times New Roman" w:hAnsi="Simplified Arabic" w:cs="Simplified Arabic"/>
          <w:b/>
          <w:bCs/>
          <w:color w:val="000000" w:themeColor="text1"/>
          <w:kern w:val="0"/>
          <w:sz w:val="40"/>
          <w:szCs w:val="40"/>
          <w14:ligatures w14:val="none"/>
        </w:rPr>
      </w:pPr>
      <w:r w:rsidRPr="008343BF">
        <w:rPr>
          <w:rFonts w:ascii="Simplified Arabic" w:eastAsia="Times New Roman" w:hAnsi="Simplified Arabic" w:cs="Simplified Arabic"/>
          <w:b/>
          <w:bCs/>
          <w:color w:val="000000" w:themeColor="text1"/>
          <w:kern w:val="0"/>
          <w:sz w:val="40"/>
          <w:szCs w:val="40"/>
          <w:rtl/>
          <w14:ligatures w14:val="none"/>
        </w:rPr>
        <w:br w:type="page"/>
      </w:r>
      <w:bookmarkStart w:id="40" w:name="_Toc233042135"/>
      <w:r w:rsidRPr="008343BF">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A42832" w:rsidRPr="008343BF">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0"/>
    </w:p>
    <w:p w14:paraId="01C93F04" w14:textId="7DC63667" w:rsidR="00A42832" w:rsidRPr="008343BF" w:rsidRDefault="00A42832" w:rsidP="00623818">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1" w:name="_Toc233042136"/>
      <w:r w:rsidRPr="008343BF">
        <w:rPr>
          <w:rFonts w:ascii="Simplified Arabic" w:eastAsia="Times New Roman" w:hAnsi="Simplified Arabic" w:cs="Simplified Arabic"/>
          <w:b/>
          <w:bCs/>
          <w:color w:val="000000" w:themeColor="text1"/>
          <w:kern w:val="0"/>
          <w:sz w:val="36"/>
          <w:szCs w:val="36"/>
          <w:rtl/>
          <w14:ligatures w14:val="none"/>
        </w:rPr>
        <w:t>المبحث الأول: دقة التنبؤ بالطلب</w:t>
      </w:r>
      <w:bookmarkEnd w:id="41"/>
    </w:p>
    <w:p w14:paraId="208331BB" w14:textId="09BA6679"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042137"/>
      <w:r w:rsidRPr="008343BF">
        <w:rPr>
          <w:rFonts w:ascii="Simplified Arabic" w:eastAsia="Times New Roman" w:hAnsi="Simplified Arabic" w:cs="Simplified Arabic" w:hint="cs"/>
          <w:b/>
          <w:bCs/>
          <w:color w:val="000000" w:themeColor="text1"/>
          <w:kern w:val="0"/>
          <w:sz w:val="32"/>
          <w:szCs w:val="32"/>
          <w:rtl/>
          <w14:ligatures w14:val="none"/>
        </w:rPr>
        <w:t xml:space="preserve">1.1.2 </w:t>
      </w:r>
      <w:r w:rsidR="00A42832" w:rsidRPr="008343BF">
        <w:rPr>
          <w:rFonts w:ascii="Simplified Arabic" w:eastAsia="Times New Roman" w:hAnsi="Simplified Arabic" w:cs="Simplified Arabic"/>
          <w:b/>
          <w:bCs/>
          <w:color w:val="000000" w:themeColor="text1"/>
          <w:kern w:val="0"/>
          <w:sz w:val="32"/>
          <w:szCs w:val="32"/>
          <w:rtl/>
          <w14:ligatures w14:val="none"/>
        </w:rPr>
        <w:t>تمهيد</w:t>
      </w:r>
      <w:bookmarkEnd w:id="42"/>
    </w:p>
    <w:p w14:paraId="64178C0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يُشكِّل التنبؤ بالطلب أحد الركائز الجوهرية التي تقوم عليها منظومة اتخاذ القرار في المؤسسات الصناعية والتجارية المعاصرة، إذ يمثِّل نقطة الانطلاق التي تُبنى عليها سائر القرارات التشغيلية والتكتيكية المرتبطة بالإنتاج والشراء والتخزين والتوزيع. ومع تنامي حدة المنافسة في الأسواق العالمية، وتزايد تذبذب سلوك المستهلكين، وتعقُّد سلاسل التوريد بفعل العولمة والاضطرابات الاقتصادية المتلاحقة، باتت دقة التنبؤ بالطلب تحتل مكانة استراتيجية متقدمة في الفكر الإداري الحديث، بوصفها أداةً تُمكِّن المؤسسات من قراءة المستقبل قراءةً علمية مبنية على البيانات لا على الحدس والتخمين</w:t>
      </w:r>
      <w:r w:rsidRPr="008343BF">
        <w:rPr>
          <w:rFonts w:ascii="Simplified Arabic" w:eastAsia="Times New Roman" w:hAnsi="Simplified Arabic" w:cs="Simplified Arabic"/>
          <w:color w:val="000000" w:themeColor="text1"/>
          <w:kern w:val="0"/>
          <w:sz w:val="28"/>
          <w:szCs w:val="28"/>
          <w14:ligatures w14:val="none"/>
        </w:rPr>
        <w:t>.</w:t>
      </w:r>
    </w:p>
    <w:p w14:paraId="7663E91E"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ولم يَعُد التنبؤ بالطلب نشاطًا هامشيًا يقتصر على تقدير الكميات المتوقع تصريفها خلال فترة زمنية لاحقة، بل تحوَّل إلى منظومة معرفية متكاملة تتقاطع فيها أساليب الإحصاء التطبيقي مع تقنيات الذكاء الاصطناعي وتعلُّم الآلة، وتتداخل فيها مدخلات البيانات الداخلية للمؤسسة مع المتغيرات البيئية الخارجية. وقد أسهم هذا التحوُّل في إعادة صياغة العلاقة بين التنبؤ وإدارة المخزون وسلاسل التوريد، بحيث أصبحت دقة التقديرات هي المعيار الحاكم الذي يُحدِّد قدرة المؤسسة على تحقيق التوازن بين تفادي العجز في تلبية الطلب من جهة، وتجنُّب تراكم المخزون الراكد وما يستتبعه من تكاليف خزن مرتفعة من جهة أخرى</w:t>
      </w:r>
      <w:r w:rsidRPr="008343BF">
        <w:rPr>
          <w:rFonts w:ascii="Simplified Arabic" w:eastAsia="Times New Roman" w:hAnsi="Simplified Arabic" w:cs="Simplified Arabic"/>
          <w:color w:val="000000" w:themeColor="text1"/>
          <w:kern w:val="0"/>
          <w:sz w:val="28"/>
          <w:szCs w:val="28"/>
          <w14:ligatures w14:val="none"/>
        </w:rPr>
        <w:t xml:space="preserve"> (Theodorou et al., 2025).</w:t>
      </w:r>
    </w:p>
    <w:p w14:paraId="71F31869"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ويكتسب الحديث عن دقة التنبؤ – لا التنبؤ ذاته – أهميةً مضاعفة في السياق الراهن؛ ذلك أن وجود نموذج تنبؤي لا يعني بالضرورة الوصول إلى تقديرات موثوقة، فالفجوة بين القيم المتنبَّأ بها والقيم الفعلية قد تتسع لتُفرز قرارات تشغيلية مكلفة، وقد تضيق لتُتيح للمؤسسة هامشًا واسعًا من المرونة في إدارة مواردها. ومن هنا، يتناول هذا المبحث المتغير المستقل من خلال استعراض مفهومه وأهميته وأهدافه وأبعاده والمداخل النظرية الحاكمة له، بما يُؤسِّس لفهم عميق لطبيعته قبل الخوض في علاقته بالمتغير التابع</w:t>
      </w:r>
      <w:r w:rsidRPr="008343BF">
        <w:rPr>
          <w:rFonts w:ascii="Simplified Arabic" w:eastAsia="Times New Roman" w:hAnsi="Simplified Arabic" w:cs="Simplified Arabic"/>
          <w:color w:val="000000" w:themeColor="text1"/>
          <w:kern w:val="0"/>
          <w:sz w:val="28"/>
          <w:szCs w:val="28"/>
          <w14:ligatures w14:val="none"/>
        </w:rPr>
        <w:t>.</w:t>
      </w:r>
    </w:p>
    <w:p w14:paraId="15FC5F5F" w14:textId="192873D4"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042138"/>
      <w:r w:rsidRPr="008343BF">
        <w:rPr>
          <w:rFonts w:ascii="Simplified Arabic" w:eastAsia="Times New Roman" w:hAnsi="Simplified Arabic" w:cs="Simplified Arabic" w:hint="cs"/>
          <w:b/>
          <w:bCs/>
          <w:color w:val="000000" w:themeColor="text1"/>
          <w:kern w:val="0"/>
          <w:sz w:val="32"/>
          <w:szCs w:val="32"/>
          <w:rtl/>
          <w14:ligatures w14:val="none"/>
        </w:rPr>
        <w:t>2.1.2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مفهوم دقة التنبؤ بالطلب</w:t>
      </w:r>
      <w:bookmarkEnd w:id="43"/>
    </w:p>
    <w:p w14:paraId="0DE3704B"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تتعدد التعريفات التي قدَّمها الباحثون لمفهوم دقة التنبؤ بالطلب، وتتباين زواياها بحسب الإطار النظري والمنهجي الذي ينطلق منه كل باحث، غير أنها تتقاطع في الإقرار بأن الدقة تمثل المعيار المركزي الذي يُقاس به نجاح أي نموذج تنبؤي. ويذهب فيزآبادي</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إلى أن دقة التنبؤ بالطلب تُعبِّر عن مدى اقتراب القيم المُقدَّرة من القيم الفعلية المتحققة في السوق، وهو يضعها في صلب منظومة سلسلة التوريد بوصفها العامل الذي يُحدِّد جودة القرارات اللاحقة المتعلقة بالإنتاج والتوريد والتوزيع، مؤكدًا أن النموذج التنبؤي مهما بلغت درجة تعقيده يظل عاجزًا عن إضافة قيمة حقيقية ما لم يُحقِّق مستوى دقةٍ يُمكِّن متخذ القرار من الاعتماد عليه في الواقع التطبيقي</w:t>
      </w:r>
      <w:r w:rsidRPr="008343BF">
        <w:rPr>
          <w:rFonts w:ascii="Simplified Arabic" w:eastAsia="Times New Roman" w:hAnsi="Simplified Arabic" w:cs="Simplified Arabic"/>
          <w:color w:val="000000" w:themeColor="text1"/>
          <w:kern w:val="0"/>
          <w:sz w:val="28"/>
          <w:szCs w:val="28"/>
          <w14:ligatures w14:val="none"/>
        </w:rPr>
        <w:t>.</w:t>
      </w:r>
    </w:p>
    <w:p w14:paraId="6957AA3C"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وفي امتداد لهذه الزاوية، يرى ياني وعامر</w:t>
      </w:r>
      <w:r w:rsidRPr="008343BF">
        <w:rPr>
          <w:rFonts w:ascii="Simplified Arabic" w:eastAsia="Times New Roman" w:hAnsi="Simplified Arabic" w:cs="Simplified Arabic"/>
          <w:color w:val="000000" w:themeColor="text1"/>
          <w:kern w:val="0"/>
          <w:sz w:val="28"/>
          <w:szCs w:val="28"/>
          <w14:ligatures w14:val="none"/>
        </w:rPr>
        <w:t xml:space="preserve"> (Yani &amp; Aamer, 2023) </w:t>
      </w:r>
      <w:r w:rsidRPr="008343BF">
        <w:rPr>
          <w:rFonts w:ascii="Simplified Arabic" w:eastAsia="Times New Roman" w:hAnsi="Simplified Arabic" w:cs="Simplified Arabic"/>
          <w:color w:val="000000" w:themeColor="text1"/>
          <w:kern w:val="0"/>
          <w:sz w:val="28"/>
          <w:szCs w:val="28"/>
          <w:rtl/>
          <w14:ligatures w14:val="none"/>
        </w:rPr>
        <w:t>أن دقة التنبؤ بالطلب تتجاوز كونها مقياسًا حسابيًا للانحراف بين المتوقَّع والفعلي، لتشمل قدرة النموذج على التقاط الأنماط الكامنة في البيانات والتمييز بين التذبذبات العشوائية والاتجاهات الفعلية للطلب، وهو ما يجعلها انعكاسًا لمدى ملاءمة الأسلوب المختار لطبيعة البيئة التي يعمل فيها، خاصةً في القطاعات التي تتسم بتعقُّد سلاسل التوريد كقطاع الصناعات الدوائية. ومن هذا المنطلق، فإن الدقة لا تُقاس بمعزل عن السياق الذي يجري فيه التنبؤ، وإنما تُقَيَّم بالنظر إلى قدرتها على دعم القرار في بيئة بعينها</w:t>
      </w:r>
      <w:r w:rsidRPr="008343BF">
        <w:rPr>
          <w:rFonts w:ascii="Simplified Arabic" w:eastAsia="Times New Roman" w:hAnsi="Simplified Arabic" w:cs="Simplified Arabic"/>
          <w:color w:val="000000" w:themeColor="text1"/>
          <w:kern w:val="0"/>
          <w:sz w:val="28"/>
          <w:szCs w:val="28"/>
          <w14:ligatures w14:val="none"/>
        </w:rPr>
        <w:t>.</w:t>
      </w:r>
    </w:p>
    <w:p w14:paraId="632ABA74"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ويُقدِّم تاداينراد ونديايي</w:t>
      </w:r>
      <w:r w:rsidRPr="008343BF">
        <w:rPr>
          <w:rFonts w:ascii="Simplified Arabic" w:eastAsia="Times New Roman" w:hAnsi="Simplified Arabic" w:cs="Simplified Arabic"/>
          <w:color w:val="000000" w:themeColor="text1"/>
          <w:kern w:val="0"/>
          <w:sz w:val="28"/>
          <w:szCs w:val="28"/>
          <w14:ligatures w14:val="none"/>
        </w:rPr>
        <w:t xml:space="preserve"> (Tadayonrad &amp; Ndiaye, 2023) </w:t>
      </w:r>
      <w:r w:rsidRPr="008343BF">
        <w:rPr>
          <w:rFonts w:ascii="Simplified Arabic" w:eastAsia="Times New Roman" w:hAnsi="Simplified Arabic" w:cs="Simplified Arabic"/>
          <w:color w:val="000000" w:themeColor="text1"/>
          <w:kern w:val="0"/>
          <w:sz w:val="28"/>
          <w:szCs w:val="28"/>
          <w:rtl/>
          <w14:ligatures w14:val="none"/>
        </w:rPr>
        <w:t>تعريفًا أكثر اتساعًا، إذ ينظران إلى دقة التنبؤ بوصفها مؤشر أداء رئيسيًا متعدد الأبعاد لا يكتفي بقياس الانحراف الكمي، بل يستوعب اعتبارات موثوقية سلسلة التوريد والموسمية وتذبذب الطلب، باعتبار أن جودة التنبؤ لا تتحقق إلا حين يتمكن النموذج من التعامل مع هذه الأبعاد مجتمعةً، ومن ثَمَّ يصبح من الممكن توظيف مخرجاته في ترشيد قرارات إدارة المخزون. أما هاراهاب وآخرون</w:t>
      </w:r>
      <w:r w:rsidRPr="008343BF">
        <w:rPr>
          <w:rFonts w:ascii="Simplified Arabic" w:eastAsia="Times New Roman" w:hAnsi="Simplified Arabic" w:cs="Simplified Arabic"/>
          <w:color w:val="000000" w:themeColor="text1"/>
          <w:kern w:val="0"/>
          <w:sz w:val="28"/>
          <w:szCs w:val="28"/>
          <w14:ligatures w14:val="none"/>
        </w:rPr>
        <w:t xml:space="preserve"> (Harahap et al., 2025) </w:t>
      </w:r>
      <w:r w:rsidRPr="008343BF">
        <w:rPr>
          <w:rFonts w:ascii="Simplified Arabic" w:eastAsia="Times New Roman" w:hAnsi="Simplified Arabic" w:cs="Simplified Arabic"/>
          <w:color w:val="000000" w:themeColor="text1"/>
          <w:kern w:val="0"/>
          <w:sz w:val="28"/>
          <w:szCs w:val="28"/>
          <w:rtl/>
          <w14:ligatures w14:val="none"/>
        </w:rPr>
        <w:t>فيُقاربون المفهوم من زاوية تكاملية، حيث يُعرِّفون دقة التنبؤ بأنها قدرة المؤسسة على إنتاج تقديرات للطلب المستقبلي تتسم بدرجة عالية من الموثوقية، بما يُمكِّنها من تحسين منظومة إدارة المخزون وضبط مستويات التوريد بصورة تتناسب مع الاحتياجات الفعلية للسوق</w:t>
      </w:r>
      <w:r w:rsidRPr="008343BF">
        <w:rPr>
          <w:rFonts w:ascii="Simplified Arabic" w:eastAsia="Times New Roman" w:hAnsi="Simplified Arabic" w:cs="Simplified Arabic"/>
          <w:color w:val="000000" w:themeColor="text1"/>
          <w:kern w:val="0"/>
          <w:sz w:val="28"/>
          <w:szCs w:val="28"/>
          <w14:ligatures w14:val="none"/>
        </w:rPr>
        <w:t>.</w:t>
      </w:r>
    </w:p>
    <w:p w14:paraId="793FDB3D"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ومن منظور قياسي، يطرح ثيودورو وآخرون</w:t>
      </w:r>
      <w:r w:rsidRPr="008343BF">
        <w:rPr>
          <w:rFonts w:ascii="Simplified Arabic" w:eastAsia="Times New Roman" w:hAnsi="Simplified Arabic" w:cs="Simplified Arabic"/>
          <w:color w:val="000000" w:themeColor="text1"/>
          <w:kern w:val="0"/>
          <w:sz w:val="28"/>
          <w:szCs w:val="28"/>
          <w14:ligatures w14:val="none"/>
        </w:rPr>
        <w:t xml:space="preserve"> (Theodorou et al., 2025) </w:t>
      </w:r>
      <w:r w:rsidRPr="008343BF">
        <w:rPr>
          <w:rFonts w:ascii="Simplified Arabic" w:eastAsia="Times New Roman" w:hAnsi="Simplified Arabic" w:cs="Simplified Arabic"/>
          <w:color w:val="000000" w:themeColor="text1"/>
          <w:kern w:val="0"/>
          <w:sz w:val="28"/>
          <w:szCs w:val="28"/>
          <w:rtl/>
          <w14:ligatures w14:val="none"/>
        </w:rPr>
        <w:t>مفهوم الدقة بوصفها العلاقة الكمية بين القيم المتنبَّأ بها والقيم الفعلية، ويُؤكِّدون أنها تُمثِّل حلقة الوصل بين جودة النموذج وأداء المخزون، بحيث لا يمكن الحديث عن تحسين أداء المخزون دون إحراز تقدُّم ملموس في دقة التنبؤات التي تُغذِّي قرارات الشراء والتخزين. ويُضيف بال</w:t>
      </w:r>
      <w:r w:rsidRPr="008343BF">
        <w:rPr>
          <w:rFonts w:ascii="Simplified Arabic" w:eastAsia="Times New Roman" w:hAnsi="Simplified Arabic" w:cs="Simplified Arabic"/>
          <w:color w:val="000000" w:themeColor="text1"/>
          <w:kern w:val="0"/>
          <w:sz w:val="28"/>
          <w:szCs w:val="28"/>
          <w14:ligatures w14:val="none"/>
        </w:rPr>
        <w:t xml:space="preserve"> (Pal, 2023) </w:t>
      </w:r>
      <w:r w:rsidRPr="008343BF">
        <w:rPr>
          <w:rFonts w:ascii="Simplified Arabic" w:eastAsia="Times New Roman" w:hAnsi="Simplified Arabic" w:cs="Simplified Arabic"/>
          <w:color w:val="000000" w:themeColor="text1"/>
          <w:kern w:val="0"/>
          <w:sz w:val="28"/>
          <w:szCs w:val="28"/>
          <w:rtl/>
          <w14:ligatures w14:val="none"/>
        </w:rPr>
        <w:t xml:space="preserve">بُعدًا تقنيًا للمفهوم، حيث </w:t>
      </w:r>
      <w:r w:rsidRPr="008343BF">
        <w:rPr>
          <w:rFonts w:ascii="Simplified Arabic" w:eastAsia="Times New Roman" w:hAnsi="Simplified Arabic" w:cs="Simplified Arabic"/>
          <w:color w:val="000000" w:themeColor="text1"/>
          <w:kern w:val="0"/>
          <w:sz w:val="28"/>
          <w:szCs w:val="28"/>
          <w:rtl/>
          <w14:ligatures w14:val="none"/>
        </w:rPr>
        <w:lastRenderedPageBreak/>
        <w:t>يُعرِّف دقة التنبؤ بأنها المحصلة النهائية لقدرة الخوارزميات الحديثة على معالجة البيانات الضخمة متعددة المنتجات، واستخلاص علاقات غير خطية يصعب رصدها بالأساليب التقليدية، بما يجعل الدقة دالةً في طبيعة الأداة المستخدمة وحجم البيانات المتاحة وجودتها</w:t>
      </w:r>
      <w:r w:rsidRPr="008343BF">
        <w:rPr>
          <w:rFonts w:ascii="Simplified Arabic" w:eastAsia="Times New Roman" w:hAnsi="Simplified Arabic" w:cs="Simplified Arabic"/>
          <w:color w:val="000000" w:themeColor="text1"/>
          <w:kern w:val="0"/>
          <w:sz w:val="28"/>
          <w:szCs w:val="28"/>
          <w14:ligatures w14:val="none"/>
        </w:rPr>
        <w:t>.</w:t>
      </w:r>
    </w:p>
    <w:p w14:paraId="21CAB0F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وعلى الصعيد العربي، يُشير طول وبكّار (2023) إلى أن دقة التنبؤ بالطلب تتجلى في مدى قدرة الأدوات الذكية على محاكاة سلوك الطلب الفعلي وتقديم تقديرات تتجاوز محدودية الأساليب التقليدية في التعامل مع البيانات المعقدة. ويذهب عبدالحسن وعبدالرضا (2023) إلى أن دقة التنبؤ تتحدد بالمقارنة بين أداء التقنيات الذكية والطرائق التقليدية كنماذج</w:t>
      </w:r>
      <w:r w:rsidRPr="008343BF">
        <w:rPr>
          <w:rFonts w:ascii="Simplified Arabic" w:eastAsia="Times New Roman" w:hAnsi="Simplified Arabic" w:cs="Simplified Arabic"/>
          <w:color w:val="000000" w:themeColor="text1"/>
          <w:kern w:val="0"/>
          <w:sz w:val="28"/>
          <w:szCs w:val="28"/>
          <w14:ligatures w14:val="none"/>
        </w:rPr>
        <w:t xml:space="preserve"> (ARIMA)</w:t>
      </w:r>
      <w:r w:rsidRPr="008343BF">
        <w:rPr>
          <w:rFonts w:ascii="Simplified Arabic" w:eastAsia="Times New Roman" w:hAnsi="Simplified Arabic" w:cs="Simplified Arabic"/>
          <w:color w:val="000000" w:themeColor="text1"/>
          <w:kern w:val="0"/>
          <w:sz w:val="28"/>
          <w:szCs w:val="28"/>
          <w:rtl/>
          <w14:ligatures w14:val="none"/>
        </w:rPr>
        <w:t>، حيث يُصبح المفهوم انعكاسًا للمفاضلة بين البدائل التنبؤية المتاحة بحسب طبيعة البيانات وسياق التطبيق. ويُقارب إسماعيل وحميد (2024) المفهوم من زاوية البنية الحسابية، إذ يربطان دقة التنبؤ بقدرة الشبكات العصبية الاصطناعية على التعلم من البيانات التاريخية للطلب على المخزون وإعادة إنتاج تقديرات تقترب من الواقع</w:t>
      </w:r>
      <w:r w:rsidRPr="008343BF">
        <w:rPr>
          <w:rFonts w:ascii="Simplified Arabic" w:eastAsia="Times New Roman" w:hAnsi="Simplified Arabic" w:cs="Simplified Arabic"/>
          <w:color w:val="000000" w:themeColor="text1"/>
          <w:kern w:val="0"/>
          <w:sz w:val="28"/>
          <w:szCs w:val="28"/>
          <w14:ligatures w14:val="none"/>
        </w:rPr>
        <w:t>.</w:t>
      </w:r>
    </w:p>
    <w:p w14:paraId="77F3CCAB"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ومما سبق، يتبيَّن أن التعريفات تتوزع بين ثلاث مدارس فكرية متمايزة: مدرسة تُركِّز على البُعد القياسي الرياضي للدقة بوصفها انحرافًا بين قيمتين، ومدرسة تُولي الاهتمام للبُعد السياقي الذي يربط الدقة بطبيعة البيئة التطبيقية، ومدرسة ثالثة تُقاربها من زاوية الأدوات والتقنيات المستخدمة في إنتاج التنبؤ. ويرى الباحث – استنادًا إلى ما تقدَّم – أن دقة التنبؤ بالطلب يمكن تعريفها إجرائيًا بأنها: «الدرجة التي تتمكن بها النماذج الكمية وتقنيات التعلم الآلي وأساليب تحليل السلاسل الزمنية والنماذج الهجينة من إنتاج تقديرات للطلب المستقبلي تتسم بأدنى قدر من الانحراف عن القيم الفعلية، مع قدرتها على استيعاب الأنماط الموسمية والاتجاهات والتذبذبات العشوائية في البيانات، بما يُمكِّن المؤسسات الصناعية والتجارية من اتخاذ قرارات رشيدة تُسهم في تخفيض المخزون الراكد وتقليص تكاليف التخزين». وبهذا التعريف يتكامل البُعد القياسي مع البُعد التقني والبُعد السياقي، ويتحقق الانسجام مع الإطار التحليلي للدراسة الراهنة</w:t>
      </w:r>
      <w:r w:rsidRPr="008343BF">
        <w:rPr>
          <w:rFonts w:ascii="Simplified Arabic" w:eastAsia="Times New Roman" w:hAnsi="Simplified Arabic" w:cs="Simplified Arabic"/>
          <w:color w:val="000000" w:themeColor="text1"/>
          <w:kern w:val="0"/>
          <w:sz w:val="28"/>
          <w:szCs w:val="28"/>
          <w14:ligatures w14:val="none"/>
        </w:rPr>
        <w:t>.</w:t>
      </w:r>
    </w:p>
    <w:p w14:paraId="5EFFAD43" w14:textId="44152470"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042139"/>
      <w:r w:rsidRPr="008343BF">
        <w:rPr>
          <w:rFonts w:ascii="Simplified Arabic" w:eastAsia="Times New Roman" w:hAnsi="Simplified Arabic" w:cs="Simplified Arabic" w:hint="cs"/>
          <w:b/>
          <w:bCs/>
          <w:color w:val="000000" w:themeColor="text1"/>
          <w:kern w:val="0"/>
          <w:sz w:val="32"/>
          <w:szCs w:val="32"/>
          <w:rtl/>
          <w14:ligatures w14:val="none"/>
        </w:rPr>
        <w:t>3.1.2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أهمية دقة التنبؤ بالطلب</w:t>
      </w:r>
      <w:bookmarkEnd w:id="44"/>
    </w:p>
    <w:p w14:paraId="11A6C7F9"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تستمد دقة التنبؤ بالطلب أهميتها من موقعها المحوري في منظومة اتخاذ القرار داخل المؤسسات، إذ تُمثِّل المدخل الأساسي الذي تنبني عليه قرارات التشغيل والتمويل والتسويق على حد سواء. فالمؤسسات التي تنجح في الوصول إلى تنبؤات دقيقة تكون أقدر على تحقيق التوافق بين عرضها وطلب السوق، وأكثر قدرة على توظيف مواردها توظيفًا اقتصاديًا رشيدًا، بينما تصطدم المؤسسات التي تعاني من </w:t>
      </w:r>
      <w:r w:rsidRPr="008343BF">
        <w:rPr>
          <w:rFonts w:ascii="Simplified Arabic" w:eastAsia="Times New Roman" w:hAnsi="Simplified Arabic" w:cs="Simplified Arabic"/>
          <w:color w:val="000000" w:themeColor="text1"/>
          <w:kern w:val="0"/>
          <w:sz w:val="28"/>
          <w:szCs w:val="28"/>
          <w:rtl/>
          <w14:ligatures w14:val="none"/>
        </w:rPr>
        <w:lastRenderedPageBreak/>
        <w:t>ضعف الدقة بسلسلة من الاختلالات تمتد من ارتفاع تكاليف التخزين إلى تآكل الميزة التنافسية. وتزداد هذه الأهمية في ظل البيئات الديناميكية المعاصرة التي تتسم بتسارع التغير وتعقُّد العلاقات السببية بين المتغيرات الاقتصادية، مما يجعل الاعتماد على الحدس والخبرة الفردية غير كافٍ لمواكبة هذا التعقيد</w:t>
      </w:r>
      <w:r w:rsidRPr="008343BF">
        <w:rPr>
          <w:rFonts w:ascii="Simplified Arabic" w:eastAsia="Times New Roman" w:hAnsi="Simplified Arabic" w:cs="Simplified Arabic"/>
          <w:color w:val="000000" w:themeColor="text1"/>
          <w:kern w:val="0"/>
          <w:sz w:val="28"/>
          <w:szCs w:val="28"/>
          <w14:ligatures w14:val="none"/>
        </w:rPr>
        <w:t>.</w:t>
      </w:r>
    </w:p>
    <w:p w14:paraId="46524CC3"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ويُشير سعيد وعكلة (2024) إلى أن أهمية دقة التنبؤ بالطلب تتجلى في عدة محاور: أولها أنها تُسهم في تحسين أداء سلسلة التوريد من خلال توفير قاعدة معلوماتية موثوقة لاتخاذ قرارات الشراء والتوريد، وثانيها أنها تُمكِّن المؤسسة من ضبط مستويات الإنتاج بما يتلاءم مع الطلب الفعلي ويتجنب الفجوات بين الكميات المنتجة والمصرَّفة، وثالثها أنها تُعزِّز قدرة الإدارة على تخصيص الموارد بصورة مُثلى تنسجم مع التقديرات المستقبلية، ورابعها أنها تُسهم في تخفيض الكلفة الإجمالية للعمليات اللوجستية عبر تجنُّب الإنتاج الزائد وتقليص نفقات التخزين، وخامسها أنها تُتيح للمؤسسة فرصة الاستجابة المرنة للتغيرات السوقية المفاجئة</w:t>
      </w:r>
      <w:r w:rsidRPr="008343BF">
        <w:rPr>
          <w:rFonts w:ascii="Simplified Arabic" w:eastAsia="Times New Roman" w:hAnsi="Simplified Arabic" w:cs="Simplified Arabic"/>
          <w:color w:val="000000" w:themeColor="text1"/>
          <w:kern w:val="0"/>
          <w:sz w:val="28"/>
          <w:szCs w:val="28"/>
          <w14:ligatures w14:val="none"/>
        </w:rPr>
        <w:t>.</w:t>
      </w:r>
    </w:p>
    <w:p w14:paraId="5E579C3F"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هبال وقرقيط (2022) أن أهمية دقة التنبؤ بالطلب تكمن في كونها أداةً منهجية تستند إلى أسس علمية محكمة كمنهجية بوكس جينكينز، تُمكِّن المؤسسة من استشراف المستقبل اعتمادًا على البيانات التاريخية، وتحويل الأنماط المتكررة في سلوك الطلب إلى معرفة تنبؤية يمكن توظيفها في التخطيط الإنتاجي. كما تُسهم هذه الدقة في إرساء ثقافة القرار المبني على الدليل داخل المؤسسة، وتقليص هامش الخطأ في التقديرات الذي قد يترتب عليه إهدار للموارد أو فقدان لفرص بيعية</w:t>
      </w:r>
      <w:r w:rsidRPr="008343BF">
        <w:rPr>
          <w:rFonts w:ascii="Simplified Arabic" w:eastAsia="Times New Roman" w:hAnsi="Simplified Arabic" w:cs="Simplified Arabic"/>
          <w:color w:val="000000" w:themeColor="text1"/>
          <w:kern w:val="0"/>
          <w:sz w:val="28"/>
          <w:szCs w:val="28"/>
          <w14:ligatures w14:val="none"/>
        </w:rPr>
        <w:t>.</w:t>
      </w:r>
    </w:p>
    <w:p w14:paraId="6211FAB2"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ومن منظور تكنولوجي، يُؤكِّد فيزآبادي</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أن أهمية دقة التنبؤ بالطلب تتضاعف في عصر البيانات الضخمة، حيث أصبحت تقنيات تعلم الآلة تُتيح للمؤسسات معالجة كميات هائلة من البيانات واستخلاص أنماط تنبؤية كانت بعيدة المنال في الماضي، وهو ما ينعكس مباشرةً على أداء سلسلة التوريد ويُحوِّل التنبؤ إلى ميزة استراتيجية تنافسية لا مجرد نشاط فني روتيني. ويُضيف ياني وعامر</w:t>
      </w:r>
      <w:r w:rsidRPr="008343BF">
        <w:rPr>
          <w:rFonts w:ascii="Simplified Arabic" w:eastAsia="Times New Roman" w:hAnsi="Simplified Arabic" w:cs="Simplified Arabic"/>
          <w:color w:val="000000" w:themeColor="text1"/>
          <w:kern w:val="0"/>
          <w:sz w:val="28"/>
          <w:szCs w:val="28"/>
          <w14:ligatures w14:val="none"/>
        </w:rPr>
        <w:t xml:space="preserve"> (Yani &amp; Aamer, 2023) </w:t>
      </w:r>
      <w:r w:rsidRPr="008343BF">
        <w:rPr>
          <w:rFonts w:ascii="Simplified Arabic" w:eastAsia="Times New Roman" w:hAnsi="Simplified Arabic" w:cs="Simplified Arabic"/>
          <w:color w:val="000000" w:themeColor="text1"/>
          <w:kern w:val="0"/>
          <w:sz w:val="28"/>
          <w:szCs w:val="28"/>
          <w:rtl/>
          <w14:ligatures w14:val="none"/>
        </w:rPr>
        <w:t>أن دقة التنبؤ تكتسب أهمية مضاعفة في القطاعات التي تتسم بتعقيد سلسلة التوريد كقطاع الأدوية، حيث يُؤدي أي خلل في التقديرات إلى آثار متتالية تطال أمن المخزون الدوائي وانتظام التزويد للمرضى، ومن ثَمَّ تتحول الدقة من معيار اقتصادي إلى قضية ذات أبعاد اجتماعية وصحية</w:t>
      </w:r>
      <w:r w:rsidRPr="008343BF">
        <w:rPr>
          <w:rFonts w:ascii="Simplified Arabic" w:eastAsia="Times New Roman" w:hAnsi="Simplified Arabic" w:cs="Simplified Arabic"/>
          <w:color w:val="000000" w:themeColor="text1"/>
          <w:kern w:val="0"/>
          <w:sz w:val="28"/>
          <w:szCs w:val="28"/>
          <w14:ligatures w14:val="none"/>
        </w:rPr>
        <w:t>.</w:t>
      </w:r>
    </w:p>
    <w:p w14:paraId="66CB6863"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ويُشير تاداينراد ونديايي</w:t>
      </w:r>
      <w:r w:rsidRPr="008343BF">
        <w:rPr>
          <w:rFonts w:ascii="Simplified Arabic" w:eastAsia="Times New Roman" w:hAnsi="Simplified Arabic" w:cs="Simplified Arabic"/>
          <w:color w:val="000000" w:themeColor="text1"/>
          <w:kern w:val="0"/>
          <w:sz w:val="28"/>
          <w:szCs w:val="28"/>
          <w14:ligatures w14:val="none"/>
        </w:rPr>
        <w:t xml:space="preserve"> (Tadayonrad &amp; Ndiaye, 2023) </w:t>
      </w:r>
      <w:r w:rsidRPr="008343BF">
        <w:rPr>
          <w:rFonts w:ascii="Simplified Arabic" w:eastAsia="Times New Roman" w:hAnsi="Simplified Arabic" w:cs="Simplified Arabic"/>
          <w:color w:val="000000" w:themeColor="text1"/>
          <w:kern w:val="0"/>
          <w:sz w:val="28"/>
          <w:szCs w:val="28"/>
          <w:rtl/>
          <w14:ligatures w14:val="none"/>
        </w:rPr>
        <w:t xml:space="preserve">إلى أن أهمية دقة التنبؤ تتجلى في كونها مؤشر أداء رئيسيًا يربط بين موثوقية سلسلة التوريد ومتطلبات إدارة المخزون، إذ تُسهم في تحقيق </w:t>
      </w:r>
      <w:r w:rsidRPr="008343BF">
        <w:rPr>
          <w:rFonts w:ascii="Simplified Arabic" w:eastAsia="Times New Roman" w:hAnsi="Simplified Arabic" w:cs="Simplified Arabic"/>
          <w:color w:val="000000" w:themeColor="text1"/>
          <w:kern w:val="0"/>
          <w:sz w:val="28"/>
          <w:szCs w:val="28"/>
          <w:rtl/>
          <w14:ligatures w14:val="none"/>
        </w:rPr>
        <w:lastRenderedPageBreak/>
        <w:t>التوازن بين توفر المنتج وتجنب التكدُّس، وتُمكِّن المؤسسة من بناء سياسات تخزينية تستوعب الموسمية وتتكيف مع التذبذبات الدورية. ويُبرز بال</w:t>
      </w:r>
      <w:r w:rsidRPr="008343BF">
        <w:rPr>
          <w:rFonts w:ascii="Simplified Arabic" w:eastAsia="Times New Roman" w:hAnsi="Simplified Arabic" w:cs="Simplified Arabic"/>
          <w:color w:val="000000" w:themeColor="text1"/>
          <w:kern w:val="0"/>
          <w:sz w:val="28"/>
          <w:szCs w:val="28"/>
          <w14:ligatures w14:val="none"/>
        </w:rPr>
        <w:t xml:space="preserve"> (Pal, 2023) </w:t>
      </w:r>
      <w:r w:rsidRPr="008343BF">
        <w:rPr>
          <w:rFonts w:ascii="Simplified Arabic" w:eastAsia="Times New Roman" w:hAnsi="Simplified Arabic" w:cs="Simplified Arabic"/>
          <w:color w:val="000000" w:themeColor="text1"/>
          <w:kern w:val="0"/>
          <w:sz w:val="28"/>
          <w:szCs w:val="28"/>
          <w:rtl/>
          <w14:ligatures w14:val="none"/>
        </w:rPr>
        <w:t>أن الأهمية تنبع كذلك من قدرة الخوارزميات الحديثة على إدارة التنبؤ متعدد المنتجات في وقت واحد، وهو ما يُعد عاملًا حاسمًا في المستودعات الكبيرة التي تتعامل مع آلاف الأصناف</w:t>
      </w:r>
      <w:r w:rsidRPr="008343BF">
        <w:rPr>
          <w:rFonts w:ascii="Simplified Arabic" w:eastAsia="Times New Roman" w:hAnsi="Simplified Arabic" w:cs="Simplified Arabic"/>
          <w:color w:val="000000" w:themeColor="text1"/>
          <w:kern w:val="0"/>
          <w:sz w:val="28"/>
          <w:szCs w:val="28"/>
          <w14:ligatures w14:val="none"/>
        </w:rPr>
        <w:t>.</w:t>
      </w:r>
    </w:p>
    <w:p w14:paraId="2470831F"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وفي السياق ذاته، يرى ثيودورو وآخرون</w:t>
      </w:r>
      <w:r w:rsidRPr="008343BF">
        <w:rPr>
          <w:rFonts w:ascii="Simplified Arabic" w:eastAsia="Times New Roman" w:hAnsi="Simplified Arabic" w:cs="Simplified Arabic"/>
          <w:color w:val="000000" w:themeColor="text1"/>
          <w:kern w:val="0"/>
          <w:sz w:val="28"/>
          <w:szCs w:val="28"/>
          <w14:ligatures w14:val="none"/>
        </w:rPr>
        <w:t xml:space="preserve"> (Theodorou et al., 2025) </w:t>
      </w:r>
      <w:r w:rsidRPr="008343BF">
        <w:rPr>
          <w:rFonts w:ascii="Simplified Arabic" w:eastAsia="Times New Roman" w:hAnsi="Simplified Arabic" w:cs="Simplified Arabic"/>
          <w:color w:val="000000" w:themeColor="text1"/>
          <w:kern w:val="0"/>
          <w:sz w:val="28"/>
          <w:szCs w:val="28"/>
          <w:rtl/>
          <w14:ligatures w14:val="none"/>
        </w:rPr>
        <w:t>أن دقة التنبؤ تُمثِّل الحلقة التي تربط جودة النموذج التنبؤي بأداء المخزون، بحيث لا يمكن للمؤسسة أن تُحسِّن مؤشرات التخزين دون تحسين جودة التقديرات التي تُغذِّي قرارات إعادة الطلب وتحديد المخزون الأمن. ويذهب سريسامي وسيريروك</w:t>
      </w:r>
      <w:r w:rsidRPr="008343BF">
        <w:rPr>
          <w:rFonts w:ascii="Simplified Arabic" w:eastAsia="Times New Roman" w:hAnsi="Simplified Arabic" w:cs="Simplified Arabic"/>
          <w:color w:val="000000" w:themeColor="text1"/>
          <w:kern w:val="0"/>
          <w:sz w:val="28"/>
          <w:szCs w:val="28"/>
          <w14:ligatures w14:val="none"/>
        </w:rPr>
        <w:t xml:space="preserve"> (Srisamai &amp; Siriruk, 2023) </w:t>
      </w:r>
      <w:r w:rsidRPr="008343BF">
        <w:rPr>
          <w:rFonts w:ascii="Simplified Arabic" w:eastAsia="Times New Roman" w:hAnsi="Simplified Arabic" w:cs="Simplified Arabic"/>
          <w:color w:val="000000" w:themeColor="text1"/>
          <w:kern w:val="0"/>
          <w:sz w:val="28"/>
          <w:szCs w:val="28"/>
          <w:rtl/>
          <w14:ligatures w14:val="none"/>
        </w:rPr>
        <w:t>إلى أن أهمية الدقة تتجلى في قدرتها على تقليص ظاهرتي المخزون الراكد والمبيعات المفقودة في آنٍ معًا، وهما ظاهرتان متناقضتان لا يُمكن التعامل معهما إلا عبر منظومة تنبؤية رصينة، وهو ما يجعل دقة التنبؤ حلقةً مركزية في تحقيق التوازن المخزني</w:t>
      </w:r>
      <w:r w:rsidRPr="008343BF">
        <w:rPr>
          <w:rFonts w:ascii="Simplified Arabic" w:eastAsia="Times New Roman" w:hAnsi="Simplified Arabic" w:cs="Simplified Arabic"/>
          <w:color w:val="000000" w:themeColor="text1"/>
          <w:kern w:val="0"/>
          <w:sz w:val="28"/>
          <w:szCs w:val="28"/>
          <w14:ligatures w14:val="none"/>
        </w:rPr>
        <w:t>.</w:t>
      </w:r>
    </w:p>
    <w:p w14:paraId="0B62F7FC"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ويُضيف القاضي وآخرون (2023) أن أهمية دقة التنبؤ بالطلب تنبع من ارتباطها بإدارة المخزون الديناميكي وقدرتها على تحسين الأداء التشغيلي للمؤسسات، خاصةً في القطاعات التي تتسم بحركة سريعة للمنتجات كقطاع الأدوية. ويرى الغامدي وآخرون (2025) أن الدقة تكتسب أهميتها من كونها حلقة الوصل بين إدارة سلاسل الإمداد وكفاءة إدارة المخزون، حيث تُمكِّن المؤسسات الصحية من ضبط مستويات المخزون بما يتلاءم مع متطلبات الخدمة</w:t>
      </w:r>
      <w:r w:rsidRPr="008343BF">
        <w:rPr>
          <w:rFonts w:ascii="Simplified Arabic" w:eastAsia="Times New Roman" w:hAnsi="Simplified Arabic" w:cs="Simplified Arabic"/>
          <w:color w:val="000000" w:themeColor="text1"/>
          <w:kern w:val="0"/>
          <w:sz w:val="28"/>
          <w:szCs w:val="28"/>
          <w14:ligatures w14:val="none"/>
        </w:rPr>
        <w:t>.</w:t>
      </w:r>
    </w:p>
    <w:p w14:paraId="6ED0291B"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الباحث أن أهمية دقة التنبؤ بالطلب تتجاوز البُعد التقني الضيق لتمتد إلى أبعاد استراتيجية وتشغيلية ومالية متشابكة، فهي تُمثِّل من زاوية استراتيجية أداةً لاستشراف المستقبل وبناء الميزة التنافسية، ومن زاوية تشغيلية وسيلةً لضبط إيقاع الإنتاج والتخزين، ومن زاوية مالية مدخلاً لترشيد التكاليف وتعظيم العائد على رأس المال المستثمر في المخزون، وهو ما يجعلها قضية محورية تستحق الدراسة المعمقة في المؤسسات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42C5D13E" w14:textId="61DDA115"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042140"/>
      <w:r w:rsidRPr="008343BF">
        <w:rPr>
          <w:rFonts w:ascii="Simplified Arabic" w:eastAsia="Times New Roman" w:hAnsi="Simplified Arabic" w:cs="Simplified Arabic" w:hint="cs"/>
          <w:b/>
          <w:bCs/>
          <w:color w:val="000000" w:themeColor="text1"/>
          <w:kern w:val="0"/>
          <w:sz w:val="32"/>
          <w:szCs w:val="32"/>
          <w:rtl/>
          <w14:ligatures w14:val="none"/>
        </w:rPr>
        <w:t>4.1.2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أهداف دقة التنبؤ بالطلب</w:t>
      </w:r>
      <w:bookmarkEnd w:id="45"/>
    </w:p>
    <w:p w14:paraId="39F908AC"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تتعدد الأهداف التي تسعى المؤسسات إلى تحقيقها من وراء تطوير دقة التنبؤ بالطلب، وتتباين أولوياتها بحسب طبيعة النشاط والقطاع وحجم العمليات. وقد تناول الباحثون هذه الأهداف من زوايا مختلفة، حيث يطرح هاراهاب وآخرون</w:t>
      </w:r>
      <w:r w:rsidRPr="008343BF">
        <w:rPr>
          <w:rFonts w:ascii="Simplified Arabic" w:eastAsia="Times New Roman" w:hAnsi="Simplified Arabic" w:cs="Simplified Arabic"/>
          <w:color w:val="000000" w:themeColor="text1"/>
          <w:kern w:val="0"/>
          <w:sz w:val="28"/>
          <w:szCs w:val="28"/>
          <w14:ligatures w14:val="none"/>
        </w:rPr>
        <w:t xml:space="preserve"> (Harahap et al., 2025) </w:t>
      </w:r>
      <w:r w:rsidRPr="008343BF">
        <w:rPr>
          <w:rFonts w:ascii="Simplified Arabic" w:eastAsia="Times New Roman" w:hAnsi="Simplified Arabic" w:cs="Simplified Arabic"/>
          <w:color w:val="000000" w:themeColor="text1"/>
          <w:kern w:val="0"/>
          <w:sz w:val="28"/>
          <w:szCs w:val="28"/>
          <w:rtl/>
          <w14:ligatures w14:val="none"/>
        </w:rPr>
        <w:t xml:space="preserve">جملةً من الأهداف يمكن إجمالها </w:t>
      </w:r>
      <w:r w:rsidRPr="008343BF">
        <w:rPr>
          <w:rFonts w:ascii="Simplified Arabic" w:eastAsia="Times New Roman" w:hAnsi="Simplified Arabic" w:cs="Simplified Arabic"/>
          <w:color w:val="000000" w:themeColor="text1"/>
          <w:kern w:val="0"/>
          <w:sz w:val="28"/>
          <w:szCs w:val="28"/>
          <w:rtl/>
          <w14:ligatures w14:val="none"/>
        </w:rPr>
        <w:lastRenderedPageBreak/>
        <w:t>فيما يلي: أولًا، تحسين منظومة إدارة المخزون عبر توفير تقديرات موثوقة تُغذِّي قرارات إعادة الطلب وتحديد مستويات الأمان. ثانيًا، تقليص الفجوة بين العرض والطلب التي تُمثِّل المصدر الرئيسي لظاهرتي الفائض والنقص. ثالثًا، تعزيز قدرة المؤسسة على الاستجابة للتغيرات السوقية بصورة استباقية لا تفاعلية. رابعًا، دعم اتخاذ القرار التشغيلي بأدلة كمية تُقلِّص الاعتماد على الحدس الفردي</w:t>
      </w:r>
      <w:r w:rsidRPr="008343BF">
        <w:rPr>
          <w:rFonts w:ascii="Simplified Arabic" w:eastAsia="Times New Roman" w:hAnsi="Simplified Arabic" w:cs="Simplified Arabic"/>
          <w:color w:val="000000" w:themeColor="text1"/>
          <w:kern w:val="0"/>
          <w:sz w:val="28"/>
          <w:szCs w:val="28"/>
          <w14:ligatures w14:val="none"/>
        </w:rPr>
        <w:t>.</w:t>
      </w:r>
    </w:p>
    <w:p w14:paraId="21CE7D76"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ويُحدِّد سعيد وعكلة (2024) أهدافًا تتمحور حول تحسين أداء سلسلة التوريد، تتضمن: ضبط تدفق المعلومات بين حلقات السلسلة، وتحقيق التزامن بين الإنتاج والتوريد، وتقليص أثر ظاهرة السوط في سلسلة التوريد، وتعزيز قدرة المؤسسة على التخطيط الاستراتيجي بعيد المدى من خلال توفير قاعدة معلوماتية رصينة. ويرى طول وبكّار (2023) أن الأهداف تمتد لتشمل: توظيف الذكاء الاصطناعي في استشراف المبيعات المستقبلية، وتقليص الزمن اللازم لإنتاج التنبؤات، وتحسين قدرة المؤسسة على التعامل مع البيانات الضخمة، ودعم قرارات التسويق والتسعير عبر فهم أعمق لسلوك الطلب</w:t>
      </w:r>
      <w:r w:rsidRPr="008343BF">
        <w:rPr>
          <w:rFonts w:ascii="Simplified Arabic" w:eastAsia="Times New Roman" w:hAnsi="Simplified Arabic" w:cs="Simplified Arabic"/>
          <w:color w:val="000000" w:themeColor="text1"/>
          <w:kern w:val="0"/>
          <w:sz w:val="28"/>
          <w:szCs w:val="28"/>
          <w14:ligatures w14:val="none"/>
        </w:rPr>
        <w:t>.</w:t>
      </w:r>
    </w:p>
    <w:p w14:paraId="09AFDC94"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ويذهب عبدالحسن وعبدالرضا (2023) إلى أن أهداف تطوير دقة التنبؤ تشمل: المفاضلة العلمية بين الأساليب التقليدية والتقنيات الذكية لاختيار الأنسب لكل سياق، وتحسين قدرة المؤسسة على التعامل مع البيانات غير الخطية، وتقليص هامش الخطأ في التقديرات، وتوفير قاعدة لمقارنة الأداء بين النماذج المختلفة. ويُضيف إسماعيل وحميد (2024) أهدافًا تتعلق ببناء نماذج تنبؤية متقدمة قادرة على التعلم الذاتي من البيانات التاريخية للطلب على المخزون، وتطوير قدرة المؤسسة على معالجة البيانات المعقدة، وتحسين كفاءة التخطيط للمخزون عبر تقديرات أكثر واقعية</w:t>
      </w:r>
      <w:r w:rsidRPr="008343BF">
        <w:rPr>
          <w:rFonts w:ascii="Simplified Arabic" w:eastAsia="Times New Roman" w:hAnsi="Simplified Arabic" w:cs="Simplified Arabic"/>
          <w:color w:val="000000" w:themeColor="text1"/>
          <w:kern w:val="0"/>
          <w:sz w:val="28"/>
          <w:szCs w:val="28"/>
          <w14:ligatures w14:val="none"/>
        </w:rPr>
        <w:t>.</w:t>
      </w:r>
    </w:p>
    <w:p w14:paraId="3AADE2E5"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ومن منظور تكاملي، يطرح فيزآبادي</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أهدافًا تربط بين دقة التنبؤ وأداء سلسلة التوريد، تشمل: تعزيز قدرة المؤسسة على التكيف مع تذبذبات الطلب، وتحسين معدلات دوران المخزون، وتقليص تكاليف التشغيل الإجمالية، ودعم الميزة التنافسية عبر استجابة أسرع وأكثر دقة لاحتياجات السوق. ويرى ثيودورو وآخرون</w:t>
      </w:r>
      <w:r w:rsidRPr="008343BF">
        <w:rPr>
          <w:rFonts w:ascii="Simplified Arabic" w:eastAsia="Times New Roman" w:hAnsi="Simplified Arabic" w:cs="Simplified Arabic"/>
          <w:color w:val="000000" w:themeColor="text1"/>
          <w:kern w:val="0"/>
          <w:sz w:val="28"/>
          <w:szCs w:val="28"/>
          <w14:ligatures w14:val="none"/>
        </w:rPr>
        <w:t xml:space="preserve"> (Theodorou et al., 2025) </w:t>
      </w:r>
      <w:r w:rsidRPr="008343BF">
        <w:rPr>
          <w:rFonts w:ascii="Simplified Arabic" w:eastAsia="Times New Roman" w:hAnsi="Simplified Arabic" w:cs="Simplified Arabic"/>
          <w:color w:val="000000" w:themeColor="text1"/>
          <w:kern w:val="0"/>
          <w:sz w:val="28"/>
          <w:szCs w:val="28"/>
          <w:rtl/>
          <w14:ligatures w14:val="none"/>
        </w:rPr>
        <w:t>أن الأهداف تمتد لتشمل: تحقيق التوافق بين دقة النموذج وأداء المخزون، وتطوير مؤشرات قياس تربط بين جودة التنبؤ والنتائج المخزنية، وبناء إطار تقييمي يُتيح للمؤسسات اختيار النماذج الأنسب لطبيعة بياناتها</w:t>
      </w:r>
      <w:r w:rsidRPr="008343BF">
        <w:rPr>
          <w:rFonts w:ascii="Simplified Arabic" w:eastAsia="Times New Roman" w:hAnsi="Simplified Arabic" w:cs="Simplified Arabic"/>
          <w:color w:val="000000" w:themeColor="text1"/>
          <w:kern w:val="0"/>
          <w:sz w:val="28"/>
          <w:szCs w:val="28"/>
          <w14:ligatures w14:val="none"/>
        </w:rPr>
        <w:t>.</w:t>
      </w:r>
    </w:p>
    <w:p w14:paraId="3BE64FD2"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ويُحدِّد كي</w:t>
      </w:r>
      <w:r w:rsidRPr="008343BF">
        <w:rPr>
          <w:rFonts w:ascii="Simplified Arabic" w:eastAsia="Times New Roman" w:hAnsi="Simplified Arabic" w:cs="Simplified Arabic"/>
          <w:color w:val="000000" w:themeColor="text1"/>
          <w:kern w:val="0"/>
          <w:sz w:val="28"/>
          <w:szCs w:val="28"/>
          <w14:ligatures w14:val="none"/>
        </w:rPr>
        <w:t xml:space="preserve"> (Qi, 2025) </w:t>
      </w:r>
      <w:r w:rsidRPr="008343BF">
        <w:rPr>
          <w:rFonts w:ascii="Simplified Arabic" w:eastAsia="Times New Roman" w:hAnsi="Simplified Arabic" w:cs="Simplified Arabic"/>
          <w:color w:val="000000" w:themeColor="text1"/>
          <w:kern w:val="0"/>
          <w:sz w:val="28"/>
          <w:szCs w:val="28"/>
          <w:rtl/>
          <w14:ligatures w14:val="none"/>
        </w:rPr>
        <w:t xml:space="preserve">أهدافًا تتعلق بالتنبؤ بالمخزون بطيء الحركة عبر النماذج الهجينة، تتضمن: تحسين القابلية للتفسير في النماذج التنبؤية، ودمج التصور التفاعلي مع نتائج التنبؤ، وتعزيز قدرة المؤسسة على إدارة الأصناف التي تتسم بحركة بطيئة والتي تُمثِّل المصدر الرئيسي لتكدس المخزون. ويرى </w:t>
      </w:r>
      <w:r w:rsidRPr="008343BF">
        <w:rPr>
          <w:rFonts w:ascii="Simplified Arabic" w:eastAsia="Times New Roman" w:hAnsi="Simplified Arabic" w:cs="Simplified Arabic"/>
          <w:color w:val="000000" w:themeColor="text1"/>
          <w:kern w:val="0"/>
          <w:sz w:val="28"/>
          <w:szCs w:val="28"/>
          <w:rtl/>
          <w14:ligatures w14:val="none"/>
        </w:rPr>
        <w:lastRenderedPageBreak/>
        <w:t>تاداينراد ونديايي</w:t>
      </w:r>
      <w:r w:rsidRPr="008343BF">
        <w:rPr>
          <w:rFonts w:ascii="Simplified Arabic" w:eastAsia="Times New Roman" w:hAnsi="Simplified Arabic" w:cs="Simplified Arabic"/>
          <w:color w:val="000000" w:themeColor="text1"/>
          <w:kern w:val="0"/>
          <w:sz w:val="28"/>
          <w:szCs w:val="28"/>
          <w14:ligatures w14:val="none"/>
        </w:rPr>
        <w:t xml:space="preserve"> (Tadayonrad &amp; Ndiaye, 2023) </w:t>
      </w:r>
      <w:r w:rsidRPr="008343BF">
        <w:rPr>
          <w:rFonts w:ascii="Simplified Arabic" w:eastAsia="Times New Roman" w:hAnsi="Simplified Arabic" w:cs="Simplified Arabic"/>
          <w:color w:val="000000" w:themeColor="text1"/>
          <w:kern w:val="0"/>
          <w:sz w:val="28"/>
          <w:szCs w:val="28"/>
          <w:rtl/>
          <w14:ligatures w14:val="none"/>
        </w:rPr>
        <w:t>أن الأهداف تشمل: تطوير مؤشرات أداء متعددة الأبعاد للتنبؤ، وإدماج اعتبارات الموسمية وموثوقية سلسلة التوريد في النماذج، وتمكين المؤسسات من إدارة مخزونها على أساس فهم متعمق للعوامل المؤثرة في الطلب</w:t>
      </w:r>
      <w:r w:rsidRPr="008343BF">
        <w:rPr>
          <w:rFonts w:ascii="Simplified Arabic" w:eastAsia="Times New Roman" w:hAnsi="Simplified Arabic" w:cs="Simplified Arabic"/>
          <w:color w:val="000000" w:themeColor="text1"/>
          <w:kern w:val="0"/>
          <w:sz w:val="28"/>
          <w:szCs w:val="28"/>
          <w14:ligatures w14:val="none"/>
        </w:rPr>
        <w:t>.</w:t>
      </w:r>
    </w:p>
    <w:p w14:paraId="0D9102F5"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الباحث أن جوهر الأهداف التي تسعى المؤسسات إلى تحقيقها من وراء دقة التنبؤ يتمحور حول ثلاث غايات كبرى: الغاية الأولى تشغيلية تتعلق بضبط مستويات المخزون والإنتاج، والغاية الثانية مالية تتعلق بترشيد التكاليف وتعظيم العائد، والغاية الثالثة استراتيجية تتعلق ببناء الميزة التنافسية وتعزيز القدرة على التكيف مع البيئة المتغيرة، وهي غايات متكاملة لا تتحقق كل واحدة منها بمعزل عن الأخريات</w:t>
      </w:r>
      <w:r w:rsidRPr="008343BF">
        <w:rPr>
          <w:rFonts w:ascii="Simplified Arabic" w:eastAsia="Times New Roman" w:hAnsi="Simplified Arabic" w:cs="Simplified Arabic"/>
          <w:color w:val="000000" w:themeColor="text1"/>
          <w:kern w:val="0"/>
          <w:sz w:val="28"/>
          <w:szCs w:val="28"/>
          <w14:ligatures w14:val="none"/>
        </w:rPr>
        <w:t>.</w:t>
      </w:r>
    </w:p>
    <w:p w14:paraId="0F2B386A" w14:textId="0D08D8EC"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042141"/>
      <w:r w:rsidRPr="008343BF">
        <w:rPr>
          <w:rFonts w:ascii="Simplified Arabic" w:eastAsia="Times New Roman" w:hAnsi="Simplified Arabic" w:cs="Simplified Arabic" w:hint="cs"/>
          <w:b/>
          <w:bCs/>
          <w:color w:val="000000" w:themeColor="text1"/>
          <w:kern w:val="0"/>
          <w:sz w:val="32"/>
          <w:szCs w:val="32"/>
          <w:rtl/>
          <w14:ligatures w14:val="none"/>
        </w:rPr>
        <w:t>5.1.2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أبعاد دقة التنبؤ بالطلب</w:t>
      </w:r>
      <w:bookmarkEnd w:id="46"/>
    </w:p>
    <w:p w14:paraId="081FF1F5"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تم تحديد أبعاد دقة التنبؤ بالطلب في الدراسة الراهنة استنادًا إلى دراسة كل من فيزآبادي</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ودراسة عبدالحسن وعبدالرضا (2023) ودراسة كي</w:t>
      </w:r>
      <w:r w:rsidRPr="008343BF">
        <w:rPr>
          <w:rFonts w:ascii="Simplified Arabic" w:eastAsia="Times New Roman" w:hAnsi="Simplified Arabic" w:cs="Simplified Arabic"/>
          <w:color w:val="000000" w:themeColor="text1"/>
          <w:kern w:val="0"/>
          <w:sz w:val="28"/>
          <w:szCs w:val="28"/>
          <w14:ligatures w14:val="none"/>
        </w:rPr>
        <w:t xml:space="preserve"> (Qi, 2025)</w:t>
      </w:r>
      <w:r w:rsidRPr="008343BF">
        <w:rPr>
          <w:rFonts w:ascii="Simplified Arabic" w:eastAsia="Times New Roman" w:hAnsi="Simplified Arabic" w:cs="Simplified Arabic"/>
          <w:color w:val="000000" w:themeColor="text1"/>
          <w:kern w:val="0"/>
          <w:sz w:val="28"/>
          <w:szCs w:val="28"/>
          <w:rtl/>
          <w14:ligatures w14:val="none"/>
        </w:rPr>
        <w:t>، إذ تتقاطع هذه الدراسات في طرح أبعاد متمايزة للتنبؤ تنطلق من النماذج الكمية مرورًا بنماذج التعلم الآلي وتحليل السلاسل الزمنية وانتهاءً بالنماذج الهجينة، وهو ما يُتيح بناء إطار رباعي الأبعاد ينسجم مع الواقع التطبيقي للمؤسسات الصناعية والتجارية</w:t>
      </w:r>
      <w:r w:rsidRPr="008343BF">
        <w:rPr>
          <w:rFonts w:ascii="Simplified Arabic" w:eastAsia="Times New Roman" w:hAnsi="Simplified Arabic" w:cs="Simplified Arabic"/>
          <w:color w:val="000000" w:themeColor="text1"/>
          <w:kern w:val="0"/>
          <w:sz w:val="28"/>
          <w:szCs w:val="28"/>
          <w14:ligatures w14:val="none"/>
        </w:rPr>
        <w:t>.</w:t>
      </w:r>
    </w:p>
    <w:p w14:paraId="4C92075D" w14:textId="77777777" w:rsidR="00A42832" w:rsidRPr="008343BF" w:rsidRDefault="00A42832"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البُعد الأول: دقة النماذج الكمية للتنبؤ</w:t>
      </w:r>
    </w:p>
    <w:p w14:paraId="19315FF1"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تمثل النماذج الكمية الجيل الكلاسيكي من أدوات التنبؤ بالطلب، وتقوم على افتراضات إحصائية ورياضية محكمة تُتيح تقدير القيم المستقبلية اعتمادًا على البيانات التاريخية. ويُشير محمودي ومكيد (2025) إلى أن النماذج الكمية تُمثِّل المدخل العقلاني لترشيد قرارات تسيير المخزون، حيث تستند إلى منطق رياضي صارم يُقلِّص هامش التحيز الذاتي في التقديرات، ويُتيح للمؤسسة قراءة بيانات الطلب الماضية قراءةً منهجية تكشف الأنماط الكامنة وراء التذبذبات الظاهرية. وتتسم دقة هذه النماذج بارتباطها الوثيق بجودة البيانات المدخلة ومدى استقرار البيئة التي تعمل فيها المؤسسة، إذ كلما كانت البيانات منتظمة وخالية من التذبذبات الحادة ارتفعت دقة التقديرات المستخلصة منها</w:t>
      </w:r>
      <w:r w:rsidRPr="008343BF">
        <w:rPr>
          <w:rFonts w:ascii="Simplified Arabic" w:eastAsia="Times New Roman" w:hAnsi="Simplified Arabic" w:cs="Simplified Arabic"/>
          <w:color w:val="000000" w:themeColor="text1"/>
          <w:kern w:val="0"/>
          <w:sz w:val="28"/>
          <w:szCs w:val="28"/>
          <w14:ligatures w14:val="none"/>
        </w:rPr>
        <w:t>.</w:t>
      </w:r>
    </w:p>
    <w:p w14:paraId="163A5C46"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ويُؤكِّد بن زغدة (2025) أن النماذج الكمية – كنموذج كمية الطلب الاقتصادية – تستند إلى افتراضات محددة تتعلق بثبات معدل الطلب وتكاليف الإعداد والتخزين، وهي افتراضات إن تحققت كانت </w:t>
      </w:r>
      <w:r w:rsidRPr="008343BF">
        <w:rPr>
          <w:rFonts w:ascii="Simplified Arabic" w:eastAsia="Times New Roman" w:hAnsi="Simplified Arabic" w:cs="Simplified Arabic"/>
          <w:color w:val="000000" w:themeColor="text1"/>
          <w:kern w:val="0"/>
          <w:sz w:val="28"/>
          <w:szCs w:val="28"/>
          <w:rtl/>
          <w14:ligatures w14:val="none"/>
        </w:rPr>
        <w:lastRenderedPageBreak/>
        <w:t>دقة النموذج عالية، وإن اضطربت تراجعت قدرته على إنتاج تقديرات موثوقة. ومن هنا، تنبع أهمية اختيار النموذج الكمي الأنسب لطبيعة بيانات المؤسسة، إذ لا يوجد نموذج كمي وحيد يصلح لجميع السياقات، وإنما يتعين على الباحث المفاضلة بين البدائل المتاحة بحسب خصائص الطلب وطبيعة المنتج وأنماط استهلاكه. ويُشير حسن والسليمان (2024) إلى أن أساليب بحوث العمليات تُوفِّر ترسانة من الأدوات الكمية التي تُتيح للمؤسسة بناء نماذج تنبؤية متعددة، ومقارنة دقتها فيما بينها لاختيار الأنسب لطبيعة عملياتها</w:t>
      </w:r>
      <w:r w:rsidRPr="008343BF">
        <w:rPr>
          <w:rFonts w:ascii="Simplified Arabic" w:eastAsia="Times New Roman" w:hAnsi="Simplified Arabic" w:cs="Simplified Arabic"/>
          <w:color w:val="000000" w:themeColor="text1"/>
          <w:kern w:val="0"/>
          <w:sz w:val="28"/>
          <w:szCs w:val="28"/>
          <w14:ligatures w14:val="none"/>
        </w:rPr>
        <w:t>.</w:t>
      </w:r>
    </w:p>
    <w:p w14:paraId="57F293FD"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ويُضيف مخيمر (2024) أن النماذج الكمية تكتسب أهميتها من قدرتها على الاندماج مع نظم تخطيط الاحتياجات من المواد، حيث تُغذِّي هذه النظم بتقديرات يُمكن البناء عليها في تحديد الكميات المطلوبة وأوقات الطلب، بما يُقلِّص الاستثمار في المخزون ويُحسِّن دوران رأس المال العامل. وتتجلى دقة النماذج الكمية في مدى توافق التقديرات التي تُنتجها مع القيم الفعلية المتحققة، وهو ما يقتضي تقييمًا دوريًا لأداء النموذج وضبطًا مستمرًا لمعاييره بحسب التغيرات في البيئة التشغيلية. ويرى بن بايرة (2021) أن النماذج الكمية تتكامل مع أنظمة الإنتاج الحديثة كنظام</w:t>
      </w:r>
      <w:r w:rsidRPr="008343BF">
        <w:rPr>
          <w:rFonts w:ascii="Simplified Arabic" w:eastAsia="Times New Roman" w:hAnsi="Simplified Arabic" w:cs="Simplified Arabic"/>
          <w:color w:val="000000" w:themeColor="text1"/>
          <w:kern w:val="0"/>
          <w:sz w:val="28"/>
          <w:szCs w:val="28"/>
          <w14:ligatures w14:val="none"/>
        </w:rPr>
        <w:t xml:space="preserve"> (JIT)</w:t>
      </w:r>
      <w:r w:rsidRPr="008343BF">
        <w:rPr>
          <w:rFonts w:ascii="Simplified Arabic" w:eastAsia="Times New Roman" w:hAnsi="Simplified Arabic" w:cs="Simplified Arabic"/>
          <w:color w:val="000000" w:themeColor="text1"/>
          <w:kern w:val="0"/>
          <w:sz w:val="28"/>
          <w:szCs w:val="28"/>
          <w:rtl/>
          <w14:ligatures w14:val="none"/>
        </w:rPr>
        <w:t>، حيث تُتيح إنتاج تقديرات دقيقة للطلب تُمكِّن المؤسسة من ضبط إيقاع الإنتاج بما يُقلِّص الحاجة إلى الاحتفاظ بمخزون مرتفع</w:t>
      </w:r>
      <w:r w:rsidRPr="008343BF">
        <w:rPr>
          <w:rFonts w:ascii="Simplified Arabic" w:eastAsia="Times New Roman" w:hAnsi="Simplified Arabic" w:cs="Simplified Arabic"/>
          <w:color w:val="000000" w:themeColor="text1"/>
          <w:kern w:val="0"/>
          <w:sz w:val="28"/>
          <w:szCs w:val="28"/>
          <w14:ligatures w14:val="none"/>
        </w:rPr>
        <w:t>.</w:t>
      </w:r>
    </w:p>
    <w:p w14:paraId="10243159"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ومن أوجه القوة في النماذج الكمية شفافيتها وقابليتها للتفسير، إذ يُمكن للباحث تتبع المنطق الرياضي وراء كل تقدير، وفهم العوامل التي أدت إلى الوصول إلى قيمة بعينها، وهو ما يُعزِّز ثقة متخذ القرار في مخرجات النموذج. غير أن هذه النماذج تعاني من محدودية في التعامل مع العلاقات غير الخطية والبيانات شديدة التذبذب، وهو ما يستدعي تكاملها مع أدوات أحدث قادرة على معالجة هذه التعقيدات</w:t>
      </w:r>
      <w:r w:rsidRPr="008343BF">
        <w:rPr>
          <w:rFonts w:ascii="Simplified Arabic" w:eastAsia="Times New Roman" w:hAnsi="Simplified Arabic" w:cs="Simplified Arabic"/>
          <w:color w:val="000000" w:themeColor="text1"/>
          <w:kern w:val="0"/>
          <w:sz w:val="28"/>
          <w:szCs w:val="28"/>
          <w14:ligatures w14:val="none"/>
        </w:rPr>
        <w:t>.</w:t>
      </w:r>
    </w:p>
    <w:p w14:paraId="5785CE0A" w14:textId="77777777" w:rsidR="00A42832" w:rsidRPr="008343BF" w:rsidRDefault="00A42832"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البُعد الثاني: دقة نماذج التعلم الآلي في التنبؤ</w:t>
      </w:r>
    </w:p>
    <w:p w14:paraId="433E4401"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تُشكِّل نماذج التعلم الآلي قفزة نوعية في أدوات التنبؤ بالطلب، إذ تتجاوز محدودية النماذج الكمية في التعامل مع البيانات المعقدة والعلاقات غير الخطية، وتفتح آفاقًا جديدة لإنتاج تقديرات أكثر دقة في البيئات الديناميكية. ويُشير فيزآبادي</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إلى أن نماذج التعلم الآلي تتميز بقدرتها على التعلم الذاتي من البيانات التاريخية واكتشاف الأنماط الخفية التي تعجز الأساليب التقليدية عن رصدها، وهو ما يجعلها أداةً واعدة لتحسين دقة التنبؤ بالطلب في سلاسل التوريد المعقدة. وتنبع دقة هذه النماذج من قدرتها على معالجة كميات هائلة من البيانات في الوقت ذاته، واستيعاب متغيرات متعددة قد تكون لها علاقات متشابكة مع الطلب، بما يُتيح إنتاج تقديرات تأخذ في الحسبان السياق الكلي للمؤسسة</w:t>
      </w:r>
      <w:r w:rsidRPr="008343BF">
        <w:rPr>
          <w:rFonts w:ascii="Simplified Arabic" w:eastAsia="Times New Roman" w:hAnsi="Simplified Arabic" w:cs="Simplified Arabic"/>
          <w:color w:val="000000" w:themeColor="text1"/>
          <w:kern w:val="0"/>
          <w:sz w:val="28"/>
          <w:szCs w:val="28"/>
          <w14:ligatures w14:val="none"/>
        </w:rPr>
        <w:t>.</w:t>
      </w:r>
    </w:p>
    <w:p w14:paraId="46C3A332"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ويُؤكِّد ياني وعامر</w:t>
      </w:r>
      <w:r w:rsidRPr="008343BF">
        <w:rPr>
          <w:rFonts w:ascii="Simplified Arabic" w:eastAsia="Times New Roman" w:hAnsi="Simplified Arabic" w:cs="Simplified Arabic"/>
          <w:color w:val="000000" w:themeColor="text1"/>
          <w:kern w:val="0"/>
          <w:sz w:val="28"/>
          <w:szCs w:val="28"/>
          <w14:ligatures w14:val="none"/>
        </w:rPr>
        <w:t xml:space="preserve"> (Yani &amp; Aamer, 2023) </w:t>
      </w:r>
      <w:r w:rsidRPr="008343BF">
        <w:rPr>
          <w:rFonts w:ascii="Simplified Arabic" w:eastAsia="Times New Roman" w:hAnsi="Simplified Arabic" w:cs="Simplified Arabic"/>
          <w:color w:val="000000" w:themeColor="text1"/>
          <w:kern w:val="0"/>
          <w:sz w:val="28"/>
          <w:szCs w:val="28"/>
          <w:rtl/>
          <w14:ligatures w14:val="none"/>
        </w:rPr>
        <w:t>أن نماذج التعلم الآلي تكتسب أهميتها في القطاعات المعقدة كقطاع الأدوية، حيث تتعدد العوامل المؤثرة في الطلب وتتشابك علاقاتها، وتُصبح القدرة على التقاط هذه التعقيدات شرطًا لتحقيق دقة تنبؤية مقبولة. وتعتمد دقة هذه النماذج على عدة عوامل، أبرزها: جودة البيانات المدخلة، وحجمها، وتنوع المتغيرات المضمَّنة، وملاءمة الخوارزمية المختارة لطبيعة المشكلة. ويُضيف بال</w:t>
      </w:r>
      <w:r w:rsidRPr="008343BF">
        <w:rPr>
          <w:rFonts w:ascii="Simplified Arabic" w:eastAsia="Times New Roman" w:hAnsi="Simplified Arabic" w:cs="Simplified Arabic"/>
          <w:color w:val="000000" w:themeColor="text1"/>
          <w:kern w:val="0"/>
          <w:sz w:val="28"/>
          <w:szCs w:val="28"/>
          <w14:ligatures w14:val="none"/>
        </w:rPr>
        <w:t xml:space="preserve"> (Pal, 2023) </w:t>
      </w:r>
      <w:r w:rsidRPr="008343BF">
        <w:rPr>
          <w:rFonts w:ascii="Simplified Arabic" w:eastAsia="Times New Roman" w:hAnsi="Simplified Arabic" w:cs="Simplified Arabic"/>
          <w:color w:val="000000" w:themeColor="text1"/>
          <w:kern w:val="0"/>
          <w:sz w:val="28"/>
          <w:szCs w:val="28"/>
          <w:rtl/>
          <w14:ligatures w14:val="none"/>
        </w:rPr>
        <w:t>أن دقة نماذج التعلم الآلي تتجلى بصورة خاصة في التنبؤ متعدد المنتجات داخل المستودعات، حيث تتمكن هذه النماذج من إدارة آلاف الأصناف في وقت واحد، وإنتاج تقديرات تأخذ في الحسبان الترابطات بين المنتجات وتأثيرات بعضها على بعض</w:t>
      </w:r>
      <w:r w:rsidRPr="008343BF">
        <w:rPr>
          <w:rFonts w:ascii="Simplified Arabic" w:eastAsia="Times New Roman" w:hAnsi="Simplified Arabic" w:cs="Simplified Arabic"/>
          <w:color w:val="000000" w:themeColor="text1"/>
          <w:kern w:val="0"/>
          <w:sz w:val="28"/>
          <w:szCs w:val="28"/>
          <w14:ligatures w14:val="none"/>
        </w:rPr>
        <w:t>.</w:t>
      </w:r>
    </w:p>
    <w:p w14:paraId="5A587DEB"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ويُشير طول وبكّار (2023) إلى أن دقة نماذج الذكاء الاصطناعي في التنبؤ بالمبيعات تتفوق على الأساليب التقليدية في البيئات التي تتسم بتذبذب الطلب وتعقُّد العوامل المؤثرة فيه، إذ تستطيع هذه النماذج التكيف الذاتي مع التغيرات في سلوك الطلب وإعادة ضبط معاييرها تلقائيًا. وتُمثِّل قابلية التحديث المستمر إحدى أبرز نقاط القوة في هذه النماذج، حيث يُمكن إعادة تدريبها على البيانات الجديدة بصورة دورية لتعكس أحدث التغيرات في البيئة التشغيلية</w:t>
      </w:r>
      <w:r w:rsidRPr="008343BF">
        <w:rPr>
          <w:rFonts w:ascii="Simplified Arabic" w:eastAsia="Times New Roman" w:hAnsi="Simplified Arabic" w:cs="Simplified Arabic"/>
          <w:color w:val="000000" w:themeColor="text1"/>
          <w:kern w:val="0"/>
          <w:sz w:val="28"/>
          <w:szCs w:val="28"/>
          <w14:ligatures w14:val="none"/>
        </w:rPr>
        <w:t>.</w:t>
      </w:r>
    </w:p>
    <w:p w14:paraId="0FE38886"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ومن منظور تطبيقي، يطرح إسماعيل وحميد (2024) الشبكات العصبية الاصطناعية بوصفها أحد أبرز أدوات التعلم الآلي في التنبؤ بالطلب على المخزون، حيث تتمتع هذه الشبكات بقدرة فائقة على محاكاة العمليات العصبية البيولوجية في معالجة المعلومات، واستخلاص علاقات معقدة من البيانات التاريخية. وتتجلى دقة هذه الشبكات في قدرتها على التعامل مع الضوضاء في البيانات، والتمييز بين الإشارات الفعلية والتذبذبات العشوائية، وهو ما يجعلها أداةً مناسبة للبيئات التي تتسم بتعقُّد سلوك الطلب</w:t>
      </w:r>
      <w:r w:rsidRPr="008343BF">
        <w:rPr>
          <w:rFonts w:ascii="Simplified Arabic" w:eastAsia="Times New Roman" w:hAnsi="Simplified Arabic" w:cs="Simplified Arabic"/>
          <w:color w:val="000000" w:themeColor="text1"/>
          <w:kern w:val="0"/>
          <w:sz w:val="28"/>
          <w:szCs w:val="28"/>
          <w14:ligatures w14:val="none"/>
        </w:rPr>
        <w:t>.</w:t>
      </w:r>
    </w:p>
    <w:p w14:paraId="26F94297"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غير أن نماذج التعلم الآلي تواجه تحديات تتعلق بقابلية التفسير، إذ يصعب أحيانًا تتبع المنطق الذي قاد النموذج إلى إنتاج تقدير بعينه، وهو ما قد يُقلِّص ثقة متخذ القرار في مخرجاتها. كما أن هذه النماذج تتطلب حجمًا كبيرًا من البيانات للوصول إلى أداء مرتفع، وهو ما قد لا يتوفر في جميع المؤسسات، خاصةً تلك التي تعمل في أسواق ناشئة أو تتعامل مع منتجات حديثة الإطلاق</w:t>
      </w:r>
      <w:r w:rsidRPr="008343BF">
        <w:rPr>
          <w:rFonts w:ascii="Simplified Arabic" w:eastAsia="Times New Roman" w:hAnsi="Simplified Arabic" w:cs="Simplified Arabic"/>
          <w:color w:val="000000" w:themeColor="text1"/>
          <w:kern w:val="0"/>
          <w:sz w:val="28"/>
          <w:szCs w:val="28"/>
          <w14:ligatures w14:val="none"/>
        </w:rPr>
        <w:t>.</w:t>
      </w:r>
    </w:p>
    <w:p w14:paraId="437C6064" w14:textId="77777777" w:rsidR="00A42832" w:rsidRPr="008343BF" w:rsidRDefault="00A42832"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البُعد الثالث: دقة تحليل السلاسل الزمنية</w:t>
      </w:r>
    </w:p>
    <w:p w14:paraId="158AA563"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تُمثِّل أساليب تحليل السلاسل الزمنية أحد أعمدة التنبؤ الكلاسيكي بالطلب، وتقوم على فرضية أن سلوك الطلب في المستقبل يُمكن استشرافه من خلال تحليل سلوكه في الماضي وتفكيكه إلى مكونات </w:t>
      </w:r>
      <w:r w:rsidRPr="008343BF">
        <w:rPr>
          <w:rFonts w:ascii="Simplified Arabic" w:eastAsia="Times New Roman" w:hAnsi="Simplified Arabic" w:cs="Simplified Arabic"/>
          <w:color w:val="000000" w:themeColor="text1"/>
          <w:kern w:val="0"/>
          <w:sz w:val="28"/>
          <w:szCs w:val="28"/>
          <w:rtl/>
          <w14:ligatures w14:val="none"/>
        </w:rPr>
        <w:lastRenderedPageBreak/>
        <w:t>أساسية تشمل الاتجاه العام والموسمية والدورية والمكون العشوائي. ويُشير هبال وقرقيط (2022) إلى أن منهجية بوكس جينكينز تُمثِّل أحد أبرز الأساليب في تحليل السلاسل الزمنية، حيث تقوم على خطوات منهجية متتابعة تشمل تعرُّف النموذج وتقدير معالمه وفحص ملاءمته قبل توظيفه في التنبؤ. وتتجلى دقة هذه المنهجية في صرامتها المنهجية وقدرتها على إنتاج تقديرات مدعومة بأسس إحصائية متينة</w:t>
      </w:r>
      <w:r w:rsidRPr="008343BF">
        <w:rPr>
          <w:rFonts w:ascii="Simplified Arabic" w:eastAsia="Times New Roman" w:hAnsi="Simplified Arabic" w:cs="Simplified Arabic"/>
          <w:color w:val="000000" w:themeColor="text1"/>
          <w:kern w:val="0"/>
          <w:sz w:val="28"/>
          <w:szCs w:val="28"/>
          <w14:ligatures w14:val="none"/>
        </w:rPr>
        <w:t>.</w:t>
      </w:r>
    </w:p>
    <w:p w14:paraId="02F77E44"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ويُؤكِّد عبدالحسن وعبدالرضا (2023) أن نماذج</w:t>
      </w:r>
      <w:r w:rsidRPr="008343BF">
        <w:rPr>
          <w:rFonts w:ascii="Simplified Arabic" w:eastAsia="Times New Roman" w:hAnsi="Simplified Arabic" w:cs="Simplified Arabic"/>
          <w:color w:val="000000" w:themeColor="text1"/>
          <w:kern w:val="0"/>
          <w:sz w:val="28"/>
          <w:szCs w:val="28"/>
          <w14:ligatures w14:val="none"/>
        </w:rPr>
        <w:t xml:space="preserve"> (ARIMA) </w:t>
      </w:r>
      <w:r w:rsidRPr="008343BF">
        <w:rPr>
          <w:rFonts w:ascii="Simplified Arabic" w:eastAsia="Times New Roman" w:hAnsi="Simplified Arabic" w:cs="Simplified Arabic"/>
          <w:color w:val="000000" w:themeColor="text1"/>
          <w:kern w:val="0"/>
          <w:sz w:val="28"/>
          <w:szCs w:val="28"/>
          <w:rtl/>
          <w14:ligatures w14:val="none"/>
        </w:rPr>
        <w:t>تُعد من أبرز نماذج السلاسل الزمنية التقليدية، وتتسم بقدرتها على التعامل مع البيانات المستقرة والمتسلسلة زمنيًا، غير أن دقتها تتأثر بدرجة استقرار السلسلة الزمنية، ومدى انتظام المكونات الموسمية فيها، وقدرة الباحث على اختيار رتب النموذج المناسبة. وتنبع قوة تحليل السلاسل الزمنية من تركيزه على البُعد الزمني للطلب، وقدرته على رصد الأنماط المتكررة عبر الزمن، وتمييز الاتجاهات طويلة المدى عن التذبذبات قصيرة المدى</w:t>
      </w:r>
      <w:r w:rsidRPr="008343BF">
        <w:rPr>
          <w:rFonts w:ascii="Simplified Arabic" w:eastAsia="Times New Roman" w:hAnsi="Simplified Arabic" w:cs="Simplified Arabic"/>
          <w:color w:val="000000" w:themeColor="text1"/>
          <w:kern w:val="0"/>
          <w:sz w:val="28"/>
          <w:szCs w:val="28"/>
          <w14:ligatures w14:val="none"/>
        </w:rPr>
        <w:t>.</w:t>
      </w:r>
    </w:p>
    <w:p w14:paraId="6BB3AC20"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ويُشير ثيودورو وآخرون</w:t>
      </w:r>
      <w:r w:rsidRPr="008343BF">
        <w:rPr>
          <w:rFonts w:ascii="Simplified Arabic" w:eastAsia="Times New Roman" w:hAnsi="Simplified Arabic" w:cs="Simplified Arabic"/>
          <w:color w:val="000000" w:themeColor="text1"/>
          <w:kern w:val="0"/>
          <w:sz w:val="28"/>
          <w:szCs w:val="28"/>
          <w14:ligatures w14:val="none"/>
        </w:rPr>
        <w:t xml:space="preserve"> (Theodorou et al., 2025) </w:t>
      </w:r>
      <w:r w:rsidRPr="008343BF">
        <w:rPr>
          <w:rFonts w:ascii="Simplified Arabic" w:eastAsia="Times New Roman" w:hAnsi="Simplified Arabic" w:cs="Simplified Arabic"/>
          <w:color w:val="000000" w:themeColor="text1"/>
          <w:kern w:val="0"/>
          <w:sz w:val="28"/>
          <w:szCs w:val="28"/>
          <w:rtl/>
          <w14:ligatures w14:val="none"/>
        </w:rPr>
        <w:t>إلى أن دقة تحليل السلاسل الزمنية تتجلى في قدرته على إنتاج تقديرات قابلة للقياس والمقارنة، وتوفير مؤشرات أداء واضحة تُتيح تقييم النموذج وتحديد جوانب القصور فيه. وتُمثِّل هذه الخاصية ميزةً مهمة في السياقات التي تتطلب شفافية في التقدير وقابلية للتدقيق، كقطاعات الأدوية والأغذية. وتتفاوت دقة أساليب السلاسل الزمنية بحسب طبيعة السلسلة المدروسة، إذ تتفوق في البيانات التي تتسم بانتظام نسبي، وتتراجع في البيانات شديدة التذبذب أو التي تتأثر بصدمات خارجية مفاجئة</w:t>
      </w:r>
      <w:r w:rsidRPr="008343BF">
        <w:rPr>
          <w:rFonts w:ascii="Simplified Arabic" w:eastAsia="Times New Roman" w:hAnsi="Simplified Arabic" w:cs="Simplified Arabic"/>
          <w:color w:val="000000" w:themeColor="text1"/>
          <w:kern w:val="0"/>
          <w:sz w:val="28"/>
          <w:szCs w:val="28"/>
          <w14:ligatures w14:val="none"/>
        </w:rPr>
        <w:t>.</w:t>
      </w:r>
    </w:p>
    <w:p w14:paraId="66DF3505"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ويُضيف تاداينراد ونديايي</w:t>
      </w:r>
      <w:r w:rsidRPr="008343BF">
        <w:rPr>
          <w:rFonts w:ascii="Simplified Arabic" w:eastAsia="Times New Roman" w:hAnsi="Simplified Arabic" w:cs="Simplified Arabic"/>
          <w:color w:val="000000" w:themeColor="text1"/>
          <w:kern w:val="0"/>
          <w:sz w:val="28"/>
          <w:szCs w:val="28"/>
          <w14:ligatures w14:val="none"/>
        </w:rPr>
        <w:t xml:space="preserve"> (Tadayonrad &amp; Ndiaye, 2023) </w:t>
      </w:r>
      <w:r w:rsidRPr="008343BF">
        <w:rPr>
          <w:rFonts w:ascii="Simplified Arabic" w:eastAsia="Times New Roman" w:hAnsi="Simplified Arabic" w:cs="Simplified Arabic"/>
          <w:color w:val="000000" w:themeColor="text1"/>
          <w:kern w:val="0"/>
          <w:sz w:val="28"/>
          <w:szCs w:val="28"/>
          <w:rtl/>
          <w14:ligatures w14:val="none"/>
        </w:rPr>
        <w:t>أن دقة تحليل السلاسل الزمنية تتعزز حين يُدمج في إطار مؤشرات أداء متعددة الأبعاد تأخذ في الحسبان الموسمية وموثوقية سلسلة التوريد، وهو ما يُتيح للمؤسسة فهمًا أعمق للعوامل المؤثرة في الطلب، وقدرة أكبر على إنتاج تقديرات تنسجم مع السياق التشغيلي. ويرى سريسامي وسيريروك</w:t>
      </w:r>
      <w:r w:rsidRPr="008343BF">
        <w:rPr>
          <w:rFonts w:ascii="Simplified Arabic" w:eastAsia="Times New Roman" w:hAnsi="Simplified Arabic" w:cs="Simplified Arabic"/>
          <w:color w:val="000000" w:themeColor="text1"/>
          <w:kern w:val="0"/>
          <w:sz w:val="28"/>
          <w:szCs w:val="28"/>
          <w14:ligatures w14:val="none"/>
        </w:rPr>
        <w:t xml:space="preserve"> (Srisamai &amp; Siriruk, 2023) </w:t>
      </w:r>
      <w:r w:rsidRPr="008343BF">
        <w:rPr>
          <w:rFonts w:ascii="Simplified Arabic" w:eastAsia="Times New Roman" w:hAnsi="Simplified Arabic" w:cs="Simplified Arabic"/>
          <w:color w:val="000000" w:themeColor="text1"/>
          <w:kern w:val="0"/>
          <w:sz w:val="28"/>
          <w:szCs w:val="28"/>
          <w:rtl/>
          <w14:ligatures w14:val="none"/>
        </w:rPr>
        <w:t>أن دقة هذه الأساليب تتجلى في قدرتها على دعم قرارات تخفيض المخزون الراكد والمبيعات المفقودة في القطاعات التي تتعامل مع منتجات متنوعة كقطاع المعدات الكهربائية</w:t>
      </w:r>
      <w:r w:rsidRPr="008343BF">
        <w:rPr>
          <w:rFonts w:ascii="Simplified Arabic" w:eastAsia="Times New Roman" w:hAnsi="Simplified Arabic" w:cs="Simplified Arabic"/>
          <w:color w:val="000000" w:themeColor="text1"/>
          <w:kern w:val="0"/>
          <w:sz w:val="28"/>
          <w:szCs w:val="28"/>
          <w14:ligatures w14:val="none"/>
        </w:rPr>
        <w:t>.</w:t>
      </w:r>
    </w:p>
    <w:p w14:paraId="1C01F93B"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ومن أبرز نقاط القوة في تحليل السلاسل الزمنية شفافيته وقابليته للتفسير، إذ يُمكن للباحث فهم العوامل التي أدت إلى تقدير بعينه، وتتبع تأثير كل مكون من مكونات السلسلة على القيمة المتنبَّأ بها. كما يتميز هذا الأسلوب بكفاءته الحسابية، وقدرته على إنتاج تقديرات سريعة لا تتطلب موارد حاسوبية كبيرة، وهو ما يجعله مناسبًا للمؤسسات التي تعمل بإمكانات تقنية محدودة. غير أن هذا الأسلوب يعاني </w:t>
      </w:r>
      <w:r w:rsidRPr="008343BF">
        <w:rPr>
          <w:rFonts w:ascii="Simplified Arabic" w:eastAsia="Times New Roman" w:hAnsi="Simplified Arabic" w:cs="Simplified Arabic"/>
          <w:color w:val="000000" w:themeColor="text1"/>
          <w:kern w:val="0"/>
          <w:sz w:val="28"/>
          <w:szCs w:val="28"/>
          <w:rtl/>
          <w14:ligatures w14:val="none"/>
        </w:rPr>
        <w:lastRenderedPageBreak/>
        <w:t>من محدودية في التعامل مع المتغيرات الخارجية المؤثرة في الطلب، إذ يُركِّز بصورة أساسية على البيانات الذاتية للسلسلة دون إعطاء اعتبار كافٍ للعوامل البيئية الخارجية</w:t>
      </w:r>
      <w:r w:rsidRPr="008343BF">
        <w:rPr>
          <w:rFonts w:ascii="Simplified Arabic" w:eastAsia="Times New Roman" w:hAnsi="Simplified Arabic" w:cs="Simplified Arabic"/>
          <w:color w:val="000000" w:themeColor="text1"/>
          <w:kern w:val="0"/>
          <w:sz w:val="28"/>
          <w:szCs w:val="28"/>
          <w14:ligatures w14:val="none"/>
        </w:rPr>
        <w:t>.</w:t>
      </w:r>
    </w:p>
    <w:p w14:paraId="12C2FBF1" w14:textId="77777777" w:rsidR="00A42832" w:rsidRPr="008343BF" w:rsidRDefault="00A42832"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البُعد الرابع: دقة النماذج الهجينة للتنبؤ</w:t>
      </w:r>
    </w:p>
    <w:p w14:paraId="5D48062B"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تُمثِّل النماذج الهجينة الجيل الأحدث من أدوات التنبؤ بالطلب، وتقوم على دمج عناصر من نماذج مختلفة في إطار واحد بغية الاستفادة من نقاط قوة كل منها وتعويض نقاط ضعفها. ويُشير كي</w:t>
      </w:r>
      <w:r w:rsidRPr="008343BF">
        <w:rPr>
          <w:rFonts w:ascii="Simplified Arabic" w:eastAsia="Times New Roman" w:hAnsi="Simplified Arabic" w:cs="Simplified Arabic"/>
          <w:color w:val="000000" w:themeColor="text1"/>
          <w:kern w:val="0"/>
          <w:sz w:val="28"/>
          <w:szCs w:val="28"/>
          <w14:ligatures w14:val="none"/>
        </w:rPr>
        <w:t xml:space="preserve"> (Qi, 2025) </w:t>
      </w:r>
      <w:r w:rsidRPr="008343BF">
        <w:rPr>
          <w:rFonts w:ascii="Simplified Arabic" w:eastAsia="Times New Roman" w:hAnsi="Simplified Arabic" w:cs="Simplified Arabic"/>
          <w:color w:val="000000" w:themeColor="text1"/>
          <w:kern w:val="0"/>
          <w:sz w:val="28"/>
          <w:szCs w:val="28"/>
          <w:rtl/>
          <w14:ligatures w14:val="none"/>
        </w:rPr>
        <w:t>إلى أن النماذج الهجينة تجمع بين الشبكات العصبية وأساليب التحليل التفاعلي لإنتاج تقديرات أكثر دقة للمخزون بطيء الحركة، مع الحفاظ على قابلية التفسير التي تُعد من نقاط الضعف في نماذج التعلم الآلي التقليدية. وتنبع دقة هذه النماذج من قدرتها على الجمع بين الصرامة الإحصائية للنماذج الكمية والمرونة الحسابية لنماذج التعلم الآلي، بما يُتيح التعامل مع تعقيدات الطلب من زوايا متعددة في آنٍ معًا</w:t>
      </w:r>
      <w:r w:rsidRPr="008343BF">
        <w:rPr>
          <w:rFonts w:ascii="Simplified Arabic" w:eastAsia="Times New Roman" w:hAnsi="Simplified Arabic" w:cs="Simplified Arabic"/>
          <w:color w:val="000000" w:themeColor="text1"/>
          <w:kern w:val="0"/>
          <w:sz w:val="28"/>
          <w:szCs w:val="28"/>
          <w14:ligatures w14:val="none"/>
        </w:rPr>
        <w:t>.</w:t>
      </w:r>
    </w:p>
    <w:p w14:paraId="2F21939D"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وتتجلى دقة النماذج الهجينة في قدرتها على تجاوز قيود كل نموذج منفرد، إذ يُمكن مثلًا دمج نموذج تحليل السلاسل الزمنية لاستخلاص المكونات الموسمية مع شبكة عصبية لمعالجة البواقي والتعامل مع العلاقات غير الخطية، وهو ما يُنتج تقديرًا نهائيًا يجمع بين دقة كل أسلوب في مجال تفوقه. ويُضيف بال</w:t>
      </w:r>
      <w:r w:rsidRPr="008343BF">
        <w:rPr>
          <w:rFonts w:ascii="Simplified Arabic" w:eastAsia="Times New Roman" w:hAnsi="Simplified Arabic" w:cs="Simplified Arabic"/>
          <w:color w:val="000000" w:themeColor="text1"/>
          <w:kern w:val="0"/>
          <w:sz w:val="28"/>
          <w:szCs w:val="28"/>
          <w14:ligatures w14:val="none"/>
        </w:rPr>
        <w:t xml:space="preserve"> (Pal, 2023) </w:t>
      </w:r>
      <w:r w:rsidRPr="008343BF">
        <w:rPr>
          <w:rFonts w:ascii="Simplified Arabic" w:eastAsia="Times New Roman" w:hAnsi="Simplified Arabic" w:cs="Simplified Arabic"/>
          <w:color w:val="000000" w:themeColor="text1"/>
          <w:kern w:val="0"/>
          <w:sz w:val="28"/>
          <w:szCs w:val="28"/>
          <w:rtl/>
          <w14:ligatures w14:val="none"/>
        </w:rPr>
        <w:t>أن النماذج الهجينة تُمثِّل ثورة في إدارة المستودعات متعددة المنتجات، حيث تستطيع التعامل مع التنوع الكبير في طبيعة الأصناف وأنماط طلبها داخل منظومة تنبؤية موحدة. وتُتيح هذه النماذج للمؤسسات بناء حلول تنبؤية مخصصة تتلاءم مع طبيعة عملياتها، وتأخذ في الحسبان خصوصية بيئتها التشغيلية</w:t>
      </w:r>
      <w:r w:rsidRPr="008343BF">
        <w:rPr>
          <w:rFonts w:ascii="Simplified Arabic" w:eastAsia="Times New Roman" w:hAnsi="Simplified Arabic" w:cs="Simplified Arabic"/>
          <w:color w:val="000000" w:themeColor="text1"/>
          <w:kern w:val="0"/>
          <w:sz w:val="28"/>
          <w:szCs w:val="28"/>
          <w14:ligatures w14:val="none"/>
        </w:rPr>
        <w:t>.</w:t>
      </w:r>
    </w:p>
    <w:p w14:paraId="3628A86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ويُشير ثيودورو وآخرون</w:t>
      </w:r>
      <w:r w:rsidRPr="008343BF">
        <w:rPr>
          <w:rFonts w:ascii="Simplified Arabic" w:eastAsia="Times New Roman" w:hAnsi="Simplified Arabic" w:cs="Simplified Arabic"/>
          <w:color w:val="000000" w:themeColor="text1"/>
          <w:kern w:val="0"/>
          <w:sz w:val="28"/>
          <w:szCs w:val="28"/>
          <w14:ligatures w14:val="none"/>
        </w:rPr>
        <w:t xml:space="preserve"> (Theodorou et al., 2025) </w:t>
      </w:r>
      <w:r w:rsidRPr="008343BF">
        <w:rPr>
          <w:rFonts w:ascii="Simplified Arabic" w:eastAsia="Times New Roman" w:hAnsi="Simplified Arabic" w:cs="Simplified Arabic"/>
          <w:color w:val="000000" w:themeColor="text1"/>
          <w:kern w:val="0"/>
          <w:sz w:val="28"/>
          <w:szCs w:val="28"/>
          <w:rtl/>
          <w14:ligatures w14:val="none"/>
        </w:rPr>
        <w:t>إلى أن دقة النماذج الهجينة تتجلى في قدرتها على تحقيق التوازن بين أداء النموذج وأداء المخزون، إذ لا يكفي أن يُنتج النموذج تقديرات دقيقة من زاوية إحصائية، بل ينبغي أن تنعكس هذه الدقة على المؤشرات التشغيلية للمخزون. ويرى تاداينراد ونديايي</w:t>
      </w:r>
      <w:r w:rsidRPr="008343BF">
        <w:rPr>
          <w:rFonts w:ascii="Simplified Arabic" w:eastAsia="Times New Roman" w:hAnsi="Simplified Arabic" w:cs="Simplified Arabic"/>
          <w:color w:val="000000" w:themeColor="text1"/>
          <w:kern w:val="0"/>
          <w:sz w:val="28"/>
          <w:szCs w:val="28"/>
          <w14:ligatures w14:val="none"/>
        </w:rPr>
        <w:t xml:space="preserve"> (Tadayonrad &amp; Ndiaye, 2023) </w:t>
      </w:r>
      <w:r w:rsidRPr="008343BF">
        <w:rPr>
          <w:rFonts w:ascii="Simplified Arabic" w:eastAsia="Times New Roman" w:hAnsi="Simplified Arabic" w:cs="Simplified Arabic"/>
          <w:color w:val="000000" w:themeColor="text1"/>
          <w:kern w:val="0"/>
          <w:sz w:val="28"/>
          <w:szCs w:val="28"/>
          <w:rtl/>
          <w14:ligatures w14:val="none"/>
        </w:rPr>
        <w:t>أن النماذج الهجينة تُتيح بناء مؤشرات أداء جديدة تجمع بين معايير الدقة الإحصائية ومعايير موثوقية سلسلة التوريد، وهو ما يُمثِّل تطورًا نوعيًا في تقييم أداء التنبؤ</w:t>
      </w:r>
      <w:r w:rsidRPr="008343BF">
        <w:rPr>
          <w:rFonts w:ascii="Simplified Arabic" w:eastAsia="Times New Roman" w:hAnsi="Simplified Arabic" w:cs="Simplified Arabic"/>
          <w:color w:val="000000" w:themeColor="text1"/>
          <w:kern w:val="0"/>
          <w:sz w:val="28"/>
          <w:szCs w:val="28"/>
          <w14:ligatures w14:val="none"/>
        </w:rPr>
        <w:t>.</w:t>
      </w:r>
    </w:p>
    <w:p w14:paraId="50D1645D"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ويُؤكِّد فيزآبادي</w:t>
      </w:r>
      <w:r w:rsidRPr="008343BF">
        <w:rPr>
          <w:rFonts w:ascii="Simplified Arabic" w:eastAsia="Times New Roman" w:hAnsi="Simplified Arabic" w:cs="Simplified Arabic"/>
          <w:color w:val="000000" w:themeColor="text1"/>
          <w:kern w:val="0"/>
          <w:sz w:val="28"/>
          <w:szCs w:val="28"/>
          <w14:ligatures w14:val="none"/>
        </w:rPr>
        <w:t xml:space="preserve"> (Feizabadi, 2022) </w:t>
      </w:r>
      <w:r w:rsidRPr="008343BF">
        <w:rPr>
          <w:rFonts w:ascii="Simplified Arabic" w:eastAsia="Times New Roman" w:hAnsi="Simplified Arabic" w:cs="Simplified Arabic"/>
          <w:color w:val="000000" w:themeColor="text1"/>
          <w:kern w:val="0"/>
          <w:sz w:val="28"/>
          <w:szCs w:val="28"/>
          <w:rtl/>
          <w14:ligatures w14:val="none"/>
        </w:rPr>
        <w:t>أن النماذج الهجينة تكتسب أهميتها من قدرتها على دمج بيانات من مصادر متعددة، وتوظيف خوارزميات متنوعة في إطار واحد، بما يُتيح التعامل مع تعقيدات سلسلة التوريد بصورة شاملة. وتنبع قوة هذه النماذج من مرونتها وقابليتها للتخصيص، إذ يُمكن تصميمها بحسب الاحتياجات الخاصة لكل مؤسسة، وضبط معاييرها لتعكس خصائص بيئتها التشغيلية. غير أن هذه النماذج تتطلب خبرة فنية متقدمة في تصميمها وتطبيقها، وقد تكون أكثر تعقيدًا من حيث التطوير والصيانة، وهو ما يستدعي استثمارًا في الكوادر البشرية والبنية التقنية</w:t>
      </w:r>
      <w:r w:rsidRPr="008343BF">
        <w:rPr>
          <w:rFonts w:ascii="Simplified Arabic" w:eastAsia="Times New Roman" w:hAnsi="Simplified Arabic" w:cs="Simplified Arabic"/>
          <w:color w:val="000000" w:themeColor="text1"/>
          <w:kern w:val="0"/>
          <w:sz w:val="28"/>
          <w:szCs w:val="28"/>
          <w14:ligatures w14:val="none"/>
        </w:rPr>
        <w:t>.</w:t>
      </w:r>
    </w:p>
    <w:p w14:paraId="0C0421AC"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الباحث أن الأبعاد الأربعة لدقة التنبؤ بالطلب تُمثِّل منظومة متكاملة لا تقوم على التنافر بل على التكامل، إذ تتوزع وظائف كل بُعد بصورة تُتيح للمؤسسة الاستفادة من كل أسلوب في المجال الذي يتفوق فيه. كما يرى أن قابلية التطبيق العملي لهذه الأبعاد تتفاوت بحسب حجم المؤسسة وطبيعة نشاطها ومستوى نضجها التقني، وهو ما يستدعي مرونةً في الاختيار وتدرُّجًا في التطبيق</w:t>
      </w:r>
      <w:r w:rsidRPr="008343BF">
        <w:rPr>
          <w:rFonts w:ascii="Simplified Arabic" w:eastAsia="Times New Roman" w:hAnsi="Simplified Arabic" w:cs="Simplified Arabic"/>
          <w:color w:val="000000" w:themeColor="text1"/>
          <w:kern w:val="0"/>
          <w:sz w:val="28"/>
          <w:szCs w:val="28"/>
          <w14:ligatures w14:val="none"/>
        </w:rPr>
        <w:t>.</w:t>
      </w:r>
    </w:p>
    <w:p w14:paraId="158C8DD1" w14:textId="2D829BE8"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042142"/>
      <w:r w:rsidRPr="008343BF">
        <w:rPr>
          <w:rFonts w:ascii="Simplified Arabic" w:eastAsia="Times New Roman" w:hAnsi="Simplified Arabic" w:cs="Simplified Arabic" w:hint="cs"/>
          <w:b/>
          <w:bCs/>
          <w:color w:val="000000" w:themeColor="text1"/>
          <w:kern w:val="0"/>
          <w:sz w:val="32"/>
          <w:szCs w:val="32"/>
          <w:rtl/>
          <w14:ligatures w14:val="none"/>
        </w:rPr>
        <w:t>6.1.2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استراتيجيات تعزيز دقة التنبؤ بالطلب</w:t>
      </w:r>
      <w:bookmarkEnd w:id="47"/>
    </w:p>
    <w:p w14:paraId="4C29459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تتعدد الاستراتيجيات التي يُمكن للمؤسسات تبنيها لتعزيز دقة التنبؤ بالطلب، وتتوزع بين استراتيجيات تتعلق بالبيانات واستراتيجيات تتعلق بالنماذج واستراتيجيات تتعلق بالكوادر البشرية. ويُشير الغامدي وآخرون (2025) إلى أن تكامل إدارة سلسلة الإمداد مع التنبؤ يُمثِّل استراتيجية محورية، حيث يُتيح تدفق المعلومات بين حلقات السلسلة بناء قاعدة بيانات شاملة تُغذِّي النماذج التنبؤية بمدخلات أكثر ثراءً. كما يرى اليامي وآخرون (2024) أن تطوير منظومة إدارة المخزون يُمثِّل استراتيجية مكملة، إذ تُوفِّر بيانات تشغيلية دقيقة تُحسِّن من جودة التنبؤ</w:t>
      </w:r>
      <w:r w:rsidRPr="008343BF">
        <w:rPr>
          <w:rFonts w:ascii="Simplified Arabic" w:eastAsia="Times New Roman" w:hAnsi="Simplified Arabic" w:cs="Simplified Arabic"/>
          <w:color w:val="000000" w:themeColor="text1"/>
          <w:kern w:val="0"/>
          <w:sz w:val="28"/>
          <w:szCs w:val="28"/>
          <w14:ligatures w14:val="none"/>
        </w:rPr>
        <w:t>.</w:t>
      </w:r>
    </w:p>
    <w:p w14:paraId="665FBAAC"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ويُؤكِّد العتيبي والنعيم (2025) أن توظيف المحاسبة السحابية يُمثِّل استراتيجية حديثة لتعزيز دقة التنبؤ، حيث تُتيح هذه التقنية الوصول إلى بيانات مالية وتشغيلية في الوقت الفعلي، وتُحسِّن من قدرة المؤسسة على تغذية النماذج التنبؤية ببيانات محدثة. ويرى تريهابساري</w:t>
      </w:r>
      <w:r w:rsidRPr="008343BF">
        <w:rPr>
          <w:rFonts w:ascii="Simplified Arabic" w:eastAsia="Times New Roman" w:hAnsi="Simplified Arabic" w:cs="Simplified Arabic"/>
          <w:color w:val="000000" w:themeColor="text1"/>
          <w:kern w:val="0"/>
          <w:sz w:val="28"/>
          <w:szCs w:val="28"/>
          <w14:ligatures w14:val="none"/>
        </w:rPr>
        <w:t xml:space="preserve"> (Trihapsari, 2024) </w:t>
      </w:r>
      <w:r w:rsidRPr="008343BF">
        <w:rPr>
          <w:rFonts w:ascii="Simplified Arabic" w:eastAsia="Times New Roman" w:hAnsi="Simplified Arabic" w:cs="Simplified Arabic"/>
          <w:color w:val="000000" w:themeColor="text1"/>
          <w:kern w:val="0"/>
          <w:sz w:val="28"/>
          <w:szCs w:val="28"/>
          <w:rtl/>
          <w14:ligatures w14:val="none"/>
        </w:rPr>
        <w:t>أن تطوير استراتيجيات تحسين لإدارة المخزون الراكد يُمثِّل امتدادًا طبيعيًا لاستراتيجيات تعزيز دقة التنبؤ، إذ تتكامل الاستراتيجيتان في إطار منظومة شاملة لتحسين الأداء التخزيني</w:t>
      </w:r>
      <w:r w:rsidRPr="008343BF">
        <w:rPr>
          <w:rFonts w:ascii="Simplified Arabic" w:eastAsia="Times New Roman" w:hAnsi="Simplified Arabic" w:cs="Simplified Arabic"/>
          <w:color w:val="000000" w:themeColor="text1"/>
          <w:kern w:val="0"/>
          <w:sz w:val="28"/>
          <w:szCs w:val="28"/>
          <w14:ligatures w14:val="none"/>
        </w:rPr>
        <w:t>.</w:t>
      </w:r>
    </w:p>
    <w:p w14:paraId="01894C41"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ويُضيف لي وآخرون</w:t>
      </w:r>
      <w:r w:rsidRPr="008343BF">
        <w:rPr>
          <w:rFonts w:ascii="Simplified Arabic" w:eastAsia="Times New Roman" w:hAnsi="Simplified Arabic" w:cs="Simplified Arabic"/>
          <w:color w:val="000000" w:themeColor="text1"/>
          <w:kern w:val="0"/>
          <w:sz w:val="28"/>
          <w:szCs w:val="28"/>
          <w14:ligatures w14:val="none"/>
        </w:rPr>
        <w:t xml:space="preserve"> (Li, Seva, &amp; Chiu, 2025) </w:t>
      </w:r>
      <w:r w:rsidRPr="008343BF">
        <w:rPr>
          <w:rFonts w:ascii="Simplified Arabic" w:eastAsia="Times New Roman" w:hAnsi="Simplified Arabic" w:cs="Simplified Arabic"/>
          <w:color w:val="000000" w:themeColor="text1"/>
          <w:kern w:val="0"/>
          <w:sz w:val="28"/>
          <w:szCs w:val="28"/>
          <w:rtl/>
          <w14:ligatures w14:val="none"/>
        </w:rPr>
        <w:t xml:space="preserve">أن الاستراتيجيات المختلطة لتحسين التكلفة تُمثِّل نهجًا متقدمًا في إدارة المخزون الراكد، يقوم على دمج تقديرات الطلب مع نماذج التحسين </w:t>
      </w:r>
      <w:r w:rsidRPr="008343BF">
        <w:rPr>
          <w:rFonts w:ascii="Simplified Arabic" w:eastAsia="Times New Roman" w:hAnsi="Simplified Arabic" w:cs="Simplified Arabic"/>
          <w:color w:val="000000" w:themeColor="text1"/>
          <w:kern w:val="0"/>
          <w:sz w:val="28"/>
          <w:szCs w:val="28"/>
          <w:rtl/>
          <w14:ligatures w14:val="none"/>
        </w:rPr>
        <w:lastRenderedPageBreak/>
        <w:t>الاقتصادي، بما يُتيح للمؤسسات التوصل إلى حلول مستدامة. وتنبع أهمية هذه الاستراتيجيات من كونها تتجاوز التحسين الجزئي إلى التحسين الكلي للمنظومة، وتربط بين دقة التنبؤ ونتائجها التشغيلية والمالية. ويُؤكِّد مزهر وعذاب (2023) أن تطبيق نماذج المخزون لتحديد حجم الدفعة الاقتصادية يُمثِّل استراتيجية تكميلية تستفيد من مخرجات التنبؤ في ترشيد قرارات الشراء</w:t>
      </w:r>
      <w:r w:rsidRPr="008343BF">
        <w:rPr>
          <w:rFonts w:ascii="Simplified Arabic" w:eastAsia="Times New Roman" w:hAnsi="Simplified Arabic" w:cs="Simplified Arabic"/>
          <w:color w:val="000000" w:themeColor="text1"/>
          <w:kern w:val="0"/>
          <w:sz w:val="28"/>
          <w:szCs w:val="28"/>
          <w14:ligatures w14:val="none"/>
        </w:rPr>
        <w:t>.</w:t>
      </w:r>
    </w:p>
    <w:p w14:paraId="0B3EFF15"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الباحث أن نجاح هذه الاستراتيجيات يتوقف على مدى تكاملها مع البنية التنظيمية للمؤسسة وثقافتها الإدارية، وعلى توفر إرادة قيادية تدفع نحو التحول من النهج التقليدي في التنبؤ إلى النهج المبني على البيانات والتقنيات المتقدمة، بما يُمكِّن المؤسسة من تحقيق الاستفادة القصوى من دقة تنبؤاتها في تخفيض المخزون الراكد وتقليص تكاليف التخزين</w:t>
      </w:r>
      <w:r w:rsidRPr="008343BF">
        <w:rPr>
          <w:rFonts w:ascii="Simplified Arabic" w:eastAsia="Times New Roman" w:hAnsi="Simplified Arabic" w:cs="Simplified Arabic"/>
          <w:color w:val="000000" w:themeColor="text1"/>
          <w:kern w:val="0"/>
          <w:sz w:val="28"/>
          <w:szCs w:val="28"/>
          <w14:ligatures w14:val="none"/>
        </w:rPr>
        <w:t>.</w:t>
      </w:r>
    </w:p>
    <w:p w14:paraId="60B980E1" w14:textId="4865A7B3" w:rsidR="00A42832" w:rsidRPr="008343BF" w:rsidRDefault="00623818" w:rsidP="00623818">
      <w:pPr>
        <w:jc w:val="center"/>
        <w:outlineLvl w:val="1"/>
        <w:rPr>
          <w:rFonts w:ascii="Simplified Arabic" w:eastAsia="Times New Roman" w:hAnsi="Simplified Arabic" w:cs="Simplified Arabic"/>
          <w:b/>
          <w:bCs/>
          <w:color w:val="000000" w:themeColor="text1"/>
          <w:kern w:val="0"/>
          <w:sz w:val="36"/>
          <w:szCs w:val="36"/>
          <w14:ligatures w14:val="none"/>
        </w:rPr>
      </w:pPr>
      <w:r w:rsidRPr="008343BF">
        <w:rPr>
          <w:rFonts w:ascii="Simplified Arabic" w:eastAsia="Times New Roman" w:hAnsi="Simplified Arabic" w:cs="Simplified Arabic"/>
          <w:b/>
          <w:bCs/>
          <w:color w:val="000000" w:themeColor="text1"/>
          <w:kern w:val="0"/>
          <w:sz w:val="36"/>
          <w:szCs w:val="36"/>
          <w:rtl/>
          <w14:ligatures w14:val="none"/>
        </w:rPr>
        <w:br w:type="page"/>
      </w:r>
      <w:bookmarkStart w:id="48" w:name="_Toc233042143"/>
      <w:r w:rsidR="00A42832" w:rsidRPr="008343BF">
        <w:rPr>
          <w:rFonts w:ascii="Simplified Arabic" w:eastAsia="Times New Roman" w:hAnsi="Simplified Arabic" w:cs="Simplified Arabic"/>
          <w:b/>
          <w:bCs/>
          <w:color w:val="000000" w:themeColor="text1"/>
          <w:kern w:val="0"/>
          <w:sz w:val="36"/>
          <w:szCs w:val="36"/>
          <w:rtl/>
          <w14:ligatures w14:val="none"/>
        </w:rPr>
        <w:lastRenderedPageBreak/>
        <w:t>المبحث الثاني: تخفيض المخزون الراكد وتكاليف التخزين</w:t>
      </w:r>
      <w:bookmarkEnd w:id="48"/>
    </w:p>
    <w:p w14:paraId="47921B48" w14:textId="3A88E4D1"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042144"/>
      <w:r w:rsidRPr="008343BF">
        <w:rPr>
          <w:rFonts w:ascii="Simplified Arabic" w:eastAsia="Times New Roman" w:hAnsi="Simplified Arabic" w:cs="Simplified Arabic" w:hint="cs"/>
          <w:b/>
          <w:bCs/>
          <w:color w:val="000000" w:themeColor="text1"/>
          <w:kern w:val="0"/>
          <w:sz w:val="32"/>
          <w:szCs w:val="32"/>
          <w:rtl/>
          <w14:ligatures w14:val="none"/>
        </w:rPr>
        <w:t xml:space="preserve">1.2.2 </w:t>
      </w:r>
      <w:r w:rsidR="00A42832" w:rsidRPr="008343BF">
        <w:rPr>
          <w:rFonts w:ascii="Simplified Arabic" w:eastAsia="Times New Roman" w:hAnsi="Simplified Arabic" w:cs="Simplified Arabic"/>
          <w:b/>
          <w:bCs/>
          <w:color w:val="000000" w:themeColor="text1"/>
          <w:kern w:val="0"/>
          <w:sz w:val="32"/>
          <w:szCs w:val="32"/>
          <w:rtl/>
          <w14:ligatures w14:val="none"/>
        </w:rPr>
        <w:t>تمهيد</w:t>
      </w:r>
      <w:bookmarkEnd w:id="49"/>
    </w:p>
    <w:p w14:paraId="4B2D6BBA"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يُمثِّل المخزون أحد أهم الأصول التشغيلية في المؤسسات الصناعية والتجارية، إذ يُجسِّد جسر الاتصال بين العرض والطلب، ويُؤدي دورًا محوريًا في ضمان استمرارية العمليات الإنتاجية والتسويقية. غير أن هذا الأصل يحمل في طياته بُعدًا مزدوجًا؛ فهو من جهة ضرورة لا يمكن الاستغناء عنها، ومن جهة أخرى عبء مالي وتشغيلي يستنزف موارد المؤسسة إذا لم يُدر بكفاءة. ومع تطور البيئة التشغيلية وتعقُّد سلاسل التوريد، باتت قضية تخفيض المخزون الراكد وتقليص تكاليف التخزين تحتل مكانة محورية في الفكر الإداري المعاصر، باعتبارها مدخلًا رئيسيًا لتعزيز الكفاءة التشغيلية ورفع مستوى الربحية</w:t>
      </w:r>
      <w:r w:rsidRPr="008343BF">
        <w:rPr>
          <w:rFonts w:ascii="Simplified Arabic" w:eastAsia="Times New Roman" w:hAnsi="Simplified Arabic" w:cs="Simplified Arabic"/>
          <w:color w:val="000000" w:themeColor="text1"/>
          <w:kern w:val="0"/>
          <w:sz w:val="28"/>
          <w:szCs w:val="28"/>
          <w14:ligatures w14:val="none"/>
        </w:rPr>
        <w:t>.</w:t>
      </w:r>
    </w:p>
    <w:p w14:paraId="288A9EDB"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ولم يَعُد المخزون الراكد مجرد ظاهرة عرضية في عمليات المؤسسة، بل تحوَّل إلى مشكلة هيكلية تستنزف رأس المال العامل وتقلِّص قدرة المؤسسة على التكيف مع التغيرات السوقية. فالأصناف التي يطول مكوثها في المستودعات دون حركة بيع تتحول إلى عبء مالي يُقيِّد السيولة، وتشغل مساحات تخزينية يمكن توظيفها بصورة أكثر إنتاجية، وتستهلك تكاليف صيانة وحماية وتأمين دون أن تُسهم في توليد إيرادات. ومن هنا، تتعاظم الحاجة إلى منظومة متكاملة من السياسات والإجراءات تستهدف الحد من تراكم هذا النوع من المخزون، وتقليص تكاليف التخزين الإجمالية إلى أدنى مستوياتها الممكنة</w:t>
      </w:r>
      <w:r w:rsidRPr="008343BF">
        <w:rPr>
          <w:rFonts w:ascii="Simplified Arabic" w:eastAsia="Times New Roman" w:hAnsi="Simplified Arabic" w:cs="Simplified Arabic"/>
          <w:color w:val="000000" w:themeColor="text1"/>
          <w:kern w:val="0"/>
          <w:sz w:val="28"/>
          <w:szCs w:val="28"/>
          <w14:ligatures w14:val="none"/>
        </w:rPr>
        <w:t>.</w:t>
      </w:r>
    </w:p>
    <w:p w14:paraId="68FCFAB1"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ويتقاطع تخفيض المخزون الراكد وتكاليف التخزين مع جوانب متعددة في إدارة المؤسسة، تشمل: التخطيط الإنتاجي، وسياسات الشراء، وإدارة سلسلة التوريد، والتنبؤ بالطلب، وإدارة العلاقات مع الموردين، وقرارات التخلص من المخزون الفائض. وهو ما يجعل التعامل مع هذه القضية يتطلب مقاربة شمولية تأخذ في الحسبان جميع هذه الجوانب وتسعى إلى تحقيق التكامل بينها. ويتناول هذا المبحث المتغير التابع من خلال استعراض مفهومه وأهميته وأهدافه وأبعاده والاستراتيجيات الحاكمة له، بما يُؤسِّس لفهم متكامل لطبيعته قبل تحليل علاقته بالمتغير المستقل</w:t>
      </w:r>
      <w:r w:rsidRPr="008343BF">
        <w:rPr>
          <w:rFonts w:ascii="Simplified Arabic" w:eastAsia="Times New Roman" w:hAnsi="Simplified Arabic" w:cs="Simplified Arabic"/>
          <w:color w:val="000000" w:themeColor="text1"/>
          <w:kern w:val="0"/>
          <w:sz w:val="28"/>
          <w:szCs w:val="28"/>
          <w14:ligatures w14:val="none"/>
        </w:rPr>
        <w:t>.</w:t>
      </w:r>
    </w:p>
    <w:p w14:paraId="4C2A4EE9" w14:textId="2AACC858"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042145"/>
      <w:r w:rsidRPr="008343BF">
        <w:rPr>
          <w:rFonts w:ascii="Simplified Arabic" w:eastAsia="Times New Roman" w:hAnsi="Simplified Arabic" w:cs="Simplified Arabic" w:hint="cs"/>
          <w:b/>
          <w:bCs/>
          <w:color w:val="000000" w:themeColor="text1"/>
          <w:kern w:val="0"/>
          <w:sz w:val="32"/>
          <w:szCs w:val="32"/>
          <w:rtl/>
          <w14:ligatures w14:val="none"/>
        </w:rPr>
        <w:t>2.2.2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مفهوم تخفيض المخزون الراكد وتكاليف التخزين</w:t>
      </w:r>
      <w:bookmarkEnd w:id="50"/>
    </w:p>
    <w:p w14:paraId="0E222F1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تتباين تعريفات الباحثين لمفهوم تخفيض المخزون الراكد وتكاليف التخزين بحسب الزاوية التي يُقاربه منها كل باحث، حيث يطرح سريسامي وسيريروك</w:t>
      </w:r>
      <w:r w:rsidRPr="008343BF">
        <w:rPr>
          <w:rFonts w:ascii="Simplified Arabic" w:eastAsia="Times New Roman" w:hAnsi="Simplified Arabic" w:cs="Simplified Arabic"/>
          <w:color w:val="000000" w:themeColor="text1"/>
          <w:kern w:val="0"/>
          <w:sz w:val="28"/>
          <w:szCs w:val="28"/>
          <w14:ligatures w14:val="none"/>
        </w:rPr>
        <w:t xml:space="preserve"> (Srisamai &amp; Siriruk, 2023) </w:t>
      </w:r>
      <w:r w:rsidRPr="008343BF">
        <w:rPr>
          <w:rFonts w:ascii="Simplified Arabic" w:eastAsia="Times New Roman" w:hAnsi="Simplified Arabic" w:cs="Simplified Arabic"/>
          <w:color w:val="000000" w:themeColor="text1"/>
          <w:kern w:val="0"/>
          <w:sz w:val="28"/>
          <w:szCs w:val="28"/>
          <w:rtl/>
          <w14:ligatures w14:val="none"/>
        </w:rPr>
        <w:t xml:space="preserve">المفهوم </w:t>
      </w:r>
      <w:r w:rsidRPr="008343BF">
        <w:rPr>
          <w:rFonts w:ascii="Simplified Arabic" w:eastAsia="Times New Roman" w:hAnsi="Simplified Arabic" w:cs="Simplified Arabic"/>
          <w:color w:val="000000" w:themeColor="text1"/>
          <w:kern w:val="0"/>
          <w:sz w:val="28"/>
          <w:szCs w:val="28"/>
          <w:rtl/>
          <w14:ligatures w14:val="none"/>
        </w:rPr>
        <w:lastRenderedPageBreak/>
        <w:t>بوصفه منظومة إجراءات وسياسات تستهدف تقليص الأصناف التي تفقد حركتها داخل المستودعات وتحدُّ من نزيف التكاليف المرتبطة بها، وذلك من خلال تكامل التنبؤ الدقيق بالطلب مع قرارات الشراء وإدارة المخزون. ويُؤكِّدان أن المفهوم لا يقتصر على التخلص من المخزون الراكد القائم، بل يمتد ليشمل منع نشوئه ابتداءً عبر سياسات استباقية تقوم على فهم عميق لسلوك الطلب</w:t>
      </w:r>
      <w:r w:rsidRPr="008343BF">
        <w:rPr>
          <w:rFonts w:ascii="Simplified Arabic" w:eastAsia="Times New Roman" w:hAnsi="Simplified Arabic" w:cs="Simplified Arabic"/>
          <w:color w:val="000000" w:themeColor="text1"/>
          <w:kern w:val="0"/>
          <w:sz w:val="28"/>
          <w:szCs w:val="28"/>
          <w14:ligatures w14:val="none"/>
        </w:rPr>
        <w:t>.</w:t>
      </w:r>
    </w:p>
    <w:p w14:paraId="50755527"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ويُقدِّم تريهابساري</w:t>
      </w:r>
      <w:r w:rsidRPr="008343BF">
        <w:rPr>
          <w:rFonts w:ascii="Simplified Arabic" w:eastAsia="Times New Roman" w:hAnsi="Simplified Arabic" w:cs="Simplified Arabic"/>
          <w:color w:val="000000" w:themeColor="text1"/>
          <w:kern w:val="0"/>
          <w:sz w:val="28"/>
          <w:szCs w:val="28"/>
          <w14:ligatures w14:val="none"/>
        </w:rPr>
        <w:t xml:space="preserve"> (Trihapsari, 2024) </w:t>
      </w:r>
      <w:r w:rsidRPr="008343BF">
        <w:rPr>
          <w:rFonts w:ascii="Simplified Arabic" w:eastAsia="Times New Roman" w:hAnsi="Simplified Arabic" w:cs="Simplified Arabic"/>
          <w:color w:val="000000" w:themeColor="text1"/>
          <w:kern w:val="0"/>
          <w:sz w:val="28"/>
          <w:szCs w:val="28"/>
          <w:rtl/>
          <w14:ligatures w14:val="none"/>
        </w:rPr>
        <w:t>تعريفًا أكثر تفصيلًا، إذ ينظر إلى تخفيض المخزون الراكد بوصفه استراتيجية تحسين تتكامل فيها الأدوات الكمية مع الفهم النوعي لطبيعة الأصناف، بهدف تطوير حلول مخصصة لكل نوع من أنواع المخزون بحسب درجة ركوده وأسبابه. ويرى أن المفهوم يتجاوز البُعد التقني الضيق ليشمل أبعادًا استراتيجية تتعلق بإعادة هيكلة منظومة المخزون بصورة شاملة. ويُقارب لي وآخرون</w:t>
      </w:r>
      <w:r w:rsidRPr="008343BF">
        <w:rPr>
          <w:rFonts w:ascii="Simplified Arabic" w:eastAsia="Times New Roman" w:hAnsi="Simplified Arabic" w:cs="Simplified Arabic"/>
          <w:color w:val="000000" w:themeColor="text1"/>
          <w:kern w:val="0"/>
          <w:sz w:val="28"/>
          <w:szCs w:val="28"/>
          <w14:ligatures w14:val="none"/>
        </w:rPr>
        <w:t xml:space="preserve"> (Li et al., 2025) </w:t>
      </w:r>
      <w:r w:rsidRPr="008343BF">
        <w:rPr>
          <w:rFonts w:ascii="Simplified Arabic" w:eastAsia="Times New Roman" w:hAnsi="Simplified Arabic" w:cs="Simplified Arabic"/>
          <w:color w:val="000000" w:themeColor="text1"/>
          <w:kern w:val="0"/>
          <w:sz w:val="28"/>
          <w:szCs w:val="28"/>
          <w:rtl/>
          <w14:ligatures w14:val="none"/>
        </w:rPr>
        <w:t>المفهوم من زاوية الاستدامة، حيث يُعرِّفون تخفيض المخزون الراكد بأنه نهج متكامل يجمع بين الاعتبارات الاقتصادية والبيئية، ويقوم على استراتيجيات مختلطة لتحسين التكلفة تستهدف إدارة الأصناف الراكدة بصورة مستدامة تُقلِّص الهدر وتحافظ على الموارد</w:t>
      </w:r>
      <w:r w:rsidRPr="008343BF">
        <w:rPr>
          <w:rFonts w:ascii="Simplified Arabic" w:eastAsia="Times New Roman" w:hAnsi="Simplified Arabic" w:cs="Simplified Arabic"/>
          <w:color w:val="000000" w:themeColor="text1"/>
          <w:kern w:val="0"/>
          <w:sz w:val="28"/>
          <w:szCs w:val="28"/>
          <w14:ligatures w14:val="none"/>
        </w:rPr>
        <w:t>.</w:t>
      </w:r>
    </w:p>
    <w:p w14:paraId="4050A42A"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ومن منظور تشغيلي، يُعرِّف القاضي وآخرون (2023) تخفيض المخزون الراكد بأنه ثمرة من ثمار إدارة المخزون الديناميكي التي تستهدف تحسين الأداء التشغيلي عبر ضبط مستويات المخزون بصورة مستمرة بما يتلاءم مع التغيرات في الطلب وظروف العرض. ويرى اليامي وآخرون (2024) أن المفهوم يتجلى في قدرة منظومة إدارة المخزون على تحسين أداء المؤسسات، خاصةً في القطاعات الحساسة كقطاع المستشفيات الحكومية، حيث يُؤدي تراكم المخزون الراكد إلى تكاليف باهظة وضياع للموارد</w:t>
      </w:r>
      <w:r w:rsidRPr="008343BF">
        <w:rPr>
          <w:rFonts w:ascii="Simplified Arabic" w:eastAsia="Times New Roman" w:hAnsi="Simplified Arabic" w:cs="Simplified Arabic"/>
          <w:color w:val="000000" w:themeColor="text1"/>
          <w:kern w:val="0"/>
          <w:sz w:val="28"/>
          <w:szCs w:val="28"/>
          <w14:ligatures w14:val="none"/>
        </w:rPr>
        <w:t>.</w:t>
      </w:r>
    </w:p>
    <w:p w14:paraId="70B6C7C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ويُضيف الغامدي وآخرون (2025) بُعدًا تكامليًا للمفهوم، إذ يربطون تخفيض المخزون الراكد بكفاءة إدارة سلاسل الإمداد، ويرون أن المفهوم لا يكتمل دون النظر إلى المخزون باعتباره حلقة في سلسلة متكاملة تبدأ من المورد وتنتهي عند المستهلك النهائي. وتنبع قوة هذا التعريف من اعترافه بأن المخزون الراكد ليس مشكلة معزولة، بل عرض من أعراض اختلال في منظومة سلسلة الإمداد بأكملها. ويُقارب العتيبي والنعيم (2025) المفهوم من زاوية تقنية، حيث يُعرِّفان تخفيض تكاليف إدارة المخزون بأنه ثمرة من ثمار توظيف التقنيات الحديثة كالمحاسبة السحابية في تحسين عمليات الجرد ومتابعة الأصناف</w:t>
      </w:r>
      <w:r w:rsidRPr="008343BF">
        <w:rPr>
          <w:rFonts w:ascii="Simplified Arabic" w:eastAsia="Times New Roman" w:hAnsi="Simplified Arabic" w:cs="Simplified Arabic"/>
          <w:color w:val="000000" w:themeColor="text1"/>
          <w:kern w:val="0"/>
          <w:sz w:val="28"/>
          <w:szCs w:val="28"/>
          <w14:ligatures w14:val="none"/>
        </w:rPr>
        <w:t>.</w:t>
      </w:r>
    </w:p>
    <w:p w14:paraId="2F1B2C6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وعلى الصعيد العملي، يطرح بن زغدة (2025) المفهوم في إطار نموذج كمية الطلب الاقتصادية، حيث يُعرِّف تخفيض تكاليف التخزين بأنه نتيجة منطقية لتطبيق نماذج كمية تستهدف الموازنة بين تكاليف الطلب وتكاليف الاحتفاظ بالمخزون. ويرى محمودي ومكيد (2025) أن المفهوم يتجلى في ترشيد قرارات تسيير المخزون بالاعتماد على التقنيات الكمية، بما يُحقِّق التوازن بين تلبية الاحتياجات التشغيلية وتقليص التكاليف. ويُضيف مخيمر (2024) أن تخفيض الاستثمار في المخزون يُمثِّل وجهًا مكملًا للمفهوم، إذ يستهدف تقليص رأس المال المجمَّد في المخزون عبر تطبيق نماذج كمية في إطار نظم تخطيط الاحتياجات من المواد</w:t>
      </w:r>
      <w:r w:rsidRPr="008343BF">
        <w:rPr>
          <w:rFonts w:ascii="Simplified Arabic" w:eastAsia="Times New Roman" w:hAnsi="Simplified Arabic" w:cs="Simplified Arabic"/>
          <w:color w:val="000000" w:themeColor="text1"/>
          <w:kern w:val="0"/>
          <w:sz w:val="28"/>
          <w:szCs w:val="28"/>
          <w14:ligatures w14:val="none"/>
        </w:rPr>
        <w:t>.</w:t>
      </w:r>
    </w:p>
    <w:p w14:paraId="40836939"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ومما تقدَّم، يتبيَّن أن التعريفات تتوزع بين ثلاث مدارس فكرية: المدرسة الأولى تُركِّز على البُعد الكمي للمفهوم وتربطه بنماذج كمية محددة، والمدرسة الثانية تُقاربه من زاوية الاستراتيجية الشاملة التي تتجاوز الأدوات الكمية إلى إعادة الهيكلة، والمدرسة الثالثة تربطه بمنظومة سلسلة الإمداد وتنظر إليه باعتباره ثمرة من ثمار التكامل في هذه المنظومة. ويرى الباحث – استنادًا إلى ما تقدَّم – أن تخفيض المخزون الراكد وتكاليف التخزين يُمكن تعريفه إجرائيًا بأنه: «منظومة متكاملة من السياسات والإجراءات والقرارات التي تستهدف تقليص الأصناف التي فقدت حركتها في المستودعات، والحد من تكاليف الاحتفاظ بالمخزون والتأمين عليه وصيانته وإهلاكه، عبر الاستفادة من دقة التنبؤ بالطلب وتطبيق النماذج الكمية وتقنيات التعلم الآلي وتحليل السلاسل الزمنية والنماذج الهجينة، بما يُسهم في تعزيز الكفاءة التشغيلية للمؤسسات الصناعية والتجارية ورفع ربحيتها</w:t>
      </w:r>
      <w:r w:rsidRPr="008343BF">
        <w:rPr>
          <w:rFonts w:ascii="Simplified Arabic" w:eastAsia="Times New Roman" w:hAnsi="Simplified Arabic" w:cs="Simplified Arabic"/>
          <w:color w:val="000000" w:themeColor="text1"/>
          <w:kern w:val="0"/>
          <w:sz w:val="28"/>
          <w:szCs w:val="28"/>
          <w14:ligatures w14:val="none"/>
        </w:rPr>
        <w:t>».</w:t>
      </w:r>
    </w:p>
    <w:p w14:paraId="0C688893" w14:textId="5742A36A"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042146"/>
      <w:r w:rsidRPr="008343BF">
        <w:rPr>
          <w:rFonts w:ascii="Simplified Arabic" w:eastAsia="Times New Roman" w:hAnsi="Simplified Arabic" w:cs="Simplified Arabic" w:hint="cs"/>
          <w:b/>
          <w:bCs/>
          <w:color w:val="000000" w:themeColor="text1"/>
          <w:kern w:val="0"/>
          <w:sz w:val="32"/>
          <w:szCs w:val="32"/>
          <w:rtl/>
          <w14:ligatures w14:val="none"/>
        </w:rPr>
        <w:t>3.2.2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أهمية تخفيض المخزون الراكد وتكاليف التخزين</w:t>
      </w:r>
      <w:bookmarkEnd w:id="51"/>
    </w:p>
    <w:p w14:paraId="214C3337"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تستمد قضية تخفيض المخزون الراكد وتكاليف التخزين أهميتها من تأثيرها المباشر على الأداء المالي والتشغيلي للمؤسسة، إذ تُمثِّل تكاليف المخزون أحد أكبر بنود التكاليف غير الإنتاجية التي تتحملها المؤسسات الصناعية والتجارية، ويُؤدي ارتفاعها إلى تآكل هوامش الربح وتقليص القدرة التنافسية. وتتعاظم هذه الأهمية في البيئات التي تتسم بسرعة التغير وتقلُّب الطلب، حيث يُصبح تراكم المخزون الراكد ظاهرة شائعة تستدعي تدخلًا منهجيًا. كما تكتسب هذه القضية أهمية مضاعفة في القطاعات التي تتعامل مع منتجات قابلة للتلف أو ذات دورة حياة قصيرة، حيث يُؤدي ركود المخزون إلى خسائر مباشرة لا يمكن استرجاعها</w:t>
      </w:r>
      <w:r w:rsidRPr="008343BF">
        <w:rPr>
          <w:rFonts w:ascii="Simplified Arabic" w:eastAsia="Times New Roman" w:hAnsi="Simplified Arabic" w:cs="Simplified Arabic"/>
          <w:color w:val="000000" w:themeColor="text1"/>
          <w:kern w:val="0"/>
          <w:sz w:val="28"/>
          <w:szCs w:val="28"/>
          <w14:ligatures w14:val="none"/>
        </w:rPr>
        <w:t>.</w:t>
      </w:r>
    </w:p>
    <w:p w14:paraId="03558739"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ويُشير لي وآخرون</w:t>
      </w:r>
      <w:r w:rsidRPr="008343BF">
        <w:rPr>
          <w:rFonts w:ascii="Simplified Arabic" w:eastAsia="Times New Roman" w:hAnsi="Simplified Arabic" w:cs="Simplified Arabic"/>
          <w:color w:val="000000" w:themeColor="text1"/>
          <w:kern w:val="0"/>
          <w:sz w:val="28"/>
          <w:szCs w:val="28"/>
          <w14:ligatures w14:val="none"/>
        </w:rPr>
        <w:t xml:space="preserve"> (Li et al., 2025) </w:t>
      </w:r>
      <w:r w:rsidRPr="008343BF">
        <w:rPr>
          <w:rFonts w:ascii="Simplified Arabic" w:eastAsia="Times New Roman" w:hAnsi="Simplified Arabic" w:cs="Simplified Arabic"/>
          <w:color w:val="000000" w:themeColor="text1"/>
          <w:kern w:val="0"/>
          <w:sz w:val="28"/>
          <w:szCs w:val="28"/>
          <w:rtl/>
          <w14:ligatures w14:val="none"/>
        </w:rPr>
        <w:t>إلى أن أهمية تخفيض المخزون الراكد تتجلى في عدة محاور: أولها أنها تُسهم في تحقيق الاستدامة عبر تقليص الهدر في الموارد، وثانيها أنها تُحرِّر رأس المال المجمَّد في المخزون وتُتيح إعادة توظيفه في أنشطة أكثر إنتاجية، وثالثها أنها تُقلِّص الأثر البيئي للأنشطة التجارية والصناعية، ورابعها أنها تُعزِّز كفاءة استخدام المساحات التخزينية، وخامسها أنها تُحسِّن مؤشرات الربحية وتُقوِّي المركز المالي للمؤسسة</w:t>
      </w:r>
      <w:r w:rsidRPr="008343BF">
        <w:rPr>
          <w:rFonts w:ascii="Simplified Arabic" w:eastAsia="Times New Roman" w:hAnsi="Simplified Arabic" w:cs="Simplified Arabic"/>
          <w:color w:val="000000" w:themeColor="text1"/>
          <w:kern w:val="0"/>
          <w:sz w:val="28"/>
          <w:szCs w:val="28"/>
          <w14:ligatures w14:val="none"/>
        </w:rPr>
        <w:t>.</w:t>
      </w:r>
    </w:p>
    <w:p w14:paraId="033138B4"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تريهابساري</w:t>
      </w:r>
      <w:r w:rsidRPr="008343BF">
        <w:rPr>
          <w:rFonts w:ascii="Simplified Arabic" w:eastAsia="Times New Roman" w:hAnsi="Simplified Arabic" w:cs="Simplified Arabic"/>
          <w:color w:val="000000" w:themeColor="text1"/>
          <w:kern w:val="0"/>
          <w:sz w:val="28"/>
          <w:szCs w:val="28"/>
          <w14:ligatures w14:val="none"/>
        </w:rPr>
        <w:t xml:space="preserve"> (Trihapsari, 2024) </w:t>
      </w:r>
      <w:r w:rsidRPr="008343BF">
        <w:rPr>
          <w:rFonts w:ascii="Simplified Arabic" w:eastAsia="Times New Roman" w:hAnsi="Simplified Arabic" w:cs="Simplified Arabic"/>
          <w:color w:val="000000" w:themeColor="text1"/>
          <w:kern w:val="0"/>
          <w:sz w:val="28"/>
          <w:szCs w:val="28"/>
          <w:rtl/>
          <w14:ligatures w14:val="none"/>
        </w:rPr>
        <w:t>أن أهمية تخفيض المخزون الراكد تنبع من كونها استراتيجية تحسين تُتيح للمؤسسات إعادة تخصيص مواردها بصورة أكثر كفاءة، وتطوير قدرتها على التكيف مع التغيرات في الطلب، وبناء منظومة مخزنية أكثر مرونة وأقل تكلفة. ويُؤكِّد أن هذه الأهمية تتعاظم في المؤسسات التي تتعامل مع تنوع كبير في المنتجات، حيث يُمثِّل المخزون الراكد عبئًا متراكمًا يصعب التعامل معه دون استراتيجية واضحة</w:t>
      </w:r>
      <w:r w:rsidRPr="008343BF">
        <w:rPr>
          <w:rFonts w:ascii="Simplified Arabic" w:eastAsia="Times New Roman" w:hAnsi="Simplified Arabic" w:cs="Simplified Arabic"/>
          <w:color w:val="000000" w:themeColor="text1"/>
          <w:kern w:val="0"/>
          <w:sz w:val="28"/>
          <w:szCs w:val="28"/>
          <w14:ligatures w14:val="none"/>
        </w:rPr>
        <w:t>.</w:t>
      </w:r>
    </w:p>
    <w:p w14:paraId="1258FE33"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ويُؤكِّد القاضي وآخرون (2023) أن أهمية تخفيض المخزون الراكد تتجلى في كونها مدخلًا لتحسين الأداء التشغيلي للمؤسسات، حيث يُؤدي تقليص المخزون الراكد إلى تحرير المساحات التخزينية وتقليص أوقات البحث عن الأصناف وتحسين دقة الجرد، وهو ما ينعكس على كفاءة العمليات اللوجستية بأكملها. ويرى اليامي وآخرون (2024) أن هذه الأهمية تتعاظم في القطاعات الحيوية كقطاع المستشفيات، حيث يُؤدي تراكم المخزون الراكد إلى استنزاف الميزانيات وتقليص قدرة المؤسسة على الاستجابة للاحتياجات الفعلية للمرضى</w:t>
      </w:r>
      <w:r w:rsidRPr="008343BF">
        <w:rPr>
          <w:rFonts w:ascii="Simplified Arabic" w:eastAsia="Times New Roman" w:hAnsi="Simplified Arabic" w:cs="Simplified Arabic"/>
          <w:color w:val="000000" w:themeColor="text1"/>
          <w:kern w:val="0"/>
          <w:sz w:val="28"/>
          <w:szCs w:val="28"/>
          <w14:ligatures w14:val="none"/>
        </w:rPr>
        <w:t>.</w:t>
      </w:r>
    </w:p>
    <w:p w14:paraId="7B1CB5D4"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ومن منظور تكاملي، يُشير الغامدي وآخرون (2025) إلى أن أهمية تخفيض المخزون الراكد تتجلى في ارتباطها بكفاءة إدارة سلاسل الإمداد، إذ يُمثِّل المخزون الراكد عرضًا من أعراض اختلال في التكامل بين حلقات السلسلة، ومعالجته تقتضي إعادة النظر في منظومة الإمداد بأكملها. ويُؤكِّد العتيبي والنعيم (2025) أن أهمية تخفيض تكاليف إدارة المخزون تتعاظم مع توفر التقنيات الحديثة التي تُتيح متابعة المخزون في الوقت الفعلي وتحسين دقة عمليات الجرد، وهو ما يُسهم في الكشف المبكر عن الأصناف الراكدة واتخاذ قرارات سريعة بشأنها</w:t>
      </w:r>
      <w:r w:rsidRPr="008343BF">
        <w:rPr>
          <w:rFonts w:ascii="Simplified Arabic" w:eastAsia="Times New Roman" w:hAnsi="Simplified Arabic" w:cs="Simplified Arabic"/>
          <w:color w:val="000000" w:themeColor="text1"/>
          <w:kern w:val="0"/>
          <w:sz w:val="28"/>
          <w:szCs w:val="28"/>
          <w14:ligatures w14:val="none"/>
        </w:rPr>
        <w:t>.</w:t>
      </w:r>
    </w:p>
    <w:p w14:paraId="17788BEA"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 xml:space="preserve">ويرى بن بايرة (2021) أن أهمية تخفيض تكاليف التخزين تتجلى في كونها مدخلًا لتحسين تنافسية المؤسسة، إذ يُتيح نظام الإنتاج في الوقت المحدد تقليص المخزون إلى الحد الأدنى الممكن، وهو ما ينعكس على هيكل التكلفة الإجمالي للمنتج ويُحسِّن من قدرة المؤسسة على المنافسة السعرية. ويُشير </w:t>
      </w:r>
      <w:r w:rsidRPr="008343BF">
        <w:rPr>
          <w:rFonts w:ascii="Simplified Arabic" w:eastAsia="Times New Roman" w:hAnsi="Simplified Arabic" w:cs="Simplified Arabic"/>
          <w:color w:val="000000" w:themeColor="text1"/>
          <w:kern w:val="0"/>
          <w:sz w:val="28"/>
          <w:szCs w:val="28"/>
          <w:rtl/>
          <w14:ligatures w14:val="none"/>
        </w:rPr>
        <w:lastRenderedPageBreak/>
        <w:t>حسن والسليمان (2024) إلى أن أهمية ترشيد قرارات إدارة المخزون تنبع من تأثيرها المباشر على الكفاءة المالية للمؤسسة، حيث يُؤدي اختلال هذه القرارات إلى تكاليف باهظة يمكن تجنبها بتطبيق أساليب علمية رصينة</w:t>
      </w:r>
      <w:r w:rsidRPr="008343BF">
        <w:rPr>
          <w:rFonts w:ascii="Simplified Arabic" w:eastAsia="Times New Roman" w:hAnsi="Simplified Arabic" w:cs="Simplified Arabic"/>
          <w:color w:val="000000" w:themeColor="text1"/>
          <w:kern w:val="0"/>
          <w:sz w:val="28"/>
          <w:szCs w:val="28"/>
          <w14:ligatures w14:val="none"/>
        </w:rPr>
        <w:t>.</w:t>
      </w:r>
    </w:p>
    <w:p w14:paraId="069C5A44"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ويُضيف مزهر وعذاب (2023) أن أهمية تخفيض المخزون الراكد تتجلى في كونها ثمرة من ثمار تطبيق نماذج المخزون لتحديد حجم الدفعة الاقتصادية، حيث تُتيح هذه النماذج للمؤسسة الموازنة بين تكاليف الطلب وتكاليف الاحتفاظ بالمخزون، وتجنب الإفراط في الشراء الذي يُؤدي إلى ركود الأصناف. ويُشير سريسامي وسيريروك</w:t>
      </w:r>
      <w:r w:rsidRPr="008343BF">
        <w:rPr>
          <w:rFonts w:ascii="Simplified Arabic" w:eastAsia="Times New Roman" w:hAnsi="Simplified Arabic" w:cs="Simplified Arabic"/>
          <w:color w:val="000000" w:themeColor="text1"/>
          <w:kern w:val="0"/>
          <w:sz w:val="28"/>
          <w:szCs w:val="28"/>
          <w14:ligatures w14:val="none"/>
        </w:rPr>
        <w:t xml:space="preserve"> (Srisamai &amp; Siriruk, 2023) </w:t>
      </w:r>
      <w:r w:rsidRPr="008343BF">
        <w:rPr>
          <w:rFonts w:ascii="Simplified Arabic" w:eastAsia="Times New Roman" w:hAnsi="Simplified Arabic" w:cs="Simplified Arabic"/>
          <w:color w:val="000000" w:themeColor="text1"/>
          <w:kern w:val="0"/>
          <w:sz w:val="28"/>
          <w:szCs w:val="28"/>
          <w:rtl/>
          <w14:ligatures w14:val="none"/>
        </w:rPr>
        <w:t>إلى أن هذه الأهمية تتعاظم في القطاعات التي تتعامل مع منتجات متنوعة كقطاع المعدات الكهربائية، حيث يُمثِّل المخزون الراكد والمبيعات المفقودة ظاهرتين متلازمتين تستنزفان موارد المؤسسة</w:t>
      </w:r>
      <w:r w:rsidRPr="008343BF">
        <w:rPr>
          <w:rFonts w:ascii="Simplified Arabic" w:eastAsia="Times New Roman" w:hAnsi="Simplified Arabic" w:cs="Simplified Arabic"/>
          <w:color w:val="000000" w:themeColor="text1"/>
          <w:kern w:val="0"/>
          <w:sz w:val="28"/>
          <w:szCs w:val="28"/>
          <w14:ligatures w14:val="none"/>
        </w:rPr>
        <w:t>.</w:t>
      </w:r>
    </w:p>
    <w:p w14:paraId="373F966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الباحث أن أهمية تخفيض المخزون الراكد وتكاليف التخزين تمتد لتشمل أبعادًا متشابكة: بُعدًا ماليًا يتعلق بتحرير رأس المال العامل وتحسين السيولة، وبُعدًا تشغيليًا يتعلق بتحسين كفاءة المستودعات وانسيابية العمليات، وبُعدًا استراتيجيًا يتعلق ببناء الميزة التنافسية، وبُعدًا بيئيًا يتعلق بتقليص الهدر والمحافظة على الموارد، وهي أبعاد متكاملة تجعل هذه القضية من القضايا المحورية في الفكر الإداري المعاصر</w:t>
      </w:r>
      <w:r w:rsidRPr="008343BF">
        <w:rPr>
          <w:rFonts w:ascii="Simplified Arabic" w:eastAsia="Times New Roman" w:hAnsi="Simplified Arabic" w:cs="Simplified Arabic"/>
          <w:color w:val="000000" w:themeColor="text1"/>
          <w:kern w:val="0"/>
          <w:sz w:val="28"/>
          <w:szCs w:val="28"/>
          <w14:ligatures w14:val="none"/>
        </w:rPr>
        <w:t>.</w:t>
      </w:r>
    </w:p>
    <w:p w14:paraId="1D79D3FF" w14:textId="782B3D5C"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042147"/>
      <w:r w:rsidRPr="008343BF">
        <w:rPr>
          <w:rFonts w:ascii="Simplified Arabic" w:eastAsia="Times New Roman" w:hAnsi="Simplified Arabic" w:cs="Simplified Arabic" w:hint="cs"/>
          <w:b/>
          <w:bCs/>
          <w:color w:val="000000" w:themeColor="text1"/>
          <w:kern w:val="0"/>
          <w:sz w:val="32"/>
          <w:szCs w:val="32"/>
          <w:rtl/>
          <w14:ligatures w14:val="none"/>
        </w:rPr>
        <w:t>4.2.2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أهداف تخفيض المخزون الراكد وتكاليف التخزين</w:t>
      </w:r>
      <w:bookmarkEnd w:id="52"/>
    </w:p>
    <w:p w14:paraId="65C6AAA9"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تتعدد الأهداف التي تسعى المؤسسات إلى تحقيقها من وراء تخفيض المخزون الراكد وتكاليف التخزين، ويُمكن استعراضها من خلال آراء عدد من الباحثين. ويُحدِّد سريسامي وسيريروك</w:t>
      </w:r>
      <w:r w:rsidRPr="008343BF">
        <w:rPr>
          <w:rFonts w:ascii="Simplified Arabic" w:eastAsia="Times New Roman" w:hAnsi="Simplified Arabic" w:cs="Simplified Arabic"/>
          <w:color w:val="000000" w:themeColor="text1"/>
          <w:kern w:val="0"/>
          <w:sz w:val="28"/>
          <w:szCs w:val="28"/>
          <w14:ligatures w14:val="none"/>
        </w:rPr>
        <w:t xml:space="preserve"> (Srisamai &amp; Siriruk, 2023) </w:t>
      </w:r>
      <w:r w:rsidRPr="008343BF">
        <w:rPr>
          <w:rFonts w:ascii="Simplified Arabic" w:eastAsia="Times New Roman" w:hAnsi="Simplified Arabic" w:cs="Simplified Arabic"/>
          <w:color w:val="000000" w:themeColor="text1"/>
          <w:kern w:val="0"/>
          <w:sz w:val="28"/>
          <w:szCs w:val="28"/>
          <w:rtl/>
          <w14:ligatures w14:val="none"/>
        </w:rPr>
        <w:t>جملةً من الأهداف تتضمن: أولًا، تقليص حجم الأصناف الراكدة في المستودعات إلى أدنى مستوياتها الممكنة. ثانيًا، تقليص حجم المبيعات المفقودة الناتجة عن نقص الأصناف المطلوبة. ثالثًا، تحقيق التوازن بين توفر المخزون وتجنب التكدُّس. رابعًا، تطوير منظومة تنبؤية تدعم اتخاذ قرارات الشراء والتخزين. خامسًا، تحسين دقة عمليات الجرد ومتابعة حركة الأصناف</w:t>
      </w:r>
      <w:r w:rsidRPr="008343BF">
        <w:rPr>
          <w:rFonts w:ascii="Simplified Arabic" w:eastAsia="Times New Roman" w:hAnsi="Simplified Arabic" w:cs="Simplified Arabic"/>
          <w:color w:val="000000" w:themeColor="text1"/>
          <w:kern w:val="0"/>
          <w:sz w:val="28"/>
          <w:szCs w:val="28"/>
          <w14:ligatures w14:val="none"/>
        </w:rPr>
        <w:t>.</w:t>
      </w:r>
    </w:p>
    <w:p w14:paraId="118E0B1C"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تريهابساري</w:t>
      </w:r>
      <w:r w:rsidRPr="008343BF">
        <w:rPr>
          <w:rFonts w:ascii="Simplified Arabic" w:eastAsia="Times New Roman" w:hAnsi="Simplified Arabic" w:cs="Simplified Arabic"/>
          <w:color w:val="000000" w:themeColor="text1"/>
          <w:kern w:val="0"/>
          <w:sz w:val="28"/>
          <w:szCs w:val="28"/>
          <w14:ligatures w14:val="none"/>
        </w:rPr>
        <w:t xml:space="preserve"> (Trihapsari, 2024) </w:t>
      </w:r>
      <w:r w:rsidRPr="008343BF">
        <w:rPr>
          <w:rFonts w:ascii="Simplified Arabic" w:eastAsia="Times New Roman" w:hAnsi="Simplified Arabic" w:cs="Simplified Arabic"/>
          <w:color w:val="000000" w:themeColor="text1"/>
          <w:kern w:val="0"/>
          <w:sz w:val="28"/>
          <w:szCs w:val="28"/>
          <w:rtl/>
          <w14:ligatures w14:val="none"/>
        </w:rPr>
        <w:t xml:space="preserve">أن أهداف تخفيض المخزون الراكد تشمل: تطوير استراتيجية تحسين متكاملة تأخذ في الحسبان خصائص كل صنف على حدة، وتقليص رأس المال المجمَّد في المخزون، وتحرير المساحات التخزينية لاستخدامات أكثر إنتاجية، وتحسين معدلات دوران المخزون، </w:t>
      </w:r>
      <w:r w:rsidRPr="008343BF">
        <w:rPr>
          <w:rFonts w:ascii="Simplified Arabic" w:eastAsia="Times New Roman" w:hAnsi="Simplified Arabic" w:cs="Simplified Arabic"/>
          <w:color w:val="000000" w:themeColor="text1"/>
          <w:kern w:val="0"/>
          <w:sz w:val="28"/>
          <w:szCs w:val="28"/>
          <w:rtl/>
          <w14:ligatures w14:val="none"/>
        </w:rPr>
        <w:lastRenderedPageBreak/>
        <w:t>وتقليص تكاليف الإهلاك والتقادم. ويُضيف لي وآخرون</w:t>
      </w:r>
      <w:r w:rsidRPr="008343BF">
        <w:rPr>
          <w:rFonts w:ascii="Simplified Arabic" w:eastAsia="Times New Roman" w:hAnsi="Simplified Arabic" w:cs="Simplified Arabic"/>
          <w:color w:val="000000" w:themeColor="text1"/>
          <w:kern w:val="0"/>
          <w:sz w:val="28"/>
          <w:szCs w:val="28"/>
          <w14:ligatures w14:val="none"/>
        </w:rPr>
        <w:t xml:space="preserve"> (Li et al., 2025) </w:t>
      </w:r>
      <w:r w:rsidRPr="008343BF">
        <w:rPr>
          <w:rFonts w:ascii="Simplified Arabic" w:eastAsia="Times New Roman" w:hAnsi="Simplified Arabic" w:cs="Simplified Arabic"/>
          <w:color w:val="000000" w:themeColor="text1"/>
          <w:kern w:val="0"/>
          <w:sz w:val="28"/>
          <w:szCs w:val="28"/>
          <w:rtl/>
          <w14:ligatures w14:val="none"/>
        </w:rPr>
        <w:t>أهدافًا تتعلق بالاستدامة، تشمل: تقليص الهدر في الموارد، وتحسين الأداء البيئي للمؤسسة، وتطوير نماذج تحسين متكاملة تجمع بين الاعتبارات الاقتصادية والبيئية، وبناء سلسلة إمداد مستدامة</w:t>
      </w:r>
      <w:r w:rsidRPr="008343BF">
        <w:rPr>
          <w:rFonts w:ascii="Simplified Arabic" w:eastAsia="Times New Roman" w:hAnsi="Simplified Arabic" w:cs="Simplified Arabic"/>
          <w:color w:val="000000" w:themeColor="text1"/>
          <w:kern w:val="0"/>
          <w:sz w:val="28"/>
          <w:szCs w:val="28"/>
          <w14:ligatures w14:val="none"/>
        </w:rPr>
        <w:t>.</w:t>
      </w:r>
    </w:p>
    <w:p w14:paraId="114CF25D"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ويُحدِّد القاضي وآخرون (2023) أهدافًا تشمل: تحسين الأداء التشغيلي للمؤسسات عبر إدارة ديناميكية للمخزون، وتطوير قدرة المؤسسة على الاستجابة للتغيرات في الطلب، وتقليص التكاليف غير المباشرة المرتبطة بالمخزون، وتعزيز كفاءة العمليات اللوجستية. ويرى اليامي وآخرون (2024) أن الأهداف تمتد لتشمل: تحسين أداء المؤسسات الحكومية في إدارة مخزونها، وتقليص الفجوة بين الميزانيات المرصودة والاحتياجات الفعلية، وتطوير منظومة متابعة فعالة لحركة الأصناف</w:t>
      </w:r>
      <w:r w:rsidRPr="008343BF">
        <w:rPr>
          <w:rFonts w:ascii="Simplified Arabic" w:eastAsia="Times New Roman" w:hAnsi="Simplified Arabic" w:cs="Simplified Arabic"/>
          <w:color w:val="000000" w:themeColor="text1"/>
          <w:kern w:val="0"/>
          <w:sz w:val="28"/>
          <w:szCs w:val="28"/>
          <w14:ligatures w14:val="none"/>
        </w:rPr>
        <w:t>.</w:t>
      </w:r>
    </w:p>
    <w:p w14:paraId="4FFA8E4F"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ومن منظور تكاملي، يطرح الغامدي وآخرون (2025) أهدافًا تربط بين تخفيض المخزون الراكد وكفاءة إدارة سلاسل الإمداد، تشمل: تعزيز التكامل بين حلقات السلسلة، وتطوير منظومة تدفق المعلومات بين الأطراف المختلفة، وتقليص ظاهرة السوط في السلسلة، وتحسين قدرة المؤسسة على التخطيط طويل المدى. ويُحدِّد العتيبي والنعيم (2025) أهدافًا تتعلق بتوظيف المحاسبة السحابية في إدارة المخزون، تشمل: تحسين دقة عمليات الجرد، وتقليص تكاليف إدارة المخزون، وتوفير معلومات في الوقت الفعلي تدعم اتخاذ القرار، وتعزيز الشفافية في منظومة المخزون</w:t>
      </w:r>
      <w:r w:rsidRPr="008343BF">
        <w:rPr>
          <w:rFonts w:ascii="Simplified Arabic" w:eastAsia="Times New Roman" w:hAnsi="Simplified Arabic" w:cs="Simplified Arabic"/>
          <w:color w:val="000000" w:themeColor="text1"/>
          <w:kern w:val="0"/>
          <w:sz w:val="28"/>
          <w:szCs w:val="28"/>
          <w14:ligatures w14:val="none"/>
        </w:rPr>
        <w:t>.</w:t>
      </w:r>
    </w:p>
    <w:p w14:paraId="5A325333"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محمودي ومكيد (2025) أن أهداف ترشيد قرارات تسيير المخزون تشمل: تطبيق نماذج كمية لاتخاذ قرارات أكثر علمية، وتقليص هامش الخطأ في تقدير الاحتياجات، وتحسين كفاءة استخدام الموارد المخصصة للمخزون، وتعزيز قدرة المؤسسة على المنافسة. ويُضيف بن زغدة (2025) أهدافًا تتعلق بتطبيق نموذج كمية الطلب الاقتصادية، تشمل: تحديد الكمية المثلى للطلب، وتقليص تكاليف الطلب والاحتفاظ، وتجنب التكدُّس والنقص في آنٍ معًا</w:t>
      </w:r>
      <w:r w:rsidRPr="008343BF">
        <w:rPr>
          <w:rFonts w:ascii="Simplified Arabic" w:eastAsia="Times New Roman" w:hAnsi="Simplified Arabic" w:cs="Simplified Arabic"/>
          <w:color w:val="000000" w:themeColor="text1"/>
          <w:kern w:val="0"/>
          <w:sz w:val="28"/>
          <w:szCs w:val="28"/>
          <w14:ligatures w14:val="none"/>
        </w:rPr>
        <w:t>.</w:t>
      </w:r>
    </w:p>
    <w:p w14:paraId="57AEB7F3"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ويُحدِّد مخيمر (2024) أهدافًا تتعلق بتخفيض الاستثمار في المخزون، تشمل: تطبيق نماذج كمية في إطار نظم تخطيط الاحتياجات من المواد، وتحسين معدلات دوران المخزون، وتقليص رأس المال المجمَّد، وتحسين العائد على الاستثمار. ويُضيف حسن والسليمان (2024) أهدافًا تتعلق بتوظيف أساليب بحوث العمليات في إدارة المخزون، تشمل: ترشيد القرارات المخزنية، وتطوير قدرة المؤسسة على التعامل مع المشكلات المعقدة، وبناء منظومة قرارات مدعومة بالأدلة الكمية</w:t>
      </w:r>
      <w:r w:rsidRPr="008343BF">
        <w:rPr>
          <w:rFonts w:ascii="Simplified Arabic" w:eastAsia="Times New Roman" w:hAnsi="Simplified Arabic" w:cs="Simplified Arabic"/>
          <w:color w:val="000000" w:themeColor="text1"/>
          <w:kern w:val="0"/>
          <w:sz w:val="28"/>
          <w:szCs w:val="28"/>
          <w14:ligatures w14:val="none"/>
        </w:rPr>
        <w:t>.</w:t>
      </w:r>
    </w:p>
    <w:p w14:paraId="64D3B8BF"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ويرى الباحث أن جوهر الأهداف يتمحور حول ثلاث غايات كبرى: الغاية الأولى مالية تتعلق بتقليص التكاليف وتحرير رأس المال، والغاية الثانية تشغيلية تتعلق بتحسين كفاءة العمليات وانسيابية المستودعات، والغاية الثالثة استراتيجية تتعلق ببناء الميزة التنافسية وتعزيز الاستدامة، وهي غايات متكاملة لا يمكن تحقيق إحداها بمعزل عن الأخريات</w:t>
      </w:r>
      <w:r w:rsidRPr="008343BF">
        <w:rPr>
          <w:rFonts w:ascii="Simplified Arabic" w:eastAsia="Times New Roman" w:hAnsi="Simplified Arabic" w:cs="Simplified Arabic"/>
          <w:color w:val="000000" w:themeColor="text1"/>
          <w:kern w:val="0"/>
          <w:sz w:val="28"/>
          <w:szCs w:val="28"/>
          <w14:ligatures w14:val="none"/>
        </w:rPr>
        <w:t>.</w:t>
      </w:r>
    </w:p>
    <w:p w14:paraId="29635E91" w14:textId="6F03BB43"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042148"/>
      <w:r w:rsidRPr="008343BF">
        <w:rPr>
          <w:rFonts w:ascii="Simplified Arabic" w:eastAsia="Times New Roman" w:hAnsi="Simplified Arabic" w:cs="Simplified Arabic" w:hint="cs"/>
          <w:b/>
          <w:bCs/>
          <w:color w:val="000000" w:themeColor="text1"/>
          <w:kern w:val="0"/>
          <w:sz w:val="32"/>
          <w:szCs w:val="32"/>
          <w:rtl/>
          <w14:ligatures w14:val="none"/>
        </w:rPr>
        <w:t>5.2.2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أبعاد تخفيض المخزون الراكد وتكاليف التخزين</w:t>
      </w:r>
      <w:bookmarkEnd w:id="53"/>
    </w:p>
    <w:p w14:paraId="642F98B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على الرغم من أن المتغير التابع في الدراسة الراهنة أحادي المحور وفقًا لتصميم أداة الدراسة، إلا أن استعراض المكونات النظرية له يُتيح فهمًا أعمق لطبيعته. وتم تحديد المكونات الفرعية لهذا المتغير استنادًا إلى دراسة كل من سريسامي وسيريروك</w:t>
      </w:r>
      <w:r w:rsidRPr="008343BF">
        <w:rPr>
          <w:rFonts w:ascii="Simplified Arabic" w:eastAsia="Times New Roman" w:hAnsi="Simplified Arabic" w:cs="Simplified Arabic"/>
          <w:color w:val="000000" w:themeColor="text1"/>
          <w:kern w:val="0"/>
          <w:sz w:val="28"/>
          <w:szCs w:val="28"/>
          <w14:ligatures w14:val="none"/>
        </w:rPr>
        <w:t xml:space="preserve"> (Srisamai &amp; Siriruk, 2023) </w:t>
      </w:r>
      <w:r w:rsidRPr="008343BF">
        <w:rPr>
          <w:rFonts w:ascii="Simplified Arabic" w:eastAsia="Times New Roman" w:hAnsi="Simplified Arabic" w:cs="Simplified Arabic"/>
          <w:color w:val="000000" w:themeColor="text1"/>
          <w:kern w:val="0"/>
          <w:sz w:val="28"/>
          <w:szCs w:val="28"/>
          <w:rtl/>
          <w14:ligatures w14:val="none"/>
        </w:rPr>
        <w:t>ودراسة تريهابساري</w:t>
      </w:r>
      <w:r w:rsidRPr="008343BF">
        <w:rPr>
          <w:rFonts w:ascii="Simplified Arabic" w:eastAsia="Times New Roman" w:hAnsi="Simplified Arabic" w:cs="Simplified Arabic"/>
          <w:color w:val="000000" w:themeColor="text1"/>
          <w:kern w:val="0"/>
          <w:sz w:val="28"/>
          <w:szCs w:val="28"/>
          <w14:ligatures w14:val="none"/>
        </w:rPr>
        <w:t xml:space="preserve"> (Trihapsari, 2024) </w:t>
      </w:r>
      <w:r w:rsidRPr="008343BF">
        <w:rPr>
          <w:rFonts w:ascii="Simplified Arabic" w:eastAsia="Times New Roman" w:hAnsi="Simplified Arabic" w:cs="Simplified Arabic"/>
          <w:color w:val="000000" w:themeColor="text1"/>
          <w:kern w:val="0"/>
          <w:sz w:val="28"/>
          <w:szCs w:val="28"/>
          <w:rtl/>
          <w14:ligatures w14:val="none"/>
        </w:rPr>
        <w:t>ودراسة لي وآخرون</w:t>
      </w:r>
      <w:r w:rsidRPr="008343BF">
        <w:rPr>
          <w:rFonts w:ascii="Simplified Arabic" w:eastAsia="Times New Roman" w:hAnsi="Simplified Arabic" w:cs="Simplified Arabic"/>
          <w:color w:val="000000" w:themeColor="text1"/>
          <w:kern w:val="0"/>
          <w:sz w:val="28"/>
          <w:szCs w:val="28"/>
          <w14:ligatures w14:val="none"/>
        </w:rPr>
        <w:t xml:space="preserve"> (Li et al., 2025</w:t>
      </w:r>
      <w:proofErr w:type="gramStart"/>
      <w:r w:rsidRPr="008343BF">
        <w:rPr>
          <w:rFonts w:ascii="Simplified Arabic" w:eastAsia="Times New Roman" w:hAnsi="Simplified Arabic" w:cs="Simplified Arabic"/>
          <w:color w:val="000000" w:themeColor="text1"/>
          <w:kern w:val="0"/>
          <w:sz w:val="28"/>
          <w:szCs w:val="28"/>
          <w14:ligatures w14:val="none"/>
        </w:rPr>
        <w:t>)</w:t>
      </w:r>
      <w:r w:rsidRPr="008343BF">
        <w:rPr>
          <w:rFonts w:ascii="Simplified Arabic" w:eastAsia="Times New Roman" w:hAnsi="Simplified Arabic" w:cs="Simplified Arabic"/>
          <w:color w:val="000000" w:themeColor="text1"/>
          <w:kern w:val="0"/>
          <w:sz w:val="28"/>
          <w:szCs w:val="28"/>
          <w:rtl/>
          <w14:ligatures w14:val="none"/>
        </w:rPr>
        <w:t>،</w:t>
      </w:r>
      <w:proofErr w:type="gramEnd"/>
      <w:r w:rsidRPr="008343BF">
        <w:rPr>
          <w:rFonts w:ascii="Simplified Arabic" w:eastAsia="Times New Roman" w:hAnsi="Simplified Arabic" w:cs="Simplified Arabic"/>
          <w:color w:val="000000" w:themeColor="text1"/>
          <w:kern w:val="0"/>
          <w:sz w:val="28"/>
          <w:szCs w:val="28"/>
          <w:rtl/>
          <w14:ligatures w14:val="none"/>
        </w:rPr>
        <w:t xml:space="preserve"> إذ تتقاطع هذه الدراسات في طرح مكونات متمايزة تشمل: تخفيض الأصناف الراكدة، وتقليص تكاليف الاحتفاظ، وتحسين معدل دوران المخزون، وتحرير المساحات التخزينية</w:t>
      </w:r>
      <w:r w:rsidRPr="008343BF">
        <w:rPr>
          <w:rFonts w:ascii="Simplified Arabic" w:eastAsia="Times New Roman" w:hAnsi="Simplified Arabic" w:cs="Simplified Arabic"/>
          <w:color w:val="000000" w:themeColor="text1"/>
          <w:kern w:val="0"/>
          <w:sz w:val="28"/>
          <w:szCs w:val="28"/>
          <w14:ligatures w14:val="none"/>
        </w:rPr>
        <w:t>.</w:t>
      </w:r>
    </w:p>
    <w:p w14:paraId="1102C5F4" w14:textId="77777777" w:rsidR="00A42832" w:rsidRPr="008343BF" w:rsidRDefault="00A42832"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المكون الأول: تخفيض حجم الأصناف الراكدة</w:t>
      </w:r>
    </w:p>
    <w:p w14:paraId="3270E5D4"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يُمثِّل تقليص حجم الأصناف الراكدة المحور الأساسي في منظومة تخفيض تكاليف التخزين، إذ تُمثِّل هذه الأصناف العبء الأكبر على المؤسسة من حيث استنزاف الموارد دون عائد. ويُشير سريسامي وسيريروك</w:t>
      </w:r>
      <w:r w:rsidRPr="008343BF">
        <w:rPr>
          <w:rFonts w:ascii="Simplified Arabic" w:eastAsia="Times New Roman" w:hAnsi="Simplified Arabic" w:cs="Simplified Arabic"/>
          <w:color w:val="000000" w:themeColor="text1"/>
          <w:kern w:val="0"/>
          <w:sz w:val="28"/>
          <w:szCs w:val="28"/>
          <w14:ligatures w14:val="none"/>
        </w:rPr>
        <w:t xml:space="preserve"> (Srisamai &amp; Siriruk, 2023) </w:t>
      </w:r>
      <w:r w:rsidRPr="008343BF">
        <w:rPr>
          <w:rFonts w:ascii="Simplified Arabic" w:eastAsia="Times New Roman" w:hAnsi="Simplified Arabic" w:cs="Simplified Arabic"/>
          <w:color w:val="000000" w:themeColor="text1"/>
          <w:kern w:val="0"/>
          <w:sz w:val="28"/>
          <w:szCs w:val="28"/>
          <w:rtl/>
          <w14:ligatures w14:val="none"/>
        </w:rPr>
        <w:t>إلى أن الأصناف الراكدة تنشأ نتيجة عدة عوامل، أبرزها: ضعف دقة التنبؤ بالطلب، والإفراط في الشراء، والتغيرات المفاجئة في تفضيلات المستهلكين، وتقادم المنتجات تكنولوجيًا أو زمنيًا. وتقتضي معالجة هذه الظاهرة منظومة متكاملة من السياسات تستهدف معالجة الأسباب الجذرية لنشوئها لا مجرد التعامل مع نتائجها</w:t>
      </w:r>
      <w:r w:rsidRPr="008343BF">
        <w:rPr>
          <w:rFonts w:ascii="Simplified Arabic" w:eastAsia="Times New Roman" w:hAnsi="Simplified Arabic" w:cs="Simplified Arabic"/>
          <w:color w:val="000000" w:themeColor="text1"/>
          <w:kern w:val="0"/>
          <w:sz w:val="28"/>
          <w:szCs w:val="28"/>
          <w14:ligatures w14:val="none"/>
        </w:rPr>
        <w:t>.</w:t>
      </w:r>
    </w:p>
    <w:p w14:paraId="302DB4BB"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تريهابساري</w:t>
      </w:r>
      <w:r w:rsidRPr="008343BF">
        <w:rPr>
          <w:rFonts w:ascii="Simplified Arabic" w:eastAsia="Times New Roman" w:hAnsi="Simplified Arabic" w:cs="Simplified Arabic"/>
          <w:color w:val="000000" w:themeColor="text1"/>
          <w:kern w:val="0"/>
          <w:sz w:val="28"/>
          <w:szCs w:val="28"/>
          <w14:ligatures w14:val="none"/>
        </w:rPr>
        <w:t xml:space="preserve"> (Trihapsari, 2024) </w:t>
      </w:r>
      <w:r w:rsidRPr="008343BF">
        <w:rPr>
          <w:rFonts w:ascii="Simplified Arabic" w:eastAsia="Times New Roman" w:hAnsi="Simplified Arabic" w:cs="Simplified Arabic"/>
          <w:color w:val="000000" w:themeColor="text1"/>
          <w:kern w:val="0"/>
          <w:sz w:val="28"/>
          <w:szCs w:val="28"/>
          <w:rtl/>
          <w14:ligatures w14:val="none"/>
        </w:rPr>
        <w:t>أن تخفيض الأصناف الراكدة يقتضي تطوير استراتيجية تصنيف دقيقة تُميِّز بين الأصناف بحسب درجة ركودها، وتُتيح اعتماد سياسات مخصصة لكل فئة. كما يُؤكِّد كي</w:t>
      </w:r>
      <w:r w:rsidRPr="008343BF">
        <w:rPr>
          <w:rFonts w:ascii="Simplified Arabic" w:eastAsia="Times New Roman" w:hAnsi="Simplified Arabic" w:cs="Simplified Arabic"/>
          <w:color w:val="000000" w:themeColor="text1"/>
          <w:kern w:val="0"/>
          <w:sz w:val="28"/>
          <w:szCs w:val="28"/>
          <w14:ligatures w14:val="none"/>
        </w:rPr>
        <w:t xml:space="preserve"> (Qi, 2025) </w:t>
      </w:r>
      <w:r w:rsidRPr="008343BF">
        <w:rPr>
          <w:rFonts w:ascii="Simplified Arabic" w:eastAsia="Times New Roman" w:hAnsi="Simplified Arabic" w:cs="Simplified Arabic"/>
          <w:color w:val="000000" w:themeColor="text1"/>
          <w:kern w:val="0"/>
          <w:sz w:val="28"/>
          <w:szCs w:val="28"/>
          <w:rtl/>
          <w14:ligatures w14:val="none"/>
        </w:rPr>
        <w:t>أن المخزون بطيء الحركة يُمثِّل النواة التي تتراكم منها الأصناف الراكدة، وأن تطوير نماذج تنبؤية متخصصة لهذه الفئة من المخزون يُمثِّل مدخلًا فعالًا للحد من تراكمها</w:t>
      </w:r>
      <w:r w:rsidRPr="008343BF">
        <w:rPr>
          <w:rFonts w:ascii="Simplified Arabic" w:eastAsia="Times New Roman" w:hAnsi="Simplified Arabic" w:cs="Simplified Arabic"/>
          <w:color w:val="000000" w:themeColor="text1"/>
          <w:kern w:val="0"/>
          <w:sz w:val="28"/>
          <w:szCs w:val="28"/>
          <w14:ligatures w14:val="none"/>
        </w:rPr>
        <w:t>.</w:t>
      </w:r>
    </w:p>
    <w:p w14:paraId="647B450B" w14:textId="77777777" w:rsidR="00A42832" w:rsidRPr="008343BF" w:rsidRDefault="00A42832"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المكون الثاني: تقليص تكاليف الاحتفاظ بالمخزون</w:t>
      </w:r>
    </w:p>
    <w:p w14:paraId="6814B267"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تشمل تكاليف الاحتفاظ بالمخزون مجموعة متنوعة من البنود تتضمن: تكاليف رأس المال المجمَّد، وتكاليف التأمين، وتكاليف الصيانة، وتكاليف الإهلاك والتقادم. ويُشير بن زغدة (2025) إلى أن نموذج كمية الطلب الاقتصادية يُتيح تحديد المستوى الأمثل من المخزون الذي يحقق التوازن بين تكاليف الطلب وتكاليف الاحتفاظ. ويُؤكِّد محمودي ومكيد (2025) أن ترشيد قرارات تسيير المخزون بالاعتماد على التقنيات الكمية يُسهم في تقليص هذه التكاليف عبر اتخاذ قرارات شراء أكثر علمية</w:t>
      </w:r>
      <w:r w:rsidRPr="008343BF">
        <w:rPr>
          <w:rFonts w:ascii="Simplified Arabic" w:eastAsia="Times New Roman" w:hAnsi="Simplified Arabic" w:cs="Simplified Arabic"/>
          <w:color w:val="000000" w:themeColor="text1"/>
          <w:kern w:val="0"/>
          <w:sz w:val="28"/>
          <w:szCs w:val="28"/>
          <w14:ligatures w14:val="none"/>
        </w:rPr>
        <w:t>.</w:t>
      </w:r>
    </w:p>
    <w:p w14:paraId="7D0CF979"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ويُضيف بن بايرة (2021) أن نظام الإنتاج في الوقت المحدد يُمثِّل نهجًا متقدمًا لتقليص تكاليف الاحتفاظ، إذ يقوم على فلسفة تقليص المخزون إلى الحد الأدنى الممكن عبر تزامن دقيق بين الإنتاج والطلب</w:t>
      </w:r>
      <w:r w:rsidRPr="008343BF">
        <w:rPr>
          <w:rFonts w:ascii="Simplified Arabic" w:eastAsia="Times New Roman" w:hAnsi="Simplified Arabic" w:cs="Simplified Arabic"/>
          <w:color w:val="000000" w:themeColor="text1"/>
          <w:kern w:val="0"/>
          <w:sz w:val="28"/>
          <w:szCs w:val="28"/>
          <w14:ligatures w14:val="none"/>
        </w:rPr>
        <w:t>.</w:t>
      </w:r>
    </w:p>
    <w:p w14:paraId="75CB91E9" w14:textId="77777777" w:rsidR="00A42832" w:rsidRPr="008343BF" w:rsidRDefault="00A42832"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المكون الثالث: تحسين معدل دوران المخزون</w:t>
      </w:r>
    </w:p>
    <w:p w14:paraId="1DA99AB2"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يُمثِّل معدل دوران المخزون مؤشرًا مركزيًا على كفاءة إدارة المخزون، إذ يعكس سرعة تحويل الأصناف المخزنة إلى مبيعات. ويُشير ثيودورو وآخرون</w:t>
      </w:r>
      <w:r w:rsidRPr="008343BF">
        <w:rPr>
          <w:rFonts w:ascii="Simplified Arabic" w:eastAsia="Times New Roman" w:hAnsi="Simplified Arabic" w:cs="Simplified Arabic"/>
          <w:color w:val="000000" w:themeColor="text1"/>
          <w:kern w:val="0"/>
          <w:sz w:val="28"/>
          <w:szCs w:val="28"/>
          <w14:ligatures w14:val="none"/>
        </w:rPr>
        <w:t xml:space="preserve"> (Theodorou et al., 2025) </w:t>
      </w:r>
      <w:r w:rsidRPr="008343BF">
        <w:rPr>
          <w:rFonts w:ascii="Simplified Arabic" w:eastAsia="Times New Roman" w:hAnsi="Simplified Arabic" w:cs="Simplified Arabic"/>
          <w:color w:val="000000" w:themeColor="text1"/>
          <w:kern w:val="0"/>
          <w:sz w:val="28"/>
          <w:szCs w:val="28"/>
          <w:rtl/>
          <w14:ligatures w14:val="none"/>
        </w:rPr>
        <w:t>إلى أن أداء المخزون يرتبط ارتباطًا وثيقًا بدقة التنبؤ، وأن تحسين هذا الأداء يتطلب تطوير منظومة تنبؤية تُتيح اتخاذ قرارات شراء وتخزين أكثر دقة. ويرى تاداينراد ونديايي</w:t>
      </w:r>
      <w:r w:rsidRPr="008343BF">
        <w:rPr>
          <w:rFonts w:ascii="Simplified Arabic" w:eastAsia="Times New Roman" w:hAnsi="Simplified Arabic" w:cs="Simplified Arabic"/>
          <w:color w:val="000000" w:themeColor="text1"/>
          <w:kern w:val="0"/>
          <w:sz w:val="28"/>
          <w:szCs w:val="28"/>
          <w14:ligatures w14:val="none"/>
        </w:rPr>
        <w:t xml:space="preserve"> (Tadayonrad &amp; Ndiaye, 2023) </w:t>
      </w:r>
      <w:r w:rsidRPr="008343BF">
        <w:rPr>
          <w:rFonts w:ascii="Simplified Arabic" w:eastAsia="Times New Roman" w:hAnsi="Simplified Arabic" w:cs="Simplified Arabic"/>
          <w:color w:val="000000" w:themeColor="text1"/>
          <w:kern w:val="0"/>
          <w:sz w:val="28"/>
          <w:szCs w:val="28"/>
          <w:rtl/>
          <w14:ligatures w14:val="none"/>
        </w:rPr>
        <w:t>أن تحسين معدل الدوران يقتضي بناء مؤشرات أداء متعددة الأبعاد تأخذ في الحسبان الموسمية وموثوقية سلسلة التوريد</w:t>
      </w:r>
      <w:r w:rsidRPr="008343BF">
        <w:rPr>
          <w:rFonts w:ascii="Simplified Arabic" w:eastAsia="Times New Roman" w:hAnsi="Simplified Arabic" w:cs="Simplified Arabic"/>
          <w:color w:val="000000" w:themeColor="text1"/>
          <w:kern w:val="0"/>
          <w:sz w:val="28"/>
          <w:szCs w:val="28"/>
          <w14:ligatures w14:val="none"/>
        </w:rPr>
        <w:t>.</w:t>
      </w:r>
    </w:p>
    <w:p w14:paraId="0EA06CAB" w14:textId="77777777" w:rsidR="00A42832" w:rsidRPr="008343BF" w:rsidRDefault="00A42832" w:rsidP="00CF44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43BF">
        <w:rPr>
          <w:rFonts w:ascii="Simplified Arabic" w:eastAsia="Times New Roman" w:hAnsi="Simplified Arabic" w:cs="Simplified Arabic"/>
          <w:b/>
          <w:bCs/>
          <w:color w:val="000000" w:themeColor="text1"/>
          <w:kern w:val="0"/>
          <w:sz w:val="28"/>
          <w:szCs w:val="28"/>
          <w:rtl/>
          <w14:ligatures w14:val="none"/>
        </w:rPr>
        <w:t>المكون الرابع: تحرير المساحات التخزينية</w:t>
      </w:r>
    </w:p>
    <w:p w14:paraId="3B7592F8"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يُمثِّل تحرير المساحات التخزينية ثمرة طبيعية لتخفيض المخزون الراكد، إذ يُتيح إعادة توظيف هذه المساحات لاستخدامات أكثر إنتاجية، أو تقليص المساحات المستأجرة وما يرتبط بها من تكاليف. ويُشير العتيبي والنعيم (2025) إلى أن المحاسبة السحابية تُتيح متابعة دقيقة للمساحات المستخدمة وتُسهم في تحسين كفاءة استخدامها. ويُؤكِّد الغامدي وآخرون (2025) أن تكامل إدارة سلسلة الإمداد مع إدارة المخزون يُسهم في تحقيق هذه الغاية عبر تحسين تدفق الأصناف وتقليص فترات بقائها في المستودعات</w:t>
      </w:r>
      <w:r w:rsidRPr="008343BF">
        <w:rPr>
          <w:rFonts w:ascii="Simplified Arabic" w:eastAsia="Times New Roman" w:hAnsi="Simplified Arabic" w:cs="Simplified Arabic"/>
          <w:color w:val="000000" w:themeColor="text1"/>
          <w:kern w:val="0"/>
          <w:sz w:val="28"/>
          <w:szCs w:val="28"/>
          <w14:ligatures w14:val="none"/>
        </w:rPr>
        <w:t>.</w:t>
      </w:r>
    </w:p>
    <w:p w14:paraId="28940C70" w14:textId="4D9BEE2C" w:rsidR="00A42832" w:rsidRPr="008343BF" w:rsidRDefault="00623818" w:rsidP="0062381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042149"/>
      <w:r w:rsidRPr="008343BF">
        <w:rPr>
          <w:rFonts w:ascii="Simplified Arabic" w:eastAsia="Times New Roman" w:hAnsi="Simplified Arabic" w:cs="Simplified Arabic" w:hint="cs"/>
          <w:b/>
          <w:bCs/>
          <w:color w:val="000000" w:themeColor="text1"/>
          <w:kern w:val="0"/>
          <w:sz w:val="32"/>
          <w:szCs w:val="32"/>
          <w:rtl/>
          <w14:ligatures w14:val="none"/>
        </w:rPr>
        <w:t>6.2.2</w:t>
      </w:r>
      <w:r w:rsidR="00A42832" w:rsidRPr="008343BF">
        <w:rPr>
          <w:rFonts w:ascii="Simplified Arabic" w:eastAsia="Times New Roman" w:hAnsi="Simplified Arabic" w:cs="Simplified Arabic"/>
          <w:b/>
          <w:bCs/>
          <w:color w:val="000000" w:themeColor="text1"/>
          <w:kern w:val="0"/>
          <w:sz w:val="32"/>
          <w:szCs w:val="32"/>
          <w:rtl/>
          <w14:ligatures w14:val="none"/>
        </w:rPr>
        <w:t xml:space="preserve"> استراتيجيات تخفيض المخزون الراكد وتكاليف التخزين</w:t>
      </w:r>
      <w:bookmarkEnd w:id="54"/>
    </w:p>
    <w:p w14:paraId="52ADDE15"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lastRenderedPageBreak/>
        <w:t>تتنوع الاستراتيجيات التي يمكن للمؤسسات تبنيها لتخفيض المخزون الراكد وتكاليف التخزين، وتمتد من الاستراتيجيات الكمية إلى الاستراتيجيات التكنولوجية والتنظيمية. ويُشير تريهابساري</w:t>
      </w:r>
      <w:r w:rsidRPr="008343BF">
        <w:rPr>
          <w:rFonts w:ascii="Simplified Arabic" w:eastAsia="Times New Roman" w:hAnsi="Simplified Arabic" w:cs="Simplified Arabic"/>
          <w:color w:val="000000" w:themeColor="text1"/>
          <w:kern w:val="0"/>
          <w:sz w:val="28"/>
          <w:szCs w:val="28"/>
          <w14:ligatures w14:val="none"/>
        </w:rPr>
        <w:t xml:space="preserve"> (Trihapsari, 2024) </w:t>
      </w:r>
      <w:r w:rsidRPr="008343BF">
        <w:rPr>
          <w:rFonts w:ascii="Simplified Arabic" w:eastAsia="Times New Roman" w:hAnsi="Simplified Arabic" w:cs="Simplified Arabic"/>
          <w:color w:val="000000" w:themeColor="text1"/>
          <w:kern w:val="0"/>
          <w:sz w:val="28"/>
          <w:szCs w:val="28"/>
          <w:rtl/>
          <w14:ligatures w14:val="none"/>
        </w:rPr>
        <w:t>إلى أن تطوير استراتيجية تحسين متكاملة يقتضي الجمع بين الأدوات الكمية والفهم النوعي لطبيعة الأصناف، بحيث تُصمَّم سياسات مخصصة لكل فئة من فئات المخزون. ويرى لي وآخرون</w:t>
      </w:r>
      <w:r w:rsidRPr="008343BF">
        <w:rPr>
          <w:rFonts w:ascii="Simplified Arabic" w:eastAsia="Times New Roman" w:hAnsi="Simplified Arabic" w:cs="Simplified Arabic"/>
          <w:color w:val="000000" w:themeColor="text1"/>
          <w:kern w:val="0"/>
          <w:sz w:val="28"/>
          <w:szCs w:val="28"/>
          <w14:ligatures w14:val="none"/>
        </w:rPr>
        <w:t xml:space="preserve"> (Li et al., 2025) </w:t>
      </w:r>
      <w:r w:rsidRPr="008343BF">
        <w:rPr>
          <w:rFonts w:ascii="Simplified Arabic" w:eastAsia="Times New Roman" w:hAnsi="Simplified Arabic" w:cs="Simplified Arabic"/>
          <w:color w:val="000000" w:themeColor="text1"/>
          <w:kern w:val="0"/>
          <w:sz w:val="28"/>
          <w:szCs w:val="28"/>
          <w:rtl/>
          <w14:ligatures w14:val="none"/>
        </w:rPr>
        <w:t>أن الاستراتيجية المختلطة لتحسين التكلفة تُمثِّل نهجًا متقدمًا يجمع بين الاعتبارات الاقتصادية والبيئية، ويستهدف بناء منظومة مخزنية مستدامة</w:t>
      </w:r>
      <w:r w:rsidRPr="008343BF">
        <w:rPr>
          <w:rFonts w:ascii="Simplified Arabic" w:eastAsia="Times New Roman" w:hAnsi="Simplified Arabic" w:cs="Simplified Arabic"/>
          <w:color w:val="000000" w:themeColor="text1"/>
          <w:kern w:val="0"/>
          <w:sz w:val="28"/>
          <w:szCs w:val="28"/>
          <w14:ligatures w14:val="none"/>
        </w:rPr>
        <w:t>.</w:t>
      </w:r>
    </w:p>
    <w:p w14:paraId="732DAAB6"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ويُؤكِّد إسماعيل وحميد (2024) أن توظيف الشبكات العصبية الاصطناعية في التنبؤ بالطلب على المخزون يُمثِّل استراتيجية متقدمة لتحسين قرارات التخزين، إذ تُتيح هذه الشبكات استشراف الاحتياجات المستقبلية بدقة عالية. ويرى عبدالحسن وعبدالرضا (2023) أن المفاضلة بين تقنيات الذكاء الاصطناعي والطرائق التقليدية يُمثِّل استراتيجية محورية لاختيار الأسلوب الأنسب لطبيعة بيانات المؤسسة. ويُضيف هبال وقرقيط (2022) أن منهجية بوكس جينكينز تُمثِّل استراتيجية كلاسيكية رصينة للتنبؤ بالمبيعات، ودعم قرارات التخزين بناءً عليها</w:t>
      </w:r>
      <w:r w:rsidRPr="008343BF">
        <w:rPr>
          <w:rFonts w:ascii="Simplified Arabic" w:eastAsia="Times New Roman" w:hAnsi="Simplified Arabic" w:cs="Simplified Arabic"/>
          <w:color w:val="000000" w:themeColor="text1"/>
          <w:kern w:val="0"/>
          <w:sz w:val="28"/>
          <w:szCs w:val="28"/>
          <w14:ligatures w14:val="none"/>
        </w:rPr>
        <w:t>.</w:t>
      </w:r>
    </w:p>
    <w:p w14:paraId="39FAF537"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ومن منظور تقني، يُشير العتيبي والنعيم (2025) إلى أن توظيف المحاسبة السحابية يُمثِّل استراتيجية حديثة لتخفيض تكاليف إدارة المخزون وتحسين عمليات الجرد. ويرى مخيمر (2024) أن دمج النماذج الكمية مع نظم تخطيط الاحتياجات من المواد يُمثِّل استراتيجية متكاملة لتخفيض الاستثمار في المخزون. ويُضيف سعيد وعكلة (2024) أن توظيف الأساليب الكمية للتنبؤ بالطلب يُسهم في تحسين أداء سلسلة التوريد بأكملها، وهو ما ينعكس على كفاءة إدارة المخزون. ويُؤكِّد مزهر وعذاب (2023) أن تطبيق نماذج المخزون لتحديد حجم الدفعة الاقتصادية يُمثِّل استراتيجية تكميلية تستهدف الموازنة بين تكاليف الطلب والاحتفاظ</w:t>
      </w:r>
      <w:r w:rsidRPr="008343BF">
        <w:rPr>
          <w:rFonts w:ascii="Simplified Arabic" w:eastAsia="Times New Roman" w:hAnsi="Simplified Arabic" w:cs="Simplified Arabic"/>
          <w:color w:val="000000" w:themeColor="text1"/>
          <w:kern w:val="0"/>
          <w:sz w:val="28"/>
          <w:szCs w:val="28"/>
          <w14:ligatures w14:val="none"/>
        </w:rPr>
        <w:t>.</w:t>
      </w:r>
    </w:p>
    <w:p w14:paraId="6B9E0470" w14:textId="77777777" w:rsidR="00A42832" w:rsidRPr="008343BF" w:rsidRDefault="00A42832" w:rsidP="006238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43BF">
        <w:rPr>
          <w:rFonts w:ascii="Simplified Arabic" w:eastAsia="Times New Roman" w:hAnsi="Simplified Arabic" w:cs="Simplified Arabic"/>
          <w:color w:val="000000" w:themeColor="text1"/>
          <w:kern w:val="0"/>
          <w:sz w:val="28"/>
          <w:szCs w:val="28"/>
          <w:rtl/>
          <w14:ligatures w14:val="none"/>
        </w:rPr>
        <w:t>ويرى الباحث أن نجاح هذه الاستراتيجيات يتوقف على تكاملها مع منظومة دقة التنبؤ بالطلب، إذ تُمثِّل الدقة التنبؤية المدخل الذي تُبنى عليه سائر الاستراتيجيات اللاحقة، وهو ما يُعزِّز الترابط بين متغيري الدراسة ويُؤسِّس لاختبار الفروض المطروحة</w:t>
      </w:r>
      <w:r w:rsidRPr="008343BF">
        <w:rPr>
          <w:rFonts w:ascii="Simplified Arabic" w:eastAsia="Times New Roman" w:hAnsi="Simplified Arabic" w:cs="Simplified Arabic"/>
          <w:color w:val="000000" w:themeColor="text1"/>
          <w:kern w:val="0"/>
          <w:sz w:val="28"/>
          <w:szCs w:val="28"/>
          <w14:ligatures w14:val="none"/>
        </w:rPr>
        <w:t>.</w:t>
      </w:r>
    </w:p>
    <w:p w14:paraId="27960AB3" w14:textId="6F75D80E" w:rsidR="009405EF" w:rsidRPr="008343BF" w:rsidRDefault="00623818" w:rsidP="007C59CE">
      <w:pPr>
        <w:jc w:val="center"/>
        <w:outlineLvl w:val="0"/>
        <w:rPr>
          <w:rFonts w:ascii="Simplified Arabic" w:hAnsi="Simplified Arabic" w:cs="Simplified Arabic"/>
          <w:b/>
          <w:bCs/>
          <w:color w:val="000000" w:themeColor="text1"/>
          <w:szCs w:val="28"/>
          <w:rtl/>
        </w:rPr>
        <w:sectPr w:rsidR="009405EF" w:rsidRPr="008343BF" w:rsidSect="00D21DB5">
          <w:footerReference w:type="default" r:id="rId9"/>
          <w:pgSz w:w="11906" w:h="16838" w:code="9"/>
          <w:pgMar w:top="1134" w:right="1701" w:bottom="1134" w:left="1134" w:header="720" w:footer="720" w:gutter="0"/>
          <w:pgNumType w:start="1"/>
          <w:cols w:space="708"/>
          <w:bidi/>
          <w:rtlGutter/>
          <w:docGrid w:linePitch="360"/>
        </w:sectPr>
      </w:pPr>
      <w:r w:rsidRPr="008343BF">
        <w:rPr>
          <w:rFonts w:ascii="Simplified Arabic" w:eastAsia="Times New Roman" w:hAnsi="Simplified Arabic" w:cs="Simplified Arabic"/>
          <w:b/>
          <w:bCs/>
          <w:color w:val="000000" w:themeColor="text1"/>
          <w:kern w:val="0"/>
          <w:sz w:val="40"/>
          <w:szCs w:val="40"/>
          <w:rtl/>
          <w14:ligatures w14:val="none"/>
        </w:rPr>
        <w:br w:type="page"/>
      </w:r>
      <w:bookmarkStart w:id="55" w:name="_GoBack"/>
      <w:bookmarkEnd w:id="28"/>
      <w:bookmarkEnd w:id="55"/>
    </w:p>
    <w:p w14:paraId="29D4231B" w14:textId="5A5782A3" w:rsidR="0081623B" w:rsidRPr="008343BF" w:rsidRDefault="00E27D3B" w:rsidP="00CF44F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343B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1F0A9B3">
            <wp:simplePos x="0" y="0"/>
            <wp:positionH relativeFrom="column">
              <wp:posOffset>4141470</wp:posOffset>
            </wp:positionH>
            <wp:positionV relativeFrom="paragraph">
              <wp:posOffset>0</wp:posOffset>
            </wp:positionV>
            <wp:extent cx="1415415" cy="1310640"/>
            <wp:effectExtent l="0" t="0" r="0" b="3810"/>
            <wp:wrapTight wrapText="bothSides">
              <wp:wrapPolygon edited="0">
                <wp:start x="0" y="0"/>
                <wp:lineTo x="0" y="21349"/>
                <wp:lineTo x="21222" y="21349"/>
                <wp:lineTo x="2122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5415" cy="13106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8343BF">
        <w:rPr>
          <w:rFonts w:asciiTheme="majorBidi" w:eastAsia="Calibri" w:hAnsiTheme="majorBidi" w:cstheme="majorBidi"/>
          <w:b/>
          <w:bCs/>
          <w:color w:val="000000" w:themeColor="text1"/>
          <w:kern w:val="0"/>
          <w:sz w:val="32"/>
          <w:szCs w:val="32"/>
          <w:lang w:bidi="ar-EG"/>
          <w14:ligatures w14:val="none"/>
        </w:rPr>
        <w:t>Mid</w:t>
      </w:r>
      <w:r w:rsidR="000D353F" w:rsidRPr="008343BF">
        <w:rPr>
          <w:rFonts w:asciiTheme="majorBidi" w:eastAsia="Calibri" w:hAnsiTheme="majorBidi" w:cstheme="majorBidi"/>
          <w:b/>
          <w:bCs/>
          <w:color w:val="000000" w:themeColor="text1"/>
          <w:kern w:val="0"/>
          <w:sz w:val="32"/>
          <w:szCs w:val="32"/>
          <w:lang w:bidi="ar-EG"/>
          <w14:ligatures w14:val="none"/>
        </w:rPr>
        <w:t xml:space="preserve"> </w:t>
      </w:r>
      <w:r w:rsidR="0081623B" w:rsidRPr="008343B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8343BF" w:rsidRDefault="0081623B" w:rsidP="00CF44F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343BF">
        <w:rPr>
          <w:rFonts w:asciiTheme="majorBidi" w:eastAsia="Calibri" w:hAnsiTheme="majorBidi" w:cstheme="majorBidi"/>
          <w:b/>
          <w:bCs/>
          <w:color w:val="000000" w:themeColor="text1"/>
          <w:kern w:val="0"/>
          <w:sz w:val="32"/>
          <w:szCs w:val="32"/>
          <w:lang w:bidi="ar-EG"/>
          <w14:ligatures w14:val="none"/>
        </w:rPr>
        <w:t>College of Management</w:t>
      </w:r>
    </w:p>
    <w:p w14:paraId="0479A04F" w14:textId="652C2B70" w:rsidR="0081623B" w:rsidRPr="008343BF" w:rsidRDefault="00857739" w:rsidP="00CF44F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8343BF">
        <w:rPr>
          <w:rFonts w:asciiTheme="majorBidi" w:eastAsia="Calibri" w:hAnsiTheme="majorBidi" w:cstheme="majorBidi"/>
          <w:b/>
          <w:bCs/>
          <w:color w:val="000000" w:themeColor="text1"/>
          <w:kern w:val="0"/>
          <w:sz w:val="32"/>
          <w:szCs w:val="32"/>
          <w:lang w:bidi="ar-EG"/>
          <w14:ligatures w14:val="none"/>
        </w:rPr>
        <w:t xml:space="preserve">Department of </w:t>
      </w:r>
      <w:r w:rsidR="00EA15E2" w:rsidRPr="008343BF">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8343BF" w:rsidRDefault="00E27D3B" w:rsidP="00CF44FD">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26847EBC" w14:textId="662EB77F" w:rsidR="00D6553A" w:rsidRPr="008343BF" w:rsidRDefault="00861D72" w:rsidP="009405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8343BF">
        <w:rPr>
          <w:rFonts w:asciiTheme="majorBidi" w:eastAsia="Calibri" w:hAnsiTheme="majorBidi" w:cstheme="majorBidi"/>
          <w:b/>
          <w:bCs/>
          <w:color w:val="000000" w:themeColor="text1"/>
          <w:kern w:val="0"/>
          <w:sz w:val="40"/>
          <w:szCs w:val="40"/>
          <w:lang w:bidi="ar-EG"/>
          <w14:ligatures w14:val="none"/>
        </w:rPr>
        <w:t>The impact of accurate demand forecasting on reducing stagnant inventory and storage costs: A field study on food companies in the Eastern Province</w:t>
      </w:r>
      <w:r w:rsidR="00D6553A" w:rsidRPr="008343BF">
        <w:rPr>
          <w:rFonts w:asciiTheme="majorBidi" w:eastAsia="Calibri" w:hAnsiTheme="majorBidi" w:cstheme="majorBidi"/>
          <w:b/>
          <w:bCs/>
          <w:color w:val="000000" w:themeColor="text1"/>
          <w:kern w:val="0"/>
          <w:sz w:val="40"/>
          <w:szCs w:val="40"/>
          <w:lang w:bidi="ar-EG"/>
          <w14:ligatures w14:val="none"/>
        </w:rPr>
        <w:t>"</w:t>
      </w:r>
    </w:p>
    <w:p w14:paraId="1F8B7C2B" w14:textId="77777777" w:rsidR="00D6553A" w:rsidRPr="008343BF" w:rsidRDefault="00D6553A" w:rsidP="00CF44FD">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24532F5F" w14:textId="43FEC2FF" w:rsidR="000D353F" w:rsidRPr="008343BF" w:rsidRDefault="000D353F" w:rsidP="009405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343BF">
        <w:rPr>
          <w:rFonts w:asciiTheme="majorBidi" w:eastAsia="Calibri" w:hAnsiTheme="majorBidi" w:cstheme="majorBidi"/>
          <w:b/>
          <w:bCs/>
          <w:color w:val="000000" w:themeColor="text1"/>
          <w:kern w:val="0"/>
          <w:sz w:val="36"/>
          <w:szCs w:val="36"/>
          <w:lang w:bidi="ar-EG"/>
          <w14:ligatures w14:val="none"/>
        </w:rPr>
        <w:t>Prepared by:</w:t>
      </w:r>
    </w:p>
    <w:p w14:paraId="51057AC7" w14:textId="08AAF147" w:rsidR="007273AD" w:rsidRPr="008343BF" w:rsidRDefault="007273AD" w:rsidP="009405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8343BF">
        <w:rPr>
          <w:rFonts w:asciiTheme="majorBidi" w:eastAsia="Calibri" w:hAnsiTheme="majorBidi" w:cstheme="majorBidi"/>
          <w:color w:val="000000" w:themeColor="text1"/>
          <w:kern w:val="0"/>
          <w:sz w:val="36"/>
          <w:szCs w:val="36"/>
          <w:lang w:bidi="ar-EG"/>
          <w14:ligatures w14:val="none"/>
        </w:rPr>
        <w:t>Sultan Mohammed Al-Otaibi</w:t>
      </w:r>
    </w:p>
    <w:p w14:paraId="57FEAE97" w14:textId="733B9D11" w:rsidR="007273AD" w:rsidRPr="008343BF" w:rsidRDefault="007273AD" w:rsidP="009405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8343BF">
        <w:rPr>
          <w:rFonts w:asciiTheme="majorBidi" w:eastAsia="Calibri" w:hAnsiTheme="majorBidi" w:cstheme="majorBidi"/>
          <w:color w:val="000000" w:themeColor="text1"/>
          <w:kern w:val="0"/>
          <w:sz w:val="36"/>
          <w:szCs w:val="36"/>
          <w:lang w:bidi="ar-EG"/>
          <w14:ligatures w14:val="none"/>
        </w:rPr>
        <w:t>253001427</w:t>
      </w:r>
    </w:p>
    <w:p w14:paraId="20F6DB95" w14:textId="77777777" w:rsidR="009405EF" w:rsidRPr="008343BF" w:rsidRDefault="009405EF" w:rsidP="009405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405EF" w:rsidRPr="008343BF" w14:paraId="42E52A31" w14:textId="77777777" w:rsidTr="009405EF">
        <w:tc>
          <w:tcPr>
            <w:tcW w:w="4530" w:type="dxa"/>
          </w:tcPr>
          <w:p w14:paraId="0136F7CE" w14:textId="77777777" w:rsidR="009405EF" w:rsidRPr="008343BF" w:rsidRDefault="009405EF" w:rsidP="009405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343BF">
              <w:rPr>
                <w:rFonts w:asciiTheme="majorBidi" w:eastAsia="Calibri" w:hAnsiTheme="majorBidi" w:cstheme="majorBidi"/>
                <w:b/>
                <w:bCs/>
                <w:color w:val="000000" w:themeColor="text1"/>
                <w:kern w:val="0"/>
                <w:sz w:val="36"/>
                <w:szCs w:val="36"/>
                <w:lang w:bidi="ar-EG"/>
                <w14:ligatures w14:val="none"/>
              </w:rPr>
              <w:t>Main supervisor</w:t>
            </w:r>
            <w:r w:rsidRPr="008343B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4CD4BE4" w14:textId="77777777" w:rsidR="009405EF" w:rsidRPr="008343BF" w:rsidRDefault="009405EF" w:rsidP="009405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343BF">
              <w:rPr>
                <w:rFonts w:asciiTheme="majorBidi" w:eastAsia="Calibri" w:hAnsiTheme="majorBidi" w:cstheme="majorBidi"/>
                <w:b/>
                <w:bCs/>
                <w:color w:val="000000" w:themeColor="text1"/>
                <w:kern w:val="0"/>
                <w:sz w:val="36"/>
                <w:szCs w:val="36"/>
                <w:lang w:bidi="ar-EG"/>
                <w14:ligatures w14:val="none"/>
              </w:rPr>
              <w:t>Second supervisor</w:t>
            </w:r>
            <w:r w:rsidRPr="008343BF">
              <w:rPr>
                <w:rFonts w:asciiTheme="majorBidi" w:eastAsia="Calibri" w:hAnsiTheme="majorBidi" w:cstheme="majorBidi"/>
                <w:b/>
                <w:bCs/>
                <w:color w:val="000000" w:themeColor="text1"/>
                <w:kern w:val="0"/>
                <w:sz w:val="36"/>
                <w:szCs w:val="36"/>
                <w:rtl/>
                <w:lang w:bidi="ar-EG"/>
                <w14:ligatures w14:val="none"/>
              </w:rPr>
              <w:t>/</w:t>
            </w:r>
          </w:p>
        </w:tc>
      </w:tr>
      <w:tr w:rsidR="009405EF" w:rsidRPr="008343BF" w14:paraId="4952AF48" w14:textId="77777777" w:rsidTr="009405EF">
        <w:tc>
          <w:tcPr>
            <w:tcW w:w="4530" w:type="dxa"/>
          </w:tcPr>
          <w:p w14:paraId="6C908043" w14:textId="77777777" w:rsidR="009405EF" w:rsidRPr="008343BF" w:rsidRDefault="009405EF" w:rsidP="009405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343B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E95866B" w14:textId="77777777" w:rsidR="009405EF" w:rsidRPr="008343BF" w:rsidRDefault="009405EF" w:rsidP="009405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343BF">
              <w:rPr>
                <w:rFonts w:asciiTheme="majorBidi" w:eastAsia="Calibri" w:hAnsiTheme="majorBidi" w:cstheme="majorBidi"/>
                <w:color w:val="000000" w:themeColor="text1"/>
                <w:kern w:val="0"/>
                <w:sz w:val="36"/>
                <w:szCs w:val="36"/>
                <w:lang w:bidi="ar-EG"/>
                <w14:ligatures w14:val="none"/>
              </w:rPr>
              <w:t>Dr. Fayez Jarad</w:t>
            </w:r>
          </w:p>
        </w:tc>
      </w:tr>
    </w:tbl>
    <w:p w14:paraId="041B331A" w14:textId="77777777" w:rsidR="009405EF" w:rsidRPr="008343BF" w:rsidRDefault="009405EF" w:rsidP="009405E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8343BF">
        <w:rPr>
          <w:rFonts w:asciiTheme="majorBidi" w:eastAsia="Calibri" w:hAnsiTheme="majorBidi" w:cstheme="majorBidi"/>
          <w:color w:val="000000" w:themeColor="text1"/>
          <w:kern w:val="0"/>
          <w:sz w:val="36"/>
          <w:szCs w:val="36"/>
          <w:rtl/>
          <w:lang w:bidi="ar-EG"/>
          <w14:ligatures w14:val="none"/>
        </w:rPr>
        <w:t>1448 – 2026</w:t>
      </w:r>
    </w:p>
    <w:p w14:paraId="1620BE73" w14:textId="77777777" w:rsidR="009405EF" w:rsidRPr="008343BF" w:rsidRDefault="009405EF" w:rsidP="009405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342E308E" w14:textId="77777777" w:rsidR="00E27D3B" w:rsidRPr="008343BF" w:rsidRDefault="00E27D3B" w:rsidP="00CF44F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703D113" w14:textId="77777777" w:rsidR="00D6553A" w:rsidRPr="008343BF" w:rsidRDefault="00D6553A" w:rsidP="00CF44F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E52896B" w14:textId="1A601691" w:rsidR="009125CE" w:rsidRPr="008343BF" w:rsidRDefault="009125CE" w:rsidP="00CF44FD">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8343BF" w:rsidSect="00D21DB5">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3EE9A4" w14:textId="77777777" w:rsidR="009630CC" w:rsidRDefault="009630CC" w:rsidP="009125CE">
      <w:pPr>
        <w:spacing w:after="0" w:line="240" w:lineRule="auto"/>
      </w:pPr>
      <w:r>
        <w:separator/>
      </w:r>
    </w:p>
  </w:endnote>
  <w:endnote w:type="continuationSeparator" w:id="0">
    <w:p w14:paraId="5283540C" w14:textId="77777777" w:rsidR="009630CC" w:rsidRDefault="009630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25206698"/>
      <w:docPartObj>
        <w:docPartGallery w:val="Page Numbers (Bottom of Page)"/>
        <w:docPartUnique/>
      </w:docPartObj>
    </w:sdtPr>
    <w:sdtContent>
      <w:p w14:paraId="1F87E482" w14:textId="77777777" w:rsidR="00476A27" w:rsidRDefault="00476A27">
        <w:pPr>
          <w:pStyle w:val="Footer"/>
        </w:pPr>
        <w:r w:rsidRPr="00CF44FD">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3B562193" wp14:editId="13C4A003">
                  <wp:simplePos x="0" y="0"/>
                  <wp:positionH relativeFrom="margin">
                    <wp:posOffset>2289810</wp:posOffset>
                  </wp:positionH>
                  <wp:positionV relativeFrom="bottomMargin">
                    <wp:posOffset>78740</wp:posOffset>
                  </wp:positionV>
                  <wp:extent cx="1236980" cy="518160"/>
                  <wp:effectExtent l="19050" t="19050" r="39370" b="15240"/>
                  <wp:wrapNone/>
                  <wp:docPr id="3" name="Curved Down Ribb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980" cy="51816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0FBB4D0F" w14:textId="77777777" w:rsidR="00476A27" w:rsidRPr="00CF44FD" w:rsidRDefault="00476A27">
                              <w:pPr>
                                <w:jc w:val="center"/>
                                <w:rPr>
                                  <w:rFonts w:ascii="Simplified Arabic" w:hAnsi="Simplified Arabic" w:cs="Simplified Arabic"/>
                                  <w:b/>
                                  <w:bCs/>
                                  <w:color w:val="000000" w:themeColor="text1"/>
                                  <w:sz w:val="24"/>
                                  <w:szCs w:val="24"/>
                                </w:rPr>
                              </w:pPr>
                              <w:r w:rsidRPr="00CF44FD">
                                <w:rPr>
                                  <w:rFonts w:ascii="Simplified Arabic" w:hAnsi="Simplified Arabic" w:cs="Simplified Arabic"/>
                                  <w:b/>
                                  <w:bCs/>
                                  <w:color w:val="000000" w:themeColor="text1"/>
                                  <w:sz w:val="24"/>
                                  <w:szCs w:val="24"/>
                                </w:rPr>
                                <w:fldChar w:fldCharType="begin"/>
                              </w:r>
                              <w:r w:rsidRPr="00CF44FD">
                                <w:rPr>
                                  <w:rFonts w:ascii="Simplified Arabic" w:hAnsi="Simplified Arabic" w:cs="Simplified Arabic"/>
                                  <w:b/>
                                  <w:bCs/>
                                  <w:color w:val="000000" w:themeColor="text1"/>
                                  <w:sz w:val="24"/>
                                  <w:szCs w:val="24"/>
                                </w:rPr>
                                <w:instrText xml:space="preserve"> PAGE    \* MERGEFORMAT </w:instrText>
                              </w:r>
                              <w:r w:rsidRPr="00CF44FD">
                                <w:rPr>
                                  <w:rFonts w:ascii="Simplified Arabic" w:hAnsi="Simplified Arabic" w:cs="Simplified Arabic"/>
                                  <w:b/>
                                  <w:bCs/>
                                  <w:color w:val="000000" w:themeColor="text1"/>
                                  <w:sz w:val="24"/>
                                  <w:szCs w:val="24"/>
                                </w:rPr>
                                <w:fldChar w:fldCharType="separate"/>
                              </w:r>
                              <w:r w:rsidR="007C59CE">
                                <w:rPr>
                                  <w:rFonts w:ascii="Simplified Arabic" w:hAnsi="Simplified Arabic" w:cs="Simplified Arabic"/>
                                  <w:b/>
                                  <w:bCs/>
                                  <w:noProof/>
                                  <w:color w:val="000000" w:themeColor="text1"/>
                                  <w:sz w:val="24"/>
                                  <w:szCs w:val="24"/>
                                  <w:rtl/>
                                </w:rPr>
                                <w:t>44</w:t>
                              </w:r>
                              <w:r w:rsidRPr="00CF44FD">
                                <w:rPr>
                                  <w:rFonts w:ascii="Simplified Arabic" w:hAnsi="Simplified Arabic" w:cs="Simplified Arabic"/>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62193"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3" o:spid="_x0000_s1026" type="#_x0000_t107" style="position:absolute;left:0;text-align:left;margin-left:180.3pt;margin-top:6.2pt;width:97.4pt;height:40.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" fillcolor="white [3201]" strokecolor="black [3200]" strokeweight="1pt">
                  <v:stroke joinstyle="miter"/>
                  <v:textbox>
                    <w:txbxContent>
                      <w:p w14:paraId="0FBB4D0F" w14:textId="77777777" w:rsidR="00476A27" w:rsidRPr="00CF44FD" w:rsidRDefault="00476A27">
                        <w:pPr>
                          <w:jc w:val="center"/>
                          <w:rPr>
                            <w:rFonts w:ascii="Simplified Arabic" w:hAnsi="Simplified Arabic" w:cs="Simplified Arabic"/>
                            <w:b/>
                            <w:bCs/>
                            <w:color w:val="000000" w:themeColor="text1"/>
                            <w:sz w:val="24"/>
                            <w:szCs w:val="24"/>
                          </w:rPr>
                        </w:pPr>
                        <w:r w:rsidRPr="00CF44FD">
                          <w:rPr>
                            <w:rFonts w:ascii="Simplified Arabic" w:hAnsi="Simplified Arabic" w:cs="Simplified Arabic"/>
                            <w:b/>
                            <w:bCs/>
                            <w:color w:val="000000" w:themeColor="text1"/>
                            <w:sz w:val="24"/>
                            <w:szCs w:val="24"/>
                          </w:rPr>
                          <w:fldChar w:fldCharType="begin"/>
                        </w:r>
                        <w:r w:rsidRPr="00CF44FD">
                          <w:rPr>
                            <w:rFonts w:ascii="Simplified Arabic" w:hAnsi="Simplified Arabic" w:cs="Simplified Arabic"/>
                            <w:b/>
                            <w:bCs/>
                            <w:color w:val="000000" w:themeColor="text1"/>
                            <w:sz w:val="24"/>
                            <w:szCs w:val="24"/>
                          </w:rPr>
                          <w:instrText xml:space="preserve"> PAGE    \* MERGEFORMAT </w:instrText>
                        </w:r>
                        <w:r w:rsidRPr="00CF44FD">
                          <w:rPr>
                            <w:rFonts w:ascii="Simplified Arabic" w:hAnsi="Simplified Arabic" w:cs="Simplified Arabic"/>
                            <w:b/>
                            <w:bCs/>
                            <w:color w:val="000000" w:themeColor="text1"/>
                            <w:sz w:val="24"/>
                            <w:szCs w:val="24"/>
                          </w:rPr>
                          <w:fldChar w:fldCharType="separate"/>
                        </w:r>
                        <w:r w:rsidR="007C59CE">
                          <w:rPr>
                            <w:rFonts w:ascii="Simplified Arabic" w:hAnsi="Simplified Arabic" w:cs="Simplified Arabic"/>
                            <w:b/>
                            <w:bCs/>
                            <w:noProof/>
                            <w:color w:val="000000" w:themeColor="text1"/>
                            <w:sz w:val="24"/>
                            <w:szCs w:val="24"/>
                            <w:rtl/>
                          </w:rPr>
                          <w:t>44</w:t>
                        </w:r>
                        <w:r w:rsidRPr="00CF44FD">
                          <w:rPr>
                            <w:rFonts w:ascii="Simplified Arabic" w:hAnsi="Simplified Arabic" w:cs="Simplified Arabic"/>
                            <w:b/>
                            <w:bCs/>
                            <w:noProof/>
                            <w:color w:val="000000" w:themeColor="text1"/>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C4F04" w14:textId="22EDDDBB" w:rsidR="00476A27" w:rsidRDefault="00476A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C89EF" w14:textId="77777777" w:rsidR="009630CC" w:rsidRDefault="009630CC" w:rsidP="009125CE">
      <w:pPr>
        <w:spacing w:after="0" w:line="240" w:lineRule="auto"/>
      </w:pPr>
      <w:r>
        <w:separator/>
      </w:r>
    </w:p>
  </w:footnote>
  <w:footnote w:type="continuationSeparator" w:id="0">
    <w:p w14:paraId="4DCD676D" w14:textId="77777777" w:rsidR="009630CC" w:rsidRDefault="009630C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6674F"/>
    <w:multiLevelType w:val="multilevel"/>
    <w:tmpl w:val="37D6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C3CEA"/>
    <w:multiLevelType w:val="hybridMultilevel"/>
    <w:tmpl w:val="5F804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841642"/>
    <w:multiLevelType w:val="multilevel"/>
    <w:tmpl w:val="EB4EBB1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Simplified Arabic" w:eastAsiaTheme="majorEastAsia"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9E79A4"/>
    <w:multiLevelType w:val="hybridMultilevel"/>
    <w:tmpl w:val="91E0B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EB167B"/>
    <w:multiLevelType w:val="multilevel"/>
    <w:tmpl w:val="54328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4E401F"/>
    <w:multiLevelType w:val="multilevel"/>
    <w:tmpl w:val="4816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6008AF"/>
    <w:multiLevelType w:val="multilevel"/>
    <w:tmpl w:val="8918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271121"/>
    <w:multiLevelType w:val="hybridMultilevel"/>
    <w:tmpl w:val="AEAA2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B63A37"/>
    <w:multiLevelType w:val="multilevel"/>
    <w:tmpl w:val="0C58DD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6072E62"/>
    <w:multiLevelType w:val="multilevel"/>
    <w:tmpl w:val="5B3C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8D1F97"/>
    <w:multiLevelType w:val="multilevel"/>
    <w:tmpl w:val="0C58DD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D9063E4"/>
    <w:multiLevelType w:val="hybridMultilevel"/>
    <w:tmpl w:val="8F3EA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3D1622"/>
    <w:multiLevelType w:val="hybridMultilevel"/>
    <w:tmpl w:val="93F0FC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66161FDB"/>
    <w:multiLevelType w:val="multilevel"/>
    <w:tmpl w:val="B86A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6">
    <w:nsid w:val="71B20D45"/>
    <w:multiLevelType w:val="hybridMultilevel"/>
    <w:tmpl w:val="40320AAE"/>
    <w:lvl w:ilvl="0" w:tplc="58A8ABA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F336E4"/>
    <w:multiLevelType w:val="multilevel"/>
    <w:tmpl w:val="0C58DD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4"/>
  </w:num>
  <w:num w:numId="3">
    <w:abstractNumId w:val="4"/>
  </w:num>
  <w:num w:numId="4">
    <w:abstractNumId w:val="2"/>
  </w:num>
  <w:num w:numId="5">
    <w:abstractNumId w:val="0"/>
  </w:num>
  <w:num w:numId="6">
    <w:abstractNumId w:val="11"/>
  </w:num>
  <w:num w:numId="7">
    <w:abstractNumId w:val="17"/>
  </w:num>
  <w:num w:numId="8">
    <w:abstractNumId w:val="9"/>
  </w:num>
  <w:num w:numId="9">
    <w:abstractNumId w:val="6"/>
  </w:num>
  <w:num w:numId="10">
    <w:abstractNumId w:val="10"/>
  </w:num>
  <w:num w:numId="11">
    <w:abstractNumId w:val="3"/>
  </w:num>
  <w:num w:numId="12">
    <w:abstractNumId w:val="13"/>
  </w:num>
  <w:num w:numId="13">
    <w:abstractNumId w:val="12"/>
  </w:num>
  <w:num w:numId="14">
    <w:abstractNumId w:val="1"/>
  </w:num>
  <w:num w:numId="15">
    <w:abstractNumId w:val="16"/>
  </w:num>
  <w:num w:numId="16">
    <w:abstractNumId w:val="8"/>
  </w:num>
  <w:num w:numId="17">
    <w:abstractNumId w:val="5"/>
  </w:num>
  <w:num w:numId="18">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0313"/>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3BF3"/>
    <w:rsid w:val="001E7B16"/>
    <w:rsid w:val="001F0034"/>
    <w:rsid w:val="001F08AA"/>
    <w:rsid w:val="001F159D"/>
    <w:rsid w:val="001F46A5"/>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45F6F"/>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27"/>
    <w:rsid w:val="00476ADB"/>
    <w:rsid w:val="0047707D"/>
    <w:rsid w:val="00482056"/>
    <w:rsid w:val="00482616"/>
    <w:rsid w:val="00491EAB"/>
    <w:rsid w:val="004A035D"/>
    <w:rsid w:val="004A1755"/>
    <w:rsid w:val="004B118D"/>
    <w:rsid w:val="004B1EF3"/>
    <w:rsid w:val="004B352F"/>
    <w:rsid w:val="004C0303"/>
    <w:rsid w:val="004C3BAD"/>
    <w:rsid w:val="004C4331"/>
    <w:rsid w:val="004C5C0B"/>
    <w:rsid w:val="004D23E7"/>
    <w:rsid w:val="004D6581"/>
    <w:rsid w:val="004D6B08"/>
    <w:rsid w:val="004E439C"/>
    <w:rsid w:val="004E4F78"/>
    <w:rsid w:val="004F1444"/>
    <w:rsid w:val="004F2475"/>
    <w:rsid w:val="004F3AF6"/>
    <w:rsid w:val="00504E7A"/>
    <w:rsid w:val="00513B3A"/>
    <w:rsid w:val="005146DA"/>
    <w:rsid w:val="0051585E"/>
    <w:rsid w:val="00522010"/>
    <w:rsid w:val="005235DF"/>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3818"/>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17BF"/>
    <w:rsid w:val="006B3A4B"/>
    <w:rsid w:val="006B40EF"/>
    <w:rsid w:val="006B4F02"/>
    <w:rsid w:val="006B736E"/>
    <w:rsid w:val="006D0A16"/>
    <w:rsid w:val="006D4C88"/>
    <w:rsid w:val="006E4126"/>
    <w:rsid w:val="006E41F3"/>
    <w:rsid w:val="006E65A3"/>
    <w:rsid w:val="006F0204"/>
    <w:rsid w:val="006F162C"/>
    <w:rsid w:val="006F29F1"/>
    <w:rsid w:val="0070333D"/>
    <w:rsid w:val="00705AF7"/>
    <w:rsid w:val="00706E7F"/>
    <w:rsid w:val="0071504C"/>
    <w:rsid w:val="007178EE"/>
    <w:rsid w:val="007273AD"/>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59CE"/>
    <w:rsid w:val="007C6908"/>
    <w:rsid w:val="007D2C05"/>
    <w:rsid w:val="007D443E"/>
    <w:rsid w:val="007D5033"/>
    <w:rsid w:val="007E0AD8"/>
    <w:rsid w:val="007E1EBB"/>
    <w:rsid w:val="007E3A20"/>
    <w:rsid w:val="007E6564"/>
    <w:rsid w:val="007F1674"/>
    <w:rsid w:val="007F1855"/>
    <w:rsid w:val="007F2AAC"/>
    <w:rsid w:val="007F6F3A"/>
    <w:rsid w:val="00800FF6"/>
    <w:rsid w:val="00806716"/>
    <w:rsid w:val="00807477"/>
    <w:rsid w:val="00811E32"/>
    <w:rsid w:val="008156EA"/>
    <w:rsid w:val="0081623B"/>
    <w:rsid w:val="008202B7"/>
    <w:rsid w:val="00821534"/>
    <w:rsid w:val="0083081C"/>
    <w:rsid w:val="00831F14"/>
    <w:rsid w:val="008332E4"/>
    <w:rsid w:val="008343BF"/>
    <w:rsid w:val="0083662A"/>
    <w:rsid w:val="0084024D"/>
    <w:rsid w:val="00850760"/>
    <w:rsid w:val="0085226F"/>
    <w:rsid w:val="00854A80"/>
    <w:rsid w:val="00854B0B"/>
    <w:rsid w:val="00854D73"/>
    <w:rsid w:val="00857739"/>
    <w:rsid w:val="00857D1D"/>
    <w:rsid w:val="00861D72"/>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6EB5"/>
    <w:rsid w:val="00937CA3"/>
    <w:rsid w:val="009405EF"/>
    <w:rsid w:val="0094753B"/>
    <w:rsid w:val="00951F48"/>
    <w:rsid w:val="0096099D"/>
    <w:rsid w:val="009630CC"/>
    <w:rsid w:val="009638CB"/>
    <w:rsid w:val="00963C6C"/>
    <w:rsid w:val="00964E82"/>
    <w:rsid w:val="00970A0C"/>
    <w:rsid w:val="00970F41"/>
    <w:rsid w:val="0097383F"/>
    <w:rsid w:val="009760DA"/>
    <w:rsid w:val="00976DC2"/>
    <w:rsid w:val="00980234"/>
    <w:rsid w:val="00985B71"/>
    <w:rsid w:val="0098768E"/>
    <w:rsid w:val="00994120"/>
    <w:rsid w:val="009A62C5"/>
    <w:rsid w:val="009B3260"/>
    <w:rsid w:val="009B37BE"/>
    <w:rsid w:val="009B37F5"/>
    <w:rsid w:val="009B5162"/>
    <w:rsid w:val="009B6888"/>
    <w:rsid w:val="009B7EAF"/>
    <w:rsid w:val="009C0161"/>
    <w:rsid w:val="009C20C7"/>
    <w:rsid w:val="009C3E61"/>
    <w:rsid w:val="009C6715"/>
    <w:rsid w:val="009D108D"/>
    <w:rsid w:val="009D2B33"/>
    <w:rsid w:val="009D2E51"/>
    <w:rsid w:val="009D2E90"/>
    <w:rsid w:val="009D40A6"/>
    <w:rsid w:val="009D4539"/>
    <w:rsid w:val="009D59AE"/>
    <w:rsid w:val="009E1436"/>
    <w:rsid w:val="009E31A0"/>
    <w:rsid w:val="009E5668"/>
    <w:rsid w:val="009F01B4"/>
    <w:rsid w:val="009F47B9"/>
    <w:rsid w:val="009F7996"/>
    <w:rsid w:val="00A02DBC"/>
    <w:rsid w:val="00A057D1"/>
    <w:rsid w:val="00A10072"/>
    <w:rsid w:val="00A10B45"/>
    <w:rsid w:val="00A1279C"/>
    <w:rsid w:val="00A130CC"/>
    <w:rsid w:val="00A13C6F"/>
    <w:rsid w:val="00A15287"/>
    <w:rsid w:val="00A15584"/>
    <w:rsid w:val="00A1624B"/>
    <w:rsid w:val="00A16431"/>
    <w:rsid w:val="00A23992"/>
    <w:rsid w:val="00A23F5C"/>
    <w:rsid w:val="00A2564F"/>
    <w:rsid w:val="00A266D6"/>
    <w:rsid w:val="00A30D10"/>
    <w:rsid w:val="00A31A25"/>
    <w:rsid w:val="00A348C1"/>
    <w:rsid w:val="00A3547E"/>
    <w:rsid w:val="00A35B21"/>
    <w:rsid w:val="00A40ADE"/>
    <w:rsid w:val="00A42832"/>
    <w:rsid w:val="00A44EBE"/>
    <w:rsid w:val="00A4659A"/>
    <w:rsid w:val="00A50745"/>
    <w:rsid w:val="00A50A94"/>
    <w:rsid w:val="00A55EF3"/>
    <w:rsid w:val="00A57461"/>
    <w:rsid w:val="00A71BCE"/>
    <w:rsid w:val="00A74F76"/>
    <w:rsid w:val="00A80960"/>
    <w:rsid w:val="00A823EC"/>
    <w:rsid w:val="00A840CF"/>
    <w:rsid w:val="00A86E11"/>
    <w:rsid w:val="00A959B2"/>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57E"/>
    <w:rsid w:val="00BA3D6A"/>
    <w:rsid w:val="00BA5817"/>
    <w:rsid w:val="00BB1144"/>
    <w:rsid w:val="00BB3514"/>
    <w:rsid w:val="00BC24EE"/>
    <w:rsid w:val="00BC454D"/>
    <w:rsid w:val="00BC61BD"/>
    <w:rsid w:val="00BD03D1"/>
    <w:rsid w:val="00BD590D"/>
    <w:rsid w:val="00BE2024"/>
    <w:rsid w:val="00BF35D5"/>
    <w:rsid w:val="00C01C2B"/>
    <w:rsid w:val="00C1175F"/>
    <w:rsid w:val="00C11C18"/>
    <w:rsid w:val="00C16713"/>
    <w:rsid w:val="00C16D65"/>
    <w:rsid w:val="00C20A1C"/>
    <w:rsid w:val="00C23616"/>
    <w:rsid w:val="00C23A70"/>
    <w:rsid w:val="00C32E49"/>
    <w:rsid w:val="00C35B07"/>
    <w:rsid w:val="00C35BBA"/>
    <w:rsid w:val="00C438C6"/>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E4B4E"/>
    <w:rsid w:val="00CF1F0B"/>
    <w:rsid w:val="00CF44FD"/>
    <w:rsid w:val="00CF4901"/>
    <w:rsid w:val="00CF552E"/>
    <w:rsid w:val="00CF6CEC"/>
    <w:rsid w:val="00D043D4"/>
    <w:rsid w:val="00D1053F"/>
    <w:rsid w:val="00D10F38"/>
    <w:rsid w:val="00D1454F"/>
    <w:rsid w:val="00D216C5"/>
    <w:rsid w:val="00D21DB5"/>
    <w:rsid w:val="00D22171"/>
    <w:rsid w:val="00D274B5"/>
    <w:rsid w:val="00D27AED"/>
    <w:rsid w:val="00D30845"/>
    <w:rsid w:val="00D3210F"/>
    <w:rsid w:val="00D32470"/>
    <w:rsid w:val="00D32C83"/>
    <w:rsid w:val="00D417B5"/>
    <w:rsid w:val="00D5653F"/>
    <w:rsid w:val="00D56FCA"/>
    <w:rsid w:val="00D60743"/>
    <w:rsid w:val="00D6553A"/>
    <w:rsid w:val="00D92BC0"/>
    <w:rsid w:val="00D92F77"/>
    <w:rsid w:val="00D965B5"/>
    <w:rsid w:val="00DA0EBA"/>
    <w:rsid w:val="00DA1C1B"/>
    <w:rsid w:val="00DA3C05"/>
    <w:rsid w:val="00DA48D0"/>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655C"/>
    <w:rsid w:val="00E17556"/>
    <w:rsid w:val="00E24460"/>
    <w:rsid w:val="00E2784D"/>
    <w:rsid w:val="00E27D3B"/>
    <w:rsid w:val="00E30EB7"/>
    <w:rsid w:val="00E3112D"/>
    <w:rsid w:val="00E3198B"/>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623818"/>
    <w:pPr>
      <w:keepNext/>
      <w:keepLines/>
      <w:spacing w:before="100" w:beforeAutospacing="1" w:after="100" w:afterAutospacing="1" w:line="276" w:lineRule="auto"/>
      <w:jc w:val="both"/>
      <w:outlineLvl w:val="0"/>
    </w:pPr>
    <w:rPr>
      <w:rFonts w:ascii="Simplified Arabic" w:eastAsiaTheme="majorEastAsia" w:hAnsi="Simplified Arabic" w:cs="Simplified Arabic"/>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623818"/>
    <w:rPr>
      <w:rFonts w:ascii="Simplified Arabic" w:eastAsiaTheme="majorEastAsia" w:hAnsi="Simplified Arabic" w:cs="Simplified Arabic"/>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bCs/>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D6553A"/>
    <w:pPr>
      <w:spacing w:after="100"/>
      <w:ind w:left="440"/>
    </w:pPr>
  </w:style>
  <w:style w:type="paragraph" w:customStyle="1" w:styleId="msonormal0">
    <w:name w:val="msonormal"/>
    <w:basedOn w:val="Normal"/>
    <w:rsid w:val="00A428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
    <w:name w:val="Grid Table 6 Colorful"/>
    <w:basedOn w:val="TableNormal"/>
    <w:uiPriority w:val="51"/>
    <w:rsid w:val="00D21DB5"/>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9405E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6433839">
      <w:bodyDiv w:val="1"/>
      <w:marLeft w:val="0"/>
      <w:marRight w:val="0"/>
      <w:marTop w:val="0"/>
      <w:marBottom w:val="0"/>
      <w:divBdr>
        <w:top w:val="none" w:sz="0" w:space="0" w:color="auto"/>
        <w:left w:val="none" w:sz="0" w:space="0" w:color="auto"/>
        <w:bottom w:val="none" w:sz="0" w:space="0" w:color="auto"/>
        <w:right w:val="none" w:sz="0" w:space="0" w:color="auto"/>
      </w:divBdr>
    </w:div>
    <w:div w:id="108084151">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698551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521004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5488434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10542">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14471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03232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3698307">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279544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398377">
      <w:bodyDiv w:val="1"/>
      <w:marLeft w:val="0"/>
      <w:marRight w:val="0"/>
      <w:marTop w:val="0"/>
      <w:marBottom w:val="0"/>
      <w:divBdr>
        <w:top w:val="none" w:sz="0" w:space="0" w:color="auto"/>
        <w:left w:val="none" w:sz="0" w:space="0" w:color="auto"/>
        <w:bottom w:val="none" w:sz="0" w:space="0" w:color="auto"/>
        <w:right w:val="none" w:sz="0" w:space="0" w:color="auto"/>
      </w:divBdr>
      <w:divsChild>
        <w:div w:id="668750719">
          <w:marLeft w:val="0"/>
          <w:marRight w:val="0"/>
          <w:marTop w:val="0"/>
          <w:marBottom w:val="0"/>
          <w:divBdr>
            <w:top w:val="none" w:sz="0" w:space="0" w:color="auto"/>
            <w:left w:val="none" w:sz="0" w:space="0" w:color="auto"/>
            <w:bottom w:val="none" w:sz="0" w:space="0" w:color="auto"/>
            <w:right w:val="none" w:sz="0" w:space="0" w:color="auto"/>
          </w:divBdr>
        </w:div>
      </w:divsChild>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6665950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572455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0066209">
      <w:bodyDiv w:val="1"/>
      <w:marLeft w:val="0"/>
      <w:marRight w:val="0"/>
      <w:marTop w:val="0"/>
      <w:marBottom w:val="0"/>
      <w:divBdr>
        <w:top w:val="none" w:sz="0" w:space="0" w:color="auto"/>
        <w:left w:val="none" w:sz="0" w:space="0" w:color="auto"/>
        <w:bottom w:val="none" w:sz="0" w:space="0" w:color="auto"/>
        <w:right w:val="none" w:sz="0" w:space="0" w:color="auto"/>
      </w:divBdr>
      <w:divsChild>
        <w:div w:id="1464612393">
          <w:marLeft w:val="0"/>
          <w:marRight w:val="0"/>
          <w:marTop w:val="0"/>
          <w:marBottom w:val="0"/>
          <w:divBdr>
            <w:top w:val="none" w:sz="0" w:space="0" w:color="auto"/>
            <w:left w:val="none" w:sz="0" w:space="0" w:color="auto"/>
            <w:bottom w:val="none" w:sz="0" w:space="0" w:color="auto"/>
            <w:right w:val="none" w:sz="0" w:space="0" w:color="auto"/>
          </w:divBdr>
          <w:divsChild>
            <w:div w:id="1054163161">
              <w:marLeft w:val="0"/>
              <w:marRight w:val="0"/>
              <w:marTop w:val="0"/>
              <w:marBottom w:val="0"/>
              <w:divBdr>
                <w:top w:val="none" w:sz="0" w:space="0" w:color="auto"/>
                <w:left w:val="none" w:sz="0" w:space="0" w:color="auto"/>
                <w:bottom w:val="none" w:sz="0" w:space="0" w:color="auto"/>
                <w:right w:val="none" w:sz="0" w:space="0" w:color="auto"/>
              </w:divBdr>
              <w:divsChild>
                <w:div w:id="447286007">
                  <w:marLeft w:val="0"/>
                  <w:marRight w:val="0"/>
                  <w:marTop w:val="0"/>
                  <w:marBottom w:val="0"/>
                  <w:divBdr>
                    <w:top w:val="none" w:sz="0" w:space="0" w:color="auto"/>
                    <w:left w:val="none" w:sz="0" w:space="0" w:color="auto"/>
                    <w:bottom w:val="none" w:sz="0" w:space="0" w:color="auto"/>
                    <w:right w:val="none" w:sz="0" w:space="0" w:color="auto"/>
                  </w:divBdr>
                  <w:divsChild>
                    <w:div w:id="188051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3915963">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591227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1217600">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0945420">
      <w:bodyDiv w:val="1"/>
      <w:marLeft w:val="0"/>
      <w:marRight w:val="0"/>
      <w:marTop w:val="0"/>
      <w:marBottom w:val="0"/>
      <w:divBdr>
        <w:top w:val="none" w:sz="0" w:space="0" w:color="auto"/>
        <w:left w:val="none" w:sz="0" w:space="0" w:color="auto"/>
        <w:bottom w:val="none" w:sz="0" w:space="0" w:color="auto"/>
        <w:right w:val="none" w:sz="0" w:space="0" w:color="auto"/>
      </w:divBdr>
    </w:div>
    <w:div w:id="194406682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57832897">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576650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3526520">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1A5D2D-85D6-49FC-838A-2344F0B9F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12187</Words>
  <Characters>69468</Characters>
  <Application>Microsoft Office Word</Application>
  <DocSecurity>0</DocSecurity>
  <Lines>578</Lines>
  <Paragraphs>162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2026-06-22T14:45:00Z</cp:lastPrinted>
  <dcterms:created xsi:type="dcterms:W3CDTF">2026-06-22T14:47:00Z</dcterms:created>
  <dcterms:modified xsi:type="dcterms:W3CDTF">2026-06-22T14:47:00Z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