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F819D1" w14:textId="77777777" w:rsidR="00E94561" w:rsidRDefault="00000000">
      <w:pPr>
        <w:spacing w:after="160"/>
        <w:jc w:val="center"/>
      </w:pPr>
      <w:r>
        <w:rPr>
          <w:rFonts w:ascii="Times New Roman" w:eastAsia="Times New Roman" w:hAnsi="Times New Roman" w:cs="Times New Roman"/>
          <w:noProof/>
        </w:rPr>
        <w:drawing>
          <wp:anchor distT="0" distB="0" distL="114300" distR="114300" simplePos="0" relativeHeight="251658240" behindDoc="1" locked="0" layoutInCell="1" allowOverlap="1" wp14:anchorId="73387BAA" wp14:editId="2C496A0B">
            <wp:simplePos x="0" y="0"/>
            <wp:positionH relativeFrom="column">
              <wp:posOffset>58442</wp:posOffset>
            </wp:positionH>
            <wp:positionV relativeFrom="paragraph">
              <wp:posOffset>-10817</wp:posOffset>
            </wp:positionV>
            <wp:extent cx="1799590" cy="1405720"/>
            <wp:effectExtent l="0" t="0" r="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docean_logo.png"/>
                    <pic:cNvPicPr/>
                  </pic:nvPicPr>
                  <pic:blipFill>
                    <a:blip r:embed="rId8"/>
                    <a:stretch>
                      <a:fillRect/>
                    </a:stretch>
                  </pic:blipFill>
                  <pic:spPr>
                    <a:xfrm>
                      <a:off x="0" y="0"/>
                      <a:ext cx="1799590" cy="1405720"/>
                    </a:xfrm>
                    <a:prstGeom prst="rect">
                      <a:avLst/>
                    </a:prstGeom>
                  </pic:spPr>
                </pic:pic>
              </a:graphicData>
            </a:graphic>
            <wp14:sizeRelV relativeFrom="margin">
              <wp14:pctHeight>0</wp14:pctHeight>
            </wp14:sizeRelV>
          </wp:anchor>
        </w:drawing>
      </w:r>
    </w:p>
    <w:p w14:paraId="340351C6" w14:textId="77777777" w:rsidR="00E94561" w:rsidRPr="00B56FDF" w:rsidRDefault="00000000" w:rsidP="00B56FDF">
      <w:pPr>
        <w:bidi/>
        <w:spacing w:after="240"/>
        <w:ind w:firstLine="0"/>
        <w:jc w:val="left"/>
        <w:rPr>
          <w:sz w:val="30"/>
          <w:szCs w:val="24"/>
        </w:rPr>
      </w:pPr>
      <w:r w:rsidRPr="00B56FDF">
        <w:rPr>
          <w:b/>
          <w:color w:val="D97A1E"/>
          <w:sz w:val="34"/>
          <w:szCs w:val="24"/>
          <w:rtl/>
        </w:rPr>
        <w:t>جامعة ميدأوشن</w:t>
      </w:r>
    </w:p>
    <w:p w14:paraId="7E64F384" w14:textId="77777777" w:rsidR="00E94561" w:rsidRPr="00B56FDF" w:rsidRDefault="00000000" w:rsidP="00B56FDF">
      <w:pPr>
        <w:bidi/>
        <w:spacing w:after="240"/>
        <w:ind w:firstLine="0"/>
        <w:jc w:val="left"/>
        <w:rPr>
          <w:sz w:val="30"/>
          <w:szCs w:val="24"/>
        </w:rPr>
      </w:pPr>
      <w:r w:rsidRPr="00B56FDF">
        <w:rPr>
          <w:b/>
          <w:sz w:val="32"/>
          <w:szCs w:val="24"/>
          <w:rtl/>
        </w:rPr>
        <w:t>كلية الإدارة</w:t>
      </w:r>
    </w:p>
    <w:p w14:paraId="01DEFFF3" w14:textId="77777777" w:rsidR="00E94561" w:rsidRPr="00B56FDF" w:rsidRDefault="00000000" w:rsidP="00B56FDF">
      <w:pPr>
        <w:bidi/>
        <w:spacing w:after="240"/>
        <w:ind w:firstLine="0"/>
        <w:jc w:val="left"/>
        <w:rPr>
          <w:sz w:val="30"/>
          <w:szCs w:val="24"/>
        </w:rPr>
      </w:pPr>
      <w:r w:rsidRPr="00B56FDF">
        <w:rPr>
          <w:b/>
          <w:sz w:val="32"/>
          <w:szCs w:val="24"/>
          <w:rtl/>
        </w:rPr>
        <w:t>برنامج ماجستير إدارة الأعمال</w:t>
      </w:r>
    </w:p>
    <w:p w14:paraId="19CBFA2E" w14:textId="77777777" w:rsidR="00B56FDF" w:rsidRDefault="00B56FDF">
      <w:pPr>
        <w:bidi/>
        <w:spacing w:after="240"/>
        <w:ind w:firstLine="0"/>
        <w:jc w:val="center"/>
        <w:rPr>
          <w:b/>
          <w:color w:val="1F4E79"/>
          <w:sz w:val="40"/>
        </w:rPr>
      </w:pPr>
    </w:p>
    <w:p w14:paraId="7E4CA205" w14:textId="77777777" w:rsidR="00B56FDF" w:rsidRDefault="00B56FDF" w:rsidP="005F40DF">
      <w:pPr>
        <w:bidi/>
        <w:spacing w:after="240"/>
        <w:ind w:firstLine="0"/>
        <w:rPr>
          <w:b/>
          <w:color w:val="1F4E79"/>
          <w:sz w:val="40"/>
        </w:rPr>
      </w:pPr>
    </w:p>
    <w:p w14:paraId="50FEBCAB" w14:textId="77777777" w:rsidR="00B56FDF" w:rsidRDefault="00B56FDF" w:rsidP="00B56FDF">
      <w:pPr>
        <w:bidi/>
        <w:spacing w:after="240"/>
        <w:ind w:firstLine="0"/>
        <w:jc w:val="center"/>
        <w:rPr>
          <w:b/>
          <w:color w:val="1F4E79"/>
          <w:sz w:val="40"/>
        </w:rPr>
      </w:pPr>
    </w:p>
    <w:p w14:paraId="630DBD74" w14:textId="406A81B4" w:rsidR="00E94561" w:rsidRPr="005F40DF" w:rsidRDefault="00000000" w:rsidP="00B56FDF">
      <w:pPr>
        <w:bidi/>
        <w:spacing w:after="240"/>
        <w:ind w:firstLine="0"/>
        <w:jc w:val="center"/>
        <w:rPr>
          <w:rFonts w:asciiTheme="majorBidi" w:hAnsiTheme="majorBidi" w:cstheme="majorBidi"/>
          <w:b/>
          <w:sz w:val="44"/>
          <w:szCs w:val="40"/>
        </w:rPr>
      </w:pPr>
      <w:r w:rsidRPr="005F40DF">
        <w:rPr>
          <w:rFonts w:asciiTheme="majorBidi" w:hAnsiTheme="majorBidi" w:cstheme="majorBidi"/>
          <w:b/>
          <w:color w:val="1F4E79"/>
          <w:sz w:val="56"/>
          <w:szCs w:val="40"/>
          <w:rtl/>
        </w:rPr>
        <w:t>أثر الإدارة الاستراتيجية على كفاءة التشغيل: دراسة تطبيقية على شركة مرافق السعودية في الجبيل الصناعية</w:t>
      </w:r>
    </w:p>
    <w:p w14:paraId="03FBDA39" w14:textId="77777777" w:rsidR="00B56FDF" w:rsidRPr="0025544E" w:rsidRDefault="00B56FDF">
      <w:pPr>
        <w:bidi/>
        <w:spacing w:after="240"/>
        <w:ind w:firstLine="0"/>
        <w:jc w:val="center"/>
        <w:rPr>
          <w:rFonts w:ascii="Simplified Arabic" w:hAnsi="Simplified Arabic" w:cs="Simplified Arabic"/>
          <w:b/>
          <w:i/>
          <w:sz w:val="40"/>
          <w:szCs w:val="34"/>
        </w:rPr>
      </w:pPr>
    </w:p>
    <w:p w14:paraId="63D44539" w14:textId="6FEF6EC2" w:rsidR="00E94561" w:rsidRPr="0025544E" w:rsidRDefault="00000000" w:rsidP="00B56FDF">
      <w:pPr>
        <w:bidi/>
        <w:spacing w:after="240"/>
        <w:ind w:firstLine="0"/>
        <w:jc w:val="center"/>
        <w:rPr>
          <w:rFonts w:ascii="Simplified Arabic" w:hAnsi="Simplified Arabic" w:cs="Simplified Arabic"/>
          <w:sz w:val="30"/>
          <w:szCs w:val="24"/>
        </w:rPr>
      </w:pPr>
      <w:r w:rsidRPr="0025544E">
        <w:rPr>
          <w:rFonts w:ascii="Simplified Arabic" w:hAnsi="Simplified Arabic" w:cs="Simplified Arabic"/>
          <w:b/>
          <w:sz w:val="30"/>
          <w:szCs w:val="24"/>
          <w:rtl/>
        </w:rPr>
        <w:t>إعداد الطالب: عادل زكي الصبحي</w:t>
      </w:r>
    </w:p>
    <w:p w14:paraId="493FBC3F" w14:textId="63F34F1B" w:rsidR="00B56FDF" w:rsidRPr="0025544E" w:rsidRDefault="00000000" w:rsidP="005F40DF">
      <w:pPr>
        <w:bidi/>
        <w:spacing w:after="240"/>
        <w:ind w:firstLine="0"/>
        <w:jc w:val="center"/>
        <w:rPr>
          <w:rFonts w:ascii="Simplified Arabic" w:hAnsi="Simplified Arabic" w:cs="Simplified Arabic"/>
          <w:b/>
          <w:sz w:val="30"/>
          <w:szCs w:val="24"/>
          <w:rtl/>
          <w:lang w:bidi="ar-EG"/>
        </w:rPr>
      </w:pPr>
      <w:r w:rsidRPr="0025544E">
        <w:rPr>
          <w:rFonts w:ascii="Simplified Arabic" w:hAnsi="Simplified Arabic" w:cs="Simplified Arabic"/>
          <w:b/>
          <w:sz w:val="30"/>
          <w:szCs w:val="24"/>
          <w:rtl/>
        </w:rPr>
        <w:t>الرقم الأكاديمي: 253001769</w:t>
      </w:r>
    </w:p>
    <w:p w14:paraId="4EAD2863" w14:textId="77777777" w:rsidR="005F40DF" w:rsidRDefault="005F40DF" w:rsidP="005F40DF">
      <w:pPr>
        <w:bidi/>
        <w:spacing w:after="240"/>
        <w:ind w:firstLine="0"/>
        <w:jc w:val="center"/>
        <w:rPr>
          <w:b/>
        </w:rPr>
      </w:pPr>
    </w:p>
    <w:p w14:paraId="1810F85B" w14:textId="77777777" w:rsidR="00B56FDF" w:rsidRDefault="00B56FDF" w:rsidP="00B56FDF">
      <w:pPr>
        <w:bidi/>
        <w:spacing w:after="240"/>
        <w:ind w:firstLine="0"/>
        <w:jc w:val="center"/>
        <w:rPr>
          <w:rtl/>
        </w:rPr>
      </w:pPr>
    </w:p>
    <w:p w14:paraId="003B179E" w14:textId="77777777" w:rsidR="005F40DF" w:rsidRPr="00B56FDF" w:rsidRDefault="005F40DF" w:rsidP="005F40DF">
      <w:pPr>
        <w:bidi/>
        <w:spacing w:after="240"/>
        <w:ind w:firstLine="0"/>
        <w:jc w:val="center"/>
      </w:pPr>
    </w:p>
    <w:p w14:paraId="32884B77" w14:textId="7EDB0099" w:rsidR="00E94561" w:rsidRPr="0025544E" w:rsidRDefault="00000000">
      <w:pPr>
        <w:bidi/>
        <w:spacing w:after="240"/>
        <w:ind w:firstLine="0"/>
        <w:jc w:val="center"/>
        <w:rPr>
          <w:sz w:val="30"/>
          <w:szCs w:val="24"/>
        </w:rPr>
      </w:pPr>
      <w:r w:rsidRPr="0025544E">
        <w:rPr>
          <w:b/>
          <w:szCs w:val="24"/>
          <w:rtl/>
        </w:rPr>
        <w:t>المشرف الرئيسي: د.</w:t>
      </w:r>
      <w:r w:rsidR="0025544E" w:rsidRPr="0025544E">
        <w:rPr>
          <w:b/>
          <w:szCs w:val="24"/>
          <w:rtl/>
        </w:rPr>
        <w:t xml:space="preserve"> </w:t>
      </w:r>
      <w:r w:rsidR="0025544E" w:rsidRPr="0025544E">
        <w:rPr>
          <w:rFonts w:ascii="Times New Roman" w:hAnsi="Times New Roman" w:cs="Times New Roman" w:hint="cs"/>
          <w:b/>
          <w:szCs w:val="24"/>
          <w:rtl/>
        </w:rPr>
        <w:t>الفيصل</w:t>
      </w:r>
      <w:r w:rsidR="0025544E" w:rsidRPr="0025544E">
        <w:rPr>
          <w:b/>
          <w:szCs w:val="24"/>
          <w:rtl/>
        </w:rPr>
        <w:t xml:space="preserve"> </w:t>
      </w:r>
      <w:r w:rsidR="0025544E" w:rsidRPr="0025544E">
        <w:rPr>
          <w:rFonts w:ascii="Times New Roman" w:hAnsi="Times New Roman" w:cs="Times New Roman" w:hint="cs"/>
          <w:b/>
          <w:szCs w:val="24"/>
          <w:rtl/>
        </w:rPr>
        <w:t>عبدالحميد</w:t>
      </w:r>
      <w:r w:rsidR="0025544E" w:rsidRPr="0025544E">
        <w:rPr>
          <w:rFonts w:ascii="Times New Roman" w:hAnsi="Times New Roman" w:cs="Times New Roman" w:hint="cs"/>
          <w:b/>
          <w:szCs w:val="24"/>
          <w:rtl/>
        </w:rPr>
        <w:t xml:space="preserve">                </w:t>
      </w:r>
      <w:r w:rsidR="0025544E" w:rsidRPr="0025544E">
        <w:rPr>
          <w:b/>
          <w:szCs w:val="24"/>
          <w:rtl/>
        </w:rPr>
        <w:t xml:space="preserve"> </w:t>
      </w:r>
      <w:r w:rsidR="0025544E" w:rsidRPr="0025544E">
        <w:rPr>
          <w:rFonts w:hint="cs"/>
          <w:b/>
          <w:szCs w:val="24"/>
          <w:rtl/>
        </w:rPr>
        <w:t xml:space="preserve">        </w:t>
      </w:r>
      <w:r w:rsidRPr="0025544E">
        <w:rPr>
          <w:b/>
          <w:szCs w:val="24"/>
          <w:rtl/>
        </w:rPr>
        <w:t xml:space="preserve">المشرف الثاني: د. </w:t>
      </w:r>
      <w:r w:rsidR="0025544E" w:rsidRPr="0025544E">
        <w:rPr>
          <w:b/>
          <w:szCs w:val="24"/>
          <w:rtl/>
        </w:rPr>
        <w:t xml:space="preserve"> </w:t>
      </w:r>
      <w:r w:rsidR="0025544E" w:rsidRPr="0025544E">
        <w:rPr>
          <w:rFonts w:ascii="Times New Roman" w:hAnsi="Times New Roman" w:cs="Times New Roman" w:hint="cs"/>
          <w:b/>
          <w:szCs w:val="24"/>
          <w:rtl/>
        </w:rPr>
        <w:t>فايز</w:t>
      </w:r>
      <w:r w:rsidR="0025544E" w:rsidRPr="0025544E">
        <w:rPr>
          <w:b/>
          <w:szCs w:val="24"/>
          <w:rtl/>
        </w:rPr>
        <w:t xml:space="preserve"> </w:t>
      </w:r>
      <w:r w:rsidR="0025544E" w:rsidRPr="0025544E">
        <w:rPr>
          <w:rFonts w:ascii="Times New Roman" w:hAnsi="Times New Roman" w:cs="Times New Roman" w:hint="cs"/>
          <w:b/>
          <w:szCs w:val="24"/>
          <w:rtl/>
        </w:rPr>
        <w:t>جراد</w:t>
      </w:r>
    </w:p>
    <w:p w14:paraId="50BBF11F" w14:textId="77777777" w:rsidR="00B56FDF" w:rsidRDefault="00B56FDF">
      <w:pPr>
        <w:bidi/>
        <w:spacing w:after="240"/>
        <w:ind w:firstLine="0"/>
        <w:jc w:val="center"/>
        <w:rPr>
          <w:b/>
        </w:rPr>
      </w:pPr>
    </w:p>
    <w:p w14:paraId="7EF959A3" w14:textId="77777777" w:rsidR="00B56FDF" w:rsidRPr="0025544E" w:rsidRDefault="00B56FDF" w:rsidP="00B56FDF">
      <w:pPr>
        <w:bidi/>
        <w:spacing w:after="240"/>
        <w:ind w:firstLine="0"/>
        <w:jc w:val="center"/>
        <w:rPr>
          <w:b/>
        </w:rPr>
      </w:pPr>
    </w:p>
    <w:p w14:paraId="5343C625" w14:textId="77777777" w:rsidR="005F40DF" w:rsidRDefault="005F40DF" w:rsidP="0025544E">
      <w:pPr>
        <w:bidi/>
        <w:spacing w:after="240"/>
        <w:ind w:firstLine="0"/>
        <w:rPr>
          <w:b/>
        </w:rPr>
      </w:pPr>
    </w:p>
    <w:p w14:paraId="21FA916D" w14:textId="77777777" w:rsidR="00B56FDF" w:rsidRDefault="00B56FDF" w:rsidP="00B56FDF">
      <w:pPr>
        <w:bidi/>
        <w:spacing w:after="240"/>
        <w:ind w:firstLine="0"/>
        <w:jc w:val="center"/>
        <w:rPr>
          <w:b/>
        </w:rPr>
      </w:pPr>
    </w:p>
    <w:p w14:paraId="31C3D20C" w14:textId="4EC6215B" w:rsidR="00E94561" w:rsidRDefault="00000000" w:rsidP="00B56FDF">
      <w:pPr>
        <w:bidi/>
        <w:spacing w:after="240"/>
        <w:ind w:firstLine="0"/>
        <w:jc w:val="center"/>
      </w:pPr>
      <w:r>
        <w:rPr>
          <w:b/>
          <w:rtl/>
        </w:rPr>
        <w:t>العام الأكاديمي 2025-2026م</w:t>
      </w:r>
    </w:p>
    <w:p w14:paraId="405DEA94" w14:textId="77777777" w:rsidR="00E94561" w:rsidRDefault="00E94561">
      <w:pPr>
        <w:sectPr w:rsidR="00E94561" w:rsidSect="00034616">
          <w:headerReference w:type="default" r:id="rId9"/>
          <w:footerReference w:type="default" r:id="rId10"/>
          <w:pgSz w:w="11906" w:h="16838"/>
          <w:pgMar w:top="1134" w:right="1701" w:bottom="1134" w:left="1134" w:header="454" w:footer="454" w:gutter="0"/>
          <w:pgBorders w:offsetFrom="page">
            <w:top w:val="single" w:sz="8" w:space="18" w:color="4B5563"/>
            <w:left w:val="single" w:sz="8" w:space="18" w:color="4B5563"/>
            <w:bottom w:val="single" w:sz="8" w:space="18" w:color="4B5563"/>
            <w:right w:val="single" w:sz="8" w:space="18" w:color="4B5563"/>
          </w:pgBorders>
          <w:pgNumType w:start="1"/>
          <w:cols w:space="720"/>
          <w:docGrid w:linePitch="360"/>
        </w:sectPr>
      </w:pPr>
    </w:p>
    <w:p w14:paraId="363C9EC9" w14:textId="77777777" w:rsidR="0025544E" w:rsidRDefault="0025544E">
      <w:pPr>
        <w:bidi/>
        <w:spacing w:before="1100" w:after="560"/>
        <w:ind w:firstLine="0"/>
        <w:jc w:val="center"/>
        <w:rPr>
          <w:b/>
          <w:color w:val="17365D"/>
          <w:sz w:val="112"/>
          <w:szCs w:val="84"/>
          <w:rtl/>
        </w:rPr>
      </w:pPr>
    </w:p>
    <w:p w14:paraId="3B2CB5D8" w14:textId="77777777" w:rsidR="0025544E" w:rsidRDefault="0025544E" w:rsidP="0025544E">
      <w:pPr>
        <w:bidi/>
        <w:spacing w:before="1100" w:after="560"/>
        <w:ind w:firstLine="0"/>
        <w:jc w:val="center"/>
        <w:rPr>
          <w:b/>
          <w:color w:val="17365D"/>
          <w:sz w:val="112"/>
          <w:szCs w:val="84"/>
          <w:rtl/>
        </w:rPr>
      </w:pPr>
    </w:p>
    <w:p w14:paraId="332EC2AE" w14:textId="77777777" w:rsidR="0025544E" w:rsidRPr="0025544E" w:rsidRDefault="0025544E" w:rsidP="0025544E">
      <w:pPr>
        <w:bidi/>
        <w:spacing w:before="1100" w:after="560"/>
        <w:ind w:firstLine="0"/>
        <w:jc w:val="center"/>
        <w:rPr>
          <w:b/>
          <w:color w:val="17365D"/>
          <w:sz w:val="48"/>
          <w:szCs w:val="20"/>
          <w:rtl/>
        </w:rPr>
      </w:pPr>
    </w:p>
    <w:p w14:paraId="72F183F6" w14:textId="3D48E1DB" w:rsidR="00E94561" w:rsidRPr="0025544E" w:rsidRDefault="00000000" w:rsidP="0025544E">
      <w:pPr>
        <w:bidi/>
        <w:spacing w:before="1100" w:after="560"/>
        <w:ind w:firstLine="0"/>
        <w:jc w:val="center"/>
        <w:rPr>
          <w:sz w:val="90"/>
          <w:szCs w:val="84"/>
        </w:rPr>
      </w:pPr>
      <w:r w:rsidRPr="0025544E">
        <w:rPr>
          <w:b/>
          <w:color w:val="17365D"/>
          <w:sz w:val="112"/>
          <w:szCs w:val="84"/>
          <w:rtl/>
        </w:rPr>
        <w:t>بِسْمِ اللهِ الرَّحْمَنِ الرَّحِيمِ</w:t>
      </w:r>
    </w:p>
    <w:p w14:paraId="3660795E" w14:textId="77777777" w:rsidR="00E94561" w:rsidRDefault="00E94561"/>
    <w:p w14:paraId="05E58757" w14:textId="77777777" w:rsidR="00B56FDF" w:rsidRDefault="00B56FDF">
      <w:pPr>
        <w:pStyle w:val="Heading1"/>
        <w:bidi/>
        <w:spacing w:before="160" w:after="200"/>
        <w:jc w:val="center"/>
        <w:rPr>
          <w:rFonts w:ascii="Amiri" w:eastAsia="Amiri" w:hAnsi="Amiri" w:cs="Amiri"/>
          <w:sz w:val="44"/>
          <w:szCs w:val="32"/>
        </w:rPr>
      </w:pPr>
    </w:p>
    <w:p w14:paraId="14486014" w14:textId="77777777" w:rsidR="00B56FDF" w:rsidRDefault="00B56FDF" w:rsidP="00B56FDF">
      <w:pPr>
        <w:pStyle w:val="Heading1"/>
        <w:bidi/>
        <w:spacing w:before="160" w:after="200"/>
        <w:jc w:val="center"/>
        <w:rPr>
          <w:rFonts w:ascii="Amiri" w:eastAsia="Amiri" w:hAnsi="Amiri" w:cs="Amiri"/>
          <w:sz w:val="44"/>
          <w:szCs w:val="32"/>
        </w:rPr>
      </w:pPr>
    </w:p>
    <w:p w14:paraId="23B304FA" w14:textId="77777777" w:rsidR="00B56FDF" w:rsidRDefault="00B56FDF" w:rsidP="00B56FDF">
      <w:pPr>
        <w:pStyle w:val="Heading1"/>
        <w:bidi/>
        <w:spacing w:before="160" w:after="200"/>
        <w:jc w:val="center"/>
        <w:rPr>
          <w:rFonts w:ascii="Amiri" w:eastAsia="Amiri" w:hAnsi="Amiri" w:cs="Amiri"/>
          <w:sz w:val="44"/>
          <w:szCs w:val="32"/>
        </w:rPr>
      </w:pPr>
    </w:p>
    <w:p w14:paraId="482644AD" w14:textId="77777777" w:rsidR="00B56FDF" w:rsidRDefault="00B56FDF" w:rsidP="00B56FDF">
      <w:pPr>
        <w:bidi/>
      </w:pPr>
    </w:p>
    <w:p w14:paraId="59905E40" w14:textId="77777777" w:rsidR="00B56FDF" w:rsidRDefault="00B56FDF" w:rsidP="00B56FDF">
      <w:pPr>
        <w:bidi/>
      </w:pPr>
    </w:p>
    <w:p w14:paraId="51699744" w14:textId="77777777" w:rsidR="00B56FDF" w:rsidRDefault="00B56FDF" w:rsidP="00B56FDF">
      <w:pPr>
        <w:bidi/>
      </w:pPr>
    </w:p>
    <w:p w14:paraId="476C86E1" w14:textId="77777777" w:rsidR="00315ADA" w:rsidRDefault="00315ADA" w:rsidP="00315ADA">
      <w:pPr>
        <w:ind w:firstLine="0"/>
        <w:rPr>
          <w:rtl/>
        </w:rPr>
      </w:pPr>
    </w:p>
    <w:p w14:paraId="12F8D3F5" w14:textId="77777777" w:rsidR="00315ADA" w:rsidRDefault="00315ADA" w:rsidP="00315ADA">
      <w:pPr>
        <w:ind w:firstLine="0"/>
        <w:rPr>
          <w:rtl/>
        </w:rPr>
      </w:pPr>
    </w:p>
    <w:p w14:paraId="2B81B774" w14:textId="6EE80FD4" w:rsidR="00E94561" w:rsidRPr="00B56FDF" w:rsidRDefault="00000000" w:rsidP="00315ADA">
      <w:pPr>
        <w:ind w:firstLine="0"/>
        <w:rPr>
          <w:rFonts w:ascii="Simplified Arabic" w:hAnsi="Simplified Arabic" w:cs="Simplified Arabic"/>
        </w:rPr>
      </w:pPr>
      <w:r w:rsidRPr="00B56FDF">
        <w:rPr>
          <w:rFonts w:ascii="Simplified Arabic" w:hAnsi="Simplified Arabic" w:cs="Simplified Arabic"/>
          <w:rtl/>
        </w:rPr>
        <w:lastRenderedPageBreak/>
        <w:t>فهرس المحتويات</w:t>
      </w:r>
    </w:p>
    <w:tbl>
      <w:tblPr>
        <w:bidiVisual/>
        <w:tblW w:w="9070" w:type="dxa"/>
        <w:jc w:val="center"/>
        <w:tblBorders>
          <w:top w:val="single" w:sz="6" w:space="0" w:color="6B7280"/>
          <w:left w:val="single" w:sz="6" w:space="0" w:color="6B7280"/>
          <w:bottom w:val="single" w:sz="6" w:space="0" w:color="6B7280"/>
          <w:right w:val="single" w:sz="6" w:space="0" w:color="6B7280"/>
          <w:insideH w:val="single" w:sz="6" w:space="0" w:color="6B7280"/>
          <w:insideV w:val="single" w:sz="6" w:space="0" w:color="6B7280"/>
        </w:tblBorders>
        <w:tblLayout w:type="fixed"/>
        <w:tblLook w:val="04A0" w:firstRow="1" w:lastRow="0" w:firstColumn="1" w:lastColumn="0" w:noHBand="0" w:noVBand="1"/>
      </w:tblPr>
      <w:tblGrid>
        <w:gridCol w:w="8277"/>
        <w:gridCol w:w="793"/>
      </w:tblGrid>
      <w:tr w:rsidR="00E302CD" w14:paraId="2B8553C3" w14:textId="77777777" w:rsidTr="00315ADA">
        <w:trPr>
          <w:tblHeader/>
          <w:jc w:val="center"/>
        </w:trPr>
        <w:tc>
          <w:tcPr>
            <w:tcW w:w="8277" w:type="dxa"/>
            <w:shd w:val="clear" w:color="auto" w:fill="1F4E79"/>
            <w:tcMar>
              <w:top w:w="25" w:type="dxa"/>
              <w:left w:w="55" w:type="dxa"/>
              <w:bottom w:w="25" w:type="dxa"/>
              <w:right w:w="55" w:type="dxa"/>
            </w:tcMar>
            <w:vAlign w:val="center"/>
          </w:tcPr>
          <w:p w14:paraId="2A67B3AF" w14:textId="77777777" w:rsidR="00E302CD" w:rsidRDefault="00000000" w:rsidP="00A27841">
            <w:pPr>
              <w:bidi/>
              <w:spacing w:after="0" w:line="221" w:lineRule="auto"/>
              <w:ind w:firstLine="0"/>
              <w:jc w:val="left"/>
            </w:pPr>
            <w:r>
              <w:rPr>
                <w:rFonts w:ascii="Times New Roman" w:hAnsi="Times New Roman" w:cs="Times New Roman" w:hint="cs"/>
                <w:b/>
                <w:color w:val="FFFFFF"/>
                <w:sz w:val="18"/>
                <w:rtl/>
              </w:rPr>
              <w:t>ا</w:t>
            </w:r>
            <w:r>
              <w:rPr>
                <w:b/>
                <w:color w:val="FFFFFF"/>
                <w:sz w:val="18"/>
                <w:rtl/>
              </w:rPr>
              <w:t>لموضوع</w:t>
            </w:r>
          </w:p>
        </w:tc>
        <w:tc>
          <w:tcPr>
            <w:tcW w:w="793" w:type="dxa"/>
            <w:shd w:val="clear" w:color="auto" w:fill="1F4E79"/>
            <w:tcMar>
              <w:top w:w="25" w:type="dxa"/>
              <w:left w:w="55" w:type="dxa"/>
              <w:bottom w:w="25" w:type="dxa"/>
              <w:right w:w="55" w:type="dxa"/>
            </w:tcMar>
            <w:vAlign w:val="center"/>
          </w:tcPr>
          <w:p w14:paraId="6765128B" w14:textId="77777777" w:rsidR="00E302CD" w:rsidRDefault="00000000" w:rsidP="00A27841">
            <w:pPr>
              <w:bidi/>
              <w:spacing w:after="0" w:line="221" w:lineRule="auto"/>
              <w:ind w:firstLine="0"/>
              <w:jc w:val="center"/>
            </w:pPr>
            <w:r>
              <w:rPr>
                <w:b/>
                <w:color w:val="FFFFFF"/>
                <w:sz w:val="18"/>
                <w:rtl/>
              </w:rPr>
              <w:t>الصفحة</w:t>
            </w:r>
          </w:p>
        </w:tc>
      </w:tr>
      <w:tr w:rsidR="00E302CD" w14:paraId="71C72F7D" w14:textId="77777777" w:rsidTr="00315ADA">
        <w:trPr>
          <w:jc w:val="center"/>
        </w:trPr>
        <w:tc>
          <w:tcPr>
            <w:tcW w:w="8277" w:type="dxa"/>
            <w:shd w:val="clear" w:color="auto" w:fill="FFFFFF"/>
            <w:tcMar>
              <w:top w:w="25" w:type="dxa"/>
              <w:left w:w="55" w:type="dxa"/>
              <w:bottom w:w="25" w:type="dxa"/>
              <w:right w:w="55" w:type="dxa"/>
            </w:tcMar>
            <w:vAlign w:val="center"/>
          </w:tcPr>
          <w:p w14:paraId="34EB1D95" w14:textId="77777777" w:rsidR="00E302CD" w:rsidRDefault="00000000" w:rsidP="00A27841">
            <w:pPr>
              <w:bidi/>
              <w:spacing w:after="0" w:line="221" w:lineRule="auto"/>
              <w:ind w:firstLine="0"/>
              <w:jc w:val="left"/>
            </w:pPr>
            <w:r>
              <w:rPr>
                <w:sz w:val="18"/>
                <w:rtl/>
              </w:rPr>
              <w:t>حقوق الطباعة والنشر</w:t>
            </w:r>
          </w:p>
        </w:tc>
        <w:tc>
          <w:tcPr>
            <w:tcW w:w="793" w:type="dxa"/>
            <w:shd w:val="clear" w:color="auto" w:fill="FFFFFF"/>
            <w:tcMar>
              <w:top w:w="25" w:type="dxa"/>
              <w:left w:w="55" w:type="dxa"/>
              <w:bottom w:w="25" w:type="dxa"/>
              <w:right w:w="55" w:type="dxa"/>
            </w:tcMar>
            <w:vAlign w:val="center"/>
          </w:tcPr>
          <w:p w14:paraId="3ADAAA61" w14:textId="77777777" w:rsidR="00E302CD" w:rsidRDefault="00000000" w:rsidP="00A27841">
            <w:pPr>
              <w:spacing w:after="0" w:line="221" w:lineRule="auto"/>
              <w:ind w:firstLine="0"/>
              <w:jc w:val="center"/>
            </w:pPr>
            <w:r>
              <w:rPr>
                <w:sz w:val="18"/>
              </w:rPr>
              <w:t>i</w:t>
            </w:r>
          </w:p>
        </w:tc>
      </w:tr>
      <w:tr w:rsidR="00E302CD" w14:paraId="6DF7010B" w14:textId="77777777" w:rsidTr="00315ADA">
        <w:trPr>
          <w:jc w:val="center"/>
        </w:trPr>
        <w:tc>
          <w:tcPr>
            <w:tcW w:w="8277" w:type="dxa"/>
            <w:shd w:val="clear" w:color="auto" w:fill="F3F6F9"/>
            <w:tcMar>
              <w:top w:w="25" w:type="dxa"/>
              <w:left w:w="55" w:type="dxa"/>
              <w:bottom w:w="25" w:type="dxa"/>
              <w:right w:w="55" w:type="dxa"/>
            </w:tcMar>
            <w:vAlign w:val="center"/>
          </w:tcPr>
          <w:p w14:paraId="0175CFF7" w14:textId="77777777" w:rsidR="00E302CD" w:rsidRDefault="00000000" w:rsidP="00A27841">
            <w:pPr>
              <w:bidi/>
              <w:spacing w:after="0" w:line="221" w:lineRule="auto"/>
              <w:ind w:firstLine="0"/>
              <w:jc w:val="left"/>
            </w:pPr>
            <w:r>
              <w:rPr>
                <w:sz w:val="18"/>
                <w:rtl/>
              </w:rPr>
              <w:t>الإهداء</w:t>
            </w:r>
          </w:p>
        </w:tc>
        <w:tc>
          <w:tcPr>
            <w:tcW w:w="793" w:type="dxa"/>
            <w:shd w:val="clear" w:color="auto" w:fill="F3F6F9"/>
            <w:tcMar>
              <w:top w:w="25" w:type="dxa"/>
              <w:left w:w="55" w:type="dxa"/>
              <w:bottom w:w="25" w:type="dxa"/>
              <w:right w:w="55" w:type="dxa"/>
            </w:tcMar>
            <w:vAlign w:val="center"/>
          </w:tcPr>
          <w:p w14:paraId="1FB7EC75" w14:textId="77777777" w:rsidR="00E302CD" w:rsidRDefault="00000000" w:rsidP="00A27841">
            <w:pPr>
              <w:spacing w:after="0" w:line="221" w:lineRule="auto"/>
              <w:ind w:firstLine="0"/>
              <w:jc w:val="center"/>
            </w:pPr>
            <w:r>
              <w:rPr>
                <w:sz w:val="18"/>
              </w:rPr>
              <w:t>ii</w:t>
            </w:r>
          </w:p>
        </w:tc>
      </w:tr>
      <w:tr w:rsidR="00E302CD" w14:paraId="43EBE20F" w14:textId="77777777" w:rsidTr="00315ADA">
        <w:trPr>
          <w:jc w:val="center"/>
        </w:trPr>
        <w:tc>
          <w:tcPr>
            <w:tcW w:w="8277" w:type="dxa"/>
            <w:shd w:val="clear" w:color="auto" w:fill="FFFFFF"/>
            <w:tcMar>
              <w:top w:w="25" w:type="dxa"/>
              <w:left w:w="55" w:type="dxa"/>
              <w:bottom w:w="25" w:type="dxa"/>
              <w:right w:w="55" w:type="dxa"/>
            </w:tcMar>
            <w:vAlign w:val="center"/>
          </w:tcPr>
          <w:p w14:paraId="37F005B6" w14:textId="77777777" w:rsidR="00E302CD" w:rsidRDefault="00000000" w:rsidP="00A27841">
            <w:pPr>
              <w:bidi/>
              <w:spacing w:after="0" w:line="221" w:lineRule="auto"/>
              <w:ind w:firstLine="0"/>
              <w:jc w:val="left"/>
            </w:pPr>
            <w:r>
              <w:rPr>
                <w:sz w:val="18"/>
                <w:rtl/>
              </w:rPr>
              <w:t>الشكر والتقدير</w:t>
            </w:r>
          </w:p>
        </w:tc>
        <w:tc>
          <w:tcPr>
            <w:tcW w:w="793" w:type="dxa"/>
            <w:shd w:val="clear" w:color="auto" w:fill="FFFFFF"/>
            <w:tcMar>
              <w:top w:w="25" w:type="dxa"/>
              <w:left w:w="55" w:type="dxa"/>
              <w:bottom w:w="25" w:type="dxa"/>
              <w:right w:w="55" w:type="dxa"/>
            </w:tcMar>
            <w:vAlign w:val="center"/>
          </w:tcPr>
          <w:p w14:paraId="0E17D8FC" w14:textId="77777777" w:rsidR="00E302CD" w:rsidRDefault="00000000" w:rsidP="00A27841">
            <w:pPr>
              <w:spacing w:after="0" w:line="221" w:lineRule="auto"/>
              <w:ind w:firstLine="0"/>
              <w:jc w:val="center"/>
            </w:pPr>
            <w:r>
              <w:rPr>
                <w:sz w:val="18"/>
              </w:rPr>
              <w:t>iii</w:t>
            </w:r>
          </w:p>
        </w:tc>
      </w:tr>
      <w:tr w:rsidR="00E302CD" w14:paraId="0BE563A4" w14:textId="77777777" w:rsidTr="00315ADA">
        <w:trPr>
          <w:jc w:val="center"/>
        </w:trPr>
        <w:tc>
          <w:tcPr>
            <w:tcW w:w="8277" w:type="dxa"/>
            <w:shd w:val="clear" w:color="auto" w:fill="F3F6F9"/>
            <w:tcMar>
              <w:top w:w="25" w:type="dxa"/>
              <w:left w:w="55" w:type="dxa"/>
              <w:bottom w:w="25" w:type="dxa"/>
              <w:right w:w="55" w:type="dxa"/>
            </w:tcMar>
            <w:vAlign w:val="center"/>
          </w:tcPr>
          <w:p w14:paraId="4B4C4139" w14:textId="77777777" w:rsidR="00E302CD" w:rsidRDefault="00000000" w:rsidP="00A27841">
            <w:pPr>
              <w:bidi/>
              <w:spacing w:after="0" w:line="221" w:lineRule="auto"/>
              <w:ind w:firstLine="0"/>
              <w:jc w:val="left"/>
            </w:pPr>
            <w:r>
              <w:rPr>
                <w:sz w:val="18"/>
                <w:rtl/>
              </w:rPr>
              <w:t>الملخص</w:t>
            </w:r>
          </w:p>
        </w:tc>
        <w:tc>
          <w:tcPr>
            <w:tcW w:w="793" w:type="dxa"/>
            <w:shd w:val="clear" w:color="auto" w:fill="F3F6F9"/>
            <w:tcMar>
              <w:top w:w="25" w:type="dxa"/>
              <w:left w:w="55" w:type="dxa"/>
              <w:bottom w:w="25" w:type="dxa"/>
              <w:right w:w="55" w:type="dxa"/>
            </w:tcMar>
            <w:vAlign w:val="center"/>
          </w:tcPr>
          <w:p w14:paraId="476F1780" w14:textId="77777777" w:rsidR="00E302CD" w:rsidRDefault="00000000" w:rsidP="00A27841">
            <w:pPr>
              <w:spacing w:after="0" w:line="221" w:lineRule="auto"/>
              <w:ind w:firstLine="0"/>
              <w:jc w:val="center"/>
            </w:pPr>
            <w:r>
              <w:rPr>
                <w:sz w:val="18"/>
              </w:rPr>
              <w:t>iv</w:t>
            </w:r>
          </w:p>
        </w:tc>
      </w:tr>
      <w:tr w:rsidR="00E302CD" w14:paraId="492A652F" w14:textId="77777777" w:rsidTr="00315ADA">
        <w:trPr>
          <w:jc w:val="center"/>
        </w:trPr>
        <w:tc>
          <w:tcPr>
            <w:tcW w:w="8277" w:type="dxa"/>
            <w:shd w:val="clear" w:color="auto" w:fill="FFFFFF"/>
            <w:tcMar>
              <w:top w:w="25" w:type="dxa"/>
              <w:left w:w="55" w:type="dxa"/>
              <w:bottom w:w="25" w:type="dxa"/>
              <w:right w:w="55" w:type="dxa"/>
            </w:tcMar>
            <w:vAlign w:val="center"/>
          </w:tcPr>
          <w:p w14:paraId="7A2C51C2" w14:textId="77777777" w:rsidR="00E302CD" w:rsidRDefault="00000000" w:rsidP="00A27841">
            <w:pPr>
              <w:bidi/>
              <w:spacing w:after="0" w:line="221" w:lineRule="auto"/>
              <w:ind w:firstLine="0"/>
              <w:jc w:val="left"/>
            </w:pPr>
            <w:r>
              <w:rPr>
                <w:sz w:val="18"/>
                <w:rtl/>
              </w:rPr>
              <w:t>فهرس المحتويات</w:t>
            </w:r>
          </w:p>
        </w:tc>
        <w:tc>
          <w:tcPr>
            <w:tcW w:w="793" w:type="dxa"/>
            <w:shd w:val="clear" w:color="auto" w:fill="FFFFFF"/>
            <w:tcMar>
              <w:top w:w="25" w:type="dxa"/>
              <w:left w:w="55" w:type="dxa"/>
              <w:bottom w:w="25" w:type="dxa"/>
              <w:right w:w="55" w:type="dxa"/>
            </w:tcMar>
            <w:vAlign w:val="center"/>
          </w:tcPr>
          <w:p w14:paraId="11496EC0" w14:textId="77777777" w:rsidR="00E302CD" w:rsidRDefault="00000000" w:rsidP="00A27841">
            <w:pPr>
              <w:spacing w:after="0" w:line="221" w:lineRule="auto"/>
              <w:ind w:firstLine="0"/>
              <w:jc w:val="center"/>
            </w:pPr>
            <w:r>
              <w:rPr>
                <w:sz w:val="18"/>
              </w:rPr>
              <w:t>v</w:t>
            </w:r>
          </w:p>
        </w:tc>
      </w:tr>
      <w:tr w:rsidR="00E302CD" w14:paraId="15C2BCA4" w14:textId="77777777" w:rsidTr="00315ADA">
        <w:trPr>
          <w:jc w:val="center"/>
        </w:trPr>
        <w:tc>
          <w:tcPr>
            <w:tcW w:w="8277" w:type="dxa"/>
            <w:shd w:val="clear" w:color="auto" w:fill="F3F6F9"/>
            <w:tcMar>
              <w:top w:w="25" w:type="dxa"/>
              <w:left w:w="55" w:type="dxa"/>
              <w:bottom w:w="25" w:type="dxa"/>
              <w:right w:w="55" w:type="dxa"/>
            </w:tcMar>
            <w:vAlign w:val="center"/>
          </w:tcPr>
          <w:p w14:paraId="7A78A712" w14:textId="77777777" w:rsidR="00E302CD" w:rsidRDefault="00000000" w:rsidP="00A27841">
            <w:pPr>
              <w:bidi/>
              <w:spacing w:after="0" w:line="221" w:lineRule="auto"/>
              <w:ind w:firstLine="0"/>
              <w:jc w:val="left"/>
            </w:pPr>
            <w:r>
              <w:rPr>
                <w:sz w:val="18"/>
                <w:rtl/>
              </w:rPr>
              <w:t>قائمة الجداول</w:t>
            </w:r>
          </w:p>
        </w:tc>
        <w:tc>
          <w:tcPr>
            <w:tcW w:w="793" w:type="dxa"/>
            <w:shd w:val="clear" w:color="auto" w:fill="F3F6F9"/>
            <w:tcMar>
              <w:top w:w="25" w:type="dxa"/>
              <w:left w:w="55" w:type="dxa"/>
              <w:bottom w:w="25" w:type="dxa"/>
              <w:right w:w="55" w:type="dxa"/>
            </w:tcMar>
            <w:vAlign w:val="center"/>
          </w:tcPr>
          <w:p w14:paraId="01AE4611" w14:textId="77777777" w:rsidR="00E302CD" w:rsidRDefault="00000000" w:rsidP="00A27841">
            <w:pPr>
              <w:spacing w:after="0" w:line="221" w:lineRule="auto"/>
              <w:ind w:firstLine="0"/>
              <w:jc w:val="center"/>
            </w:pPr>
            <w:r>
              <w:rPr>
                <w:sz w:val="18"/>
              </w:rPr>
              <w:t>viii</w:t>
            </w:r>
          </w:p>
        </w:tc>
      </w:tr>
      <w:tr w:rsidR="00E302CD" w14:paraId="665B38B6" w14:textId="77777777" w:rsidTr="00315ADA">
        <w:trPr>
          <w:jc w:val="center"/>
        </w:trPr>
        <w:tc>
          <w:tcPr>
            <w:tcW w:w="8277" w:type="dxa"/>
            <w:shd w:val="clear" w:color="auto" w:fill="FFFFFF"/>
            <w:tcMar>
              <w:top w:w="25" w:type="dxa"/>
              <w:left w:w="55" w:type="dxa"/>
              <w:bottom w:w="25" w:type="dxa"/>
              <w:right w:w="55" w:type="dxa"/>
            </w:tcMar>
            <w:vAlign w:val="center"/>
          </w:tcPr>
          <w:p w14:paraId="6ACB977A" w14:textId="77777777" w:rsidR="00E302CD" w:rsidRDefault="00000000" w:rsidP="00A27841">
            <w:pPr>
              <w:bidi/>
              <w:spacing w:after="0" w:line="221" w:lineRule="auto"/>
              <w:ind w:firstLine="0"/>
              <w:jc w:val="left"/>
            </w:pPr>
            <w:r>
              <w:rPr>
                <w:sz w:val="18"/>
                <w:rtl/>
              </w:rPr>
              <w:t>قائمة الأشكال</w:t>
            </w:r>
          </w:p>
        </w:tc>
        <w:tc>
          <w:tcPr>
            <w:tcW w:w="793" w:type="dxa"/>
            <w:shd w:val="clear" w:color="auto" w:fill="FFFFFF"/>
            <w:tcMar>
              <w:top w:w="25" w:type="dxa"/>
              <w:left w:w="55" w:type="dxa"/>
              <w:bottom w:w="25" w:type="dxa"/>
              <w:right w:w="55" w:type="dxa"/>
            </w:tcMar>
            <w:vAlign w:val="center"/>
          </w:tcPr>
          <w:p w14:paraId="1F7F0122" w14:textId="77777777" w:rsidR="00E302CD" w:rsidRDefault="00000000" w:rsidP="00A27841">
            <w:pPr>
              <w:spacing w:after="0" w:line="221" w:lineRule="auto"/>
              <w:ind w:firstLine="0"/>
              <w:jc w:val="center"/>
            </w:pPr>
            <w:r>
              <w:rPr>
                <w:sz w:val="18"/>
              </w:rPr>
              <w:t>ix</w:t>
            </w:r>
          </w:p>
        </w:tc>
      </w:tr>
      <w:tr w:rsidR="00E302CD" w14:paraId="5FC912BA" w14:textId="77777777" w:rsidTr="00315ADA">
        <w:trPr>
          <w:jc w:val="center"/>
        </w:trPr>
        <w:tc>
          <w:tcPr>
            <w:tcW w:w="8277" w:type="dxa"/>
            <w:shd w:val="clear" w:color="auto" w:fill="F3F6F9"/>
            <w:tcMar>
              <w:top w:w="25" w:type="dxa"/>
              <w:left w:w="55" w:type="dxa"/>
              <w:bottom w:w="25" w:type="dxa"/>
              <w:right w:w="55" w:type="dxa"/>
            </w:tcMar>
            <w:vAlign w:val="center"/>
          </w:tcPr>
          <w:p w14:paraId="549B8345" w14:textId="77777777" w:rsidR="00E302CD" w:rsidRDefault="00000000" w:rsidP="00A27841">
            <w:pPr>
              <w:bidi/>
              <w:spacing w:after="0" w:line="221" w:lineRule="auto"/>
              <w:ind w:firstLine="0"/>
              <w:jc w:val="left"/>
            </w:pPr>
            <w:r>
              <w:rPr>
                <w:sz w:val="18"/>
                <w:rtl/>
              </w:rPr>
              <w:t>قائمة المصطلحات والاختصارات</w:t>
            </w:r>
          </w:p>
        </w:tc>
        <w:tc>
          <w:tcPr>
            <w:tcW w:w="793" w:type="dxa"/>
            <w:shd w:val="clear" w:color="auto" w:fill="F3F6F9"/>
            <w:tcMar>
              <w:top w:w="25" w:type="dxa"/>
              <w:left w:w="55" w:type="dxa"/>
              <w:bottom w:w="25" w:type="dxa"/>
              <w:right w:w="55" w:type="dxa"/>
            </w:tcMar>
            <w:vAlign w:val="center"/>
          </w:tcPr>
          <w:p w14:paraId="6D07D025" w14:textId="77777777" w:rsidR="00E302CD" w:rsidRDefault="00000000" w:rsidP="00A27841">
            <w:pPr>
              <w:spacing w:after="0" w:line="221" w:lineRule="auto"/>
              <w:ind w:firstLine="0"/>
              <w:jc w:val="center"/>
            </w:pPr>
            <w:r>
              <w:rPr>
                <w:sz w:val="18"/>
              </w:rPr>
              <w:t>x</w:t>
            </w:r>
          </w:p>
        </w:tc>
      </w:tr>
      <w:tr w:rsidR="00E302CD" w14:paraId="4F3965B1" w14:textId="77777777" w:rsidTr="00315ADA">
        <w:trPr>
          <w:jc w:val="center"/>
        </w:trPr>
        <w:tc>
          <w:tcPr>
            <w:tcW w:w="8277" w:type="dxa"/>
            <w:shd w:val="clear" w:color="auto" w:fill="FFFFFF"/>
            <w:tcMar>
              <w:top w:w="25" w:type="dxa"/>
              <w:left w:w="55" w:type="dxa"/>
              <w:bottom w:w="25" w:type="dxa"/>
              <w:right w:w="55" w:type="dxa"/>
            </w:tcMar>
            <w:vAlign w:val="center"/>
          </w:tcPr>
          <w:p w14:paraId="3FE04A01" w14:textId="77777777" w:rsidR="00E302CD" w:rsidRDefault="00000000" w:rsidP="00A27841">
            <w:pPr>
              <w:bidi/>
              <w:spacing w:after="0" w:line="221" w:lineRule="auto"/>
              <w:ind w:firstLine="0"/>
              <w:jc w:val="left"/>
            </w:pPr>
            <w:r>
              <w:rPr>
                <w:sz w:val="18"/>
                <w:rtl/>
              </w:rPr>
              <w:t>الفصل الأول: الإطار العام للدراسة</w:t>
            </w:r>
          </w:p>
        </w:tc>
        <w:tc>
          <w:tcPr>
            <w:tcW w:w="793" w:type="dxa"/>
            <w:shd w:val="clear" w:color="auto" w:fill="FFFFFF"/>
            <w:tcMar>
              <w:top w:w="25" w:type="dxa"/>
              <w:left w:w="55" w:type="dxa"/>
              <w:bottom w:w="25" w:type="dxa"/>
              <w:right w:w="55" w:type="dxa"/>
            </w:tcMar>
            <w:vAlign w:val="center"/>
          </w:tcPr>
          <w:p w14:paraId="1A83D970" w14:textId="77777777" w:rsidR="00E302CD" w:rsidRDefault="00000000" w:rsidP="00A27841">
            <w:pPr>
              <w:spacing w:after="0" w:line="221" w:lineRule="auto"/>
              <w:ind w:firstLine="0"/>
              <w:jc w:val="center"/>
            </w:pPr>
            <w:r>
              <w:rPr>
                <w:sz w:val="18"/>
              </w:rPr>
              <w:t>1</w:t>
            </w:r>
          </w:p>
        </w:tc>
      </w:tr>
      <w:tr w:rsidR="00E302CD" w14:paraId="0F0078FB" w14:textId="77777777" w:rsidTr="00315ADA">
        <w:trPr>
          <w:jc w:val="center"/>
        </w:trPr>
        <w:tc>
          <w:tcPr>
            <w:tcW w:w="8277" w:type="dxa"/>
            <w:shd w:val="clear" w:color="auto" w:fill="F3F6F9"/>
            <w:tcMar>
              <w:top w:w="25" w:type="dxa"/>
              <w:left w:w="55" w:type="dxa"/>
              <w:bottom w:w="25" w:type="dxa"/>
              <w:right w:w="55" w:type="dxa"/>
            </w:tcMar>
            <w:vAlign w:val="center"/>
          </w:tcPr>
          <w:p w14:paraId="67FF267E" w14:textId="77777777" w:rsidR="00E302CD" w:rsidRDefault="00000000" w:rsidP="00A27841">
            <w:pPr>
              <w:bidi/>
              <w:spacing w:after="0" w:line="221" w:lineRule="auto"/>
              <w:ind w:firstLine="0"/>
              <w:jc w:val="left"/>
            </w:pPr>
            <w:r>
              <w:rPr>
                <w:sz w:val="18"/>
                <w:rtl/>
              </w:rPr>
              <w:t xml:space="preserve">     1.1 مقدمة الدراسة</w:t>
            </w:r>
          </w:p>
        </w:tc>
        <w:tc>
          <w:tcPr>
            <w:tcW w:w="793" w:type="dxa"/>
            <w:shd w:val="clear" w:color="auto" w:fill="F3F6F9"/>
            <w:tcMar>
              <w:top w:w="25" w:type="dxa"/>
              <w:left w:w="55" w:type="dxa"/>
              <w:bottom w:w="25" w:type="dxa"/>
              <w:right w:w="55" w:type="dxa"/>
            </w:tcMar>
            <w:vAlign w:val="center"/>
          </w:tcPr>
          <w:p w14:paraId="42749EE4" w14:textId="77777777" w:rsidR="00E302CD" w:rsidRDefault="00000000" w:rsidP="00A27841">
            <w:pPr>
              <w:spacing w:after="0" w:line="221" w:lineRule="auto"/>
              <w:ind w:firstLine="0"/>
              <w:jc w:val="center"/>
            </w:pPr>
            <w:r>
              <w:rPr>
                <w:sz w:val="18"/>
              </w:rPr>
              <w:t>1</w:t>
            </w:r>
          </w:p>
        </w:tc>
      </w:tr>
      <w:tr w:rsidR="00E302CD" w14:paraId="5965BFAB" w14:textId="77777777" w:rsidTr="00315ADA">
        <w:trPr>
          <w:jc w:val="center"/>
        </w:trPr>
        <w:tc>
          <w:tcPr>
            <w:tcW w:w="8277" w:type="dxa"/>
            <w:shd w:val="clear" w:color="auto" w:fill="FFFFFF"/>
            <w:tcMar>
              <w:top w:w="25" w:type="dxa"/>
              <w:left w:w="55" w:type="dxa"/>
              <w:bottom w:w="25" w:type="dxa"/>
              <w:right w:w="55" w:type="dxa"/>
            </w:tcMar>
            <w:vAlign w:val="center"/>
          </w:tcPr>
          <w:p w14:paraId="202DFB18" w14:textId="77777777" w:rsidR="00E302CD" w:rsidRDefault="00000000" w:rsidP="00A27841">
            <w:pPr>
              <w:bidi/>
              <w:spacing w:after="0" w:line="221" w:lineRule="auto"/>
              <w:ind w:firstLine="0"/>
              <w:jc w:val="left"/>
            </w:pPr>
            <w:r>
              <w:rPr>
                <w:sz w:val="18"/>
                <w:rtl/>
              </w:rPr>
              <w:t xml:space="preserve">     1.2 خلفية الدراسة وسياقها</w:t>
            </w:r>
          </w:p>
        </w:tc>
        <w:tc>
          <w:tcPr>
            <w:tcW w:w="793" w:type="dxa"/>
            <w:shd w:val="clear" w:color="auto" w:fill="FFFFFF"/>
            <w:tcMar>
              <w:top w:w="25" w:type="dxa"/>
              <w:left w:w="55" w:type="dxa"/>
              <w:bottom w:w="25" w:type="dxa"/>
              <w:right w:w="55" w:type="dxa"/>
            </w:tcMar>
            <w:vAlign w:val="center"/>
          </w:tcPr>
          <w:p w14:paraId="1F068D41" w14:textId="77777777" w:rsidR="00E302CD" w:rsidRDefault="00000000" w:rsidP="00A27841">
            <w:pPr>
              <w:spacing w:after="0" w:line="221" w:lineRule="auto"/>
              <w:ind w:firstLine="0"/>
              <w:jc w:val="center"/>
            </w:pPr>
            <w:r>
              <w:rPr>
                <w:sz w:val="18"/>
              </w:rPr>
              <w:t>2</w:t>
            </w:r>
          </w:p>
        </w:tc>
      </w:tr>
      <w:tr w:rsidR="00E302CD" w14:paraId="7CDAC071" w14:textId="77777777" w:rsidTr="00315ADA">
        <w:trPr>
          <w:jc w:val="center"/>
        </w:trPr>
        <w:tc>
          <w:tcPr>
            <w:tcW w:w="8277" w:type="dxa"/>
            <w:shd w:val="clear" w:color="auto" w:fill="F3F6F9"/>
            <w:tcMar>
              <w:top w:w="25" w:type="dxa"/>
              <w:left w:w="55" w:type="dxa"/>
              <w:bottom w:w="25" w:type="dxa"/>
              <w:right w:w="55" w:type="dxa"/>
            </w:tcMar>
            <w:vAlign w:val="center"/>
          </w:tcPr>
          <w:p w14:paraId="2F76E0C8" w14:textId="77777777" w:rsidR="00E302CD" w:rsidRDefault="00000000" w:rsidP="00A27841">
            <w:pPr>
              <w:bidi/>
              <w:spacing w:after="0" w:line="221" w:lineRule="auto"/>
              <w:ind w:firstLine="0"/>
              <w:jc w:val="left"/>
            </w:pPr>
            <w:r>
              <w:rPr>
                <w:sz w:val="18"/>
                <w:rtl/>
              </w:rPr>
              <w:t xml:space="preserve">     1.3 مشكلة الدراسة</w:t>
            </w:r>
          </w:p>
        </w:tc>
        <w:tc>
          <w:tcPr>
            <w:tcW w:w="793" w:type="dxa"/>
            <w:shd w:val="clear" w:color="auto" w:fill="F3F6F9"/>
            <w:tcMar>
              <w:top w:w="25" w:type="dxa"/>
              <w:left w:w="55" w:type="dxa"/>
              <w:bottom w:w="25" w:type="dxa"/>
              <w:right w:w="55" w:type="dxa"/>
            </w:tcMar>
            <w:vAlign w:val="center"/>
          </w:tcPr>
          <w:p w14:paraId="7E9A3471" w14:textId="77777777" w:rsidR="00E302CD" w:rsidRDefault="00000000" w:rsidP="00A27841">
            <w:pPr>
              <w:spacing w:after="0" w:line="221" w:lineRule="auto"/>
              <w:ind w:firstLine="0"/>
              <w:jc w:val="center"/>
            </w:pPr>
            <w:r>
              <w:rPr>
                <w:sz w:val="18"/>
              </w:rPr>
              <w:t>3</w:t>
            </w:r>
          </w:p>
        </w:tc>
      </w:tr>
      <w:tr w:rsidR="00E302CD" w14:paraId="2A4160EC" w14:textId="77777777" w:rsidTr="00315ADA">
        <w:trPr>
          <w:jc w:val="center"/>
        </w:trPr>
        <w:tc>
          <w:tcPr>
            <w:tcW w:w="8277" w:type="dxa"/>
            <w:shd w:val="clear" w:color="auto" w:fill="FFFFFF"/>
            <w:tcMar>
              <w:top w:w="25" w:type="dxa"/>
              <w:left w:w="55" w:type="dxa"/>
              <w:bottom w:w="25" w:type="dxa"/>
              <w:right w:w="55" w:type="dxa"/>
            </w:tcMar>
            <w:vAlign w:val="center"/>
          </w:tcPr>
          <w:p w14:paraId="6F15B6BE" w14:textId="77777777" w:rsidR="00E302CD" w:rsidRDefault="00000000" w:rsidP="00A27841">
            <w:pPr>
              <w:bidi/>
              <w:spacing w:after="0" w:line="221" w:lineRule="auto"/>
              <w:ind w:firstLine="0"/>
              <w:jc w:val="left"/>
            </w:pPr>
            <w:r>
              <w:rPr>
                <w:sz w:val="18"/>
                <w:rtl/>
              </w:rPr>
              <w:t xml:space="preserve">     1.4 أسئلة الدراسة</w:t>
            </w:r>
          </w:p>
        </w:tc>
        <w:tc>
          <w:tcPr>
            <w:tcW w:w="793" w:type="dxa"/>
            <w:shd w:val="clear" w:color="auto" w:fill="FFFFFF"/>
            <w:tcMar>
              <w:top w:w="25" w:type="dxa"/>
              <w:left w:w="55" w:type="dxa"/>
              <w:bottom w:w="25" w:type="dxa"/>
              <w:right w:w="55" w:type="dxa"/>
            </w:tcMar>
            <w:vAlign w:val="center"/>
          </w:tcPr>
          <w:p w14:paraId="2F10956E" w14:textId="77777777" w:rsidR="00E302CD" w:rsidRDefault="00000000" w:rsidP="00A27841">
            <w:pPr>
              <w:spacing w:after="0" w:line="221" w:lineRule="auto"/>
              <w:ind w:firstLine="0"/>
              <w:jc w:val="center"/>
            </w:pPr>
            <w:r>
              <w:rPr>
                <w:sz w:val="18"/>
              </w:rPr>
              <w:t>4</w:t>
            </w:r>
          </w:p>
        </w:tc>
      </w:tr>
      <w:tr w:rsidR="00E302CD" w14:paraId="12303A66" w14:textId="77777777" w:rsidTr="00315ADA">
        <w:trPr>
          <w:jc w:val="center"/>
        </w:trPr>
        <w:tc>
          <w:tcPr>
            <w:tcW w:w="8277" w:type="dxa"/>
            <w:shd w:val="clear" w:color="auto" w:fill="F3F6F9"/>
            <w:tcMar>
              <w:top w:w="25" w:type="dxa"/>
              <w:left w:w="55" w:type="dxa"/>
              <w:bottom w:w="25" w:type="dxa"/>
              <w:right w:w="55" w:type="dxa"/>
            </w:tcMar>
            <w:vAlign w:val="center"/>
          </w:tcPr>
          <w:p w14:paraId="29300DE9" w14:textId="77777777" w:rsidR="00E302CD" w:rsidRDefault="00000000" w:rsidP="00A27841">
            <w:pPr>
              <w:bidi/>
              <w:spacing w:after="0" w:line="221" w:lineRule="auto"/>
              <w:ind w:firstLine="0"/>
              <w:jc w:val="left"/>
            </w:pPr>
            <w:r>
              <w:rPr>
                <w:sz w:val="18"/>
                <w:rtl/>
              </w:rPr>
              <w:t xml:space="preserve">     1.5 أهداف الدراسة</w:t>
            </w:r>
          </w:p>
        </w:tc>
        <w:tc>
          <w:tcPr>
            <w:tcW w:w="793" w:type="dxa"/>
            <w:shd w:val="clear" w:color="auto" w:fill="F3F6F9"/>
            <w:tcMar>
              <w:top w:w="25" w:type="dxa"/>
              <w:left w:w="55" w:type="dxa"/>
              <w:bottom w:w="25" w:type="dxa"/>
              <w:right w:w="55" w:type="dxa"/>
            </w:tcMar>
            <w:vAlign w:val="center"/>
          </w:tcPr>
          <w:p w14:paraId="339264C2" w14:textId="77777777" w:rsidR="00E302CD" w:rsidRDefault="00000000" w:rsidP="00A27841">
            <w:pPr>
              <w:spacing w:after="0" w:line="221" w:lineRule="auto"/>
              <w:ind w:firstLine="0"/>
              <w:jc w:val="center"/>
            </w:pPr>
            <w:r>
              <w:rPr>
                <w:sz w:val="18"/>
              </w:rPr>
              <w:t>5</w:t>
            </w:r>
          </w:p>
        </w:tc>
      </w:tr>
      <w:tr w:rsidR="00E302CD" w14:paraId="2D94052A" w14:textId="77777777" w:rsidTr="00315ADA">
        <w:trPr>
          <w:jc w:val="center"/>
        </w:trPr>
        <w:tc>
          <w:tcPr>
            <w:tcW w:w="8277" w:type="dxa"/>
            <w:shd w:val="clear" w:color="auto" w:fill="FFFFFF"/>
            <w:tcMar>
              <w:top w:w="25" w:type="dxa"/>
              <w:left w:w="55" w:type="dxa"/>
              <w:bottom w:w="25" w:type="dxa"/>
              <w:right w:w="55" w:type="dxa"/>
            </w:tcMar>
            <w:vAlign w:val="center"/>
          </w:tcPr>
          <w:p w14:paraId="5F3D1F50" w14:textId="77777777" w:rsidR="00E302CD" w:rsidRDefault="00000000" w:rsidP="00A27841">
            <w:pPr>
              <w:bidi/>
              <w:spacing w:after="0" w:line="221" w:lineRule="auto"/>
              <w:ind w:firstLine="0"/>
              <w:jc w:val="left"/>
            </w:pPr>
            <w:r>
              <w:rPr>
                <w:sz w:val="18"/>
                <w:rtl/>
              </w:rPr>
              <w:t xml:space="preserve">     1.6 أهمية الدراسة</w:t>
            </w:r>
          </w:p>
        </w:tc>
        <w:tc>
          <w:tcPr>
            <w:tcW w:w="793" w:type="dxa"/>
            <w:shd w:val="clear" w:color="auto" w:fill="FFFFFF"/>
            <w:tcMar>
              <w:top w:w="25" w:type="dxa"/>
              <w:left w:w="55" w:type="dxa"/>
              <w:bottom w:w="25" w:type="dxa"/>
              <w:right w:w="55" w:type="dxa"/>
            </w:tcMar>
            <w:vAlign w:val="center"/>
          </w:tcPr>
          <w:p w14:paraId="46E72C1C" w14:textId="77777777" w:rsidR="00E302CD" w:rsidRDefault="00000000" w:rsidP="00A27841">
            <w:pPr>
              <w:spacing w:after="0" w:line="221" w:lineRule="auto"/>
              <w:ind w:firstLine="0"/>
              <w:jc w:val="center"/>
            </w:pPr>
            <w:r>
              <w:rPr>
                <w:sz w:val="18"/>
              </w:rPr>
              <w:t>5</w:t>
            </w:r>
          </w:p>
        </w:tc>
      </w:tr>
      <w:tr w:rsidR="00E302CD" w14:paraId="2178D3F5" w14:textId="77777777" w:rsidTr="00315ADA">
        <w:trPr>
          <w:jc w:val="center"/>
        </w:trPr>
        <w:tc>
          <w:tcPr>
            <w:tcW w:w="8277" w:type="dxa"/>
            <w:shd w:val="clear" w:color="auto" w:fill="F3F6F9"/>
            <w:tcMar>
              <w:top w:w="25" w:type="dxa"/>
              <w:left w:w="55" w:type="dxa"/>
              <w:bottom w:w="25" w:type="dxa"/>
              <w:right w:w="55" w:type="dxa"/>
            </w:tcMar>
            <w:vAlign w:val="center"/>
          </w:tcPr>
          <w:p w14:paraId="2296F1AE" w14:textId="77777777" w:rsidR="00E302CD" w:rsidRDefault="00000000" w:rsidP="00A27841">
            <w:pPr>
              <w:bidi/>
              <w:spacing w:after="0" w:line="221" w:lineRule="auto"/>
              <w:ind w:firstLine="0"/>
              <w:jc w:val="left"/>
            </w:pPr>
            <w:r>
              <w:rPr>
                <w:sz w:val="18"/>
                <w:rtl/>
              </w:rPr>
              <w:t xml:space="preserve">     1.7 حدود الدراسة</w:t>
            </w:r>
          </w:p>
        </w:tc>
        <w:tc>
          <w:tcPr>
            <w:tcW w:w="793" w:type="dxa"/>
            <w:shd w:val="clear" w:color="auto" w:fill="F3F6F9"/>
            <w:tcMar>
              <w:top w:w="25" w:type="dxa"/>
              <w:left w:w="55" w:type="dxa"/>
              <w:bottom w:w="25" w:type="dxa"/>
              <w:right w:w="55" w:type="dxa"/>
            </w:tcMar>
            <w:vAlign w:val="center"/>
          </w:tcPr>
          <w:p w14:paraId="13C25663" w14:textId="77777777" w:rsidR="00E302CD" w:rsidRDefault="00000000" w:rsidP="00A27841">
            <w:pPr>
              <w:spacing w:after="0" w:line="221" w:lineRule="auto"/>
              <w:ind w:firstLine="0"/>
              <w:jc w:val="center"/>
            </w:pPr>
            <w:r>
              <w:rPr>
                <w:sz w:val="18"/>
              </w:rPr>
              <w:t>6</w:t>
            </w:r>
          </w:p>
        </w:tc>
      </w:tr>
      <w:tr w:rsidR="00E302CD" w14:paraId="2E44BAAC" w14:textId="77777777" w:rsidTr="00315ADA">
        <w:trPr>
          <w:jc w:val="center"/>
        </w:trPr>
        <w:tc>
          <w:tcPr>
            <w:tcW w:w="8277" w:type="dxa"/>
            <w:shd w:val="clear" w:color="auto" w:fill="FFFFFF"/>
            <w:tcMar>
              <w:top w:w="25" w:type="dxa"/>
              <w:left w:w="55" w:type="dxa"/>
              <w:bottom w:w="25" w:type="dxa"/>
              <w:right w:w="55" w:type="dxa"/>
            </w:tcMar>
            <w:vAlign w:val="center"/>
          </w:tcPr>
          <w:p w14:paraId="33681620" w14:textId="77777777" w:rsidR="00E302CD" w:rsidRDefault="00000000" w:rsidP="00A27841">
            <w:pPr>
              <w:bidi/>
              <w:spacing w:after="0" w:line="221" w:lineRule="auto"/>
              <w:ind w:firstLine="0"/>
              <w:jc w:val="left"/>
            </w:pPr>
            <w:r>
              <w:rPr>
                <w:sz w:val="18"/>
                <w:rtl/>
              </w:rPr>
              <w:t xml:space="preserve">     1.8 مصطلحات الدراسة وتعريفاتها الإجرائية</w:t>
            </w:r>
          </w:p>
        </w:tc>
        <w:tc>
          <w:tcPr>
            <w:tcW w:w="793" w:type="dxa"/>
            <w:shd w:val="clear" w:color="auto" w:fill="FFFFFF"/>
            <w:tcMar>
              <w:top w:w="25" w:type="dxa"/>
              <w:left w:w="55" w:type="dxa"/>
              <w:bottom w:w="25" w:type="dxa"/>
              <w:right w:w="55" w:type="dxa"/>
            </w:tcMar>
            <w:vAlign w:val="center"/>
          </w:tcPr>
          <w:p w14:paraId="3B25A556" w14:textId="77777777" w:rsidR="00E302CD" w:rsidRDefault="00000000" w:rsidP="00A27841">
            <w:pPr>
              <w:spacing w:after="0" w:line="221" w:lineRule="auto"/>
              <w:ind w:firstLine="0"/>
              <w:jc w:val="center"/>
            </w:pPr>
            <w:r>
              <w:rPr>
                <w:sz w:val="18"/>
              </w:rPr>
              <w:t>7</w:t>
            </w:r>
          </w:p>
        </w:tc>
      </w:tr>
      <w:tr w:rsidR="00E302CD" w14:paraId="06E8AC14" w14:textId="77777777" w:rsidTr="00315ADA">
        <w:trPr>
          <w:jc w:val="center"/>
        </w:trPr>
        <w:tc>
          <w:tcPr>
            <w:tcW w:w="8277" w:type="dxa"/>
            <w:shd w:val="clear" w:color="auto" w:fill="F3F6F9"/>
            <w:tcMar>
              <w:top w:w="25" w:type="dxa"/>
              <w:left w:w="55" w:type="dxa"/>
              <w:bottom w:w="25" w:type="dxa"/>
              <w:right w:w="55" w:type="dxa"/>
            </w:tcMar>
            <w:vAlign w:val="center"/>
          </w:tcPr>
          <w:p w14:paraId="1DBA1794" w14:textId="77777777" w:rsidR="00E302CD" w:rsidRDefault="00000000" w:rsidP="00A27841">
            <w:pPr>
              <w:bidi/>
              <w:spacing w:after="0" w:line="221" w:lineRule="auto"/>
              <w:ind w:firstLine="0"/>
              <w:jc w:val="left"/>
            </w:pPr>
            <w:r>
              <w:rPr>
                <w:sz w:val="18"/>
                <w:rtl/>
              </w:rPr>
              <w:t xml:space="preserve">     1.9 تنظيم الرسالة</w:t>
            </w:r>
          </w:p>
        </w:tc>
        <w:tc>
          <w:tcPr>
            <w:tcW w:w="793" w:type="dxa"/>
            <w:shd w:val="clear" w:color="auto" w:fill="F3F6F9"/>
            <w:tcMar>
              <w:top w:w="25" w:type="dxa"/>
              <w:left w:w="55" w:type="dxa"/>
              <w:bottom w:w="25" w:type="dxa"/>
              <w:right w:w="55" w:type="dxa"/>
            </w:tcMar>
            <w:vAlign w:val="center"/>
          </w:tcPr>
          <w:p w14:paraId="072739FF" w14:textId="77777777" w:rsidR="00E302CD" w:rsidRDefault="00000000" w:rsidP="00A27841">
            <w:pPr>
              <w:spacing w:after="0" w:line="221" w:lineRule="auto"/>
              <w:ind w:firstLine="0"/>
              <w:jc w:val="center"/>
            </w:pPr>
            <w:r>
              <w:rPr>
                <w:sz w:val="18"/>
              </w:rPr>
              <w:t>8</w:t>
            </w:r>
          </w:p>
        </w:tc>
      </w:tr>
      <w:tr w:rsidR="00E302CD" w14:paraId="7080323E" w14:textId="77777777" w:rsidTr="00315ADA">
        <w:trPr>
          <w:jc w:val="center"/>
        </w:trPr>
        <w:tc>
          <w:tcPr>
            <w:tcW w:w="8277" w:type="dxa"/>
            <w:shd w:val="clear" w:color="auto" w:fill="FFFFFF"/>
            <w:tcMar>
              <w:top w:w="25" w:type="dxa"/>
              <w:left w:w="55" w:type="dxa"/>
              <w:bottom w:w="25" w:type="dxa"/>
              <w:right w:w="55" w:type="dxa"/>
            </w:tcMar>
            <w:vAlign w:val="center"/>
          </w:tcPr>
          <w:p w14:paraId="271E36D6" w14:textId="77777777" w:rsidR="00E302CD" w:rsidRDefault="00000000" w:rsidP="00A27841">
            <w:pPr>
              <w:bidi/>
              <w:spacing w:after="0" w:line="221" w:lineRule="auto"/>
              <w:ind w:firstLine="0"/>
              <w:jc w:val="left"/>
            </w:pPr>
            <w:r>
              <w:rPr>
                <w:sz w:val="18"/>
                <w:rtl/>
              </w:rPr>
              <w:t>الفصل الثاني: الإطار النظري والدراسات السابقة</w:t>
            </w:r>
          </w:p>
        </w:tc>
        <w:tc>
          <w:tcPr>
            <w:tcW w:w="793" w:type="dxa"/>
            <w:shd w:val="clear" w:color="auto" w:fill="FFFFFF"/>
            <w:tcMar>
              <w:top w:w="25" w:type="dxa"/>
              <w:left w:w="55" w:type="dxa"/>
              <w:bottom w:w="25" w:type="dxa"/>
              <w:right w:w="55" w:type="dxa"/>
            </w:tcMar>
            <w:vAlign w:val="center"/>
          </w:tcPr>
          <w:p w14:paraId="4D2A72BA" w14:textId="77777777" w:rsidR="00E302CD" w:rsidRDefault="00000000" w:rsidP="00A27841">
            <w:pPr>
              <w:spacing w:after="0" w:line="221" w:lineRule="auto"/>
              <w:ind w:firstLine="0"/>
              <w:jc w:val="center"/>
            </w:pPr>
            <w:r>
              <w:rPr>
                <w:sz w:val="18"/>
              </w:rPr>
              <w:t>8</w:t>
            </w:r>
          </w:p>
        </w:tc>
      </w:tr>
      <w:tr w:rsidR="00E302CD" w14:paraId="4CE8FCCD" w14:textId="77777777" w:rsidTr="00315ADA">
        <w:trPr>
          <w:jc w:val="center"/>
        </w:trPr>
        <w:tc>
          <w:tcPr>
            <w:tcW w:w="8277" w:type="dxa"/>
            <w:shd w:val="clear" w:color="auto" w:fill="F3F6F9"/>
            <w:tcMar>
              <w:top w:w="25" w:type="dxa"/>
              <w:left w:w="55" w:type="dxa"/>
              <w:bottom w:w="25" w:type="dxa"/>
              <w:right w:w="55" w:type="dxa"/>
            </w:tcMar>
            <w:vAlign w:val="center"/>
          </w:tcPr>
          <w:p w14:paraId="01146B37" w14:textId="77777777" w:rsidR="00E302CD" w:rsidRDefault="00000000" w:rsidP="00A27841">
            <w:pPr>
              <w:bidi/>
              <w:spacing w:after="0" w:line="221" w:lineRule="auto"/>
              <w:ind w:firstLine="0"/>
              <w:jc w:val="left"/>
            </w:pPr>
            <w:r>
              <w:rPr>
                <w:sz w:val="18"/>
                <w:rtl/>
              </w:rPr>
              <w:t xml:space="preserve">     2.1 تمهيد</w:t>
            </w:r>
          </w:p>
        </w:tc>
        <w:tc>
          <w:tcPr>
            <w:tcW w:w="793" w:type="dxa"/>
            <w:shd w:val="clear" w:color="auto" w:fill="F3F6F9"/>
            <w:tcMar>
              <w:top w:w="25" w:type="dxa"/>
              <w:left w:w="55" w:type="dxa"/>
              <w:bottom w:w="25" w:type="dxa"/>
              <w:right w:w="55" w:type="dxa"/>
            </w:tcMar>
            <w:vAlign w:val="center"/>
          </w:tcPr>
          <w:p w14:paraId="0761C5AC" w14:textId="77777777" w:rsidR="00E302CD" w:rsidRDefault="00000000" w:rsidP="00A27841">
            <w:pPr>
              <w:spacing w:after="0" w:line="221" w:lineRule="auto"/>
              <w:ind w:firstLine="0"/>
              <w:jc w:val="center"/>
            </w:pPr>
            <w:r>
              <w:rPr>
                <w:sz w:val="18"/>
              </w:rPr>
              <w:t>9</w:t>
            </w:r>
          </w:p>
        </w:tc>
      </w:tr>
      <w:tr w:rsidR="00E302CD" w14:paraId="27EF5A3C" w14:textId="77777777" w:rsidTr="00315ADA">
        <w:trPr>
          <w:jc w:val="center"/>
        </w:trPr>
        <w:tc>
          <w:tcPr>
            <w:tcW w:w="8277" w:type="dxa"/>
            <w:shd w:val="clear" w:color="auto" w:fill="FFFFFF"/>
            <w:tcMar>
              <w:top w:w="25" w:type="dxa"/>
              <w:left w:w="55" w:type="dxa"/>
              <w:bottom w:w="25" w:type="dxa"/>
              <w:right w:w="55" w:type="dxa"/>
            </w:tcMar>
            <w:vAlign w:val="center"/>
          </w:tcPr>
          <w:p w14:paraId="213714FC" w14:textId="77777777" w:rsidR="00E302CD" w:rsidRDefault="00000000" w:rsidP="00A27841">
            <w:pPr>
              <w:bidi/>
              <w:spacing w:after="0" w:line="221" w:lineRule="auto"/>
              <w:ind w:firstLine="0"/>
              <w:jc w:val="left"/>
            </w:pPr>
            <w:r>
              <w:rPr>
                <w:sz w:val="18"/>
                <w:rtl/>
              </w:rPr>
              <w:t xml:space="preserve">     2.2 الإدارة الاستراتيجية: المفهوم والتطور</w:t>
            </w:r>
          </w:p>
        </w:tc>
        <w:tc>
          <w:tcPr>
            <w:tcW w:w="793" w:type="dxa"/>
            <w:shd w:val="clear" w:color="auto" w:fill="FFFFFF"/>
            <w:tcMar>
              <w:top w:w="25" w:type="dxa"/>
              <w:left w:w="55" w:type="dxa"/>
              <w:bottom w:w="25" w:type="dxa"/>
              <w:right w:w="55" w:type="dxa"/>
            </w:tcMar>
            <w:vAlign w:val="center"/>
          </w:tcPr>
          <w:p w14:paraId="592CD4DF" w14:textId="77777777" w:rsidR="00E302CD" w:rsidRDefault="00000000" w:rsidP="00A27841">
            <w:pPr>
              <w:spacing w:after="0" w:line="221" w:lineRule="auto"/>
              <w:ind w:firstLine="0"/>
              <w:jc w:val="center"/>
            </w:pPr>
            <w:r>
              <w:rPr>
                <w:sz w:val="18"/>
              </w:rPr>
              <w:t>9</w:t>
            </w:r>
          </w:p>
        </w:tc>
      </w:tr>
      <w:tr w:rsidR="00E302CD" w14:paraId="4F9AA6E6" w14:textId="77777777" w:rsidTr="00315ADA">
        <w:trPr>
          <w:jc w:val="center"/>
        </w:trPr>
        <w:tc>
          <w:tcPr>
            <w:tcW w:w="8277" w:type="dxa"/>
            <w:shd w:val="clear" w:color="auto" w:fill="F3F6F9"/>
            <w:tcMar>
              <w:top w:w="25" w:type="dxa"/>
              <w:left w:w="55" w:type="dxa"/>
              <w:bottom w:w="25" w:type="dxa"/>
              <w:right w:w="55" w:type="dxa"/>
            </w:tcMar>
            <w:vAlign w:val="center"/>
          </w:tcPr>
          <w:p w14:paraId="246586DE" w14:textId="77777777" w:rsidR="00E302CD" w:rsidRDefault="00000000" w:rsidP="00A27841">
            <w:pPr>
              <w:bidi/>
              <w:spacing w:after="0" w:line="221" w:lineRule="auto"/>
              <w:ind w:firstLine="0"/>
              <w:jc w:val="left"/>
            </w:pPr>
            <w:r>
              <w:rPr>
                <w:sz w:val="18"/>
                <w:rtl/>
              </w:rPr>
              <w:t xml:space="preserve">     2.3 أبعاد الإدارة الاستراتيجية في الدراسة</w:t>
            </w:r>
          </w:p>
        </w:tc>
        <w:tc>
          <w:tcPr>
            <w:tcW w:w="793" w:type="dxa"/>
            <w:shd w:val="clear" w:color="auto" w:fill="F3F6F9"/>
            <w:tcMar>
              <w:top w:w="25" w:type="dxa"/>
              <w:left w:w="55" w:type="dxa"/>
              <w:bottom w:w="25" w:type="dxa"/>
              <w:right w:w="55" w:type="dxa"/>
            </w:tcMar>
            <w:vAlign w:val="center"/>
          </w:tcPr>
          <w:p w14:paraId="65F3A8AB" w14:textId="77777777" w:rsidR="00E302CD" w:rsidRDefault="00000000" w:rsidP="00A27841">
            <w:pPr>
              <w:spacing w:after="0" w:line="221" w:lineRule="auto"/>
              <w:ind w:firstLine="0"/>
              <w:jc w:val="center"/>
            </w:pPr>
            <w:r>
              <w:rPr>
                <w:sz w:val="18"/>
              </w:rPr>
              <w:t>10</w:t>
            </w:r>
          </w:p>
        </w:tc>
      </w:tr>
      <w:tr w:rsidR="00E302CD" w14:paraId="19726985" w14:textId="77777777" w:rsidTr="00315ADA">
        <w:trPr>
          <w:jc w:val="center"/>
        </w:trPr>
        <w:tc>
          <w:tcPr>
            <w:tcW w:w="8277" w:type="dxa"/>
            <w:shd w:val="clear" w:color="auto" w:fill="FFFFFF"/>
            <w:tcMar>
              <w:top w:w="25" w:type="dxa"/>
              <w:left w:w="55" w:type="dxa"/>
              <w:bottom w:w="25" w:type="dxa"/>
              <w:right w:w="55" w:type="dxa"/>
            </w:tcMar>
            <w:vAlign w:val="center"/>
          </w:tcPr>
          <w:p w14:paraId="7B01AC47" w14:textId="77777777" w:rsidR="00E302CD" w:rsidRDefault="00000000" w:rsidP="00A27841">
            <w:pPr>
              <w:bidi/>
              <w:spacing w:after="0" w:line="221" w:lineRule="auto"/>
              <w:ind w:firstLine="0"/>
              <w:jc w:val="left"/>
            </w:pPr>
            <w:r>
              <w:rPr>
                <w:sz w:val="18"/>
                <w:rtl/>
              </w:rPr>
              <w:t xml:space="preserve">     2.4 المنظورات النظرية المفسرة للعلاقة</w:t>
            </w:r>
          </w:p>
        </w:tc>
        <w:tc>
          <w:tcPr>
            <w:tcW w:w="793" w:type="dxa"/>
            <w:shd w:val="clear" w:color="auto" w:fill="FFFFFF"/>
            <w:tcMar>
              <w:top w:w="25" w:type="dxa"/>
              <w:left w:w="55" w:type="dxa"/>
              <w:bottom w:w="25" w:type="dxa"/>
              <w:right w:w="55" w:type="dxa"/>
            </w:tcMar>
            <w:vAlign w:val="center"/>
          </w:tcPr>
          <w:p w14:paraId="0A3B211F" w14:textId="77777777" w:rsidR="00E302CD" w:rsidRDefault="00000000" w:rsidP="00A27841">
            <w:pPr>
              <w:spacing w:after="0" w:line="221" w:lineRule="auto"/>
              <w:ind w:firstLine="0"/>
              <w:jc w:val="center"/>
            </w:pPr>
            <w:r>
              <w:rPr>
                <w:sz w:val="18"/>
              </w:rPr>
              <w:t>11</w:t>
            </w:r>
          </w:p>
        </w:tc>
      </w:tr>
      <w:tr w:rsidR="00E302CD" w14:paraId="15DE45D3" w14:textId="77777777" w:rsidTr="00315ADA">
        <w:trPr>
          <w:jc w:val="center"/>
        </w:trPr>
        <w:tc>
          <w:tcPr>
            <w:tcW w:w="8277" w:type="dxa"/>
            <w:shd w:val="clear" w:color="auto" w:fill="F3F6F9"/>
            <w:tcMar>
              <w:top w:w="25" w:type="dxa"/>
              <w:left w:w="55" w:type="dxa"/>
              <w:bottom w:w="25" w:type="dxa"/>
              <w:right w:w="55" w:type="dxa"/>
            </w:tcMar>
            <w:vAlign w:val="center"/>
          </w:tcPr>
          <w:p w14:paraId="5546E330" w14:textId="77777777" w:rsidR="00E302CD" w:rsidRDefault="00000000" w:rsidP="00A27841">
            <w:pPr>
              <w:bidi/>
              <w:spacing w:after="0" w:line="221" w:lineRule="auto"/>
              <w:ind w:firstLine="0"/>
              <w:jc w:val="left"/>
            </w:pPr>
            <w:r>
              <w:rPr>
                <w:sz w:val="18"/>
                <w:rtl/>
              </w:rPr>
              <w:t xml:space="preserve">     2.5 كفاءة التشغيل: المفهوم والأبعاد</w:t>
            </w:r>
          </w:p>
        </w:tc>
        <w:tc>
          <w:tcPr>
            <w:tcW w:w="793" w:type="dxa"/>
            <w:shd w:val="clear" w:color="auto" w:fill="F3F6F9"/>
            <w:tcMar>
              <w:top w:w="25" w:type="dxa"/>
              <w:left w:w="55" w:type="dxa"/>
              <w:bottom w:w="25" w:type="dxa"/>
              <w:right w:w="55" w:type="dxa"/>
            </w:tcMar>
            <w:vAlign w:val="center"/>
          </w:tcPr>
          <w:p w14:paraId="1B869A68" w14:textId="77777777" w:rsidR="00E302CD" w:rsidRDefault="00000000" w:rsidP="00A27841">
            <w:pPr>
              <w:spacing w:after="0" w:line="221" w:lineRule="auto"/>
              <w:ind w:firstLine="0"/>
              <w:jc w:val="center"/>
            </w:pPr>
            <w:r>
              <w:rPr>
                <w:sz w:val="18"/>
              </w:rPr>
              <w:t>12</w:t>
            </w:r>
          </w:p>
        </w:tc>
      </w:tr>
      <w:tr w:rsidR="00E302CD" w14:paraId="223E207B" w14:textId="77777777" w:rsidTr="00315ADA">
        <w:trPr>
          <w:jc w:val="center"/>
        </w:trPr>
        <w:tc>
          <w:tcPr>
            <w:tcW w:w="8277" w:type="dxa"/>
            <w:shd w:val="clear" w:color="auto" w:fill="FFFFFF"/>
            <w:tcMar>
              <w:top w:w="25" w:type="dxa"/>
              <w:left w:w="55" w:type="dxa"/>
              <w:bottom w:w="25" w:type="dxa"/>
              <w:right w:w="55" w:type="dxa"/>
            </w:tcMar>
            <w:vAlign w:val="center"/>
          </w:tcPr>
          <w:p w14:paraId="0B29726B" w14:textId="77777777" w:rsidR="00E302CD" w:rsidRDefault="00000000" w:rsidP="00A27841">
            <w:pPr>
              <w:bidi/>
              <w:spacing w:after="0" w:line="221" w:lineRule="auto"/>
              <w:ind w:firstLine="0"/>
              <w:jc w:val="left"/>
            </w:pPr>
            <w:r>
              <w:rPr>
                <w:sz w:val="18"/>
                <w:rtl/>
              </w:rPr>
              <w:t xml:space="preserve">     2.6 خصوصية كفاءة التشغيل في محطات التحلية</w:t>
            </w:r>
          </w:p>
        </w:tc>
        <w:tc>
          <w:tcPr>
            <w:tcW w:w="793" w:type="dxa"/>
            <w:shd w:val="clear" w:color="auto" w:fill="FFFFFF"/>
            <w:tcMar>
              <w:top w:w="25" w:type="dxa"/>
              <w:left w:w="55" w:type="dxa"/>
              <w:bottom w:w="25" w:type="dxa"/>
              <w:right w:w="55" w:type="dxa"/>
            </w:tcMar>
            <w:vAlign w:val="center"/>
          </w:tcPr>
          <w:p w14:paraId="50172047" w14:textId="77777777" w:rsidR="00E302CD" w:rsidRDefault="00000000" w:rsidP="00A27841">
            <w:pPr>
              <w:spacing w:after="0" w:line="221" w:lineRule="auto"/>
              <w:ind w:firstLine="0"/>
              <w:jc w:val="center"/>
            </w:pPr>
            <w:r>
              <w:rPr>
                <w:sz w:val="18"/>
              </w:rPr>
              <w:t>13</w:t>
            </w:r>
          </w:p>
        </w:tc>
      </w:tr>
      <w:tr w:rsidR="00E302CD" w14:paraId="0A644779" w14:textId="77777777" w:rsidTr="00315ADA">
        <w:trPr>
          <w:jc w:val="center"/>
        </w:trPr>
        <w:tc>
          <w:tcPr>
            <w:tcW w:w="8277" w:type="dxa"/>
            <w:shd w:val="clear" w:color="auto" w:fill="F3F6F9"/>
            <w:tcMar>
              <w:top w:w="25" w:type="dxa"/>
              <w:left w:w="55" w:type="dxa"/>
              <w:bottom w:w="25" w:type="dxa"/>
              <w:right w:w="55" w:type="dxa"/>
            </w:tcMar>
            <w:vAlign w:val="center"/>
          </w:tcPr>
          <w:p w14:paraId="4470DC9C" w14:textId="77777777" w:rsidR="00E302CD" w:rsidRDefault="00000000" w:rsidP="00A27841">
            <w:pPr>
              <w:bidi/>
              <w:spacing w:after="0" w:line="221" w:lineRule="auto"/>
              <w:ind w:firstLine="0"/>
              <w:jc w:val="left"/>
            </w:pPr>
            <w:r>
              <w:rPr>
                <w:sz w:val="18"/>
                <w:rtl/>
              </w:rPr>
              <w:t xml:space="preserve">     2.7 مؤشرات كفاءة التشغيل المقترحة</w:t>
            </w:r>
          </w:p>
        </w:tc>
        <w:tc>
          <w:tcPr>
            <w:tcW w:w="793" w:type="dxa"/>
            <w:shd w:val="clear" w:color="auto" w:fill="F3F6F9"/>
            <w:tcMar>
              <w:top w:w="25" w:type="dxa"/>
              <w:left w:w="55" w:type="dxa"/>
              <w:bottom w:w="25" w:type="dxa"/>
              <w:right w:w="55" w:type="dxa"/>
            </w:tcMar>
            <w:vAlign w:val="center"/>
          </w:tcPr>
          <w:p w14:paraId="38CC22EA" w14:textId="77777777" w:rsidR="00E302CD" w:rsidRDefault="00000000" w:rsidP="00A27841">
            <w:pPr>
              <w:spacing w:after="0" w:line="221" w:lineRule="auto"/>
              <w:ind w:firstLine="0"/>
              <w:jc w:val="center"/>
            </w:pPr>
            <w:r>
              <w:rPr>
                <w:sz w:val="18"/>
              </w:rPr>
              <w:t>14</w:t>
            </w:r>
          </w:p>
        </w:tc>
      </w:tr>
      <w:tr w:rsidR="00E302CD" w14:paraId="3E3612F0" w14:textId="77777777" w:rsidTr="00315ADA">
        <w:trPr>
          <w:jc w:val="center"/>
        </w:trPr>
        <w:tc>
          <w:tcPr>
            <w:tcW w:w="8277" w:type="dxa"/>
            <w:shd w:val="clear" w:color="auto" w:fill="FFFFFF"/>
            <w:tcMar>
              <w:top w:w="25" w:type="dxa"/>
              <w:left w:w="55" w:type="dxa"/>
              <w:bottom w:w="25" w:type="dxa"/>
              <w:right w:w="55" w:type="dxa"/>
            </w:tcMar>
            <w:vAlign w:val="center"/>
          </w:tcPr>
          <w:p w14:paraId="4416A5FA" w14:textId="77777777" w:rsidR="00E302CD" w:rsidRDefault="00000000" w:rsidP="00A27841">
            <w:pPr>
              <w:bidi/>
              <w:spacing w:after="0" w:line="221" w:lineRule="auto"/>
              <w:ind w:firstLine="0"/>
              <w:jc w:val="left"/>
            </w:pPr>
            <w:r>
              <w:rPr>
                <w:sz w:val="18"/>
                <w:rtl/>
              </w:rPr>
              <w:t xml:space="preserve">     2.8 آليات تأثير الإدارة الاستراتيجية في كفاءة التشغيل</w:t>
            </w:r>
          </w:p>
        </w:tc>
        <w:tc>
          <w:tcPr>
            <w:tcW w:w="793" w:type="dxa"/>
            <w:shd w:val="clear" w:color="auto" w:fill="FFFFFF"/>
            <w:tcMar>
              <w:top w:w="25" w:type="dxa"/>
              <w:left w:w="55" w:type="dxa"/>
              <w:bottom w:w="25" w:type="dxa"/>
              <w:right w:w="55" w:type="dxa"/>
            </w:tcMar>
            <w:vAlign w:val="center"/>
          </w:tcPr>
          <w:p w14:paraId="33EA4A6D" w14:textId="77777777" w:rsidR="00E302CD" w:rsidRDefault="00000000" w:rsidP="00A27841">
            <w:pPr>
              <w:spacing w:after="0" w:line="221" w:lineRule="auto"/>
              <w:ind w:firstLine="0"/>
              <w:jc w:val="center"/>
            </w:pPr>
            <w:r>
              <w:rPr>
                <w:sz w:val="18"/>
              </w:rPr>
              <w:t>15</w:t>
            </w:r>
          </w:p>
        </w:tc>
      </w:tr>
      <w:tr w:rsidR="00E302CD" w14:paraId="2C2156D8" w14:textId="77777777" w:rsidTr="00315ADA">
        <w:trPr>
          <w:jc w:val="center"/>
        </w:trPr>
        <w:tc>
          <w:tcPr>
            <w:tcW w:w="8277" w:type="dxa"/>
            <w:shd w:val="clear" w:color="auto" w:fill="F3F6F9"/>
            <w:tcMar>
              <w:top w:w="25" w:type="dxa"/>
              <w:left w:w="55" w:type="dxa"/>
              <w:bottom w:w="25" w:type="dxa"/>
              <w:right w:w="55" w:type="dxa"/>
            </w:tcMar>
            <w:vAlign w:val="center"/>
          </w:tcPr>
          <w:p w14:paraId="3B8144C6" w14:textId="77777777" w:rsidR="00E302CD" w:rsidRDefault="00000000" w:rsidP="00A27841">
            <w:pPr>
              <w:bidi/>
              <w:spacing w:after="0" w:line="221" w:lineRule="auto"/>
              <w:ind w:firstLine="0"/>
              <w:jc w:val="left"/>
            </w:pPr>
            <w:r>
              <w:rPr>
                <w:sz w:val="18"/>
                <w:rtl/>
              </w:rPr>
              <w:t xml:space="preserve">     2.9 الدراسات السابقة: محور الإدارة الاستراتيجية والأداء</w:t>
            </w:r>
          </w:p>
        </w:tc>
        <w:tc>
          <w:tcPr>
            <w:tcW w:w="793" w:type="dxa"/>
            <w:shd w:val="clear" w:color="auto" w:fill="F3F6F9"/>
            <w:tcMar>
              <w:top w:w="25" w:type="dxa"/>
              <w:left w:w="55" w:type="dxa"/>
              <w:bottom w:w="25" w:type="dxa"/>
              <w:right w:w="55" w:type="dxa"/>
            </w:tcMar>
            <w:vAlign w:val="center"/>
          </w:tcPr>
          <w:p w14:paraId="6938339F" w14:textId="77777777" w:rsidR="00E302CD" w:rsidRDefault="00000000" w:rsidP="00A27841">
            <w:pPr>
              <w:spacing w:after="0" w:line="221" w:lineRule="auto"/>
              <w:ind w:firstLine="0"/>
              <w:jc w:val="center"/>
            </w:pPr>
            <w:r>
              <w:rPr>
                <w:sz w:val="18"/>
              </w:rPr>
              <w:t>16</w:t>
            </w:r>
          </w:p>
        </w:tc>
      </w:tr>
      <w:tr w:rsidR="00E302CD" w14:paraId="1A14BF46" w14:textId="77777777" w:rsidTr="00315ADA">
        <w:trPr>
          <w:jc w:val="center"/>
        </w:trPr>
        <w:tc>
          <w:tcPr>
            <w:tcW w:w="8277" w:type="dxa"/>
            <w:shd w:val="clear" w:color="auto" w:fill="FFFFFF"/>
            <w:tcMar>
              <w:top w:w="25" w:type="dxa"/>
              <w:left w:w="55" w:type="dxa"/>
              <w:bottom w:w="25" w:type="dxa"/>
              <w:right w:w="55" w:type="dxa"/>
            </w:tcMar>
            <w:vAlign w:val="center"/>
          </w:tcPr>
          <w:p w14:paraId="160D6E85" w14:textId="77777777" w:rsidR="00E302CD" w:rsidRDefault="00000000" w:rsidP="00A27841">
            <w:pPr>
              <w:bidi/>
              <w:spacing w:after="0" w:line="221" w:lineRule="auto"/>
              <w:ind w:firstLine="0"/>
              <w:jc w:val="left"/>
            </w:pPr>
            <w:r>
              <w:rPr>
                <w:sz w:val="18"/>
                <w:rtl/>
              </w:rPr>
              <w:t xml:space="preserve">     2.10 الدراسات السابقة: محور التحلية والكفاءة التشغيلية</w:t>
            </w:r>
          </w:p>
        </w:tc>
        <w:tc>
          <w:tcPr>
            <w:tcW w:w="793" w:type="dxa"/>
            <w:shd w:val="clear" w:color="auto" w:fill="FFFFFF"/>
            <w:tcMar>
              <w:top w:w="25" w:type="dxa"/>
              <w:left w:w="55" w:type="dxa"/>
              <w:bottom w:w="25" w:type="dxa"/>
              <w:right w:w="55" w:type="dxa"/>
            </w:tcMar>
            <w:vAlign w:val="center"/>
          </w:tcPr>
          <w:p w14:paraId="1C5593D3" w14:textId="77777777" w:rsidR="00E302CD" w:rsidRDefault="00000000" w:rsidP="00A27841">
            <w:pPr>
              <w:spacing w:after="0" w:line="221" w:lineRule="auto"/>
              <w:ind w:firstLine="0"/>
              <w:jc w:val="center"/>
            </w:pPr>
            <w:r>
              <w:rPr>
                <w:sz w:val="18"/>
              </w:rPr>
              <w:t>17</w:t>
            </w:r>
          </w:p>
        </w:tc>
      </w:tr>
      <w:tr w:rsidR="00E302CD" w14:paraId="39DB51DF" w14:textId="77777777" w:rsidTr="00315ADA">
        <w:trPr>
          <w:jc w:val="center"/>
        </w:trPr>
        <w:tc>
          <w:tcPr>
            <w:tcW w:w="8277" w:type="dxa"/>
            <w:shd w:val="clear" w:color="auto" w:fill="F3F6F9"/>
            <w:tcMar>
              <w:top w:w="25" w:type="dxa"/>
              <w:left w:w="55" w:type="dxa"/>
              <w:bottom w:w="25" w:type="dxa"/>
              <w:right w:w="55" w:type="dxa"/>
            </w:tcMar>
            <w:vAlign w:val="center"/>
          </w:tcPr>
          <w:p w14:paraId="28FAAE0F" w14:textId="77777777" w:rsidR="00E302CD" w:rsidRDefault="00000000" w:rsidP="00A27841">
            <w:pPr>
              <w:bidi/>
              <w:spacing w:after="0" w:line="221" w:lineRule="auto"/>
              <w:ind w:firstLine="0"/>
              <w:jc w:val="left"/>
            </w:pPr>
            <w:r>
              <w:rPr>
                <w:sz w:val="18"/>
                <w:rtl/>
              </w:rPr>
              <w:t xml:space="preserve">     2.11 جدول مقارن للدراسات السابقة</w:t>
            </w:r>
          </w:p>
        </w:tc>
        <w:tc>
          <w:tcPr>
            <w:tcW w:w="793" w:type="dxa"/>
            <w:shd w:val="clear" w:color="auto" w:fill="F3F6F9"/>
            <w:tcMar>
              <w:top w:w="25" w:type="dxa"/>
              <w:left w:w="55" w:type="dxa"/>
              <w:bottom w:w="25" w:type="dxa"/>
              <w:right w:w="55" w:type="dxa"/>
            </w:tcMar>
            <w:vAlign w:val="center"/>
          </w:tcPr>
          <w:p w14:paraId="33F42FD2" w14:textId="77777777" w:rsidR="00E302CD" w:rsidRDefault="00000000" w:rsidP="00A27841">
            <w:pPr>
              <w:spacing w:after="0" w:line="221" w:lineRule="auto"/>
              <w:ind w:firstLine="0"/>
              <w:jc w:val="center"/>
            </w:pPr>
            <w:r>
              <w:rPr>
                <w:sz w:val="18"/>
              </w:rPr>
              <w:t>18</w:t>
            </w:r>
          </w:p>
        </w:tc>
      </w:tr>
      <w:tr w:rsidR="00E302CD" w14:paraId="750E7921" w14:textId="77777777" w:rsidTr="00315ADA">
        <w:trPr>
          <w:jc w:val="center"/>
        </w:trPr>
        <w:tc>
          <w:tcPr>
            <w:tcW w:w="8277" w:type="dxa"/>
            <w:shd w:val="clear" w:color="auto" w:fill="FFFFFF"/>
            <w:tcMar>
              <w:top w:w="25" w:type="dxa"/>
              <w:left w:w="55" w:type="dxa"/>
              <w:bottom w:w="25" w:type="dxa"/>
              <w:right w:w="55" w:type="dxa"/>
            </w:tcMar>
            <w:vAlign w:val="center"/>
          </w:tcPr>
          <w:p w14:paraId="2DE0B5E6" w14:textId="77777777" w:rsidR="00E302CD" w:rsidRDefault="00000000" w:rsidP="00A27841">
            <w:pPr>
              <w:bidi/>
              <w:spacing w:after="0" w:line="221" w:lineRule="auto"/>
              <w:ind w:firstLine="0"/>
              <w:jc w:val="left"/>
            </w:pPr>
            <w:r>
              <w:rPr>
                <w:sz w:val="18"/>
                <w:rtl/>
              </w:rPr>
              <w:t xml:space="preserve">     2.12 تحليل الدراسات والفجوة البحثية</w:t>
            </w:r>
          </w:p>
        </w:tc>
        <w:tc>
          <w:tcPr>
            <w:tcW w:w="793" w:type="dxa"/>
            <w:shd w:val="clear" w:color="auto" w:fill="FFFFFF"/>
            <w:tcMar>
              <w:top w:w="25" w:type="dxa"/>
              <w:left w:w="55" w:type="dxa"/>
              <w:bottom w:w="25" w:type="dxa"/>
              <w:right w:w="55" w:type="dxa"/>
            </w:tcMar>
            <w:vAlign w:val="center"/>
          </w:tcPr>
          <w:p w14:paraId="20AF02E3" w14:textId="77777777" w:rsidR="00E302CD" w:rsidRDefault="00000000" w:rsidP="00A27841">
            <w:pPr>
              <w:spacing w:after="0" w:line="221" w:lineRule="auto"/>
              <w:ind w:firstLine="0"/>
              <w:jc w:val="center"/>
            </w:pPr>
            <w:r>
              <w:rPr>
                <w:sz w:val="18"/>
              </w:rPr>
              <w:t>20</w:t>
            </w:r>
          </w:p>
        </w:tc>
      </w:tr>
      <w:tr w:rsidR="00E302CD" w14:paraId="5AC09083" w14:textId="77777777" w:rsidTr="00315ADA">
        <w:trPr>
          <w:jc w:val="center"/>
        </w:trPr>
        <w:tc>
          <w:tcPr>
            <w:tcW w:w="8277" w:type="dxa"/>
            <w:shd w:val="clear" w:color="auto" w:fill="F3F6F9"/>
            <w:tcMar>
              <w:top w:w="25" w:type="dxa"/>
              <w:left w:w="55" w:type="dxa"/>
              <w:bottom w:w="25" w:type="dxa"/>
              <w:right w:w="55" w:type="dxa"/>
            </w:tcMar>
            <w:vAlign w:val="center"/>
          </w:tcPr>
          <w:p w14:paraId="4749EFCF" w14:textId="77777777" w:rsidR="00E302CD" w:rsidRDefault="00000000" w:rsidP="00A27841">
            <w:pPr>
              <w:bidi/>
              <w:spacing w:after="0" w:line="221" w:lineRule="auto"/>
              <w:ind w:firstLine="0"/>
              <w:jc w:val="left"/>
            </w:pPr>
            <w:r>
              <w:rPr>
                <w:sz w:val="18"/>
                <w:rtl/>
              </w:rPr>
              <w:t xml:space="preserve">     2.13 النموذج المفاهيمي للدراسة</w:t>
            </w:r>
          </w:p>
        </w:tc>
        <w:tc>
          <w:tcPr>
            <w:tcW w:w="793" w:type="dxa"/>
            <w:shd w:val="clear" w:color="auto" w:fill="F3F6F9"/>
            <w:tcMar>
              <w:top w:w="25" w:type="dxa"/>
              <w:left w:w="55" w:type="dxa"/>
              <w:bottom w:w="25" w:type="dxa"/>
              <w:right w:w="55" w:type="dxa"/>
            </w:tcMar>
            <w:vAlign w:val="center"/>
          </w:tcPr>
          <w:p w14:paraId="7A81A5BF" w14:textId="77777777" w:rsidR="00E302CD" w:rsidRDefault="00000000" w:rsidP="00A27841">
            <w:pPr>
              <w:spacing w:after="0" w:line="221" w:lineRule="auto"/>
              <w:ind w:firstLine="0"/>
              <w:jc w:val="center"/>
            </w:pPr>
            <w:r>
              <w:rPr>
                <w:sz w:val="18"/>
              </w:rPr>
              <w:t>20</w:t>
            </w:r>
          </w:p>
        </w:tc>
      </w:tr>
      <w:tr w:rsidR="00E302CD" w14:paraId="269B8A21" w14:textId="77777777" w:rsidTr="00315ADA">
        <w:trPr>
          <w:jc w:val="center"/>
        </w:trPr>
        <w:tc>
          <w:tcPr>
            <w:tcW w:w="8277" w:type="dxa"/>
            <w:shd w:val="clear" w:color="auto" w:fill="FFFFFF"/>
            <w:tcMar>
              <w:top w:w="25" w:type="dxa"/>
              <w:left w:w="55" w:type="dxa"/>
              <w:bottom w:w="25" w:type="dxa"/>
              <w:right w:w="55" w:type="dxa"/>
            </w:tcMar>
            <w:vAlign w:val="center"/>
          </w:tcPr>
          <w:p w14:paraId="2874E2CF" w14:textId="77777777" w:rsidR="00E302CD" w:rsidRDefault="00000000" w:rsidP="00A27841">
            <w:pPr>
              <w:bidi/>
              <w:spacing w:after="0" w:line="221" w:lineRule="auto"/>
              <w:ind w:firstLine="0"/>
              <w:jc w:val="left"/>
            </w:pPr>
            <w:r>
              <w:rPr>
                <w:sz w:val="18"/>
                <w:rtl/>
              </w:rPr>
              <w:t xml:space="preserve">     2.14 فروض الدراسة</w:t>
            </w:r>
          </w:p>
        </w:tc>
        <w:tc>
          <w:tcPr>
            <w:tcW w:w="793" w:type="dxa"/>
            <w:shd w:val="clear" w:color="auto" w:fill="FFFFFF"/>
            <w:tcMar>
              <w:top w:w="25" w:type="dxa"/>
              <w:left w:w="55" w:type="dxa"/>
              <w:bottom w:w="25" w:type="dxa"/>
              <w:right w:w="55" w:type="dxa"/>
            </w:tcMar>
            <w:vAlign w:val="center"/>
          </w:tcPr>
          <w:p w14:paraId="272DE449" w14:textId="77777777" w:rsidR="00E302CD" w:rsidRDefault="00000000" w:rsidP="00A27841">
            <w:pPr>
              <w:spacing w:after="0" w:line="221" w:lineRule="auto"/>
              <w:ind w:firstLine="0"/>
              <w:jc w:val="center"/>
            </w:pPr>
            <w:r>
              <w:rPr>
                <w:sz w:val="18"/>
              </w:rPr>
              <w:t>22</w:t>
            </w:r>
          </w:p>
        </w:tc>
      </w:tr>
      <w:tr w:rsidR="00E302CD" w14:paraId="06469CA7" w14:textId="77777777" w:rsidTr="00315ADA">
        <w:trPr>
          <w:jc w:val="center"/>
        </w:trPr>
        <w:tc>
          <w:tcPr>
            <w:tcW w:w="8277" w:type="dxa"/>
            <w:shd w:val="clear" w:color="auto" w:fill="F3F6F9"/>
            <w:tcMar>
              <w:top w:w="25" w:type="dxa"/>
              <w:left w:w="55" w:type="dxa"/>
              <w:bottom w:w="25" w:type="dxa"/>
              <w:right w:w="55" w:type="dxa"/>
            </w:tcMar>
            <w:vAlign w:val="center"/>
          </w:tcPr>
          <w:p w14:paraId="380EE403" w14:textId="77777777" w:rsidR="00E302CD" w:rsidRDefault="00000000" w:rsidP="00A27841">
            <w:pPr>
              <w:bidi/>
              <w:spacing w:after="0" w:line="221" w:lineRule="auto"/>
              <w:ind w:firstLine="0"/>
              <w:jc w:val="left"/>
            </w:pPr>
            <w:r>
              <w:rPr>
                <w:sz w:val="18"/>
                <w:rtl/>
              </w:rPr>
              <w:t xml:space="preserve">     2.15 خلاصة الفصل</w:t>
            </w:r>
          </w:p>
        </w:tc>
        <w:tc>
          <w:tcPr>
            <w:tcW w:w="793" w:type="dxa"/>
            <w:shd w:val="clear" w:color="auto" w:fill="F3F6F9"/>
            <w:tcMar>
              <w:top w:w="25" w:type="dxa"/>
              <w:left w:w="55" w:type="dxa"/>
              <w:bottom w:w="25" w:type="dxa"/>
              <w:right w:w="55" w:type="dxa"/>
            </w:tcMar>
            <w:vAlign w:val="center"/>
          </w:tcPr>
          <w:p w14:paraId="2E4E20A1" w14:textId="77777777" w:rsidR="00E302CD" w:rsidRDefault="00000000" w:rsidP="00A27841">
            <w:pPr>
              <w:spacing w:after="0" w:line="221" w:lineRule="auto"/>
              <w:ind w:firstLine="0"/>
              <w:jc w:val="center"/>
            </w:pPr>
            <w:r>
              <w:rPr>
                <w:sz w:val="18"/>
              </w:rPr>
              <w:t>22</w:t>
            </w:r>
          </w:p>
        </w:tc>
      </w:tr>
      <w:tr w:rsidR="00E302CD" w14:paraId="1EB3AEB7" w14:textId="77777777" w:rsidTr="00315ADA">
        <w:trPr>
          <w:jc w:val="center"/>
        </w:trPr>
        <w:tc>
          <w:tcPr>
            <w:tcW w:w="8277" w:type="dxa"/>
            <w:shd w:val="clear" w:color="auto" w:fill="F3F6F9"/>
            <w:tcMar>
              <w:top w:w="25" w:type="dxa"/>
              <w:left w:w="55" w:type="dxa"/>
              <w:bottom w:w="25" w:type="dxa"/>
              <w:right w:w="55" w:type="dxa"/>
            </w:tcMar>
            <w:vAlign w:val="center"/>
          </w:tcPr>
          <w:p w14:paraId="570058E1" w14:textId="77777777" w:rsidR="00E302CD" w:rsidRDefault="00000000" w:rsidP="00A27841">
            <w:pPr>
              <w:bidi/>
              <w:spacing w:after="0" w:line="221" w:lineRule="auto"/>
              <w:ind w:firstLine="0"/>
              <w:jc w:val="left"/>
            </w:pPr>
            <w:r>
              <w:rPr>
                <w:sz w:val="18"/>
                <w:rtl/>
              </w:rPr>
              <w:t>قائمة المراجع</w:t>
            </w:r>
          </w:p>
        </w:tc>
        <w:tc>
          <w:tcPr>
            <w:tcW w:w="793" w:type="dxa"/>
            <w:shd w:val="clear" w:color="auto" w:fill="F3F6F9"/>
            <w:tcMar>
              <w:top w:w="25" w:type="dxa"/>
              <w:left w:w="55" w:type="dxa"/>
              <w:bottom w:w="25" w:type="dxa"/>
              <w:right w:w="55" w:type="dxa"/>
            </w:tcMar>
            <w:vAlign w:val="center"/>
          </w:tcPr>
          <w:p w14:paraId="435E962A" w14:textId="77777777" w:rsidR="00E302CD" w:rsidRDefault="00000000" w:rsidP="00A27841">
            <w:pPr>
              <w:spacing w:after="0" w:line="221" w:lineRule="auto"/>
              <w:ind w:firstLine="0"/>
              <w:jc w:val="center"/>
            </w:pPr>
            <w:r>
              <w:rPr>
                <w:sz w:val="18"/>
              </w:rPr>
              <w:t>54</w:t>
            </w:r>
          </w:p>
        </w:tc>
      </w:tr>
      <w:tr w:rsidR="00E302CD" w14:paraId="5FEA8284" w14:textId="77777777" w:rsidTr="00315ADA">
        <w:trPr>
          <w:jc w:val="center"/>
        </w:trPr>
        <w:tc>
          <w:tcPr>
            <w:tcW w:w="8277" w:type="dxa"/>
            <w:shd w:val="clear" w:color="auto" w:fill="FFFFFF"/>
            <w:tcMar>
              <w:top w:w="25" w:type="dxa"/>
              <w:left w:w="55" w:type="dxa"/>
              <w:bottom w:w="25" w:type="dxa"/>
              <w:right w:w="55" w:type="dxa"/>
            </w:tcMar>
            <w:vAlign w:val="center"/>
          </w:tcPr>
          <w:p w14:paraId="6E4253B5" w14:textId="77777777" w:rsidR="00E302CD" w:rsidRDefault="00000000" w:rsidP="00A27841">
            <w:pPr>
              <w:bidi/>
              <w:spacing w:after="0" w:line="221" w:lineRule="auto"/>
              <w:ind w:firstLine="0"/>
              <w:jc w:val="left"/>
            </w:pPr>
            <w:r>
              <w:rPr>
                <w:sz w:val="18"/>
                <w:rtl/>
              </w:rPr>
              <w:t xml:space="preserve">     أولاً: المراجع العربية والمؤسسية</w:t>
            </w:r>
          </w:p>
        </w:tc>
        <w:tc>
          <w:tcPr>
            <w:tcW w:w="793" w:type="dxa"/>
            <w:shd w:val="clear" w:color="auto" w:fill="FFFFFF"/>
            <w:tcMar>
              <w:top w:w="25" w:type="dxa"/>
              <w:left w:w="55" w:type="dxa"/>
              <w:bottom w:w="25" w:type="dxa"/>
              <w:right w:w="55" w:type="dxa"/>
            </w:tcMar>
            <w:vAlign w:val="center"/>
          </w:tcPr>
          <w:p w14:paraId="01922D8F" w14:textId="77777777" w:rsidR="00E302CD" w:rsidRDefault="00000000" w:rsidP="00A27841">
            <w:pPr>
              <w:spacing w:after="0" w:line="221" w:lineRule="auto"/>
              <w:ind w:firstLine="0"/>
              <w:jc w:val="center"/>
            </w:pPr>
            <w:r>
              <w:rPr>
                <w:sz w:val="18"/>
              </w:rPr>
              <w:t>54</w:t>
            </w:r>
          </w:p>
        </w:tc>
      </w:tr>
      <w:tr w:rsidR="00E302CD" w14:paraId="4F2769D7" w14:textId="77777777" w:rsidTr="00315ADA">
        <w:trPr>
          <w:jc w:val="center"/>
        </w:trPr>
        <w:tc>
          <w:tcPr>
            <w:tcW w:w="8277" w:type="dxa"/>
            <w:shd w:val="clear" w:color="auto" w:fill="F3F6F9"/>
            <w:tcMar>
              <w:top w:w="25" w:type="dxa"/>
              <w:left w:w="55" w:type="dxa"/>
              <w:bottom w:w="25" w:type="dxa"/>
              <w:right w:w="55" w:type="dxa"/>
            </w:tcMar>
            <w:vAlign w:val="center"/>
          </w:tcPr>
          <w:p w14:paraId="429DEB4E" w14:textId="77777777" w:rsidR="00E302CD" w:rsidRDefault="00000000" w:rsidP="00A27841">
            <w:pPr>
              <w:bidi/>
              <w:spacing w:after="0" w:line="221" w:lineRule="auto"/>
              <w:ind w:firstLine="0"/>
              <w:jc w:val="left"/>
            </w:pPr>
            <w:r>
              <w:rPr>
                <w:sz w:val="18"/>
                <w:rtl/>
              </w:rPr>
              <w:t xml:space="preserve">     ثانياً: المراجع الأجنبية</w:t>
            </w:r>
          </w:p>
        </w:tc>
        <w:tc>
          <w:tcPr>
            <w:tcW w:w="793" w:type="dxa"/>
            <w:shd w:val="clear" w:color="auto" w:fill="F3F6F9"/>
            <w:tcMar>
              <w:top w:w="25" w:type="dxa"/>
              <w:left w:w="55" w:type="dxa"/>
              <w:bottom w:w="25" w:type="dxa"/>
              <w:right w:w="55" w:type="dxa"/>
            </w:tcMar>
            <w:vAlign w:val="center"/>
          </w:tcPr>
          <w:p w14:paraId="3F58DD1D" w14:textId="77777777" w:rsidR="00E302CD" w:rsidRDefault="00000000" w:rsidP="00A27841">
            <w:pPr>
              <w:spacing w:after="0" w:line="221" w:lineRule="auto"/>
              <w:ind w:firstLine="0"/>
              <w:jc w:val="center"/>
            </w:pPr>
            <w:r>
              <w:rPr>
                <w:sz w:val="18"/>
              </w:rPr>
              <w:t>54</w:t>
            </w:r>
          </w:p>
        </w:tc>
      </w:tr>
    </w:tbl>
    <w:p w14:paraId="033108C2" w14:textId="77777777" w:rsidR="00E94561" w:rsidRDefault="00000000">
      <w:r>
        <w:rPr>
          <w:rFonts w:ascii="Times New Roman" w:eastAsia="Times New Roman" w:hAnsi="Times New Roman" w:cs="Times New Roman"/>
        </w:rPr>
        <w:br w:type="page"/>
      </w:r>
    </w:p>
    <w:p w14:paraId="44B8481A" w14:textId="77777777" w:rsidR="00E302CD" w:rsidRDefault="00000000" w:rsidP="00A27841">
      <w:pPr>
        <w:pStyle w:val="Heading1"/>
        <w:bidi/>
        <w:jc w:val="center"/>
        <w:rPr>
          <w:rFonts w:ascii="Simplified Arabic" w:eastAsia="Amiri" w:hAnsi="Simplified Arabic" w:cs="Simplified Arabic"/>
          <w:rtl/>
        </w:rPr>
      </w:pPr>
      <w:r w:rsidRPr="00B56FDF">
        <w:rPr>
          <w:rFonts w:ascii="Simplified Arabic" w:eastAsia="Amiri" w:hAnsi="Simplified Arabic" w:cs="Simplified Arabic"/>
          <w:rtl/>
        </w:rPr>
        <w:lastRenderedPageBreak/>
        <w:t>قائمة الأشكال</w:t>
      </w:r>
    </w:p>
    <w:p w14:paraId="39486404" w14:textId="77777777" w:rsidR="00A27841" w:rsidRPr="00A27841" w:rsidRDefault="00A27841" w:rsidP="00A27841">
      <w:pPr>
        <w:bidi/>
      </w:pPr>
    </w:p>
    <w:tbl>
      <w:tblPr>
        <w:bidiVisual/>
        <w:tblW w:w="0" w:type="auto"/>
        <w:jc w:val="center"/>
        <w:tblBorders>
          <w:top w:val="single" w:sz="6" w:space="0" w:color="6B7280"/>
          <w:left w:val="single" w:sz="6" w:space="0" w:color="6B7280"/>
          <w:bottom w:val="single" w:sz="6" w:space="0" w:color="6B7280"/>
          <w:right w:val="single" w:sz="6" w:space="0" w:color="6B7280"/>
          <w:insideH w:val="single" w:sz="6" w:space="0" w:color="6B7280"/>
          <w:insideV w:val="single" w:sz="6" w:space="0" w:color="6B7280"/>
        </w:tblBorders>
        <w:tblLayout w:type="fixed"/>
        <w:tblLook w:val="04A0" w:firstRow="1" w:lastRow="0" w:firstColumn="1" w:lastColumn="0" w:noHBand="0" w:noVBand="1"/>
      </w:tblPr>
      <w:tblGrid>
        <w:gridCol w:w="1247"/>
        <w:gridCol w:w="7029"/>
        <w:gridCol w:w="793"/>
      </w:tblGrid>
      <w:tr w:rsidR="00E302CD" w:rsidRPr="00B56FDF" w14:paraId="370D16E2" w14:textId="77777777" w:rsidTr="008F0F11">
        <w:trPr>
          <w:tblHeader/>
          <w:jc w:val="center"/>
        </w:trPr>
        <w:tc>
          <w:tcPr>
            <w:tcW w:w="1247" w:type="dxa"/>
            <w:shd w:val="clear" w:color="auto" w:fill="1F4E79"/>
            <w:tcMar>
              <w:top w:w="60" w:type="dxa"/>
              <w:left w:w="90" w:type="dxa"/>
              <w:bottom w:w="60" w:type="dxa"/>
              <w:right w:w="90" w:type="dxa"/>
            </w:tcMar>
            <w:vAlign w:val="center"/>
          </w:tcPr>
          <w:p w14:paraId="6CB2E6E8" w14:textId="77777777" w:rsidR="00E302CD" w:rsidRPr="00B56FDF" w:rsidRDefault="00000000">
            <w:pPr>
              <w:bidi/>
              <w:spacing w:after="0" w:line="240" w:lineRule="auto"/>
              <w:ind w:firstLine="0"/>
              <w:jc w:val="center"/>
              <w:rPr>
                <w:rFonts w:ascii="Simplified Arabic" w:hAnsi="Simplified Arabic" w:cs="Simplified Arabic"/>
              </w:rPr>
            </w:pPr>
            <w:r w:rsidRPr="00B56FDF">
              <w:rPr>
                <w:rFonts w:ascii="Simplified Arabic" w:hAnsi="Simplified Arabic" w:cs="Simplified Arabic"/>
                <w:b/>
                <w:color w:val="FFFFFF"/>
                <w:sz w:val="21"/>
                <w:rtl/>
              </w:rPr>
              <w:t>رقم الشكل</w:t>
            </w:r>
          </w:p>
        </w:tc>
        <w:tc>
          <w:tcPr>
            <w:tcW w:w="7029" w:type="dxa"/>
            <w:shd w:val="clear" w:color="auto" w:fill="1F4E79"/>
            <w:tcMar>
              <w:top w:w="60" w:type="dxa"/>
              <w:left w:w="90" w:type="dxa"/>
              <w:bottom w:w="60" w:type="dxa"/>
              <w:right w:w="90" w:type="dxa"/>
            </w:tcMar>
            <w:vAlign w:val="center"/>
          </w:tcPr>
          <w:p w14:paraId="26514DD7" w14:textId="77777777" w:rsidR="00E302CD" w:rsidRPr="00B56FDF" w:rsidRDefault="00000000">
            <w:pPr>
              <w:bidi/>
              <w:spacing w:after="0" w:line="240" w:lineRule="auto"/>
              <w:ind w:firstLine="0"/>
              <w:jc w:val="center"/>
              <w:rPr>
                <w:rFonts w:ascii="Simplified Arabic" w:hAnsi="Simplified Arabic" w:cs="Simplified Arabic"/>
              </w:rPr>
            </w:pPr>
            <w:r w:rsidRPr="00B56FDF">
              <w:rPr>
                <w:rFonts w:ascii="Simplified Arabic" w:hAnsi="Simplified Arabic" w:cs="Simplified Arabic"/>
                <w:b/>
                <w:color w:val="FFFFFF"/>
                <w:sz w:val="21"/>
                <w:rtl/>
              </w:rPr>
              <w:t>عنوان الشكل</w:t>
            </w:r>
          </w:p>
        </w:tc>
        <w:tc>
          <w:tcPr>
            <w:tcW w:w="793" w:type="dxa"/>
            <w:shd w:val="clear" w:color="auto" w:fill="1F4E79"/>
            <w:tcMar>
              <w:top w:w="60" w:type="dxa"/>
              <w:left w:w="90" w:type="dxa"/>
              <w:bottom w:w="60" w:type="dxa"/>
              <w:right w:w="90" w:type="dxa"/>
            </w:tcMar>
            <w:vAlign w:val="center"/>
          </w:tcPr>
          <w:p w14:paraId="1823F8D1" w14:textId="77777777" w:rsidR="00E302CD" w:rsidRPr="00B56FDF" w:rsidRDefault="00000000">
            <w:pPr>
              <w:bidi/>
              <w:spacing w:after="0" w:line="240" w:lineRule="auto"/>
              <w:ind w:firstLine="0"/>
              <w:jc w:val="center"/>
              <w:rPr>
                <w:rFonts w:ascii="Simplified Arabic" w:hAnsi="Simplified Arabic" w:cs="Simplified Arabic"/>
              </w:rPr>
            </w:pPr>
            <w:r w:rsidRPr="00B56FDF">
              <w:rPr>
                <w:rFonts w:ascii="Simplified Arabic" w:hAnsi="Simplified Arabic" w:cs="Simplified Arabic"/>
                <w:b/>
                <w:color w:val="FFFFFF"/>
                <w:sz w:val="21"/>
                <w:rtl/>
              </w:rPr>
              <w:t>الصفحة</w:t>
            </w:r>
          </w:p>
        </w:tc>
      </w:tr>
      <w:tr w:rsidR="00E302CD" w:rsidRPr="00B56FDF" w14:paraId="20948FB0" w14:textId="77777777" w:rsidTr="008F0F11">
        <w:trPr>
          <w:jc w:val="center"/>
        </w:trPr>
        <w:tc>
          <w:tcPr>
            <w:tcW w:w="1247" w:type="dxa"/>
            <w:shd w:val="clear" w:color="auto" w:fill="FFFFFF"/>
            <w:tcMar>
              <w:top w:w="60" w:type="dxa"/>
              <w:left w:w="90" w:type="dxa"/>
              <w:bottom w:w="60" w:type="dxa"/>
              <w:right w:w="90" w:type="dxa"/>
            </w:tcMar>
            <w:vAlign w:val="center"/>
          </w:tcPr>
          <w:p w14:paraId="0C33B558" w14:textId="77777777" w:rsidR="00E302CD" w:rsidRPr="00B56FDF" w:rsidRDefault="00000000">
            <w:pPr>
              <w:bidi/>
              <w:spacing w:after="0" w:line="240" w:lineRule="auto"/>
              <w:ind w:firstLine="0"/>
              <w:jc w:val="center"/>
              <w:rPr>
                <w:rFonts w:ascii="Simplified Arabic" w:hAnsi="Simplified Arabic" w:cs="Simplified Arabic"/>
              </w:rPr>
            </w:pPr>
            <w:r w:rsidRPr="00B56FDF">
              <w:rPr>
                <w:rFonts w:ascii="Simplified Arabic" w:eastAsia="Times New Roman" w:hAnsi="Simplified Arabic" w:cs="Simplified Arabic"/>
                <w:sz w:val="21"/>
              </w:rPr>
              <w:t>2-1</w:t>
            </w:r>
          </w:p>
        </w:tc>
        <w:tc>
          <w:tcPr>
            <w:tcW w:w="7029" w:type="dxa"/>
            <w:shd w:val="clear" w:color="auto" w:fill="FFFFFF"/>
            <w:tcMar>
              <w:top w:w="60" w:type="dxa"/>
              <w:left w:w="90" w:type="dxa"/>
              <w:bottom w:w="60" w:type="dxa"/>
              <w:right w:w="90" w:type="dxa"/>
            </w:tcMar>
            <w:vAlign w:val="center"/>
          </w:tcPr>
          <w:p w14:paraId="36C0B142" w14:textId="77777777" w:rsidR="00E302CD" w:rsidRPr="00B56FDF" w:rsidRDefault="00000000">
            <w:pPr>
              <w:bidi/>
              <w:spacing w:after="0" w:line="240" w:lineRule="auto"/>
              <w:ind w:firstLine="0"/>
              <w:jc w:val="center"/>
              <w:rPr>
                <w:rFonts w:ascii="Simplified Arabic" w:hAnsi="Simplified Arabic" w:cs="Simplified Arabic"/>
              </w:rPr>
            </w:pPr>
            <w:r w:rsidRPr="00B56FDF">
              <w:rPr>
                <w:rFonts w:ascii="Simplified Arabic" w:hAnsi="Simplified Arabic" w:cs="Simplified Arabic"/>
                <w:sz w:val="21"/>
                <w:rtl/>
              </w:rPr>
              <w:t>النموذج المفاهيمي للدراسة</w:t>
            </w:r>
          </w:p>
        </w:tc>
        <w:tc>
          <w:tcPr>
            <w:tcW w:w="793" w:type="dxa"/>
            <w:shd w:val="clear" w:color="auto" w:fill="FFFFFF"/>
            <w:tcMar>
              <w:top w:w="60" w:type="dxa"/>
              <w:left w:w="90" w:type="dxa"/>
              <w:bottom w:w="60" w:type="dxa"/>
              <w:right w:w="90" w:type="dxa"/>
            </w:tcMar>
            <w:vAlign w:val="center"/>
          </w:tcPr>
          <w:p w14:paraId="195D04F9" w14:textId="77777777" w:rsidR="00E302CD" w:rsidRPr="00B56FDF" w:rsidRDefault="00000000">
            <w:pPr>
              <w:spacing w:after="0" w:line="240" w:lineRule="auto"/>
              <w:ind w:firstLine="0"/>
              <w:jc w:val="center"/>
              <w:rPr>
                <w:rFonts w:ascii="Simplified Arabic" w:hAnsi="Simplified Arabic" w:cs="Simplified Arabic"/>
              </w:rPr>
            </w:pPr>
            <w:r w:rsidRPr="00B56FDF">
              <w:rPr>
                <w:rFonts w:ascii="Simplified Arabic" w:hAnsi="Simplified Arabic" w:cs="Simplified Arabic"/>
                <w:sz w:val="21"/>
              </w:rPr>
              <w:t>20</w:t>
            </w:r>
          </w:p>
        </w:tc>
      </w:tr>
      <w:tr w:rsidR="00E302CD" w:rsidRPr="00B56FDF" w14:paraId="085BD189" w14:textId="77777777" w:rsidTr="008F0F11">
        <w:trPr>
          <w:jc w:val="center"/>
        </w:trPr>
        <w:tc>
          <w:tcPr>
            <w:tcW w:w="1247" w:type="dxa"/>
            <w:shd w:val="clear" w:color="auto" w:fill="F3F6F9"/>
            <w:tcMar>
              <w:top w:w="60" w:type="dxa"/>
              <w:left w:w="90" w:type="dxa"/>
              <w:bottom w:w="60" w:type="dxa"/>
              <w:right w:w="90" w:type="dxa"/>
            </w:tcMar>
            <w:vAlign w:val="center"/>
          </w:tcPr>
          <w:p w14:paraId="7E59147F" w14:textId="77777777" w:rsidR="00E302CD" w:rsidRPr="00B56FDF" w:rsidRDefault="00000000">
            <w:pPr>
              <w:bidi/>
              <w:spacing w:after="0" w:line="240" w:lineRule="auto"/>
              <w:ind w:firstLine="0"/>
              <w:jc w:val="center"/>
              <w:rPr>
                <w:rFonts w:ascii="Simplified Arabic" w:hAnsi="Simplified Arabic" w:cs="Simplified Arabic"/>
              </w:rPr>
            </w:pPr>
            <w:r w:rsidRPr="00B56FDF">
              <w:rPr>
                <w:rFonts w:ascii="Simplified Arabic" w:eastAsia="Times New Roman" w:hAnsi="Simplified Arabic" w:cs="Simplified Arabic"/>
                <w:sz w:val="21"/>
              </w:rPr>
              <w:t>3-1</w:t>
            </w:r>
          </w:p>
        </w:tc>
        <w:tc>
          <w:tcPr>
            <w:tcW w:w="7029" w:type="dxa"/>
            <w:shd w:val="clear" w:color="auto" w:fill="F3F6F9"/>
            <w:tcMar>
              <w:top w:w="60" w:type="dxa"/>
              <w:left w:w="90" w:type="dxa"/>
              <w:bottom w:w="60" w:type="dxa"/>
              <w:right w:w="90" w:type="dxa"/>
            </w:tcMar>
            <w:vAlign w:val="center"/>
          </w:tcPr>
          <w:p w14:paraId="3A7449DE" w14:textId="77777777" w:rsidR="00E302CD" w:rsidRPr="00B56FDF" w:rsidRDefault="00000000">
            <w:pPr>
              <w:bidi/>
              <w:spacing w:after="0" w:line="240" w:lineRule="auto"/>
              <w:ind w:firstLine="0"/>
              <w:jc w:val="center"/>
              <w:rPr>
                <w:rFonts w:ascii="Simplified Arabic" w:hAnsi="Simplified Arabic" w:cs="Simplified Arabic"/>
              </w:rPr>
            </w:pPr>
            <w:r w:rsidRPr="00B56FDF">
              <w:rPr>
                <w:rFonts w:ascii="Simplified Arabic" w:hAnsi="Simplified Arabic" w:cs="Simplified Arabic"/>
                <w:sz w:val="21"/>
                <w:rtl/>
              </w:rPr>
              <w:t>المسار المنهجي للدراسة</w:t>
            </w:r>
          </w:p>
        </w:tc>
        <w:tc>
          <w:tcPr>
            <w:tcW w:w="793" w:type="dxa"/>
            <w:shd w:val="clear" w:color="auto" w:fill="F3F6F9"/>
            <w:tcMar>
              <w:top w:w="60" w:type="dxa"/>
              <w:left w:w="90" w:type="dxa"/>
              <w:bottom w:w="60" w:type="dxa"/>
              <w:right w:w="90" w:type="dxa"/>
            </w:tcMar>
            <w:vAlign w:val="center"/>
          </w:tcPr>
          <w:p w14:paraId="1A429BB3" w14:textId="77777777" w:rsidR="00E302CD" w:rsidRPr="00B56FDF" w:rsidRDefault="00000000">
            <w:pPr>
              <w:spacing w:after="0" w:line="240" w:lineRule="auto"/>
              <w:ind w:firstLine="0"/>
              <w:jc w:val="center"/>
              <w:rPr>
                <w:rFonts w:ascii="Simplified Arabic" w:hAnsi="Simplified Arabic" w:cs="Simplified Arabic"/>
              </w:rPr>
            </w:pPr>
            <w:r w:rsidRPr="00B56FDF">
              <w:rPr>
                <w:rFonts w:ascii="Simplified Arabic" w:hAnsi="Simplified Arabic" w:cs="Simplified Arabic"/>
                <w:sz w:val="21"/>
              </w:rPr>
              <w:t>30</w:t>
            </w:r>
          </w:p>
        </w:tc>
      </w:tr>
      <w:tr w:rsidR="00E302CD" w:rsidRPr="00B56FDF" w14:paraId="0F87ED76" w14:textId="77777777" w:rsidTr="008F0F11">
        <w:trPr>
          <w:jc w:val="center"/>
        </w:trPr>
        <w:tc>
          <w:tcPr>
            <w:tcW w:w="1247" w:type="dxa"/>
            <w:shd w:val="clear" w:color="auto" w:fill="FFFFFF"/>
            <w:tcMar>
              <w:top w:w="60" w:type="dxa"/>
              <w:left w:w="90" w:type="dxa"/>
              <w:bottom w:w="60" w:type="dxa"/>
              <w:right w:w="90" w:type="dxa"/>
            </w:tcMar>
            <w:vAlign w:val="center"/>
          </w:tcPr>
          <w:p w14:paraId="45822E64" w14:textId="77777777" w:rsidR="00E302CD" w:rsidRPr="00B56FDF" w:rsidRDefault="00000000">
            <w:pPr>
              <w:bidi/>
              <w:spacing w:after="0" w:line="240" w:lineRule="auto"/>
              <w:ind w:firstLine="0"/>
              <w:jc w:val="center"/>
              <w:rPr>
                <w:rFonts w:ascii="Simplified Arabic" w:hAnsi="Simplified Arabic" w:cs="Simplified Arabic"/>
              </w:rPr>
            </w:pPr>
            <w:r w:rsidRPr="00B56FDF">
              <w:rPr>
                <w:rFonts w:ascii="Simplified Arabic" w:eastAsia="Times New Roman" w:hAnsi="Simplified Arabic" w:cs="Simplified Arabic"/>
                <w:sz w:val="21"/>
              </w:rPr>
              <w:t>4-1</w:t>
            </w:r>
          </w:p>
        </w:tc>
        <w:tc>
          <w:tcPr>
            <w:tcW w:w="7029" w:type="dxa"/>
            <w:shd w:val="clear" w:color="auto" w:fill="FFFFFF"/>
            <w:tcMar>
              <w:top w:w="60" w:type="dxa"/>
              <w:left w:w="90" w:type="dxa"/>
              <w:bottom w:w="60" w:type="dxa"/>
              <w:right w:w="90" w:type="dxa"/>
            </w:tcMar>
            <w:vAlign w:val="center"/>
          </w:tcPr>
          <w:p w14:paraId="2E3A7FF5" w14:textId="77777777" w:rsidR="00E302CD" w:rsidRPr="00B56FDF" w:rsidRDefault="00000000">
            <w:pPr>
              <w:bidi/>
              <w:spacing w:after="0" w:line="240" w:lineRule="auto"/>
              <w:ind w:firstLine="0"/>
              <w:jc w:val="center"/>
              <w:rPr>
                <w:rFonts w:ascii="Simplified Arabic" w:hAnsi="Simplified Arabic" w:cs="Simplified Arabic"/>
              </w:rPr>
            </w:pPr>
            <w:r w:rsidRPr="00B56FDF">
              <w:rPr>
                <w:rFonts w:ascii="Simplified Arabic" w:hAnsi="Simplified Arabic" w:cs="Simplified Arabic"/>
                <w:sz w:val="21"/>
                <w:rtl/>
              </w:rPr>
              <w:t>ملخص بصري للنتائج الرئيسة</w:t>
            </w:r>
          </w:p>
        </w:tc>
        <w:tc>
          <w:tcPr>
            <w:tcW w:w="793" w:type="dxa"/>
            <w:shd w:val="clear" w:color="auto" w:fill="FFFFFF"/>
            <w:tcMar>
              <w:top w:w="60" w:type="dxa"/>
              <w:left w:w="90" w:type="dxa"/>
              <w:bottom w:w="60" w:type="dxa"/>
              <w:right w:w="90" w:type="dxa"/>
            </w:tcMar>
            <w:vAlign w:val="center"/>
          </w:tcPr>
          <w:p w14:paraId="154B9460" w14:textId="77777777" w:rsidR="00E302CD" w:rsidRPr="00B56FDF" w:rsidRDefault="00000000">
            <w:pPr>
              <w:spacing w:after="0" w:line="240" w:lineRule="auto"/>
              <w:ind w:firstLine="0"/>
              <w:jc w:val="center"/>
              <w:rPr>
                <w:rFonts w:ascii="Simplified Arabic" w:hAnsi="Simplified Arabic" w:cs="Simplified Arabic"/>
              </w:rPr>
            </w:pPr>
            <w:r w:rsidRPr="00B56FDF">
              <w:rPr>
                <w:rFonts w:ascii="Simplified Arabic" w:hAnsi="Simplified Arabic" w:cs="Simplified Arabic"/>
                <w:sz w:val="21"/>
              </w:rPr>
              <w:t>38</w:t>
            </w:r>
          </w:p>
        </w:tc>
      </w:tr>
      <w:tr w:rsidR="00E302CD" w:rsidRPr="00B56FDF" w14:paraId="798E4F44" w14:textId="77777777" w:rsidTr="008F0F11">
        <w:trPr>
          <w:jc w:val="center"/>
        </w:trPr>
        <w:tc>
          <w:tcPr>
            <w:tcW w:w="1247" w:type="dxa"/>
            <w:shd w:val="clear" w:color="auto" w:fill="FFFFFF"/>
            <w:tcMar>
              <w:top w:w="60" w:type="dxa"/>
              <w:left w:w="90" w:type="dxa"/>
              <w:bottom w:w="60" w:type="dxa"/>
              <w:right w:w="90" w:type="dxa"/>
            </w:tcMar>
            <w:vAlign w:val="center"/>
          </w:tcPr>
          <w:p w14:paraId="6CAD7F63" w14:textId="77777777" w:rsidR="00E302CD" w:rsidRPr="00B56FDF" w:rsidRDefault="00000000">
            <w:pPr>
              <w:bidi/>
              <w:spacing w:after="0" w:line="240" w:lineRule="auto"/>
              <w:ind w:firstLine="0"/>
              <w:jc w:val="center"/>
              <w:rPr>
                <w:rFonts w:ascii="Simplified Arabic" w:hAnsi="Simplified Arabic" w:cs="Simplified Arabic"/>
              </w:rPr>
            </w:pPr>
            <w:r w:rsidRPr="00B56FDF">
              <w:rPr>
                <w:rFonts w:ascii="Simplified Arabic" w:eastAsia="Times New Roman" w:hAnsi="Simplified Arabic" w:cs="Simplified Arabic"/>
                <w:sz w:val="21"/>
              </w:rPr>
              <w:t>2-2</w:t>
            </w:r>
          </w:p>
        </w:tc>
        <w:tc>
          <w:tcPr>
            <w:tcW w:w="7029" w:type="dxa"/>
            <w:shd w:val="clear" w:color="auto" w:fill="FFFFFF"/>
            <w:tcMar>
              <w:top w:w="60" w:type="dxa"/>
              <w:left w:w="90" w:type="dxa"/>
              <w:bottom w:w="60" w:type="dxa"/>
              <w:right w:w="90" w:type="dxa"/>
            </w:tcMar>
            <w:vAlign w:val="center"/>
          </w:tcPr>
          <w:p w14:paraId="56FCE9A8" w14:textId="77777777" w:rsidR="00E302CD" w:rsidRPr="00B56FDF" w:rsidRDefault="00000000">
            <w:pPr>
              <w:bidi/>
              <w:spacing w:after="0" w:line="240" w:lineRule="auto"/>
              <w:ind w:firstLine="0"/>
              <w:jc w:val="center"/>
              <w:rPr>
                <w:rFonts w:ascii="Simplified Arabic" w:hAnsi="Simplified Arabic" w:cs="Simplified Arabic"/>
              </w:rPr>
            </w:pPr>
            <w:r w:rsidRPr="00B56FDF">
              <w:rPr>
                <w:rFonts w:ascii="Simplified Arabic" w:hAnsi="Simplified Arabic" w:cs="Simplified Arabic"/>
                <w:sz w:val="21"/>
                <w:rtl/>
              </w:rPr>
              <w:t>سلسلة القيمة التشغيلية لمحطات التحلية</w:t>
            </w:r>
          </w:p>
        </w:tc>
        <w:tc>
          <w:tcPr>
            <w:tcW w:w="793" w:type="dxa"/>
            <w:shd w:val="clear" w:color="auto" w:fill="FFFFFF"/>
            <w:tcMar>
              <w:top w:w="60" w:type="dxa"/>
              <w:left w:w="90" w:type="dxa"/>
              <w:bottom w:w="60" w:type="dxa"/>
              <w:right w:w="90" w:type="dxa"/>
            </w:tcMar>
            <w:vAlign w:val="center"/>
          </w:tcPr>
          <w:p w14:paraId="3F9CB310" w14:textId="77777777" w:rsidR="00E302CD" w:rsidRPr="00B56FDF" w:rsidRDefault="00000000">
            <w:pPr>
              <w:spacing w:after="0" w:line="240" w:lineRule="auto"/>
              <w:ind w:firstLine="0"/>
              <w:jc w:val="center"/>
              <w:rPr>
                <w:rFonts w:ascii="Simplified Arabic" w:hAnsi="Simplified Arabic" w:cs="Simplified Arabic"/>
              </w:rPr>
            </w:pPr>
            <w:r w:rsidRPr="00B56FDF">
              <w:rPr>
                <w:rFonts w:ascii="Simplified Arabic" w:hAnsi="Simplified Arabic" w:cs="Simplified Arabic"/>
                <w:sz w:val="21"/>
              </w:rPr>
              <w:t>14</w:t>
            </w:r>
          </w:p>
        </w:tc>
      </w:tr>
      <w:tr w:rsidR="00E302CD" w:rsidRPr="00B56FDF" w14:paraId="54D0575D" w14:textId="77777777" w:rsidTr="008F0F11">
        <w:trPr>
          <w:jc w:val="center"/>
        </w:trPr>
        <w:tc>
          <w:tcPr>
            <w:tcW w:w="1247" w:type="dxa"/>
            <w:shd w:val="clear" w:color="auto" w:fill="FFFFFF"/>
            <w:tcMar>
              <w:top w:w="60" w:type="dxa"/>
              <w:left w:w="90" w:type="dxa"/>
              <w:bottom w:w="60" w:type="dxa"/>
              <w:right w:w="90" w:type="dxa"/>
            </w:tcMar>
            <w:vAlign w:val="center"/>
          </w:tcPr>
          <w:p w14:paraId="6383D777" w14:textId="77777777" w:rsidR="00E302CD" w:rsidRPr="00B56FDF" w:rsidRDefault="00000000">
            <w:pPr>
              <w:bidi/>
              <w:spacing w:after="0" w:line="240" w:lineRule="auto"/>
              <w:ind w:firstLine="0"/>
              <w:jc w:val="center"/>
              <w:rPr>
                <w:rFonts w:ascii="Simplified Arabic" w:hAnsi="Simplified Arabic" w:cs="Simplified Arabic"/>
              </w:rPr>
            </w:pPr>
            <w:r w:rsidRPr="00B56FDF">
              <w:rPr>
                <w:rFonts w:ascii="Simplified Arabic" w:eastAsia="Times New Roman" w:hAnsi="Simplified Arabic" w:cs="Simplified Arabic"/>
                <w:sz w:val="21"/>
              </w:rPr>
              <w:t>2-3</w:t>
            </w:r>
          </w:p>
        </w:tc>
        <w:tc>
          <w:tcPr>
            <w:tcW w:w="7029" w:type="dxa"/>
            <w:shd w:val="clear" w:color="auto" w:fill="FFFFFF"/>
            <w:tcMar>
              <w:top w:w="60" w:type="dxa"/>
              <w:left w:w="90" w:type="dxa"/>
              <w:bottom w:w="60" w:type="dxa"/>
              <w:right w:w="90" w:type="dxa"/>
            </w:tcMar>
            <w:vAlign w:val="center"/>
          </w:tcPr>
          <w:p w14:paraId="53EDE27F" w14:textId="77777777" w:rsidR="00E302CD" w:rsidRPr="00B56FDF" w:rsidRDefault="00000000">
            <w:pPr>
              <w:bidi/>
              <w:spacing w:after="0" w:line="240" w:lineRule="auto"/>
              <w:ind w:firstLine="0"/>
              <w:jc w:val="center"/>
              <w:rPr>
                <w:rFonts w:ascii="Simplified Arabic" w:hAnsi="Simplified Arabic" w:cs="Simplified Arabic"/>
              </w:rPr>
            </w:pPr>
            <w:r w:rsidRPr="00B56FDF">
              <w:rPr>
                <w:rFonts w:ascii="Simplified Arabic" w:hAnsi="Simplified Arabic" w:cs="Simplified Arabic"/>
                <w:sz w:val="21"/>
                <w:rtl/>
              </w:rPr>
              <w:t>مسارات تأثير الإدارة الاستراتيجية في كفاءة التشغيل</w:t>
            </w:r>
          </w:p>
        </w:tc>
        <w:tc>
          <w:tcPr>
            <w:tcW w:w="793" w:type="dxa"/>
            <w:shd w:val="clear" w:color="auto" w:fill="FFFFFF"/>
            <w:tcMar>
              <w:top w:w="60" w:type="dxa"/>
              <w:left w:w="90" w:type="dxa"/>
              <w:bottom w:w="60" w:type="dxa"/>
              <w:right w:w="90" w:type="dxa"/>
            </w:tcMar>
            <w:vAlign w:val="center"/>
          </w:tcPr>
          <w:p w14:paraId="6816FC0C" w14:textId="77777777" w:rsidR="00E302CD" w:rsidRPr="00B56FDF" w:rsidRDefault="00000000">
            <w:pPr>
              <w:spacing w:after="0" w:line="240" w:lineRule="auto"/>
              <w:ind w:firstLine="0"/>
              <w:jc w:val="center"/>
              <w:rPr>
                <w:rFonts w:ascii="Simplified Arabic" w:hAnsi="Simplified Arabic" w:cs="Simplified Arabic"/>
              </w:rPr>
            </w:pPr>
            <w:r w:rsidRPr="00B56FDF">
              <w:rPr>
                <w:rFonts w:ascii="Simplified Arabic" w:hAnsi="Simplified Arabic" w:cs="Simplified Arabic"/>
                <w:sz w:val="21"/>
              </w:rPr>
              <w:t>16</w:t>
            </w:r>
          </w:p>
        </w:tc>
      </w:tr>
      <w:tr w:rsidR="00E302CD" w:rsidRPr="00B56FDF" w14:paraId="2201165C" w14:textId="77777777" w:rsidTr="008F0F11">
        <w:trPr>
          <w:jc w:val="center"/>
        </w:trPr>
        <w:tc>
          <w:tcPr>
            <w:tcW w:w="1247" w:type="dxa"/>
            <w:shd w:val="clear" w:color="auto" w:fill="FFFFFF"/>
            <w:tcMar>
              <w:top w:w="60" w:type="dxa"/>
              <w:left w:w="90" w:type="dxa"/>
              <w:bottom w:w="60" w:type="dxa"/>
              <w:right w:w="90" w:type="dxa"/>
            </w:tcMar>
            <w:vAlign w:val="center"/>
          </w:tcPr>
          <w:p w14:paraId="57B4600D" w14:textId="77777777" w:rsidR="00E302CD" w:rsidRPr="00B56FDF" w:rsidRDefault="00000000">
            <w:pPr>
              <w:bidi/>
              <w:spacing w:after="0" w:line="240" w:lineRule="auto"/>
              <w:ind w:firstLine="0"/>
              <w:jc w:val="center"/>
              <w:rPr>
                <w:rFonts w:ascii="Simplified Arabic" w:hAnsi="Simplified Arabic" w:cs="Simplified Arabic"/>
              </w:rPr>
            </w:pPr>
            <w:r w:rsidRPr="00B56FDF">
              <w:rPr>
                <w:rFonts w:ascii="Simplified Arabic" w:eastAsia="Times New Roman" w:hAnsi="Simplified Arabic" w:cs="Simplified Arabic"/>
                <w:sz w:val="21"/>
              </w:rPr>
              <w:t>4-2</w:t>
            </w:r>
          </w:p>
        </w:tc>
        <w:tc>
          <w:tcPr>
            <w:tcW w:w="7029" w:type="dxa"/>
            <w:shd w:val="clear" w:color="auto" w:fill="FFFFFF"/>
            <w:tcMar>
              <w:top w:w="60" w:type="dxa"/>
              <w:left w:w="90" w:type="dxa"/>
              <w:bottom w:w="60" w:type="dxa"/>
              <w:right w:w="90" w:type="dxa"/>
            </w:tcMar>
            <w:vAlign w:val="center"/>
          </w:tcPr>
          <w:p w14:paraId="3DD5C7B0" w14:textId="77777777" w:rsidR="00E302CD" w:rsidRPr="00B56FDF" w:rsidRDefault="00000000">
            <w:pPr>
              <w:bidi/>
              <w:spacing w:after="0" w:line="240" w:lineRule="auto"/>
              <w:ind w:firstLine="0"/>
              <w:jc w:val="center"/>
              <w:rPr>
                <w:rFonts w:ascii="Simplified Arabic" w:hAnsi="Simplified Arabic" w:cs="Simplified Arabic"/>
              </w:rPr>
            </w:pPr>
            <w:r w:rsidRPr="00B56FDF">
              <w:rPr>
                <w:rFonts w:ascii="Simplified Arabic" w:hAnsi="Simplified Arabic" w:cs="Simplified Arabic"/>
                <w:sz w:val="21"/>
                <w:rtl/>
              </w:rPr>
              <w:t>توزيع أفراد العينة وفق سنوات الخبرة</w:t>
            </w:r>
          </w:p>
        </w:tc>
        <w:tc>
          <w:tcPr>
            <w:tcW w:w="793" w:type="dxa"/>
            <w:shd w:val="clear" w:color="auto" w:fill="FFFFFF"/>
            <w:tcMar>
              <w:top w:w="60" w:type="dxa"/>
              <w:left w:w="90" w:type="dxa"/>
              <w:bottom w:w="60" w:type="dxa"/>
              <w:right w:w="90" w:type="dxa"/>
            </w:tcMar>
            <w:vAlign w:val="center"/>
          </w:tcPr>
          <w:p w14:paraId="4D5A732B" w14:textId="77777777" w:rsidR="00E302CD" w:rsidRPr="00B56FDF" w:rsidRDefault="00000000">
            <w:pPr>
              <w:spacing w:after="0" w:line="240" w:lineRule="auto"/>
              <w:ind w:firstLine="0"/>
              <w:jc w:val="center"/>
              <w:rPr>
                <w:rFonts w:ascii="Simplified Arabic" w:hAnsi="Simplified Arabic" w:cs="Simplified Arabic"/>
              </w:rPr>
            </w:pPr>
            <w:r w:rsidRPr="00B56FDF">
              <w:rPr>
                <w:rFonts w:ascii="Simplified Arabic" w:hAnsi="Simplified Arabic" w:cs="Simplified Arabic"/>
                <w:sz w:val="21"/>
              </w:rPr>
              <w:t>35</w:t>
            </w:r>
          </w:p>
        </w:tc>
      </w:tr>
      <w:tr w:rsidR="00E302CD" w:rsidRPr="00B56FDF" w14:paraId="440D9A39" w14:textId="77777777" w:rsidTr="008F0F11">
        <w:trPr>
          <w:jc w:val="center"/>
        </w:trPr>
        <w:tc>
          <w:tcPr>
            <w:tcW w:w="1247" w:type="dxa"/>
            <w:shd w:val="clear" w:color="auto" w:fill="FFFFFF"/>
            <w:tcMar>
              <w:top w:w="60" w:type="dxa"/>
              <w:left w:w="90" w:type="dxa"/>
              <w:bottom w:w="60" w:type="dxa"/>
              <w:right w:w="90" w:type="dxa"/>
            </w:tcMar>
            <w:vAlign w:val="center"/>
          </w:tcPr>
          <w:p w14:paraId="1EC383D1" w14:textId="77777777" w:rsidR="00E302CD" w:rsidRPr="00B56FDF" w:rsidRDefault="00000000">
            <w:pPr>
              <w:bidi/>
              <w:spacing w:after="0" w:line="240" w:lineRule="auto"/>
              <w:ind w:firstLine="0"/>
              <w:jc w:val="center"/>
              <w:rPr>
                <w:rFonts w:ascii="Simplified Arabic" w:hAnsi="Simplified Arabic" w:cs="Simplified Arabic"/>
              </w:rPr>
            </w:pPr>
            <w:r w:rsidRPr="00B56FDF">
              <w:rPr>
                <w:rFonts w:ascii="Simplified Arabic" w:eastAsia="Times New Roman" w:hAnsi="Simplified Arabic" w:cs="Simplified Arabic"/>
                <w:sz w:val="21"/>
              </w:rPr>
              <w:t>4-3</w:t>
            </w:r>
          </w:p>
        </w:tc>
        <w:tc>
          <w:tcPr>
            <w:tcW w:w="7029" w:type="dxa"/>
            <w:shd w:val="clear" w:color="auto" w:fill="FFFFFF"/>
            <w:tcMar>
              <w:top w:w="60" w:type="dxa"/>
              <w:left w:w="90" w:type="dxa"/>
              <w:bottom w:w="60" w:type="dxa"/>
              <w:right w:w="90" w:type="dxa"/>
            </w:tcMar>
            <w:vAlign w:val="center"/>
          </w:tcPr>
          <w:p w14:paraId="4DA4ABD6" w14:textId="77777777" w:rsidR="00E302CD" w:rsidRPr="00B56FDF" w:rsidRDefault="00000000">
            <w:pPr>
              <w:bidi/>
              <w:spacing w:after="0" w:line="240" w:lineRule="auto"/>
              <w:ind w:firstLine="0"/>
              <w:jc w:val="center"/>
              <w:rPr>
                <w:rFonts w:ascii="Simplified Arabic" w:hAnsi="Simplified Arabic" w:cs="Simplified Arabic"/>
              </w:rPr>
            </w:pPr>
            <w:r w:rsidRPr="00B56FDF">
              <w:rPr>
                <w:rFonts w:ascii="Simplified Arabic" w:hAnsi="Simplified Arabic" w:cs="Simplified Arabic"/>
                <w:sz w:val="21"/>
                <w:rtl/>
              </w:rPr>
              <w:t>المتوسطات الكلية لأبعاد الدراسة</w:t>
            </w:r>
          </w:p>
        </w:tc>
        <w:tc>
          <w:tcPr>
            <w:tcW w:w="793" w:type="dxa"/>
            <w:shd w:val="clear" w:color="auto" w:fill="FFFFFF"/>
            <w:tcMar>
              <w:top w:w="60" w:type="dxa"/>
              <w:left w:w="90" w:type="dxa"/>
              <w:bottom w:w="60" w:type="dxa"/>
              <w:right w:w="90" w:type="dxa"/>
            </w:tcMar>
            <w:vAlign w:val="center"/>
          </w:tcPr>
          <w:p w14:paraId="41611273" w14:textId="77777777" w:rsidR="00E302CD" w:rsidRPr="00B56FDF" w:rsidRDefault="00000000">
            <w:pPr>
              <w:spacing w:after="0" w:line="240" w:lineRule="auto"/>
              <w:ind w:firstLine="0"/>
              <w:jc w:val="center"/>
              <w:rPr>
                <w:rFonts w:ascii="Simplified Arabic" w:hAnsi="Simplified Arabic" w:cs="Simplified Arabic"/>
              </w:rPr>
            </w:pPr>
            <w:r w:rsidRPr="00B56FDF">
              <w:rPr>
                <w:rFonts w:ascii="Simplified Arabic" w:hAnsi="Simplified Arabic" w:cs="Simplified Arabic"/>
                <w:sz w:val="21"/>
              </w:rPr>
              <w:t>39</w:t>
            </w:r>
          </w:p>
        </w:tc>
      </w:tr>
      <w:tr w:rsidR="00E302CD" w:rsidRPr="00B56FDF" w14:paraId="602F9E1F" w14:textId="77777777" w:rsidTr="008F0F11">
        <w:trPr>
          <w:jc w:val="center"/>
        </w:trPr>
        <w:tc>
          <w:tcPr>
            <w:tcW w:w="1247" w:type="dxa"/>
            <w:shd w:val="clear" w:color="auto" w:fill="FFFFFF"/>
            <w:tcMar>
              <w:top w:w="60" w:type="dxa"/>
              <w:left w:w="90" w:type="dxa"/>
              <w:bottom w:w="60" w:type="dxa"/>
              <w:right w:w="90" w:type="dxa"/>
            </w:tcMar>
            <w:vAlign w:val="center"/>
          </w:tcPr>
          <w:p w14:paraId="58E24B61" w14:textId="77777777" w:rsidR="00E302CD" w:rsidRPr="00B56FDF" w:rsidRDefault="00000000">
            <w:pPr>
              <w:bidi/>
              <w:spacing w:after="0" w:line="240" w:lineRule="auto"/>
              <w:ind w:firstLine="0"/>
              <w:jc w:val="center"/>
              <w:rPr>
                <w:rFonts w:ascii="Simplified Arabic" w:hAnsi="Simplified Arabic" w:cs="Simplified Arabic"/>
              </w:rPr>
            </w:pPr>
            <w:r w:rsidRPr="00B56FDF">
              <w:rPr>
                <w:rFonts w:ascii="Simplified Arabic" w:eastAsia="Times New Roman" w:hAnsi="Simplified Arabic" w:cs="Simplified Arabic"/>
                <w:sz w:val="21"/>
              </w:rPr>
              <w:t>4-4</w:t>
            </w:r>
          </w:p>
        </w:tc>
        <w:tc>
          <w:tcPr>
            <w:tcW w:w="7029" w:type="dxa"/>
            <w:shd w:val="clear" w:color="auto" w:fill="FFFFFF"/>
            <w:tcMar>
              <w:top w:w="60" w:type="dxa"/>
              <w:left w:w="90" w:type="dxa"/>
              <w:bottom w:w="60" w:type="dxa"/>
              <w:right w:w="90" w:type="dxa"/>
            </w:tcMar>
            <w:vAlign w:val="center"/>
          </w:tcPr>
          <w:p w14:paraId="7C72BDCC" w14:textId="77777777" w:rsidR="00E302CD" w:rsidRPr="00B56FDF" w:rsidRDefault="00000000">
            <w:pPr>
              <w:bidi/>
              <w:spacing w:after="0" w:line="240" w:lineRule="auto"/>
              <w:ind w:firstLine="0"/>
              <w:jc w:val="center"/>
              <w:rPr>
                <w:rFonts w:ascii="Simplified Arabic" w:hAnsi="Simplified Arabic" w:cs="Simplified Arabic"/>
              </w:rPr>
            </w:pPr>
            <w:r w:rsidRPr="00B56FDF">
              <w:rPr>
                <w:rFonts w:ascii="Simplified Arabic" w:hAnsi="Simplified Arabic" w:cs="Simplified Arabic"/>
                <w:sz w:val="21"/>
                <w:rtl/>
              </w:rPr>
              <w:t>معاملات التأثير المعيارية لأبعاد الإدارة الاستراتيجية</w:t>
            </w:r>
          </w:p>
        </w:tc>
        <w:tc>
          <w:tcPr>
            <w:tcW w:w="793" w:type="dxa"/>
            <w:shd w:val="clear" w:color="auto" w:fill="FFFFFF"/>
            <w:tcMar>
              <w:top w:w="60" w:type="dxa"/>
              <w:left w:w="90" w:type="dxa"/>
              <w:bottom w:w="60" w:type="dxa"/>
              <w:right w:w="90" w:type="dxa"/>
            </w:tcMar>
            <w:vAlign w:val="center"/>
          </w:tcPr>
          <w:p w14:paraId="58E83B16" w14:textId="77777777" w:rsidR="00E302CD" w:rsidRPr="00B56FDF" w:rsidRDefault="00000000">
            <w:pPr>
              <w:spacing w:after="0" w:line="240" w:lineRule="auto"/>
              <w:ind w:firstLine="0"/>
              <w:jc w:val="center"/>
              <w:rPr>
                <w:rFonts w:ascii="Simplified Arabic" w:hAnsi="Simplified Arabic" w:cs="Simplified Arabic"/>
              </w:rPr>
            </w:pPr>
            <w:r w:rsidRPr="00B56FDF">
              <w:rPr>
                <w:rFonts w:ascii="Simplified Arabic" w:hAnsi="Simplified Arabic" w:cs="Simplified Arabic"/>
                <w:sz w:val="21"/>
              </w:rPr>
              <w:t>41</w:t>
            </w:r>
          </w:p>
        </w:tc>
      </w:tr>
      <w:tr w:rsidR="00E302CD" w:rsidRPr="00B56FDF" w14:paraId="7F16D558" w14:textId="77777777" w:rsidTr="008F0F11">
        <w:trPr>
          <w:jc w:val="center"/>
        </w:trPr>
        <w:tc>
          <w:tcPr>
            <w:tcW w:w="1247" w:type="dxa"/>
            <w:shd w:val="clear" w:color="auto" w:fill="FFFFFF"/>
            <w:tcMar>
              <w:top w:w="60" w:type="dxa"/>
              <w:left w:w="90" w:type="dxa"/>
              <w:bottom w:w="60" w:type="dxa"/>
              <w:right w:w="90" w:type="dxa"/>
            </w:tcMar>
            <w:vAlign w:val="center"/>
          </w:tcPr>
          <w:p w14:paraId="1DD1F104" w14:textId="77777777" w:rsidR="00E302CD" w:rsidRPr="00B56FDF" w:rsidRDefault="00000000">
            <w:pPr>
              <w:bidi/>
              <w:spacing w:after="0" w:line="240" w:lineRule="auto"/>
              <w:ind w:firstLine="0"/>
              <w:jc w:val="center"/>
              <w:rPr>
                <w:rFonts w:ascii="Simplified Arabic" w:hAnsi="Simplified Arabic" w:cs="Simplified Arabic"/>
              </w:rPr>
            </w:pPr>
            <w:r w:rsidRPr="00B56FDF">
              <w:rPr>
                <w:rFonts w:ascii="Simplified Arabic" w:eastAsia="Times New Roman" w:hAnsi="Simplified Arabic" w:cs="Simplified Arabic"/>
                <w:sz w:val="21"/>
              </w:rPr>
              <w:t>5-1</w:t>
            </w:r>
          </w:p>
        </w:tc>
        <w:tc>
          <w:tcPr>
            <w:tcW w:w="7029" w:type="dxa"/>
            <w:shd w:val="clear" w:color="auto" w:fill="FFFFFF"/>
            <w:tcMar>
              <w:top w:w="60" w:type="dxa"/>
              <w:left w:w="90" w:type="dxa"/>
              <w:bottom w:w="60" w:type="dxa"/>
              <w:right w:w="90" w:type="dxa"/>
            </w:tcMar>
            <w:vAlign w:val="center"/>
          </w:tcPr>
          <w:p w14:paraId="1A17F38F" w14:textId="77777777" w:rsidR="00E302CD" w:rsidRPr="00B56FDF" w:rsidRDefault="00000000">
            <w:pPr>
              <w:bidi/>
              <w:spacing w:after="0" w:line="240" w:lineRule="auto"/>
              <w:ind w:firstLine="0"/>
              <w:jc w:val="center"/>
              <w:rPr>
                <w:rFonts w:ascii="Simplified Arabic" w:hAnsi="Simplified Arabic" w:cs="Simplified Arabic"/>
              </w:rPr>
            </w:pPr>
            <w:r w:rsidRPr="00B56FDF">
              <w:rPr>
                <w:rFonts w:ascii="Simplified Arabic" w:hAnsi="Simplified Arabic" w:cs="Simplified Arabic"/>
                <w:sz w:val="21"/>
                <w:rtl/>
              </w:rPr>
              <w:t>خارطة تنفيذ التوصيات العملية</w:t>
            </w:r>
          </w:p>
        </w:tc>
        <w:tc>
          <w:tcPr>
            <w:tcW w:w="793" w:type="dxa"/>
            <w:shd w:val="clear" w:color="auto" w:fill="FFFFFF"/>
            <w:tcMar>
              <w:top w:w="60" w:type="dxa"/>
              <w:left w:w="90" w:type="dxa"/>
              <w:bottom w:w="60" w:type="dxa"/>
              <w:right w:w="90" w:type="dxa"/>
            </w:tcMar>
            <w:vAlign w:val="center"/>
          </w:tcPr>
          <w:p w14:paraId="23E764E8" w14:textId="77777777" w:rsidR="00E302CD" w:rsidRPr="00B56FDF" w:rsidRDefault="00000000">
            <w:pPr>
              <w:spacing w:after="0" w:line="240" w:lineRule="auto"/>
              <w:ind w:firstLine="0"/>
              <w:jc w:val="center"/>
              <w:rPr>
                <w:rFonts w:ascii="Simplified Arabic" w:hAnsi="Simplified Arabic" w:cs="Simplified Arabic"/>
              </w:rPr>
            </w:pPr>
            <w:r w:rsidRPr="00B56FDF">
              <w:rPr>
                <w:rFonts w:ascii="Simplified Arabic" w:hAnsi="Simplified Arabic" w:cs="Simplified Arabic"/>
                <w:sz w:val="21"/>
              </w:rPr>
              <w:t>52</w:t>
            </w:r>
          </w:p>
        </w:tc>
      </w:tr>
    </w:tbl>
    <w:p w14:paraId="2A039299" w14:textId="77777777" w:rsidR="00E302CD" w:rsidRPr="00B56FDF" w:rsidRDefault="00000000">
      <w:pPr>
        <w:rPr>
          <w:rFonts w:ascii="Simplified Arabic" w:hAnsi="Simplified Arabic" w:cs="Simplified Arabic"/>
        </w:rPr>
      </w:pPr>
      <w:r w:rsidRPr="00B56FDF">
        <w:rPr>
          <w:rFonts w:ascii="Simplified Arabic" w:eastAsia="Times New Roman" w:hAnsi="Simplified Arabic" w:cs="Simplified Arabic"/>
        </w:rPr>
        <w:br w:type="page"/>
      </w:r>
    </w:p>
    <w:p w14:paraId="0A6EE9B6" w14:textId="77777777" w:rsidR="00A27841" w:rsidRDefault="00A27841">
      <w:pPr>
        <w:pStyle w:val="Heading1"/>
        <w:bidi/>
        <w:rPr>
          <w:rFonts w:ascii="Simplified Arabic" w:eastAsia="Amiri" w:hAnsi="Simplified Arabic" w:cs="Simplified Arabic"/>
          <w:rtl/>
        </w:rPr>
      </w:pPr>
    </w:p>
    <w:p w14:paraId="4FE2A016" w14:textId="49DBA5A8" w:rsidR="00E302CD" w:rsidRDefault="00000000" w:rsidP="00A27841">
      <w:pPr>
        <w:pStyle w:val="Heading1"/>
        <w:bidi/>
        <w:jc w:val="center"/>
        <w:rPr>
          <w:rFonts w:ascii="Simplified Arabic" w:eastAsia="Amiri" w:hAnsi="Simplified Arabic" w:cs="Simplified Arabic"/>
          <w:rtl/>
        </w:rPr>
      </w:pPr>
      <w:r w:rsidRPr="00B56FDF">
        <w:rPr>
          <w:rFonts w:ascii="Simplified Arabic" w:eastAsia="Amiri" w:hAnsi="Simplified Arabic" w:cs="Simplified Arabic"/>
          <w:rtl/>
        </w:rPr>
        <w:t>قائمة المصطلحات والاختصارات</w:t>
      </w:r>
    </w:p>
    <w:p w14:paraId="5459A0A1" w14:textId="77777777" w:rsidR="00A27841" w:rsidRPr="00A27841" w:rsidRDefault="00A27841" w:rsidP="00A27841">
      <w:pPr>
        <w:bidi/>
      </w:pPr>
    </w:p>
    <w:tbl>
      <w:tblPr>
        <w:bidiVisual/>
        <w:tblW w:w="0" w:type="auto"/>
        <w:jc w:val="center"/>
        <w:tblBorders>
          <w:top w:val="single" w:sz="6" w:space="0" w:color="6B7280"/>
          <w:left w:val="single" w:sz="6" w:space="0" w:color="6B7280"/>
          <w:bottom w:val="single" w:sz="6" w:space="0" w:color="6B7280"/>
          <w:right w:val="single" w:sz="6" w:space="0" w:color="6B7280"/>
          <w:insideH w:val="single" w:sz="6" w:space="0" w:color="6B7280"/>
          <w:insideV w:val="single" w:sz="6" w:space="0" w:color="6B7280"/>
        </w:tblBorders>
        <w:tblLook w:val="04A0" w:firstRow="1" w:lastRow="0" w:firstColumn="1" w:lastColumn="0" w:noHBand="0" w:noVBand="1"/>
      </w:tblPr>
      <w:tblGrid>
        <w:gridCol w:w="2986"/>
        <w:gridCol w:w="2986"/>
        <w:gridCol w:w="2986"/>
      </w:tblGrid>
      <w:tr w:rsidR="00E302CD" w:rsidRPr="00B56FDF" w14:paraId="5B52BE4A" w14:textId="77777777" w:rsidTr="008F0F11">
        <w:trPr>
          <w:tblHeader/>
          <w:jc w:val="center"/>
        </w:trPr>
        <w:tc>
          <w:tcPr>
            <w:tcW w:w="2986" w:type="dxa"/>
            <w:shd w:val="clear" w:color="auto" w:fill="1F4E79"/>
            <w:tcMar>
              <w:top w:w="90" w:type="dxa"/>
              <w:left w:w="90" w:type="dxa"/>
              <w:bottom w:w="90" w:type="dxa"/>
              <w:right w:w="90" w:type="dxa"/>
            </w:tcMar>
            <w:vAlign w:val="center"/>
          </w:tcPr>
          <w:p w14:paraId="44243918" w14:textId="77777777" w:rsidR="00E302CD" w:rsidRPr="00B56FDF" w:rsidRDefault="00000000">
            <w:pPr>
              <w:bidi/>
              <w:spacing w:after="0" w:line="252" w:lineRule="auto"/>
              <w:ind w:firstLine="0"/>
              <w:jc w:val="center"/>
              <w:rPr>
                <w:rFonts w:ascii="Simplified Arabic" w:hAnsi="Simplified Arabic" w:cs="Simplified Arabic"/>
              </w:rPr>
            </w:pPr>
            <w:r w:rsidRPr="00B56FDF">
              <w:rPr>
                <w:rFonts w:ascii="Simplified Arabic" w:hAnsi="Simplified Arabic" w:cs="Simplified Arabic"/>
                <w:b/>
                <w:color w:val="FFFFFF"/>
                <w:sz w:val="21"/>
                <w:rtl/>
              </w:rPr>
              <w:t>المصطلح العربي</w:t>
            </w:r>
          </w:p>
        </w:tc>
        <w:tc>
          <w:tcPr>
            <w:tcW w:w="2986" w:type="dxa"/>
            <w:shd w:val="clear" w:color="auto" w:fill="1F4E79"/>
            <w:tcMar>
              <w:top w:w="90" w:type="dxa"/>
              <w:left w:w="90" w:type="dxa"/>
              <w:bottom w:w="90" w:type="dxa"/>
              <w:right w:w="90" w:type="dxa"/>
            </w:tcMar>
            <w:vAlign w:val="center"/>
          </w:tcPr>
          <w:p w14:paraId="3CAF2409" w14:textId="77777777" w:rsidR="00E302CD" w:rsidRPr="00B56FDF" w:rsidRDefault="00000000">
            <w:pPr>
              <w:bidi/>
              <w:spacing w:after="0" w:line="252" w:lineRule="auto"/>
              <w:ind w:firstLine="0"/>
              <w:jc w:val="center"/>
              <w:rPr>
                <w:rFonts w:ascii="Simplified Arabic" w:hAnsi="Simplified Arabic" w:cs="Simplified Arabic"/>
              </w:rPr>
            </w:pPr>
            <w:r w:rsidRPr="00B56FDF">
              <w:rPr>
                <w:rFonts w:ascii="Simplified Arabic" w:eastAsia="Times New Roman" w:hAnsi="Simplified Arabic" w:cs="Simplified Arabic"/>
                <w:b/>
                <w:color w:val="FFFFFF"/>
                <w:sz w:val="21"/>
              </w:rPr>
              <w:t>English Term</w:t>
            </w:r>
          </w:p>
        </w:tc>
        <w:tc>
          <w:tcPr>
            <w:tcW w:w="2986" w:type="dxa"/>
            <w:shd w:val="clear" w:color="auto" w:fill="1F4E79"/>
            <w:tcMar>
              <w:top w:w="90" w:type="dxa"/>
              <w:left w:w="90" w:type="dxa"/>
              <w:bottom w:w="90" w:type="dxa"/>
              <w:right w:w="90" w:type="dxa"/>
            </w:tcMar>
            <w:vAlign w:val="center"/>
          </w:tcPr>
          <w:p w14:paraId="260650B4" w14:textId="77777777" w:rsidR="00E302CD" w:rsidRPr="00B56FDF" w:rsidRDefault="00000000">
            <w:pPr>
              <w:bidi/>
              <w:spacing w:after="0" w:line="252" w:lineRule="auto"/>
              <w:ind w:firstLine="0"/>
              <w:jc w:val="center"/>
              <w:rPr>
                <w:rFonts w:ascii="Simplified Arabic" w:hAnsi="Simplified Arabic" w:cs="Simplified Arabic"/>
              </w:rPr>
            </w:pPr>
            <w:r w:rsidRPr="00B56FDF">
              <w:rPr>
                <w:rFonts w:ascii="Simplified Arabic" w:hAnsi="Simplified Arabic" w:cs="Simplified Arabic"/>
                <w:b/>
                <w:color w:val="FFFFFF"/>
                <w:sz w:val="21"/>
                <w:rtl/>
              </w:rPr>
              <w:t>التعريف المختصر</w:t>
            </w:r>
          </w:p>
        </w:tc>
      </w:tr>
      <w:tr w:rsidR="00E302CD" w:rsidRPr="00B56FDF" w14:paraId="518DCDF3" w14:textId="77777777" w:rsidTr="008F0F11">
        <w:trPr>
          <w:jc w:val="center"/>
        </w:trPr>
        <w:tc>
          <w:tcPr>
            <w:tcW w:w="2986" w:type="dxa"/>
            <w:shd w:val="clear" w:color="auto" w:fill="FFFFFF"/>
            <w:tcMar>
              <w:top w:w="90" w:type="dxa"/>
              <w:left w:w="90" w:type="dxa"/>
              <w:bottom w:w="90" w:type="dxa"/>
              <w:right w:w="90" w:type="dxa"/>
            </w:tcMar>
            <w:vAlign w:val="center"/>
          </w:tcPr>
          <w:p w14:paraId="105AFFDE" w14:textId="77777777" w:rsidR="00E302CD" w:rsidRPr="00B56FDF" w:rsidRDefault="00000000">
            <w:pPr>
              <w:bidi/>
              <w:spacing w:after="0" w:line="252" w:lineRule="auto"/>
              <w:ind w:firstLine="0"/>
              <w:jc w:val="center"/>
              <w:rPr>
                <w:rFonts w:ascii="Simplified Arabic" w:hAnsi="Simplified Arabic" w:cs="Simplified Arabic"/>
              </w:rPr>
            </w:pPr>
            <w:r w:rsidRPr="00B56FDF">
              <w:rPr>
                <w:rFonts w:ascii="Simplified Arabic" w:hAnsi="Simplified Arabic" w:cs="Simplified Arabic"/>
                <w:sz w:val="21"/>
                <w:rtl/>
              </w:rPr>
              <w:t>الإدارة الاستراتيجية</w:t>
            </w:r>
          </w:p>
        </w:tc>
        <w:tc>
          <w:tcPr>
            <w:tcW w:w="2986" w:type="dxa"/>
            <w:shd w:val="clear" w:color="auto" w:fill="FFFFFF"/>
            <w:tcMar>
              <w:top w:w="90" w:type="dxa"/>
              <w:left w:w="90" w:type="dxa"/>
              <w:bottom w:w="90" w:type="dxa"/>
              <w:right w:w="90" w:type="dxa"/>
            </w:tcMar>
            <w:vAlign w:val="center"/>
          </w:tcPr>
          <w:p w14:paraId="0E16991B" w14:textId="77777777" w:rsidR="00E302CD" w:rsidRPr="00B56FDF" w:rsidRDefault="00000000">
            <w:pPr>
              <w:bidi/>
              <w:spacing w:after="0" w:line="252" w:lineRule="auto"/>
              <w:ind w:firstLine="0"/>
              <w:jc w:val="center"/>
              <w:rPr>
                <w:rFonts w:ascii="Simplified Arabic" w:hAnsi="Simplified Arabic" w:cs="Simplified Arabic"/>
              </w:rPr>
            </w:pPr>
            <w:r w:rsidRPr="00B56FDF">
              <w:rPr>
                <w:rFonts w:ascii="Simplified Arabic" w:eastAsia="Times New Roman" w:hAnsi="Simplified Arabic" w:cs="Simplified Arabic"/>
                <w:sz w:val="21"/>
              </w:rPr>
              <w:t>Strategic Management</w:t>
            </w:r>
          </w:p>
        </w:tc>
        <w:tc>
          <w:tcPr>
            <w:tcW w:w="2986" w:type="dxa"/>
            <w:shd w:val="clear" w:color="auto" w:fill="FFFFFF"/>
            <w:tcMar>
              <w:top w:w="90" w:type="dxa"/>
              <w:left w:w="90" w:type="dxa"/>
              <w:bottom w:w="90" w:type="dxa"/>
              <w:right w:w="90" w:type="dxa"/>
            </w:tcMar>
            <w:vAlign w:val="center"/>
          </w:tcPr>
          <w:p w14:paraId="13FC4FCB" w14:textId="77777777" w:rsidR="00E302CD" w:rsidRPr="00B56FDF" w:rsidRDefault="00000000">
            <w:pPr>
              <w:bidi/>
              <w:spacing w:after="0" w:line="252" w:lineRule="auto"/>
              <w:ind w:firstLine="0"/>
              <w:jc w:val="center"/>
              <w:rPr>
                <w:rFonts w:ascii="Simplified Arabic" w:hAnsi="Simplified Arabic" w:cs="Simplified Arabic"/>
              </w:rPr>
            </w:pPr>
            <w:r w:rsidRPr="00B56FDF">
              <w:rPr>
                <w:rFonts w:ascii="Simplified Arabic" w:hAnsi="Simplified Arabic" w:cs="Simplified Arabic"/>
                <w:sz w:val="21"/>
                <w:rtl/>
              </w:rPr>
              <w:t>عملية صياغة التوجهات وتنفيذها وتقييمها ومتابعتها لتحقيق الأهداف المؤسسية.</w:t>
            </w:r>
          </w:p>
        </w:tc>
      </w:tr>
      <w:tr w:rsidR="00E302CD" w:rsidRPr="00B56FDF" w14:paraId="0681EA47" w14:textId="77777777" w:rsidTr="008F0F11">
        <w:trPr>
          <w:jc w:val="center"/>
        </w:trPr>
        <w:tc>
          <w:tcPr>
            <w:tcW w:w="2986" w:type="dxa"/>
            <w:shd w:val="clear" w:color="auto" w:fill="F3F6F9"/>
            <w:tcMar>
              <w:top w:w="90" w:type="dxa"/>
              <w:left w:w="90" w:type="dxa"/>
              <w:bottom w:w="90" w:type="dxa"/>
              <w:right w:w="90" w:type="dxa"/>
            </w:tcMar>
            <w:vAlign w:val="center"/>
          </w:tcPr>
          <w:p w14:paraId="4822CDC0" w14:textId="77777777" w:rsidR="00E302CD" w:rsidRPr="00B56FDF" w:rsidRDefault="00000000">
            <w:pPr>
              <w:bidi/>
              <w:spacing w:after="0" w:line="252" w:lineRule="auto"/>
              <w:ind w:firstLine="0"/>
              <w:jc w:val="center"/>
              <w:rPr>
                <w:rFonts w:ascii="Simplified Arabic" w:hAnsi="Simplified Arabic" w:cs="Simplified Arabic"/>
              </w:rPr>
            </w:pPr>
            <w:r w:rsidRPr="00B56FDF">
              <w:rPr>
                <w:rFonts w:ascii="Simplified Arabic" w:hAnsi="Simplified Arabic" w:cs="Simplified Arabic"/>
                <w:sz w:val="21"/>
                <w:rtl/>
              </w:rPr>
              <w:t>صياغة الاستراتيجية</w:t>
            </w:r>
          </w:p>
        </w:tc>
        <w:tc>
          <w:tcPr>
            <w:tcW w:w="2986" w:type="dxa"/>
            <w:shd w:val="clear" w:color="auto" w:fill="F3F6F9"/>
            <w:tcMar>
              <w:top w:w="90" w:type="dxa"/>
              <w:left w:w="90" w:type="dxa"/>
              <w:bottom w:w="90" w:type="dxa"/>
              <w:right w:w="90" w:type="dxa"/>
            </w:tcMar>
            <w:vAlign w:val="center"/>
          </w:tcPr>
          <w:p w14:paraId="7A3C1CDB" w14:textId="77777777" w:rsidR="00E302CD" w:rsidRPr="00B56FDF" w:rsidRDefault="00000000">
            <w:pPr>
              <w:bidi/>
              <w:spacing w:after="0" w:line="252" w:lineRule="auto"/>
              <w:ind w:firstLine="0"/>
              <w:jc w:val="center"/>
              <w:rPr>
                <w:rFonts w:ascii="Simplified Arabic" w:hAnsi="Simplified Arabic" w:cs="Simplified Arabic"/>
              </w:rPr>
            </w:pPr>
            <w:r w:rsidRPr="00B56FDF">
              <w:rPr>
                <w:rFonts w:ascii="Simplified Arabic" w:eastAsia="Times New Roman" w:hAnsi="Simplified Arabic" w:cs="Simplified Arabic"/>
                <w:sz w:val="21"/>
              </w:rPr>
              <w:t>Strategy Formulation</w:t>
            </w:r>
          </w:p>
        </w:tc>
        <w:tc>
          <w:tcPr>
            <w:tcW w:w="2986" w:type="dxa"/>
            <w:shd w:val="clear" w:color="auto" w:fill="F3F6F9"/>
            <w:tcMar>
              <w:top w:w="90" w:type="dxa"/>
              <w:left w:w="90" w:type="dxa"/>
              <w:bottom w:w="90" w:type="dxa"/>
              <w:right w:w="90" w:type="dxa"/>
            </w:tcMar>
            <w:vAlign w:val="center"/>
          </w:tcPr>
          <w:p w14:paraId="6F2C0327" w14:textId="77777777" w:rsidR="00E302CD" w:rsidRPr="00B56FDF" w:rsidRDefault="00000000">
            <w:pPr>
              <w:bidi/>
              <w:spacing w:after="0" w:line="252" w:lineRule="auto"/>
              <w:ind w:firstLine="0"/>
              <w:jc w:val="center"/>
              <w:rPr>
                <w:rFonts w:ascii="Simplified Arabic" w:hAnsi="Simplified Arabic" w:cs="Simplified Arabic"/>
              </w:rPr>
            </w:pPr>
            <w:r w:rsidRPr="00B56FDF">
              <w:rPr>
                <w:rFonts w:ascii="Simplified Arabic" w:hAnsi="Simplified Arabic" w:cs="Simplified Arabic"/>
                <w:sz w:val="21"/>
                <w:rtl/>
              </w:rPr>
              <w:t>تحديد الرؤية والأهداف وتحليل البيئة واختيار الأولويات والبدائل.</w:t>
            </w:r>
          </w:p>
        </w:tc>
      </w:tr>
      <w:tr w:rsidR="00E302CD" w:rsidRPr="00B56FDF" w14:paraId="7BAB0F5D" w14:textId="77777777" w:rsidTr="008F0F11">
        <w:trPr>
          <w:jc w:val="center"/>
        </w:trPr>
        <w:tc>
          <w:tcPr>
            <w:tcW w:w="2986" w:type="dxa"/>
            <w:shd w:val="clear" w:color="auto" w:fill="FFFFFF"/>
            <w:tcMar>
              <w:top w:w="90" w:type="dxa"/>
              <w:left w:w="90" w:type="dxa"/>
              <w:bottom w:w="90" w:type="dxa"/>
              <w:right w:w="90" w:type="dxa"/>
            </w:tcMar>
            <w:vAlign w:val="center"/>
          </w:tcPr>
          <w:p w14:paraId="41056A0E" w14:textId="77777777" w:rsidR="00E302CD" w:rsidRPr="00B56FDF" w:rsidRDefault="00000000">
            <w:pPr>
              <w:bidi/>
              <w:spacing w:after="0" w:line="252" w:lineRule="auto"/>
              <w:ind w:firstLine="0"/>
              <w:jc w:val="center"/>
              <w:rPr>
                <w:rFonts w:ascii="Simplified Arabic" w:hAnsi="Simplified Arabic" w:cs="Simplified Arabic"/>
              </w:rPr>
            </w:pPr>
            <w:r w:rsidRPr="00B56FDF">
              <w:rPr>
                <w:rFonts w:ascii="Simplified Arabic" w:hAnsi="Simplified Arabic" w:cs="Simplified Arabic"/>
                <w:sz w:val="21"/>
                <w:rtl/>
              </w:rPr>
              <w:t>تنفيذ الاستراتيجية</w:t>
            </w:r>
          </w:p>
        </w:tc>
        <w:tc>
          <w:tcPr>
            <w:tcW w:w="2986" w:type="dxa"/>
            <w:shd w:val="clear" w:color="auto" w:fill="FFFFFF"/>
            <w:tcMar>
              <w:top w:w="90" w:type="dxa"/>
              <w:left w:w="90" w:type="dxa"/>
              <w:bottom w:w="90" w:type="dxa"/>
              <w:right w:w="90" w:type="dxa"/>
            </w:tcMar>
            <w:vAlign w:val="center"/>
          </w:tcPr>
          <w:p w14:paraId="07C260C6" w14:textId="77777777" w:rsidR="00E302CD" w:rsidRPr="00B56FDF" w:rsidRDefault="00000000">
            <w:pPr>
              <w:bidi/>
              <w:spacing w:after="0" w:line="252" w:lineRule="auto"/>
              <w:ind w:firstLine="0"/>
              <w:jc w:val="center"/>
              <w:rPr>
                <w:rFonts w:ascii="Simplified Arabic" w:hAnsi="Simplified Arabic" w:cs="Simplified Arabic"/>
              </w:rPr>
            </w:pPr>
            <w:r w:rsidRPr="00B56FDF">
              <w:rPr>
                <w:rFonts w:ascii="Simplified Arabic" w:eastAsia="Times New Roman" w:hAnsi="Simplified Arabic" w:cs="Simplified Arabic"/>
                <w:sz w:val="21"/>
              </w:rPr>
              <w:t>Strategy Implementation</w:t>
            </w:r>
          </w:p>
        </w:tc>
        <w:tc>
          <w:tcPr>
            <w:tcW w:w="2986" w:type="dxa"/>
            <w:shd w:val="clear" w:color="auto" w:fill="FFFFFF"/>
            <w:tcMar>
              <w:top w:w="90" w:type="dxa"/>
              <w:left w:w="90" w:type="dxa"/>
              <w:bottom w:w="90" w:type="dxa"/>
              <w:right w:w="90" w:type="dxa"/>
            </w:tcMar>
            <w:vAlign w:val="center"/>
          </w:tcPr>
          <w:p w14:paraId="47073C8F" w14:textId="77777777" w:rsidR="00E302CD" w:rsidRPr="00B56FDF" w:rsidRDefault="00000000">
            <w:pPr>
              <w:bidi/>
              <w:spacing w:after="0" w:line="252" w:lineRule="auto"/>
              <w:ind w:firstLine="0"/>
              <w:jc w:val="center"/>
              <w:rPr>
                <w:rFonts w:ascii="Simplified Arabic" w:hAnsi="Simplified Arabic" w:cs="Simplified Arabic"/>
              </w:rPr>
            </w:pPr>
            <w:r w:rsidRPr="00B56FDF">
              <w:rPr>
                <w:rFonts w:ascii="Simplified Arabic" w:hAnsi="Simplified Arabic" w:cs="Simplified Arabic"/>
                <w:sz w:val="21"/>
                <w:rtl/>
              </w:rPr>
              <w:t>تحويل الأهداف إلى مسؤوليات وموارد ومبادرات وإجراءات تشغيلية.</w:t>
            </w:r>
          </w:p>
        </w:tc>
      </w:tr>
      <w:tr w:rsidR="00E302CD" w:rsidRPr="00B56FDF" w14:paraId="216D639B" w14:textId="77777777" w:rsidTr="008F0F11">
        <w:trPr>
          <w:jc w:val="center"/>
        </w:trPr>
        <w:tc>
          <w:tcPr>
            <w:tcW w:w="2986" w:type="dxa"/>
            <w:shd w:val="clear" w:color="auto" w:fill="F3F6F9"/>
            <w:tcMar>
              <w:top w:w="90" w:type="dxa"/>
              <w:left w:w="90" w:type="dxa"/>
              <w:bottom w:w="90" w:type="dxa"/>
              <w:right w:w="90" w:type="dxa"/>
            </w:tcMar>
            <w:vAlign w:val="center"/>
          </w:tcPr>
          <w:p w14:paraId="6C7965AF" w14:textId="77777777" w:rsidR="00E302CD" w:rsidRPr="00B56FDF" w:rsidRDefault="00000000">
            <w:pPr>
              <w:bidi/>
              <w:spacing w:after="0" w:line="252" w:lineRule="auto"/>
              <w:ind w:firstLine="0"/>
              <w:jc w:val="center"/>
              <w:rPr>
                <w:rFonts w:ascii="Simplified Arabic" w:hAnsi="Simplified Arabic" w:cs="Simplified Arabic"/>
              </w:rPr>
            </w:pPr>
            <w:r w:rsidRPr="00B56FDF">
              <w:rPr>
                <w:rFonts w:ascii="Simplified Arabic" w:hAnsi="Simplified Arabic" w:cs="Simplified Arabic"/>
                <w:sz w:val="21"/>
                <w:rtl/>
              </w:rPr>
              <w:t>تقييم الاستراتيجية ومتابعتها</w:t>
            </w:r>
          </w:p>
        </w:tc>
        <w:tc>
          <w:tcPr>
            <w:tcW w:w="2986" w:type="dxa"/>
            <w:shd w:val="clear" w:color="auto" w:fill="F3F6F9"/>
            <w:tcMar>
              <w:top w:w="90" w:type="dxa"/>
              <w:left w:w="90" w:type="dxa"/>
              <w:bottom w:w="90" w:type="dxa"/>
              <w:right w:w="90" w:type="dxa"/>
            </w:tcMar>
            <w:vAlign w:val="center"/>
          </w:tcPr>
          <w:p w14:paraId="083ED101" w14:textId="77777777" w:rsidR="00E302CD" w:rsidRPr="00B56FDF" w:rsidRDefault="00000000">
            <w:pPr>
              <w:bidi/>
              <w:spacing w:after="0" w:line="252" w:lineRule="auto"/>
              <w:ind w:firstLine="0"/>
              <w:jc w:val="center"/>
              <w:rPr>
                <w:rFonts w:ascii="Simplified Arabic" w:hAnsi="Simplified Arabic" w:cs="Simplified Arabic"/>
              </w:rPr>
            </w:pPr>
            <w:r w:rsidRPr="00B56FDF">
              <w:rPr>
                <w:rFonts w:ascii="Simplified Arabic" w:eastAsia="Times New Roman" w:hAnsi="Simplified Arabic" w:cs="Simplified Arabic"/>
                <w:sz w:val="21"/>
              </w:rPr>
              <w:t>Strategy Evaluation and Control</w:t>
            </w:r>
          </w:p>
        </w:tc>
        <w:tc>
          <w:tcPr>
            <w:tcW w:w="2986" w:type="dxa"/>
            <w:shd w:val="clear" w:color="auto" w:fill="F3F6F9"/>
            <w:tcMar>
              <w:top w:w="90" w:type="dxa"/>
              <w:left w:w="90" w:type="dxa"/>
              <w:bottom w:w="90" w:type="dxa"/>
              <w:right w:w="90" w:type="dxa"/>
            </w:tcMar>
            <w:vAlign w:val="center"/>
          </w:tcPr>
          <w:p w14:paraId="6CE4D287" w14:textId="77777777" w:rsidR="00E302CD" w:rsidRPr="00B56FDF" w:rsidRDefault="00000000">
            <w:pPr>
              <w:bidi/>
              <w:spacing w:after="0" w:line="252" w:lineRule="auto"/>
              <w:ind w:firstLine="0"/>
              <w:jc w:val="center"/>
              <w:rPr>
                <w:rFonts w:ascii="Simplified Arabic" w:hAnsi="Simplified Arabic" w:cs="Simplified Arabic"/>
              </w:rPr>
            </w:pPr>
            <w:r w:rsidRPr="00B56FDF">
              <w:rPr>
                <w:rFonts w:ascii="Simplified Arabic" w:hAnsi="Simplified Arabic" w:cs="Simplified Arabic"/>
                <w:sz w:val="21"/>
                <w:rtl/>
              </w:rPr>
              <w:t>قياس النتائج وتحليل الانحرافات واتخاذ الإجراءات التصحيحية.</w:t>
            </w:r>
          </w:p>
        </w:tc>
      </w:tr>
      <w:tr w:rsidR="00E302CD" w:rsidRPr="00B56FDF" w14:paraId="113F139A" w14:textId="77777777" w:rsidTr="008F0F11">
        <w:trPr>
          <w:jc w:val="center"/>
        </w:trPr>
        <w:tc>
          <w:tcPr>
            <w:tcW w:w="2986" w:type="dxa"/>
            <w:shd w:val="clear" w:color="auto" w:fill="FFFFFF"/>
            <w:tcMar>
              <w:top w:w="90" w:type="dxa"/>
              <w:left w:w="90" w:type="dxa"/>
              <w:bottom w:w="90" w:type="dxa"/>
              <w:right w:w="90" w:type="dxa"/>
            </w:tcMar>
            <w:vAlign w:val="center"/>
          </w:tcPr>
          <w:p w14:paraId="7C92EDC6" w14:textId="77777777" w:rsidR="00E302CD" w:rsidRPr="00B56FDF" w:rsidRDefault="00000000">
            <w:pPr>
              <w:bidi/>
              <w:spacing w:after="0" w:line="252" w:lineRule="auto"/>
              <w:ind w:firstLine="0"/>
              <w:jc w:val="center"/>
              <w:rPr>
                <w:rFonts w:ascii="Simplified Arabic" w:hAnsi="Simplified Arabic" w:cs="Simplified Arabic"/>
              </w:rPr>
            </w:pPr>
            <w:r w:rsidRPr="00B56FDF">
              <w:rPr>
                <w:rFonts w:ascii="Simplified Arabic" w:hAnsi="Simplified Arabic" w:cs="Simplified Arabic"/>
                <w:sz w:val="21"/>
                <w:rtl/>
              </w:rPr>
              <w:t>كفاءة التشغيل</w:t>
            </w:r>
          </w:p>
        </w:tc>
        <w:tc>
          <w:tcPr>
            <w:tcW w:w="2986" w:type="dxa"/>
            <w:shd w:val="clear" w:color="auto" w:fill="FFFFFF"/>
            <w:tcMar>
              <w:top w:w="90" w:type="dxa"/>
              <w:left w:w="90" w:type="dxa"/>
              <w:bottom w:w="90" w:type="dxa"/>
              <w:right w:w="90" w:type="dxa"/>
            </w:tcMar>
            <w:vAlign w:val="center"/>
          </w:tcPr>
          <w:p w14:paraId="2BB8B52D" w14:textId="77777777" w:rsidR="00E302CD" w:rsidRPr="00B56FDF" w:rsidRDefault="00000000">
            <w:pPr>
              <w:bidi/>
              <w:spacing w:after="0" w:line="252" w:lineRule="auto"/>
              <w:ind w:firstLine="0"/>
              <w:jc w:val="center"/>
              <w:rPr>
                <w:rFonts w:ascii="Simplified Arabic" w:hAnsi="Simplified Arabic" w:cs="Simplified Arabic"/>
              </w:rPr>
            </w:pPr>
            <w:r w:rsidRPr="00B56FDF">
              <w:rPr>
                <w:rFonts w:ascii="Simplified Arabic" w:eastAsia="Times New Roman" w:hAnsi="Simplified Arabic" w:cs="Simplified Arabic"/>
                <w:sz w:val="21"/>
              </w:rPr>
              <w:t>Operational Efficiency</w:t>
            </w:r>
          </w:p>
        </w:tc>
        <w:tc>
          <w:tcPr>
            <w:tcW w:w="2986" w:type="dxa"/>
            <w:shd w:val="clear" w:color="auto" w:fill="FFFFFF"/>
            <w:tcMar>
              <w:top w:w="90" w:type="dxa"/>
              <w:left w:w="90" w:type="dxa"/>
              <w:bottom w:w="90" w:type="dxa"/>
              <w:right w:w="90" w:type="dxa"/>
            </w:tcMar>
            <w:vAlign w:val="center"/>
          </w:tcPr>
          <w:p w14:paraId="680B36B8" w14:textId="77777777" w:rsidR="00E302CD" w:rsidRPr="00B56FDF" w:rsidRDefault="00000000">
            <w:pPr>
              <w:bidi/>
              <w:spacing w:after="0" w:line="252" w:lineRule="auto"/>
              <w:ind w:firstLine="0"/>
              <w:jc w:val="center"/>
              <w:rPr>
                <w:rFonts w:ascii="Simplified Arabic" w:hAnsi="Simplified Arabic" w:cs="Simplified Arabic"/>
              </w:rPr>
            </w:pPr>
            <w:r w:rsidRPr="00B56FDF">
              <w:rPr>
                <w:rFonts w:ascii="Simplified Arabic" w:hAnsi="Simplified Arabic" w:cs="Simplified Arabic"/>
                <w:sz w:val="21"/>
                <w:rtl/>
              </w:rPr>
              <w:t>تحقيق المخرجات المطلوبة بجودة واعتمادية مع الاستخدام الرشيد للموارد.</w:t>
            </w:r>
          </w:p>
        </w:tc>
      </w:tr>
      <w:tr w:rsidR="00E302CD" w:rsidRPr="00B56FDF" w14:paraId="3C3C8D7B" w14:textId="77777777" w:rsidTr="008F0F11">
        <w:trPr>
          <w:jc w:val="center"/>
        </w:trPr>
        <w:tc>
          <w:tcPr>
            <w:tcW w:w="2986" w:type="dxa"/>
            <w:shd w:val="clear" w:color="auto" w:fill="F3F6F9"/>
            <w:tcMar>
              <w:top w:w="90" w:type="dxa"/>
              <w:left w:w="90" w:type="dxa"/>
              <w:bottom w:w="90" w:type="dxa"/>
              <w:right w:w="90" w:type="dxa"/>
            </w:tcMar>
            <w:vAlign w:val="center"/>
          </w:tcPr>
          <w:p w14:paraId="3BDFBDDB" w14:textId="77777777" w:rsidR="00E302CD" w:rsidRPr="00B56FDF" w:rsidRDefault="00000000">
            <w:pPr>
              <w:bidi/>
              <w:spacing w:after="0" w:line="252" w:lineRule="auto"/>
              <w:ind w:firstLine="0"/>
              <w:jc w:val="center"/>
              <w:rPr>
                <w:rFonts w:ascii="Simplified Arabic" w:hAnsi="Simplified Arabic" w:cs="Simplified Arabic"/>
              </w:rPr>
            </w:pPr>
            <w:r w:rsidRPr="00B56FDF">
              <w:rPr>
                <w:rFonts w:ascii="Simplified Arabic" w:hAnsi="Simplified Arabic" w:cs="Simplified Arabic"/>
                <w:sz w:val="21"/>
                <w:rtl/>
              </w:rPr>
              <w:t>تحلية مياه البحر</w:t>
            </w:r>
          </w:p>
        </w:tc>
        <w:tc>
          <w:tcPr>
            <w:tcW w:w="2986" w:type="dxa"/>
            <w:shd w:val="clear" w:color="auto" w:fill="F3F6F9"/>
            <w:tcMar>
              <w:top w:w="90" w:type="dxa"/>
              <w:left w:w="90" w:type="dxa"/>
              <w:bottom w:w="90" w:type="dxa"/>
              <w:right w:w="90" w:type="dxa"/>
            </w:tcMar>
            <w:vAlign w:val="center"/>
          </w:tcPr>
          <w:p w14:paraId="11835C45" w14:textId="77777777" w:rsidR="00E302CD" w:rsidRPr="00B56FDF" w:rsidRDefault="00000000">
            <w:pPr>
              <w:bidi/>
              <w:spacing w:after="0" w:line="252" w:lineRule="auto"/>
              <w:ind w:firstLine="0"/>
              <w:jc w:val="center"/>
              <w:rPr>
                <w:rFonts w:ascii="Simplified Arabic" w:hAnsi="Simplified Arabic" w:cs="Simplified Arabic"/>
              </w:rPr>
            </w:pPr>
            <w:r w:rsidRPr="00B56FDF">
              <w:rPr>
                <w:rFonts w:ascii="Simplified Arabic" w:eastAsia="Times New Roman" w:hAnsi="Simplified Arabic" w:cs="Simplified Arabic"/>
                <w:sz w:val="21"/>
              </w:rPr>
              <w:t>Seawater Desalination</w:t>
            </w:r>
          </w:p>
        </w:tc>
        <w:tc>
          <w:tcPr>
            <w:tcW w:w="2986" w:type="dxa"/>
            <w:shd w:val="clear" w:color="auto" w:fill="F3F6F9"/>
            <w:tcMar>
              <w:top w:w="90" w:type="dxa"/>
              <w:left w:w="90" w:type="dxa"/>
              <w:bottom w:w="90" w:type="dxa"/>
              <w:right w:w="90" w:type="dxa"/>
            </w:tcMar>
            <w:vAlign w:val="center"/>
          </w:tcPr>
          <w:p w14:paraId="77777125" w14:textId="77777777" w:rsidR="00E302CD" w:rsidRPr="00B56FDF" w:rsidRDefault="00000000">
            <w:pPr>
              <w:bidi/>
              <w:spacing w:after="0" w:line="252" w:lineRule="auto"/>
              <w:ind w:firstLine="0"/>
              <w:jc w:val="center"/>
              <w:rPr>
                <w:rFonts w:ascii="Simplified Arabic" w:hAnsi="Simplified Arabic" w:cs="Simplified Arabic"/>
              </w:rPr>
            </w:pPr>
            <w:r w:rsidRPr="00B56FDF">
              <w:rPr>
                <w:rFonts w:ascii="Simplified Arabic" w:hAnsi="Simplified Arabic" w:cs="Simplified Arabic"/>
                <w:sz w:val="21"/>
                <w:rtl/>
              </w:rPr>
              <w:t>إزالة الأملاح والشوائب من مياه البحر لإنتاج مياه مطابقة للمواصفات.</w:t>
            </w:r>
          </w:p>
        </w:tc>
      </w:tr>
      <w:tr w:rsidR="00E302CD" w:rsidRPr="00B56FDF" w14:paraId="39585692" w14:textId="77777777" w:rsidTr="008F0F11">
        <w:trPr>
          <w:jc w:val="center"/>
        </w:trPr>
        <w:tc>
          <w:tcPr>
            <w:tcW w:w="2986" w:type="dxa"/>
            <w:shd w:val="clear" w:color="auto" w:fill="F3F6F9"/>
            <w:tcMar>
              <w:top w:w="90" w:type="dxa"/>
              <w:left w:w="90" w:type="dxa"/>
              <w:bottom w:w="90" w:type="dxa"/>
              <w:right w:w="90" w:type="dxa"/>
            </w:tcMar>
            <w:vAlign w:val="center"/>
          </w:tcPr>
          <w:p w14:paraId="7A0C7708" w14:textId="77777777" w:rsidR="00E302CD" w:rsidRPr="00B56FDF" w:rsidRDefault="00000000">
            <w:pPr>
              <w:bidi/>
              <w:spacing w:after="0" w:line="240" w:lineRule="auto"/>
              <w:ind w:firstLine="0"/>
              <w:jc w:val="center"/>
              <w:rPr>
                <w:rFonts w:ascii="Simplified Arabic" w:hAnsi="Simplified Arabic" w:cs="Simplified Arabic"/>
              </w:rPr>
            </w:pPr>
            <w:r w:rsidRPr="00B56FDF">
              <w:rPr>
                <w:rFonts w:ascii="Simplified Arabic" w:hAnsi="Simplified Arabic" w:cs="Simplified Arabic"/>
                <w:sz w:val="21"/>
                <w:rtl/>
              </w:rPr>
              <w:t>الاعتمادية التشغيلية</w:t>
            </w:r>
          </w:p>
        </w:tc>
        <w:tc>
          <w:tcPr>
            <w:tcW w:w="2986" w:type="dxa"/>
            <w:shd w:val="clear" w:color="auto" w:fill="F3F6F9"/>
            <w:tcMar>
              <w:top w:w="90" w:type="dxa"/>
              <w:left w:w="90" w:type="dxa"/>
              <w:bottom w:w="90" w:type="dxa"/>
              <w:right w:w="90" w:type="dxa"/>
            </w:tcMar>
            <w:vAlign w:val="center"/>
          </w:tcPr>
          <w:p w14:paraId="4B3F5575" w14:textId="77777777" w:rsidR="00E302CD" w:rsidRPr="00B56FDF" w:rsidRDefault="00000000">
            <w:pPr>
              <w:bidi/>
              <w:spacing w:after="0" w:line="240" w:lineRule="auto"/>
              <w:ind w:firstLine="0"/>
              <w:jc w:val="center"/>
              <w:rPr>
                <w:rFonts w:ascii="Simplified Arabic" w:hAnsi="Simplified Arabic" w:cs="Simplified Arabic"/>
              </w:rPr>
            </w:pPr>
            <w:r w:rsidRPr="00B56FDF">
              <w:rPr>
                <w:rFonts w:ascii="Simplified Arabic" w:eastAsia="Times New Roman" w:hAnsi="Simplified Arabic" w:cs="Simplified Arabic"/>
                <w:sz w:val="21"/>
              </w:rPr>
              <w:t>Operational Reliability</w:t>
            </w:r>
          </w:p>
        </w:tc>
        <w:tc>
          <w:tcPr>
            <w:tcW w:w="2986" w:type="dxa"/>
            <w:shd w:val="clear" w:color="auto" w:fill="F3F6F9"/>
            <w:tcMar>
              <w:top w:w="90" w:type="dxa"/>
              <w:left w:w="90" w:type="dxa"/>
              <w:bottom w:w="90" w:type="dxa"/>
              <w:right w:w="90" w:type="dxa"/>
            </w:tcMar>
            <w:vAlign w:val="center"/>
          </w:tcPr>
          <w:p w14:paraId="57BE448A" w14:textId="77777777" w:rsidR="00E302CD" w:rsidRPr="00B56FDF" w:rsidRDefault="00000000">
            <w:pPr>
              <w:bidi/>
              <w:spacing w:after="0" w:line="240" w:lineRule="auto"/>
              <w:ind w:firstLine="0"/>
              <w:jc w:val="center"/>
              <w:rPr>
                <w:rFonts w:ascii="Simplified Arabic" w:hAnsi="Simplified Arabic" w:cs="Simplified Arabic"/>
              </w:rPr>
            </w:pPr>
            <w:r w:rsidRPr="00B56FDF">
              <w:rPr>
                <w:rFonts w:ascii="Simplified Arabic" w:hAnsi="Simplified Arabic" w:cs="Simplified Arabic"/>
                <w:sz w:val="21"/>
                <w:rtl/>
              </w:rPr>
              <w:t>قدرة الأصول والعمليات على أداء وظائفها المطلوبة مع تقليل الأعطال والتوقفات غير المخططة.</w:t>
            </w:r>
          </w:p>
        </w:tc>
      </w:tr>
      <w:tr w:rsidR="00E302CD" w:rsidRPr="00B56FDF" w14:paraId="76291BF9" w14:textId="77777777" w:rsidTr="008F0F11">
        <w:trPr>
          <w:jc w:val="center"/>
        </w:trPr>
        <w:tc>
          <w:tcPr>
            <w:tcW w:w="2986" w:type="dxa"/>
            <w:shd w:val="clear" w:color="auto" w:fill="F3F6F9"/>
            <w:tcMar>
              <w:top w:w="90" w:type="dxa"/>
              <w:left w:w="90" w:type="dxa"/>
              <w:bottom w:w="90" w:type="dxa"/>
              <w:right w:w="90" w:type="dxa"/>
            </w:tcMar>
            <w:vAlign w:val="center"/>
          </w:tcPr>
          <w:p w14:paraId="0CFE0339" w14:textId="77777777" w:rsidR="00E302CD" w:rsidRPr="00B56FDF" w:rsidRDefault="00000000">
            <w:pPr>
              <w:bidi/>
              <w:spacing w:after="0" w:line="240" w:lineRule="auto"/>
              <w:ind w:firstLine="0"/>
              <w:jc w:val="center"/>
              <w:rPr>
                <w:rFonts w:ascii="Simplified Arabic" w:hAnsi="Simplified Arabic" w:cs="Simplified Arabic"/>
              </w:rPr>
            </w:pPr>
            <w:r w:rsidRPr="00B56FDF">
              <w:rPr>
                <w:rFonts w:ascii="Simplified Arabic" w:hAnsi="Simplified Arabic" w:cs="Simplified Arabic"/>
                <w:sz w:val="21"/>
                <w:rtl/>
              </w:rPr>
              <w:t>استمرارية التشغيل</w:t>
            </w:r>
          </w:p>
        </w:tc>
        <w:tc>
          <w:tcPr>
            <w:tcW w:w="2986" w:type="dxa"/>
            <w:shd w:val="clear" w:color="auto" w:fill="F3F6F9"/>
            <w:tcMar>
              <w:top w:w="90" w:type="dxa"/>
              <w:left w:w="90" w:type="dxa"/>
              <w:bottom w:w="90" w:type="dxa"/>
              <w:right w:w="90" w:type="dxa"/>
            </w:tcMar>
            <w:vAlign w:val="center"/>
          </w:tcPr>
          <w:p w14:paraId="07CE4F91" w14:textId="77777777" w:rsidR="00E302CD" w:rsidRPr="00B56FDF" w:rsidRDefault="00000000">
            <w:pPr>
              <w:bidi/>
              <w:spacing w:after="0" w:line="240" w:lineRule="auto"/>
              <w:ind w:firstLine="0"/>
              <w:jc w:val="center"/>
              <w:rPr>
                <w:rFonts w:ascii="Simplified Arabic" w:hAnsi="Simplified Arabic" w:cs="Simplified Arabic"/>
              </w:rPr>
            </w:pPr>
            <w:r w:rsidRPr="00B56FDF">
              <w:rPr>
                <w:rFonts w:ascii="Simplified Arabic" w:eastAsia="Times New Roman" w:hAnsi="Simplified Arabic" w:cs="Simplified Arabic"/>
                <w:sz w:val="21"/>
              </w:rPr>
              <w:t>Operating Continuity</w:t>
            </w:r>
          </w:p>
        </w:tc>
        <w:tc>
          <w:tcPr>
            <w:tcW w:w="2986" w:type="dxa"/>
            <w:shd w:val="clear" w:color="auto" w:fill="F3F6F9"/>
            <w:tcMar>
              <w:top w:w="90" w:type="dxa"/>
              <w:left w:w="90" w:type="dxa"/>
              <w:bottom w:w="90" w:type="dxa"/>
              <w:right w:w="90" w:type="dxa"/>
            </w:tcMar>
            <w:vAlign w:val="center"/>
          </w:tcPr>
          <w:p w14:paraId="10CF2773" w14:textId="77777777" w:rsidR="00E302CD" w:rsidRPr="00B56FDF" w:rsidRDefault="00000000">
            <w:pPr>
              <w:bidi/>
              <w:spacing w:after="0" w:line="240" w:lineRule="auto"/>
              <w:ind w:firstLine="0"/>
              <w:jc w:val="center"/>
              <w:rPr>
                <w:rFonts w:ascii="Simplified Arabic" w:hAnsi="Simplified Arabic" w:cs="Simplified Arabic"/>
              </w:rPr>
            </w:pPr>
            <w:r w:rsidRPr="00B56FDF">
              <w:rPr>
                <w:rFonts w:ascii="Simplified Arabic" w:hAnsi="Simplified Arabic" w:cs="Simplified Arabic"/>
                <w:sz w:val="21"/>
                <w:rtl/>
              </w:rPr>
              <w:t>قدرة المحطة على المحافظة على الخدمة والاستجابة للاضطرابات واستعادة التشغيل في الوقت المناسب.</w:t>
            </w:r>
          </w:p>
        </w:tc>
      </w:tr>
      <w:tr w:rsidR="00E302CD" w:rsidRPr="00B56FDF" w14:paraId="28CCA825" w14:textId="77777777" w:rsidTr="008F0F11">
        <w:trPr>
          <w:jc w:val="center"/>
        </w:trPr>
        <w:tc>
          <w:tcPr>
            <w:tcW w:w="2986" w:type="dxa"/>
            <w:shd w:val="clear" w:color="auto" w:fill="F3F6F9"/>
            <w:tcMar>
              <w:top w:w="90" w:type="dxa"/>
              <w:left w:w="90" w:type="dxa"/>
              <w:bottom w:w="90" w:type="dxa"/>
              <w:right w:w="90" w:type="dxa"/>
            </w:tcMar>
            <w:vAlign w:val="center"/>
          </w:tcPr>
          <w:p w14:paraId="22231E50" w14:textId="77777777" w:rsidR="00E302CD" w:rsidRPr="00B56FDF" w:rsidRDefault="00000000">
            <w:pPr>
              <w:bidi/>
              <w:spacing w:after="0" w:line="240" w:lineRule="auto"/>
              <w:ind w:firstLine="0"/>
              <w:jc w:val="center"/>
              <w:rPr>
                <w:rFonts w:ascii="Simplified Arabic" w:hAnsi="Simplified Arabic" w:cs="Simplified Arabic"/>
              </w:rPr>
            </w:pPr>
            <w:r w:rsidRPr="00B56FDF">
              <w:rPr>
                <w:rFonts w:ascii="Simplified Arabic" w:hAnsi="Simplified Arabic" w:cs="Simplified Arabic"/>
                <w:sz w:val="21"/>
                <w:rtl/>
              </w:rPr>
              <w:t>كفاءة الطاقة</w:t>
            </w:r>
          </w:p>
        </w:tc>
        <w:tc>
          <w:tcPr>
            <w:tcW w:w="2986" w:type="dxa"/>
            <w:shd w:val="clear" w:color="auto" w:fill="F3F6F9"/>
            <w:tcMar>
              <w:top w:w="90" w:type="dxa"/>
              <w:left w:w="90" w:type="dxa"/>
              <w:bottom w:w="90" w:type="dxa"/>
              <w:right w:w="90" w:type="dxa"/>
            </w:tcMar>
            <w:vAlign w:val="center"/>
          </w:tcPr>
          <w:p w14:paraId="384EAA78" w14:textId="77777777" w:rsidR="00E302CD" w:rsidRPr="00B56FDF" w:rsidRDefault="00000000">
            <w:pPr>
              <w:bidi/>
              <w:spacing w:after="0" w:line="240" w:lineRule="auto"/>
              <w:ind w:firstLine="0"/>
              <w:jc w:val="center"/>
              <w:rPr>
                <w:rFonts w:ascii="Simplified Arabic" w:hAnsi="Simplified Arabic" w:cs="Simplified Arabic"/>
              </w:rPr>
            </w:pPr>
            <w:r w:rsidRPr="00B56FDF">
              <w:rPr>
                <w:rFonts w:ascii="Simplified Arabic" w:eastAsia="Times New Roman" w:hAnsi="Simplified Arabic" w:cs="Simplified Arabic"/>
                <w:sz w:val="21"/>
              </w:rPr>
              <w:t>Energy Efficiency</w:t>
            </w:r>
          </w:p>
        </w:tc>
        <w:tc>
          <w:tcPr>
            <w:tcW w:w="2986" w:type="dxa"/>
            <w:shd w:val="clear" w:color="auto" w:fill="F3F6F9"/>
            <w:tcMar>
              <w:top w:w="90" w:type="dxa"/>
              <w:left w:w="90" w:type="dxa"/>
              <w:bottom w:w="90" w:type="dxa"/>
              <w:right w:w="90" w:type="dxa"/>
            </w:tcMar>
            <w:vAlign w:val="center"/>
          </w:tcPr>
          <w:p w14:paraId="3CEE9B68" w14:textId="77777777" w:rsidR="00E302CD" w:rsidRPr="00B56FDF" w:rsidRDefault="00000000">
            <w:pPr>
              <w:bidi/>
              <w:spacing w:after="0" w:line="240" w:lineRule="auto"/>
              <w:ind w:firstLine="0"/>
              <w:jc w:val="center"/>
              <w:rPr>
                <w:rFonts w:ascii="Simplified Arabic" w:hAnsi="Simplified Arabic" w:cs="Simplified Arabic"/>
              </w:rPr>
            </w:pPr>
            <w:r w:rsidRPr="00B56FDF">
              <w:rPr>
                <w:rFonts w:ascii="Simplified Arabic" w:hAnsi="Simplified Arabic" w:cs="Simplified Arabic"/>
                <w:sz w:val="21"/>
                <w:rtl/>
              </w:rPr>
              <w:t>تحقيق المخرجات المطلوبة بأقل استهلاك ممكن للطاقة دون الإخلال بالجودة أو السلامة أو الاعتمادية.</w:t>
            </w:r>
          </w:p>
        </w:tc>
      </w:tr>
      <w:tr w:rsidR="00E302CD" w:rsidRPr="00B56FDF" w14:paraId="171184CF" w14:textId="77777777" w:rsidTr="008F0F11">
        <w:trPr>
          <w:jc w:val="center"/>
        </w:trPr>
        <w:tc>
          <w:tcPr>
            <w:tcW w:w="2986" w:type="dxa"/>
            <w:shd w:val="clear" w:color="auto" w:fill="F3F6F9"/>
            <w:tcMar>
              <w:top w:w="90" w:type="dxa"/>
              <w:left w:w="90" w:type="dxa"/>
              <w:bottom w:w="90" w:type="dxa"/>
              <w:right w:w="90" w:type="dxa"/>
            </w:tcMar>
            <w:vAlign w:val="center"/>
          </w:tcPr>
          <w:p w14:paraId="4E5B523B" w14:textId="77777777" w:rsidR="00E302CD" w:rsidRPr="00B56FDF" w:rsidRDefault="00000000">
            <w:pPr>
              <w:bidi/>
              <w:spacing w:after="0" w:line="240" w:lineRule="auto"/>
              <w:ind w:firstLine="0"/>
              <w:jc w:val="center"/>
              <w:rPr>
                <w:rFonts w:ascii="Simplified Arabic" w:hAnsi="Simplified Arabic" w:cs="Simplified Arabic"/>
              </w:rPr>
            </w:pPr>
            <w:r w:rsidRPr="00B56FDF">
              <w:rPr>
                <w:rFonts w:ascii="Simplified Arabic" w:hAnsi="Simplified Arabic" w:cs="Simplified Arabic"/>
                <w:sz w:val="21"/>
                <w:rtl/>
              </w:rPr>
              <w:t>الصيانة التنبؤية</w:t>
            </w:r>
          </w:p>
        </w:tc>
        <w:tc>
          <w:tcPr>
            <w:tcW w:w="2986" w:type="dxa"/>
            <w:shd w:val="clear" w:color="auto" w:fill="F3F6F9"/>
            <w:tcMar>
              <w:top w:w="90" w:type="dxa"/>
              <w:left w:w="90" w:type="dxa"/>
              <w:bottom w:w="90" w:type="dxa"/>
              <w:right w:w="90" w:type="dxa"/>
            </w:tcMar>
            <w:vAlign w:val="center"/>
          </w:tcPr>
          <w:p w14:paraId="206E8384" w14:textId="77777777" w:rsidR="00E302CD" w:rsidRPr="00B56FDF" w:rsidRDefault="00000000">
            <w:pPr>
              <w:bidi/>
              <w:spacing w:after="0" w:line="240" w:lineRule="auto"/>
              <w:ind w:firstLine="0"/>
              <w:jc w:val="center"/>
              <w:rPr>
                <w:rFonts w:ascii="Simplified Arabic" w:hAnsi="Simplified Arabic" w:cs="Simplified Arabic"/>
              </w:rPr>
            </w:pPr>
            <w:r w:rsidRPr="00B56FDF">
              <w:rPr>
                <w:rFonts w:ascii="Simplified Arabic" w:eastAsia="Times New Roman" w:hAnsi="Simplified Arabic" w:cs="Simplified Arabic"/>
                <w:sz w:val="21"/>
              </w:rPr>
              <w:t>Predictive Maintenance</w:t>
            </w:r>
          </w:p>
        </w:tc>
        <w:tc>
          <w:tcPr>
            <w:tcW w:w="2986" w:type="dxa"/>
            <w:shd w:val="clear" w:color="auto" w:fill="F3F6F9"/>
            <w:tcMar>
              <w:top w:w="90" w:type="dxa"/>
              <w:left w:w="90" w:type="dxa"/>
              <w:bottom w:w="90" w:type="dxa"/>
              <w:right w:w="90" w:type="dxa"/>
            </w:tcMar>
            <w:vAlign w:val="center"/>
          </w:tcPr>
          <w:p w14:paraId="4AB82FE0" w14:textId="77777777" w:rsidR="00E302CD" w:rsidRPr="00B56FDF" w:rsidRDefault="00000000">
            <w:pPr>
              <w:bidi/>
              <w:spacing w:after="0" w:line="240" w:lineRule="auto"/>
              <w:ind w:firstLine="0"/>
              <w:jc w:val="center"/>
              <w:rPr>
                <w:rFonts w:ascii="Simplified Arabic" w:hAnsi="Simplified Arabic" w:cs="Simplified Arabic"/>
              </w:rPr>
            </w:pPr>
            <w:r w:rsidRPr="00B56FDF">
              <w:rPr>
                <w:rFonts w:ascii="Simplified Arabic" w:hAnsi="Simplified Arabic" w:cs="Simplified Arabic"/>
                <w:sz w:val="21"/>
                <w:rtl/>
              </w:rPr>
              <w:t>استخدام بيانات الحالة والاتجاهات للتنبؤ بموعد الخلل وتنفيذ الصيانة قبل وقوع التوقف.</w:t>
            </w:r>
          </w:p>
        </w:tc>
      </w:tr>
    </w:tbl>
    <w:p w14:paraId="1620CA46" w14:textId="77777777" w:rsidR="00E302CD" w:rsidRDefault="00000000" w:rsidP="008F0F11">
      <w:pPr>
        <w:pStyle w:val="Heading2"/>
        <w:bidi/>
        <w:jc w:val="center"/>
        <w:rPr>
          <w:rFonts w:ascii="Simplified Arabic" w:eastAsia="Amiri" w:hAnsi="Simplified Arabic" w:cs="Simplified Arabic"/>
          <w:sz w:val="40"/>
          <w:szCs w:val="28"/>
        </w:rPr>
      </w:pPr>
      <w:r w:rsidRPr="008F0F11">
        <w:rPr>
          <w:rFonts w:ascii="Simplified Arabic" w:eastAsia="Amiri" w:hAnsi="Simplified Arabic" w:cs="Simplified Arabic"/>
          <w:sz w:val="40"/>
          <w:szCs w:val="28"/>
          <w:rtl/>
        </w:rPr>
        <w:lastRenderedPageBreak/>
        <w:t>الاختصارات</w:t>
      </w:r>
    </w:p>
    <w:p w14:paraId="6552B3FD" w14:textId="77777777" w:rsidR="008F0F11" w:rsidRPr="008F0F11" w:rsidRDefault="008F0F11" w:rsidP="008F0F11">
      <w:pPr>
        <w:bidi/>
      </w:pPr>
    </w:p>
    <w:tbl>
      <w:tblPr>
        <w:bidiVisual/>
        <w:tblW w:w="0" w:type="auto"/>
        <w:jc w:val="center"/>
        <w:tblBorders>
          <w:top w:val="single" w:sz="6" w:space="0" w:color="6B7280"/>
          <w:left w:val="single" w:sz="6" w:space="0" w:color="6B7280"/>
          <w:bottom w:val="single" w:sz="6" w:space="0" w:color="6B7280"/>
          <w:right w:val="single" w:sz="6" w:space="0" w:color="6B7280"/>
          <w:insideH w:val="single" w:sz="6" w:space="0" w:color="6B7280"/>
          <w:insideV w:val="single" w:sz="6" w:space="0" w:color="6B7280"/>
        </w:tblBorders>
        <w:tblLook w:val="04A0" w:firstRow="1" w:lastRow="0" w:firstColumn="1" w:lastColumn="0" w:noHBand="0" w:noVBand="1"/>
      </w:tblPr>
      <w:tblGrid>
        <w:gridCol w:w="4479"/>
        <w:gridCol w:w="4479"/>
      </w:tblGrid>
      <w:tr w:rsidR="00E302CD" w:rsidRPr="00B56FDF" w14:paraId="510E8313" w14:textId="77777777" w:rsidTr="008F0F11">
        <w:trPr>
          <w:tblHeader/>
          <w:jc w:val="center"/>
        </w:trPr>
        <w:tc>
          <w:tcPr>
            <w:tcW w:w="4479" w:type="dxa"/>
            <w:shd w:val="clear" w:color="auto" w:fill="1F4E79"/>
            <w:tcMar>
              <w:top w:w="90" w:type="dxa"/>
              <w:left w:w="90" w:type="dxa"/>
              <w:bottom w:w="90" w:type="dxa"/>
              <w:right w:w="90" w:type="dxa"/>
            </w:tcMar>
            <w:vAlign w:val="center"/>
          </w:tcPr>
          <w:p w14:paraId="02FCA771" w14:textId="77777777" w:rsidR="00E302CD" w:rsidRPr="00B56FDF" w:rsidRDefault="00000000">
            <w:pPr>
              <w:bidi/>
              <w:spacing w:after="0" w:line="252" w:lineRule="auto"/>
              <w:ind w:firstLine="0"/>
              <w:jc w:val="center"/>
              <w:rPr>
                <w:rFonts w:ascii="Simplified Arabic" w:hAnsi="Simplified Arabic" w:cs="Simplified Arabic"/>
              </w:rPr>
            </w:pPr>
            <w:r w:rsidRPr="00B56FDF">
              <w:rPr>
                <w:rFonts w:ascii="Simplified Arabic" w:hAnsi="Simplified Arabic" w:cs="Simplified Arabic"/>
                <w:b/>
                <w:color w:val="FFFFFF"/>
                <w:sz w:val="21"/>
                <w:rtl/>
              </w:rPr>
              <w:t>الاختصار</w:t>
            </w:r>
          </w:p>
        </w:tc>
        <w:tc>
          <w:tcPr>
            <w:tcW w:w="4479" w:type="dxa"/>
            <w:shd w:val="clear" w:color="auto" w:fill="1F4E79"/>
            <w:tcMar>
              <w:top w:w="90" w:type="dxa"/>
              <w:left w:w="90" w:type="dxa"/>
              <w:bottom w:w="90" w:type="dxa"/>
              <w:right w:w="90" w:type="dxa"/>
            </w:tcMar>
            <w:vAlign w:val="center"/>
          </w:tcPr>
          <w:p w14:paraId="31B03C85" w14:textId="77777777" w:rsidR="00E302CD" w:rsidRPr="00B56FDF" w:rsidRDefault="00000000">
            <w:pPr>
              <w:bidi/>
              <w:spacing w:after="0" w:line="252" w:lineRule="auto"/>
              <w:ind w:firstLine="0"/>
              <w:jc w:val="center"/>
              <w:rPr>
                <w:rFonts w:ascii="Simplified Arabic" w:hAnsi="Simplified Arabic" w:cs="Simplified Arabic"/>
              </w:rPr>
            </w:pPr>
            <w:r w:rsidRPr="00B56FDF">
              <w:rPr>
                <w:rFonts w:ascii="Simplified Arabic" w:hAnsi="Simplified Arabic" w:cs="Simplified Arabic"/>
                <w:b/>
                <w:color w:val="FFFFFF"/>
                <w:sz w:val="21"/>
                <w:rtl/>
              </w:rPr>
              <w:t>الدلالة</w:t>
            </w:r>
          </w:p>
        </w:tc>
      </w:tr>
      <w:tr w:rsidR="00E302CD" w:rsidRPr="00B56FDF" w14:paraId="1AA6EE96" w14:textId="77777777" w:rsidTr="008F0F11">
        <w:trPr>
          <w:jc w:val="center"/>
        </w:trPr>
        <w:tc>
          <w:tcPr>
            <w:tcW w:w="4479" w:type="dxa"/>
            <w:shd w:val="clear" w:color="auto" w:fill="FFFFFF"/>
            <w:tcMar>
              <w:top w:w="90" w:type="dxa"/>
              <w:left w:w="90" w:type="dxa"/>
              <w:bottom w:w="90" w:type="dxa"/>
              <w:right w:w="90" w:type="dxa"/>
            </w:tcMar>
            <w:vAlign w:val="center"/>
          </w:tcPr>
          <w:p w14:paraId="34C748B2" w14:textId="77777777" w:rsidR="00E302CD" w:rsidRPr="00B56FDF" w:rsidRDefault="00000000">
            <w:pPr>
              <w:bidi/>
              <w:spacing w:after="0" w:line="252" w:lineRule="auto"/>
              <w:ind w:firstLine="0"/>
              <w:jc w:val="center"/>
              <w:rPr>
                <w:rFonts w:ascii="Simplified Arabic" w:hAnsi="Simplified Arabic" w:cs="Simplified Arabic"/>
              </w:rPr>
            </w:pPr>
            <w:r w:rsidRPr="00B56FDF">
              <w:rPr>
                <w:rFonts w:ascii="Simplified Arabic" w:eastAsia="Times New Roman" w:hAnsi="Simplified Arabic" w:cs="Simplified Arabic"/>
                <w:sz w:val="21"/>
              </w:rPr>
              <w:t>SPSS</w:t>
            </w:r>
          </w:p>
        </w:tc>
        <w:tc>
          <w:tcPr>
            <w:tcW w:w="4479" w:type="dxa"/>
            <w:shd w:val="clear" w:color="auto" w:fill="FFFFFF"/>
            <w:tcMar>
              <w:top w:w="90" w:type="dxa"/>
              <w:left w:w="90" w:type="dxa"/>
              <w:bottom w:w="90" w:type="dxa"/>
              <w:right w:w="90" w:type="dxa"/>
            </w:tcMar>
            <w:vAlign w:val="center"/>
          </w:tcPr>
          <w:p w14:paraId="5C3C9181" w14:textId="77777777" w:rsidR="00E302CD" w:rsidRPr="00B56FDF" w:rsidRDefault="00000000">
            <w:pPr>
              <w:bidi/>
              <w:spacing w:after="0" w:line="252" w:lineRule="auto"/>
              <w:ind w:firstLine="0"/>
              <w:jc w:val="center"/>
              <w:rPr>
                <w:rFonts w:ascii="Simplified Arabic" w:hAnsi="Simplified Arabic" w:cs="Simplified Arabic"/>
              </w:rPr>
            </w:pPr>
            <w:r w:rsidRPr="00B56FDF">
              <w:rPr>
                <w:rFonts w:ascii="Simplified Arabic" w:hAnsi="Simplified Arabic" w:cs="Simplified Arabic"/>
                <w:sz w:val="21"/>
                <w:rtl/>
              </w:rPr>
              <w:t>الحزمة الإحصائية للعلوم الاجتماعية</w:t>
            </w:r>
          </w:p>
        </w:tc>
      </w:tr>
      <w:tr w:rsidR="00E302CD" w:rsidRPr="00B56FDF" w14:paraId="7B8F1936" w14:textId="77777777" w:rsidTr="008F0F11">
        <w:trPr>
          <w:jc w:val="center"/>
        </w:trPr>
        <w:tc>
          <w:tcPr>
            <w:tcW w:w="4479" w:type="dxa"/>
            <w:shd w:val="clear" w:color="auto" w:fill="F3F6F9"/>
            <w:tcMar>
              <w:top w:w="90" w:type="dxa"/>
              <w:left w:w="90" w:type="dxa"/>
              <w:bottom w:w="90" w:type="dxa"/>
              <w:right w:w="90" w:type="dxa"/>
            </w:tcMar>
            <w:vAlign w:val="center"/>
          </w:tcPr>
          <w:p w14:paraId="111BB97A" w14:textId="77777777" w:rsidR="00E302CD" w:rsidRPr="00B56FDF" w:rsidRDefault="00000000">
            <w:pPr>
              <w:bidi/>
              <w:spacing w:after="0" w:line="252" w:lineRule="auto"/>
              <w:ind w:firstLine="0"/>
              <w:jc w:val="center"/>
              <w:rPr>
                <w:rFonts w:ascii="Simplified Arabic" w:hAnsi="Simplified Arabic" w:cs="Simplified Arabic"/>
              </w:rPr>
            </w:pPr>
            <w:r w:rsidRPr="00B56FDF">
              <w:rPr>
                <w:rFonts w:ascii="Simplified Arabic" w:eastAsia="Times New Roman" w:hAnsi="Simplified Arabic" w:cs="Simplified Arabic"/>
                <w:sz w:val="21"/>
              </w:rPr>
              <w:t>ANOVA</w:t>
            </w:r>
          </w:p>
        </w:tc>
        <w:tc>
          <w:tcPr>
            <w:tcW w:w="4479" w:type="dxa"/>
            <w:shd w:val="clear" w:color="auto" w:fill="F3F6F9"/>
            <w:tcMar>
              <w:top w:w="90" w:type="dxa"/>
              <w:left w:w="90" w:type="dxa"/>
              <w:bottom w:w="90" w:type="dxa"/>
              <w:right w:w="90" w:type="dxa"/>
            </w:tcMar>
            <w:vAlign w:val="center"/>
          </w:tcPr>
          <w:p w14:paraId="6FA72DA5" w14:textId="77777777" w:rsidR="00E302CD" w:rsidRPr="00B56FDF" w:rsidRDefault="00000000">
            <w:pPr>
              <w:bidi/>
              <w:spacing w:after="0" w:line="252" w:lineRule="auto"/>
              <w:ind w:firstLine="0"/>
              <w:jc w:val="center"/>
              <w:rPr>
                <w:rFonts w:ascii="Simplified Arabic" w:hAnsi="Simplified Arabic" w:cs="Simplified Arabic"/>
              </w:rPr>
            </w:pPr>
            <w:r w:rsidRPr="00B56FDF">
              <w:rPr>
                <w:rFonts w:ascii="Simplified Arabic" w:hAnsi="Simplified Arabic" w:cs="Simplified Arabic"/>
                <w:sz w:val="21"/>
                <w:rtl/>
              </w:rPr>
              <w:t>تحليل التباين الأحادي</w:t>
            </w:r>
          </w:p>
        </w:tc>
      </w:tr>
      <w:tr w:rsidR="00E302CD" w:rsidRPr="00B56FDF" w14:paraId="1594C39F" w14:textId="77777777" w:rsidTr="008F0F11">
        <w:trPr>
          <w:jc w:val="center"/>
        </w:trPr>
        <w:tc>
          <w:tcPr>
            <w:tcW w:w="4479" w:type="dxa"/>
            <w:shd w:val="clear" w:color="auto" w:fill="FFFFFF"/>
            <w:tcMar>
              <w:top w:w="90" w:type="dxa"/>
              <w:left w:w="90" w:type="dxa"/>
              <w:bottom w:w="90" w:type="dxa"/>
              <w:right w:w="90" w:type="dxa"/>
            </w:tcMar>
            <w:vAlign w:val="center"/>
          </w:tcPr>
          <w:p w14:paraId="3BC719A3" w14:textId="77777777" w:rsidR="00E302CD" w:rsidRPr="00B56FDF" w:rsidRDefault="00000000">
            <w:pPr>
              <w:bidi/>
              <w:spacing w:after="0" w:line="252" w:lineRule="auto"/>
              <w:ind w:firstLine="0"/>
              <w:jc w:val="center"/>
              <w:rPr>
                <w:rFonts w:ascii="Simplified Arabic" w:hAnsi="Simplified Arabic" w:cs="Simplified Arabic"/>
              </w:rPr>
            </w:pPr>
            <w:r w:rsidRPr="00B56FDF">
              <w:rPr>
                <w:rFonts w:ascii="Simplified Arabic" w:eastAsia="Times New Roman" w:hAnsi="Simplified Arabic" w:cs="Simplified Arabic"/>
                <w:sz w:val="21"/>
              </w:rPr>
              <w:t>HSD</w:t>
            </w:r>
          </w:p>
        </w:tc>
        <w:tc>
          <w:tcPr>
            <w:tcW w:w="4479" w:type="dxa"/>
            <w:shd w:val="clear" w:color="auto" w:fill="FFFFFF"/>
            <w:tcMar>
              <w:top w:w="90" w:type="dxa"/>
              <w:left w:w="90" w:type="dxa"/>
              <w:bottom w:w="90" w:type="dxa"/>
              <w:right w:w="90" w:type="dxa"/>
            </w:tcMar>
            <w:vAlign w:val="center"/>
          </w:tcPr>
          <w:p w14:paraId="602F6724" w14:textId="77777777" w:rsidR="00E302CD" w:rsidRPr="00B56FDF" w:rsidRDefault="00000000">
            <w:pPr>
              <w:bidi/>
              <w:spacing w:after="0" w:line="252" w:lineRule="auto"/>
              <w:ind w:firstLine="0"/>
              <w:jc w:val="center"/>
              <w:rPr>
                <w:rFonts w:ascii="Simplified Arabic" w:hAnsi="Simplified Arabic" w:cs="Simplified Arabic"/>
              </w:rPr>
            </w:pPr>
            <w:r w:rsidRPr="00B56FDF">
              <w:rPr>
                <w:rFonts w:ascii="Simplified Arabic" w:hAnsi="Simplified Arabic" w:cs="Simplified Arabic"/>
                <w:sz w:val="21"/>
                <w:rtl/>
              </w:rPr>
              <w:t>اختبار توكي للمقارنات البعدية</w:t>
            </w:r>
          </w:p>
        </w:tc>
      </w:tr>
      <w:tr w:rsidR="00E302CD" w:rsidRPr="00B56FDF" w14:paraId="62C49ABD" w14:textId="77777777" w:rsidTr="008F0F11">
        <w:trPr>
          <w:jc w:val="center"/>
        </w:trPr>
        <w:tc>
          <w:tcPr>
            <w:tcW w:w="4479" w:type="dxa"/>
            <w:shd w:val="clear" w:color="auto" w:fill="F3F6F9"/>
            <w:tcMar>
              <w:top w:w="90" w:type="dxa"/>
              <w:left w:w="90" w:type="dxa"/>
              <w:bottom w:w="90" w:type="dxa"/>
              <w:right w:w="90" w:type="dxa"/>
            </w:tcMar>
            <w:vAlign w:val="center"/>
          </w:tcPr>
          <w:p w14:paraId="072161B0" w14:textId="77777777" w:rsidR="00E302CD" w:rsidRPr="00B56FDF" w:rsidRDefault="00000000">
            <w:pPr>
              <w:bidi/>
              <w:spacing w:after="0" w:line="252" w:lineRule="auto"/>
              <w:ind w:firstLine="0"/>
              <w:jc w:val="center"/>
              <w:rPr>
                <w:rFonts w:ascii="Simplified Arabic" w:hAnsi="Simplified Arabic" w:cs="Simplified Arabic"/>
              </w:rPr>
            </w:pPr>
            <w:r w:rsidRPr="00B56FDF">
              <w:rPr>
                <w:rFonts w:ascii="Simplified Arabic" w:eastAsia="Times New Roman" w:hAnsi="Simplified Arabic" w:cs="Simplified Arabic"/>
                <w:sz w:val="21"/>
              </w:rPr>
              <w:t>VIF</w:t>
            </w:r>
          </w:p>
        </w:tc>
        <w:tc>
          <w:tcPr>
            <w:tcW w:w="4479" w:type="dxa"/>
            <w:shd w:val="clear" w:color="auto" w:fill="F3F6F9"/>
            <w:tcMar>
              <w:top w:w="90" w:type="dxa"/>
              <w:left w:w="90" w:type="dxa"/>
              <w:bottom w:w="90" w:type="dxa"/>
              <w:right w:w="90" w:type="dxa"/>
            </w:tcMar>
            <w:vAlign w:val="center"/>
          </w:tcPr>
          <w:p w14:paraId="26AD55E3" w14:textId="77777777" w:rsidR="00E302CD" w:rsidRPr="00B56FDF" w:rsidRDefault="00000000">
            <w:pPr>
              <w:bidi/>
              <w:spacing w:after="0" w:line="252" w:lineRule="auto"/>
              <w:ind w:firstLine="0"/>
              <w:jc w:val="center"/>
              <w:rPr>
                <w:rFonts w:ascii="Simplified Arabic" w:hAnsi="Simplified Arabic" w:cs="Simplified Arabic"/>
              </w:rPr>
            </w:pPr>
            <w:r w:rsidRPr="00B56FDF">
              <w:rPr>
                <w:rFonts w:ascii="Simplified Arabic" w:hAnsi="Simplified Arabic" w:cs="Simplified Arabic"/>
                <w:sz w:val="21"/>
                <w:rtl/>
              </w:rPr>
              <w:t>معامل تضخم التباين</w:t>
            </w:r>
          </w:p>
        </w:tc>
      </w:tr>
      <w:tr w:rsidR="00E302CD" w:rsidRPr="00B56FDF" w14:paraId="054B052D" w14:textId="77777777" w:rsidTr="008F0F11">
        <w:trPr>
          <w:jc w:val="center"/>
        </w:trPr>
        <w:tc>
          <w:tcPr>
            <w:tcW w:w="4479" w:type="dxa"/>
            <w:shd w:val="clear" w:color="auto" w:fill="FFFFFF"/>
            <w:tcMar>
              <w:top w:w="90" w:type="dxa"/>
              <w:left w:w="90" w:type="dxa"/>
              <w:bottom w:w="90" w:type="dxa"/>
              <w:right w:w="90" w:type="dxa"/>
            </w:tcMar>
            <w:vAlign w:val="center"/>
          </w:tcPr>
          <w:p w14:paraId="2B71241F" w14:textId="77777777" w:rsidR="00E302CD" w:rsidRPr="00B56FDF" w:rsidRDefault="00000000">
            <w:pPr>
              <w:bidi/>
              <w:spacing w:after="0" w:line="252" w:lineRule="auto"/>
              <w:ind w:firstLine="0"/>
              <w:jc w:val="center"/>
              <w:rPr>
                <w:rFonts w:ascii="Simplified Arabic" w:hAnsi="Simplified Arabic" w:cs="Simplified Arabic"/>
              </w:rPr>
            </w:pPr>
            <w:r w:rsidRPr="00B56FDF">
              <w:rPr>
                <w:rFonts w:ascii="Simplified Arabic" w:eastAsia="Times New Roman" w:hAnsi="Simplified Arabic" w:cs="Simplified Arabic"/>
                <w:sz w:val="21"/>
              </w:rPr>
              <w:t>KPI</w:t>
            </w:r>
          </w:p>
        </w:tc>
        <w:tc>
          <w:tcPr>
            <w:tcW w:w="4479" w:type="dxa"/>
            <w:shd w:val="clear" w:color="auto" w:fill="FFFFFF"/>
            <w:tcMar>
              <w:top w:w="90" w:type="dxa"/>
              <w:left w:w="90" w:type="dxa"/>
              <w:bottom w:w="90" w:type="dxa"/>
              <w:right w:w="90" w:type="dxa"/>
            </w:tcMar>
            <w:vAlign w:val="center"/>
          </w:tcPr>
          <w:p w14:paraId="2E837C79" w14:textId="77777777" w:rsidR="00E302CD" w:rsidRPr="00B56FDF" w:rsidRDefault="00000000">
            <w:pPr>
              <w:bidi/>
              <w:spacing w:after="0" w:line="252" w:lineRule="auto"/>
              <w:ind w:firstLine="0"/>
              <w:jc w:val="center"/>
              <w:rPr>
                <w:rFonts w:ascii="Simplified Arabic" w:hAnsi="Simplified Arabic" w:cs="Simplified Arabic"/>
              </w:rPr>
            </w:pPr>
            <w:r w:rsidRPr="00B56FDF">
              <w:rPr>
                <w:rFonts w:ascii="Simplified Arabic" w:hAnsi="Simplified Arabic" w:cs="Simplified Arabic"/>
                <w:sz w:val="21"/>
                <w:rtl/>
              </w:rPr>
              <w:t>مؤشر الأداء الرئيس</w:t>
            </w:r>
          </w:p>
        </w:tc>
      </w:tr>
      <w:tr w:rsidR="00E302CD" w:rsidRPr="00B56FDF" w14:paraId="1870CB7E" w14:textId="77777777" w:rsidTr="008F0F11">
        <w:trPr>
          <w:jc w:val="center"/>
        </w:trPr>
        <w:tc>
          <w:tcPr>
            <w:tcW w:w="4479" w:type="dxa"/>
            <w:shd w:val="clear" w:color="auto" w:fill="F3F6F9"/>
            <w:tcMar>
              <w:top w:w="90" w:type="dxa"/>
              <w:left w:w="90" w:type="dxa"/>
              <w:bottom w:w="90" w:type="dxa"/>
              <w:right w:w="90" w:type="dxa"/>
            </w:tcMar>
            <w:vAlign w:val="center"/>
          </w:tcPr>
          <w:p w14:paraId="2A12534F" w14:textId="77777777" w:rsidR="00E302CD" w:rsidRPr="00B56FDF" w:rsidRDefault="00000000">
            <w:pPr>
              <w:bidi/>
              <w:spacing w:after="0" w:line="252" w:lineRule="auto"/>
              <w:ind w:firstLine="0"/>
              <w:jc w:val="center"/>
              <w:rPr>
                <w:rFonts w:ascii="Simplified Arabic" w:hAnsi="Simplified Arabic" w:cs="Simplified Arabic"/>
              </w:rPr>
            </w:pPr>
            <w:r w:rsidRPr="00B56FDF">
              <w:rPr>
                <w:rFonts w:ascii="Simplified Arabic" w:eastAsia="Times New Roman" w:hAnsi="Simplified Arabic" w:cs="Simplified Arabic"/>
                <w:sz w:val="21"/>
              </w:rPr>
              <w:t>RACI</w:t>
            </w:r>
          </w:p>
        </w:tc>
        <w:tc>
          <w:tcPr>
            <w:tcW w:w="4479" w:type="dxa"/>
            <w:shd w:val="clear" w:color="auto" w:fill="F3F6F9"/>
            <w:tcMar>
              <w:top w:w="90" w:type="dxa"/>
              <w:left w:w="90" w:type="dxa"/>
              <w:bottom w:w="90" w:type="dxa"/>
              <w:right w:w="90" w:type="dxa"/>
            </w:tcMar>
            <w:vAlign w:val="center"/>
          </w:tcPr>
          <w:p w14:paraId="1C12CDE0" w14:textId="77777777" w:rsidR="00E302CD" w:rsidRPr="00B56FDF" w:rsidRDefault="00000000">
            <w:pPr>
              <w:bidi/>
              <w:spacing w:after="0" w:line="252" w:lineRule="auto"/>
              <w:ind w:firstLine="0"/>
              <w:jc w:val="center"/>
              <w:rPr>
                <w:rFonts w:ascii="Simplified Arabic" w:hAnsi="Simplified Arabic" w:cs="Simplified Arabic"/>
              </w:rPr>
            </w:pPr>
            <w:r w:rsidRPr="00B56FDF">
              <w:rPr>
                <w:rFonts w:ascii="Simplified Arabic" w:hAnsi="Simplified Arabic" w:cs="Simplified Arabic"/>
                <w:sz w:val="21"/>
                <w:rtl/>
              </w:rPr>
              <w:t>مصفوفة المسؤوليات</w:t>
            </w:r>
          </w:p>
        </w:tc>
      </w:tr>
      <w:tr w:rsidR="00E302CD" w:rsidRPr="00B56FDF" w14:paraId="6FA245C2" w14:textId="77777777" w:rsidTr="008F0F11">
        <w:trPr>
          <w:jc w:val="center"/>
        </w:trPr>
        <w:tc>
          <w:tcPr>
            <w:tcW w:w="4479" w:type="dxa"/>
            <w:shd w:val="clear" w:color="auto" w:fill="FFFFFF"/>
            <w:tcMar>
              <w:top w:w="90" w:type="dxa"/>
              <w:left w:w="90" w:type="dxa"/>
              <w:bottom w:w="90" w:type="dxa"/>
              <w:right w:w="90" w:type="dxa"/>
            </w:tcMar>
            <w:vAlign w:val="center"/>
          </w:tcPr>
          <w:p w14:paraId="3A3B4E55" w14:textId="77777777" w:rsidR="00E302CD" w:rsidRPr="00B56FDF" w:rsidRDefault="00000000">
            <w:pPr>
              <w:bidi/>
              <w:spacing w:after="0" w:line="252" w:lineRule="auto"/>
              <w:ind w:firstLine="0"/>
              <w:jc w:val="center"/>
              <w:rPr>
                <w:rFonts w:ascii="Simplified Arabic" w:hAnsi="Simplified Arabic" w:cs="Simplified Arabic"/>
              </w:rPr>
            </w:pPr>
            <w:r w:rsidRPr="00B56FDF">
              <w:rPr>
                <w:rFonts w:ascii="Simplified Arabic" w:eastAsia="Times New Roman" w:hAnsi="Simplified Arabic" w:cs="Simplified Arabic"/>
                <w:sz w:val="21"/>
              </w:rPr>
              <w:t>RCA</w:t>
            </w:r>
          </w:p>
        </w:tc>
        <w:tc>
          <w:tcPr>
            <w:tcW w:w="4479" w:type="dxa"/>
            <w:shd w:val="clear" w:color="auto" w:fill="FFFFFF"/>
            <w:tcMar>
              <w:top w:w="90" w:type="dxa"/>
              <w:left w:w="90" w:type="dxa"/>
              <w:bottom w:w="90" w:type="dxa"/>
              <w:right w:w="90" w:type="dxa"/>
            </w:tcMar>
            <w:vAlign w:val="center"/>
          </w:tcPr>
          <w:p w14:paraId="1038D724" w14:textId="77777777" w:rsidR="00E302CD" w:rsidRPr="00B56FDF" w:rsidRDefault="00000000">
            <w:pPr>
              <w:bidi/>
              <w:spacing w:after="0" w:line="252" w:lineRule="auto"/>
              <w:ind w:firstLine="0"/>
              <w:jc w:val="center"/>
              <w:rPr>
                <w:rFonts w:ascii="Simplified Arabic" w:hAnsi="Simplified Arabic" w:cs="Simplified Arabic"/>
              </w:rPr>
            </w:pPr>
            <w:r w:rsidRPr="00B56FDF">
              <w:rPr>
                <w:rFonts w:ascii="Simplified Arabic" w:hAnsi="Simplified Arabic" w:cs="Simplified Arabic"/>
                <w:sz w:val="21"/>
                <w:rtl/>
              </w:rPr>
              <w:t>تحليل السبب الجذري</w:t>
            </w:r>
          </w:p>
        </w:tc>
      </w:tr>
      <w:tr w:rsidR="00E302CD" w:rsidRPr="00B56FDF" w14:paraId="041C2E85" w14:textId="77777777" w:rsidTr="008F0F11">
        <w:trPr>
          <w:jc w:val="center"/>
        </w:trPr>
        <w:tc>
          <w:tcPr>
            <w:tcW w:w="4479" w:type="dxa"/>
            <w:shd w:val="clear" w:color="auto" w:fill="F3F6F9"/>
            <w:tcMar>
              <w:top w:w="90" w:type="dxa"/>
              <w:left w:w="90" w:type="dxa"/>
              <w:bottom w:w="90" w:type="dxa"/>
              <w:right w:w="90" w:type="dxa"/>
            </w:tcMar>
            <w:vAlign w:val="center"/>
          </w:tcPr>
          <w:p w14:paraId="3F5B20D5" w14:textId="77777777" w:rsidR="00E302CD" w:rsidRPr="00B56FDF" w:rsidRDefault="00000000">
            <w:pPr>
              <w:bidi/>
              <w:spacing w:after="0" w:line="252" w:lineRule="auto"/>
              <w:ind w:firstLine="0"/>
              <w:jc w:val="center"/>
              <w:rPr>
                <w:rFonts w:ascii="Simplified Arabic" w:hAnsi="Simplified Arabic" w:cs="Simplified Arabic"/>
              </w:rPr>
            </w:pPr>
            <w:r w:rsidRPr="00B56FDF">
              <w:rPr>
                <w:rFonts w:ascii="Simplified Arabic" w:eastAsia="Times New Roman" w:hAnsi="Simplified Arabic" w:cs="Simplified Arabic"/>
                <w:sz w:val="21"/>
              </w:rPr>
              <w:t>SCADA</w:t>
            </w:r>
          </w:p>
        </w:tc>
        <w:tc>
          <w:tcPr>
            <w:tcW w:w="4479" w:type="dxa"/>
            <w:shd w:val="clear" w:color="auto" w:fill="F3F6F9"/>
            <w:tcMar>
              <w:top w:w="90" w:type="dxa"/>
              <w:left w:w="90" w:type="dxa"/>
              <w:bottom w:w="90" w:type="dxa"/>
              <w:right w:w="90" w:type="dxa"/>
            </w:tcMar>
            <w:vAlign w:val="center"/>
          </w:tcPr>
          <w:p w14:paraId="260760E0" w14:textId="77777777" w:rsidR="00E302CD" w:rsidRPr="00B56FDF" w:rsidRDefault="00000000">
            <w:pPr>
              <w:bidi/>
              <w:spacing w:after="0" w:line="252" w:lineRule="auto"/>
              <w:ind w:firstLine="0"/>
              <w:jc w:val="center"/>
              <w:rPr>
                <w:rFonts w:ascii="Simplified Arabic" w:hAnsi="Simplified Arabic" w:cs="Simplified Arabic"/>
              </w:rPr>
            </w:pPr>
            <w:r w:rsidRPr="00B56FDF">
              <w:rPr>
                <w:rFonts w:ascii="Simplified Arabic" w:hAnsi="Simplified Arabic" w:cs="Simplified Arabic"/>
                <w:sz w:val="21"/>
                <w:rtl/>
              </w:rPr>
              <w:t>نظام التحكم الإشرافي وتحصيل البيانات</w:t>
            </w:r>
          </w:p>
        </w:tc>
      </w:tr>
      <w:tr w:rsidR="00E302CD" w:rsidRPr="00B56FDF" w14:paraId="28A6AE04" w14:textId="77777777" w:rsidTr="008F0F11">
        <w:trPr>
          <w:jc w:val="center"/>
        </w:trPr>
        <w:tc>
          <w:tcPr>
            <w:tcW w:w="4479" w:type="dxa"/>
            <w:shd w:val="clear" w:color="auto" w:fill="FFFFFF"/>
            <w:tcMar>
              <w:top w:w="90" w:type="dxa"/>
              <w:left w:w="90" w:type="dxa"/>
              <w:bottom w:w="90" w:type="dxa"/>
              <w:right w:w="90" w:type="dxa"/>
            </w:tcMar>
            <w:vAlign w:val="center"/>
          </w:tcPr>
          <w:p w14:paraId="4831602F" w14:textId="77777777" w:rsidR="00E302CD" w:rsidRPr="00B56FDF" w:rsidRDefault="00000000">
            <w:pPr>
              <w:bidi/>
              <w:spacing w:after="0" w:line="252" w:lineRule="auto"/>
              <w:ind w:firstLine="0"/>
              <w:jc w:val="center"/>
              <w:rPr>
                <w:rFonts w:ascii="Simplified Arabic" w:hAnsi="Simplified Arabic" w:cs="Simplified Arabic"/>
              </w:rPr>
            </w:pPr>
            <w:r w:rsidRPr="00B56FDF">
              <w:rPr>
                <w:rFonts w:ascii="Simplified Arabic" w:eastAsia="Times New Roman" w:hAnsi="Simplified Arabic" w:cs="Simplified Arabic"/>
                <w:sz w:val="21"/>
              </w:rPr>
              <w:t>RO</w:t>
            </w:r>
          </w:p>
        </w:tc>
        <w:tc>
          <w:tcPr>
            <w:tcW w:w="4479" w:type="dxa"/>
            <w:shd w:val="clear" w:color="auto" w:fill="FFFFFF"/>
            <w:tcMar>
              <w:top w:w="90" w:type="dxa"/>
              <w:left w:w="90" w:type="dxa"/>
              <w:bottom w:w="90" w:type="dxa"/>
              <w:right w:w="90" w:type="dxa"/>
            </w:tcMar>
            <w:vAlign w:val="center"/>
          </w:tcPr>
          <w:p w14:paraId="2943C9EF" w14:textId="77777777" w:rsidR="00E302CD" w:rsidRPr="00B56FDF" w:rsidRDefault="00000000">
            <w:pPr>
              <w:bidi/>
              <w:spacing w:after="0" w:line="252" w:lineRule="auto"/>
              <w:ind w:firstLine="0"/>
              <w:jc w:val="center"/>
              <w:rPr>
                <w:rFonts w:ascii="Simplified Arabic" w:hAnsi="Simplified Arabic" w:cs="Simplified Arabic"/>
              </w:rPr>
            </w:pPr>
            <w:r w:rsidRPr="00B56FDF">
              <w:rPr>
                <w:rFonts w:ascii="Simplified Arabic" w:hAnsi="Simplified Arabic" w:cs="Simplified Arabic"/>
                <w:sz w:val="21"/>
                <w:rtl/>
              </w:rPr>
              <w:t>التناضح العكسي</w:t>
            </w:r>
          </w:p>
        </w:tc>
      </w:tr>
      <w:tr w:rsidR="00E302CD" w:rsidRPr="00B56FDF" w14:paraId="533A9575" w14:textId="77777777" w:rsidTr="008F0F11">
        <w:trPr>
          <w:jc w:val="center"/>
        </w:trPr>
        <w:tc>
          <w:tcPr>
            <w:tcW w:w="4479" w:type="dxa"/>
            <w:shd w:val="clear" w:color="auto" w:fill="F3F6F9"/>
            <w:tcMar>
              <w:top w:w="90" w:type="dxa"/>
              <w:left w:w="90" w:type="dxa"/>
              <w:bottom w:w="90" w:type="dxa"/>
              <w:right w:w="90" w:type="dxa"/>
            </w:tcMar>
            <w:vAlign w:val="center"/>
          </w:tcPr>
          <w:p w14:paraId="1D6EA147" w14:textId="77777777" w:rsidR="00E302CD" w:rsidRPr="00B56FDF" w:rsidRDefault="00000000">
            <w:pPr>
              <w:bidi/>
              <w:spacing w:after="0" w:line="252" w:lineRule="auto"/>
              <w:ind w:firstLine="0"/>
              <w:jc w:val="center"/>
              <w:rPr>
                <w:rFonts w:ascii="Simplified Arabic" w:hAnsi="Simplified Arabic" w:cs="Simplified Arabic"/>
              </w:rPr>
            </w:pPr>
            <w:r w:rsidRPr="00B56FDF">
              <w:rPr>
                <w:rFonts w:ascii="Simplified Arabic" w:eastAsia="Times New Roman" w:hAnsi="Simplified Arabic" w:cs="Simplified Arabic"/>
                <w:sz w:val="21"/>
              </w:rPr>
              <w:t>MED</w:t>
            </w:r>
          </w:p>
        </w:tc>
        <w:tc>
          <w:tcPr>
            <w:tcW w:w="4479" w:type="dxa"/>
            <w:shd w:val="clear" w:color="auto" w:fill="F3F6F9"/>
            <w:tcMar>
              <w:top w:w="90" w:type="dxa"/>
              <w:left w:w="90" w:type="dxa"/>
              <w:bottom w:w="90" w:type="dxa"/>
              <w:right w:w="90" w:type="dxa"/>
            </w:tcMar>
            <w:vAlign w:val="center"/>
          </w:tcPr>
          <w:p w14:paraId="382DE1C2" w14:textId="77777777" w:rsidR="00E302CD" w:rsidRPr="00B56FDF" w:rsidRDefault="00000000">
            <w:pPr>
              <w:bidi/>
              <w:spacing w:after="0" w:line="252" w:lineRule="auto"/>
              <w:ind w:firstLine="0"/>
              <w:jc w:val="center"/>
              <w:rPr>
                <w:rFonts w:ascii="Simplified Arabic" w:hAnsi="Simplified Arabic" w:cs="Simplified Arabic"/>
              </w:rPr>
            </w:pPr>
            <w:r w:rsidRPr="00B56FDF">
              <w:rPr>
                <w:rFonts w:ascii="Simplified Arabic" w:hAnsi="Simplified Arabic" w:cs="Simplified Arabic"/>
                <w:sz w:val="21"/>
                <w:rtl/>
              </w:rPr>
              <w:t>التقطير متعدد التأثيرات</w:t>
            </w:r>
          </w:p>
        </w:tc>
      </w:tr>
      <w:tr w:rsidR="00E302CD" w:rsidRPr="00B56FDF" w14:paraId="3A5DCC73" w14:textId="77777777" w:rsidTr="008F0F11">
        <w:trPr>
          <w:jc w:val="center"/>
        </w:trPr>
        <w:tc>
          <w:tcPr>
            <w:tcW w:w="4479" w:type="dxa"/>
            <w:shd w:val="clear" w:color="auto" w:fill="F3F6F9"/>
            <w:tcMar>
              <w:top w:w="90" w:type="dxa"/>
              <w:left w:w="90" w:type="dxa"/>
              <w:bottom w:w="90" w:type="dxa"/>
              <w:right w:w="90" w:type="dxa"/>
            </w:tcMar>
            <w:vAlign w:val="center"/>
          </w:tcPr>
          <w:p w14:paraId="09849C5F" w14:textId="77777777" w:rsidR="00E302CD" w:rsidRPr="00B56FDF" w:rsidRDefault="00000000">
            <w:pPr>
              <w:bidi/>
              <w:spacing w:after="0" w:line="240" w:lineRule="auto"/>
              <w:ind w:firstLine="0"/>
              <w:jc w:val="center"/>
              <w:rPr>
                <w:rFonts w:ascii="Simplified Arabic" w:hAnsi="Simplified Arabic" w:cs="Simplified Arabic"/>
              </w:rPr>
            </w:pPr>
            <w:r w:rsidRPr="00B56FDF">
              <w:rPr>
                <w:rFonts w:ascii="Simplified Arabic" w:eastAsia="Times New Roman" w:hAnsi="Simplified Arabic" w:cs="Simplified Arabic"/>
                <w:sz w:val="21"/>
              </w:rPr>
              <w:t>SWRO</w:t>
            </w:r>
          </w:p>
        </w:tc>
        <w:tc>
          <w:tcPr>
            <w:tcW w:w="4479" w:type="dxa"/>
            <w:shd w:val="clear" w:color="auto" w:fill="F3F6F9"/>
            <w:tcMar>
              <w:top w:w="90" w:type="dxa"/>
              <w:left w:w="90" w:type="dxa"/>
              <w:bottom w:w="90" w:type="dxa"/>
              <w:right w:w="90" w:type="dxa"/>
            </w:tcMar>
            <w:vAlign w:val="center"/>
          </w:tcPr>
          <w:p w14:paraId="3F6FAD72" w14:textId="77777777" w:rsidR="00E302CD" w:rsidRPr="00B56FDF" w:rsidRDefault="00000000">
            <w:pPr>
              <w:bidi/>
              <w:spacing w:after="0" w:line="240" w:lineRule="auto"/>
              <w:ind w:firstLine="0"/>
              <w:jc w:val="center"/>
              <w:rPr>
                <w:rFonts w:ascii="Simplified Arabic" w:hAnsi="Simplified Arabic" w:cs="Simplified Arabic"/>
              </w:rPr>
            </w:pPr>
            <w:r w:rsidRPr="00B56FDF">
              <w:rPr>
                <w:rFonts w:ascii="Simplified Arabic" w:hAnsi="Simplified Arabic" w:cs="Simplified Arabic"/>
                <w:sz w:val="21"/>
                <w:rtl/>
              </w:rPr>
              <w:t>التناضح العكسي لمياه البحر</w:t>
            </w:r>
          </w:p>
        </w:tc>
      </w:tr>
      <w:tr w:rsidR="00E302CD" w:rsidRPr="00B56FDF" w14:paraId="10B9783A" w14:textId="77777777" w:rsidTr="008F0F11">
        <w:trPr>
          <w:jc w:val="center"/>
        </w:trPr>
        <w:tc>
          <w:tcPr>
            <w:tcW w:w="4479" w:type="dxa"/>
            <w:shd w:val="clear" w:color="auto" w:fill="F3F6F9"/>
            <w:tcMar>
              <w:top w:w="90" w:type="dxa"/>
              <w:left w:w="90" w:type="dxa"/>
              <w:bottom w:w="90" w:type="dxa"/>
              <w:right w:w="90" w:type="dxa"/>
            </w:tcMar>
            <w:vAlign w:val="center"/>
          </w:tcPr>
          <w:p w14:paraId="3B79300B" w14:textId="77777777" w:rsidR="00E302CD" w:rsidRPr="00B56FDF" w:rsidRDefault="00000000">
            <w:pPr>
              <w:bidi/>
              <w:spacing w:after="0" w:line="240" w:lineRule="auto"/>
              <w:ind w:firstLine="0"/>
              <w:jc w:val="center"/>
              <w:rPr>
                <w:rFonts w:ascii="Simplified Arabic" w:hAnsi="Simplified Arabic" w:cs="Simplified Arabic"/>
              </w:rPr>
            </w:pPr>
            <w:r w:rsidRPr="00B56FDF">
              <w:rPr>
                <w:rFonts w:ascii="Simplified Arabic" w:eastAsia="Times New Roman" w:hAnsi="Simplified Arabic" w:cs="Simplified Arabic"/>
                <w:sz w:val="21"/>
              </w:rPr>
              <w:t>RBV</w:t>
            </w:r>
          </w:p>
        </w:tc>
        <w:tc>
          <w:tcPr>
            <w:tcW w:w="4479" w:type="dxa"/>
            <w:shd w:val="clear" w:color="auto" w:fill="F3F6F9"/>
            <w:tcMar>
              <w:top w:w="90" w:type="dxa"/>
              <w:left w:w="90" w:type="dxa"/>
              <w:bottom w:w="90" w:type="dxa"/>
              <w:right w:w="90" w:type="dxa"/>
            </w:tcMar>
            <w:vAlign w:val="center"/>
          </w:tcPr>
          <w:p w14:paraId="3334EECA" w14:textId="77777777" w:rsidR="00E302CD" w:rsidRPr="00B56FDF" w:rsidRDefault="00000000">
            <w:pPr>
              <w:bidi/>
              <w:spacing w:after="0" w:line="240" w:lineRule="auto"/>
              <w:ind w:firstLine="0"/>
              <w:jc w:val="center"/>
              <w:rPr>
                <w:rFonts w:ascii="Simplified Arabic" w:hAnsi="Simplified Arabic" w:cs="Simplified Arabic"/>
              </w:rPr>
            </w:pPr>
            <w:r w:rsidRPr="00B56FDF">
              <w:rPr>
                <w:rFonts w:ascii="Simplified Arabic" w:hAnsi="Simplified Arabic" w:cs="Simplified Arabic"/>
                <w:sz w:val="21"/>
                <w:rtl/>
              </w:rPr>
              <w:t>منظور الموارد والقدرات</w:t>
            </w:r>
          </w:p>
        </w:tc>
      </w:tr>
      <w:tr w:rsidR="00E302CD" w:rsidRPr="00B56FDF" w14:paraId="53FF6F3E" w14:textId="77777777" w:rsidTr="008F0F11">
        <w:trPr>
          <w:jc w:val="center"/>
        </w:trPr>
        <w:tc>
          <w:tcPr>
            <w:tcW w:w="4479" w:type="dxa"/>
            <w:shd w:val="clear" w:color="auto" w:fill="F3F6F9"/>
            <w:tcMar>
              <w:top w:w="90" w:type="dxa"/>
              <w:left w:w="90" w:type="dxa"/>
              <w:bottom w:w="90" w:type="dxa"/>
              <w:right w:w="90" w:type="dxa"/>
            </w:tcMar>
            <w:vAlign w:val="center"/>
          </w:tcPr>
          <w:p w14:paraId="36460F6E" w14:textId="77777777" w:rsidR="00E302CD" w:rsidRPr="00B56FDF" w:rsidRDefault="00000000">
            <w:pPr>
              <w:bidi/>
              <w:spacing w:after="0" w:line="240" w:lineRule="auto"/>
              <w:ind w:firstLine="0"/>
              <w:jc w:val="center"/>
              <w:rPr>
                <w:rFonts w:ascii="Simplified Arabic" w:hAnsi="Simplified Arabic" w:cs="Simplified Arabic"/>
              </w:rPr>
            </w:pPr>
            <w:r w:rsidRPr="00B56FDF">
              <w:rPr>
                <w:rFonts w:ascii="Simplified Arabic" w:eastAsia="Times New Roman" w:hAnsi="Simplified Arabic" w:cs="Simplified Arabic"/>
                <w:sz w:val="21"/>
              </w:rPr>
              <w:t>BSC</w:t>
            </w:r>
          </w:p>
        </w:tc>
        <w:tc>
          <w:tcPr>
            <w:tcW w:w="4479" w:type="dxa"/>
            <w:shd w:val="clear" w:color="auto" w:fill="F3F6F9"/>
            <w:tcMar>
              <w:top w:w="90" w:type="dxa"/>
              <w:left w:w="90" w:type="dxa"/>
              <w:bottom w:w="90" w:type="dxa"/>
              <w:right w:w="90" w:type="dxa"/>
            </w:tcMar>
            <w:vAlign w:val="center"/>
          </w:tcPr>
          <w:p w14:paraId="38CAB7F1" w14:textId="77777777" w:rsidR="00E302CD" w:rsidRPr="00B56FDF" w:rsidRDefault="00000000">
            <w:pPr>
              <w:bidi/>
              <w:spacing w:after="0" w:line="240" w:lineRule="auto"/>
              <w:ind w:firstLine="0"/>
              <w:jc w:val="center"/>
              <w:rPr>
                <w:rFonts w:ascii="Simplified Arabic" w:hAnsi="Simplified Arabic" w:cs="Simplified Arabic"/>
              </w:rPr>
            </w:pPr>
            <w:r w:rsidRPr="00B56FDF">
              <w:rPr>
                <w:rFonts w:ascii="Simplified Arabic" w:hAnsi="Simplified Arabic" w:cs="Simplified Arabic"/>
                <w:sz w:val="21"/>
                <w:rtl/>
              </w:rPr>
              <w:t>بطاقة الأداء المتوازن</w:t>
            </w:r>
          </w:p>
        </w:tc>
      </w:tr>
      <w:tr w:rsidR="00E302CD" w:rsidRPr="00B56FDF" w14:paraId="796F6F09" w14:textId="77777777" w:rsidTr="008F0F11">
        <w:trPr>
          <w:jc w:val="center"/>
        </w:trPr>
        <w:tc>
          <w:tcPr>
            <w:tcW w:w="4479" w:type="dxa"/>
            <w:shd w:val="clear" w:color="auto" w:fill="F3F6F9"/>
            <w:tcMar>
              <w:top w:w="90" w:type="dxa"/>
              <w:left w:w="90" w:type="dxa"/>
              <w:bottom w:w="90" w:type="dxa"/>
              <w:right w:w="90" w:type="dxa"/>
            </w:tcMar>
            <w:vAlign w:val="center"/>
          </w:tcPr>
          <w:p w14:paraId="095B7D6F" w14:textId="77777777" w:rsidR="00E302CD" w:rsidRPr="00B56FDF" w:rsidRDefault="00000000">
            <w:pPr>
              <w:bidi/>
              <w:spacing w:after="0" w:line="240" w:lineRule="auto"/>
              <w:ind w:firstLine="0"/>
              <w:jc w:val="center"/>
              <w:rPr>
                <w:rFonts w:ascii="Simplified Arabic" w:hAnsi="Simplified Arabic" w:cs="Simplified Arabic"/>
              </w:rPr>
            </w:pPr>
            <w:r w:rsidRPr="00B56FDF">
              <w:rPr>
                <w:rFonts w:ascii="Simplified Arabic" w:eastAsia="Times New Roman" w:hAnsi="Simplified Arabic" w:cs="Simplified Arabic"/>
                <w:sz w:val="21"/>
              </w:rPr>
              <w:t>CMMS</w:t>
            </w:r>
          </w:p>
        </w:tc>
        <w:tc>
          <w:tcPr>
            <w:tcW w:w="4479" w:type="dxa"/>
            <w:shd w:val="clear" w:color="auto" w:fill="F3F6F9"/>
            <w:tcMar>
              <w:top w:w="90" w:type="dxa"/>
              <w:left w:w="90" w:type="dxa"/>
              <w:bottom w:w="90" w:type="dxa"/>
              <w:right w:w="90" w:type="dxa"/>
            </w:tcMar>
            <w:vAlign w:val="center"/>
          </w:tcPr>
          <w:p w14:paraId="15E7D1FC" w14:textId="77777777" w:rsidR="00E302CD" w:rsidRPr="00B56FDF" w:rsidRDefault="00000000">
            <w:pPr>
              <w:bidi/>
              <w:spacing w:after="0" w:line="240" w:lineRule="auto"/>
              <w:ind w:firstLine="0"/>
              <w:jc w:val="center"/>
              <w:rPr>
                <w:rFonts w:ascii="Simplified Arabic" w:hAnsi="Simplified Arabic" w:cs="Simplified Arabic"/>
              </w:rPr>
            </w:pPr>
            <w:r w:rsidRPr="00B56FDF">
              <w:rPr>
                <w:rFonts w:ascii="Simplified Arabic" w:hAnsi="Simplified Arabic" w:cs="Simplified Arabic"/>
                <w:sz w:val="21"/>
                <w:rtl/>
              </w:rPr>
              <w:t>نظام إدارة الصيانة المحوسب</w:t>
            </w:r>
          </w:p>
        </w:tc>
      </w:tr>
      <w:tr w:rsidR="00E302CD" w:rsidRPr="00B56FDF" w14:paraId="5945CD65" w14:textId="77777777" w:rsidTr="008F0F11">
        <w:trPr>
          <w:jc w:val="center"/>
        </w:trPr>
        <w:tc>
          <w:tcPr>
            <w:tcW w:w="4479" w:type="dxa"/>
            <w:shd w:val="clear" w:color="auto" w:fill="F3F6F9"/>
            <w:tcMar>
              <w:top w:w="90" w:type="dxa"/>
              <w:left w:w="90" w:type="dxa"/>
              <w:bottom w:w="90" w:type="dxa"/>
              <w:right w:w="90" w:type="dxa"/>
            </w:tcMar>
            <w:vAlign w:val="center"/>
          </w:tcPr>
          <w:p w14:paraId="430398D7" w14:textId="77777777" w:rsidR="00E302CD" w:rsidRPr="00B56FDF" w:rsidRDefault="00000000">
            <w:pPr>
              <w:bidi/>
              <w:spacing w:after="0" w:line="240" w:lineRule="auto"/>
              <w:ind w:firstLine="0"/>
              <w:jc w:val="center"/>
              <w:rPr>
                <w:rFonts w:ascii="Simplified Arabic" w:hAnsi="Simplified Arabic" w:cs="Simplified Arabic"/>
              </w:rPr>
            </w:pPr>
            <w:r w:rsidRPr="00B56FDF">
              <w:rPr>
                <w:rFonts w:ascii="Simplified Arabic" w:eastAsia="Times New Roman" w:hAnsi="Simplified Arabic" w:cs="Simplified Arabic"/>
                <w:sz w:val="21"/>
              </w:rPr>
              <w:t>MTBF</w:t>
            </w:r>
          </w:p>
        </w:tc>
        <w:tc>
          <w:tcPr>
            <w:tcW w:w="4479" w:type="dxa"/>
            <w:shd w:val="clear" w:color="auto" w:fill="F3F6F9"/>
            <w:tcMar>
              <w:top w:w="90" w:type="dxa"/>
              <w:left w:w="90" w:type="dxa"/>
              <w:bottom w:w="90" w:type="dxa"/>
              <w:right w:w="90" w:type="dxa"/>
            </w:tcMar>
            <w:vAlign w:val="center"/>
          </w:tcPr>
          <w:p w14:paraId="7C0B5195" w14:textId="77777777" w:rsidR="00E302CD" w:rsidRPr="00B56FDF" w:rsidRDefault="00000000">
            <w:pPr>
              <w:bidi/>
              <w:spacing w:after="0" w:line="240" w:lineRule="auto"/>
              <w:ind w:firstLine="0"/>
              <w:jc w:val="center"/>
              <w:rPr>
                <w:rFonts w:ascii="Simplified Arabic" w:hAnsi="Simplified Arabic" w:cs="Simplified Arabic"/>
              </w:rPr>
            </w:pPr>
            <w:r w:rsidRPr="00B56FDF">
              <w:rPr>
                <w:rFonts w:ascii="Simplified Arabic" w:hAnsi="Simplified Arabic" w:cs="Simplified Arabic"/>
                <w:sz w:val="21"/>
                <w:rtl/>
              </w:rPr>
              <w:t>متوسط الزمن بين الأعطال</w:t>
            </w:r>
          </w:p>
        </w:tc>
      </w:tr>
      <w:tr w:rsidR="00E302CD" w:rsidRPr="00B56FDF" w14:paraId="7BA1DAE7" w14:textId="77777777" w:rsidTr="008F0F11">
        <w:trPr>
          <w:jc w:val="center"/>
        </w:trPr>
        <w:tc>
          <w:tcPr>
            <w:tcW w:w="4479" w:type="dxa"/>
            <w:shd w:val="clear" w:color="auto" w:fill="F3F6F9"/>
            <w:tcMar>
              <w:top w:w="90" w:type="dxa"/>
              <w:left w:w="90" w:type="dxa"/>
              <w:bottom w:w="90" w:type="dxa"/>
              <w:right w:w="90" w:type="dxa"/>
            </w:tcMar>
            <w:vAlign w:val="center"/>
          </w:tcPr>
          <w:p w14:paraId="65E576BA" w14:textId="77777777" w:rsidR="00E302CD" w:rsidRPr="00B56FDF" w:rsidRDefault="00000000">
            <w:pPr>
              <w:bidi/>
              <w:spacing w:after="0" w:line="240" w:lineRule="auto"/>
              <w:ind w:firstLine="0"/>
              <w:jc w:val="center"/>
              <w:rPr>
                <w:rFonts w:ascii="Simplified Arabic" w:hAnsi="Simplified Arabic" w:cs="Simplified Arabic"/>
              </w:rPr>
            </w:pPr>
            <w:r w:rsidRPr="00B56FDF">
              <w:rPr>
                <w:rFonts w:ascii="Simplified Arabic" w:eastAsia="Times New Roman" w:hAnsi="Simplified Arabic" w:cs="Simplified Arabic"/>
                <w:sz w:val="21"/>
              </w:rPr>
              <w:t>MTTR</w:t>
            </w:r>
          </w:p>
        </w:tc>
        <w:tc>
          <w:tcPr>
            <w:tcW w:w="4479" w:type="dxa"/>
            <w:shd w:val="clear" w:color="auto" w:fill="F3F6F9"/>
            <w:tcMar>
              <w:top w:w="90" w:type="dxa"/>
              <w:left w:w="90" w:type="dxa"/>
              <w:bottom w:w="90" w:type="dxa"/>
              <w:right w:w="90" w:type="dxa"/>
            </w:tcMar>
            <w:vAlign w:val="center"/>
          </w:tcPr>
          <w:p w14:paraId="2F08B203" w14:textId="77777777" w:rsidR="00E302CD" w:rsidRPr="00B56FDF" w:rsidRDefault="00000000">
            <w:pPr>
              <w:bidi/>
              <w:spacing w:after="0" w:line="240" w:lineRule="auto"/>
              <w:ind w:firstLine="0"/>
              <w:jc w:val="center"/>
              <w:rPr>
                <w:rFonts w:ascii="Simplified Arabic" w:hAnsi="Simplified Arabic" w:cs="Simplified Arabic"/>
              </w:rPr>
            </w:pPr>
            <w:r w:rsidRPr="00B56FDF">
              <w:rPr>
                <w:rFonts w:ascii="Simplified Arabic" w:hAnsi="Simplified Arabic" w:cs="Simplified Arabic"/>
                <w:sz w:val="21"/>
                <w:rtl/>
              </w:rPr>
              <w:t>متوسط زمن الإصلاح</w:t>
            </w:r>
          </w:p>
        </w:tc>
      </w:tr>
      <w:tr w:rsidR="00E302CD" w:rsidRPr="00B56FDF" w14:paraId="25EDD26A" w14:textId="77777777" w:rsidTr="008F0F11">
        <w:trPr>
          <w:jc w:val="center"/>
        </w:trPr>
        <w:tc>
          <w:tcPr>
            <w:tcW w:w="4479" w:type="dxa"/>
            <w:shd w:val="clear" w:color="auto" w:fill="F3F6F9"/>
            <w:tcMar>
              <w:top w:w="90" w:type="dxa"/>
              <w:left w:w="90" w:type="dxa"/>
              <w:bottom w:w="90" w:type="dxa"/>
              <w:right w:w="90" w:type="dxa"/>
            </w:tcMar>
            <w:vAlign w:val="center"/>
          </w:tcPr>
          <w:p w14:paraId="0B57CA81" w14:textId="77777777" w:rsidR="00E302CD" w:rsidRPr="00B56FDF" w:rsidRDefault="00000000">
            <w:pPr>
              <w:bidi/>
              <w:spacing w:after="0" w:line="240" w:lineRule="auto"/>
              <w:ind w:firstLine="0"/>
              <w:jc w:val="center"/>
              <w:rPr>
                <w:rFonts w:ascii="Simplified Arabic" w:hAnsi="Simplified Arabic" w:cs="Simplified Arabic"/>
              </w:rPr>
            </w:pPr>
            <w:r w:rsidRPr="00B56FDF">
              <w:rPr>
                <w:rFonts w:ascii="Simplified Arabic" w:eastAsia="Times New Roman" w:hAnsi="Simplified Arabic" w:cs="Simplified Arabic"/>
                <w:sz w:val="21"/>
              </w:rPr>
              <w:t>PLS-SEM</w:t>
            </w:r>
          </w:p>
        </w:tc>
        <w:tc>
          <w:tcPr>
            <w:tcW w:w="4479" w:type="dxa"/>
            <w:shd w:val="clear" w:color="auto" w:fill="F3F6F9"/>
            <w:tcMar>
              <w:top w:w="90" w:type="dxa"/>
              <w:left w:w="90" w:type="dxa"/>
              <w:bottom w:w="90" w:type="dxa"/>
              <w:right w:w="90" w:type="dxa"/>
            </w:tcMar>
            <w:vAlign w:val="center"/>
          </w:tcPr>
          <w:p w14:paraId="420070A2" w14:textId="77777777" w:rsidR="00E302CD" w:rsidRPr="00B56FDF" w:rsidRDefault="00000000">
            <w:pPr>
              <w:bidi/>
              <w:spacing w:after="0" w:line="240" w:lineRule="auto"/>
              <w:ind w:firstLine="0"/>
              <w:jc w:val="center"/>
              <w:rPr>
                <w:rFonts w:ascii="Simplified Arabic" w:hAnsi="Simplified Arabic" w:cs="Simplified Arabic"/>
              </w:rPr>
            </w:pPr>
            <w:r w:rsidRPr="00B56FDF">
              <w:rPr>
                <w:rFonts w:ascii="Simplified Arabic" w:hAnsi="Simplified Arabic" w:cs="Simplified Arabic"/>
                <w:sz w:val="21"/>
                <w:rtl/>
              </w:rPr>
              <w:t>نمذجة المعادلات الهيكلية بالمربعات الصغرى الجزئية</w:t>
            </w:r>
          </w:p>
        </w:tc>
      </w:tr>
    </w:tbl>
    <w:p w14:paraId="2FAE0500" w14:textId="77777777" w:rsidR="00E94561" w:rsidRPr="00B56FDF" w:rsidRDefault="00E94561">
      <w:pPr>
        <w:spacing w:after="60"/>
        <w:rPr>
          <w:rFonts w:ascii="Simplified Arabic" w:hAnsi="Simplified Arabic" w:cs="Simplified Arabic"/>
        </w:rPr>
      </w:pPr>
    </w:p>
    <w:p w14:paraId="12EC1D35" w14:textId="77777777" w:rsidR="008F0F11" w:rsidRDefault="008F0F11" w:rsidP="008F0F11">
      <w:pPr>
        <w:pStyle w:val="Heading1"/>
        <w:bidi/>
        <w:rPr>
          <w:rFonts w:ascii="Simplified Arabic" w:eastAsia="Amiri" w:hAnsi="Simplified Arabic" w:cs="Simplified Arabic"/>
        </w:rPr>
      </w:pPr>
    </w:p>
    <w:p w14:paraId="0176D58A" w14:textId="77777777" w:rsidR="008F0F11" w:rsidRDefault="008F0F11" w:rsidP="008F0F11">
      <w:pPr>
        <w:pStyle w:val="Heading1"/>
        <w:bidi/>
        <w:rPr>
          <w:rFonts w:ascii="Simplified Arabic" w:eastAsia="Amiri" w:hAnsi="Simplified Arabic" w:cs="Simplified Arabic"/>
        </w:rPr>
      </w:pPr>
    </w:p>
    <w:p w14:paraId="22BBE0C8" w14:textId="77777777" w:rsidR="008F0F11" w:rsidRPr="008F0F11" w:rsidRDefault="008F0F11" w:rsidP="008F0F11">
      <w:pPr>
        <w:bidi/>
      </w:pPr>
    </w:p>
    <w:p w14:paraId="6A4627DD" w14:textId="5C418BFC" w:rsidR="00E94561" w:rsidRPr="008F0F11" w:rsidRDefault="00000000" w:rsidP="008F0F11">
      <w:pPr>
        <w:pStyle w:val="Heading1"/>
        <w:bidi/>
        <w:jc w:val="center"/>
        <w:rPr>
          <w:rFonts w:ascii="Simplified Arabic" w:hAnsi="Simplified Arabic" w:cs="Simplified Arabic"/>
          <w:sz w:val="44"/>
          <w:szCs w:val="32"/>
        </w:rPr>
      </w:pPr>
      <w:r w:rsidRPr="008F0F11">
        <w:rPr>
          <w:rFonts w:ascii="Simplified Arabic" w:eastAsia="Amiri" w:hAnsi="Simplified Arabic" w:cs="Simplified Arabic"/>
          <w:sz w:val="44"/>
          <w:szCs w:val="32"/>
          <w:rtl/>
        </w:rPr>
        <w:lastRenderedPageBreak/>
        <w:t>الفصل الأول: الإطار العام للدراسة</w:t>
      </w:r>
    </w:p>
    <w:p w14:paraId="20743CD4" w14:textId="77777777" w:rsidR="00E94561" w:rsidRPr="00B56FDF" w:rsidRDefault="00000000" w:rsidP="008F0F11">
      <w:pPr>
        <w:pStyle w:val="Heading2"/>
        <w:bidi/>
        <w:jc w:val="left"/>
        <w:rPr>
          <w:rFonts w:ascii="Simplified Arabic" w:hAnsi="Simplified Arabic" w:cs="Simplified Arabic"/>
        </w:rPr>
      </w:pPr>
      <w:r w:rsidRPr="00B56FDF">
        <w:rPr>
          <w:rFonts w:ascii="Simplified Arabic" w:eastAsia="Amiri" w:hAnsi="Simplified Arabic" w:cs="Simplified Arabic"/>
          <w:color w:val="0F4069"/>
          <w:rtl/>
        </w:rPr>
        <w:t>1.1 مقدمة الدراسة</w:t>
      </w:r>
    </w:p>
    <w:p w14:paraId="264E47F1"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يمثل الماء مورداً استراتيجياً للاقتصاد والمجتمع، ويزداد وزن هذا المورد في البيئات الجافة التي تعتمد على التحلية لتوفير مياه الشرب والمياه اللازمة للأنشطة الصناعية. وفي المملكة العربية السعودية، تنظر الاستراتيجية الوطنية للمياه 2030 إلى استمرارية الإمداد، وتحسين الجودة، وضبط التكلفة، وحوكمة القطاع باعتبارها أهدافاً مترابطة لا تتحقق بمعزل عن الإدارة الرشيدة للعمليات والأصول (وزارة البيئة والمياه والزراعة، 2018). ومن ثمّ، فإن تشغيل محطات التحلية ليس قضية هندسية بحتة، بل هو منظومة قرارات تتعلق بالموارد والأولويات والقدرات والقياس والتحسين المستمر.</w:t>
      </w:r>
    </w:p>
    <w:p w14:paraId="242AA180"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وتزداد أهمية هذه المنظومة في المدن الصناعية؛ إذ إن أي تذبذب في الإمداد المائي أو انخفاض في الجاهزية قد ينعكس على سلسلة واسعة من الأنشطة الإنتاجية والخدمية. وتوضح بيانات شركة مرافق أن منظومة الجبيل تضم مرفقاً متكاملاً لإنتاج الطاقة والمياه بقدرة إنتاجية مائية كبيرة، كما ترتبط خدمات الشركة بتشغيل الشبكات وخدمات المياه والطاقة في المدن الصناعية (Marafiq, n.d.-a; Marafiq, n.d.-b). ويبرر ذلك اختيار شركة مرافق وسياق الجبيل الصناعية حالةً تطبيقيةً ملائمةً لدراسة العلاقة بين الإدارة الاستراتيجية وكفاءة التشغيل.</w:t>
      </w:r>
    </w:p>
    <w:p w14:paraId="128260C7"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وفي الأدبيات الإدارية، تُفهم الإدارة الاستراتيجية بوصفها عملية تبدأ بتحليل البيئة وصياغة التوجهات وتحديد الأهداف، ثم تتحول إلى تنفيذ ومتابعة وتعلم تنظيمي. ويركز هذا التصور على الصلة بين الاختيارات طويلة الأجل وبين الأداء اليومي؛ لأن الاستراتيجية لا تتجسد في وثيقة مستقلة عن التشغيل، وإنما في طريقة تخصيص الموارد، وإدارة المخاطر، وتحويل مؤشرات الأداء إلى قرارات تصحيحية (David et al., 2020; Hitt et al., 2020).</w:t>
      </w:r>
    </w:p>
    <w:p w14:paraId="2EC76B64" w14:textId="77777777" w:rsidR="00E302CD" w:rsidRPr="008F0F11" w:rsidRDefault="00000000" w:rsidP="008F0F11">
      <w:pPr>
        <w:keepNext/>
        <w:bidi/>
        <w:spacing w:before="160" w:after="80"/>
        <w:ind w:firstLine="0"/>
        <w:jc w:val="left"/>
        <w:rPr>
          <w:rFonts w:ascii="Simplified Arabic" w:hAnsi="Simplified Arabic" w:cs="Simplified Arabic"/>
          <w:sz w:val="32"/>
          <w:szCs w:val="24"/>
        </w:rPr>
      </w:pPr>
      <w:r w:rsidRPr="008F0F11">
        <w:rPr>
          <w:rFonts w:ascii="Simplified Arabic" w:hAnsi="Simplified Arabic" w:cs="Simplified Arabic"/>
          <w:b/>
          <w:color w:val="17365D"/>
          <w:sz w:val="32"/>
          <w:szCs w:val="24"/>
          <w:rtl/>
        </w:rPr>
        <w:t>مدخل إداري لدراسة مرافق المياه:</w:t>
      </w:r>
    </w:p>
    <w:p w14:paraId="336F9E8A" w14:textId="77777777" w:rsidR="00E302CD" w:rsidRPr="008F0F11" w:rsidRDefault="00000000" w:rsidP="008F0F11">
      <w:pPr>
        <w:bidi/>
        <w:spacing w:line="276" w:lineRule="auto"/>
        <w:jc w:val="left"/>
        <w:rPr>
          <w:rFonts w:ascii="Simplified Arabic" w:hAnsi="Simplified Arabic" w:cs="Simplified Arabic"/>
          <w:sz w:val="32"/>
          <w:szCs w:val="24"/>
        </w:rPr>
      </w:pPr>
      <w:r w:rsidRPr="008F0F11">
        <w:rPr>
          <w:rFonts w:ascii="Simplified Arabic" w:hAnsi="Simplified Arabic" w:cs="Simplified Arabic"/>
          <w:sz w:val="32"/>
          <w:szCs w:val="24"/>
          <w:rtl/>
        </w:rPr>
        <w:t>إن النظر إلى محطات تحلية المياه من زاوية الإدارة الاستراتيجية يوسّع نطاق التحليل من كفاءة المعدات المنفردة إلى كفاءة المنظومة المؤسسية بأكملها. فالنتيجة التشغيلية لا تتحدد بالتقنية وحدها، بل تتأثر بوضوح الأولويات، وتوفر الموارد، وسرعة تداول المعلومات، وقدرة الإدارات على تحويل المؤشرات إلى قرارات. ومن ثم فإن موضوع الدراسة يقع في منطقة مشتركة بين إدارة الأعمال وإدارة العمليات وإدارة الأصول، وهو ما يمنحه قيمة تطبيقية تتجاوز حدود الوصف النظري.</w:t>
      </w:r>
    </w:p>
    <w:p w14:paraId="5C21EB59" w14:textId="77777777" w:rsidR="00E302CD" w:rsidRPr="008F0F11" w:rsidRDefault="00000000" w:rsidP="008F0F11">
      <w:pPr>
        <w:bidi/>
        <w:spacing w:line="276" w:lineRule="auto"/>
        <w:jc w:val="left"/>
        <w:rPr>
          <w:rFonts w:ascii="Simplified Arabic" w:hAnsi="Simplified Arabic" w:cs="Simplified Arabic"/>
          <w:sz w:val="32"/>
          <w:szCs w:val="24"/>
        </w:rPr>
      </w:pPr>
      <w:r w:rsidRPr="008F0F11">
        <w:rPr>
          <w:rFonts w:ascii="Simplified Arabic" w:hAnsi="Simplified Arabic" w:cs="Simplified Arabic"/>
          <w:sz w:val="32"/>
          <w:szCs w:val="24"/>
          <w:rtl/>
        </w:rPr>
        <w:t xml:space="preserve">ويكتسب هذا المدخل أهمية إضافية لأن قرارات مرافق المياه ذات طبيعة طويلة الأجل؛ فالأصول الرأسمالية مرتفعة التكلفة، والعمليات مستمرة، وأي قرار متعلق بالإحلال أو الصيانة أو الطاقة قد تمتد آثاره سنوات. ولذلك تصبح الإدارة </w:t>
      </w:r>
      <w:r w:rsidRPr="008F0F11">
        <w:rPr>
          <w:rFonts w:ascii="Simplified Arabic" w:hAnsi="Simplified Arabic" w:cs="Simplified Arabic"/>
          <w:sz w:val="32"/>
          <w:szCs w:val="24"/>
          <w:rtl/>
        </w:rPr>
        <w:lastRenderedPageBreak/>
        <w:t>الاستراتيجية وسيلة لضمان اتساق القرار اليومي مع الأهداف بعيدة المدى، وليس مجرد نشاط تخطيطي دوري منفصل عن واقع التشغيل.</w:t>
      </w:r>
    </w:p>
    <w:p w14:paraId="1C4E9FA8" w14:textId="77777777" w:rsidR="00E302CD" w:rsidRPr="008F0F11" w:rsidRDefault="00000000" w:rsidP="008F0F11">
      <w:pPr>
        <w:bidi/>
        <w:spacing w:line="276" w:lineRule="auto"/>
        <w:jc w:val="left"/>
        <w:rPr>
          <w:rFonts w:ascii="Simplified Arabic" w:hAnsi="Simplified Arabic" w:cs="Simplified Arabic"/>
          <w:sz w:val="32"/>
          <w:szCs w:val="24"/>
        </w:rPr>
      </w:pPr>
      <w:r w:rsidRPr="008F0F11">
        <w:rPr>
          <w:rFonts w:ascii="Simplified Arabic" w:hAnsi="Simplified Arabic" w:cs="Simplified Arabic"/>
          <w:sz w:val="32"/>
          <w:szCs w:val="24"/>
          <w:rtl/>
        </w:rPr>
        <w:t>كما أن الربط بين الاستراتيجية وكفاءة التشغيل يساعد على تفسير الفروق بين منشآت تستخدم تقنيات متقاربة ولكنها تحقق مستويات مختلفة من الاعتمادية والجودة واستهلاك الموارد. ويشير هذا المنطق إلى أن القدرات التنظيمية، مثل التنسيق والتعلم وسرعة الاستجابة، قد تكون عاملاً حاسماً في تحويل الاستثمار التقني إلى قيمة تشغيلية فعلية (Barney, 1991; Teece et al., 1997).</w:t>
      </w:r>
    </w:p>
    <w:p w14:paraId="0F4FC035" w14:textId="77777777" w:rsidR="00E94561" w:rsidRPr="008F0F11" w:rsidRDefault="00000000" w:rsidP="008F0F11">
      <w:pPr>
        <w:pStyle w:val="Heading2"/>
        <w:bidi/>
        <w:jc w:val="left"/>
        <w:rPr>
          <w:rFonts w:ascii="Simplified Arabic" w:hAnsi="Simplified Arabic" w:cs="Simplified Arabic"/>
          <w:sz w:val="40"/>
          <w:szCs w:val="28"/>
        </w:rPr>
      </w:pPr>
      <w:r w:rsidRPr="008F0F11">
        <w:rPr>
          <w:rFonts w:ascii="Simplified Arabic" w:eastAsia="Amiri" w:hAnsi="Simplified Arabic" w:cs="Simplified Arabic"/>
          <w:color w:val="0F4069"/>
          <w:sz w:val="40"/>
          <w:szCs w:val="28"/>
          <w:rtl/>
        </w:rPr>
        <w:t>1.2 خلفية الدراسة وسياقها</w:t>
      </w:r>
    </w:p>
    <w:p w14:paraId="018D725F"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تواجه محطات تحلية مياه البحر تحدياً مركباً: عليها أن تحافظ على جودة المياه واستمرارية الإنتاج في الوقت نفسه الذي تسعى فيه إلى خفض استهلاك الطاقة، وتقليل الأعطال غير المخططة، وإطالة العمر التشغيلي للأصول. وتؤكد المراجعات العلمية أن كفاءة محطات التحلية تتأثر بتصميم العمليات، ونوعية مياه التغذية، وحالة الأغشية أو وحدات التحلية الحرارية، والصيانة، ونظم التحكم، وسلوك التشغيل اليومي (Fritzmann et al., 2007; Kim et al., 2019). وتدعم هذه الحقيقة الحاجة إلى رؤية إدارية تجعل الطاقة والصيانة والموثوقية والجودة مؤشرات استراتيجية وليست ملفات تشغيلية منعزلة.</w:t>
      </w:r>
    </w:p>
    <w:p w14:paraId="2A695412"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ويكتسب البعد الاستراتيجي معنى إضافياً في محطات التحلية لأن تكلفة الطاقة وأثر توقف المعدات لا يمكن التعامل معهما برد فعل بعد وقوع المشكلة فقط. فالتخطيط الاستراتيجي الجيد يفترض تحديد المخاطر والأولويات الاستثمارية، وتحديث خطط الصيانة، وبناء المهارات، وتعزيز التكامل بين التشغيل والصيانة والجودة والمشتريات. كما أن مرحلة التنفيذ تتطلب تحويل الأهداف إلى مسؤوليات وموازنات ومؤشرات ومراجعات دورية؛ بينما تضمن مرحلة التقييم أن تتعلم المؤسسة من الانحرافات والتغيرات قبل أن تتحول إلى خسائر تشغيلية (Heizer et al., 2020; ISO, 2014).</w:t>
      </w:r>
    </w:p>
    <w:p w14:paraId="25CAFACD"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وتنطلق الدراسة من هذا السياق لتفحص كيف يدرك العاملون والقيادات في محطات التحلية التابعة لشركة مرافق مستوى ممارسة الإدارة الاستراتيجية، وكيف يرتبط ذلك بكفاءة التشغيل كما تتجسد في الإنتاجية والجودة والاعتمادية وكفاءة الطاقة والموارد واستمرارية الخدمة. ولا تقيس الدراسة الأداء الهندسي المحض للمعدات، بل تقيس البعد الإداري والتشغيلي المدرك، مع اقتراح الربط لاحقاً بين نتائج الاستبانة ومؤشرات الأداء الفعلية متى أتيحت للباحث موافقات مؤسسية وبيانات موثوقة.</w:t>
      </w:r>
    </w:p>
    <w:p w14:paraId="77045BA8" w14:textId="77777777" w:rsidR="00E302CD" w:rsidRPr="008F0F11" w:rsidRDefault="00000000" w:rsidP="008F0F11">
      <w:pPr>
        <w:keepNext/>
        <w:bidi/>
        <w:spacing w:before="160" w:after="80"/>
        <w:ind w:firstLine="0"/>
        <w:jc w:val="left"/>
        <w:rPr>
          <w:rFonts w:ascii="Simplified Arabic" w:hAnsi="Simplified Arabic" w:cs="Simplified Arabic"/>
          <w:sz w:val="32"/>
          <w:szCs w:val="24"/>
        </w:rPr>
      </w:pPr>
      <w:r w:rsidRPr="008F0F11">
        <w:rPr>
          <w:rFonts w:ascii="Simplified Arabic" w:hAnsi="Simplified Arabic" w:cs="Simplified Arabic"/>
          <w:b/>
          <w:color w:val="17365D"/>
          <w:sz w:val="32"/>
          <w:szCs w:val="24"/>
          <w:rtl/>
        </w:rPr>
        <w:lastRenderedPageBreak/>
        <w:t>تعقيد البيئة التشغيلية:</w:t>
      </w:r>
    </w:p>
    <w:p w14:paraId="7D3D21AB" w14:textId="77777777" w:rsidR="00E302CD" w:rsidRPr="008F0F11" w:rsidRDefault="00000000" w:rsidP="008F0F11">
      <w:pPr>
        <w:bidi/>
        <w:spacing w:line="276" w:lineRule="auto"/>
        <w:jc w:val="left"/>
        <w:rPr>
          <w:rFonts w:ascii="Simplified Arabic" w:hAnsi="Simplified Arabic" w:cs="Simplified Arabic"/>
          <w:sz w:val="32"/>
          <w:szCs w:val="24"/>
        </w:rPr>
      </w:pPr>
      <w:r w:rsidRPr="008F0F11">
        <w:rPr>
          <w:rFonts w:ascii="Simplified Arabic" w:hAnsi="Simplified Arabic" w:cs="Simplified Arabic"/>
          <w:sz w:val="32"/>
          <w:szCs w:val="24"/>
          <w:rtl/>
        </w:rPr>
        <w:t>تعمل محطات التحلية ضمن سلسلة مترابطة تبدأ بالمأخذ والمعالجة المسبقة، وتمتد إلى عملية التحلية والمعالجة اللاحقة والتخزين والضخ. ويعني هذا الترابط أن أي انحراف في مرحلة واحدة قد ينتقل أثره إلى مراحل أخرى، فتزداد أهمية التخطيط المشترك وإدارة المخاطر والتنسيق بين التشغيل والصيانة والجودة. كما أن تعدد الأطراف المعنية يجعل وضوح المسؤوليات وآليات التصعيد عاملاً مؤثراً في سرعة معالجة المشكلات.</w:t>
      </w:r>
    </w:p>
    <w:p w14:paraId="2D41996E" w14:textId="77777777" w:rsidR="00E302CD" w:rsidRPr="008F0F11" w:rsidRDefault="00000000" w:rsidP="008F0F11">
      <w:pPr>
        <w:bidi/>
        <w:spacing w:line="276" w:lineRule="auto"/>
        <w:jc w:val="left"/>
        <w:rPr>
          <w:rFonts w:ascii="Simplified Arabic" w:hAnsi="Simplified Arabic" w:cs="Simplified Arabic"/>
          <w:sz w:val="32"/>
          <w:szCs w:val="24"/>
        </w:rPr>
      </w:pPr>
      <w:r w:rsidRPr="008F0F11">
        <w:rPr>
          <w:rFonts w:ascii="Simplified Arabic" w:hAnsi="Simplified Arabic" w:cs="Simplified Arabic"/>
          <w:sz w:val="32"/>
          <w:szCs w:val="24"/>
          <w:rtl/>
        </w:rPr>
        <w:t>ولا تقتصر الكفاءة التشغيلية في هذا السياق على تعظيم الإنتاج؛ إذ ينبغي تحقيق التوازن بين كمية المياه المنتجة، وثبات الجودة، وسلامة العاملين، والالتزام البيئي، وكفاءة الطاقة، والمحافظة على الأصول. وقد يؤدي التركيز على مؤشر واحد بمعزل عن بقية المؤشرات إلى تحسين جزئي قصير الأجل يقابله تدهور في جانب آخر، ولذلك تحتاج المحطات إلى منظومة قياس متوازنة تربط المؤشرات بالأهداف الاستراتيجية (Kaplan &amp; Norton, 1992; ISO, 2014).</w:t>
      </w:r>
    </w:p>
    <w:p w14:paraId="48A7D1A0" w14:textId="77777777" w:rsidR="00E302CD" w:rsidRPr="008F0F11" w:rsidRDefault="00000000" w:rsidP="008F0F11">
      <w:pPr>
        <w:bidi/>
        <w:spacing w:line="276" w:lineRule="auto"/>
        <w:jc w:val="left"/>
        <w:rPr>
          <w:rFonts w:ascii="Simplified Arabic" w:hAnsi="Simplified Arabic" w:cs="Simplified Arabic"/>
          <w:sz w:val="32"/>
          <w:szCs w:val="24"/>
        </w:rPr>
      </w:pPr>
      <w:r w:rsidRPr="008F0F11">
        <w:rPr>
          <w:rFonts w:ascii="Simplified Arabic" w:hAnsi="Simplified Arabic" w:cs="Simplified Arabic"/>
          <w:sz w:val="32"/>
          <w:szCs w:val="24"/>
          <w:rtl/>
        </w:rPr>
        <w:t>ومن منظور إداري، تتجسد المشكلة عندما توجد خطط أو مستهدفات دون أن تتحول بصورة متسقة إلى موارد ومسؤوليات ومؤشرات مراجعة. وقد يظهر ذلك في تأخر الإجراءات التصحيحية، أو ضعف تبادل المعرفة بين الوحدات، أو عدم ربط نتائج الصيانة والتشغيل بالقرارات الاستثمارية. ومن هنا تركز الدراسة على الأبعاد الثلاثة للإدارة الاستراتيجية بوصفها سلسلة مترابطة تبدأ بالصياغة، ثم التنفيذ، وتنتهي بالتقييم والمتابعة والتعلم.</w:t>
      </w:r>
    </w:p>
    <w:p w14:paraId="6921B799" w14:textId="77777777" w:rsidR="00E94561" w:rsidRPr="00B56FDF" w:rsidRDefault="00000000" w:rsidP="008F0F11">
      <w:pPr>
        <w:pStyle w:val="Heading2"/>
        <w:bidi/>
        <w:jc w:val="left"/>
        <w:rPr>
          <w:rFonts w:ascii="Simplified Arabic" w:hAnsi="Simplified Arabic" w:cs="Simplified Arabic"/>
        </w:rPr>
      </w:pPr>
      <w:r w:rsidRPr="00B56FDF">
        <w:rPr>
          <w:rFonts w:ascii="Simplified Arabic" w:eastAsia="Amiri" w:hAnsi="Simplified Arabic" w:cs="Simplified Arabic"/>
          <w:color w:val="0F4069"/>
          <w:rtl/>
        </w:rPr>
        <w:t>1.3 مشكلة الدراسة</w:t>
      </w:r>
    </w:p>
    <w:p w14:paraId="4D8D4591"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رغم التطور التقني في محطات التحلية، فإن الوصول إلى كفاءة تشغيلية مرتفعة ومستدامة يظل تحدياً بسبب حساسية العمليات وتعدد وحدات العمل وارتفاع الاعتماد على الطاقة والأصول المعقدة. ويظهر من الدراسات الفنية أن تحسين الطاقة أو تقليل التوقفات يحتاج إلى إدارة دقيقة للعمليات، وتنبؤ بالانحرافات، وتخطيط للصيانة، ومتابعة قائمة على البيانات؛ وهي عناصر تتجاوز حدود المعالجة الفنية المنفصلة (Zarzo &amp; Prats, 2018; Saudi Water Authority, 2024).</w:t>
      </w:r>
    </w:p>
    <w:p w14:paraId="3FB2B57A"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وفي المقابل، تشير الدراسات الإدارية الحديثة إلى وجود ارتباط إيجابي غالباً بين التخطيط الاستراتيجي أو الممارسات الاستراتيجية وبين الأداء التنظيمي والتشغيلي، مع اختلاف قوة الأثر باختلاف الصناعة والبيئة التنظيمية. إلا أن معظم هذه الدراسات تناولت مؤشرات أداء عامة أو قطاعات صناعية وخدمية مختلفة عن التحلية، كما أن الدراسات التي تناولت التحلية تميل إلى التركيز على الطاقة والتقنية أكثر من تحليل الممارسات الاستراتيجية المؤسسية (Alsadi &amp; Aloulou, 2021; Mousa et al., 2024; Aljahdali &amp; Ali, 2024).</w:t>
      </w:r>
    </w:p>
    <w:p w14:paraId="45E8CF14"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 xml:space="preserve">وعليه، تتمثل مشكلة الدراسة في الحاجة إلى فحص العلاقة والأثر بين تطبيق الإدارة الاستراتيجية بأبعادها الثلاثة: صياغة الاستراتيجية، وتنفيذها، وتقييمها ومتابعتها، وبين كفاءة التشغيل في محطات تحلية مياه البحر بمدينة الجبيل </w:t>
      </w:r>
      <w:r w:rsidRPr="008F0F11">
        <w:rPr>
          <w:rFonts w:ascii="Simplified Arabic" w:hAnsi="Simplified Arabic" w:cs="Simplified Arabic"/>
          <w:sz w:val="32"/>
          <w:szCs w:val="24"/>
          <w:rtl/>
        </w:rPr>
        <w:lastRenderedPageBreak/>
        <w:t>الصناعية. وتكتسب هذه المشكلة أهميتها من ندرة الأدلة التطبيقية التي تدمج هذه الأبعاد الإدارية مع مؤشرات تشغيلية ملائمة لسياق محطات التحلية السعودية.</w:t>
      </w:r>
    </w:p>
    <w:p w14:paraId="0F5D103B" w14:textId="77777777" w:rsidR="00E302CD" w:rsidRPr="008F0F11" w:rsidRDefault="00000000" w:rsidP="008F0F11">
      <w:pPr>
        <w:keepNext/>
        <w:bidi/>
        <w:spacing w:before="160" w:after="80"/>
        <w:ind w:firstLine="0"/>
        <w:jc w:val="left"/>
        <w:rPr>
          <w:rFonts w:ascii="Simplified Arabic" w:hAnsi="Simplified Arabic" w:cs="Simplified Arabic"/>
          <w:sz w:val="32"/>
          <w:szCs w:val="24"/>
        </w:rPr>
      </w:pPr>
      <w:r w:rsidRPr="008F0F11">
        <w:rPr>
          <w:rFonts w:ascii="Simplified Arabic" w:hAnsi="Simplified Arabic" w:cs="Simplified Arabic"/>
          <w:b/>
          <w:color w:val="17365D"/>
          <w:sz w:val="32"/>
          <w:szCs w:val="24"/>
          <w:rtl/>
        </w:rPr>
        <w:t>صياغة المشكلة بصورة تحليلية:</w:t>
      </w:r>
    </w:p>
    <w:p w14:paraId="0044525F" w14:textId="77777777" w:rsidR="00E302CD" w:rsidRPr="008F0F11" w:rsidRDefault="00000000" w:rsidP="008F0F11">
      <w:pPr>
        <w:bidi/>
        <w:spacing w:line="276" w:lineRule="auto"/>
        <w:jc w:val="left"/>
        <w:rPr>
          <w:rFonts w:ascii="Simplified Arabic" w:hAnsi="Simplified Arabic" w:cs="Simplified Arabic"/>
          <w:sz w:val="32"/>
          <w:szCs w:val="24"/>
        </w:rPr>
      </w:pPr>
      <w:r w:rsidRPr="008F0F11">
        <w:rPr>
          <w:rFonts w:ascii="Simplified Arabic" w:hAnsi="Simplified Arabic" w:cs="Simplified Arabic"/>
          <w:sz w:val="32"/>
          <w:szCs w:val="24"/>
          <w:rtl/>
        </w:rPr>
        <w:t>يمكن تلخيص جوهر المشكلة في الفجوة المحتملة بين وجود توجهات استراتيجية وبين مقدار انعكاسها على الممارسات التشغيلية اليومية. فالدراسة لا تسأل فقط عما إذا كانت الإدارة الاستراتيجية مطبقة، بل تبحث في مستوى كل بعد، وفي قوة علاقته بكفاءة التشغيل، وفي الاختلاف النسبي بين أثر الصياغة والتنفيذ والتقييم والمتابعة.</w:t>
      </w:r>
    </w:p>
    <w:p w14:paraId="5818BD0F" w14:textId="77777777" w:rsidR="00E302CD" w:rsidRPr="008F0F11" w:rsidRDefault="00000000" w:rsidP="008F0F11">
      <w:pPr>
        <w:bidi/>
        <w:spacing w:line="276" w:lineRule="auto"/>
        <w:jc w:val="left"/>
        <w:rPr>
          <w:rFonts w:ascii="Simplified Arabic" w:hAnsi="Simplified Arabic" w:cs="Simplified Arabic"/>
          <w:sz w:val="32"/>
          <w:szCs w:val="24"/>
        </w:rPr>
      </w:pPr>
      <w:r w:rsidRPr="008F0F11">
        <w:rPr>
          <w:rFonts w:ascii="Simplified Arabic" w:hAnsi="Simplified Arabic" w:cs="Simplified Arabic"/>
          <w:sz w:val="32"/>
          <w:szCs w:val="24"/>
          <w:rtl/>
        </w:rPr>
        <w:t>ويتيح هذا التصور الانتقال من حكم عام على الإدارة الاستراتيجية إلى تحليل أكثر دقة. فإذا ظهر أن أحد الأبعاد أكثر تأثيراً من غيره، فإن ذلك يوجه التوصيات نحو الآليات التي تحتاج إلى تعزيز، مثل وضوح الأهداف، أو التنسيق والموارد، أو نظم القياس والإجراءات التصحيحية. وبذلك تصبح الأسئلة البحثية مرتبطة مباشرة بقرارات إدارية قابلة للتطبيق.</w:t>
      </w:r>
    </w:p>
    <w:p w14:paraId="4819CB48" w14:textId="77777777" w:rsidR="00E94561" w:rsidRPr="008F0F11" w:rsidRDefault="00000000" w:rsidP="008F0F11">
      <w:pPr>
        <w:pStyle w:val="Heading2"/>
        <w:bidi/>
        <w:jc w:val="left"/>
        <w:rPr>
          <w:rFonts w:ascii="Simplified Arabic" w:hAnsi="Simplified Arabic" w:cs="Simplified Arabic"/>
          <w:sz w:val="40"/>
          <w:szCs w:val="28"/>
        </w:rPr>
      </w:pPr>
      <w:r w:rsidRPr="008F0F11">
        <w:rPr>
          <w:rFonts w:ascii="Simplified Arabic" w:eastAsia="Amiri" w:hAnsi="Simplified Arabic" w:cs="Simplified Arabic"/>
          <w:color w:val="0F4069"/>
          <w:sz w:val="40"/>
          <w:szCs w:val="28"/>
          <w:rtl/>
        </w:rPr>
        <w:t>1.4 أسئلة الدراسة</w:t>
      </w:r>
    </w:p>
    <w:p w14:paraId="2098616D"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السؤال الرئيس: ما أثر تطبيق الإدارة الاستراتيجية على كفاءة التشغيل في محطات تحلية مياه البحر التابعة لشركة مرافق السعودية في مدينة الجبيل الصناعية؟</w:t>
      </w:r>
    </w:p>
    <w:p w14:paraId="10DE4507"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ويتفرع عن السؤال الرئيس الأسئلة الآتية: (1) ما مستوى تطبيق أبعاد الإدارة الاستراتيجية: الصياغة والتنفيذ والتقييم والمتابعة؟ (2) ما مستوى كفاءة التشغيل من منظور العاملين ذوي الصلة؟ (3) هل يوجد أثر ذو دلالة إحصائية لأبعاد الإدارة الاستراتيجية على كفاءة التشغيل؟ (4) أي الأبعاد الاستراتيجية أكثر إسهاماً في تفسير كفاءة التشغيل؟ (5) هل تختلف استجابات أفراد الدراسة باختلاف المسمى الوظيفي وسنوات الخبرة والمستوى الإداري؟</w:t>
      </w:r>
    </w:p>
    <w:p w14:paraId="3A0ADA63" w14:textId="77777777" w:rsidR="00E94561" w:rsidRPr="008F0F11" w:rsidRDefault="00000000" w:rsidP="008F0F11">
      <w:pPr>
        <w:bidi/>
        <w:ind w:left="283"/>
        <w:jc w:val="left"/>
        <w:rPr>
          <w:rFonts w:ascii="Simplified Arabic" w:hAnsi="Simplified Arabic" w:cs="Simplified Arabic"/>
          <w:sz w:val="32"/>
          <w:szCs w:val="24"/>
        </w:rPr>
      </w:pPr>
      <w:r w:rsidRPr="00B56FDF">
        <w:rPr>
          <w:rFonts w:ascii="Simplified Arabic" w:hAnsi="Simplified Arabic" w:cs="Simplified Arabic"/>
          <w:b/>
          <w:rtl/>
        </w:rPr>
        <w:t>1</w:t>
      </w:r>
      <w:r w:rsidRPr="008F0F11">
        <w:rPr>
          <w:rFonts w:ascii="Simplified Arabic" w:hAnsi="Simplified Arabic" w:cs="Simplified Arabic"/>
          <w:b/>
          <w:sz w:val="32"/>
          <w:szCs w:val="24"/>
          <w:rtl/>
        </w:rPr>
        <w:t xml:space="preserve">. </w:t>
      </w:r>
      <w:r w:rsidRPr="008F0F11">
        <w:rPr>
          <w:rFonts w:ascii="Simplified Arabic" w:hAnsi="Simplified Arabic" w:cs="Simplified Arabic"/>
          <w:sz w:val="32"/>
          <w:szCs w:val="24"/>
          <w:rtl/>
        </w:rPr>
        <w:t>ما مستوى تطبيق صياغة الاستراتيجية وتنفيذها وتقييمها ومتابعتها في المحطات محل الدراسة؟</w:t>
      </w:r>
    </w:p>
    <w:p w14:paraId="4D68CE52" w14:textId="77777777" w:rsidR="00E94561" w:rsidRPr="008F0F11" w:rsidRDefault="00000000" w:rsidP="008F0F11">
      <w:pPr>
        <w:bidi/>
        <w:ind w:left="283"/>
        <w:jc w:val="left"/>
        <w:rPr>
          <w:rFonts w:ascii="Simplified Arabic" w:hAnsi="Simplified Arabic" w:cs="Simplified Arabic"/>
          <w:sz w:val="32"/>
          <w:szCs w:val="24"/>
        </w:rPr>
      </w:pPr>
      <w:r w:rsidRPr="008F0F11">
        <w:rPr>
          <w:rFonts w:ascii="Simplified Arabic" w:hAnsi="Simplified Arabic" w:cs="Simplified Arabic"/>
          <w:b/>
          <w:sz w:val="32"/>
          <w:szCs w:val="24"/>
          <w:rtl/>
        </w:rPr>
        <w:t xml:space="preserve">2. </w:t>
      </w:r>
      <w:r w:rsidRPr="008F0F11">
        <w:rPr>
          <w:rFonts w:ascii="Simplified Arabic" w:hAnsi="Simplified Arabic" w:cs="Simplified Arabic"/>
          <w:sz w:val="32"/>
          <w:szCs w:val="24"/>
          <w:rtl/>
        </w:rPr>
        <w:t>ما مستوى كفاءة التشغيل وفق المجالات المحددة في الدراسة؟</w:t>
      </w:r>
    </w:p>
    <w:p w14:paraId="48C00F22" w14:textId="77777777" w:rsidR="00E94561" w:rsidRPr="008F0F11" w:rsidRDefault="00000000" w:rsidP="008F0F11">
      <w:pPr>
        <w:bidi/>
        <w:ind w:left="283"/>
        <w:jc w:val="left"/>
        <w:rPr>
          <w:rFonts w:ascii="Simplified Arabic" w:hAnsi="Simplified Arabic" w:cs="Simplified Arabic"/>
          <w:sz w:val="32"/>
          <w:szCs w:val="24"/>
        </w:rPr>
      </w:pPr>
      <w:r w:rsidRPr="008F0F11">
        <w:rPr>
          <w:rFonts w:ascii="Simplified Arabic" w:hAnsi="Simplified Arabic" w:cs="Simplified Arabic"/>
          <w:b/>
          <w:sz w:val="32"/>
          <w:szCs w:val="24"/>
          <w:rtl/>
        </w:rPr>
        <w:t xml:space="preserve">3. </w:t>
      </w:r>
      <w:r w:rsidRPr="008F0F11">
        <w:rPr>
          <w:rFonts w:ascii="Simplified Arabic" w:hAnsi="Simplified Arabic" w:cs="Simplified Arabic"/>
          <w:sz w:val="32"/>
          <w:szCs w:val="24"/>
          <w:rtl/>
        </w:rPr>
        <w:t>هل توجد علاقة وأثر ذو دلالة إحصائية لأبعاد الإدارة الاستراتيجية في كفاءة التشغيل؟</w:t>
      </w:r>
    </w:p>
    <w:p w14:paraId="0B11620C" w14:textId="77777777" w:rsidR="00E94561" w:rsidRPr="008F0F11" w:rsidRDefault="00000000" w:rsidP="008F0F11">
      <w:pPr>
        <w:bidi/>
        <w:ind w:left="283"/>
        <w:jc w:val="left"/>
        <w:rPr>
          <w:rFonts w:ascii="Simplified Arabic" w:hAnsi="Simplified Arabic" w:cs="Simplified Arabic"/>
          <w:sz w:val="32"/>
          <w:szCs w:val="24"/>
        </w:rPr>
      </w:pPr>
      <w:r w:rsidRPr="008F0F11">
        <w:rPr>
          <w:rFonts w:ascii="Simplified Arabic" w:hAnsi="Simplified Arabic" w:cs="Simplified Arabic"/>
          <w:b/>
          <w:sz w:val="32"/>
          <w:szCs w:val="24"/>
          <w:rtl/>
        </w:rPr>
        <w:t xml:space="preserve">4. </w:t>
      </w:r>
      <w:r w:rsidRPr="008F0F11">
        <w:rPr>
          <w:rFonts w:ascii="Simplified Arabic" w:hAnsi="Simplified Arabic" w:cs="Simplified Arabic"/>
          <w:sz w:val="32"/>
          <w:szCs w:val="24"/>
          <w:rtl/>
        </w:rPr>
        <w:t>أي الأبعاد الاستراتيجية أكثر إسهاماً في تفسير كفاءة التشغيل؟</w:t>
      </w:r>
    </w:p>
    <w:p w14:paraId="34EB1FE8" w14:textId="77777777" w:rsidR="00E94561" w:rsidRPr="008F0F11" w:rsidRDefault="00000000" w:rsidP="008F0F11">
      <w:pPr>
        <w:bidi/>
        <w:ind w:left="283"/>
        <w:jc w:val="left"/>
        <w:rPr>
          <w:rFonts w:ascii="Simplified Arabic" w:hAnsi="Simplified Arabic" w:cs="Simplified Arabic"/>
          <w:sz w:val="32"/>
          <w:szCs w:val="24"/>
        </w:rPr>
      </w:pPr>
      <w:r w:rsidRPr="008F0F11">
        <w:rPr>
          <w:rFonts w:ascii="Simplified Arabic" w:hAnsi="Simplified Arabic" w:cs="Simplified Arabic"/>
          <w:b/>
          <w:sz w:val="32"/>
          <w:szCs w:val="24"/>
          <w:rtl/>
        </w:rPr>
        <w:t xml:space="preserve">5. </w:t>
      </w:r>
      <w:r w:rsidRPr="008F0F11">
        <w:rPr>
          <w:rFonts w:ascii="Simplified Arabic" w:hAnsi="Simplified Arabic" w:cs="Simplified Arabic"/>
          <w:sz w:val="32"/>
          <w:szCs w:val="24"/>
          <w:rtl/>
        </w:rPr>
        <w:t>هل تختلف الاستجابات باختلاف المسمى الوظيفي وسنوات الخبرة والمستوى الإداري؟</w:t>
      </w:r>
    </w:p>
    <w:p w14:paraId="3B33CDF0" w14:textId="77777777" w:rsidR="00E94561" w:rsidRPr="008F0F11" w:rsidRDefault="00000000" w:rsidP="008F0F11">
      <w:pPr>
        <w:pStyle w:val="Heading2"/>
        <w:bidi/>
        <w:jc w:val="left"/>
        <w:rPr>
          <w:rFonts w:ascii="Simplified Arabic" w:hAnsi="Simplified Arabic" w:cs="Simplified Arabic"/>
          <w:sz w:val="40"/>
          <w:szCs w:val="28"/>
        </w:rPr>
      </w:pPr>
      <w:r w:rsidRPr="008F0F11">
        <w:rPr>
          <w:rFonts w:ascii="Simplified Arabic" w:eastAsia="Amiri" w:hAnsi="Simplified Arabic" w:cs="Simplified Arabic"/>
          <w:color w:val="0F4069"/>
          <w:sz w:val="40"/>
          <w:szCs w:val="28"/>
          <w:rtl/>
        </w:rPr>
        <w:lastRenderedPageBreak/>
        <w:t>1.5 أهداف الدراسة</w:t>
      </w:r>
    </w:p>
    <w:p w14:paraId="4D70550A"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الهدف الرئيس: قياس أثر تطبيق الإدارة الاستراتيجية على كفاءة التشغيل في محطات تحلية مياه البحر التابعة لشركة مرافق السعودية في مدينة الجبيل الصناعية.</w:t>
      </w:r>
    </w:p>
    <w:p w14:paraId="697B4D34"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الأهداف الفرعية: أولاً، تشخيص مستوى تطبيق صياغة الاستراتيجية وتنفيذها وتقييمها ومتابعتها. ثانياً، قياس مستوى كفاءة التشغيل عبر مؤشرات الإنتاجية والجودة والاعتمادية وكفاءة الطاقة والموارد واستمرارية التشغيل. ثالثاً، اختبار أثر كل بعد من أبعاد الإدارة الاستراتيجية في كفاءة التشغيل وتحديد البعد الأكثر إسهاماً. رابعاً، اختبار الفروق في الاستجابات وفق المتغيرات الوظيفية والديموغرافية بوصفها اختباراً مكملاً للفروض لا هدفاً مستقلاً خارج نطاق الدراسة؛ التزاماً بملاحظة لجنة التقييم.</w:t>
      </w:r>
    </w:p>
    <w:p w14:paraId="3A4DA54C"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ويعني ذلك أن الدراسة لا تسعى إلى تقييم الأداء المالي للشركة أو مقارنة تقنيات التحلية، وإنما تركز على العلاقة بين الممارسات الاستراتيجية المدركة وكفاءة التشغيل في حدود البيئة المؤسسية المختارة.</w:t>
      </w:r>
    </w:p>
    <w:p w14:paraId="4FCB338B" w14:textId="77777777" w:rsidR="00E94561" w:rsidRPr="008F0F11" w:rsidRDefault="00000000" w:rsidP="008F0F11">
      <w:pPr>
        <w:bidi/>
        <w:ind w:left="283"/>
        <w:jc w:val="left"/>
        <w:rPr>
          <w:rFonts w:ascii="Simplified Arabic" w:hAnsi="Simplified Arabic" w:cs="Simplified Arabic"/>
          <w:sz w:val="32"/>
          <w:szCs w:val="24"/>
        </w:rPr>
      </w:pPr>
      <w:r w:rsidRPr="008F0F11">
        <w:rPr>
          <w:rFonts w:ascii="Simplified Arabic" w:hAnsi="Simplified Arabic" w:cs="Simplified Arabic"/>
          <w:b/>
          <w:sz w:val="32"/>
          <w:szCs w:val="24"/>
          <w:rtl/>
        </w:rPr>
        <w:t xml:space="preserve">1. </w:t>
      </w:r>
      <w:r w:rsidRPr="008F0F11">
        <w:rPr>
          <w:rFonts w:ascii="Simplified Arabic" w:hAnsi="Simplified Arabic" w:cs="Simplified Arabic"/>
          <w:sz w:val="32"/>
          <w:szCs w:val="24"/>
          <w:rtl/>
        </w:rPr>
        <w:t>تشخيص مستوى تطبيق أبعاد الإدارة الاستراتيجية.</w:t>
      </w:r>
    </w:p>
    <w:p w14:paraId="41853AA8" w14:textId="77777777" w:rsidR="00E94561" w:rsidRPr="008F0F11" w:rsidRDefault="00000000" w:rsidP="008F0F11">
      <w:pPr>
        <w:bidi/>
        <w:ind w:left="283"/>
        <w:jc w:val="left"/>
        <w:rPr>
          <w:rFonts w:ascii="Simplified Arabic" w:hAnsi="Simplified Arabic" w:cs="Simplified Arabic"/>
          <w:sz w:val="32"/>
          <w:szCs w:val="24"/>
        </w:rPr>
      </w:pPr>
      <w:r w:rsidRPr="008F0F11">
        <w:rPr>
          <w:rFonts w:ascii="Simplified Arabic" w:hAnsi="Simplified Arabic" w:cs="Simplified Arabic"/>
          <w:b/>
          <w:sz w:val="32"/>
          <w:szCs w:val="24"/>
          <w:rtl/>
        </w:rPr>
        <w:t xml:space="preserve">2. </w:t>
      </w:r>
      <w:r w:rsidRPr="008F0F11">
        <w:rPr>
          <w:rFonts w:ascii="Simplified Arabic" w:hAnsi="Simplified Arabic" w:cs="Simplified Arabic"/>
          <w:sz w:val="32"/>
          <w:szCs w:val="24"/>
          <w:rtl/>
        </w:rPr>
        <w:t>قياس مستوى كفاءة التشغيل في المجالات المحددة.</w:t>
      </w:r>
    </w:p>
    <w:p w14:paraId="2F280CBC" w14:textId="77777777" w:rsidR="00E94561" w:rsidRPr="008F0F11" w:rsidRDefault="00000000" w:rsidP="008F0F11">
      <w:pPr>
        <w:bidi/>
        <w:ind w:left="283"/>
        <w:jc w:val="left"/>
        <w:rPr>
          <w:rFonts w:ascii="Simplified Arabic" w:hAnsi="Simplified Arabic" w:cs="Simplified Arabic"/>
          <w:sz w:val="32"/>
          <w:szCs w:val="24"/>
        </w:rPr>
      </w:pPr>
      <w:r w:rsidRPr="008F0F11">
        <w:rPr>
          <w:rFonts w:ascii="Simplified Arabic" w:hAnsi="Simplified Arabic" w:cs="Simplified Arabic"/>
          <w:b/>
          <w:sz w:val="32"/>
          <w:szCs w:val="24"/>
          <w:rtl/>
        </w:rPr>
        <w:t xml:space="preserve">3. </w:t>
      </w:r>
      <w:r w:rsidRPr="008F0F11">
        <w:rPr>
          <w:rFonts w:ascii="Simplified Arabic" w:hAnsi="Simplified Arabic" w:cs="Simplified Arabic"/>
          <w:sz w:val="32"/>
          <w:szCs w:val="24"/>
          <w:rtl/>
        </w:rPr>
        <w:t>اختبار أثر أبعاد الإدارة الاستراتيجية في كفاءة التشغيل وتحديد البعد الأكثر إسهاماً.</w:t>
      </w:r>
    </w:p>
    <w:p w14:paraId="2E7D49A3" w14:textId="77777777" w:rsidR="00E94561" w:rsidRPr="008F0F11" w:rsidRDefault="00000000" w:rsidP="008F0F11">
      <w:pPr>
        <w:bidi/>
        <w:ind w:left="283"/>
        <w:jc w:val="left"/>
        <w:rPr>
          <w:rFonts w:ascii="Simplified Arabic" w:hAnsi="Simplified Arabic" w:cs="Simplified Arabic"/>
          <w:sz w:val="32"/>
          <w:szCs w:val="24"/>
        </w:rPr>
      </w:pPr>
      <w:r w:rsidRPr="008F0F11">
        <w:rPr>
          <w:rFonts w:ascii="Simplified Arabic" w:hAnsi="Simplified Arabic" w:cs="Simplified Arabic"/>
          <w:b/>
          <w:sz w:val="32"/>
          <w:szCs w:val="24"/>
          <w:rtl/>
        </w:rPr>
        <w:t xml:space="preserve">4. </w:t>
      </w:r>
      <w:r w:rsidRPr="008F0F11">
        <w:rPr>
          <w:rFonts w:ascii="Simplified Arabic" w:hAnsi="Simplified Arabic" w:cs="Simplified Arabic"/>
          <w:sz w:val="32"/>
          <w:szCs w:val="24"/>
          <w:rtl/>
        </w:rPr>
        <w:t>اختبار الفروق الوظيفية والديموغرافية ضمن اختبار الفروض.</w:t>
      </w:r>
    </w:p>
    <w:p w14:paraId="177EB4AE" w14:textId="77777777" w:rsidR="00E302CD" w:rsidRPr="008F0F11" w:rsidRDefault="00000000" w:rsidP="008F0F11">
      <w:pPr>
        <w:keepNext/>
        <w:bidi/>
        <w:spacing w:before="160" w:after="80"/>
        <w:ind w:firstLine="0"/>
        <w:jc w:val="left"/>
        <w:rPr>
          <w:rFonts w:ascii="Simplified Arabic" w:hAnsi="Simplified Arabic" w:cs="Simplified Arabic"/>
          <w:sz w:val="32"/>
          <w:szCs w:val="24"/>
        </w:rPr>
      </w:pPr>
      <w:r w:rsidRPr="008F0F11">
        <w:rPr>
          <w:rFonts w:ascii="Simplified Arabic" w:hAnsi="Simplified Arabic" w:cs="Simplified Arabic"/>
          <w:b/>
          <w:color w:val="17365D"/>
          <w:sz w:val="32"/>
          <w:szCs w:val="24"/>
          <w:rtl/>
        </w:rPr>
        <w:t>القيمة المضافة للأهداف:</w:t>
      </w:r>
    </w:p>
    <w:p w14:paraId="72E62F1B" w14:textId="77777777" w:rsidR="00E302CD" w:rsidRPr="008F0F11" w:rsidRDefault="00000000" w:rsidP="008F0F11">
      <w:pPr>
        <w:bidi/>
        <w:spacing w:line="276" w:lineRule="auto"/>
        <w:jc w:val="left"/>
        <w:rPr>
          <w:rFonts w:ascii="Simplified Arabic" w:hAnsi="Simplified Arabic" w:cs="Simplified Arabic"/>
          <w:sz w:val="32"/>
          <w:szCs w:val="24"/>
        </w:rPr>
      </w:pPr>
      <w:r w:rsidRPr="008F0F11">
        <w:rPr>
          <w:rFonts w:ascii="Simplified Arabic" w:hAnsi="Simplified Arabic" w:cs="Simplified Arabic"/>
          <w:sz w:val="32"/>
          <w:szCs w:val="24"/>
          <w:rtl/>
        </w:rPr>
        <w:t>تتكامل أهداف الدراسة في مسار يبدأ بالتشخيص ثم التفسير ثم التطبيق. فقياس مستوى الممارسة يقدم صورة عن الواقع، واختبار الأثر يحدد الأبعاد الأكثر إسهاماً، واختبار الفروق يكشف ما إذا كانت الخبرة أو طبيعة العمل ترتبط باختلاف الإدراك. وتسمح هذه المراحل ببناء توصيات لا تقوم على الانطباع، بل على نتائج إحصائية محددة.</w:t>
      </w:r>
    </w:p>
    <w:p w14:paraId="03AA0BFC" w14:textId="77777777" w:rsidR="00E302CD" w:rsidRPr="008F0F11" w:rsidRDefault="00000000" w:rsidP="008F0F11">
      <w:pPr>
        <w:bidi/>
        <w:spacing w:line="276" w:lineRule="auto"/>
        <w:jc w:val="left"/>
        <w:rPr>
          <w:rFonts w:ascii="Simplified Arabic" w:hAnsi="Simplified Arabic" w:cs="Simplified Arabic"/>
          <w:sz w:val="32"/>
          <w:szCs w:val="24"/>
        </w:rPr>
      </w:pPr>
      <w:r w:rsidRPr="008F0F11">
        <w:rPr>
          <w:rFonts w:ascii="Simplified Arabic" w:hAnsi="Simplified Arabic" w:cs="Simplified Arabic"/>
          <w:sz w:val="32"/>
          <w:szCs w:val="24"/>
          <w:rtl/>
        </w:rPr>
        <w:t>كما تساعد الأهداف على تجنب التوسع غير المنضبط في الدراسة؛ إذ تظل النتائج مرتبطة بالمتغيرات المحددة في النموذج، ولا تتحول الرسالة إلى تقييم شامل لكل جوانب أداء الشركة أو مقارنة تقنية بين أساليب التحلية. ويعزز هذا التحديد الاتساق بين مشكلة الدراسة وأداتها وتحليلها واستنتاجاتها.</w:t>
      </w:r>
    </w:p>
    <w:p w14:paraId="2D9A68B0" w14:textId="77777777" w:rsidR="00E94561" w:rsidRPr="008F0F11" w:rsidRDefault="00000000" w:rsidP="008F0F11">
      <w:pPr>
        <w:pStyle w:val="Heading2"/>
        <w:bidi/>
        <w:jc w:val="left"/>
        <w:rPr>
          <w:rFonts w:ascii="Simplified Arabic" w:hAnsi="Simplified Arabic" w:cs="Simplified Arabic"/>
          <w:sz w:val="40"/>
          <w:szCs w:val="28"/>
        </w:rPr>
      </w:pPr>
      <w:r w:rsidRPr="008F0F11">
        <w:rPr>
          <w:rFonts w:ascii="Simplified Arabic" w:eastAsia="Amiri" w:hAnsi="Simplified Arabic" w:cs="Simplified Arabic"/>
          <w:color w:val="0F4069"/>
          <w:sz w:val="40"/>
          <w:szCs w:val="28"/>
          <w:rtl/>
        </w:rPr>
        <w:lastRenderedPageBreak/>
        <w:t>1.6 أهمية الدراسة</w:t>
      </w:r>
    </w:p>
    <w:p w14:paraId="17AEECE0"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الأهمية العلمية: تضيف الدراسة دليلاً عربياً تطبيقياً يربط الإدارة الاستراتيجية بالكفاءة التشغيلية في قطاع التحلية، وتجمع بين الأدبيات الإدارية وأدبيات إدارة العمليات والأصول. كما تقدم نموذجاً مفاهيمياً يمكن اختباره في قطاعات بنية تحتية أخرى تتسم باستمرارية الخدمة وكثافة الأصول. وتستند في ذلك إلى منظور الموارد والقدرات الديناميكية الذي يفسر كيف يمكن للقدرات الإدارية والتنظيمية أن تحسن استثمار الأصول التشغيلية (Barney, 1991; Teece et al., 1997).</w:t>
      </w:r>
    </w:p>
    <w:p w14:paraId="2CC2050C"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الأهمية التطبيقية: قد تساعد نتائج الدراسة شركة مرافق والجهات المشابهة في ترتيب أولويات التخطيط والتنفيذ والقياس، وفي تحديد مجالات التحسين المتعلقة بتكامل الإدارات، والتدريب، والصيانة الوقائية، وإدارة الطاقة، ولوحات مؤشرات الأداء. ولا تفترض الدراسة وجود قصور مسبق؛ بل تقيس مستوى الممارسة كما يراه العاملون وتستخرج دلالات التحسين من البيانات الفعلية.</w:t>
      </w:r>
    </w:p>
    <w:p w14:paraId="2A4875A0"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الأهمية الوطنية والمجتمعية: تتسق الدراسة مع توجهات الاستراتيجية الوطنية للمياه التي تؤكد استدامة المورد، وكفاءة تقديم الخدمة، ورفع تنافسية القطاع. كما أن رفع كفاءة التشغيل في مرافق المياه الصناعية يساند الاستدامة الاقتصادية والبيئية والأمن المائي في المدن الصناعية (وزارة البيئة والمياه والزراعة، 2018).</w:t>
      </w:r>
    </w:p>
    <w:p w14:paraId="38D553EA" w14:textId="77777777" w:rsidR="00E302CD" w:rsidRPr="008F0F11" w:rsidRDefault="00000000" w:rsidP="008F0F11">
      <w:pPr>
        <w:keepNext/>
        <w:bidi/>
        <w:spacing w:before="160" w:after="80"/>
        <w:ind w:firstLine="0"/>
        <w:jc w:val="left"/>
        <w:rPr>
          <w:rFonts w:ascii="Simplified Arabic" w:hAnsi="Simplified Arabic" w:cs="Simplified Arabic"/>
          <w:sz w:val="32"/>
          <w:szCs w:val="24"/>
        </w:rPr>
      </w:pPr>
      <w:r w:rsidRPr="008F0F11">
        <w:rPr>
          <w:rFonts w:ascii="Simplified Arabic" w:hAnsi="Simplified Arabic" w:cs="Simplified Arabic"/>
          <w:b/>
          <w:color w:val="17365D"/>
          <w:sz w:val="32"/>
          <w:szCs w:val="24"/>
          <w:rtl/>
        </w:rPr>
        <w:t>الأهمية العلمية والمنهجية:</w:t>
      </w:r>
    </w:p>
    <w:p w14:paraId="6B011B36" w14:textId="77777777" w:rsidR="00E302CD" w:rsidRPr="008F0F11" w:rsidRDefault="00000000" w:rsidP="008F0F11">
      <w:pPr>
        <w:bidi/>
        <w:spacing w:line="276" w:lineRule="auto"/>
        <w:jc w:val="left"/>
        <w:rPr>
          <w:rFonts w:ascii="Simplified Arabic" w:hAnsi="Simplified Arabic" w:cs="Simplified Arabic"/>
          <w:sz w:val="32"/>
          <w:szCs w:val="24"/>
        </w:rPr>
      </w:pPr>
      <w:r w:rsidRPr="008F0F11">
        <w:rPr>
          <w:rFonts w:ascii="Simplified Arabic" w:hAnsi="Simplified Arabic" w:cs="Simplified Arabic"/>
          <w:sz w:val="32"/>
          <w:szCs w:val="24"/>
          <w:rtl/>
        </w:rPr>
        <w:t>تتمثل الإضافة العلمية في دمج أدبيات الإدارة الاستراتيجية مع أدبيات الكفاءة التشغيلية في قطاع تحلية المياه، وهو قطاع يغلب على دراساته التركيز الفني. ويتيح هذا الدمج اختبار ما إذا كانت القدرات الإدارية والتنظيمية تسهم في تفسير الكفاءة إلى جانب المحددات التقنية. كما تقدم الدراسة صياغة تشغيلية واضحة لأبعاد المتغيرين يمكن الاستفادة منها في دراسات لاحقة داخل قطاعات البنية التحتية.</w:t>
      </w:r>
    </w:p>
    <w:p w14:paraId="247DD357" w14:textId="77777777" w:rsidR="00E302CD" w:rsidRPr="008F0F11" w:rsidRDefault="00000000" w:rsidP="008F0F11">
      <w:pPr>
        <w:bidi/>
        <w:spacing w:line="276" w:lineRule="auto"/>
        <w:jc w:val="left"/>
        <w:rPr>
          <w:rFonts w:ascii="Simplified Arabic" w:hAnsi="Simplified Arabic" w:cs="Simplified Arabic"/>
          <w:sz w:val="32"/>
          <w:szCs w:val="24"/>
        </w:rPr>
      </w:pPr>
      <w:r w:rsidRPr="008F0F11">
        <w:rPr>
          <w:rFonts w:ascii="Simplified Arabic" w:hAnsi="Simplified Arabic" w:cs="Simplified Arabic"/>
          <w:sz w:val="32"/>
          <w:szCs w:val="24"/>
          <w:rtl/>
        </w:rPr>
        <w:t>وتبرز الأهمية المنهجية في استخدام بيانات ميدانية من فئات ترتبط بصورة مباشرة بالتشغيل والصيانة والجودة والإدارة. ويساعد تنوع الأدوار الوظيفية على تكوين رؤية متعددة الزوايا، كما يسمح باختبار الفروق بين مجموعات العينة. ومع ذلك، تبقى النتائج مقيدة بطبيعة القياس الإدراكي والتصميم المقطعي، وهو ما تؤكده الدراسة عند تفسير النتائج.</w:t>
      </w:r>
    </w:p>
    <w:p w14:paraId="0A2179AA" w14:textId="77777777" w:rsidR="00E302CD" w:rsidRPr="008F0F11" w:rsidRDefault="00000000" w:rsidP="008F0F11">
      <w:pPr>
        <w:keepNext/>
        <w:bidi/>
        <w:spacing w:before="160" w:after="80"/>
        <w:ind w:firstLine="0"/>
        <w:jc w:val="left"/>
        <w:rPr>
          <w:rFonts w:ascii="Simplified Arabic" w:hAnsi="Simplified Arabic" w:cs="Simplified Arabic"/>
          <w:sz w:val="32"/>
          <w:szCs w:val="24"/>
        </w:rPr>
      </w:pPr>
      <w:r w:rsidRPr="008F0F11">
        <w:rPr>
          <w:rFonts w:ascii="Simplified Arabic" w:hAnsi="Simplified Arabic" w:cs="Simplified Arabic"/>
          <w:b/>
          <w:color w:val="17365D"/>
          <w:sz w:val="32"/>
          <w:szCs w:val="24"/>
          <w:rtl/>
        </w:rPr>
        <w:t>الأهمية الإدارية والوطنية:</w:t>
      </w:r>
    </w:p>
    <w:p w14:paraId="4145260E" w14:textId="77777777" w:rsidR="00E302CD" w:rsidRPr="008F0F11" w:rsidRDefault="00000000" w:rsidP="008F0F11">
      <w:pPr>
        <w:bidi/>
        <w:spacing w:line="276" w:lineRule="auto"/>
        <w:jc w:val="left"/>
        <w:rPr>
          <w:rFonts w:ascii="Simplified Arabic" w:hAnsi="Simplified Arabic" w:cs="Simplified Arabic"/>
          <w:sz w:val="32"/>
          <w:szCs w:val="24"/>
        </w:rPr>
      </w:pPr>
      <w:r w:rsidRPr="008F0F11">
        <w:rPr>
          <w:rFonts w:ascii="Simplified Arabic" w:hAnsi="Simplified Arabic" w:cs="Simplified Arabic"/>
          <w:sz w:val="32"/>
          <w:szCs w:val="24"/>
          <w:rtl/>
        </w:rPr>
        <w:t xml:space="preserve">على المستوى الإداري، توفر النتائج أساساً لترتيب أولويات التحسين، ولا سيما في مجالات المتابعة، وتحديد المسؤوليات، وإشراك الصيانة، ونقل المعرفة. وعلى المستوى الوطني، ينسجم الموضوع مع توجهات رفع كفاءة الخدمات </w:t>
      </w:r>
      <w:r w:rsidRPr="008F0F11">
        <w:rPr>
          <w:rFonts w:ascii="Simplified Arabic" w:hAnsi="Simplified Arabic" w:cs="Simplified Arabic"/>
          <w:sz w:val="32"/>
          <w:szCs w:val="24"/>
          <w:rtl/>
        </w:rPr>
        <w:lastRenderedPageBreak/>
        <w:t>الأساسية واستدامة الموارد وتحسين إدارة الأصول، وهي موضوعات مركزية في قطاع المياه السعودي (وزارة البيئة والمياه والزراعة، 2018؛ الهيئة السعودية للمياه، 2024).</w:t>
      </w:r>
    </w:p>
    <w:p w14:paraId="14D1C2E0" w14:textId="77777777" w:rsidR="00E94561" w:rsidRPr="008F0F11" w:rsidRDefault="00000000" w:rsidP="008F0F11">
      <w:pPr>
        <w:pStyle w:val="Heading2"/>
        <w:bidi/>
        <w:jc w:val="left"/>
        <w:rPr>
          <w:rFonts w:ascii="Simplified Arabic" w:hAnsi="Simplified Arabic" w:cs="Simplified Arabic"/>
          <w:sz w:val="40"/>
          <w:szCs w:val="28"/>
        </w:rPr>
      </w:pPr>
      <w:r w:rsidRPr="008F0F11">
        <w:rPr>
          <w:rFonts w:ascii="Simplified Arabic" w:eastAsia="Amiri" w:hAnsi="Simplified Arabic" w:cs="Simplified Arabic"/>
          <w:color w:val="0F4069"/>
          <w:sz w:val="40"/>
          <w:szCs w:val="28"/>
          <w:rtl/>
        </w:rPr>
        <w:t>1.7 حدود الدراسة</w:t>
      </w:r>
    </w:p>
    <w:p w14:paraId="4E2DD268"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الحدود الزمانية: العام الدراسي 2025-2026م، وقد جُمعت البيانات الميدانية خلال الفترة المعتمدة للدراسة في هذا العام الأكاديمي.</w:t>
      </w:r>
    </w:p>
    <w:p w14:paraId="4EEDC11D"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وتحمي هذه الحدود من التوسع في متغيرات مهمة لكنها خارج نطاق الدراسة، مثل التسعير أو أداء الموردين أو المقارنة الفنية التفصيلية بين تقنيات التحلية. كما يجب التعامل بحذر مع تعميم النتائج؛ لأنها تعكس سياقاً تنظيمياً محدداً وقياسات إدراكية تعتمد على استجابات العينة.</w:t>
      </w:r>
    </w:p>
    <w:p w14:paraId="12164D81" w14:textId="77777777" w:rsidR="00E302CD" w:rsidRPr="008F0F11" w:rsidRDefault="00000000" w:rsidP="008F0F11">
      <w:pPr>
        <w:keepNext/>
        <w:bidi/>
        <w:spacing w:before="160" w:after="80"/>
        <w:ind w:firstLine="0"/>
        <w:jc w:val="left"/>
        <w:rPr>
          <w:rFonts w:ascii="Simplified Arabic" w:hAnsi="Simplified Arabic" w:cs="Simplified Arabic"/>
          <w:sz w:val="32"/>
          <w:szCs w:val="24"/>
        </w:rPr>
      </w:pPr>
      <w:r w:rsidRPr="008F0F11">
        <w:rPr>
          <w:rFonts w:ascii="Simplified Arabic" w:hAnsi="Simplified Arabic" w:cs="Simplified Arabic"/>
          <w:b/>
          <w:color w:val="17365D"/>
          <w:sz w:val="32"/>
          <w:szCs w:val="24"/>
          <w:rtl/>
        </w:rPr>
        <w:t>حدود التعميم:</w:t>
      </w:r>
    </w:p>
    <w:p w14:paraId="7CA80AC7" w14:textId="77777777" w:rsidR="00E302CD" w:rsidRPr="008F0F11" w:rsidRDefault="00000000" w:rsidP="008F0F11">
      <w:pPr>
        <w:bidi/>
        <w:spacing w:line="276" w:lineRule="auto"/>
        <w:jc w:val="left"/>
        <w:rPr>
          <w:rFonts w:ascii="Simplified Arabic" w:hAnsi="Simplified Arabic" w:cs="Simplified Arabic"/>
          <w:sz w:val="32"/>
          <w:szCs w:val="24"/>
        </w:rPr>
      </w:pPr>
      <w:r w:rsidRPr="008F0F11">
        <w:rPr>
          <w:rFonts w:ascii="Simplified Arabic" w:hAnsi="Simplified Arabic" w:cs="Simplified Arabic"/>
          <w:sz w:val="32"/>
          <w:szCs w:val="24"/>
          <w:rtl/>
        </w:rPr>
        <w:t>توضح الحدود المكانية والبشرية أن النتائج تعبّر عن السياق الذي جُمعت فيه البيانات، ولذلك لا ينبغي تعميم المتوسطات أو معاملات الأثر آلياً على جميع محطات التحلية أو القطاعات. غير أن النموذج وطريقة القياس يمكن أن يوفرا أساساً للمقارنة أو إعادة الاختبار في مواقع أخرى، بشرط مراعاة اختلاف التقنية والحجم والهيكل التنظيمي.</w:t>
      </w:r>
    </w:p>
    <w:p w14:paraId="55B267FB" w14:textId="77777777" w:rsidR="00E302CD" w:rsidRPr="008F0F11" w:rsidRDefault="00000000" w:rsidP="008F0F11">
      <w:pPr>
        <w:bidi/>
        <w:spacing w:line="276" w:lineRule="auto"/>
        <w:jc w:val="left"/>
        <w:rPr>
          <w:rFonts w:ascii="Simplified Arabic" w:hAnsi="Simplified Arabic" w:cs="Simplified Arabic"/>
          <w:sz w:val="32"/>
          <w:szCs w:val="24"/>
        </w:rPr>
      </w:pPr>
      <w:r w:rsidRPr="008F0F11">
        <w:rPr>
          <w:rFonts w:ascii="Simplified Arabic" w:hAnsi="Simplified Arabic" w:cs="Simplified Arabic"/>
          <w:sz w:val="32"/>
          <w:szCs w:val="24"/>
          <w:rtl/>
        </w:rPr>
        <w:t>كما أن الحدود الموضوعية تحافظ على تركيز الدراسة؛ فالكفاءة التشغيلية تقاس من خلال مجالات محددة ولا تشمل كل المؤشرات الفنية الممكنة. ويعد هذا الاختيار مناسباً لطبيعة الاستبانة الإدارية، لكنه لا يغني عن البيانات الموضوعية المباشرة مثل التوافر واستهلاك الطاقة والتوقفات عند إجراء دراسات تشخيصية أعمق.</w:t>
      </w:r>
    </w:p>
    <w:p w14:paraId="384BF368" w14:textId="77777777" w:rsidR="00E94561" w:rsidRPr="008F0F11" w:rsidRDefault="00000000" w:rsidP="008F0F11">
      <w:pPr>
        <w:pStyle w:val="Heading2"/>
        <w:bidi/>
        <w:jc w:val="left"/>
        <w:rPr>
          <w:rFonts w:ascii="Simplified Arabic" w:hAnsi="Simplified Arabic" w:cs="Simplified Arabic"/>
          <w:sz w:val="40"/>
          <w:szCs w:val="28"/>
        </w:rPr>
      </w:pPr>
      <w:r w:rsidRPr="008F0F11">
        <w:rPr>
          <w:rFonts w:ascii="Simplified Arabic" w:eastAsia="Amiri" w:hAnsi="Simplified Arabic" w:cs="Simplified Arabic"/>
          <w:color w:val="0F4069"/>
          <w:sz w:val="40"/>
          <w:szCs w:val="28"/>
          <w:rtl/>
        </w:rPr>
        <w:t>1.8 مصطلحات الدراسة وتعريفاتها الإجرائية</w:t>
      </w:r>
    </w:p>
    <w:p w14:paraId="54C5B3D9"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الإدارة الاستراتيجية: عملية منهجية لصياغة التوجه الاستراتيجي، وتنفيذه، وتقويمه ومتابعته من أجل تحقيق أهداف المؤسسة ضمن بيئة متغيرة (David et al., 2020). إجرائياً، تقاس بمتوسط استجابات أفراد العينة على فقرات الأبعاد الثلاثة في الاستبانة.</w:t>
      </w:r>
    </w:p>
    <w:p w14:paraId="3F916838"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كفاءة التشغيل: قدرة المحطة على تحقيق مخرجات مستقرة ومطابقة للمواصفات عبر الاستخدام الرشيد للطاقة والموارد وتقليل التوقفات والفاقد، مع المحافظة على الجاهزية والاستمرارية (Heizer et al., 2020; Kim et al., 2019). إجرائياً، تقاس بمتوسط استجابات العينة على فقرات الإنتاجية والجودة والاعتمادية والطاقة والموارد واستمرارية التشغيل.</w:t>
      </w:r>
    </w:p>
    <w:p w14:paraId="485804C2"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lastRenderedPageBreak/>
        <w:t>شركة مرافق: شركة سعودية تقدم خدمات الماء والطاقة وخدمات بيئية للمدن الصناعية، وتضم مشروعات ومحطات مرتبطة بالجبيل الصناعية؛ ويستخدم الاسم في الدراسة لتحديد الحالة التطبيقية لا لإصدار حكم تقويمي على الشركة أو الإفصاح عن معلومات تشغيلية سرية (Marafiq, n.d.-a).</w:t>
      </w:r>
    </w:p>
    <w:p w14:paraId="73BB6D33" w14:textId="77777777" w:rsidR="00E302CD" w:rsidRPr="008F0F11" w:rsidRDefault="00000000" w:rsidP="008F0F11">
      <w:pPr>
        <w:keepNext/>
        <w:bidi/>
        <w:spacing w:before="160" w:after="80"/>
        <w:ind w:firstLine="0"/>
        <w:jc w:val="left"/>
        <w:rPr>
          <w:rFonts w:ascii="Simplified Arabic" w:hAnsi="Simplified Arabic" w:cs="Simplified Arabic"/>
          <w:sz w:val="32"/>
          <w:szCs w:val="24"/>
        </w:rPr>
      </w:pPr>
      <w:r w:rsidRPr="008F0F11">
        <w:rPr>
          <w:rFonts w:ascii="Simplified Arabic" w:hAnsi="Simplified Arabic" w:cs="Simplified Arabic"/>
          <w:b/>
          <w:color w:val="17365D"/>
          <w:sz w:val="32"/>
          <w:szCs w:val="24"/>
          <w:rtl/>
        </w:rPr>
        <w:t>التمييز بين المفاهيم:</w:t>
      </w:r>
    </w:p>
    <w:p w14:paraId="78593EDA" w14:textId="77777777" w:rsidR="00E302CD" w:rsidRPr="008F0F11" w:rsidRDefault="00000000" w:rsidP="008F0F11">
      <w:pPr>
        <w:bidi/>
        <w:spacing w:line="276" w:lineRule="auto"/>
        <w:jc w:val="left"/>
        <w:rPr>
          <w:rFonts w:ascii="Simplified Arabic" w:hAnsi="Simplified Arabic" w:cs="Simplified Arabic"/>
          <w:sz w:val="32"/>
          <w:szCs w:val="24"/>
        </w:rPr>
      </w:pPr>
      <w:r w:rsidRPr="008F0F11">
        <w:rPr>
          <w:rFonts w:ascii="Simplified Arabic" w:hAnsi="Simplified Arabic" w:cs="Simplified Arabic"/>
          <w:sz w:val="32"/>
          <w:szCs w:val="24"/>
          <w:rtl/>
        </w:rPr>
        <w:t>يفرق التعريف الإجرائي بين الإدارة الاستراتيجية بوصفها عملية تنظيمية، وبين الخطة الاستراتيجية بوصفها وثيقة أو مخرجاً من مخرجات الصياغة. فوجود الخطة لا يكفي للحكم على جودة الإدارة الاستراتيجية ما لم تتوافر آليات التنفيذ والتقييم والتعلم. كما يميز تعريف كفاءة التشغيل بين خفض التكلفة وبين الاستخدام المتوازن للموارد بما يحافظ على الجودة والاعتمادية والاستمرارية.</w:t>
      </w:r>
    </w:p>
    <w:p w14:paraId="12CD1ED2" w14:textId="77777777" w:rsidR="00E302CD" w:rsidRPr="008F0F11" w:rsidRDefault="00000000" w:rsidP="008F0F11">
      <w:pPr>
        <w:bidi/>
        <w:spacing w:line="276" w:lineRule="auto"/>
        <w:jc w:val="left"/>
        <w:rPr>
          <w:rFonts w:ascii="Simplified Arabic" w:hAnsi="Simplified Arabic" w:cs="Simplified Arabic"/>
          <w:sz w:val="32"/>
          <w:szCs w:val="24"/>
        </w:rPr>
      </w:pPr>
      <w:r w:rsidRPr="008F0F11">
        <w:rPr>
          <w:rFonts w:ascii="Simplified Arabic" w:hAnsi="Simplified Arabic" w:cs="Simplified Arabic"/>
          <w:sz w:val="32"/>
          <w:szCs w:val="24"/>
          <w:rtl/>
        </w:rPr>
        <w:t>ويهدف إدراج التعريفات الإجرائية إلى ضمان أن يقرأ أفراد العينة الفقرات ضمن معنى محدد، وأن يفسر القارئ النتائج وفق الحدود نفسها. وهذا يقلل الغموض المفاهيمي ويعزز اتساق القياس مع الفروض والتحليل.</w:t>
      </w:r>
    </w:p>
    <w:p w14:paraId="622407DF" w14:textId="77777777" w:rsidR="00E94561" w:rsidRPr="008F0F11" w:rsidRDefault="00000000" w:rsidP="008F0F11">
      <w:pPr>
        <w:pStyle w:val="Heading2"/>
        <w:bidi/>
        <w:jc w:val="left"/>
        <w:rPr>
          <w:rFonts w:ascii="Simplified Arabic" w:hAnsi="Simplified Arabic" w:cs="Simplified Arabic"/>
          <w:sz w:val="40"/>
          <w:szCs w:val="28"/>
        </w:rPr>
      </w:pPr>
      <w:r w:rsidRPr="008F0F11">
        <w:rPr>
          <w:rFonts w:ascii="Simplified Arabic" w:eastAsia="Amiri" w:hAnsi="Simplified Arabic" w:cs="Simplified Arabic"/>
          <w:color w:val="0F4069"/>
          <w:sz w:val="40"/>
          <w:szCs w:val="28"/>
          <w:rtl/>
        </w:rPr>
        <w:t>1.9 تنظيم الرسالة</w:t>
      </w:r>
    </w:p>
    <w:p w14:paraId="1B4EEEF3"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تتكون الرسالة من خمسة فصول. يعرض الفصل الأول الإطار العام للدراسة. ويقدم الفصل الثاني الإطار النظري والدراسات السابقة والفجوة البحثية والنموذج المفاهيمي. ويشرح الفصل الثالث المنهجية وأداة القياس وخطة التحليل. ويعرض الفصل الرابع نتائج التحليل الإحصائي الفعلية المستخلصة من استجابات العينة الميدانية (ن = 223)، بما في ذلك الإحصاء الوصفي واختبار فروض الدراسة واختبار الفروق. ويناقش الفصل الخامس هذه النتائج في ضوء الأدبيات السابقة، ويقدم الاستنتاجات والتوصيات التنفيذية ومقترحات الدراسات المستقبلية.</w:t>
      </w:r>
    </w:p>
    <w:p w14:paraId="3E319A33" w14:textId="77777777" w:rsidR="00E94561" w:rsidRPr="008F0F11" w:rsidRDefault="00E94561" w:rsidP="008F0F11">
      <w:pPr>
        <w:bidi/>
        <w:jc w:val="left"/>
        <w:rPr>
          <w:rFonts w:ascii="Simplified Arabic" w:hAnsi="Simplified Arabic" w:cs="Simplified Arabic"/>
          <w:sz w:val="32"/>
          <w:szCs w:val="24"/>
        </w:rPr>
      </w:pPr>
    </w:p>
    <w:p w14:paraId="0FF559AB" w14:textId="77777777" w:rsidR="00E94561" w:rsidRPr="008F0F11" w:rsidRDefault="00000000" w:rsidP="00A27841">
      <w:pPr>
        <w:pStyle w:val="Heading1"/>
        <w:pageBreakBefore/>
        <w:bidi/>
        <w:jc w:val="center"/>
        <w:rPr>
          <w:rFonts w:ascii="Simplified Arabic" w:hAnsi="Simplified Arabic" w:cs="Simplified Arabic"/>
          <w:sz w:val="44"/>
          <w:szCs w:val="32"/>
        </w:rPr>
      </w:pPr>
      <w:r w:rsidRPr="008F0F11">
        <w:rPr>
          <w:rFonts w:ascii="Simplified Arabic" w:eastAsia="Amiri" w:hAnsi="Simplified Arabic" w:cs="Simplified Arabic"/>
          <w:sz w:val="44"/>
          <w:szCs w:val="32"/>
          <w:rtl/>
        </w:rPr>
        <w:lastRenderedPageBreak/>
        <w:t>الفصل الثاني: الإطار النظري والدراسات السابقة</w:t>
      </w:r>
    </w:p>
    <w:p w14:paraId="527D9F01" w14:textId="77777777" w:rsidR="00E94561" w:rsidRPr="00B56FDF" w:rsidRDefault="00000000" w:rsidP="008F0F11">
      <w:pPr>
        <w:pStyle w:val="Heading2"/>
        <w:bidi/>
        <w:jc w:val="left"/>
        <w:rPr>
          <w:rFonts w:ascii="Simplified Arabic" w:hAnsi="Simplified Arabic" w:cs="Simplified Arabic"/>
        </w:rPr>
      </w:pPr>
      <w:r w:rsidRPr="00B56FDF">
        <w:rPr>
          <w:rFonts w:ascii="Simplified Arabic" w:eastAsia="Amiri" w:hAnsi="Simplified Arabic" w:cs="Simplified Arabic"/>
          <w:color w:val="0F4069"/>
          <w:rtl/>
        </w:rPr>
        <w:t>2.1 تمهيد</w:t>
      </w:r>
    </w:p>
    <w:p w14:paraId="3849D7CF"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يتناول هذا الفصل الأساس النظري الذي تقوم عليه الدراسة من خلال ثلاثة مسارات مترابطة: الإدارة الاستراتيجية، وكفاءة التشغيل، وخصوصية التشغيل في محطات تحلية مياه البحر. كما يستعرض الدراسات السابقة من الأقدم إلى الأحدث داخل كل محور، استجابةً لملاحظة لجنة التقييم، وينتهي بتحديد الفجوة البحثية وصياغة النموذج المفاهيمي والفروض.</w:t>
      </w:r>
    </w:p>
    <w:p w14:paraId="03E8F000"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وتقوم الفكرة الرئيسة على أن التكنولوجيا وحدها لا تفسر اختلاف الكفاءة بين المؤسسات؛ إذ إن القدرة على اختيار الأولويات وتعبئة الموارد والتنسيق بين الوحدات والقياس والتعلم تمثل قدرات إدارية قد تحدد مقدار القيمة المتحققة من الأصول والتقنيات المتاحة (Teece et al., 1997; Hitt et al., 2020).</w:t>
      </w:r>
    </w:p>
    <w:p w14:paraId="1A4BF4A3" w14:textId="77777777" w:rsidR="00E94561" w:rsidRPr="00B56FDF" w:rsidRDefault="00000000" w:rsidP="008F0F11">
      <w:pPr>
        <w:pStyle w:val="Heading2"/>
        <w:bidi/>
        <w:jc w:val="left"/>
        <w:rPr>
          <w:rFonts w:ascii="Simplified Arabic" w:hAnsi="Simplified Arabic" w:cs="Simplified Arabic"/>
        </w:rPr>
      </w:pPr>
      <w:r w:rsidRPr="00B56FDF">
        <w:rPr>
          <w:rFonts w:ascii="Simplified Arabic" w:eastAsia="Amiri" w:hAnsi="Simplified Arabic" w:cs="Simplified Arabic"/>
          <w:color w:val="0F4069"/>
          <w:rtl/>
        </w:rPr>
        <w:t>2.2 الإدارة الاستراتيجية: المفهوم والتطور</w:t>
      </w:r>
    </w:p>
    <w:p w14:paraId="6EF4D360"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تشير الإدارة الاستراتيجية إلى مجموعة القرارات والإجراءات التي تقود المنظمة نحو رؤيتها وأهدافها بعيدة المدى. وهي ليست مرادفاً لخطة سنوية أو قائمة مبادرات، بل إطار متكامل يبدأ بفهم البيئة الداخلية والخارجية، ويمتد إلى تحديد الاختيارات الاستراتيجية وتعبئة الموارد وتنفيذ البرامج ثم مراقبة النتائج والتعلم منها (David et al., 2020).</w:t>
      </w:r>
    </w:p>
    <w:p w14:paraId="415DF2A0"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ويبرز في التعريف المعاصر للإدارة الاستراتيجية عنصران أساسيان. الأول هو التوافق؛ أي توافق الرؤية والرسالة والأهداف مع قدرات المنظمة وبيئتها. والثاني هو الاستمرارية؛ أي أن الاستراتيجية عملية ديناميكية تتطلب مراجعة الافتراضات عند تغير المخاطر أو الطلب أو التقنيات. ولذلك لا تقاس جودة الإدارة الاستراتيجية بوجود وثيقة فقط، بل بدرجة تحولها إلى قرارات وممارسات ومؤشرات تُستخدم فعلياً في إدارة العمل (Hitt et al., 2020).</w:t>
      </w:r>
    </w:p>
    <w:p w14:paraId="4C31BB91"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وفي المؤسسات الصناعية، يكتسب هذا المفهوم أهمية خاصة لأن القرارات الاستراتيجية تؤثر في الأصول طويلة العمر، وخطط الإحلال، ومستويات المخزون، والتدريب، وموثوقية العمليات، والسلامة. ومن ثمّ، فإن أي انفصال بين الاستراتيجية والتشغيل قد ينتج عنه استثمارات لا تخدم الأولويات أو مؤشرات أداء لا تقود إلى إجراءات تصحيحية.</w:t>
      </w:r>
    </w:p>
    <w:p w14:paraId="2AF5828B" w14:textId="77777777" w:rsidR="00E302CD" w:rsidRPr="008F0F11" w:rsidRDefault="00000000" w:rsidP="008F0F11">
      <w:pPr>
        <w:keepNext/>
        <w:bidi/>
        <w:spacing w:before="160" w:after="80"/>
        <w:ind w:firstLine="0"/>
        <w:jc w:val="left"/>
        <w:rPr>
          <w:rFonts w:ascii="Simplified Arabic" w:hAnsi="Simplified Arabic" w:cs="Simplified Arabic"/>
          <w:sz w:val="32"/>
          <w:szCs w:val="24"/>
        </w:rPr>
      </w:pPr>
      <w:r w:rsidRPr="008F0F11">
        <w:rPr>
          <w:rFonts w:ascii="Simplified Arabic" w:hAnsi="Simplified Arabic" w:cs="Simplified Arabic"/>
          <w:b/>
          <w:color w:val="17365D"/>
          <w:sz w:val="32"/>
          <w:szCs w:val="24"/>
          <w:rtl/>
        </w:rPr>
        <w:lastRenderedPageBreak/>
        <w:t>خصائص الإدارة الاستراتيجية الفعّالة:</w:t>
      </w:r>
    </w:p>
    <w:p w14:paraId="279DD24F" w14:textId="77777777" w:rsidR="00E302CD" w:rsidRPr="008F0F11" w:rsidRDefault="00000000" w:rsidP="008F0F11">
      <w:pPr>
        <w:bidi/>
        <w:spacing w:line="276" w:lineRule="auto"/>
        <w:jc w:val="left"/>
        <w:rPr>
          <w:rFonts w:ascii="Simplified Arabic" w:hAnsi="Simplified Arabic" w:cs="Simplified Arabic"/>
          <w:sz w:val="32"/>
          <w:szCs w:val="24"/>
        </w:rPr>
      </w:pPr>
      <w:r w:rsidRPr="008F0F11">
        <w:rPr>
          <w:rFonts w:ascii="Simplified Arabic" w:hAnsi="Simplified Arabic" w:cs="Simplified Arabic"/>
          <w:sz w:val="32"/>
          <w:szCs w:val="24"/>
          <w:rtl/>
        </w:rPr>
        <w:t>تتميز الإدارة الاستراتيجية الفعّالة بالشمول والاستمرارية والقدرة على الربط بين المستويات الإدارية. فالشمول يعني مراعاة البيئة والموارد والمخاطر وأصحاب المصلحة، والاستمرارية تعني مراجعة الافتراضات والنتائج بصورة دورية، أما الربط بين المستويات فيعني تحويل الأهداف العامة إلى مسؤوليات ومؤشرات يفهمها من ينفذ العمل اليومي.</w:t>
      </w:r>
    </w:p>
    <w:p w14:paraId="6C99E2EF" w14:textId="77777777" w:rsidR="00E302CD" w:rsidRPr="008F0F11" w:rsidRDefault="00000000" w:rsidP="008F0F11">
      <w:pPr>
        <w:bidi/>
        <w:spacing w:line="276" w:lineRule="auto"/>
        <w:jc w:val="left"/>
        <w:rPr>
          <w:rFonts w:ascii="Simplified Arabic" w:hAnsi="Simplified Arabic" w:cs="Simplified Arabic"/>
          <w:sz w:val="32"/>
          <w:szCs w:val="24"/>
        </w:rPr>
      </w:pPr>
      <w:r w:rsidRPr="008F0F11">
        <w:rPr>
          <w:rFonts w:ascii="Simplified Arabic" w:hAnsi="Simplified Arabic" w:cs="Simplified Arabic"/>
          <w:sz w:val="32"/>
          <w:szCs w:val="24"/>
          <w:rtl/>
        </w:rPr>
        <w:t>ومن المهم التمييز بين الإدارة الاستراتيجية والتخطيط الاستراتيجي. فالتخطيط يمثل جزءاً أساسياً من الصياغة، بينما تشمل الإدارة الاستراتيجية التنفيذ والمتابعة والتعلم والتعديل. ويؤدي اختزالها في إعداد خطة إلى فجوة بين الوثيقة والتشغيل، وهي الفجوة التي تحاول الدراسة قياسها من خلال فصل الأبعاد الثلاثة وتحليل إسهام كل منها.</w:t>
      </w:r>
    </w:p>
    <w:p w14:paraId="66A3DA8A" w14:textId="77777777" w:rsidR="00E302CD" w:rsidRPr="008F0F11" w:rsidRDefault="00000000" w:rsidP="008F0F11">
      <w:pPr>
        <w:bidi/>
        <w:spacing w:line="276" w:lineRule="auto"/>
        <w:jc w:val="left"/>
        <w:rPr>
          <w:rFonts w:ascii="Simplified Arabic" w:hAnsi="Simplified Arabic" w:cs="Simplified Arabic"/>
          <w:sz w:val="32"/>
          <w:szCs w:val="24"/>
        </w:rPr>
      </w:pPr>
      <w:r w:rsidRPr="008F0F11">
        <w:rPr>
          <w:rFonts w:ascii="Simplified Arabic" w:hAnsi="Simplified Arabic" w:cs="Simplified Arabic"/>
          <w:sz w:val="32"/>
          <w:szCs w:val="24"/>
          <w:rtl/>
        </w:rPr>
        <w:t>كما تتطلب الإدارة الاستراتيجية توازناً بين الثبات والمرونة. فثبات الاتجاه يمنع تشتت الموارد، في حين تسمح المرونة بتعديل البرامج عند تغير المخاطر أو الطلب أو حالة الأصول. وتزداد أهمية هذا التوازن في مرافق تعمل بصورة مستمرة وتواجه احتمالات توقف أو تغيرات في جودة مياه التغذية أو احتياجات الصيانة.</w:t>
      </w:r>
    </w:p>
    <w:p w14:paraId="3703D9BE" w14:textId="77777777" w:rsidR="00E94561" w:rsidRPr="00B56FDF" w:rsidRDefault="00000000" w:rsidP="008F0F11">
      <w:pPr>
        <w:pStyle w:val="Heading2"/>
        <w:bidi/>
        <w:jc w:val="left"/>
        <w:rPr>
          <w:rFonts w:ascii="Simplified Arabic" w:hAnsi="Simplified Arabic" w:cs="Simplified Arabic"/>
        </w:rPr>
      </w:pPr>
      <w:r w:rsidRPr="00B56FDF">
        <w:rPr>
          <w:rFonts w:ascii="Simplified Arabic" w:eastAsia="Amiri" w:hAnsi="Simplified Arabic" w:cs="Simplified Arabic"/>
          <w:color w:val="0F4069"/>
          <w:rtl/>
        </w:rPr>
        <w:t>2.3 أبعاد الإدارة الاستراتيجية في الدراسة</w:t>
      </w:r>
    </w:p>
    <w:p w14:paraId="29C5204C" w14:textId="77777777" w:rsidR="00E94561" w:rsidRPr="008F0F11" w:rsidRDefault="00000000" w:rsidP="008F0F11">
      <w:pPr>
        <w:bidi/>
        <w:jc w:val="left"/>
        <w:rPr>
          <w:rFonts w:ascii="Simplified Arabic" w:hAnsi="Simplified Arabic" w:cs="Simplified Arabic"/>
          <w:sz w:val="24"/>
          <w:szCs w:val="24"/>
        </w:rPr>
      </w:pPr>
      <w:r w:rsidRPr="008F0F11">
        <w:rPr>
          <w:rFonts w:ascii="Simplified Arabic" w:hAnsi="Simplified Arabic" w:cs="Simplified Arabic"/>
          <w:sz w:val="24"/>
          <w:szCs w:val="24"/>
          <w:rtl/>
        </w:rPr>
        <w:t>2.3.1 صياغة الاستراتيجية: تمثل مرحلة تحديد الاتجاه العام والأهداف وتحليل البيئة واختيار البدائل. وتتضمن وضوح الرؤية والرسالة، وتحليل نقاط القوة والضعف والفرص والتهديدات، وترجمة الأولويات إلى أهداف قابلة للقياس. وفي بيئة التحلية، يمكن أن تتصل الصياغة بمستهدفات الجاهزية، وترشيد الطاقة، وإدارة المخاطر، وتنمية القدرات الفنية، واستدامة الخدمة. وكلما كانت الأهداف قابلة للقياس ومتصلة بسياق المحطة، زادت قابلية تحويلها إلى خطط تشغيلية واقعية.</w:t>
      </w:r>
    </w:p>
    <w:p w14:paraId="0A74C806"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2.3.2 تنفيذ الاستراتيجية: هو انتقال التوجهات من مستوى النوايا إلى مستوى العمل. ويشمل توزيع المسؤوليات، وتوفير الموازنات والموارد، وإدارة التغيير، والتنسيق بين الإدارات، وبناء المعرفة والمهارات. ويعد التنفيذ غالباً الحلقة التي تفسر الفرق بين استراتيجية جيدة على الورق ونتيجة تشغيلية ملموسة؛ إذ قد تتعثر الخطط بسبب غموض الأدوار، أو ضعف الاتصال، أو عدم اتساق الحوافز، أو نقص المتابعة (David et al., 2020).</w:t>
      </w:r>
    </w:p>
    <w:p w14:paraId="3D2A3B70"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2.3.3 تقييم الاستراتيجية ومتابعتها: يركز هذا البعد على مراقبة النتائج مقارنة بالمستهدفات، وتحليل الانحرافات، واتخاذ إجراءات تصحيحية، وتحديث الافتراضات. وترتبط هذه المرحلة بمفهوم التغذية الراجعة والتعلم التنظيمي. وفي المحطات المستمرة، تساعد نظم القياس والإنذار المبكر في كشف بوادر التدهور أو الهدر قبل أن تتحول إلى توقفات أو آثار مكلفة. ويستفيد هذا البعد من لوحات المؤشرات المتوازنة التي تدمج المؤشرات المالية والتشغيلية والموارد البشرية والتعلم (Kaplan &amp; Norton, 1992).</w:t>
      </w:r>
    </w:p>
    <w:p w14:paraId="18370671" w14:textId="77777777" w:rsidR="00E302CD" w:rsidRPr="008F0F11" w:rsidRDefault="00000000" w:rsidP="008F0F11">
      <w:pPr>
        <w:keepNext/>
        <w:bidi/>
        <w:spacing w:before="160" w:after="80"/>
        <w:ind w:firstLine="0"/>
        <w:jc w:val="left"/>
        <w:rPr>
          <w:rFonts w:ascii="Simplified Arabic" w:hAnsi="Simplified Arabic" w:cs="Simplified Arabic"/>
          <w:sz w:val="32"/>
          <w:szCs w:val="24"/>
        </w:rPr>
      </w:pPr>
      <w:r w:rsidRPr="008F0F11">
        <w:rPr>
          <w:rFonts w:ascii="Simplified Arabic" w:hAnsi="Simplified Arabic" w:cs="Simplified Arabic"/>
          <w:b/>
          <w:color w:val="17365D"/>
          <w:sz w:val="32"/>
          <w:szCs w:val="24"/>
          <w:rtl/>
        </w:rPr>
        <w:lastRenderedPageBreak/>
        <w:t>التكامل بين الأبعاد:</w:t>
      </w:r>
    </w:p>
    <w:p w14:paraId="11FECCDC" w14:textId="77777777" w:rsidR="00E302CD" w:rsidRPr="008F0F11" w:rsidRDefault="00000000" w:rsidP="008F0F11">
      <w:pPr>
        <w:bidi/>
        <w:spacing w:line="276" w:lineRule="auto"/>
        <w:jc w:val="left"/>
        <w:rPr>
          <w:rFonts w:ascii="Simplified Arabic" w:hAnsi="Simplified Arabic" w:cs="Simplified Arabic"/>
          <w:sz w:val="32"/>
          <w:szCs w:val="24"/>
        </w:rPr>
      </w:pPr>
      <w:r w:rsidRPr="008F0F11">
        <w:rPr>
          <w:rFonts w:ascii="Simplified Arabic" w:hAnsi="Simplified Arabic" w:cs="Simplified Arabic"/>
          <w:sz w:val="32"/>
          <w:szCs w:val="24"/>
          <w:rtl/>
        </w:rPr>
        <w:t>لا تعمل صياغة الاستراتيجية وتنفيذها وتقييمها كأنشطة مستقلة؛ بل تمثل دورة واحدة. فالصياغة تحدد ما الذي ينبغي تحقيقه ولماذا، والتنفيذ يحدد كيف ومن وبأي موارد، والتقييم يوضح مقدار التقدم وأسباب الانحراف وما الذي ينبغي تعديله. وأي ضعف في حلقة من هذه الدورة يحد من أثر الحلقات الأخرى.</w:t>
      </w:r>
    </w:p>
    <w:p w14:paraId="7705C30C" w14:textId="77777777" w:rsidR="00E302CD" w:rsidRPr="008F0F11" w:rsidRDefault="00000000" w:rsidP="008F0F11">
      <w:pPr>
        <w:bidi/>
        <w:spacing w:line="276" w:lineRule="auto"/>
        <w:jc w:val="left"/>
        <w:rPr>
          <w:rFonts w:ascii="Simplified Arabic" w:hAnsi="Simplified Arabic" w:cs="Simplified Arabic"/>
          <w:sz w:val="32"/>
          <w:szCs w:val="24"/>
        </w:rPr>
      </w:pPr>
      <w:r w:rsidRPr="008F0F11">
        <w:rPr>
          <w:rFonts w:ascii="Simplified Arabic" w:hAnsi="Simplified Arabic" w:cs="Simplified Arabic"/>
          <w:sz w:val="32"/>
          <w:szCs w:val="24"/>
          <w:rtl/>
        </w:rPr>
        <w:t>ويعني هذا التكامل أن قوة التنفيذ لا تقاس بكثرة الأنشطة، بل بدرجة ارتباطها بالأهداف والمؤشرات. كما أن المتابعة لا تقتصر على تسجيل النتائج، وإنما تتضمن تفسيرها وتحديد مالك الإجراء التصحيحي والتأكد من إغلاقه. ومن هنا يمكن أن يكون بعد التقييم والمتابعة أكثر اقتراباً من النتائج التشغيلية لأنه يمثل نقطة الاتصال المباشرة بين القياس والقرار.</w:t>
      </w:r>
    </w:p>
    <w:p w14:paraId="3318AD3B" w14:textId="77777777" w:rsidR="00E302CD" w:rsidRPr="008F0F11" w:rsidRDefault="00000000" w:rsidP="008F0F11">
      <w:pPr>
        <w:bidi/>
        <w:spacing w:line="276" w:lineRule="auto"/>
        <w:jc w:val="left"/>
        <w:rPr>
          <w:rFonts w:ascii="Simplified Arabic" w:hAnsi="Simplified Arabic" w:cs="Simplified Arabic"/>
          <w:sz w:val="32"/>
          <w:szCs w:val="24"/>
        </w:rPr>
      </w:pPr>
      <w:r w:rsidRPr="008F0F11">
        <w:rPr>
          <w:rFonts w:ascii="Simplified Arabic" w:hAnsi="Simplified Arabic" w:cs="Simplified Arabic"/>
          <w:sz w:val="32"/>
          <w:szCs w:val="24"/>
          <w:rtl/>
        </w:rPr>
        <w:t>وفي بيئة التحلية، يظهر التكامل عندما تتحول أولوية استراتيجية مثل رفع الاعتمادية إلى خطة صيانة وموارد وتدريب، ثم إلى مؤشرات للتوقفات والتوافر، ثم إلى مراجعة منتظمة للأسباب والإجراءات. هذا التسلسل هو الذي يفسر كيف يمكن للممارسة الإدارية أن تنعكس على كفاءة الأصول والعمليات.</w:t>
      </w:r>
    </w:p>
    <w:p w14:paraId="54BA6C4D" w14:textId="77777777" w:rsidR="00E94561" w:rsidRPr="008F0F11" w:rsidRDefault="00000000" w:rsidP="008F0F11">
      <w:pPr>
        <w:pStyle w:val="Heading2"/>
        <w:bidi/>
        <w:jc w:val="left"/>
        <w:rPr>
          <w:rFonts w:ascii="Simplified Arabic" w:hAnsi="Simplified Arabic" w:cs="Simplified Arabic"/>
          <w:sz w:val="40"/>
          <w:szCs w:val="28"/>
        </w:rPr>
      </w:pPr>
      <w:r w:rsidRPr="008F0F11">
        <w:rPr>
          <w:rFonts w:ascii="Simplified Arabic" w:eastAsia="Amiri" w:hAnsi="Simplified Arabic" w:cs="Simplified Arabic"/>
          <w:color w:val="0F4069"/>
          <w:sz w:val="40"/>
          <w:szCs w:val="28"/>
          <w:rtl/>
        </w:rPr>
        <w:t>2.4 المنظورات النظرية المفسرة للعلاقة</w:t>
      </w:r>
    </w:p>
    <w:p w14:paraId="0ED9A4D6"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منظور الموارد (RBV): يفترض أن الميزة المستدامة لا تنشأ من امتلاك الموارد المادية فقط، وإنما من القدرة على تنظيمها واستخدامها بصورة يصعب تقليدها. وفي سياق التحلية، يمكن النظر إلى المعرفة التشغيلية، ونظم الصيانة، وثقافة السلامة، والبيانات الموثوقة، والتنسيق بين الفرق بوصفها موارد وقدرات تنظيمية تدعم كفاءة الأصول (Barney, 1991).</w:t>
      </w:r>
    </w:p>
    <w:p w14:paraId="4E955792"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منظور القدرات الديناميكية: يفسر قدرة المنظمة على استشعار التغيرات واغتنام الفرص وإعادة تشكيل مواردها. وهو ملائم لقطاع يتأثر بالتغيرات في الطلب والطاقة والمخاطر البيئية والتقنيات. وتترجم هذه القدرات إلى آليات مثل المراجعات الاستراتيجية، وإدارة المخاطر، وتحديث خطط الصيانة والتدريب والاستثمارات (Teece et al., 1997).</w:t>
      </w:r>
    </w:p>
    <w:p w14:paraId="524D4DDC"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منظور بطاقة الأداء المتوازن: يوضح أن الأداء لا ينبغي اختزاله في التكلفة أو الناتج وحده، بل يتطلب توازناً بين العملاء والعمليات الداخلية والتعلم والنمو والبعد المالي. ويتيح هذا المنظور ربط الأهداف الاستراتيجية بمؤشرات قابلة للمتابعة في غرف التحكم والفرق الإدارية والتشغيلية (Kaplan &amp; Norton, 1992).</w:t>
      </w:r>
    </w:p>
    <w:p w14:paraId="7AB0D83F" w14:textId="77777777" w:rsidR="00E302CD" w:rsidRPr="008F0F11" w:rsidRDefault="00000000" w:rsidP="008F0F11">
      <w:pPr>
        <w:keepNext/>
        <w:bidi/>
        <w:spacing w:before="160" w:after="80"/>
        <w:ind w:firstLine="0"/>
        <w:jc w:val="left"/>
        <w:rPr>
          <w:rFonts w:ascii="Simplified Arabic" w:hAnsi="Simplified Arabic" w:cs="Simplified Arabic"/>
          <w:sz w:val="32"/>
          <w:szCs w:val="24"/>
        </w:rPr>
      </w:pPr>
      <w:r w:rsidRPr="008F0F11">
        <w:rPr>
          <w:rFonts w:ascii="Simplified Arabic" w:hAnsi="Simplified Arabic" w:cs="Simplified Arabic"/>
          <w:b/>
          <w:color w:val="17365D"/>
          <w:sz w:val="32"/>
          <w:szCs w:val="24"/>
          <w:rtl/>
        </w:rPr>
        <w:t>التكامل النظري:</w:t>
      </w:r>
    </w:p>
    <w:p w14:paraId="6D64D53B" w14:textId="77777777" w:rsidR="00E302CD" w:rsidRPr="008F0F11" w:rsidRDefault="00000000" w:rsidP="008F0F11">
      <w:pPr>
        <w:bidi/>
        <w:spacing w:line="276" w:lineRule="auto"/>
        <w:jc w:val="left"/>
        <w:rPr>
          <w:rFonts w:ascii="Simplified Arabic" w:hAnsi="Simplified Arabic" w:cs="Simplified Arabic"/>
          <w:sz w:val="32"/>
          <w:szCs w:val="24"/>
        </w:rPr>
      </w:pPr>
      <w:r w:rsidRPr="008F0F11">
        <w:rPr>
          <w:rFonts w:ascii="Simplified Arabic" w:hAnsi="Simplified Arabic" w:cs="Simplified Arabic"/>
          <w:sz w:val="32"/>
          <w:szCs w:val="24"/>
          <w:rtl/>
        </w:rPr>
        <w:t>يوفر منظور الموارد تفسيراً لقيمة المعرفة والبيانات والأنظمة والمهارات بوصفها موارد تنظيمية، بينما يفسر منظور القدرات الديناميكية كيفية إعادة تشكيل هذه الموارد عند تغير الظروف. وتضيف بطاقة الأداء المتوازن آلية عملية لترجمة الرؤية إلى مؤشرات ومراجعات. وبذلك تتكامل المنظورات الثلاثة: الأول يحدد مصادر القيمة، والثاني يفسر التكيف، والثالث يدعم القياس والمتابعة.</w:t>
      </w:r>
    </w:p>
    <w:p w14:paraId="50552B73" w14:textId="77777777" w:rsidR="00E302CD" w:rsidRPr="008F0F11" w:rsidRDefault="00000000" w:rsidP="008F0F11">
      <w:pPr>
        <w:bidi/>
        <w:spacing w:line="276" w:lineRule="auto"/>
        <w:jc w:val="left"/>
        <w:rPr>
          <w:rFonts w:ascii="Simplified Arabic" w:hAnsi="Simplified Arabic" w:cs="Simplified Arabic"/>
          <w:sz w:val="32"/>
          <w:szCs w:val="24"/>
        </w:rPr>
      </w:pPr>
      <w:r w:rsidRPr="008F0F11">
        <w:rPr>
          <w:rFonts w:ascii="Simplified Arabic" w:hAnsi="Simplified Arabic" w:cs="Simplified Arabic"/>
          <w:sz w:val="32"/>
          <w:szCs w:val="24"/>
          <w:rtl/>
        </w:rPr>
        <w:lastRenderedPageBreak/>
        <w:t>ويعد استخدام أكثر من منظور مناسباً لطبيعة الدراسة؛ لأن كفاءة التشغيل لا تنتج عن عامل واحد. فالمعدات والمهارات والبيانات موارد، والتنسيق والتعلم قدرات، والمؤشرات وآليات المراجعة أدوات حوكمة. ويساعد هذا التكامل على تجنب تفسير النتائج بصورة تقنية أو إدارية ضيقة.</w:t>
      </w:r>
    </w:p>
    <w:p w14:paraId="6E70ADB8" w14:textId="77777777" w:rsidR="00E302CD" w:rsidRPr="008F0F11" w:rsidRDefault="00000000" w:rsidP="008F0F11">
      <w:pPr>
        <w:bidi/>
        <w:spacing w:line="276" w:lineRule="auto"/>
        <w:jc w:val="left"/>
        <w:rPr>
          <w:rFonts w:ascii="Simplified Arabic" w:hAnsi="Simplified Arabic" w:cs="Simplified Arabic"/>
          <w:sz w:val="32"/>
          <w:szCs w:val="24"/>
        </w:rPr>
      </w:pPr>
      <w:r w:rsidRPr="008F0F11">
        <w:rPr>
          <w:rFonts w:ascii="Simplified Arabic" w:hAnsi="Simplified Arabic" w:cs="Simplified Arabic"/>
          <w:sz w:val="32"/>
          <w:szCs w:val="24"/>
          <w:rtl/>
        </w:rPr>
        <w:t>كما يوضح الإطار النظري أن أثر الإدارة الاستراتيجية قد يكون مباشراً من خلال وضوح القرار والمتابعة، أو غير مباشر من خلال تحسين التنسيق وبناء المهارات وإدارة المخاطر. ولا تختبر الدراسة الحالية جميع المسارات الوسيطة، لكنها تقدم أساساً نظرياً يمكن البناء عليه في نماذج مستقبلية أكثر تعقيداً.</w:t>
      </w:r>
    </w:p>
    <w:p w14:paraId="73C56EF7" w14:textId="77777777" w:rsidR="00E94561" w:rsidRPr="008F0F11" w:rsidRDefault="00000000" w:rsidP="008F0F11">
      <w:pPr>
        <w:pStyle w:val="Heading2"/>
        <w:bidi/>
        <w:jc w:val="left"/>
        <w:rPr>
          <w:rFonts w:ascii="Simplified Arabic" w:hAnsi="Simplified Arabic" w:cs="Simplified Arabic"/>
          <w:sz w:val="40"/>
          <w:szCs w:val="28"/>
        </w:rPr>
      </w:pPr>
      <w:r w:rsidRPr="008F0F11">
        <w:rPr>
          <w:rFonts w:ascii="Simplified Arabic" w:eastAsia="Amiri" w:hAnsi="Simplified Arabic" w:cs="Simplified Arabic"/>
          <w:color w:val="0F4069"/>
          <w:sz w:val="40"/>
          <w:szCs w:val="28"/>
          <w:rtl/>
        </w:rPr>
        <w:t>2.5 كفاءة التشغيل: المفهوم والأبعاد</w:t>
      </w:r>
    </w:p>
    <w:p w14:paraId="783EF522"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تُعرّف كفاءة التشغيل بأنها تحقيق مستوى مطلوب من المخرجات والجودة والاعتمادية باستخدام الموارد المتاحة بكفاءة، مع تقليل الهدر والتوقفات والزمن غير المنتج. وهي مفهوم أوسع من خفض التكلفة؛ لأن تخفيض التكلفة على حساب الصيانة أو الجودة قد يولد خسائر مؤجلة. لذلك تركز إدارة العمليات الحديثة على الموازنة بين الجودة والسرعة والاعتمادية والمرونة والتكلفة والاستدامة (Heizer et al., 2020).</w:t>
      </w:r>
    </w:p>
    <w:p w14:paraId="224F1FDA"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وفي هذه الدراسة، تتكون كفاءة التشغيل من أربعة مجالات مترابطة: الإنتاجية والجودة؛ الاعتمادية والصيانة؛ كفاءة استخدام الطاقة والموارد؛ واستمرارية التشغيل. ويعكس المجال الأول القدرة على تقديم مخرجات مستقرة ومطابقة للمواصفات. ويعكس الثاني تقليل الأعطال غير المخططة وتحسين جاهزية المعدات. ويعكس الثالث ضبط الاستهلاك والفاقد. أما المجال الرابع فيقيس قدرة المحطة على المحافظة على الخدمة والاستجابة للاضطرابات دون تدهور كبير في الأداء.</w:t>
      </w:r>
    </w:p>
    <w:p w14:paraId="5085A378"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ومن المهم التمييز بين القياس الإدراكي المستخدم في الاستبانة والقياس الفني المباشر. فالقياس الفني يعتمد عادة على بيانات الإنتاج والطاقة والجاهزية والتوقفات، في حين يقيس الاستبيان مدى وجود ممارسات ونتائج تشغيلية كما يدركها العاملون. وتزيد قوة الدراسة إذا أمكن لاحقاً مقاطعة النتائج الإدراكية مع بيانات أداء فعلية بعد الحصول على الموافقات المؤسسية اللازمة.</w:t>
      </w:r>
    </w:p>
    <w:p w14:paraId="31DD120E" w14:textId="77777777" w:rsidR="00E302CD" w:rsidRPr="008F0F11" w:rsidRDefault="00000000" w:rsidP="008F0F11">
      <w:pPr>
        <w:keepNext/>
        <w:bidi/>
        <w:spacing w:before="160" w:after="80"/>
        <w:ind w:firstLine="0"/>
        <w:jc w:val="left"/>
        <w:rPr>
          <w:rFonts w:ascii="Simplified Arabic" w:hAnsi="Simplified Arabic" w:cs="Simplified Arabic"/>
          <w:sz w:val="32"/>
          <w:szCs w:val="24"/>
        </w:rPr>
      </w:pPr>
      <w:r w:rsidRPr="008F0F11">
        <w:rPr>
          <w:rFonts w:ascii="Simplified Arabic" w:hAnsi="Simplified Arabic" w:cs="Simplified Arabic"/>
          <w:b/>
          <w:color w:val="17365D"/>
          <w:sz w:val="32"/>
          <w:szCs w:val="24"/>
          <w:rtl/>
        </w:rPr>
        <w:t>الكفاءة والفاعلية والإنتاجية:</w:t>
      </w:r>
    </w:p>
    <w:p w14:paraId="090A664D" w14:textId="77777777" w:rsidR="00E302CD" w:rsidRPr="008F0F11" w:rsidRDefault="00000000" w:rsidP="008F0F11">
      <w:pPr>
        <w:bidi/>
        <w:spacing w:line="276" w:lineRule="auto"/>
        <w:jc w:val="left"/>
        <w:rPr>
          <w:rFonts w:ascii="Simplified Arabic" w:hAnsi="Simplified Arabic" w:cs="Simplified Arabic"/>
          <w:sz w:val="32"/>
          <w:szCs w:val="24"/>
        </w:rPr>
      </w:pPr>
      <w:r w:rsidRPr="008F0F11">
        <w:rPr>
          <w:rFonts w:ascii="Simplified Arabic" w:hAnsi="Simplified Arabic" w:cs="Simplified Arabic"/>
          <w:sz w:val="32"/>
          <w:szCs w:val="24"/>
          <w:rtl/>
        </w:rPr>
        <w:t>تختلف الكفاءة عن الفاعلية؛ فالفاعلية تعني تحقيق الهدف، أما الكفاءة فتعني تحقيقه باستخدام الموارد بطريقة رشيدة. وقد تكون المحطة فعّالة في تحقيق الإنتاج المستهدف لكنها أقل كفاءة إذا ارتفع استهلاك الطاقة أو التوقفات أو الفاقد. كما أن الإنتاجية تمثل نسبة المخرجات إلى المدخلات، لكنها لا تعكس وحدها الجودة أو الاعتمادية أو الاستمرارية.</w:t>
      </w:r>
    </w:p>
    <w:p w14:paraId="6F0348D3" w14:textId="77777777" w:rsidR="00E302CD" w:rsidRPr="008F0F11" w:rsidRDefault="00000000" w:rsidP="008F0F11">
      <w:pPr>
        <w:bidi/>
        <w:spacing w:line="276" w:lineRule="auto"/>
        <w:jc w:val="left"/>
        <w:rPr>
          <w:rFonts w:ascii="Simplified Arabic" w:hAnsi="Simplified Arabic" w:cs="Simplified Arabic"/>
          <w:sz w:val="32"/>
          <w:szCs w:val="24"/>
        </w:rPr>
      </w:pPr>
      <w:r w:rsidRPr="008F0F11">
        <w:rPr>
          <w:rFonts w:ascii="Simplified Arabic" w:hAnsi="Simplified Arabic" w:cs="Simplified Arabic"/>
          <w:sz w:val="32"/>
          <w:szCs w:val="24"/>
          <w:rtl/>
        </w:rPr>
        <w:lastRenderedPageBreak/>
        <w:t>ولهذا تعتمد الدراسة مفهوماً متعدد الأبعاد لا يختزل الأداء في متوسط واحد. فالإنتاجية والجودة توضحان انتظام المخرجات، والاعتمادية والصيانة تعكسان جاهزية الأصول، والطاقة والموارد تقيسان رشادة الاستخدام، واستمرارية التشغيل تقيس القدرة على التعامل مع الاضطرابات. ويتيح هذا البناء قراءة أكثر توازناً للنتائج.</w:t>
      </w:r>
    </w:p>
    <w:p w14:paraId="6C0DB0F9" w14:textId="77777777" w:rsidR="00E302CD" w:rsidRPr="008F0F11" w:rsidRDefault="00000000" w:rsidP="008F0F11">
      <w:pPr>
        <w:bidi/>
        <w:spacing w:line="276" w:lineRule="auto"/>
        <w:jc w:val="left"/>
        <w:rPr>
          <w:rFonts w:ascii="Simplified Arabic" w:hAnsi="Simplified Arabic" w:cs="Simplified Arabic"/>
          <w:sz w:val="32"/>
          <w:szCs w:val="24"/>
        </w:rPr>
      </w:pPr>
      <w:r w:rsidRPr="008F0F11">
        <w:rPr>
          <w:rFonts w:ascii="Simplified Arabic" w:hAnsi="Simplified Arabic" w:cs="Simplified Arabic"/>
          <w:sz w:val="32"/>
          <w:szCs w:val="24"/>
          <w:rtl/>
        </w:rPr>
        <w:t>وتتطلب إدارة الكفاءة تجنب المفاضلات غير المدروسة. فقد يؤدي تأجيل الصيانة إلى خفض تكلفة قصيرة الأجل، لكنه يرفع مخاطر التوقف والأعطال لاحقاً. وقد يؤدي رفع الإنتاج دون مراعاة ظروف التشغيل إلى زيادة الفاقد أو استهلاك الطاقة. لذلك ترتبط الكفاءة الحقيقية بقدرة الإدارة على الموازنة بين المؤشرات عبر الزمن.</w:t>
      </w:r>
    </w:p>
    <w:p w14:paraId="644B3711" w14:textId="77777777" w:rsidR="00E94561" w:rsidRPr="008F0F11" w:rsidRDefault="00000000" w:rsidP="008F0F11">
      <w:pPr>
        <w:pStyle w:val="Heading2"/>
        <w:bidi/>
        <w:jc w:val="left"/>
        <w:rPr>
          <w:rFonts w:ascii="Simplified Arabic" w:hAnsi="Simplified Arabic" w:cs="Simplified Arabic"/>
          <w:sz w:val="40"/>
          <w:szCs w:val="28"/>
        </w:rPr>
      </w:pPr>
      <w:r w:rsidRPr="008F0F11">
        <w:rPr>
          <w:rFonts w:ascii="Simplified Arabic" w:eastAsia="Amiri" w:hAnsi="Simplified Arabic" w:cs="Simplified Arabic"/>
          <w:color w:val="0F4069"/>
          <w:sz w:val="40"/>
          <w:szCs w:val="28"/>
          <w:rtl/>
        </w:rPr>
        <w:t>2.6 خصوصية كفاءة التشغيل في محطات التحلية</w:t>
      </w:r>
    </w:p>
    <w:p w14:paraId="348C75B2"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تتميز محطات التحلية بمزيج من العمليات المعقدة والأصول كثيفة رأس المال وقيود الجودة والبيئة. وتبين المراجعات أن أداء التحلية بالتناضح العكسي يتأثر بجودة مياه التغذية، والمعالجة المسبقة، والتلوث، والحالة التشغيلية للأغشية، واسترداد الطاقة، والتحكم في الضغط والتدفق، وخطط التنظيف والصيانة (Fritzmann et al., 2007; Henthorne &amp; Boysen, 2015; Kim et al., 2019).</w:t>
      </w:r>
    </w:p>
    <w:p w14:paraId="0B8C046F"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أما التقنيات الحرارية مثل التقطير متعدد التأثيرات، فتتطلب أيضاً إدارة فعالة للحرارة والبخار والمعدات المساندة. وفي منشآت الإنتاج المزدوج للماء والطاقة، يصبح التنسيق بين الوحدات أكثر أهمية لأن قرارات الصيانة والتشغيل قد تؤثر في توازنات الإنتاج والطاقة معاً. ويذكر الوصف المنشور لمنشأة الجبيل المتكاملة أن المرفق يجمع بين إنتاج الطاقة وتحلية المياه باستخدام وحدات MED، وهو ما يعزز ملاءمة ربط الاستراتيجية بالتشغيل في هذه الحالة (Marafiq, n.d.-a).</w:t>
      </w:r>
    </w:p>
    <w:p w14:paraId="1592D6D7"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وتؤكد التقارير القطاعية الحديثة أن أنظمة التحكم المتقدمة، وجدولة الصيانة، وبروتوكولات ترشيد الطاقة، وتحسين تشغيل المعدات، كلها عناصر قادرة على دفع المحطات نحو مستويات أفضل من الكفاءة. غير أن اختيار هذه الحلول ودمجها في العمل يعتمد على قدرة إدارية تتجاوز القرار الهندسي المنفرد (Saudi Water Authority, 2024).</w:t>
      </w:r>
    </w:p>
    <w:p w14:paraId="3D48B8A4" w14:textId="77777777" w:rsidR="00E302CD" w:rsidRPr="008F0F11" w:rsidRDefault="00000000" w:rsidP="008F0F11">
      <w:pPr>
        <w:keepNext/>
        <w:bidi/>
        <w:spacing w:before="160" w:after="80"/>
        <w:ind w:firstLine="0"/>
        <w:jc w:val="left"/>
        <w:rPr>
          <w:rFonts w:ascii="Simplified Arabic" w:hAnsi="Simplified Arabic" w:cs="Simplified Arabic"/>
          <w:sz w:val="32"/>
          <w:szCs w:val="24"/>
        </w:rPr>
      </w:pPr>
      <w:r w:rsidRPr="008F0F11">
        <w:rPr>
          <w:rFonts w:ascii="Simplified Arabic" w:hAnsi="Simplified Arabic" w:cs="Simplified Arabic"/>
          <w:b/>
          <w:color w:val="17365D"/>
          <w:sz w:val="32"/>
          <w:szCs w:val="24"/>
          <w:rtl/>
        </w:rPr>
        <w:t>سلسلة القيمة التشغيلية:</w:t>
      </w:r>
    </w:p>
    <w:p w14:paraId="29E050CF" w14:textId="77777777" w:rsidR="00E302CD" w:rsidRPr="008F0F11" w:rsidRDefault="00000000" w:rsidP="008F0F11">
      <w:pPr>
        <w:bidi/>
        <w:spacing w:line="276" w:lineRule="auto"/>
        <w:jc w:val="left"/>
        <w:rPr>
          <w:rFonts w:ascii="Simplified Arabic" w:hAnsi="Simplified Arabic" w:cs="Simplified Arabic"/>
          <w:sz w:val="32"/>
          <w:szCs w:val="24"/>
        </w:rPr>
      </w:pPr>
      <w:r w:rsidRPr="008F0F11">
        <w:rPr>
          <w:rFonts w:ascii="Simplified Arabic" w:hAnsi="Simplified Arabic" w:cs="Simplified Arabic"/>
          <w:sz w:val="32"/>
          <w:szCs w:val="24"/>
          <w:rtl/>
        </w:rPr>
        <w:t>تبدأ القيمة التشغيلية في محطات التحلية من جودة المدخلات وفعالية المعالجة المسبقة، ثم تنتقل إلى كفاءة عملية التحلية، ثم المعالجة اللاحقة والتخزين والضخ. ويؤثر أداء كل مرحلة في المرحلة التالية، لذلك فإن المؤشرات ينبغي أن تكشف الاختناقات والعلاقات المتبادلة، لا أن تبقى منفصلة في تقارير الإدارات.</w:t>
      </w:r>
    </w:p>
    <w:p w14:paraId="1D88D7E3" w14:textId="77777777" w:rsidR="00E302CD" w:rsidRPr="008F0F11" w:rsidRDefault="00000000" w:rsidP="008F0F11">
      <w:pPr>
        <w:bidi/>
        <w:spacing w:line="276" w:lineRule="auto"/>
        <w:jc w:val="left"/>
        <w:rPr>
          <w:rFonts w:ascii="Simplified Arabic" w:hAnsi="Simplified Arabic" w:cs="Simplified Arabic"/>
          <w:sz w:val="32"/>
          <w:szCs w:val="24"/>
        </w:rPr>
      </w:pPr>
      <w:r w:rsidRPr="008F0F11">
        <w:rPr>
          <w:rFonts w:ascii="Simplified Arabic" w:hAnsi="Simplified Arabic" w:cs="Simplified Arabic"/>
          <w:sz w:val="32"/>
          <w:szCs w:val="24"/>
          <w:rtl/>
        </w:rPr>
        <w:t>وتنشأ المخاطر التشغيلية أيضاً من الاعتماد المتبادل بين الأنظمة. فعطل في وحدة مساندة أو تأخر في قطعة غيار حرجة قد يحد من الطاقة الإنتاجية، كما قد تؤثر جودة المعالجة المسبقة في عمر الأغشية أو كفاءة الوحدات. ومن ثم فإن التخطيط للصيانة والمخزون والتدريب وإدارة الطوارئ جزء من كفاءة التشغيل وليس نشاطاً داعماً هامشياً.</w:t>
      </w:r>
    </w:p>
    <w:p w14:paraId="25CEEC45" w14:textId="77777777" w:rsidR="00E302CD" w:rsidRPr="008F0F11" w:rsidRDefault="00000000" w:rsidP="008F0F11">
      <w:pPr>
        <w:bidi/>
        <w:spacing w:line="276" w:lineRule="auto"/>
        <w:jc w:val="left"/>
        <w:rPr>
          <w:rFonts w:ascii="Simplified Arabic" w:hAnsi="Simplified Arabic" w:cs="Simplified Arabic"/>
          <w:sz w:val="32"/>
          <w:szCs w:val="24"/>
        </w:rPr>
      </w:pPr>
      <w:r w:rsidRPr="008F0F11">
        <w:rPr>
          <w:rFonts w:ascii="Simplified Arabic" w:hAnsi="Simplified Arabic" w:cs="Simplified Arabic"/>
          <w:sz w:val="32"/>
          <w:szCs w:val="24"/>
          <w:rtl/>
        </w:rPr>
        <w:lastRenderedPageBreak/>
        <w:t>وتبرز هنا أهمية الحوكمة التشغيلية التي تحدد مالك كل مؤشر ومصدر بياناته ودورية مراجعته وحدود الإنذار. فالمؤشر الذي لا يرتبط بمسؤولية وقرار قد يتحول إلى رقم للعرض فقط، بينما المؤشر الفعّال يقود إلى تفسير وإجراء ومتابعة لقياس أثر التحسين.</w:t>
      </w:r>
    </w:p>
    <w:p w14:paraId="4604F844" w14:textId="2CE7A6BE" w:rsidR="0051280A" w:rsidRPr="0051280A" w:rsidRDefault="0051280A" w:rsidP="0051280A">
      <w:pPr>
        <w:bidi/>
        <w:spacing w:before="120" w:after="60"/>
        <w:ind w:firstLine="0"/>
        <w:jc w:val="left"/>
        <w:rPr>
          <w:rFonts w:ascii="Simplified Arabic" w:hAnsi="Simplified Arabic" w:cs="Simplified Arabic"/>
          <w:noProof/>
          <w:sz w:val="32"/>
          <w:szCs w:val="24"/>
        </w:rPr>
      </w:pPr>
      <w:r w:rsidRPr="0051280A">
        <w:rPr>
          <w:rFonts w:ascii="Simplified Arabic" w:hAnsi="Simplified Arabic" w:cs="Simplified Arabic"/>
          <w:noProof/>
          <w:sz w:val="32"/>
          <w:szCs w:val="24"/>
        </w:rPr>
        <w:drawing>
          <wp:inline distT="0" distB="0" distL="0" distR="0" wp14:anchorId="4FECAF11" wp14:editId="2AA5923B">
            <wp:extent cx="5760085" cy="3046095"/>
            <wp:effectExtent l="0" t="0" r="0" b="1905"/>
            <wp:docPr id="1875555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085" cy="3046095"/>
                    </a:xfrm>
                    <a:prstGeom prst="rect">
                      <a:avLst/>
                    </a:prstGeom>
                    <a:noFill/>
                    <a:ln>
                      <a:noFill/>
                    </a:ln>
                  </pic:spPr>
                </pic:pic>
              </a:graphicData>
            </a:graphic>
          </wp:inline>
        </w:drawing>
      </w:r>
    </w:p>
    <w:p w14:paraId="66BAE823" w14:textId="77777777" w:rsidR="00E302CD" w:rsidRPr="00A27841" w:rsidRDefault="00000000" w:rsidP="00A27841">
      <w:pPr>
        <w:pStyle w:val="Caption"/>
        <w:bidi/>
        <w:spacing w:before="40" w:after="160"/>
        <w:ind w:firstLine="0"/>
        <w:jc w:val="center"/>
        <w:rPr>
          <w:rFonts w:ascii="Simplified Arabic" w:hAnsi="Simplified Arabic" w:cs="Simplified Arabic"/>
          <w:sz w:val="28"/>
          <w:szCs w:val="20"/>
        </w:rPr>
      </w:pPr>
      <w:r w:rsidRPr="00A27841">
        <w:rPr>
          <w:rFonts w:ascii="Simplified Arabic" w:hAnsi="Simplified Arabic" w:cs="Simplified Arabic"/>
          <w:sz w:val="28"/>
          <w:szCs w:val="20"/>
          <w:rtl/>
        </w:rPr>
        <w:t>شكل (2-2): سلسلة القيمة التشغيلية لمحطات التحلية</w:t>
      </w:r>
    </w:p>
    <w:p w14:paraId="2B6886D8" w14:textId="77777777" w:rsidR="00E94561" w:rsidRPr="00B56FDF" w:rsidRDefault="00000000" w:rsidP="008F0F11">
      <w:pPr>
        <w:pStyle w:val="Heading2"/>
        <w:bidi/>
        <w:jc w:val="left"/>
        <w:rPr>
          <w:rFonts w:ascii="Simplified Arabic" w:hAnsi="Simplified Arabic" w:cs="Simplified Arabic"/>
        </w:rPr>
      </w:pPr>
      <w:r w:rsidRPr="00B56FDF">
        <w:rPr>
          <w:rFonts w:ascii="Simplified Arabic" w:eastAsia="Amiri" w:hAnsi="Simplified Arabic" w:cs="Simplified Arabic"/>
          <w:color w:val="0F4069"/>
          <w:rtl/>
        </w:rPr>
        <w:t>2.7 مؤشرات كفاءة التشغيل المقترحة</w:t>
      </w:r>
    </w:p>
    <w:p w14:paraId="6409D72C"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الإنتاجية والجودة: تشمل قدرة المحطة على تحقيق المستهدفات التشغيلية، وثبات جودة المياه، وسرعة الاستجابة للانحرافات، وتقليل الفاقد. ولا يعني ذلك مطالبة العاملين بالإفصاح عن أرقام سرية؛ بل قياس مدى انتظام الأداء ومدى استخدام مؤشرات الإنتاج والجودة في إدارة العمل.</w:t>
      </w:r>
    </w:p>
    <w:p w14:paraId="6890907E"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الاعتمادية والصيانة: تشمل وجود صيانة وقائية وتنبؤية، وتعلم من أسباب الأعطال، وتوفر قطع الغيار الحرجة، وتنسيق التشغيل والصيانة، وسرعة استعادة الخدمة. وتعد الاعتمادية أساساً لاستمرارية التشغيل في الأنظمة المستمرة، ولذلك ترتبط مباشرة بقيمة الأصول وبقدرة المنظمة على الوفاء بالتزاماتها.</w:t>
      </w:r>
    </w:p>
    <w:p w14:paraId="0D0425FE"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الطاقة والموارد: تشمل مراقبة مؤشرات الاستهلاك، وتحليل الفاقد، وتطبيق إجراءات ترشيد واقعية دون الإخلال بالجودة أو السلامة. وتبرز أهمية هذا المجال لأن الطاقة تعد عاملاً مؤثراً في اقتصاديات التحلية وفي البصمة البيئية للقطاع (Zarzo &amp; Prats, 2018; Kim et al., 2019).</w:t>
      </w:r>
    </w:p>
    <w:p w14:paraId="73322A2E"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lastRenderedPageBreak/>
        <w:t>استمرارية التشغيل: تشمل خطط الاستجابة للطوارئ، والبدائل التشغيلية، ووضوح قنوات التصعيد، والتنسيق بين الفرق، واختبار الجاهزية. وتنسجم هذه المؤشرات مع هدف الاستراتيجية الوطنية للمياه المتعلق بضمان الوصول المستمر إلى كميات آمنة وكافية في الظروف الاعتيادية والطارئة (وزارة البيئة والمياه والزراعة، 2018).</w:t>
      </w:r>
    </w:p>
    <w:p w14:paraId="66892DA8" w14:textId="77777777" w:rsidR="00E302CD" w:rsidRPr="008F0F11" w:rsidRDefault="00000000" w:rsidP="008F0F11">
      <w:pPr>
        <w:keepNext/>
        <w:bidi/>
        <w:spacing w:before="160" w:after="80"/>
        <w:ind w:firstLine="0"/>
        <w:jc w:val="left"/>
        <w:rPr>
          <w:rFonts w:ascii="Simplified Arabic" w:hAnsi="Simplified Arabic" w:cs="Simplified Arabic"/>
          <w:sz w:val="32"/>
          <w:szCs w:val="24"/>
        </w:rPr>
      </w:pPr>
      <w:r w:rsidRPr="008F0F11">
        <w:rPr>
          <w:rFonts w:ascii="Simplified Arabic" w:hAnsi="Simplified Arabic" w:cs="Simplified Arabic"/>
          <w:b/>
          <w:color w:val="17365D"/>
          <w:sz w:val="32"/>
          <w:szCs w:val="24"/>
          <w:rtl/>
        </w:rPr>
        <w:t>حوكمة المؤشرات:</w:t>
      </w:r>
    </w:p>
    <w:p w14:paraId="37A9651E" w14:textId="77777777" w:rsidR="00E302CD" w:rsidRPr="008F0F11" w:rsidRDefault="00000000" w:rsidP="008F0F11">
      <w:pPr>
        <w:bidi/>
        <w:spacing w:line="276" w:lineRule="auto"/>
        <w:jc w:val="left"/>
        <w:rPr>
          <w:rFonts w:ascii="Simplified Arabic" w:hAnsi="Simplified Arabic" w:cs="Simplified Arabic"/>
          <w:sz w:val="32"/>
          <w:szCs w:val="24"/>
        </w:rPr>
      </w:pPr>
      <w:r w:rsidRPr="008F0F11">
        <w:rPr>
          <w:rFonts w:ascii="Simplified Arabic" w:hAnsi="Simplified Arabic" w:cs="Simplified Arabic"/>
          <w:sz w:val="32"/>
          <w:szCs w:val="24"/>
          <w:rtl/>
        </w:rPr>
        <w:t>ينبغي أن تتصف مؤشرات التشغيل بالوضوح والقابلية للتحقق والارتباط بهدف محدد. كما يجب توحيد تعريف البسط والمقام والفترة الزمنية ومصدر البيانات حتى لا تختلف النتائج باختلاف الجهة التي تعد التقرير. وتساعد بطاقة تعريف المؤشر ومصفوفة المسؤوليات في تقليل هذا الاختلاف ودعم المساءلة.</w:t>
      </w:r>
    </w:p>
    <w:p w14:paraId="7898F6A1" w14:textId="77777777" w:rsidR="00E302CD" w:rsidRPr="008F0F11" w:rsidRDefault="00000000" w:rsidP="008F0F11">
      <w:pPr>
        <w:bidi/>
        <w:spacing w:line="276" w:lineRule="auto"/>
        <w:jc w:val="left"/>
        <w:rPr>
          <w:rFonts w:ascii="Simplified Arabic" w:hAnsi="Simplified Arabic" w:cs="Simplified Arabic"/>
          <w:sz w:val="32"/>
          <w:szCs w:val="24"/>
        </w:rPr>
      </w:pPr>
      <w:r w:rsidRPr="008F0F11">
        <w:rPr>
          <w:rFonts w:ascii="Simplified Arabic" w:hAnsi="Simplified Arabic" w:cs="Simplified Arabic"/>
          <w:sz w:val="32"/>
          <w:szCs w:val="24"/>
          <w:rtl/>
        </w:rPr>
        <w:t>ويفضل استخدام حزمة مؤشرات بدلاً من الاعتماد على مؤشر منفرد. فقراءة التوافر التشغيلي إلى جانب التوقفات والطاقة والجودة تمنع إصدار حكم مضلل. كما يسمح تحليل الاتجاه عبر الزمن بالتمييز بين التذبذب العابر والتغير الهيكلي الذي يحتاج إلى تدخل استراتيجي.</w:t>
      </w:r>
    </w:p>
    <w:p w14:paraId="1F3A6A50" w14:textId="77777777" w:rsidR="00E302CD" w:rsidRPr="008F0F11" w:rsidRDefault="00000000" w:rsidP="008F0F11">
      <w:pPr>
        <w:bidi/>
        <w:spacing w:line="276" w:lineRule="auto"/>
        <w:jc w:val="left"/>
        <w:rPr>
          <w:rFonts w:ascii="Simplified Arabic" w:hAnsi="Simplified Arabic" w:cs="Simplified Arabic"/>
          <w:sz w:val="32"/>
          <w:szCs w:val="24"/>
        </w:rPr>
      </w:pPr>
      <w:r w:rsidRPr="008F0F11">
        <w:rPr>
          <w:rFonts w:ascii="Simplified Arabic" w:hAnsi="Simplified Arabic" w:cs="Simplified Arabic"/>
          <w:sz w:val="32"/>
          <w:szCs w:val="24"/>
          <w:rtl/>
        </w:rPr>
        <w:t>وتتصل جودة المؤشرات بجودة البيانات. فإذا كانت البيانات غير مكتملة أو متأخرة أو غير متسقة، فإن القرار الناتج عنها يظل ضعيفاً مهما كان تصميم لوحة المعلومات جيداً. ولذلك تعد حوكمة البيانات، والتحقق من المدخلات، وتوثيق التعديلات جزءاً من نظام إدارة الأداء.</w:t>
      </w:r>
    </w:p>
    <w:p w14:paraId="1F0D413A" w14:textId="77777777" w:rsidR="00E94561" w:rsidRPr="008F0F11" w:rsidRDefault="00000000" w:rsidP="008F0F11">
      <w:pPr>
        <w:pStyle w:val="Heading2"/>
        <w:bidi/>
        <w:jc w:val="left"/>
        <w:rPr>
          <w:rFonts w:ascii="Simplified Arabic" w:hAnsi="Simplified Arabic" w:cs="Simplified Arabic"/>
          <w:sz w:val="40"/>
          <w:szCs w:val="28"/>
        </w:rPr>
      </w:pPr>
      <w:r w:rsidRPr="008F0F11">
        <w:rPr>
          <w:rFonts w:ascii="Simplified Arabic" w:eastAsia="Amiri" w:hAnsi="Simplified Arabic" w:cs="Simplified Arabic"/>
          <w:color w:val="0F4069"/>
          <w:sz w:val="40"/>
          <w:szCs w:val="28"/>
          <w:rtl/>
        </w:rPr>
        <w:t>2.8 آليات تأثير الإدارة الاستراتيجية في كفاءة التشغيل</w:t>
      </w:r>
    </w:p>
    <w:p w14:paraId="5A8C1075"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تؤثر صياغة الاستراتيجية في الكفاءة عندما تحدد الأولويات بوضوح وتربطها بمؤشرات تشغيلية ومخاطر فعلية. فمثلاً، قد تتحول أولوية خفض استهلاك الطاقة إلى هدف سنوي محدد، وتترجم إلى مشاريع تحسين وميزانيات وتدريب ومقاييس متابعة. كما تساعد الصياغة الجيدة على اختيار التوازن المناسب بين خفض التكلفة والحفاظ على الاعتمادية والجودة.</w:t>
      </w:r>
    </w:p>
    <w:p w14:paraId="4A602FCC"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ويظهر أثر التنفيذ عبر تحويل الأهداف إلى تنظيم للعمل. فتنفيذ الاستراتيجية يحدد من يملك القرار، وكيف تتواصل الإدارات، وكيف تتوافر الموارد، وكيف تقاس المسؤولية. وعند ضعف التنفيذ، قد تبقى مؤشرات الطاقة أو الأعطال منفصلة بين أقسام متعددة دون مالك واضح أو دورة مراجعة مشتركة. لذلك، يُتوقع أن يرتبط التنفيذ القوي بتحسن التنسيق والصيانة الوقائية وتدفق المعلومات.</w:t>
      </w:r>
    </w:p>
    <w:p w14:paraId="67167009"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أما التقييم والمتابعة فيؤثران من خلال الكشف المبكر عن الفجوات وتغذية قرار التحسين. وعندما تقارن المؤسسة بين المستهدف والفعلي بصورة دورية، وتحلل الأسباب، وتوثق الدروس، تصبح قادرة على منع تكرار الهدر أو الأعطال. وتنسجم هذه الآلية مع الأدبيات التي ترى الأداء ثمرةً لتغذية راجعة مستمرة لا لقرار استراتيجي يُتخذ مرة واحدة (Kaplan &amp; Norton, 1992; Wolf &amp; Floyd, 2017).</w:t>
      </w:r>
    </w:p>
    <w:p w14:paraId="62D4FBAF" w14:textId="77777777" w:rsidR="00E302CD" w:rsidRPr="008F0F11" w:rsidRDefault="00000000" w:rsidP="008F0F11">
      <w:pPr>
        <w:keepNext/>
        <w:bidi/>
        <w:spacing w:before="160" w:after="80"/>
        <w:ind w:firstLine="0"/>
        <w:jc w:val="left"/>
        <w:rPr>
          <w:rFonts w:ascii="Simplified Arabic" w:hAnsi="Simplified Arabic" w:cs="Simplified Arabic"/>
          <w:sz w:val="32"/>
          <w:szCs w:val="24"/>
        </w:rPr>
      </w:pPr>
      <w:r w:rsidRPr="008F0F11">
        <w:rPr>
          <w:rFonts w:ascii="Simplified Arabic" w:hAnsi="Simplified Arabic" w:cs="Simplified Arabic"/>
          <w:b/>
          <w:color w:val="17365D"/>
          <w:sz w:val="32"/>
          <w:szCs w:val="24"/>
          <w:rtl/>
        </w:rPr>
        <w:lastRenderedPageBreak/>
        <w:t>شروط تحقق الأثر:</w:t>
      </w:r>
    </w:p>
    <w:p w14:paraId="1FC8506D" w14:textId="77777777" w:rsidR="00E302CD" w:rsidRPr="008F0F11" w:rsidRDefault="00000000" w:rsidP="008F0F11">
      <w:pPr>
        <w:bidi/>
        <w:spacing w:line="276" w:lineRule="auto"/>
        <w:jc w:val="left"/>
        <w:rPr>
          <w:rFonts w:ascii="Simplified Arabic" w:hAnsi="Simplified Arabic" w:cs="Simplified Arabic"/>
          <w:sz w:val="32"/>
          <w:szCs w:val="24"/>
        </w:rPr>
      </w:pPr>
      <w:r w:rsidRPr="008F0F11">
        <w:rPr>
          <w:rFonts w:ascii="Simplified Arabic" w:hAnsi="Simplified Arabic" w:cs="Simplified Arabic"/>
          <w:sz w:val="32"/>
          <w:szCs w:val="24"/>
          <w:rtl/>
        </w:rPr>
        <w:t>يمكن تفسير أثر الإدارة الاستراتيجية في الكفاءة عبر عدة مسارات. أولها مسار الأولويات، حيث توجه الصياغة الموارد نحو القضايا الأعلى تأثيراً. وثانيها مسار التنسيق، حيث يخفف التنفيذ من التعارض بين الإدارات ويحدد المسؤوليات. وثالثها مسار التعلم، حيث تكشف المتابعة الانحرافات وتمنع تكرار الأسباب.</w:t>
      </w:r>
    </w:p>
    <w:p w14:paraId="62C235FE" w14:textId="77777777" w:rsidR="00E302CD" w:rsidRPr="008F0F11" w:rsidRDefault="00000000" w:rsidP="008F0F11">
      <w:pPr>
        <w:bidi/>
        <w:spacing w:line="276" w:lineRule="auto"/>
        <w:jc w:val="left"/>
        <w:rPr>
          <w:rFonts w:ascii="Simplified Arabic" w:hAnsi="Simplified Arabic" w:cs="Simplified Arabic"/>
          <w:sz w:val="32"/>
          <w:szCs w:val="24"/>
        </w:rPr>
      </w:pPr>
      <w:r w:rsidRPr="008F0F11">
        <w:rPr>
          <w:rFonts w:ascii="Simplified Arabic" w:hAnsi="Simplified Arabic" w:cs="Simplified Arabic"/>
          <w:sz w:val="32"/>
          <w:szCs w:val="24"/>
          <w:rtl/>
        </w:rPr>
        <w:t>لكن تحقق هذه المسارات يعتمد على شروط تنظيمية، من بينها دعم الإدارة العليا، وجودة الاتصال، وتوفر البيانات، والقدرة على اتخاذ إجراء تصحيحي. وقد توجد مؤشرات ممتازة دون أثر إذا لم تكن هناك صلاحيات أو موارد لمعالجة الانحرافات. كما قد توجد خطط واضحة لكن التنفيذ يتعثر بسبب تضارب الأولويات أو ضعف المشاركة.</w:t>
      </w:r>
    </w:p>
    <w:p w14:paraId="4F9E4DA7" w14:textId="77777777" w:rsidR="00E302CD" w:rsidRPr="008F0F11" w:rsidRDefault="00000000" w:rsidP="008F0F11">
      <w:pPr>
        <w:bidi/>
        <w:spacing w:line="276" w:lineRule="auto"/>
        <w:jc w:val="left"/>
        <w:rPr>
          <w:rFonts w:ascii="Simplified Arabic" w:hAnsi="Simplified Arabic" w:cs="Simplified Arabic"/>
          <w:sz w:val="32"/>
          <w:szCs w:val="24"/>
        </w:rPr>
      </w:pPr>
      <w:r w:rsidRPr="008F0F11">
        <w:rPr>
          <w:rFonts w:ascii="Simplified Arabic" w:hAnsi="Simplified Arabic" w:cs="Simplified Arabic"/>
          <w:sz w:val="32"/>
          <w:szCs w:val="24"/>
          <w:rtl/>
        </w:rPr>
        <w:t>ويفيد هذا التحليل في تفسير نتائج الدراسة الحالية؛ إذ لا يُفترض أن جميع الأبعاد تحقق الأثر نفسه. بل قد يتقدم بعد يرتبط مباشرة بدورة القياس والقرار، بينما يظهر بعد آخر أثراً غير مستقل عند دخوله مع بقية الأبعاد في نموذج واحد.</w:t>
      </w:r>
    </w:p>
    <w:p w14:paraId="0715ED97" w14:textId="7C3D38B6" w:rsidR="00E302CD" w:rsidRPr="00B56FDF" w:rsidRDefault="00A27841" w:rsidP="008F0F11">
      <w:pPr>
        <w:bidi/>
        <w:spacing w:before="120" w:after="60"/>
        <w:ind w:firstLine="0"/>
        <w:jc w:val="left"/>
        <w:rPr>
          <w:rFonts w:ascii="Simplified Arabic" w:hAnsi="Simplified Arabic" w:cs="Simplified Arabic"/>
        </w:rPr>
      </w:pPr>
      <w:r>
        <w:rPr>
          <w:noProof/>
        </w:rPr>
        <mc:AlternateContent>
          <mc:Choice Requires="wps">
            <w:drawing>
              <wp:inline distT="0" distB="0" distL="0" distR="0" wp14:anchorId="3FE5959E" wp14:editId="1C68D196">
                <wp:extent cx="302260" cy="302260"/>
                <wp:effectExtent l="0" t="0" r="0" b="0"/>
                <wp:docPr id="458752170" name="Rectangle 2" descr="Generated image: Stratégie et efficacité opérationnell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F6A0DCB" id="Rectangle 2" o:spid="_x0000_s1026" alt="Generated image: Stratégie et efficacité opérationnelle"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sidR="00000000" w:rsidRPr="00B56FDF">
        <w:rPr>
          <w:rFonts w:ascii="Simplified Arabic" w:hAnsi="Simplified Arabic" w:cs="Simplified Arabic"/>
          <w:noProof/>
        </w:rPr>
        <w:drawing>
          <wp:inline distT="0" distB="0" distL="0" distR="0" wp14:anchorId="63788404" wp14:editId="216D7FA5">
            <wp:extent cx="4968000" cy="261949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2_3_influence_paths.png"/>
                    <pic:cNvPicPr/>
                  </pic:nvPicPr>
                  <pic:blipFill>
                    <a:blip r:embed="rId12"/>
                    <a:stretch>
                      <a:fillRect/>
                    </a:stretch>
                  </pic:blipFill>
                  <pic:spPr>
                    <a:xfrm>
                      <a:off x="0" y="0"/>
                      <a:ext cx="4968000" cy="2619491"/>
                    </a:xfrm>
                    <a:prstGeom prst="rect">
                      <a:avLst/>
                    </a:prstGeom>
                  </pic:spPr>
                </pic:pic>
              </a:graphicData>
            </a:graphic>
          </wp:inline>
        </w:drawing>
      </w:r>
    </w:p>
    <w:p w14:paraId="6F487F3D" w14:textId="77777777" w:rsidR="00E302CD" w:rsidRPr="00A27841" w:rsidRDefault="00000000" w:rsidP="00A27841">
      <w:pPr>
        <w:pStyle w:val="Caption"/>
        <w:bidi/>
        <w:spacing w:before="40" w:after="160"/>
        <w:ind w:firstLine="0"/>
        <w:jc w:val="center"/>
        <w:rPr>
          <w:rFonts w:ascii="Simplified Arabic" w:hAnsi="Simplified Arabic" w:cs="Simplified Arabic"/>
          <w:sz w:val="28"/>
          <w:szCs w:val="20"/>
        </w:rPr>
      </w:pPr>
      <w:r w:rsidRPr="00A27841">
        <w:rPr>
          <w:rFonts w:ascii="Simplified Arabic" w:hAnsi="Simplified Arabic" w:cs="Simplified Arabic"/>
          <w:sz w:val="28"/>
          <w:szCs w:val="20"/>
          <w:rtl/>
        </w:rPr>
        <w:t>شكل (2-3): مسارات تأثير الإدارة الاستراتيجية في كفاءة التشغيل</w:t>
      </w:r>
    </w:p>
    <w:p w14:paraId="4B4628A4" w14:textId="77777777" w:rsidR="00E94561" w:rsidRPr="008F0F11" w:rsidRDefault="00000000" w:rsidP="008F0F11">
      <w:pPr>
        <w:pStyle w:val="Heading2"/>
        <w:bidi/>
        <w:jc w:val="left"/>
        <w:rPr>
          <w:rFonts w:ascii="Simplified Arabic" w:hAnsi="Simplified Arabic" w:cs="Simplified Arabic"/>
          <w:sz w:val="40"/>
          <w:szCs w:val="28"/>
        </w:rPr>
      </w:pPr>
      <w:r w:rsidRPr="008F0F11">
        <w:rPr>
          <w:rFonts w:ascii="Simplified Arabic" w:eastAsia="Amiri" w:hAnsi="Simplified Arabic" w:cs="Simplified Arabic"/>
          <w:color w:val="0F4069"/>
          <w:sz w:val="40"/>
          <w:szCs w:val="28"/>
          <w:rtl/>
        </w:rPr>
        <w:t>2.9 الدراسات السابقة: محور الإدارة الاستراتيجية والأداء</w:t>
      </w:r>
    </w:p>
    <w:p w14:paraId="5D92018E" w14:textId="77777777" w:rsidR="00E94561" w:rsidRPr="008F0F11" w:rsidRDefault="00000000" w:rsidP="008F0F11">
      <w:pPr>
        <w:bidi/>
        <w:jc w:val="left"/>
        <w:rPr>
          <w:rFonts w:ascii="Simplified Arabic" w:hAnsi="Simplified Arabic" w:cs="Simplified Arabic"/>
          <w:sz w:val="24"/>
          <w:szCs w:val="24"/>
        </w:rPr>
      </w:pPr>
      <w:r w:rsidRPr="008F0F11">
        <w:rPr>
          <w:rFonts w:ascii="Simplified Arabic" w:hAnsi="Simplified Arabic" w:cs="Simplified Arabic"/>
          <w:sz w:val="24"/>
          <w:szCs w:val="24"/>
          <w:rtl/>
        </w:rPr>
        <w:t>رتبت الدراسات في هذا المحور من الأقدم إلى الأحدث. تناولت دراسة Muogbo (2013) أثر الإدارة الاستراتيجية في نمو وتطور شركات تصنيع مختارة، وخلصت إلى وجود أثر إيجابي للممارسات الاستراتيجية في أداء الشركات، لكنها اعتمدت مؤشرات عامة للنمو ولم تتناول تشغيل محطات بنية تحتية. أما دراسة Mohammed (2016) في الشركات الصناعية السعودية فبحثت العلاقة بين الإدارة الاستراتيجية والأداء التنظيمي، وقدمت دليلاً سياقياً مهماً للمملكة، إلا أن قياسها لم ينصب على مؤشرات تشغيل تحلية المياه.</w:t>
      </w:r>
    </w:p>
    <w:p w14:paraId="45528698" w14:textId="77777777" w:rsidR="00E94561" w:rsidRPr="008F0F11" w:rsidRDefault="00000000" w:rsidP="008F0F11">
      <w:pPr>
        <w:bidi/>
        <w:jc w:val="left"/>
        <w:rPr>
          <w:rFonts w:ascii="Simplified Arabic" w:hAnsi="Simplified Arabic" w:cs="Simplified Arabic"/>
          <w:sz w:val="24"/>
          <w:szCs w:val="24"/>
        </w:rPr>
      </w:pPr>
      <w:r w:rsidRPr="008F0F11">
        <w:rPr>
          <w:rFonts w:ascii="Simplified Arabic" w:hAnsi="Simplified Arabic" w:cs="Simplified Arabic"/>
          <w:sz w:val="24"/>
          <w:szCs w:val="24"/>
          <w:rtl/>
        </w:rPr>
        <w:t xml:space="preserve">وأظهرت مراجعة Wolf and Floyd (2017) أن أدبيات التخطيط الاستراتيجي تحتاج إلى تفسير أكثر دقة للعمليات والظروف التي تحول التخطيط إلى أداء، وهو طرح يدعم فصل الدراسة بين الصياغة والتنفيذ والتقييم بدلاً من التعامل مع </w:t>
      </w:r>
      <w:r w:rsidRPr="008F0F11">
        <w:rPr>
          <w:rFonts w:ascii="Simplified Arabic" w:hAnsi="Simplified Arabic" w:cs="Simplified Arabic"/>
          <w:sz w:val="24"/>
          <w:szCs w:val="24"/>
          <w:rtl/>
        </w:rPr>
        <w:lastRenderedPageBreak/>
        <w:t>الإدارة الاستراتيجية كمتغير واحد غير متمايز. وخلصت دراسة Alsadi and Aloulou (2021) في السعودية إلى أن التوجهات الاستراتيجية ترتبط بأداء الشركات، مع وجود دور للتكامل في سلسلة الإمداد، الأمر الذي يلفت الانتباه إلى قيمة التنسيق بين الوحدات.</w:t>
      </w:r>
    </w:p>
    <w:p w14:paraId="0A023F2D" w14:textId="77777777" w:rsidR="00E94561" w:rsidRPr="008F0F11" w:rsidRDefault="00000000" w:rsidP="008F0F11">
      <w:pPr>
        <w:bidi/>
        <w:jc w:val="left"/>
        <w:rPr>
          <w:rFonts w:ascii="Simplified Arabic" w:hAnsi="Simplified Arabic" w:cs="Simplified Arabic"/>
          <w:sz w:val="24"/>
          <w:szCs w:val="24"/>
        </w:rPr>
      </w:pPr>
      <w:r w:rsidRPr="008F0F11">
        <w:rPr>
          <w:rFonts w:ascii="Simplified Arabic" w:hAnsi="Simplified Arabic" w:cs="Simplified Arabic"/>
          <w:sz w:val="24"/>
          <w:szCs w:val="24"/>
          <w:rtl/>
        </w:rPr>
        <w:t>وفي دراسة Dwikat et al. (2022) على منشآت صناعية، ظهر أن التخطيط الاستراتيجي المنهجي والابتكار الاستراتيجي يرتبطان بالأداء المستدام. ثم جاءت دراسة Al Abdulkareem (2024) في السياق السعودي لتأكيد أهمية التخطيط الاستراتيجي في أداء الأعمال، بينما قدمت دراسة Mousa et al. (2024) دليلاً من قطاع التصنيع على الارتباط بين مكونات التخطيط والأداء المالي وغير المالي. وأخيراً، تناولت دراسة Aljahdali and Ali (2024) قطاع الحديد والصلب في السعودية، ووجدت أثراً ذا دلالة للإدارة الاستراتيجية في الأداء التشغيلي مع دور وسيط للثقافة التنظيمية. وتفيد هذه الدراسات في دعم فرض العلاقة، لكنها تترك سياق التحلية ومؤشرات الكفاءة التشغيلية المتخصصة بحاجة إلى اختبار مستقل.</w:t>
      </w:r>
    </w:p>
    <w:p w14:paraId="133E5F8B" w14:textId="77777777" w:rsidR="00E302CD" w:rsidRPr="008F0F11" w:rsidRDefault="00000000" w:rsidP="008F0F11">
      <w:pPr>
        <w:keepNext/>
        <w:bidi/>
        <w:spacing w:before="160" w:after="80"/>
        <w:ind w:firstLine="0"/>
        <w:jc w:val="left"/>
        <w:rPr>
          <w:rFonts w:ascii="Simplified Arabic" w:hAnsi="Simplified Arabic" w:cs="Simplified Arabic"/>
          <w:sz w:val="24"/>
          <w:szCs w:val="24"/>
        </w:rPr>
      </w:pPr>
      <w:r w:rsidRPr="008F0F11">
        <w:rPr>
          <w:rFonts w:ascii="Simplified Arabic" w:hAnsi="Simplified Arabic" w:cs="Simplified Arabic"/>
          <w:b/>
          <w:color w:val="17365D"/>
          <w:sz w:val="24"/>
          <w:szCs w:val="24"/>
          <w:rtl/>
        </w:rPr>
        <w:t>قراءة نقدية للدراسات الإدارية:</w:t>
      </w:r>
    </w:p>
    <w:p w14:paraId="5AE401D4" w14:textId="77777777" w:rsidR="00E302CD" w:rsidRPr="008F0F11" w:rsidRDefault="00000000" w:rsidP="008F0F11">
      <w:pPr>
        <w:bidi/>
        <w:spacing w:line="276" w:lineRule="auto"/>
        <w:jc w:val="left"/>
        <w:rPr>
          <w:rFonts w:ascii="Simplified Arabic" w:hAnsi="Simplified Arabic" w:cs="Simplified Arabic"/>
          <w:sz w:val="24"/>
          <w:szCs w:val="24"/>
        </w:rPr>
      </w:pPr>
      <w:r w:rsidRPr="008F0F11">
        <w:rPr>
          <w:rFonts w:ascii="Simplified Arabic" w:hAnsi="Simplified Arabic" w:cs="Simplified Arabic"/>
          <w:sz w:val="24"/>
          <w:szCs w:val="24"/>
          <w:rtl/>
        </w:rPr>
        <w:t>تتباين الدراسات السابقة في تعريف الإدارة الاستراتيجية وفي قياس الأداء. فبعضها يستخدم التخطيط متغيراً واحداً، وبعضها يفصل بين المكونات، كما تختلف المؤشرات بين الأداء المالي والتنظيمي والتشغيلي. ويحد هذا التباين من المقارنة المباشرة بين معاملات الأثر، لكنه يدعم الفكرة العامة القائلة إن وضوح التوجه والقياس والتنسيق يرتبط بنتائج أفضل.</w:t>
      </w:r>
    </w:p>
    <w:p w14:paraId="782713E7" w14:textId="77777777" w:rsidR="00E302CD" w:rsidRPr="008F0F11" w:rsidRDefault="00000000" w:rsidP="008F0F11">
      <w:pPr>
        <w:bidi/>
        <w:spacing w:line="276" w:lineRule="auto"/>
        <w:jc w:val="left"/>
        <w:rPr>
          <w:rFonts w:ascii="Simplified Arabic" w:hAnsi="Simplified Arabic" w:cs="Simplified Arabic"/>
          <w:sz w:val="24"/>
          <w:szCs w:val="24"/>
        </w:rPr>
      </w:pPr>
      <w:r w:rsidRPr="008F0F11">
        <w:rPr>
          <w:rFonts w:ascii="Simplified Arabic" w:hAnsi="Simplified Arabic" w:cs="Simplified Arabic"/>
          <w:sz w:val="24"/>
          <w:szCs w:val="24"/>
          <w:rtl/>
        </w:rPr>
        <w:t>كما تختلف التصاميم المنهجية من مسوح مقطعية إلى نمذجة معادلات هيكلية ومراجعات نظرية. وتسمح الدراسات المقطعية بتحديد العلاقات، لكنها لا تثبت السببية الزمنية. أما الدراسات التي تستخدم نماذج وسيطة فتقدم تفسيراً أعمق لآلية الأثر، وهو ما يفتح مجالاً لاختبار دور الثقافة التنظيمية أو التعلم أو إدارة المعرفة في بحوث لاحقة.</w:t>
      </w:r>
    </w:p>
    <w:p w14:paraId="0E3388B8" w14:textId="77777777" w:rsidR="00E302CD" w:rsidRPr="008F0F11" w:rsidRDefault="00000000" w:rsidP="008F0F11">
      <w:pPr>
        <w:bidi/>
        <w:spacing w:line="276" w:lineRule="auto"/>
        <w:jc w:val="left"/>
        <w:rPr>
          <w:rFonts w:ascii="Simplified Arabic" w:hAnsi="Simplified Arabic" w:cs="Simplified Arabic"/>
          <w:sz w:val="24"/>
          <w:szCs w:val="24"/>
        </w:rPr>
      </w:pPr>
      <w:r w:rsidRPr="008F0F11">
        <w:rPr>
          <w:rFonts w:ascii="Simplified Arabic" w:hAnsi="Simplified Arabic" w:cs="Simplified Arabic"/>
          <w:sz w:val="24"/>
          <w:szCs w:val="24"/>
          <w:rtl/>
        </w:rPr>
        <w:t>وتتميز الدراسة الحالية عن كثير من الدراسات الإدارية بتحديد كفاءة التشغيل في سياق قطاعي واضح، بدلاً من استخدام أداء تنظيمي عام. ويزيد هذا التحديد من القيمة التطبيقية، لأن المؤشرات والتوصيات تصبح أقرب إلى طبيعة العمل في محطات التحلية.</w:t>
      </w:r>
    </w:p>
    <w:p w14:paraId="6A10C1CC" w14:textId="77777777" w:rsidR="00E94561" w:rsidRPr="008F0F11" w:rsidRDefault="00000000" w:rsidP="008F0F11">
      <w:pPr>
        <w:pStyle w:val="Heading2"/>
        <w:bidi/>
        <w:jc w:val="left"/>
        <w:rPr>
          <w:rFonts w:ascii="Simplified Arabic" w:hAnsi="Simplified Arabic" w:cs="Simplified Arabic"/>
          <w:sz w:val="24"/>
          <w:szCs w:val="24"/>
        </w:rPr>
      </w:pPr>
      <w:r w:rsidRPr="008F0F11">
        <w:rPr>
          <w:rFonts w:ascii="Simplified Arabic" w:eastAsia="Amiri" w:hAnsi="Simplified Arabic" w:cs="Simplified Arabic"/>
          <w:color w:val="0F4069"/>
          <w:sz w:val="24"/>
          <w:szCs w:val="24"/>
          <w:rtl/>
        </w:rPr>
        <w:t>2.10 الدراسات السابقة: محور التحلية والكفاءة التشغيلية</w:t>
      </w:r>
    </w:p>
    <w:p w14:paraId="1FE7AFD7" w14:textId="77777777" w:rsidR="00E94561" w:rsidRPr="008F0F11" w:rsidRDefault="00000000" w:rsidP="008F0F11">
      <w:pPr>
        <w:bidi/>
        <w:jc w:val="left"/>
        <w:rPr>
          <w:rFonts w:ascii="Simplified Arabic" w:hAnsi="Simplified Arabic" w:cs="Simplified Arabic"/>
          <w:sz w:val="24"/>
          <w:szCs w:val="24"/>
        </w:rPr>
      </w:pPr>
      <w:r w:rsidRPr="008F0F11">
        <w:rPr>
          <w:rFonts w:ascii="Simplified Arabic" w:hAnsi="Simplified Arabic" w:cs="Simplified Arabic"/>
          <w:sz w:val="24"/>
          <w:szCs w:val="24"/>
          <w:rtl/>
        </w:rPr>
        <w:t>في الجانب الفني، قدم Fritzmann et al. (2007) مراجعة شاملة لحالة التناضح العكسي، موضحين أن الأداء يعتمد على المنظومة كاملة من المأخذ إلى المعالجة اللاحقة. وأسهمت دراسة Gude (2017) في ربط التحلية وإعادة الاستخدام بقضية الندرة المائية، مؤكدة أهمية الإدارة المتكاملة للموارد. كما ناقش Zarzo and Prats (2018) اتجاهات استهلاك الطاقة في التحلية، وهو ما يجعل كفاءة الطاقة مؤشراً مركزياً في الدراسة الحالية.</w:t>
      </w:r>
    </w:p>
    <w:p w14:paraId="165180D5" w14:textId="77777777" w:rsidR="00E94561" w:rsidRPr="008F0F11" w:rsidRDefault="00000000" w:rsidP="008F0F11">
      <w:pPr>
        <w:bidi/>
        <w:jc w:val="left"/>
        <w:rPr>
          <w:rFonts w:ascii="Simplified Arabic" w:hAnsi="Simplified Arabic" w:cs="Simplified Arabic"/>
          <w:sz w:val="24"/>
          <w:szCs w:val="24"/>
        </w:rPr>
      </w:pPr>
      <w:r w:rsidRPr="008F0F11">
        <w:rPr>
          <w:rFonts w:ascii="Simplified Arabic" w:hAnsi="Simplified Arabic" w:cs="Simplified Arabic"/>
          <w:sz w:val="24"/>
          <w:szCs w:val="24"/>
          <w:rtl/>
        </w:rPr>
        <w:lastRenderedPageBreak/>
        <w:t>وقدمت دراسة Jones et al. (2019) منظوراً عالمياً لحالة التحلية وإنتاج الرجيع الملحي، بما يعكس الأبعاد البيئية والقطاعية للمنشآت. وفي السنة نفسها، عرض Kim et al. (2019) مراجعة مفصلة لاستهلاك الطاقة في محطات التناضح العكسي لمياه البحر، وحدد مكونات ومحفزات الاستهلاك. ثم ركز Park et al. (2020) على اتجاهات الوصول إلى محطات منخفضة الطاقة، مشددين على الدور المتكامل للتصميم والتشغيل واسترداد الطاقة. وفي تقارير قطاع المياه السعودية، برزت أهمية أنظمة التحكم المتقدمة وجدولة الصيانة وإجراءات توفير الطاقة في تحسين الكفاءة (Saudi Water Authority, 2024).</w:t>
      </w:r>
    </w:p>
    <w:p w14:paraId="4FC827EC" w14:textId="77777777" w:rsidR="00E94561" w:rsidRPr="008F0F11" w:rsidRDefault="00000000" w:rsidP="008F0F11">
      <w:pPr>
        <w:bidi/>
        <w:jc w:val="left"/>
        <w:rPr>
          <w:rFonts w:ascii="Simplified Arabic" w:hAnsi="Simplified Arabic" w:cs="Simplified Arabic"/>
          <w:sz w:val="24"/>
          <w:szCs w:val="24"/>
        </w:rPr>
      </w:pPr>
      <w:r w:rsidRPr="008F0F11">
        <w:rPr>
          <w:rFonts w:ascii="Simplified Arabic" w:hAnsi="Simplified Arabic" w:cs="Simplified Arabic"/>
          <w:sz w:val="24"/>
          <w:szCs w:val="24"/>
          <w:rtl/>
        </w:rPr>
        <w:t>تكشف هذه الدراسات تقدماً مهماً في تفسير الكفاءة الفنية، لكنها لا تختبر غالباً أثر صياغة وتنفيذ وتقييم الاستراتيجية بوصفها ممارسات إدارية مستقلة. ومن هنا تأتي مساهمة الدراسة الحالية في ربط المسار الإداري بمؤشرات تشغيلية من منظور العاملين داخل محطات التحلية.</w:t>
      </w:r>
    </w:p>
    <w:p w14:paraId="4CB05995" w14:textId="77777777" w:rsidR="00E302CD" w:rsidRPr="008F0F11" w:rsidRDefault="00000000" w:rsidP="008F0F11">
      <w:pPr>
        <w:keepNext/>
        <w:bidi/>
        <w:spacing w:before="160" w:after="80"/>
        <w:ind w:firstLine="0"/>
        <w:jc w:val="left"/>
        <w:rPr>
          <w:rFonts w:ascii="Simplified Arabic" w:hAnsi="Simplified Arabic" w:cs="Simplified Arabic"/>
          <w:sz w:val="24"/>
          <w:szCs w:val="24"/>
        </w:rPr>
      </w:pPr>
      <w:r w:rsidRPr="008F0F11">
        <w:rPr>
          <w:rFonts w:ascii="Simplified Arabic" w:hAnsi="Simplified Arabic" w:cs="Simplified Arabic"/>
          <w:b/>
          <w:color w:val="17365D"/>
          <w:sz w:val="24"/>
          <w:szCs w:val="24"/>
          <w:rtl/>
        </w:rPr>
        <w:t>قراءة نقدية للدراسات الفنية:</w:t>
      </w:r>
    </w:p>
    <w:p w14:paraId="24698298" w14:textId="77777777" w:rsidR="00E302CD" w:rsidRPr="008F0F11" w:rsidRDefault="00000000" w:rsidP="008F0F11">
      <w:pPr>
        <w:bidi/>
        <w:spacing w:line="276" w:lineRule="auto"/>
        <w:jc w:val="left"/>
        <w:rPr>
          <w:rFonts w:ascii="Simplified Arabic" w:hAnsi="Simplified Arabic" w:cs="Simplified Arabic"/>
          <w:sz w:val="24"/>
          <w:szCs w:val="24"/>
        </w:rPr>
      </w:pPr>
      <w:r w:rsidRPr="008F0F11">
        <w:rPr>
          <w:rFonts w:ascii="Simplified Arabic" w:hAnsi="Simplified Arabic" w:cs="Simplified Arabic"/>
          <w:sz w:val="24"/>
          <w:szCs w:val="24"/>
          <w:rtl/>
        </w:rPr>
        <w:t>توضح الدراسات الفنية أن الطاقة والمعالجة المسبقة وحالة الأصول والصيانة عوامل حاسمة في أداء التحلية. إلا أن هذه الدراسات تنطلق غالباً من مستوى العملية أو التقنية، ولا تفحص بصورة مباشرة كيفية ترتيب الأولويات أو تخصيص الموارد أو إدارة المراجعات المؤسسية. ومن ثم فإنها تفسر ما الذي يؤثر فنياً، بينما تسعى الدراسة الحالية إلى تفسير كيف يمكن للإدارة أن تنظم الاستجابة لهذه المؤثرات.</w:t>
      </w:r>
    </w:p>
    <w:p w14:paraId="7EC3D669" w14:textId="77777777" w:rsidR="00E302CD" w:rsidRPr="008F0F11" w:rsidRDefault="00000000" w:rsidP="008F0F11">
      <w:pPr>
        <w:bidi/>
        <w:spacing w:line="276" w:lineRule="auto"/>
        <w:jc w:val="left"/>
        <w:rPr>
          <w:rFonts w:ascii="Simplified Arabic" w:hAnsi="Simplified Arabic" w:cs="Simplified Arabic"/>
          <w:sz w:val="24"/>
          <w:szCs w:val="24"/>
        </w:rPr>
      </w:pPr>
      <w:r w:rsidRPr="008F0F11">
        <w:rPr>
          <w:rFonts w:ascii="Simplified Arabic" w:hAnsi="Simplified Arabic" w:cs="Simplified Arabic"/>
          <w:sz w:val="24"/>
          <w:szCs w:val="24"/>
          <w:rtl/>
        </w:rPr>
        <w:t>كما أن المؤشرات الفنية المباشرة تتطلب بيانات تشغيلية تفصيلية قد تكون حساسة أو غير متاحة للباحث. لذلك تستخدم الدراسة قياساً إدراكياً يركز على وجود الممارسات ونتائجها العامة. ويجب تفسير هذا القياس بوصفه مكملاً لا بديلاً عن البيانات الفنية، ويمكن في الدراسات اللاحقة الربط بين النوعين بعد الحصول على الموافقات اللازمة.</w:t>
      </w:r>
    </w:p>
    <w:p w14:paraId="3A056824" w14:textId="77777777" w:rsidR="00E302CD" w:rsidRPr="008F0F11" w:rsidRDefault="00000000" w:rsidP="008F0F11">
      <w:pPr>
        <w:bidi/>
        <w:spacing w:line="276" w:lineRule="auto"/>
        <w:jc w:val="left"/>
        <w:rPr>
          <w:rFonts w:ascii="Simplified Arabic" w:hAnsi="Simplified Arabic" w:cs="Simplified Arabic"/>
          <w:sz w:val="24"/>
          <w:szCs w:val="24"/>
        </w:rPr>
      </w:pPr>
      <w:r w:rsidRPr="008F0F11">
        <w:rPr>
          <w:rFonts w:ascii="Simplified Arabic" w:hAnsi="Simplified Arabic" w:cs="Simplified Arabic"/>
          <w:sz w:val="24"/>
          <w:szCs w:val="24"/>
          <w:rtl/>
        </w:rPr>
        <w:t>ويفيد دمج المسارين الإداري والفني في بناء توصيات متوازنة. فالتوصية لا تقتصر على شراء تقنية أو إضافة مؤشر، بل تشمل تحديد المسؤولية، ودمج فرق التشغيل والصيانة، وتحليل السبب الجذري، ومتابعة إغلاق الإجراءات.</w:t>
      </w:r>
    </w:p>
    <w:p w14:paraId="7C78F96D" w14:textId="77777777" w:rsidR="00E94561" w:rsidRPr="008F0F11" w:rsidRDefault="00000000" w:rsidP="008F0F11">
      <w:pPr>
        <w:pStyle w:val="Heading2"/>
        <w:bidi/>
        <w:jc w:val="left"/>
        <w:rPr>
          <w:rFonts w:ascii="Simplified Arabic" w:hAnsi="Simplified Arabic" w:cs="Simplified Arabic"/>
          <w:sz w:val="40"/>
          <w:szCs w:val="28"/>
        </w:rPr>
      </w:pPr>
      <w:r w:rsidRPr="008F0F11">
        <w:rPr>
          <w:rFonts w:ascii="Simplified Arabic" w:eastAsia="Amiri" w:hAnsi="Simplified Arabic" w:cs="Simplified Arabic"/>
          <w:color w:val="0F4069"/>
          <w:sz w:val="40"/>
          <w:szCs w:val="28"/>
          <w:rtl/>
        </w:rPr>
        <w:t>2.11 جدول مقارن للدراسات السابقة</w:t>
      </w:r>
    </w:p>
    <w:p w14:paraId="4805CE52"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يبين الجدول الآتي اتساع مراجعة الأدبيات مقارنة بالعرض المبدئي، ويرتب الدراسات داخل المحورين من الأقدم إلى الأحدث. وقد أدرجت الدراسات النظرية أو المراجعات ذات الصلة بوصفها دعماً للإطار المفاهيمي، مع التمييز بينها وبين الدراسات الميدانية.</w:t>
      </w:r>
    </w:p>
    <w:p w14:paraId="21C90638" w14:textId="77777777" w:rsidR="00E94561" w:rsidRPr="008F0F11" w:rsidRDefault="00000000" w:rsidP="008F0F11">
      <w:pPr>
        <w:bidi/>
        <w:spacing w:before="120"/>
        <w:jc w:val="left"/>
        <w:rPr>
          <w:rFonts w:ascii="Simplified Arabic" w:hAnsi="Simplified Arabic" w:cs="Simplified Arabic"/>
          <w:sz w:val="32"/>
          <w:szCs w:val="24"/>
        </w:rPr>
      </w:pPr>
      <w:r w:rsidRPr="008F0F11">
        <w:rPr>
          <w:rFonts w:ascii="Simplified Arabic" w:hAnsi="Simplified Arabic" w:cs="Simplified Arabic"/>
          <w:szCs w:val="24"/>
          <w:rtl/>
        </w:rPr>
        <w:t>جدول (2-1): الدراسات السابقة مرتبة من الأقدم إلى الأحدث داخل محاورها</w:t>
      </w:r>
    </w:p>
    <w:tbl>
      <w:tblPr>
        <w:tblStyle w:val="TableGrid"/>
        <w:bidiVisual/>
        <w:tblW w:w="9449" w:type="dxa"/>
        <w:jc w:val="center"/>
        <w:tblLook w:val="04A0" w:firstRow="1" w:lastRow="0" w:firstColumn="1" w:lastColumn="0" w:noHBand="0" w:noVBand="1"/>
      </w:tblPr>
      <w:tblGrid>
        <w:gridCol w:w="1619"/>
        <w:gridCol w:w="643"/>
        <w:gridCol w:w="1806"/>
        <w:gridCol w:w="1367"/>
        <w:gridCol w:w="2590"/>
        <w:gridCol w:w="1424"/>
      </w:tblGrid>
      <w:tr w:rsidR="00E94561" w:rsidRPr="00B56FDF" w14:paraId="6E853B95" w14:textId="77777777" w:rsidTr="008F0F11">
        <w:trPr>
          <w:cantSplit/>
          <w:tblHeader/>
          <w:jc w:val="center"/>
        </w:trPr>
        <w:tc>
          <w:tcPr>
            <w:tcW w:w="1619" w:type="dxa"/>
            <w:shd w:val="clear" w:color="auto" w:fill="1F4E79"/>
            <w:tcMar>
              <w:top w:w="90" w:type="dxa"/>
              <w:left w:w="90" w:type="dxa"/>
              <w:bottom w:w="90" w:type="dxa"/>
              <w:right w:w="90" w:type="dxa"/>
            </w:tcMar>
            <w:vAlign w:val="center"/>
          </w:tcPr>
          <w:p w14:paraId="3800516F"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b/>
                <w:color w:val="FFFFFF"/>
                <w:sz w:val="23"/>
                <w:rtl/>
              </w:rPr>
              <w:lastRenderedPageBreak/>
              <w:t>الدراسة</w:t>
            </w:r>
          </w:p>
        </w:tc>
        <w:tc>
          <w:tcPr>
            <w:tcW w:w="643" w:type="dxa"/>
            <w:shd w:val="clear" w:color="auto" w:fill="1F4E79"/>
            <w:tcMar>
              <w:top w:w="90" w:type="dxa"/>
              <w:left w:w="90" w:type="dxa"/>
              <w:bottom w:w="90" w:type="dxa"/>
              <w:right w:w="90" w:type="dxa"/>
            </w:tcMar>
            <w:vAlign w:val="center"/>
          </w:tcPr>
          <w:p w14:paraId="7F40E6E9"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b/>
                <w:color w:val="FFFFFF"/>
                <w:sz w:val="23"/>
                <w:rtl/>
              </w:rPr>
              <w:t>السنة</w:t>
            </w:r>
          </w:p>
        </w:tc>
        <w:tc>
          <w:tcPr>
            <w:tcW w:w="1806" w:type="dxa"/>
            <w:shd w:val="clear" w:color="auto" w:fill="1F4E79"/>
            <w:tcMar>
              <w:top w:w="90" w:type="dxa"/>
              <w:left w:w="90" w:type="dxa"/>
              <w:bottom w:w="90" w:type="dxa"/>
              <w:right w:w="90" w:type="dxa"/>
            </w:tcMar>
            <w:vAlign w:val="center"/>
          </w:tcPr>
          <w:p w14:paraId="77E785CE"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b/>
                <w:color w:val="FFFFFF"/>
                <w:sz w:val="23"/>
                <w:rtl/>
              </w:rPr>
              <w:t>الموضوع</w:t>
            </w:r>
          </w:p>
        </w:tc>
        <w:tc>
          <w:tcPr>
            <w:tcW w:w="1367" w:type="dxa"/>
            <w:shd w:val="clear" w:color="auto" w:fill="1F4E79"/>
            <w:tcMar>
              <w:top w:w="90" w:type="dxa"/>
              <w:left w:w="90" w:type="dxa"/>
              <w:bottom w:w="90" w:type="dxa"/>
              <w:right w:w="90" w:type="dxa"/>
            </w:tcMar>
            <w:vAlign w:val="center"/>
          </w:tcPr>
          <w:p w14:paraId="08053822"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b/>
                <w:color w:val="FFFFFF"/>
                <w:sz w:val="23"/>
                <w:rtl/>
              </w:rPr>
              <w:t>المنهج</w:t>
            </w:r>
          </w:p>
        </w:tc>
        <w:tc>
          <w:tcPr>
            <w:tcW w:w="2590" w:type="dxa"/>
            <w:shd w:val="clear" w:color="auto" w:fill="1F4E79"/>
            <w:tcMar>
              <w:top w:w="90" w:type="dxa"/>
              <w:left w:w="90" w:type="dxa"/>
              <w:bottom w:w="90" w:type="dxa"/>
              <w:right w:w="90" w:type="dxa"/>
            </w:tcMar>
            <w:vAlign w:val="center"/>
          </w:tcPr>
          <w:p w14:paraId="4B473369"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b/>
                <w:color w:val="FFFFFF"/>
                <w:sz w:val="23"/>
                <w:rtl/>
              </w:rPr>
              <w:t>أبرز ما يفيد الدراسة</w:t>
            </w:r>
          </w:p>
        </w:tc>
        <w:tc>
          <w:tcPr>
            <w:tcW w:w="1424" w:type="dxa"/>
            <w:shd w:val="clear" w:color="auto" w:fill="1F4E79"/>
            <w:tcMar>
              <w:top w:w="90" w:type="dxa"/>
              <w:left w:w="90" w:type="dxa"/>
              <w:bottom w:w="90" w:type="dxa"/>
              <w:right w:w="90" w:type="dxa"/>
            </w:tcMar>
            <w:vAlign w:val="center"/>
          </w:tcPr>
          <w:p w14:paraId="058C32CB"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b/>
                <w:color w:val="FFFFFF"/>
                <w:sz w:val="23"/>
                <w:rtl/>
              </w:rPr>
              <w:t>السياق</w:t>
            </w:r>
          </w:p>
        </w:tc>
      </w:tr>
      <w:tr w:rsidR="00E94561" w:rsidRPr="00B56FDF" w14:paraId="6CD2D613" w14:textId="77777777" w:rsidTr="008F0F11">
        <w:trPr>
          <w:cantSplit/>
          <w:jc w:val="center"/>
        </w:trPr>
        <w:tc>
          <w:tcPr>
            <w:tcW w:w="1619" w:type="dxa"/>
            <w:shd w:val="clear" w:color="auto" w:fill="FFFFFF"/>
            <w:tcMar>
              <w:top w:w="90" w:type="dxa"/>
              <w:left w:w="90" w:type="dxa"/>
              <w:bottom w:w="90" w:type="dxa"/>
              <w:right w:w="90" w:type="dxa"/>
            </w:tcMar>
            <w:vAlign w:val="center"/>
          </w:tcPr>
          <w:p w14:paraId="084BB8EB"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eastAsia="Times New Roman" w:hAnsi="Simplified Arabic" w:cs="Simplified Arabic"/>
                <w:sz w:val="23"/>
                <w:rtl/>
              </w:rPr>
              <w:t>Fritzmann et al.</w:t>
            </w:r>
          </w:p>
        </w:tc>
        <w:tc>
          <w:tcPr>
            <w:tcW w:w="643" w:type="dxa"/>
            <w:shd w:val="clear" w:color="auto" w:fill="FFFFFF"/>
            <w:tcMar>
              <w:top w:w="90" w:type="dxa"/>
              <w:left w:w="90" w:type="dxa"/>
              <w:bottom w:w="90" w:type="dxa"/>
              <w:right w:w="90" w:type="dxa"/>
            </w:tcMar>
            <w:vAlign w:val="center"/>
          </w:tcPr>
          <w:p w14:paraId="5C01D787"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eastAsia="Times New Roman" w:hAnsi="Simplified Arabic" w:cs="Simplified Arabic"/>
                <w:sz w:val="23"/>
                <w:rtl/>
              </w:rPr>
              <w:t>2007</w:t>
            </w:r>
          </w:p>
        </w:tc>
        <w:tc>
          <w:tcPr>
            <w:tcW w:w="1806" w:type="dxa"/>
            <w:shd w:val="clear" w:color="auto" w:fill="FFFFFF"/>
            <w:tcMar>
              <w:top w:w="90" w:type="dxa"/>
              <w:left w:w="90" w:type="dxa"/>
              <w:bottom w:w="90" w:type="dxa"/>
              <w:right w:w="90" w:type="dxa"/>
            </w:tcMar>
            <w:vAlign w:val="center"/>
          </w:tcPr>
          <w:p w14:paraId="4DB62CCF"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التحلية/التناضح العكسي</w:t>
            </w:r>
          </w:p>
        </w:tc>
        <w:tc>
          <w:tcPr>
            <w:tcW w:w="1367" w:type="dxa"/>
            <w:shd w:val="clear" w:color="auto" w:fill="FFFFFF"/>
            <w:tcMar>
              <w:top w:w="90" w:type="dxa"/>
              <w:left w:w="90" w:type="dxa"/>
              <w:bottom w:w="90" w:type="dxa"/>
              <w:right w:w="90" w:type="dxa"/>
            </w:tcMar>
            <w:vAlign w:val="center"/>
          </w:tcPr>
          <w:p w14:paraId="60E1E813"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مراجعة فنية</w:t>
            </w:r>
          </w:p>
        </w:tc>
        <w:tc>
          <w:tcPr>
            <w:tcW w:w="2590" w:type="dxa"/>
            <w:shd w:val="clear" w:color="auto" w:fill="FFFFFF"/>
            <w:tcMar>
              <w:top w:w="90" w:type="dxa"/>
              <w:left w:w="90" w:type="dxa"/>
              <w:bottom w:w="90" w:type="dxa"/>
              <w:right w:w="90" w:type="dxa"/>
            </w:tcMar>
            <w:vAlign w:val="center"/>
          </w:tcPr>
          <w:p w14:paraId="559109CD"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الأداء منظومة متكاملة من المأخذ حتى المعالجة اللاحقة</w:t>
            </w:r>
          </w:p>
        </w:tc>
        <w:tc>
          <w:tcPr>
            <w:tcW w:w="1424" w:type="dxa"/>
            <w:shd w:val="clear" w:color="auto" w:fill="FFFFFF"/>
            <w:tcMar>
              <w:top w:w="90" w:type="dxa"/>
              <w:left w:w="90" w:type="dxa"/>
              <w:bottom w:w="90" w:type="dxa"/>
              <w:right w:w="90" w:type="dxa"/>
            </w:tcMar>
            <w:vAlign w:val="center"/>
          </w:tcPr>
          <w:p w14:paraId="3831E2B4"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فني عالمي</w:t>
            </w:r>
          </w:p>
        </w:tc>
      </w:tr>
      <w:tr w:rsidR="00E94561" w:rsidRPr="00B56FDF" w14:paraId="240E3949" w14:textId="77777777" w:rsidTr="008F0F11">
        <w:trPr>
          <w:cantSplit/>
          <w:jc w:val="center"/>
        </w:trPr>
        <w:tc>
          <w:tcPr>
            <w:tcW w:w="1619" w:type="dxa"/>
            <w:shd w:val="clear" w:color="auto" w:fill="F3F6F9"/>
            <w:tcMar>
              <w:top w:w="90" w:type="dxa"/>
              <w:left w:w="90" w:type="dxa"/>
              <w:bottom w:w="90" w:type="dxa"/>
              <w:right w:w="90" w:type="dxa"/>
            </w:tcMar>
            <w:vAlign w:val="center"/>
          </w:tcPr>
          <w:p w14:paraId="6F6B8A11"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eastAsia="Times New Roman" w:hAnsi="Simplified Arabic" w:cs="Simplified Arabic"/>
                <w:sz w:val="23"/>
                <w:rtl/>
              </w:rPr>
              <w:t>Muogbo</w:t>
            </w:r>
          </w:p>
        </w:tc>
        <w:tc>
          <w:tcPr>
            <w:tcW w:w="643" w:type="dxa"/>
            <w:shd w:val="clear" w:color="auto" w:fill="F3F6F9"/>
            <w:tcMar>
              <w:top w:w="90" w:type="dxa"/>
              <w:left w:w="90" w:type="dxa"/>
              <w:bottom w:w="90" w:type="dxa"/>
              <w:right w:w="90" w:type="dxa"/>
            </w:tcMar>
            <w:vAlign w:val="center"/>
          </w:tcPr>
          <w:p w14:paraId="0B9C8F10"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eastAsia="Times New Roman" w:hAnsi="Simplified Arabic" w:cs="Simplified Arabic"/>
                <w:sz w:val="23"/>
                <w:rtl/>
              </w:rPr>
              <w:t>2013</w:t>
            </w:r>
          </w:p>
        </w:tc>
        <w:tc>
          <w:tcPr>
            <w:tcW w:w="1806" w:type="dxa"/>
            <w:shd w:val="clear" w:color="auto" w:fill="F3F6F9"/>
            <w:tcMar>
              <w:top w:w="90" w:type="dxa"/>
              <w:left w:w="90" w:type="dxa"/>
              <w:bottom w:w="90" w:type="dxa"/>
              <w:right w:w="90" w:type="dxa"/>
            </w:tcMar>
            <w:vAlign w:val="center"/>
          </w:tcPr>
          <w:p w14:paraId="1029070C"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الإدارة الاستراتيجية والأداء</w:t>
            </w:r>
          </w:p>
        </w:tc>
        <w:tc>
          <w:tcPr>
            <w:tcW w:w="1367" w:type="dxa"/>
            <w:shd w:val="clear" w:color="auto" w:fill="F3F6F9"/>
            <w:tcMar>
              <w:top w:w="90" w:type="dxa"/>
              <w:left w:w="90" w:type="dxa"/>
              <w:bottom w:w="90" w:type="dxa"/>
              <w:right w:w="90" w:type="dxa"/>
            </w:tcMar>
            <w:vAlign w:val="center"/>
          </w:tcPr>
          <w:p w14:paraId="11000D9C"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مسح شركات تصنيع</w:t>
            </w:r>
          </w:p>
        </w:tc>
        <w:tc>
          <w:tcPr>
            <w:tcW w:w="2590" w:type="dxa"/>
            <w:shd w:val="clear" w:color="auto" w:fill="F3F6F9"/>
            <w:tcMar>
              <w:top w:w="90" w:type="dxa"/>
              <w:left w:w="90" w:type="dxa"/>
              <w:bottom w:w="90" w:type="dxa"/>
              <w:right w:w="90" w:type="dxa"/>
            </w:tcMar>
            <w:vAlign w:val="center"/>
          </w:tcPr>
          <w:p w14:paraId="4A16E0A1"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ارتباط إيجابي بين الإدارة الاستراتيجية والنمو</w:t>
            </w:r>
          </w:p>
        </w:tc>
        <w:tc>
          <w:tcPr>
            <w:tcW w:w="1424" w:type="dxa"/>
            <w:shd w:val="clear" w:color="auto" w:fill="F3F6F9"/>
            <w:tcMar>
              <w:top w:w="90" w:type="dxa"/>
              <w:left w:w="90" w:type="dxa"/>
              <w:bottom w:w="90" w:type="dxa"/>
              <w:right w:w="90" w:type="dxa"/>
            </w:tcMar>
            <w:vAlign w:val="center"/>
          </w:tcPr>
          <w:p w14:paraId="6AB45AD9"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تصنيع نيجيريا</w:t>
            </w:r>
          </w:p>
        </w:tc>
      </w:tr>
      <w:tr w:rsidR="00E94561" w:rsidRPr="00B56FDF" w14:paraId="736CBBD6" w14:textId="77777777" w:rsidTr="008F0F11">
        <w:trPr>
          <w:cantSplit/>
          <w:jc w:val="center"/>
        </w:trPr>
        <w:tc>
          <w:tcPr>
            <w:tcW w:w="1619" w:type="dxa"/>
            <w:shd w:val="clear" w:color="auto" w:fill="FFFFFF"/>
            <w:tcMar>
              <w:top w:w="90" w:type="dxa"/>
              <w:left w:w="90" w:type="dxa"/>
              <w:bottom w:w="90" w:type="dxa"/>
              <w:right w:w="90" w:type="dxa"/>
            </w:tcMar>
            <w:vAlign w:val="center"/>
          </w:tcPr>
          <w:p w14:paraId="50B86210"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eastAsia="Times New Roman" w:hAnsi="Simplified Arabic" w:cs="Simplified Arabic"/>
                <w:sz w:val="23"/>
                <w:rtl/>
              </w:rPr>
              <w:t>Mohammed</w:t>
            </w:r>
          </w:p>
        </w:tc>
        <w:tc>
          <w:tcPr>
            <w:tcW w:w="643" w:type="dxa"/>
            <w:shd w:val="clear" w:color="auto" w:fill="FFFFFF"/>
            <w:tcMar>
              <w:top w:w="90" w:type="dxa"/>
              <w:left w:w="90" w:type="dxa"/>
              <w:bottom w:w="90" w:type="dxa"/>
              <w:right w:w="90" w:type="dxa"/>
            </w:tcMar>
            <w:vAlign w:val="center"/>
          </w:tcPr>
          <w:p w14:paraId="4C96D0A9"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eastAsia="Times New Roman" w:hAnsi="Simplified Arabic" w:cs="Simplified Arabic"/>
                <w:sz w:val="23"/>
                <w:rtl/>
              </w:rPr>
              <w:t>2016</w:t>
            </w:r>
          </w:p>
        </w:tc>
        <w:tc>
          <w:tcPr>
            <w:tcW w:w="1806" w:type="dxa"/>
            <w:shd w:val="clear" w:color="auto" w:fill="FFFFFF"/>
            <w:tcMar>
              <w:top w:w="90" w:type="dxa"/>
              <w:left w:w="90" w:type="dxa"/>
              <w:bottom w:w="90" w:type="dxa"/>
              <w:right w:w="90" w:type="dxa"/>
            </w:tcMar>
            <w:vAlign w:val="center"/>
          </w:tcPr>
          <w:p w14:paraId="50CFBCDC"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الإدارة الاستراتيجية والأداء</w:t>
            </w:r>
          </w:p>
        </w:tc>
        <w:tc>
          <w:tcPr>
            <w:tcW w:w="1367" w:type="dxa"/>
            <w:shd w:val="clear" w:color="auto" w:fill="FFFFFF"/>
            <w:tcMar>
              <w:top w:w="90" w:type="dxa"/>
              <w:left w:w="90" w:type="dxa"/>
              <w:bottom w:w="90" w:type="dxa"/>
              <w:right w:w="90" w:type="dxa"/>
            </w:tcMar>
            <w:vAlign w:val="center"/>
          </w:tcPr>
          <w:p w14:paraId="4C8D191D"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دراسة ميدانية</w:t>
            </w:r>
          </w:p>
        </w:tc>
        <w:tc>
          <w:tcPr>
            <w:tcW w:w="2590" w:type="dxa"/>
            <w:shd w:val="clear" w:color="auto" w:fill="FFFFFF"/>
            <w:tcMar>
              <w:top w:w="90" w:type="dxa"/>
              <w:left w:w="90" w:type="dxa"/>
              <w:bottom w:w="90" w:type="dxa"/>
              <w:right w:w="90" w:type="dxa"/>
            </w:tcMar>
            <w:vAlign w:val="center"/>
          </w:tcPr>
          <w:p w14:paraId="5C095B87"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دعم لعلاقة الإدارة الاستراتيجية بالأداء</w:t>
            </w:r>
          </w:p>
        </w:tc>
        <w:tc>
          <w:tcPr>
            <w:tcW w:w="1424" w:type="dxa"/>
            <w:shd w:val="clear" w:color="auto" w:fill="FFFFFF"/>
            <w:tcMar>
              <w:top w:w="90" w:type="dxa"/>
              <w:left w:w="90" w:type="dxa"/>
              <w:bottom w:w="90" w:type="dxa"/>
              <w:right w:w="90" w:type="dxa"/>
            </w:tcMar>
            <w:vAlign w:val="center"/>
          </w:tcPr>
          <w:p w14:paraId="6E093CC1"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صناعة سعودية</w:t>
            </w:r>
          </w:p>
        </w:tc>
      </w:tr>
      <w:tr w:rsidR="00E94561" w:rsidRPr="00B56FDF" w14:paraId="06ACCDA8" w14:textId="77777777" w:rsidTr="008F0F11">
        <w:trPr>
          <w:cantSplit/>
          <w:jc w:val="center"/>
        </w:trPr>
        <w:tc>
          <w:tcPr>
            <w:tcW w:w="1619" w:type="dxa"/>
            <w:shd w:val="clear" w:color="auto" w:fill="F3F6F9"/>
            <w:tcMar>
              <w:top w:w="90" w:type="dxa"/>
              <w:left w:w="90" w:type="dxa"/>
              <w:bottom w:w="90" w:type="dxa"/>
              <w:right w:w="90" w:type="dxa"/>
            </w:tcMar>
            <w:vAlign w:val="center"/>
          </w:tcPr>
          <w:p w14:paraId="2D6EE72C"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eastAsia="Times New Roman" w:hAnsi="Simplified Arabic" w:cs="Simplified Arabic"/>
                <w:sz w:val="23"/>
                <w:rtl/>
              </w:rPr>
              <w:t>Gude</w:t>
            </w:r>
          </w:p>
        </w:tc>
        <w:tc>
          <w:tcPr>
            <w:tcW w:w="643" w:type="dxa"/>
            <w:shd w:val="clear" w:color="auto" w:fill="F3F6F9"/>
            <w:tcMar>
              <w:top w:w="90" w:type="dxa"/>
              <w:left w:w="90" w:type="dxa"/>
              <w:bottom w:w="90" w:type="dxa"/>
              <w:right w:w="90" w:type="dxa"/>
            </w:tcMar>
            <w:vAlign w:val="center"/>
          </w:tcPr>
          <w:p w14:paraId="12A74227"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eastAsia="Times New Roman" w:hAnsi="Simplified Arabic" w:cs="Simplified Arabic"/>
                <w:sz w:val="23"/>
                <w:rtl/>
              </w:rPr>
              <w:t>2017</w:t>
            </w:r>
          </w:p>
        </w:tc>
        <w:tc>
          <w:tcPr>
            <w:tcW w:w="1806" w:type="dxa"/>
            <w:shd w:val="clear" w:color="auto" w:fill="F3F6F9"/>
            <w:tcMar>
              <w:top w:w="90" w:type="dxa"/>
              <w:left w:w="90" w:type="dxa"/>
              <w:bottom w:w="90" w:type="dxa"/>
              <w:right w:w="90" w:type="dxa"/>
            </w:tcMar>
            <w:vAlign w:val="center"/>
          </w:tcPr>
          <w:p w14:paraId="35A18A5D"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التحلية والاستدامة</w:t>
            </w:r>
          </w:p>
        </w:tc>
        <w:tc>
          <w:tcPr>
            <w:tcW w:w="1367" w:type="dxa"/>
            <w:shd w:val="clear" w:color="auto" w:fill="F3F6F9"/>
            <w:tcMar>
              <w:top w:w="90" w:type="dxa"/>
              <w:left w:w="90" w:type="dxa"/>
              <w:bottom w:w="90" w:type="dxa"/>
              <w:right w:w="90" w:type="dxa"/>
            </w:tcMar>
            <w:vAlign w:val="center"/>
          </w:tcPr>
          <w:p w14:paraId="1145F478"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مراجعة</w:t>
            </w:r>
          </w:p>
        </w:tc>
        <w:tc>
          <w:tcPr>
            <w:tcW w:w="2590" w:type="dxa"/>
            <w:shd w:val="clear" w:color="auto" w:fill="F3F6F9"/>
            <w:tcMar>
              <w:top w:w="90" w:type="dxa"/>
              <w:left w:w="90" w:type="dxa"/>
              <w:bottom w:w="90" w:type="dxa"/>
              <w:right w:w="90" w:type="dxa"/>
            </w:tcMar>
            <w:vAlign w:val="center"/>
          </w:tcPr>
          <w:p w14:paraId="43C05B89"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التحلية ضمن إدارة متكاملة للموارد</w:t>
            </w:r>
          </w:p>
        </w:tc>
        <w:tc>
          <w:tcPr>
            <w:tcW w:w="1424" w:type="dxa"/>
            <w:shd w:val="clear" w:color="auto" w:fill="F3F6F9"/>
            <w:tcMar>
              <w:top w:w="90" w:type="dxa"/>
              <w:left w:w="90" w:type="dxa"/>
              <w:bottom w:w="90" w:type="dxa"/>
              <w:right w:w="90" w:type="dxa"/>
            </w:tcMar>
            <w:vAlign w:val="center"/>
          </w:tcPr>
          <w:p w14:paraId="45847C99"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مائي عالمي</w:t>
            </w:r>
          </w:p>
        </w:tc>
      </w:tr>
      <w:tr w:rsidR="00E94561" w:rsidRPr="00B56FDF" w14:paraId="29A4D630" w14:textId="77777777" w:rsidTr="008F0F11">
        <w:trPr>
          <w:cantSplit/>
          <w:jc w:val="center"/>
        </w:trPr>
        <w:tc>
          <w:tcPr>
            <w:tcW w:w="1619" w:type="dxa"/>
            <w:shd w:val="clear" w:color="auto" w:fill="FFFFFF"/>
            <w:tcMar>
              <w:top w:w="90" w:type="dxa"/>
              <w:left w:w="90" w:type="dxa"/>
              <w:bottom w:w="90" w:type="dxa"/>
              <w:right w:w="90" w:type="dxa"/>
            </w:tcMar>
            <w:vAlign w:val="center"/>
          </w:tcPr>
          <w:p w14:paraId="2E5A51DE"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eastAsia="Times New Roman" w:hAnsi="Simplified Arabic" w:cs="Simplified Arabic"/>
                <w:sz w:val="23"/>
                <w:rtl/>
              </w:rPr>
              <w:t>Wolf &amp; Floyd</w:t>
            </w:r>
          </w:p>
        </w:tc>
        <w:tc>
          <w:tcPr>
            <w:tcW w:w="643" w:type="dxa"/>
            <w:shd w:val="clear" w:color="auto" w:fill="FFFFFF"/>
            <w:tcMar>
              <w:top w:w="90" w:type="dxa"/>
              <w:left w:w="90" w:type="dxa"/>
              <w:bottom w:w="90" w:type="dxa"/>
              <w:right w:w="90" w:type="dxa"/>
            </w:tcMar>
            <w:vAlign w:val="center"/>
          </w:tcPr>
          <w:p w14:paraId="5A036F17"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eastAsia="Times New Roman" w:hAnsi="Simplified Arabic" w:cs="Simplified Arabic"/>
                <w:sz w:val="23"/>
                <w:rtl/>
              </w:rPr>
              <w:t>2017</w:t>
            </w:r>
          </w:p>
        </w:tc>
        <w:tc>
          <w:tcPr>
            <w:tcW w:w="1806" w:type="dxa"/>
            <w:shd w:val="clear" w:color="auto" w:fill="FFFFFF"/>
            <w:tcMar>
              <w:top w:w="90" w:type="dxa"/>
              <w:left w:w="90" w:type="dxa"/>
              <w:bottom w:w="90" w:type="dxa"/>
              <w:right w:w="90" w:type="dxa"/>
            </w:tcMar>
            <w:vAlign w:val="center"/>
          </w:tcPr>
          <w:p w14:paraId="50C99D19"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التخطيط والأداء</w:t>
            </w:r>
          </w:p>
        </w:tc>
        <w:tc>
          <w:tcPr>
            <w:tcW w:w="1367" w:type="dxa"/>
            <w:shd w:val="clear" w:color="auto" w:fill="FFFFFF"/>
            <w:tcMar>
              <w:top w:w="90" w:type="dxa"/>
              <w:left w:w="90" w:type="dxa"/>
              <w:bottom w:w="90" w:type="dxa"/>
              <w:right w:w="90" w:type="dxa"/>
            </w:tcMar>
            <w:vAlign w:val="center"/>
          </w:tcPr>
          <w:p w14:paraId="619C9675"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مراجعة أدبيات</w:t>
            </w:r>
          </w:p>
        </w:tc>
        <w:tc>
          <w:tcPr>
            <w:tcW w:w="2590" w:type="dxa"/>
            <w:shd w:val="clear" w:color="auto" w:fill="FFFFFF"/>
            <w:tcMar>
              <w:top w:w="90" w:type="dxa"/>
              <w:left w:w="90" w:type="dxa"/>
              <w:bottom w:w="90" w:type="dxa"/>
              <w:right w:w="90" w:type="dxa"/>
            </w:tcMar>
            <w:vAlign w:val="center"/>
          </w:tcPr>
          <w:p w14:paraId="4F44E031"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ضرورة تفسير آليات التحويل من التخطيط إلى الأداء</w:t>
            </w:r>
          </w:p>
        </w:tc>
        <w:tc>
          <w:tcPr>
            <w:tcW w:w="1424" w:type="dxa"/>
            <w:shd w:val="clear" w:color="auto" w:fill="FFFFFF"/>
            <w:tcMar>
              <w:top w:w="90" w:type="dxa"/>
              <w:left w:w="90" w:type="dxa"/>
              <w:bottom w:w="90" w:type="dxa"/>
              <w:right w:w="90" w:type="dxa"/>
            </w:tcMar>
            <w:vAlign w:val="center"/>
          </w:tcPr>
          <w:p w14:paraId="2059A1E7"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نظري</w:t>
            </w:r>
          </w:p>
        </w:tc>
      </w:tr>
      <w:tr w:rsidR="00E94561" w:rsidRPr="00B56FDF" w14:paraId="7E0486B1" w14:textId="77777777" w:rsidTr="008F0F11">
        <w:trPr>
          <w:cantSplit/>
          <w:jc w:val="center"/>
        </w:trPr>
        <w:tc>
          <w:tcPr>
            <w:tcW w:w="1619" w:type="dxa"/>
            <w:shd w:val="clear" w:color="auto" w:fill="F3F6F9"/>
            <w:tcMar>
              <w:top w:w="90" w:type="dxa"/>
              <w:left w:w="90" w:type="dxa"/>
              <w:bottom w:w="90" w:type="dxa"/>
              <w:right w:w="90" w:type="dxa"/>
            </w:tcMar>
            <w:vAlign w:val="center"/>
          </w:tcPr>
          <w:p w14:paraId="33B9BCEA"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eastAsia="Times New Roman" w:hAnsi="Simplified Arabic" w:cs="Simplified Arabic"/>
                <w:sz w:val="23"/>
                <w:rtl/>
              </w:rPr>
              <w:t>Zarzo &amp; Prats</w:t>
            </w:r>
          </w:p>
        </w:tc>
        <w:tc>
          <w:tcPr>
            <w:tcW w:w="643" w:type="dxa"/>
            <w:shd w:val="clear" w:color="auto" w:fill="F3F6F9"/>
            <w:tcMar>
              <w:top w:w="90" w:type="dxa"/>
              <w:left w:w="90" w:type="dxa"/>
              <w:bottom w:w="90" w:type="dxa"/>
              <w:right w:w="90" w:type="dxa"/>
            </w:tcMar>
            <w:vAlign w:val="center"/>
          </w:tcPr>
          <w:p w14:paraId="77912FCD"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eastAsia="Times New Roman" w:hAnsi="Simplified Arabic" w:cs="Simplified Arabic"/>
                <w:sz w:val="23"/>
                <w:rtl/>
              </w:rPr>
              <w:t>2018</w:t>
            </w:r>
          </w:p>
        </w:tc>
        <w:tc>
          <w:tcPr>
            <w:tcW w:w="1806" w:type="dxa"/>
            <w:shd w:val="clear" w:color="auto" w:fill="F3F6F9"/>
            <w:tcMar>
              <w:top w:w="90" w:type="dxa"/>
              <w:left w:w="90" w:type="dxa"/>
              <w:bottom w:w="90" w:type="dxa"/>
              <w:right w:w="90" w:type="dxa"/>
            </w:tcMar>
            <w:vAlign w:val="center"/>
          </w:tcPr>
          <w:p w14:paraId="17E3C0AA"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الطاقة والتحلية</w:t>
            </w:r>
          </w:p>
        </w:tc>
        <w:tc>
          <w:tcPr>
            <w:tcW w:w="1367" w:type="dxa"/>
            <w:shd w:val="clear" w:color="auto" w:fill="F3F6F9"/>
            <w:tcMar>
              <w:top w:w="90" w:type="dxa"/>
              <w:left w:w="90" w:type="dxa"/>
              <w:bottom w:w="90" w:type="dxa"/>
              <w:right w:w="90" w:type="dxa"/>
            </w:tcMar>
            <w:vAlign w:val="center"/>
          </w:tcPr>
          <w:p w14:paraId="1762F088"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مراجعة</w:t>
            </w:r>
          </w:p>
        </w:tc>
        <w:tc>
          <w:tcPr>
            <w:tcW w:w="2590" w:type="dxa"/>
            <w:shd w:val="clear" w:color="auto" w:fill="F3F6F9"/>
            <w:tcMar>
              <w:top w:w="90" w:type="dxa"/>
              <w:left w:w="90" w:type="dxa"/>
              <w:bottom w:w="90" w:type="dxa"/>
              <w:right w:w="90" w:type="dxa"/>
            </w:tcMar>
            <w:vAlign w:val="center"/>
          </w:tcPr>
          <w:p w14:paraId="49B262C7"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الطاقة عامل حاسم في كفاءة التحلية</w:t>
            </w:r>
          </w:p>
        </w:tc>
        <w:tc>
          <w:tcPr>
            <w:tcW w:w="1424" w:type="dxa"/>
            <w:shd w:val="clear" w:color="auto" w:fill="F3F6F9"/>
            <w:tcMar>
              <w:top w:w="90" w:type="dxa"/>
              <w:left w:w="90" w:type="dxa"/>
              <w:bottom w:w="90" w:type="dxa"/>
              <w:right w:w="90" w:type="dxa"/>
            </w:tcMar>
            <w:vAlign w:val="center"/>
          </w:tcPr>
          <w:p w14:paraId="5B84502C"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فني عالمي</w:t>
            </w:r>
          </w:p>
        </w:tc>
      </w:tr>
      <w:tr w:rsidR="00E94561" w:rsidRPr="00B56FDF" w14:paraId="20401BA0" w14:textId="77777777" w:rsidTr="008F0F11">
        <w:trPr>
          <w:cantSplit/>
          <w:jc w:val="center"/>
        </w:trPr>
        <w:tc>
          <w:tcPr>
            <w:tcW w:w="1619" w:type="dxa"/>
            <w:shd w:val="clear" w:color="auto" w:fill="FFFFFF"/>
            <w:tcMar>
              <w:top w:w="90" w:type="dxa"/>
              <w:left w:w="90" w:type="dxa"/>
              <w:bottom w:w="90" w:type="dxa"/>
              <w:right w:w="90" w:type="dxa"/>
            </w:tcMar>
            <w:vAlign w:val="center"/>
          </w:tcPr>
          <w:p w14:paraId="0EB024EC"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eastAsia="Times New Roman" w:hAnsi="Simplified Arabic" w:cs="Simplified Arabic"/>
                <w:sz w:val="23"/>
                <w:rtl/>
              </w:rPr>
              <w:t>Jones et al.</w:t>
            </w:r>
          </w:p>
        </w:tc>
        <w:tc>
          <w:tcPr>
            <w:tcW w:w="643" w:type="dxa"/>
            <w:shd w:val="clear" w:color="auto" w:fill="FFFFFF"/>
            <w:tcMar>
              <w:top w:w="90" w:type="dxa"/>
              <w:left w:w="90" w:type="dxa"/>
              <w:bottom w:w="90" w:type="dxa"/>
              <w:right w:w="90" w:type="dxa"/>
            </w:tcMar>
            <w:vAlign w:val="center"/>
          </w:tcPr>
          <w:p w14:paraId="16852583"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eastAsia="Times New Roman" w:hAnsi="Simplified Arabic" w:cs="Simplified Arabic"/>
                <w:sz w:val="23"/>
                <w:rtl/>
              </w:rPr>
              <w:t>2019</w:t>
            </w:r>
          </w:p>
        </w:tc>
        <w:tc>
          <w:tcPr>
            <w:tcW w:w="1806" w:type="dxa"/>
            <w:shd w:val="clear" w:color="auto" w:fill="FFFFFF"/>
            <w:tcMar>
              <w:top w:w="90" w:type="dxa"/>
              <w:left w:w="90" w:type="dxa"/>
              <w:bottom w:w="90" w:type="dxa"/>
              <w:right w:w="90" w:type="dxa"/>
            </w:tcMar>
            <w:vAlign w:val="center"/>
          </w:tcPr>
          <w:p w14:paraId="0CFCD9C6"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حالة التحلية عالمياً</w:t>
            </w:r>
          </w:p>
        </w:tc>
        <w:tc>
          <w:tcPr>
            <w:tcW w:w="1367" w:type="dxa"/>
            <w:shd w:val="clear" w:color="auto" w:fill="FFFFFF"/>
            <w:tcMar>
              <w:top w:w="90" w:type="dxa"/>
              <w:left w:w="90" w:type="dxa"/>
              <w:bottom w:w="90" w:type="dxa"/>
              <w:right w:w="90" w:type="dxa"/>
            </w:tcMar>
            <w:vAlign w:val="center"/>
          </w:tcPr>
          <w:p w14:paraId="5B3B49D5"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تحليل قطاعي</w:t>
            </w:r>
          </w:p>
        </w:tc>
        <w:tc>
          <w:tcPr>
            <w:tcW w:w="2590" w:type="dxa"/>
            <w:shd w:val="clear" w:color="auto" w:fill="FFFFFF"/>
            <w:tcMar>
              <w:top w:w="90" w:type="dxa"/>
              <w:left w:w="90" w:type="dxa"/>
              <w:bottom w:w="90" w:type="dxa"/>
              <w:right w:w="90" w:type="dxa"/>
            </w:tcMar>
            <w:vAlign w:val="center"/>
          </w:tcPr>
          <w:p w14:paraId="0C8C6678"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اتساع أبعاد التحلية البيئية والتشغيلية</w:t>
            </w:r>
          </w:p>
        </w:tc>
        <w:tc>
          <w:tcPr>
            <w:tcW w:w="1424" w:type="dxa"/>
            <w:shd w:val="clear" w:color="auto" w:fill="FFFFFF"/>
            <w:tcMar>
              <w:top w:w="90" w:type="dxa"/>
              <w:left w:w="90" w:type="dxa"/>
              <w:bottom w:w="90" w:type="dxa"/>
              <w:right w:w="90" w:type="dxa"/>
            </w:tcMar>
            <w:vAlign w:val="center"/>
          </w:tcPr>
          <w:p w14:paraId="0143C744"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عالمي</w:t>
            </w:r>
          </w:p>
        </w:tc>
      </w:tr>
      <w:tr w:rsidR="00E94561" w:rsidRPr="00B56FDF" w14:paraId="21C8A3B5" w14:textId="77777777" w:rsidTr="008F0F11">
        <w:trPr>
          <w:cantSplit/>
          <w:jc w:val="center"/>
        </w:trPr>
        <w:tc>
          <w:tcPr>
            <w:tcW w:w="1619" w:type="dxa"/>
            <w:shd w:val="clear" w:color="auto" w:fill="F3F6F9"/>
            <w:tcMar>
              <w:top w:w="90" w:type="dxa"/>
              <w:left w:w="90" w:type="dxa"/>
              <w:bottom w:w="90" w:type="dxa"/>
              <w:right w:w="90" w:type="dxa"/>
            </w:tcMar>
            <w:vAlign w:val="center"/>
          </w:tcPr>
          <w:p w14:paraId="56708B23"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eastAsia="Times New Roman" w:hAnsi="Simplified Arabic" w:cs="Simplified Arabic"/>
                <w:sz w:val="23"/>
                <w:rtl/>
              </w:rPr>
              <w:t>Kim et al.</w:t>
            </w:r>
          </w:p>
        </w:tc>
        <w:tc>
          <w:tcPr>
            <w:tcW w:w="643" w:type="dxa"/>
            <w:shd w:val="clear" w:color="auto" w:fill="F3F6F9"/>
            <w:tcMar>
              <w:top w:w="90" w:type="dxa"/>
              <w:left w:w="90" w:type="dxa"/>
              <w:bottom w:w="90" w:type="dxa"/>
              <w:right w:w="90" w:type="dxa"/>
            </w:tcMar>
            <w:vAlign w:val="center"/>
          </w:tcPr>
          <w:p w14:paraId="3696A408"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eastAsia="Times New Roman" w:hAnsi="Simplified Arabic" w:cs="Simplified Arabic"/>
                <w:sz w:val="23"/>
                <w:rtl/>
              </w:rPr>
              <w:t>2019</w:t>
            </w:r>
          </w:p>
        </w:tc>
        <w:tc>
          <w:tcPr>
            <w:tcW w:w="1806" w:type="dxa"/>
            <w:shd w:val="clear" w:color="auto" w:fill="F3F6F9"/>
            <w:tcMar>
              <w:top w:w="90" w:type="dxa"/>
              <w:left w:w="90" w:type="dxa"/>
              <w:bottom w:w="90" w:type="dxa"/>
              <w:right w:w="90" w:type="dxa"/>
            </w:tcMar>
            <w:vAlign w:val="center"/>
          </w:tcPr>
          <w:p w14:paraId="4C1F8EB0"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طاقة محطات RO</w:t>
            </w:r>
          </w:p>
        </w:tc>
        <w:tc>
          <w:tcPr>
            <w:tcW w:w="1367" w:type="dxa"/>
            <w:shd w:val="clear" w:color="auto" w:fill="F3F6F9"/>
            <w:tcMar>
              <w:top w:w="90" w:type="dxa"/>
              <w:left w:w="90" w:type="dxa"/>
              <w:bottom w:w="90" w:type="dxa"/>
              <w:right w:w="90" w:type="dxa"/>
            </w:tcMar>
            <w:vAlign w:val="center"/>
          </w:tcPr>
          <w:p w14:paraId="71B1D039"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مراجعة</w:t>
            </w:r>
          </w:p>
        </w:tc>
        <w:tc>
          <w:tcPr>
            <w:tcW w:w="2590" w:type="dxa"/>
            <w:shd w:val="clear" w:color="auto" w:fill="F3F6F9"/>
            <w:tcMar>
              <w:top w:w="90" w:type="dxa"/>
              <w:left w:w="90" w:type="dxa"/>
              <w:bottom w:w="90" w:type="dxa"/>
              <w:right w:w="90" w:type="dxa"/>
            </w:tcMar>
            <w:vAlign w:val="center"/>
          </w:tcPr>
          <w:p w14:paraId="4D8E1630"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تعدد محددات استهلاك الطاقة التشغيلي</w:t>
            </w:r>
          </w:p>
        </w:tc>
        <w:tc>
          <w:tcPr>
            <w:tcW w:w="1424" w:type="dxa"/>
            <w:shd w:val="clear" w:color="auto" w:fill="F3F6F9"/>
            <w:tcMar>
              <w:top w:w="90" w:type="dxa"/>
              <w:left w:w="90" w:type="dxa"/>
              <w:bottom w:w="90" w:type="dxa"/>
              <w:right w:w="90" w:type="dxa"/>
            </w:tcMar>
            <w:vAlign w:val="center"/>
          </w:tcPr>
          <w:p w14:paraId="5EF61676"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فني عالمي</w:t>
            </w:r>
          </w:p>
        </w:tc>
      </w:tr>
      <w:tr w:rsidR="00E94561" w:rsidRPr="00B56FDF" w14:paraId="51277E7E" w14:textId="77777777" w:rsidTr="008F0F11">
        <w:trPr>
          <w:cantSplit/>
          <w:jc w:val="center"/>
        </w:trPr>
        <w:tc>
          <w:tcPr>
            <w:tcW w:w="1619" w:type="dxa"/>
            <w:shd w:val="clear" w:color="auto" w:fill="FFFFFF"/>
            <w:tcMar>
              <w:top w:w="90" w:type="dxa"/>
              <w:left w:w="90" w:type="dxa"/>
              <w:bottom w:w="90" w:type="dxa"/>
              <w:right w:w="90" w:type="dxa"/>
            </w:tcMar>
            <w:vAlign w:val="center"/>
          </w:tcPr>
          <w:p w14:paraId="293D0D61"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eastAsia="Times New Roman" w:hAnsi="Simplified Arabic" w:cs="Simplified Arabic"/>
                <w:sz w:val="23"/>
                <w:rtl/>
              </w:rPr>
              <w:t>Park et al.</w:t>
            </w:r>
          </w:p>
        </w:tc>
        <w:tc>
          <w:tcPr>
            <w:tcW w:w="643" w:type="dxa"/>
            <w:shd w:val="clear" w:color="auto" w:fill="FFFFFF"/>
            <w:tcMar>
              <w:top w:w="90" w:type="dxa"/>
              <w:left w:w="90" w:type="dxa"/>
              <w:bottom w:w="90" w:type="dxa"/>
              <w:right w:w="90" w:type="dxa"/>
            </w:tcMar>
            <w:vAlign w:val="center"/>
          </w:tcPr>
          <w:p w14:paraId="263705AD"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eastAsia="Times New Roman" w:hAnsi="Simplified Arabic" w:cs="Simplified Arabic"/>
                <w:sz w:val="23"/>
                <w:rtl/>
              </w:rPr>
              <w:t>2020</w:t>
            </w:r>
          </w:p>
        </w:tc>
        <w:tc>
          <w:tcPr>
            <w:tcW w:w="1806" w:type="dxa"/>
            <w:shd w:val="clear" w:color="auto" w:fill="FFFFFF"/>
            <w:tcMar>
              <w:top w:w="90" w:type="dxa"/>
              <w:left w:w="90" w:type="dxa"/>
              <w:bottom w:w="90" w:type="dxa"/>
              <w:right w:w="90" w:type="dxa"/>
            </w:tcMar>
            <w:vAlign w:val="center"/>
          </w:tcPr>
          <w:p w14:paraId="27E1839C"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RO منخفض الطاقة</w:t>
            </w:r>
          </w:p>
        </w:tc>
        <w:tc>
          <w:tcPr>
            <w:tcW w:w="1367" w:type="dxa"/>
            <w:shd w:val="clear" w:color="auto" w:fill="FFFFFF"/>
            <w:tcMar>
              <w:top w:w="90" w:type="dxa"/>
              <w:left w:w="90" w:type="dxa"/>
              <w:bottom w:w="90" w:type="dxa"/>
              <w:right w:w="90" w:type="dxa"/>
            </w:tcMar>
            <w:vAlign w:val="center"/>
          </w:tcPr>
          <w:p w14:paraId="1182AF46"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مراجعة</w:t>
            </w:r>
          </w:p>
        </w:tc>
        <w:tc>
          <w:tcPr>
            <w:tcW w:w="2590" w:type="dxa"/>
            <w:shd w:val="clear" w:color="auto" w:fill="FFFFFF"/>
            <w:tcMar>
              <w:top w:w="90" w:type="dxa"/>
              <w:left w:w="90" w:type="dxa"/>
              <w:bottom w:w="90" w:type="dxa"/>
              <w:right w:w="90" w:type="dxa"/>
            </w:tcMar>
            <w:vAlign w:val="center"/>
          </w:tcPr>
          <w:p w14:paraId="5D8ABB5D"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تكامل التصميم والتشغيل واسترداد الطاقة</w:t>
            </w:r>
          </w:p>
        </w:tc>
        <w:tc>
          <w:tcPr>
            <w:tcW w:w="1424" w:type="dxa"/>
            <w:shd w:val="clear" w:color="auto" w:fill="FFFFFF"/>
            <w:tcMar>
              <w:top w:w="90" w:type="dxa"/>
              <w:left w:w="90" w:type="dxa"/>
              <w:bottom w:w="90" w:type="dxa"/>
              <w:right w:w="90" w:type="dxa"/>
            </w:tcMar>
            <w:vAlign w:val="center"/>
          </w:tcPr>
          <w:p w14:paraId="2E42BBB3"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فني عالمي</w:t>
            </w:r>
          </w:p>
        </w:tc>
      </w:tr>
      <w:tr w:rsidR="00E94561" w:rsidRPr="00B56FDF" w14:paraId="4EE98647" w14:textId="77777777" w:rsidTr="008F0F11">
        <w:trPr>
          <w:cantSplit/>
          <w:jc w:val="center"/>
        </w:trPr>
        <w:tc>
          <w:tcPr>
            <w:tcW w:w="1619" w:type="dxa"/>
            <w:shd w:val="clear" w:color="auto" w:fill="F3F6F9"/>
            <w:tcMar>
              <w:top w:w="90" w:type="dxa"/>
              <w:left w:w="90" w:type="dxa"/>
              <w:bottom w:w="90" w:type="dxa"/>
              <w:right w:w="90" w:type="dxa"/>
            </w:tcMar>
            <w:vAlign w:val="center"/>
          </w:tcPr>
          <w:p w14:paraId="732C9803"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eastAsia="Times New Roman" w:hAnsi="Simplified Arabic" w:cs="Simplified Arabic"/>
                <w:sz w:val="23"/>
                <w:rtl/>
              </w:rPr>
              <w:t>Alsadi &amp; Aloulou</w:t>
            </w:r>
          </w:p>
        </w:tc>
        <w:tc>
          <w:tcPr>
            <w:tcW w:w="643" w:type="dxa"/>
            <w:shd w:val="clear" w:color="auto" w:fill="F3F6F9"/>
            <w:tcMar>
              <w:top w:w="90" w:type="dxa"/>
              <w:left w:w="90" w:type="dxa"/>
              <w:bottom w:w="90" w:type="dxa"/>
              <w:right w:w="90" w:type="dxa"/>
            </w:tcMar>
            <w:vAlign w:val="center"/>
          </w:tcPr>
          <w:p w14:paraId="10D0AF0B"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eastAsia="Times New Roman" w:hAnsi="Simplified Arabic" w:cs="Simplified Arabic"/>
                <w:sz w:val="23"/>
                <w:rtl/>
              </w:rPr>
              <w:t>2021</w:t>
            </w:r>
          </w:p>
        </w:tc>
        <w:tc>
          <w:tcPr>
            <w:tcW w:w="1806" w:type="dxa"/>
            <w:shd w:val="clear" w:color="auto" w:fill="F3F6F9"/>
            <w:tcMar>
              <w:top w:w="90" w:type="dxa"/>
              <w:left w:w="90" w:type="dxa"/>
              <w:bottom w:w="90" w:type="dxa"/>
              <w:right w:w="90" w:type="dxa"/>
            </w:tcMar>
            <w:vAlign w:val="center"/>
          </w:tcPr>
          <w:p w14:paraId="30D7E787"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التوجهات الاستراتيجية والأداء</w:t>
            </w:r>
          </w:p>
        </w:tc>
        <w:tc>
          <w:tcPr>
            <w:tcW w:w="1367" w:type="dxa"/>
            <w:shd w:val="clear" w:color="auto" w:fill="F3F6F9"/>
            <w:tcMar>
              <w:top w:w="90" w:type="dxa"/>
              <w:left w:w="90" w:type="dxa"/>
              <w:bottom w:w="90" w:type="dxa"/>
              <w:right w:w="90" w:type="dxa"/>
            </w:tcMar>
            <w:vAlign w:val="center"/>
          </w:tcPr>
          <w:p w14:paraId="65D9F82A"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مسح ميداني</w:t>
            </w:r>
          </w:p>
        </w:tc>
        <w:tc>
          <w:tcPr>
            <w:tcW w:w="2590" w:type="dxa"/>
            <w:shd w:val="clear" w:color="auto" w:fill="F3F6F9"/>
            <w:tcMar>
              <w:top w:w="90" w:type="dxa"/>
              <w:left w:w="90" w:type="dxa"/>
              <w:bottom w:w="90" w:type="dxa"/>
              <w:right w:w="90" w:type="dxa"/>
            </w:tcMar>
            <w:vAlign w:val="center"/>
          </w:tcPr>
          <w:p w14:paraId="76124017"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دور للتكامل في رفع أداء الشركات السعودية</w:t>
            </w:r>
          </w:p>
        </w:tc>
        <w:tc>
          <w:tcPr>
            <w:tcW w:w="1424" w:type="dxa"/>
            <w:shd w:val="clear" w:color="auto" w:fill="F3F6F9"/>
            <w:tcMar>
              <w:top w:w="90" w:type="dxa"/>
              <w:left w:w="90" w:type="dxa"/>
              <w:bottom w:w="90" w:type="dxa"/>
              <w:right w:w="90" w:type="dxa"/>
            </w:tcMar>
            <w:vAlign w:val="center"/>
          </w:tcPr>
          <w:p w14:paraId="3531B495"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سعودي</w:t>
            </w:r>
          </w:p>
        </w:tc>
      </w:tr>
      <w:tr w:rsidR="00E94561" w:rsidRPr="00B56FDF" w14:paraId="643B060F" w14:textId="77777777" w:rsidTr="008F0F11">
        <w:trPr>
          <w:cantSplit/>
          <w:jc w:val="center"/>
        </w:trPr>
        <w:tc>
          <w:tcPr>
            <w:tcW w:w="1619" w:type="dxa"/>
            <w:shd w:val="clear" w:color="auto" w:fill="FFFFFF"/>
            <w:tcMar>
              <w:top w:w="90" w:type="dxa"/>
              <w:left w:w="90" w:type="dxa"/>
              <w:bottom w:w="90" w:type="dxa"/>
              <w:right w:w="90" w:type="dxa"/>
            </w:tcMar>
            <w:vAlign w:val="center"/>
          </w:tcPr>
          <w:p w14:paraId="6FD13CF0"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eastAsia="Times New Roman" w:hAnsi="Simplified Arabic" w:cs="Simplified Arabic"/>
                <w:sz w:val="23"/>
                <w:rtl/>
              </w:rPr>
              <w:t>Dwikat et al.</w:t>
            </w:r>
          </w:p>
        </w:tc>
        <w:tc>
          <w:tcPr>
            <w:tcW w:w="643" w:type="dxa"/>
            <w:shd w:val="clear" w:color="auto" w:fill="FFFFFF"/>
            <w:tcMar>
              <w:top w:w="90" w:type="dxa"/>
              <w:left w:w="90" w:type="dxa"/>
              <w:bottom w:w="90" w:type="dxa"/>
              <w:right w:w="90" w:type="dxa"/>
            </w:tcMar>
            <w:vAlign w:val="center"/>
          </w:tcPr>
          <w:p w14:paraId="491BB9A6"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eastAsia="Times New Roman" w:hAnsi="Simplified Arabic" w:cs="Simplified Arabic"/>
                <w:sz w:val="23"/>
                <w:rtl/>
              </w:rPr>
              <w:t>2022</w:t>
            </w:r>
          </w:p>
        </w:tc>
        <w:tc>
          <w:tcPr>
            <w:tcW w:w="1806" w:type="dxa"/>
            <w:shd w:val="clear" w:color="auto" w:fill="FFFFFF"/>
            <w:tcMar>
              <w:top w:w="90" w:type="dxa"/>
              <w:left w:w="90" w:type="dxa"/>
              <w:bottom w:w="90" w:type="dxa"/>
              <w:right w:w="90" w:type="dxa"/>
            </w:tcMar>
            <w:vAlign w:val="center"/>
          </w:tcPr>
          <w:p w14:paraId="47ADF5E3"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التخطيط المنهجي والأداء المستدام</w:t>
            </w:r>
          </w:p>
        </w:tc>
        <w:tc>
          <w:tcPr>
            <w:tcW w:w="1367" w:type="dxa"/>
            <w:shd w:val="clear" w:color="auto" w:fill="FFFFFF"/>
            <w:tcMar>
              <w:top w:w="90" w:type="dxa"/>
              <w:left w:w="90" w:type="dxa"/>
              <w:bottom w:w="90" w:type="dxa"/>
              <w:right w:w="90" w:type="dxa"/>
            </w:tcMar>
            <w:vAlign w:val="center"/>
          </w:tcPr>
          <w:p w14:paraId="77BEE479"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eastAsia="Times New Roman" w:hAnsi="Simplified Arabic" w:cs="Simplified Arabic"/>
                <w:sz w:val="23"/>
                <w:rtl/>
              </w:rPr>
              <w:t>PLS-SEM</w:t>
            </w:r>
          </w:p>
        </w:tc>
        <w:tc>
          <w:tcPr>
            <w:tcW w:w="2590" w:type="dxa"/>
            <w:shd w:val="clear" w:color="auto" w:fill="FFFFFF"/>
            <w:tcMar>
              <w:top w:w="90" w:type="dxa"/>
              <w:left w:w="90" w:type="dxa"/>
              <w:bottom w:w="90" w:type="dxa"/>
              <w:right w:w="90" w:type="dxa"/>
            </w:tcMar>
            <w:vAlign w:val="center"/>
          </w:tcPr>
          <w:p w14:paraId="714FDC15"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أثر إيجابي للتخطيط والابتكار</w:t>
            </w:r>
          </w:p>
        </w:tc>
        <w:tc>
          <w:tcPr>
            <w:tcW w:w="1424" w:type="dxa"/>
            <w:shd w:val="clear" w:color="auto" w:fill="FFFFFF"/>
            <w:tcMar>
              <w:top w:w="90" w:type="dxa"/>
              <w:left w:w="90" w:type="dxa"/>
              <w:bottom w:w="90" w:type="dxa"/>
              <w:right w:w="90" w:type="dxa"/>
            </w:tcMar>
            <w:vAlign w:val="center"/>
          </w:tcPr>
          <w:p w14:paraId="1FBB01A6"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تصنيع فلسطين</w:t>
            </w:r>
          </w:p>
        </w:tc>
      </w:tr>
      <w:tr w:rsidR="00E94561" w:rsidRPr="00B56FDF" w14:paraId="74777BF8" w14:textId="77777777" w:rsidTr="008F0F11">
        <w:trPr>
          <w:cantSplit/>
          <w:jc w:val="center"/>
        </w:trPr>
        <w:tc>
          <w:tcPr>
            <w:tcW w:w="1619" w:type="dxa"/>
            <w:shd w:val="clear" w:color="auto" w:fill="F3F6F9"/>
            <w:tcMar>
              <w:top w:w="90" w:type="dxa"/>
              <w:left w:w="90" w:type="dxa"/>
              <w:bottom w:w="90" w:type="dxa"/>
              <w:right w:w="90" w:type="dxa"/>
            </w:tcMar>
            <w:vAlign w:val="center"/>
          </w:tcPr>
          <w:p w14:paraId="47645599"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eastAsia="Times New Roman" w:hAnsi="Simplified Arabic" w:cs="Simplified Arabic"/>
                <w:sz w:val="23"/>
                <w:rtl/>
              </w:rPr>
              <w:t>Al Abdulkareem</w:t>
            </w:r>
          </w:p>
        </w:tc>
        <w:tc>
          <w:tcPr>
            <w:tcW w:w="643" w:type="dxa"/>
            <w:shd w:val="clear" w:color="auto" w:fill="F3F6F9"/>
            <w:tcMar>
              <w:top w:w="90" w:type="dxa"/>
              <w:left w:w="90" w:type="dxa"/>
              <w:bottom w:w="90" w:type="dxa"/>
              <w:right w:w="90" w:type="dxa"/>
            </w:tcMar>
            <w:vAlign w:val="center"/>
          </w:tcPr>
          <w:p w14:paraId="6F34BADA"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eastAsia="Times New Roman" w:hAnsi="Simplified Arabic" w:cs="Simplified Arabic"/>
                <w:sz w:val="23"/>
                <w:rtl/>
              </w:rPr>
              <w:t>2024</w:t>
            </w:r>
          </w:p>
        </w:tc>
        <w:tc>
          <w:tcPr>
            <w:tcW w:w="1806" w:type="dxa"/>
            <w:shd w:val="clear" w:color="auto" w:fill="F3F6F9"/>
            <w:tcMar>
              <w:top w:w="90" w:type="dxa"/>
              <w:left w:w="90" w:type="dxa"/>
              <w:bottom w:w="90" w:type="dxa"/>
              <w:right w:w="90" w:type="dxa"/>
            </w:tcMar>
            <w:vAlign w:val="center"/>
          </w:tcPr>
          <w:p w14:paraId="54F12917"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التخطيط والأداء</w:t>
            </w:r>
          </w:p>
        </w:tc>
        <w:tc>
          <w:tcPr>
            <w:tcW w:w="1367" w:type="dxa"/>
            <w:shd w:val="clear" w:color="auto" w:fill="F3F6F9"/>
            <w:tcMar>
              <w:top w:w="90" w:type="dxa"/>
              <w:left w:w="90" w:type="dxa"/>
              <w:bottom w:w="90" w:type="dxa"/>
              <w:right w:w="90" w:type="dxa"/>
            </w:tcMar>
            <w:vAlign w:val="center"/>
          </w:tcPr>
          <w:p w14:paraId="42C246C6"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دراسة ميدانية</w:t>
            </w:r>
          </w:p>
        </w:tc>
        <w:tc>
          <w:tcPr>
            <w:tcW w:w="2590" w:type="dxa"/>
            <w:shd w:val="clear" w:color="auto" w:fill="F3F6F9"/>
            <w:tcMar>
              <w:top w:w="90" w:type="dxa"/>
              <w:left w:w="90" w:type="dxa"/>
              <w:bottom w:w="90" w:type="dxa"/>
              <w:right w:w="90" w:type="dxa"/>
            </w:tcMar>
            <w:vAlign w:val="center"/>
          </w:tcPr>
          <w:p w14:paraId="3221F797"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أهمية التخطيط الاستراتيجي للأداء</w:t>
            </w:r>
          </w:p>
        </w:tc>
        <w:tc>
          <w:tcPr>
            <w:tcW w:w="1424" w:type="dxa"/>
            <w:shd w:val="clear" w:color="auto" w:fill="F3F6F9"/>
            <w:tcMar>
              <w:top w:w="90" w:type="dxa"/>
              <w:left w:w="90" w:type="dxa"/>
              <w:bottom w:w="90" w:type="dxa"/>
              <w:right w:w="90" w:type="dxa"/>
            </w:tcMar>
            <w:vAlign w:val="center"/>
          </w:tcPr>
          <w:p w14:paraId="5C2437A4"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سعودي</w:t>
            </w:r>
          </w:p>
        </w:tc>
      </w:tr>
      <w:tr w:rsidR="00E94561" w:rsidRPr="00B56FDF" w14:paraId="68D65304" w14:textId="77777777" w:rsidTr="008F0F11">
        <w:trPr>
          <w:cantSplit/>
          <w:jc w:val="center"/>
        </w:trPr>
        <w:tc>
          <w:tcPr>
            <w:tcW w:w="1619" w:type="dxa"/>
            <w:shd w:val="clear" w:color="auto" w:fill="FFFFFF"/>
            <w:tcMar>
              <w:top w:w="90" w:type="dxa"/>
              <w:left w:w="90" w:type="dxa"/>
              <w:bottom w:w="90" w:type="dxa"/>
              <w:right w:w="90" w:type="dxa"/>
            </w:tcMar>
            <w:vAlign w:val="center"/>
          </w:tcPr>
          <w:p w14:paraId="26DBE0CA"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eastAsia="Times New Roman" w:hAnsi="Simplified Arabic" w:cs="Simplified Arabic"/>
                <w:sz w:val="23"/>
                <w:rtl/>
              </w:rPr>
              <w:t>Mousa et al.</w:t>
            </w:r>
          </w:p>
        </w:tc>
        <w:tc>
          <w:tcPr>
            <w:tcW w:w="643" w:type="dxa"/>
            <w:shd w:val="clear" w:color="auto" w:fill="FFFFFF"/>
            <w:tcMar>
              <w:top w:w="90" w:type="dxa"/>
              <w:left w:w="90" w:type="dxa"/>
              <w:bottom w:w="90" w:type="dxa"/>
              <w:right w:w="90" w:type="dxa"/>
            </w:tcMar>
            <w:vAlign w:val="center"/>
          </w:tcPr>
          <w:p w14:paraId="5C4B7D6C"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eastAsia="Times New Roman" w:hAnsi="Simplified Arabic" w:cs="Simplified Arabic"/>
                <w:sz w:val="23"/>
                <w:rtl/>
              </w:rPr>
              <w:t>2024</w:t>
            </w:r>
          </w:p>
        </w:tc>
        <w:tc>
          <w:tcPr>
            <w:tcW w:w="1806" w:type="dxa"/>
            <w:shd w:val="clear" w:color="auto" w:fill="FFFFFF"/>
            <w:tcMar>
              <w:top w:w="90" w:type="dxa"/>
              <w:left w:w="90" w:type="dxa"/>
              <w:bottom w:w="90" w:type="dxa"/>
              <w:right w:w="90" w:type="dxa"/>
            </w:tcMar>
            <w:vAlign w:val="center"/>
          </w:tcPr>
          <w:p w14:paraId="5717827B"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التخطيط والأداء التنظيمي</w:t>
            </w:r>
          </w:p>
        </w:tc>
        <w:tc>
          <w:tcPr>
            <w:tcW w:w="1367" w:type="dxa"/>
            <w:shd w:val="clear" w:color="auto" w:fill="FFFFFF"/>
            <w:tcMar>
              <w:top w:w="90" w:type="dxa"/>
              <w:left w:w="90" w:type="dxa"/>
              <w:bottom w:w="90" w:type="dxa"/>
              <w:right w:w="90" w:type="dxa"/>
            </w:tcMar>
            <w:vAlign w:val="center"/>
          </w:tcPr>
          <w:p w14:paraId="3BF59841"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مسح وانحدار</w:t>
            </w:r>
          </w:p>
        </w:tc>
        <w:tc>
          <w:tcPr>
            <w:tcW w:w="2590" w:type="dxa"/>
            <w:shd w:val="clear" w:color="auto" w:fill="FFFFFF"/>
            <w:tcMar>
              <w:top w:w="90" w:type="dxa"/>
              <w:left w:w="90" w:type="dxa"/>
              <w:bottom w:w="90" w:type="dxa"/>
              <w:right w:w="90" w:type="dxa"/>
            </w:tcMar>
            <w:vAlign w:val="center"/>
          </w:tcPr>
          <w:p w14:paraId="57DEBAD9"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علاقات إيجابية مع الأداء المالي وغير المالي</w:t>
            </w:r>
          </w:p>
        </w:tc>
        <w:tc>
          <w:tcPr>
            <w:tcW w:w="1424" w:type="dxa"/>
            <w:shd w:val="clear" w:color="auto" w:fill="FFFFFF"/>
            <w:tcMar>
              <w:top w:w="90" w:type="dxa"/>
              <w:left w:w="90" w:type="dxa"/>
              <w:bottom w:w="90" w:type="dxa"/>
              <w:right w:w="90" w:type="dxa"/>
            </w:tcMar>
            <w:vAlign w:val="center"/>
          </w:tcPr>
          <w:p w14:paraId="16B2EA61"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تصنيع العراق</w:t>
            </w:r>
          </w:p>
        </w:tc>
      </w:tr>
      <w:tr w:rsidR="00E94561" w:rsidRPr="00B56FDF" w14:paraId="302A6915" w14:textId="77777777" w:rsidTr="008F0F11">
        <w:trPr>
          <w:cantSplit/>
          <w:jc w:val="center"/>
        </w:trPr>
        <w:tc>
          <w:tcPr>
            <w:tcW w:w="1619" w:type="dxa"/>
            <w:shd w:val="clear" w:color="auto" w:fill="F3F6F9"/>
            <w:tcMar>
              <w:top w:w="90" w:type="dxa"/>
              <w:left w:w="90" w:type="dxa"/>
              <w:bottom w:w="90" w:type="dxa"/>
              <w:right w:w="90" w:type="dxa"/>
            </w:tcMar>
            <w:vAlign w:val="center"/>
          </w:tcPr>
          <w:p w14:paraId="013BC11C"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eastAsia="Times New Roman" w:hAnsi="Simplified Arabic" w:cs="Simplified Arabic"/>
                <w:sz w:val="23"/>
                <w:rtl/>
              </w:rPr>
              <w:t>Aljahdali &amp; Ali</w:t>
            </w:r>
          </w:p>
        </w:tc>
        <w:tc>
          <w:tcPr>
            <w:tcW w:w="643" w:type="dxa"/>
            <w:shd w:val="clear" w:color="auto" w:fill="F3F6F9"/>
            <w:tcMar>
              <w:top w:w="90" w:type="dxa"/>
              <w:left w:w="90" w:type="dxa"/>
              <w:bottom w:w="90" w:type="dxa"/>
              <w:right w:w="90" w:type="dxa"/>
            </w:tcMar>
            <w:vAlign w:val="center"/>
          </w:tcPr>
          <w:p w14:paraId="6C6BFDED"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eastAsia="Times New Roman" w:hAnsi="Simplified Arabic" w:cs="Simplified Arabic"/>
                <w:sz w:val="23"/>
                <w:rtl/>
              </w:rPr>
              <w:t>2024</w:t>
            </w:r>
          </w:p>
        </w:tc>
        <w:tc>
          <w:tcPr>
            <w:tcW w:w="1806" w:type="dxa"/>
            <w:shd w:val="clear" w:color="auto" w:fill="F3F6F9"/>
            <w:tcMar>
              <w:top w:w="90" w:type="dxa"/>
              <w:left w:w="90" w:type="dxa"/>
              <w:bottom w:w="90" w:type="dxa"/>
              <w:right w:w="90" w:type="dxa"/>
            </w:tcMar>
            <w:vAlign w:val="center"/>
          </w:tcPr>
          <w:p w14:paraId="05F95421"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الإدارة الاستراتيجية والأداء التشغيلي</w:t>
            </w:r>
          </w:p>
        </w:tc>
        <w:tc>
          <w:tcPr>
            <w:tcW w:w="1367" w:type="dxa"/>
            <w:shd w:val="clear" w:color="auto" w:fill="F3F6F9"/>
            <w:tcMar>
              <w:top w:w="90" w:type="dxa"/>
              <w:left w:w="90" w:type="dxa"/>
              <w:bottom w:w="90" w:type="dxa"/>
              <w:right w:w="90" w:type="dxa"/>
            </w:tcMar>
            <w:vAlign w:val="center"/>
          </w:tcPr>
          <w:p w14:paraId="491D2BB6"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eastAsia="Times New Roman" w:hAnsi="Simplified Arabic" w:cs="Simplified Arabic"/>
                <w:sz w:val="23"/>
                <w:rtl/>
              </w:rPr>
              <w:t>PLS-SEM</w:t>
            </w:r>
          </w:p>
        </w:tc>
        <w:tc>
          <w:tcPr>
            <w:tcW w:w="2590" w:type="dxa"/>
            <w:shd w:val="clear" w:color="auto" w:fill="F3F6F9"/>
            <w:tcMar>
              <w:top w:w="90" w:type="dxa"/>
              <w:left w:w="90" w:type="dxa"/>
              <w:bottom w:w="90" w:type="dxa"/>
              <w:right w:w="90" w:type="dxa"/>
            </w:tcMar>
            <w:vAlign w:val="center"/>
          </w:tcPr>
          <w:p w14:paraId="7F22C805"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أثر إيجابي مع وساطة الثقافة التنظيمية</w:t>
            </w:r>
          </w:p>
        </w:tc>
        <w:tc>
          <w:tcPr>
            <w:tcW w:w="1424" w:type="dxa"/>
            <w:shd w:val="clear" w:color="auto" w:fill="F3F6F9"/>
            <w:tcMar>
              <w:top w:w="90" w:type="dxa"/>
              <w:left w:w="90" w:type="dxa"/>
              <w:bottom w:w="90" w:type="dxa"/>
              <w:right w:w="90" w:type="dxa"/>
            </w:tcMar>
            <w:vAlign w:val="center"/>
          </w:tcPr>
          <w:p w14:paraId="74605F06"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حديد وصلب سعودي</w:t>
            </w:r>
          </w:p>
        </w:tc>
      </w:tr>
      <w:tr w:rsidR="00E94561" w:rsidRPr="00B56FDF" w14:paraId="15C8FCC8" w14:textId="77777777" w:rsidTr="008F0F11">
        <w:trPr>
          <w:cantSplit/>
          <w:jc w:val="center"/>
        </w:trPr>
        <w:tc>
          <w:tcPr>
            <w:tcW w:w="1619" w:type="dxa"/>
            <w:shd w:val="clear" w:color="auto" w:fill="FFFFFF"/>
            <w:tcMar>
              <w:top w:w="90" w:type="dxa"/>
              <w:left w:w="90" w:type="dxa"/>
              <w:bottom w:w="90" w:type="dxa"/>
              <w:right w:w="90" w:type="dxa"/>
            </w:tcMar>
            <w:vAlign w:val="center"/>
          </w:tcPr>
          <w:p w14:paraId="660E26DD"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eastAsia="Times New Roman" w:hAnsi="Simplified Arabic" w:cs="Simplified Arabic"/>
                <w:sz w:val="23"/>
                <w:rtl/>
              </w:rPr>
              <w:t>Saudi Water Authority</w:t>
            </w:r>
          </w:p>
        </w:tc>
        <w:tc>
          <w:tcPr>
            <w:tcW w:w="643" w:type="dxa"/>
            <w:shd w:val="clear" w:color="auto" w:fill="FFFFFF"/>
            <w:tcMar>
              <w:top w:w="90" w:type="dxa"/>
              <w:left w:w="90" w:type="dxa"/>
              <w:bottom w:w="90" w:type="dxa"/>
              <w:right w:w="90" w:type="dxa"/>
            </w:tcMar>
            <w:vAlign w:val="center"/>
          </w:tcPr>
          <w:p w14:paraId="47F5DD21"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eastAsia="Times New Roman" w:hAnsi="Simplified Arabic" w:cs="Simplified Arabic"/>
                <w:sz w:val="23"/>
                <w:rtl/>
              </w:rPr>
              <w:t>2024</w:t>
            </w:r>
          </w:p>
        </w:tc>
        <w:tc>
          <w:tcPr>
            <w:tcW w:w="1806" w:type="dxa"/>
            <w:shd w:val="clear" w:color="auto" w:fill="FFFFFF"/>
            <w:tcMar>
              <w:top w:w="90" w:type="dxa"/>
              <w:left w:w="90" w:type="dxa"/>
              <w:bottom w:w="90" w:type="dxa"/>
              <w:right w:w="90" w:type="dxa"/>
            </w:tcMar>
            <w:vAlign w:val="center"/>
          </w:tcPr>
          <w:p w14:paraId="3E310398"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كفاءة الطاقة والتحلية</w:t>
            </w:r>
          </w:p>
        </w:tc>
        <w:tc>
          <w:tcPr>
            <w:tcW w:w="1367" w:type="dxa"/>
            <w:shd w:val="clear" w:color="auto" w:fill="FFFFFF"/>
            <w:tcMar>
              <w:top w:w="90" w:type="dxa"/>
              <w:left w:w="90" w:type="dxa"/>
              <w:bottom w:w="90" w:type="dxa"/>
              <w:right w:w="90" w:type="dxa"/>
            </w:tcMar>
            <w:vAlign w:val="center"/>
          </w:tcPr>
          <w:p w14:paraId="7963B86E"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تقرير قطاعي</w:t>
            </w:r>
          </w:p>
        </w:tc>
        <w:tc>
          <w:tcPr>
            <w:tcW w:w="2590" w:type="dxa"/>
            <w:shd w:val="clear" w:color="auto" w:fill="FFFFFF"/>
            <w:tcMar>
              <w:top w:w="90" w:type="dxa"/>
              <w:left w:w="90" w:type="dxa"/>
              <w:bottom w:w="90" w:type="dxa"/>
              <w:right w:w="90" w:type="dxa"/>
            </w:tcMar>
            <w:vAlign w:val="center"/>
          </w:tcPr>
          <w:p w14:paraId="01A7487B"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التحكم والصيانة وبروتوكولات الطاقة عناصر تحسين</w:t>
            </w:r>
          </w:p>
        </w:tc>
        <w:tc>
          <w:tcPr>
            <w:tcW w:w="1424" w:type="dxa"/>
            <w:shd w:val="clear" w:color="auto" w:fill="FFFFFF"/>
            <w:tcMar>
              <w:top w:w="90" w:type="dxa"/>
              <w:left w:w="90" w:type="dxa"/>
              <w:bottom w:w="90" w:type="dxa"/>
              <w:right w:w="90" w:type="dxa"/>
            </w:tcMar>
            <w:vAlign w:val="center"/>
          </w:tcPr>
          <w:p w14:paraId="0994352F" w14:textId="77777777" w:rsidR="00E94561" w:rsidRPr="00B56FDF" w:rsidRDefault="00000000" w:rsidP="008F0F11">
            <w:pPr>
              <w:bidi/>
              <w:spacing w:after="0" w:line="252" w:lineRule="auto"/>
              <w:ind w:firstLine="0"/>
              <w:jc w:val="left"/>
              <w:rPr>
                <w:rFonts w:ascii="Simplified Arabic" w:hAnsi="Simplified Arabic" w:cs="Simplified Arabic"/>
              </w:rPr>
            </w:pPr>
            <w:r w:rsidRPr="00B56FDF">
              <w:rPr>
                <w:rFonts w:ascii="Simplified Arabic" w:hAnsi="Simplified Arabic" w:cs="Simplified Arabic"/>
                <w:sz w:val="23"/>
                <w:rtl/>
              </w:rPr>
              <w:t>قطاع سعودي</w:t>
            </w:r>
          </w:p>
        </w:tc>
      </w:tr>
    </w:tbl>
    <w:p w14:paraId="5A96462E" w14:textId="77777777" w:rsidR="00E94561" w:rsidRPr="00B56FDF" w:rsidRDefault="00E94561" w:rsidP="008F0F11">
      <w:pPr>
        <w:bidi/>
        <w:spacing w:after="60"/>
        <w:jc w:val="left"/>
        <w:rPr>
          <w:rFonts w:ascii="Simplified Arabic" w:hAnsi="Simplified Arabic" w:cs="Simplified Arabic"/>
        </w:rPr>
      </w:pPr>
    </w:p>
    <w:p w14:paraId="520F39C6" w14:textId="77777777" w:rsidR="00E94561" w:rsidRPr="008F0F11" w:rsidRDefault="00000000" w:rsidP="008F0F11">
      <w:pPr>
        <w:pStyle w:val="Heading2"/>
        <w:bidi/>
        <w:jc w:val="left"/>
        <w:rPr>
          <w:rFonts w:ascii="Simplified Arabic" w:hAnsi="Simplified Arabic" w:cs="Simplified Arabic"/>
          <w:sz w:val="40"/>
          <w:szCs w:val="28"/>
        </w:rPr>
      </w:pPr>
      <w:r w:rsidRPr="008F0F11">
        <w:rPr>
          <w:rFonts w:ascii="Simplified Arabic" w:eastAsia="Amiri" w:hAnsi="Simplified Arabic" w:cs="Simplified Arabic"/>
          <w:color w:val="0F4069"/>
          <w:sz w:val="40"/>
          <w:szCs w:val="28"/>
          <w:rtl/>
        </w:rPr>
        <w:lastRenderedPageBreak/>
        <w:t>2.12 تحليل الدراسات والفجوة البحثية</w:t>
      </w:r>
    </w:p>
    <w:p w14:paraId="2D284808"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تتفق الدراسات الإدارية على أن التخطيط والممارسات الاستراتيجية يرتبطان بالأداء، لكنها تختلف في تعريف الأداء وفي القطاعات والعينات. وتُظهر الدراسات السعودية المتاحة اهتماماً بأداء الشركات الصناعية أو بالخدمات، إلا أنها لا تقدم - في حدود مراجعة الباحث - اختباراً مباشراً للأثر المتزامن لصياغة الاستراتيجية وتنفيذها وتقييمها على كفاءة تشغيل محطات تحلية مياه البحر في مدينة الجبيل الصناعية.</w:t>
      </w:r>
    </w:p>
    <w:p w14:paraId="7D603258"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كما أن الدراسات الفنية في التحلية تشرح مصادر استهلاك الطاقة ومحددات الاعتمادية والتقنيات، لكنها لا تعالج عادةً كيف تترجم الإدارة الاستراتيجية إلى قرارات تشغيلية وصيانة ومتابعة وتعلم. لذلك تقع الدراسة عند تقاطع مسارين: مسار الإدارة الاستراتيجية، ومسار كفاءة تشغيل التحلية. ويُتوقع أن يوفر هذا التقاطع قيمة تفسيرية وعملية أكبر من تناول أي مسار منفرداً.</w:t>
      </w:r>
    </w:p>
    <w:p w14:paraId="6E785932"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وتتمثل الفجوة البحثية تحديداً في غياب نموذج تطبيقي داخل حالة سعودية صناعية يختبر أثر الأبعاد الثلاثة للإدارة الاستراتيجية في كفاءة التشغيل المدركة بمحطات التحلية، مع استخدام عينة طبقية تضم الأدوار الفنية والإشرافية والإدارية.</w:t>
      </w:r>
    </w:p>
    <w:p w14:paraId="1A02BD7D" w14:textId="77777777" w:rsidR="00E302CD" w:rsidRPr="008F0F11" w:rsidRDefault="00000000" w:rsidP="008F0F11">
      <w:pPr>
        <w:keepNext/>
        <w:bidi/>
        <w:spacing w:before="160" w:after="80"/>
        <w:ind w:firstLine="0"/>
        <w:jc w:val="left"/>
        <w:rPr>
          <w:rFonts w:ascii="Simplified Arabic" w:hAnsi="Simplified Arabic" w:cs="Simplified Arabic"/>
          <w:sz w:val="32"/>
          <w:szCs w:val="24"/>
        </w:rPr>
      </w:pPr>
      <w:r w:rsidRPr="008F0F11">
        <w:rPr>
          <w:rFonts w:ascii="Simplified Arabic" w:hAnsi="Simplified Arabic" w:cs="Simplified Arabic"/>
          <w:b/>
          <w:color w:val="17365D"/>
          <w:sz w:val="32"/>
          <w:szCs w:val="24"/>
          <w:rtl/>
        </w:rPr>
        <w:t>التركيب المقارن للأدبيات:</w:t>
      </w:r>
    </w:p>
    <w:p w14:paraId="762C34A8" w14:textId="77777777" w:rsidR="00E302CD" w:rsidRPr="008F0F11" w:rsidRDefault="00000000" w:rsidP="008F0F11">
      <w:pPr>
        <w:bidi/>
        <w:spacing w:line="276" w:lineRule="auto"/>
        <w:jc w:val="left"/>
        <w:rPr>
          <w:rFonts w:ascii="Simplified Arabic" w:hAnsi="Simplified Arabic" w:cs="Simplified Arabic"/>
          <w:sz w:val="32"/>
          <w:szCs w:val="24"/>
        </w:rPr>
      </w:pPr>
      <w:r w:rsidRPr="008F0F11">
        <w:rPr>
          <w:rFonts w:ascii="Simplified Arabic" w:hAnsi="Simplified Arabic" w:cs="Simplified Arabic"/>
          <w:sz w:val="32"/>
          <w:szCs w:val="24"/>
          <w:rtl/>
        </w:rPr>
        <w:t>يبين الجدول المقارن أن الأدبيات تتوزع بين دراسات تدعم العلاقة العامة بين الإدارة الاستراتيجية والأداء، ودراسات تشرح محددات الكفاءة الفنية للتحلية. ويظهر النقص في الدراسات التي تجمع المجموعتين داخل نموذج واحد وفي حالة سعودية محددة. كما يكشف الجدول تنوع المناهج، وهو ما يدعم اختيار تصميم كمي يسمح باختبار الأبعاد بصورة مستقلة.</w:t>
      </w:r>
    </w:p>
    <w:p w14:paraId="18ECFF7A" w14:textId="77777777" w:rsidR="00E302CD" w:rsidRPr="008F0F11" w:rsidRDefault="00000000" w:rsidP="008F0F11">
      <w:pPr>
        <w:bidi/>
        <w:spacing w:line="276" w:lineRule="auto"/>
        <w:jc w:val="left"/>
        <w:rPr>
          <w:rFonts w:ascii="Simplified Arabic" w:hAnsi="Simplified Arabic" w:cs="Simplified Arabic"/>
          <w:sz w:val="32"/>
          <w:szCs w:val="24"/>
        </w:rPr>
      </w:pPr>
      <w:r w:rsidRPr="008F0F11">
        <w:rPr>
          <w:rFonts w:ascii="Simplified Arabic" w:hAnsi="Simplified Arabic" w:cs="Simplified Arabic"/>
          <w:sz w:val="32"/>
          <w:szCs w:val="24"/>
          <w:rtl/>
        </w:rPr>
        <w:t>وتتمثل مساهمة الدراسة في ثلاثة جوانب: تحديد قطاع وموقع تطبيقي واضح، وفصل الإدارة الاستراتيجية إلى ثلاثة أبعاد، وقياس كفاءة التشغيل في أربعة مجالات مرتبطة بطبيعة المحطات. ويمنح هذا البناء القدرة على تحديد البعد الأكثر إسهاماً بدلاً من الاكتفاء بإثبات علاقة كلية.</w:t>
      </w:r>
    </w:p>
    <w:p w14:paraId="5711BB45" w14:textId="77777777" w:rsidR="00E302CD" w:rsidRPr="008F0F11" w:rsidRDefault="00000000" w:rsidP="008F0F11">
      <w:pPr>
        <w:bidi/>
        <w:spacing w:line="276" w:lineRule="auto"/>
        <w:jc w:val="left"/>
        <w:rPr>
          <w:rFonts w:ascii="Simplified Arabic" w:hAnsi="Simplified Arabic" w:cs="Simplified Arabic"/>
          <w:sz w:val="32"/>
          <w:szCs w:val="24"/>
        </w:rPr>
      </w:pPr>
      <w:r w:rsidRPr="008F0F11">
        <w:rPr>
          <w:rFonts w:ascii="Simplified Arabic" w:hAnsi="Simplified Arabic" w:cs="Simplified Arabic"/>
          <w:sz w:val="32"/>
          <w:szCs w:val="24"/>
          <w:rtl/>
        </w:rPr>
        <w:t>كما تضيف الدراسة تحليلاً للفروق وفق سنوات الخبرة وطبيعة الارتباط بالعمل. وهذا التحليل لا يغير النموذج السببي الرئيس، لكنه يوضح ما إذا كانت الخبرة أو موقع الفرد في العملية التشغيلية يرتبطان بطريقة إدراك الممارسات والنتائج.</w:t>
      </w:r>
    </w:p>
    <w:p w14:paraId="5E4A18A3" w14:textId="77777777" w:rsidR="00E94561" w:rsidRPr="00B56FDF" w:rsidRDefault="00000000" w:rsidP="008F0F11">
      <w:pPr>
        <w:pStyle w:val="Heading2"/>
        <w:bidi/>
        <w:jc w:val="left"/>
        <w:rPr>
          <w:rFonts w:ascii="Simplified Arabic" w:hAnsi="Simplified Arabic" w:cs="Simplified Arabic"/>
        </w:rPr>
      </w:pPr>
      <w:r w:rsidRPr="00B56FDF">
        <w:rPr>
          <w:rFonts w:ascii="Simplified Arabic" w:eastAsia="Amiri" w:hAnsi="Simplified Arabic" w:cs="Simplified Arabic"/>
          <w:color w:val="0F4069"/>
          <w:rtl/>
        </w:rPr>
        <w:t>2.13 النموذج المفاهيمي للدراسة</w:t>
      </w:r>
    </w:p>
    <w:p w14:paraId="5BA0057F"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 xml:space="preserve">يقوم النموذج على متغير مستقل هو الإدارة الاستراتيجية بثلاثة أبعاد: صياغة الاستراتيجية، وتنفيذ الاستراتيجية، وتقييم الاستراتيجية ومتابعتها. ويقاس المتغير التابع، كفاءة التشغيل، عبر أربعة مجالات: الإنتاجية والجودة، والاعتمادية </w:t>
      </w:r>
      <w:r w:rsidRPr="008F0F11">
        <w:rPr>
          <w:rFonts w:ascii="Simplified Arabic" w:hAnsi="Simplified Arabic" w:cs="Simplified Arabic"/>
          <w:sz w:val="32"/>
          <w:szCs w:val="24"/>
          <w:rtl/>
        </w:rPr>
        <w:lastRenderedPageBreak/>
        <w:t>والصيانة، وكفاءة الطاقة والموارد، واستمرارية التشغيل. وتدخل المتغيرات الوظيفية والديموغرافية - المسمى الوظيفي وسنوات الخبرة والمستوى الإداري - بوصفها متغيرات وصفية لاختبار الفروق في الاستجابات.</w:t>
      </w:r>
    </w:p>
    <w:p w14:paraId="24FFC2A3"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لا يفترض النموذج أن أثر الإدارة الاستراتيجية آلي أو منفصل عن التقنية؛ بل يفترض أن الإدارة الاستراتيجية تخلق ظروفاً تنظيمية أفضل لاستثمار التقنية والموارد. ومن ثمّ، تظل النتائج التفسيرية مقيدة بحدود التصميم المقطعي وبطبيعة القياس الإدراكي.</w:t>
      </w:r>
    </w:p>
    <w:p w14:paraId="02DAB778" w14:textId="77777777" w:rsidR="00E302CD" w:rsidRPr="00B56FDF" w:rsidRDefault="00E302CD" w:rsidP="008F0F11">
      <w:pPr>
        <w:bidi/>
        <w:jc w:val="left"/>
        <w:rPr>
          <w:rFonts w:ascii="Simplified Arabic" w:hAnsi="Simplified Arabic" w:cs="Simplified Arabic"/>
        </w:rPr>
      </w:pPr>
    </w:p>
    <w:p w14:paraId="1BBD1850" w14:textId="77777777" w:rsidR="00E302CD" w:rsidRPr="00B56FDF" w:rsidRDefault="00000000">
      <w:pPr>
        <w:spacing w:before="160" w:after="80"/>
        <w:ind w:firstLine="0"/>
        <w:jc w:val="center"/>
        <w:rPr>
          <w:rFonts w:ascii="Simplified Arabic" w:hAnsi="Simplified Arabic" w:cs="Simplified Arabic"/>
        </w:rPr>
      </w:pPr>
      <w:r w:rsidRPr="00B56FDF">
        <w:rPr>
          <w:rFonts w:ascii="Simplified Arabic" w:eastAsia="Times New Roman" w:hAnsi="Simplified Arabic" w:cs="Simplified Arabic"/>
          <w:noProof/>
        </w:rPr>
        <w:drawing>
          <wp:inline distT="0" distB="0" distL="0" distR="0" wp14:anchorId="00C6AFE4" wp14:editId="61567439">
            <wp:extent cx="5544000" cy="32463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conceptual_model.png"/>
                    <pic:cNvPicPr/>
                  </pic:nvPicPr>
                  <pic:blipFill>
                    <a:blip r:embed="rId13"/>
                    <a:stretch>
                      <a:fillRect/>
                    </a:stretch>
                  </pic:blipFill>
                  <pic:spPr>
                    <a:xfrm>
                      <a:off x="0" y="0"/>
                      <a:ext cx="5544000" cy="3246320"/>
                    </a:xfrm>
                    <a:prstGeom prst="rect">
                      <a:avLst/>
                    </a:prstGeom>
                  </pic:spPr>
                </pic:pic>
              </a:graphicData>
            </a:graphic>
          </wp:inline>
        </w:drawing>
      </w:r>
    </w:p>
    <w:p w14:paraId="6BA7EDEC" w14:textId="2F75A93C" w:rsidR="00E302CD" w:rsidRPr="00A27841" w:rsidRDefault="00000000" w:rsidP="00A27841">
      <w:pPr>
        <w:pStyle w:val="Caption"/>
        <w:bidi/>
        <w:spacing w:before="60" w:after="160"/>
        <w:ind w:firstLine="0"/>
        <w:jc w:val="center"/>
        <w:rPr>
          <w:rFonts w:ascii="Simplified Arabic" w:hAnsi="Simplified Arabic" w:cs="Simplified Arabic"/>
          <w:sz w:val="28"/>
          <w:szCs w:val="20"/>
        </w:rPr>
      </w:pPr>
      <w:r w:rsidRPr="00A27841">
        <w:rPr>
          <w:rFonts w:ascii="Simplified Arabic" w:hAnsi="Simplified Arabic" w:cs="Simplified Arabic"/>
          <w:sz w:val="28"/>
          <w:szCs w:val="20"/>
          <w:rtl/>
        </w:rPr>
        <w:t>شكل (2-1): النموذج المفاهيمي للدراسة</w:t>
      </w:r>
    </w:p>
    <w:p w14:paraId="245F5632" w14:textId="77777777" w:rsidR="00E302CD" w:rsidRPr="008F0F11" w:rsidRDefault="00000000" w:rsidP="008F0F11">
      <w:pPr>
        <w:keepNext/>
        <w:bidi/>
        <w:spacing w:before="160" w:after="80"/>
        <w:ind w:firstLine="0"/>
        <w:jc w:val="left"/>
        <w:rPr>
          <w:rFonts w:ascii="Simplified Arabic" w:hAnsi="Simplified Arabic" w:cs="Simplified Arabic"/>
          <w:sz w:val="32"/>
          <w:szCs w:val="24"/>
        </w:rPr>
      </w:pPr>
      <w:r w:rsidRPr="008F0F11">
        <w:rPr>
          <w:rFonts w:ascii="Simplified Arabic" w:hAnsi="Simplified Arabic" w:cs="Simplified Arabic"/>
          <w:b/>
          <w:color w:val="17365D"/>
          <w:sz w:val="32"/>
          <w:szCs w:val="24"/>
          <w:rtl/>
        </w:rPr>
        <w:t>منطق العلاقات في النموذج:</w:t>
      </w:r>
    </w:p>
    <w:p w14:paraId="787A7F85" w14:textId="77777777" w:rsidR="00E302CD" w:rsidRPr="008F0F11" w:rsidRDefault="00000000" w:rsidP="008F0F11">
      <w:pPr>
        <w:bidi/>
        <w:spacing w:line="276" w:lineRule="auto"/>
        <w:jc w:val="left"/>
        <w:rPr>
          <w:rFonts w:ascii="Simplified Arabic" w:hAnsi="Simplified Arabic" w:cs="Simplified Arabic"/>
          <w:sz w:val="32"/>
          <w:szCs w:val="24"/>
        </w:rPr>
      </w:pPr>
      <w:r w:rsidRPr="008F0F11">
        <w:rPr>
          <w:rFonts w:ascii="Simplified Arabic" w:hAnsi="Simplified Arabic" w:cs="Simplified Arabic"/>
          <w:sz w:val="32"/>
          <w:szCs w:val="24"/>
          <w:rtl/>
        </w:rPr>
        <w:t>يفترض النموذج أن وضوح الصياغة يرفع جودة تخصيص الموارد ويقلل تشتت المبادرات، وأن التنفيذ يترجم الأهداف إلى إجراءات وتنسيق، وأن التقييم والمتابعة يحولان البيانات إلى تعلم وإجراءات تصحيحية. وينعكس ذلك على مجالات كفاءة التشغيل من خلال تقليل الانحرافات، ورفع الجاهزية، وتحسين استخدام الموارد، ودعم الاستمرارية.</w:t>
      </w:r>
    </w:p>
    <w:p w14:paraId="0E7B1CD6" w14:textId="77777777" w:rsidR="00E302CD" w:rsidRPr="008F0F11" w:rsidRDefault="00000000" w:rsidP="008F0F11">
      <w:pPr>
        <w:bidi/>
        <w:spacing w:line="276" w:lineRule="auto"/>
        <w:jc w:val="left"/>
        <w:rPr>
          <w:rFonts w:ascii="Simplified Arabic" w:hAnsi="Simplified Arabic" w:cs="Simplified Arabic"/>
          <w:sz w:val="32"/>
          <w:szCs w:val="24"/>
        </w:rPr>
      </w:pPr>
      <w:r w:rsidRPr="008F0F11">
        <w:rPr>
          <w:rFonts w:ascii="Simplified Arabic" w:hAnsi="Simplified Arabic" w:cs="Simplified Arabic"/>
          <w:sz w:val="32"/>
          <w:szCs w:val="24"/>
          <w:rtl/>
        </w:rPr>
        <w:t>ولا يعني النموذج أن التقنية أو الظروف الخارجية غير مؤثرة؛ بل يعامل الإدارة الاستراتيجية بوصفها قدرة تنظيمية تساعد المنشأة على استخدام التقنية والموارد المتاحة بكفاءة أعلى. كما أن طبيعة التصميم المقطعي تعني أن النتائج تفسر الارتباط والأثر الإحصائي ضمن حدود العينة ولا تثبت علاقة سببية مطلقة.</w:t>
      </w:r>
    </w:p>
    <w:p w14:paraId="240DF99D" w14:textId="77777777" w:rsidR="00E302CD" w:rsidRPr="008F0F11" w:rsidRDefault="00000000" w:rsidP="008F0F11">
      <w:pPr>
        <w:bidi/>
        <w:spacing w:line="276" w:lineRule="auto"/>
        <w:jc w:val="left"/>
        <w:rPr>
          <w:rFonts w:ascii="Simplified Arabic" w:hAnsi="Simplified Arabic" w:cs="Simplified Arabic"/>
          <w:sz w:val="32"/>
          <w:szCs w:val="24"/>
        </w:rPr>
      </w:pPr>
      <w:r w:rsidRPr="008F0F11">
        <w:rPr>
          <w:rFonts w:ascii="Simplified Arabic" w:hAnsi="Simplified Arabic" w:cs="Simplified Arabic"/>
          <w:sz w:val="32"/>
          <w:szCs w:val="24"/>
          <w:rtl/>
        </w:rPr>
        <w:lastRenderedPageBreak/>
        <w:t>ويُظهر الشكل المفاهيمي العلاقة الأساسية بصورة مبسطة، بينما توضح المناقشة النظرية أن المسارات الواقعية قد تتضمن وساطة التنسيق والثقافة والبيانات والتعلم. وقد أوصت الدراسة المستقبلية باختبار هذه المسارات في تصميمات أكثر تعقيداً.</w:t>
      </w:r>
    </w:p>
    <w:p w14:paraId="472DB488" w14:textId="77777777" w:rsidR="00E94561" w:rsidRPr="008F0F11" w:rsidRDefault="00000000" w:rsidP="008F0F11">
      <w:pPr>
        <w:pStyle w:val="Heading2"/>
        <w:bidi/>
        <w:jc w:val="left"/>
        <w:rPr>
          <w:rFonts w:ascii="Simplified Arabic" w:hAnsi="Simplified Arabic" w:cs="Simplified Arabic"/>
          <w:sz w:val="40"/>
          <w:szCs w:val="28"/>
        </w:rPr>
      </w:pPr>
      <w:r w:rsidRPr="008F0F11">
        <w:rPr>
          <w:rFonts w:ascii="Simplified Arabic" w:eastAsia="Amiri" w:hAnsi="Simplified Arabic" w:cs="Simplified Arabic"/>
          <w:color w:val="0F4069"/>
          <w:sz w:val="40"/>
          <w:szCs w:val="28"/>
          <w:rtl/>
        </w:rPr>
        <w:t>2.14 فروض الدراسة</w:t>
      </w:r>
    </w:p>
    <w:p w14:paraId="3F739D99"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الفرض الرئيس: يوجد أثر إيجابي ذو دلالة إحصائية لتطبيق الإدارة الاستراتيجية بأبعادها مجتمعة في كفاءة التشغيل بمحطات تحلية مياه البحر التابعة لشركة مرافق في الجبيل الصناعية.</w:t>
      </w:r>
    </w:p>
    <w:p w14:paraId="5171C867" w14:textId="77777777" w:rsidR="00E94561" w:rsidRPr="008F0F11" w:rsidRDefault="00000000" w:rsidP="008F0F11">
      <w:pPr>
        <w:bidi/>
        <w:jc w:val="left"/>
        <w:rPr>
          <w:rFonts w:ascii="Simplified Arabic" w:hAnsi="Simplified Arabic" w:cs="Simplified Arabic"/>
          <w:sz w:val="32"/>
          <w:szCs w:val="24"/>
        </w:rPr>
      </w:pPr>
      <w:r w:rsidRPr="008F0F11">
        <w:rPr>
          <w:rFonts w:ascii="Simplified Arabic" w:hAnsi="Simplified Arabic" w:cs="Simplified Arabic"/>
          <w:sz w:val="32"/>
          <w:szCs w:val="24"/>
          <w:rtl/>
        </w:rPr>
        <w:t>الفرض الفرعي الأول: يوجد أثر إيجابي ذو دلالة إحصائية لصياغة الاستراتيجية في كفاءة التشغيل. الفرض الفرعي الثاني: يوجد أثر إيجابي ذو دلالة إحصائية لتنفيذ الاستراتيجية في كفاءة التشغيل. الفرض الفرعي الثالث: يوجد أثر إيجابي ذو دلالة إحصائية لتقييم الاستراتيجية ومتابعتها في كفاءة التشغيل. الفرض الفرعي الرابع: توجد فروق ذات دلالة إحصائية في استجابات أفراد العينة حول متغيرات الدراسة تعزى للمسمى الوظيفي وسنوات الخبرة والمستوى الإداري.</w:t>
      </w:r>
    </w:p>
    <w:p w14:paraId="1521FEBF" w14:textId="77777777" w:rsidR="00E94561" w:rsidRPr="00E24002" w:rsidRDefault="00000000" w:rsidP="008F0F11">
      <w:pPr>
        <w:pStyle w:val="Heading2"/>
        <w:bidi/>
        <w:jc w:val="left"/>
        <w:rPr>
          <w:rFonts w:ascii="Simplified Arabic" w:hAnsi="Simplified Arabic" w:cs="Simplified Arabic"/>
          <w:sz w:val="40"/>
          <w:szCs w:val="28"/>
        </w:rPr>
      </w:pPr>
      <w:r w:rsidRPr="00E24002">
        <w:rPr>
          <w:rFonts w:ascii="Simplified Arabic" w:eastAsia="Amiri" w:hAnsi="Simplified Arabic" w:cs="Simplified Arabic"/>
          <w:color w:val="0F4069"/>
          <w:sz w:val="40"/>
          <w:szCs w:val="28"/>
          <w:rtl/>
        </w:rPr>
        <w:t>2.15 خلاصة الفصل</w:t>
      </w:r>
    </w:p>
    <w:p w14:paraId="50592803" w14:textId="1A620C11" w:rsidR="00E94561" w:rsidRPr="00E24002" w:rsidRDefault="00000000" w:rsidP="008F0F11">
      <w:pPr>
        <w:bidi/>
        <w:jc w:val="left"/>
        <w:rPr>
          <w:rFonts w:ascii="Simplified Arabic" w:hAnsi="Simplified Arabic" w:cs="Simplified Arabic"/>
          <w:sz w:val="24"/>
          <w:szCs w:val="24"/>
        </w:rPr>
      </w:pPr>
      <w:r w:rsidRPr="00E24002">
        <w:rPr>
          <w:rFonts w:ascii="Simplified Arabic" w:hAnsi="Simplified Arabic" w:cs="Simplified Arabic"/>
          <w:sz w:val="24"/>
          <w:szCs w:val="24"/>
          <w:rtl/>
        </w:rPr>
        <w:t>عرض الفصل مفهوم الإدارة الاستراتيجية وأبعادها، ومفهوم كفاءة التشغيل ومؤشراتها في محطات التحلية، وبيّن آليات الارتباط بينهما. كما وسّع مراجعة الدراسات السابقة ورتبها زمنياً داخل كل محور، وانتهى إلى نموذج مفاهيمي وفروض قابلة للاختبار. وينتقل الفصل التالي إلى منهجية الدراسة التي ستترجم هذه المفاهيم إلى أداة قياس وخطة تحليل قابلة للتنفيذ.</w:t>
      </w:r>
    </w:p>
    <w:p w14:paraId="0760E664" w14:textId="77777777" w:rsidR="00E302CD" w:rsidRPr="00E24002" w:rsidRDefault="00000000" w:rsidP="008F0F11">
      <w:pPr>
        <w:bidi/>
        <w:spacing w:line="276" w:lineRule="auto"/>
        <w:jc w:val="left"/>
        <w:rPr>
          <w:rFonts w:ascii="Simplified Arabic" w:hAnsi="Simplified Arabic" w:cs="Simplified Arabic"/>
          <w:sz w:val="24"/>
          <w:szCs w:val="24"/>
        </w:rPr>
      </w:pPr>
      <w:r w:rsidRPr="00E24002">
        <w:rPr>
          <w:rFonts w:ascii="Simplified Arabic" w:hAnsi="Simplified Arabic" w:cs="Simplified Arabic"/>
          <w:sz w:val="24"/>
          <w:szCs w:val="24"/>
        </w:rPr>
        <w:t xml:space="preserve">يكشف العرض النظري أن العلاقة بين الإدارة الاستراتيجية وكفاءة التشغيل لا يمكن تفسيرها من </w:t>
      </w:r>
      <w:proofErr w:type="spellStart"/>
      <w:r w:rsidRPr="00E24002">
        <w:rPr>
          <w:rFonts w:ascii="Simplified Arabic" w:hAnsi="Simplified Arabic" w:cs="Simplified Arabic"/>
          <w:sz w:val="24"/>
          <w:szCs w:val="24"/>
        </w:rPr>
        <w:t>خلال</w:t>
      </w:r>
      <w:proofErr w:type="spellEnd"/>
      <w:r w:rsidRPr="00E24002">
        <w:rPr>
          <w:rFonts w:ascii="Simplified Arabic" w:hAnsi="Simplified Arabic" w:cs="Simplified Arabic"/>
          <w:sz w:val="24"/>
          <w:szCs w:val="24"/>
        </w:rPr>
        <w:t xml:space="preserve"> </w:t>
      </w:r>
      <w:proofErr w:type="spellStart"/>
      <w:r w:rsidRPr="00E24002">
        <w:rPr>
          <w:rFonts w:ascii="Simplified Arabic" w:hAnsi="Simplified Arabic" w:cs="Simplified Arabic"/>
          <w:sz w:val="24"/>
          <w:szCs w:val="24"/>
        </w:rPr>
        <w:t>وجود</w:t>
      </w:r>
      <w:proofErr w:type="spellEnd"/>
      <w:r w:rsidRPr="00E24002">
        <w:rPr>
          <w:rFonts w:ascii="Simplified Arabic" w:hAnsi="Simplified Arabic" w:cs="Simplified Arabic"/>
          <w:sz w:val="24"/>
          <w:szCs w:val="24"/>
        </w:rPr>
        <w:t xml:space="preserve"> </w:t>
      </w:r>
      <w:proofErr w:type="spellStart"/>
      <w:r w:rsidRPr="00E24002">
        <w:rPr>
          <w:rFonts w:ascii="Simplified Arabic" w:hAnsi="Simplified Arabic" w:cs="Simplified Arabic"/>
          <w:sz w:val="24"/>
          <w:szCs w:val="24"/>
        </w:rPr>
        <w:t>الخطة</w:t>
      </w:r>
      <w:proofErr w:type="spellEnd"/>
      <w:r w:rsidRPr="00E24002">
        <w:rPr>
          <w:rFonts w:ascii="Simplified Arabic" w:hAnsi="Simplified Arabic" w:cs="Simplified Arabic"/>
          <w:sz w:val="24"/>
          <w:szCs w:val="24"/>
        </w:rPr>
        <w:t xml:space="preserve"> </w:t>
      </w:r>
      <w:proofErr w:type="spellStart"/>
      <w:r w:rsidRPr="00E24002">
        <w:rPr>
          <w:rFonts w:ascii="Simplified Arabic" w:hAnsi="Simplified Arabic" w:cs="Simplified Arabic"/>
          <w:sz w:val="24"/>
          <w:szCs w:val="24"/>
        </w:rPr>
        <w:t>وحدها</w:t>
      </w:r>
      <w:proofErr w:type="spellEnd"/>
      <w:r w:rsidRPr="00E24002">
        <w:rPr>
          <w:rFonts w:ascii="Simplified Arabic" w:hAnsi="Simplified Arabic" w:cs="Simplified Arabic"/>
          <w:sz w:val="24"/>
          <w:szCs w:val="24"/>
        </w:rPr>
        <w:t xml:space="preserve">، </w:t>
      </w:r>
      <w:proofErr w:type="spellStart"/>
      <w:r w:rsidRPr="00E24002">
        <w:rPr>
          <w:rFonts w:ascii="Simplified Arabic" w:hAnsi="Simplified Arabic" w:cs="Simplified Arabic"/>
          <w:sz w:val="24"/>
          <w:szCs w:val="24"/>
        </w:rPr>
        <w:t>بل</w:t>
      </w:r>
      <w:proofErr w:type="spellEnd"/>
      <w:r w:rsidRPr="00E24002">
        <w:rPr>
          <w:rFonts w:ascii="Simplified Arabic" w:hAnsi="Simplified Arabic" w:cs="Simplified Arabic"/>
          <w:sz w:val="24"/>
          <w:szCs w:val="24"/>
        </w:rPr>
        <w:t xml:space="preserve"> من </w:t>
      </w:r>
      <w:proofErr w:type="spellStart"/>
      <w:r w:rsidRPr="00E24002">
        <w:rPr>
          <w:rFonts w:ascii="Simplified Arabic" w:hAnsi="Simplified Arabic" w:cs="Simplified Arabic"/>
          <w:sz w:val="24"/>
          <w:szCs w:val="24"/>
        </w:rPr>
        <w:t>خلال</w:t>
      </w:r>
      <w:proofErr w:type="spellEnd"/>
      <w:r w:rsidRPr="00E24002">
        <w:rPr>
          <w:rFonts w:ascii="Simplified Arabic" w:hAnsi="Simplified Arabic" w:cs="Simplified Arabic"/>
          <w:sz w:val="24"/>
          <w:szCs w:val="24"/>
        </w:rPr>
        <w:t xml:space="preserve"> اكتمال دورة الإدارة من الصياغة إلى التنفيذ ثم القياس والتعلم. كما أن خصوصية التحلية تجعل الاعتمادية والطاقة والاستمرارية مؤشرات مرتبطة بقرارات الموارد والصيانة والمخاطر، وليست نتائج فنية منفصلة عن الإدارة.</w:t>
      </w:r>
    </w:p>
    <w:p w14:paraId="2B734200" w14:textId="77777777" w:rsidR="00E302CD" w:rsidRPr="00E24002" w:rsidRDefault="00000000" w:rsidP="008F0F11">
      <w:pPr>
        <w:bidi/>
        <w:spacing w:line="276" w:lineRule="auto"/>
        <w:jc w:val="left"/>
        <w:rPr>
          <w:rFonts w:ascii="Simplified Arabic" w:hAnsi="Simplified Arabic" w:cs="Simplified Arabic"/>
          <w:sz w:val="24"/>
          <w:szCs w:val="24"/>
        </w:rPr>
      </w:pPr>
      <w:r w:rsidRPr="00E24002">
        <w:rPr>
          <w:rFonts w:ascii="Simplified Arabic" w:hAnsi="Simplified Arabic" w:cs="Simplified Arabic"/>
          <w:sz w:val="24"/>
          <w:szCs w:val="24"/>
        </w:rPr>
        <w:t>وقد أسهمت مراجعة الدراسات في تحديد موضع الدراسة الحالية عند تقاطع الأدبيات الإدارية والفنية. فالدراسات الإدارية تدعم العلاقة العامة مع الأداء، والدراسات الفنية تشرح محددات التشغيل، بينما تختبر هذه الرسالة الأبعاد الإدارية داخل سياق تحلية سعودي وبمؤشرات أقرب إلى طبيعة المحطات.</w:t>
      </w:r>
    </w:p>
    <w:p w14:paraId="7FB7D243" w14:textId="77777777" w:rsidR="00E302CD" w:rsidRPr="00E24002" w:rsidRDefault="00000000" w:rsidP="008F0F11">
      <w:pPr>
        <w:bidi/>
        <w:spacing w:line="276" w:lineRule="auto"/>
        <w:jc w:val="left"/>
        <w:rPr>
          <w:rFonts w:ascii="Simplified Arabic" w:hAnsi="Simplified Arabic" w:cs="Simplified Arabic"/>
          <w:sz w:val="24"/>
          <w:szCs w:val="24"/>
        </w:rPr>
      </w:pPr>
      <w:r w:rsidRPr="00E24002">
        <w:rPr>
          <w:rFonts w:ascii="Simplified Arabic" w:hAnsi="Simplified Arabic" w:cs="Simplified Arabic"/>
          <w:sz w:val="24"/>
          <w:szCs w:val="24"/>
        </w:rPr>
        <w:t>وانتهى الفصل إلى نموذج وفروض واضحة توجه بناء الأداة والتحليل. ويضمن هذا الانتقال أن تكون المنهجية في الفصل التالي امتداداً مباشراً للإطار النظري، وأن ترتبط كل فقرة في الاستبانة بسؤال أو فرض ومفهوم محدد.</w:t>
      </w:r>
    </w:p>
    <w:p w14:paraId="5DEAAF64" w14:textId="77777777" w:rsidR="00E94561" w:rsidRPr="00B56FDF" w:rsidRDefault="00000000" w:rsidP="00E24002">
      <w:pPr>
        <w:pStyle w:val="Heading1"/>
        <w:pageBreakBefore/>
        <w:bidi/>
        <w:jc w:val="left"/>
        <w:rPr>
          <w:rFonts w:ascii="Simplified Arabic" w:hAnsi="Simplified Arabic" w:cs="Simplified Arabic"/>
        </w:rPr>
      </w:pPr>
      <w:r w:rsidRPr="00B56FDF">
        <w:rPr>
          <w:rFonts w:ascii="Simplified Arabic" w:eastAsia="Amiri" w:hAnsi="Simplified Arabic" w:cs="Simplified Arabic"/>
          <w:rtl/>
        </w:rPr>
        <w:lastRenderedPageBreak/>
        <w:t>قائمة المراجع</w:t>
      </w:r>
    </w:p>
    <w:p w14:paraId="0F578A4A" w14:textId="77777777" w:rsidR="00E94561" w:rsidRPr="00E24002" w:rsidRDefault="00000000" w:rsidP="00E24002">
      <w:pPr>
        <w:pStyle w:val="Heading2"/>
        <w:bidi/>
        <w:jc w:val="left"/>
        <w:rPr>
          <w:rFonts w:ascii="Simplified Arabic" w:hAnsi="Simplified Arabic" w:cs="Simplified Arabic"/>
          <w:sz w:val="40"/>
          <w:szCs w:val="28"/>
        </w:rPr>
      </w:pPr>
      <w:r w:rsidRPr="00E24002">
        <w:rPr>
          <w:rFonts w:ascii="Simplified Arabic" w:eastAsia="Amiri" w:hAnsi="Simplified Arabic" w:cs="Simplified Arabic"/>
          <w:color w:val="0F4069"/>
          <w:sz w:val="40"/>
          <w:szCs w:val="28"/>
          <w:rtl/>
        </w:rPr>
        <w:t>أولاً: المراجع العربية والمؤسسية</w:t>
      </w:r>
    </w:p>
    <w:p w14:paraId="2C60EF22" w14:textId="77777777" w:rsidR="00E94561" w:rsidRPr="00E24002" w:rsidRDefault="00000000" w:rsidP="00E24002">
      <w:pPr>
        <w:pStyle w:val="Reference"/>
        <w:bidi/>
        <w:spacing w:after="60" w:line="240" w:lineRule="auto"/>
        <w:ind w:left="0"/>
        <w:rPr>
          <w:rFonts w:ascii="Simplified Arabic" w:hAnsi="Simplified Arabic" w:cs="Simplified Arabic"/>
          <w:sz w:val="28"/>
          <w:szCs w:val="24"/>
        </w:rPr>
      </w:pPr>
      <w:r w:rsidRPr="00E24002">
        <w:rPr>
          <w:rFonts w:ascii="Simplified Arabic" w:eastAsia="Amiri" w:hAnsi="Simplified Arabic" w:cs="Simplified Arabic"/>
          <w:szCs w:val="24"/>
          <w:rtl/>
        </w:rPr>
        <w:t>الهيئة السعودية للمياه. (2024). تقرير شامل عن قطاع تحلية المياه: استهلاك الطاقة في صناعة تحلية المياه. المملكة العربية السعودية.</w:t>
      </w:r>
    </w:p>
    <w:p w14:paraId="1DC2B250" w14:textId="77777777" w:rsidR="00E94561" w:rsidRPr="00E24002" w:rsidRDefault="00000000" w:rsidP="00E24002">
      <w:pPr>
        <w:pStyle w:val="Reference"/>
        <w:bidi/>
        <w:spacing w:after="60" w:line="240" w:lineRule="auto"/>
        <w:ind w:left="0"/>
        <w:rPr>
          <w:rFonts w:ascii="Simplified Arabic" w:hAnsi="Simplified Arabic" w:cs="Simplified Arabic"/>
          <w:sz w:val="28"/>
          <w:szCs w:val="24"/>
        </w:rPr>
      </w:pPr>
      <w:r w:rsidRPr="00E24002">
        <w:rPr>
          <w:rFonts w:ascii="Simplified Arabic" w:eastAsia="Amiri" w:hAnsi="Simplified Arabic" w:cs="Simplified Arabic"/>
          <w:szCs w:val="24"/>
          <w:rtl/>
        </w:rPr>
        <w:t>شركة مرافق. (د.ت.-أ). شركة الجبيل للماء والكهرباء. https://www.marafiq.com.sa/en/about-us/companies-jvs-projects/jubail-water-and-power-company-jwap/</w:t>
      </w:r>
    </w:p>
    <w:p w14:paraId="513F5B10" w14:textId="77777777" w:rsidR="00E94561" w:rsidRPr="00E24002" w:rsidRDefault="00000000" w:rsidP="00E24002">
      <w:pPr>
        <w:pStyle w:val="Reference"/>
        <w:bidi/>
        <w:spacing w:after="60" w:line="240" w:lineRule="auto"/>
        <w:ind w:left="0"/>
        <w:rPr>
          <w:rFonts w:ascii="Simplified Arabic" w:hAnsi="Simplified Arabic" w:cs="Simplified Arabic"/>
          <w:sz w:val="28"/>
          <w:szCs w:val="24"/>
        </w:rPr>
      </w:pPr>
      <w:r w:rsidRPr="00E24002">
        <w:rPr>
          <w:rFonts w:ascii="Simplified Arabic" w:eastAsia="Amiri" w:hAnsi="Simplified Arabic" w:cs="Simplified Arabic"/>
          <w:szCs w:val="24"/>
          <w:rtl/>
        </w:rPr>
        <w:t>شركة مرافق. (د.ت.-ب). مرافق بالأرقام. https://www.marafiq.com.sa/en/investor-relations/marafiq-in-numbers/</w:t>
      </w:r>
    </w:p>
    <w:p w14:paraId="069550E7" w14:textId="77777777" w:rsidR="00E94561" w:rsidRPr="00E24002" w:rsidRDefault="00000000" w:rsidP="00E24002">
      <w:pPr>
        <w:pStyle w:val="Reference"/>
        <w:bidi/>
        <w:spacing w:after="60" w:line="240" w:lineRule="auto"/>
        <w:ind w:left="0"/>
        <w:rPr>
          <w:rFonts w:ascii="Simplified Arabic" w:hAnsi="Simplified Arabic" w:cs="Simplified Arabic"/>
          <w:sz w:val="28"/>
          <w:szCs w:val="24"/>
        </w:rPr>
      </w:pPr>
      <w:r w:rsidRPr="00E24002">
        <w:rPr>
          <w:rFonts w:ascii="Simplified Arabic" w:eastAsia="Amiri" w:hAnsi="Simplified Arabic" w:cs="Simplified Arabic"/>
          <w:szCs w:val="24"/>
          <w:rtl/>
        </w:rPr>
        <w:t>وزارة البيئة والمياه والزراعة. (2018). الاستراتيجية الوطنية للمياه 2030. المملكة العربية السعودية. https://www.mewa.gov.sa/en/Ministry/Agencies/TheWaterAgency/Topics/Pages/Strategy.aspx</w:t>
      </w:r>
    </w:p>
    <w:p w14:paraId="294D6A76" w14:textId="77777777" w:rsidR="00E94561" w:rsidRPr="00E24002" w:rsidRDefault="00000000">
      <w:pPr>
        <w:pStyle w:val="Heading2"/>
        <w:bidi/>
        <w:spacing w:before="0" w:after="60" w:line="240" w:lineRule="auto"/>
        <w:jc w:val="both"/>
        <w:rPr>
          <w:rFonts w:ascii="Simplified Arabic" w:hAnsi="Simplified Arabic" w:cs="Simplified Arabic"/>
          <w:sz w:val="40"/>
          <w:szCs w:val="28"/>
        </w:rPr>
      </w:pPr>
      <w:r w:rsidRPr="00E24002">
        <w:rPr>
          <w:rFonts w:ascii="Simplified Arabic" w:eastAsia="Amiri" w:hAnsi="Simplified Arabic" w:cs="Simplified Arabic"/>
          <w:color w:val="0F4069"/>
          <w:sz w:val="24"/>
          <w:szCs w:val="28"/>
          <w:rtl/>
        </w:rPr>
        <w:t>ثانياً: المراجع الأجنبية</w:t>
      </w:r>
    </w:p>
    <w:p w14:paraId="19FA01B8" w14:textId="77777777" w:rsidR="00E94561" w:rsidRPr="00E24002" w:rsidRDefault="00000000">
      <w:pPr>
        <w:pStyle w:val="Reference"/>
        <w:spacing w:after="60" w:line="240" w:lineRule="auto"/>
        <w:ind w:left="0"/>
        <w:rPr>
          <w:rFonts w:ascii="Simplified Arabic" w:hAnsi="Simplified Arabic" w:cs="Simplified Arabic"/>
          <w:sz w:val="28"/>
          <w:szCs w:val="24"/>
        </w:rPr>
      </w:pPr>
      <w:r w:rsidRPr="00E24002">
        <w:rPr>
          <w:rFonts w:ascii="Simplified Arabic" w:hAnsi="Simplified Arabic" w:cs="Simplified Arabic"/>
          <w:szCs w:val="24"/>
        </w:rPr>
        <w:t>Al Abdulkareem, M. A. (2024). The impact of strategic planning on business performance: Evidence from Saudi Arabia. Journal of Management Information and Decision Sciences, 27(S4), 1-9.</w:t>
      </w:r>
    </w:p>
    <w:p w14:paraId="2720A2F2" w14:textId="77777777" w:rsidR="00E94561" w:rsidRPr="00E24002" w:rsidRDefault="00000000">
      <w:pPr>
        <w:pStyle w:val="Reference"/>
        <w:spacing w:after="60" w:line="240" w:lineRule="auto"/>
        <w:ind w:left="0"/>
        <w:rPr>
          <w:rFonts w:ascii="Simplified Arabic" w:hAnsi="Simplified Arabic" w:cs="Simplified Arabic"/>
          <w:sz w:val="28"/>
          <w:szCs w:val="24"/>
        </w:rPr>
      </w:pPr>
      <w:r w:rsidRPr="00E24002">
        <w:rPr>
          <w:rFonts w:ascii="Simplified Arabic" w:hAnsi="Simplified Arabic" w:cs="Simplified Arabic"/>
          <w:szCs w:val="24"/>
        </w:rPr>
        <w:t>Aljahdali, H. M. M., &amp; Ali, D. A. (2024). The impact of strategic management on operational performance: Investigating the mediating role of organizational culture in the Saudi steel manufacturing sector. International Journal of Business Society, 8(12), 1030-1036. https://doi.org/10.30566/ijo-bs/2024.12.138</w:t>
      </w:r>
    </w:p>
    <w:p w14:paraId="2A17F31C" w14:textId="77777777" w:rsidR="00E94561" w:rsidRPr="00E24002" w:rsidRDefault="00000000">
      <w:pPr>
        <w:pStyle w:val="Reference"/>
        <w:spacing w:after="60" w:line="240" w:lineRule="auto"/>
        <w:ind w:left="0"/>
        <w:rPr>
          <w:rFonts w:ascii="Simplified Arabic" w:hAnsi="Simplified Arabic" w:cs="Simplified Arabic"/>
          <w:sz w:val="28"/>
          <w:szCs w:val="24"/>
        </w:rPr>
      </w:pPr>
      <w:r w:rsidRPr="00E24002">
        <w:rPr>
          <w:rFonts w:ascii="Simplified Arabic" w:hAnsi="Simplified Arabic" w:cs="Simplified Arabic"/>
          <w:szCs w:val="24"/>
        </w:rPr>
        <w:t>Alsadi, A. K., &amp; Aloulou, W. J. (2021). Impacts of strategic orientations on Saudi firm performance: Is supply chain integration a missing link? The International Journal of Logistics Management, 32(4), 1264-1289. https://doi.org/10.1108/IJLM-02-2020-0080</w:t>
      </w:r>
    </w:p>
    <w:p w14:paraId="73D640CD" w14:textId="77777777" w:rsidR="00E94561" w:rsidRPr="00E24002" w:rsidRDefault="00000000">
      <w:pPr>
        <w:pStyle w:val="Reference"/>
        <w:spacing w:after="60" w:line="240" w:lineRule="auto"/>
        <w:ind w:left="0"/>
        <w:rPr>
          <w:rFonts w:ascii="Simplified Arabic" w:hAnsi="Simplified Arabic" w:cs="Simplified Arabic"/>
          <w:sz w:val="28"/>
          <w:szCs w:val="24"/>
        </w:rPr>
      </w:pPr>
      <w:r w:rsidRPr="00E24002">
        <w:rPr>
          <w:rFonts w:ascii="Simplified Arabic" w:hAnsi="Simplified Arabic" w:cs="Simplified Arabic"/>
          <w:szCs w:val="24"/>
        </w:rPr>
        <w:t>Barney, J. (1991). Firm resources and sustained competitive advantage. Journal of Management, 17(1), 99-120. https://doi.org/10.1177/014920639101700108</w:t>
      </w:r>
    </w:p>
    <w:p w14:paraId="7D80EB2F" w14:textId="77777777" w:rsidR="00E94561" w:rsidRPr="00E24002" w:rsidRDefault="00000000">
      <w:pPr>
        <w:pStyle w:val="Reference"/>
        <w:spacing w:after="60" w:line="240" w:lineRule="auto"/>
        <w:ind w:left="0"/>
        <w:rPr>
          <w:rFonts w:ascii="Simplified Arabic" w:hAnsi="Simplified Arabic" w:cs="Simplified Arabic"/>
          <w:sz w:val="28"/>
          <w:szCs w:val="24"/>
        </w:rPr>
      </w:pPr>
      <w:r w:rsidRPr="00E24002">
        <w:rPr>
          <w:rFonts w:ascii="Simplified Arabic" w:hAnsi="Simplified Arabic" w:cs="Simplified Arabic"/>
          <w:szCs w:val="24"/>
        </w:rPr>
        <w:t>Cronbach, L. J. (1951). Coefficient alpha and the internal structure of tests. Psychometrika, 16(3), 297-334. https://doi.org/10.1007/BF02310555</w:t>
      </w:r>
    </w:p>
    <w:p w14:paraId="55CB6DDF" w14:textId="77777777" w:rsidR="00E94561" w:rsidRPr="00E24002" w:rsidRDefault="00000000">
      <w:pPr>
        <w:pStyle w:val="Reference"/>
        <w:spacing w:after="60" w:line="240" w:lineRule="auto"/>
        <w:ind w:left="0"/>
        <w:rPr>
          <w:rFonts w:ascii="Simplified Arabic" w:hAnsi="Simplified Arabic" w:cs="Simplified Arabic"/>
          <w:sz w:val="28"/>
          <w:szCs w:val="24"/>
        </w:rPr>
      </w:pPr>
      <w:r w:rsidRPr="00E24002">
        <w:rPr>
          <w:rFonts w:ascii="Simplified Arabic" w:hAnsi="Simplified Arabic" w:cs="Simplified Arabic"/>
          <w:szCs w:val="24"/>
        </w:rPr>
        <w:t>David, F. R., David, F. R., &amp; David, M. E. (2020). Strategic management: A competitive advantage approach, concepts and cases (17th ed.). Pearson.</w:t>
      </w:r>
    </w:p>
    <w:p w14:paraId="7842F154" w14:textId="77777777" w:rsidR="00E94561" w:rsidRPr="00E24002" w:rsidRDefault="00000000">
      <w:pPr>
        <w:pStyle w:val="Reference"/>
        <w:spacing w:after="60" w:line="240" w:lineRule="auto"/>
        <w:ind w:left="0"/>
        <w:rPr>
          <w:rFonts w:ascii="Simplified Arabic" w:hAnsi="Simplified Arabic" w:cs="Simplified Arabic"/>
          <w:sz w:val="28"/>
          <w:szCs w:val="24"/>
        </w:rPr>
      </w:pPr>
      <w:r w:rsidRPr="00E24002">
        <w:rPr>
          <w:rFonts w:ascii="Simplified Arabic" w:hAnsi="Simplified Arabic" w:cs="Simplified Arabic"/>
          <w:szCs w:val="24"/>
        </w:rPr>
        <w:t>Dwikat, S. Y., Arshad, D., &amp; Mohd Shariff, M. N. (2022). The influence of systematic strategic planning and strategic business innovation on the sustainable performance of manufacturing SMEs: The case of Palestine. Sustainability, 14(20), 13388. https://doi.org/10.3390/su142013388</w:t>
      </w:r>
    </w:p>
    <w:p w14:paraId="3B31243E" w14:textId="77777777" w:rsidR="00E94561" w:rsidRPr="00E24002" w:rsidRDefault="00000000">
      <w:pPr>
        <w:pStyle w:val="Reference"/>
        <w:spacing w:after="60" w:line="240" w:lineRule="auto"/>
        <w:ind w:left="0"/>
        <w:rPr>
          <w:rFonts w:ascii="Simplified Arabic" w:hAnsi="Simplified Arabic" w:cs="Simplified Arabic"/>
          <w:sz w:val="28"/>
          <w:szCs w:val="24"/>
        </w:rPr>
      </w:pPr>
      <w:r w:rsidRPr="00E24002">
        <w:rPr>
          <w:rFonts w:ascii="Simplified Arabic" w:hAnsi="Simplified Arabic" w:cs="Simplified Arabic"/>
          <w:szCs w:val="24"/>
        </w:rPr>
        <w:t>Field, A. (2018). Discovering statistics using IBM SPSS statistics (5th ed.). SAGE.</w:t>
      </w:r>
    </w:p>
    <w:p w14:paraId="67483AC2" w14:textId="77777777" w:rsidR="00E94561" w:rsidRPr="00E24002" w:rsidRDefault="00000000">
      <w:pPr>
        <w:pStyle w:val="Reference"/>
        <w:spacing w:after="60" w:line="240" w:lineRule="auto"/>
        <w:ind w:left="0"/>
        <w:rPr>
          <w:rFonts w:ascii="Simplified Arabic" w:hAnsi="Simplified Arabic" w:cs="Simplified Arabic"/>
          <w:sz w:val="28"/>
          <w:szCs w:val="24"/>
        </w:rPr>
      </w:pPr>
      <w:r w:rsidRPr="00E24002">
        <w:rPr>
          <w:rFonts w:ascii="Simplified Arabic" w:hAnsi="Simplified Arabic" w:cs="Simplified Arabic"/>
          <w:szCs w:val="24"/>
        </w:rPr>
        <w:lastRenderedPageBreak/>
        <w:t>Fritzmann, C., Löwenberg, J., Wintgens, T., &amp; Melin, T. (2007). State-of-the-art of reverse osmosis desalination. Desalination, 216(1-3), 1-76. https://doi.org/10.1016/j.desal.2006.12.009</w:t>
      </w:r>
    </w:p>
    <w:p w14:paraId="59031551" w14:textId="77777777" w:rsidR="00E94561" w:rsidRPr="00E24002" w:rsidRDefault="00000000">
      <w:pPr>
        <w:pStyle w:val="Reference"/>
        <w:spacing w:after="60" w:line="240" w:lineRule="auto"/>
        <w:ind w:left="0"/>
        <w:rPr>
          <w:rFonts w:ascii="Simplified Arabic" w:hAnsi="Simplified Arabic" w:cs="Simplified Arabic"/>
          <w:sz w:val="28"/>
          <w:szCs w:val="24"/>
        </w:rPr>
      </w:pPr>
      <w:r w:rsidRPr="00E24002">
        <w:rPr>
          <w:rFonts w:ascii="Simplified Arabic" w:hAnsi="Simplified Arabic" w:cs="Simplified Arabic"/>
          <w:szCs w:val="24"/>
        </w:rPr>
        <w:t>George, B., Walker, R. M., &amp; Monster, J. (2019). Does strategic planning improve organizational performance? A meta-analysis. Public Administration Review, 79(6), 810-819. https://doi.org/10.1111/puar.13104</w:t>
      </w:r>
    </w:p>
    <w:p w14:paraId="6655B364" w14:textId="77777777" w:rsidR="00E94561" w:rsidRPr="00E24002" w:rsidRDefault="00000000">
      <w:pPr>
        <w:pStyle w:val="Reference"/>
        <w:spacing w:after="60" w:line="240" w:lineRule="auto"/>
        <w:ind w:left="0"/>
        <w:rPr>
          <w:rFonts w:ascii="Simplified Arabic" w:hAnsi="Simplified Arabic" w:cs="Simplified Arabic"/>
          <w:sz w:val="28"/>
          <w:szCs w:val="24"/>
        </w:rPr>
      </w:pPr>
      <w:r w:rsidRPr="00E24002">
        <w:rPr>
          <w:rFonts w:ascii="Simplified Arabic" w:hAnsi="Simplified Arabic" w:cs="Simplified Arabic"/>
          <w:szCs w:val="24"/>
        </w:rPr>
        <w:t>Gude, V. G. (2017). Desalination and water reuse to address global water scarcity. Reviews in Environmental Science and Bio/Technology, 16, 591-609. https://doi.org/10.1007/s11157-017-9449-7</w:t>
      </w:r>
    </w:p>
    <w:p w14:paraId="00D003E9" w14:textId="77777777" w:rsidR="00E94561" w:rsidRPr="00E24002" w:rsidRDefault="00000000">
      <w:pPr>
        <w:pStyle w:val="Reference"/>
        <w:spacing w:after="60" w:line="240" w:lineRule="auto"/>
        <w:ind w:left="0"/>
        <w:rPr>
          <w:rFonts w:ascii="Simplified Arabic" w:hAnsi="Simplified Arabic" w:cs="Simplified Arabic"/>
          <w:sz w:val="28"/>
          <w:szCs w:val="24"/>
        </w:rPr>
      </w:pPr>
      <w:r w:rsidRPr="00E24002">
        <w:rPr>
          <w:rFonts w:ascii="Simplified Arabic" w:hAnsi="Simplified Arabic" w:cs="Simplified Arabic"/>
          <w:szCs w:val="24"/>
        </w:rPr>
        <w:t>Hair, J. F., Babin, B. J., Anderson, R. E., &amp; Black, W. C. (2019). Multivariate data analysis (8th ed.). Cengage.</w:t>
      </w:r>
    </w:p>
    <w:p w14:paraId="4732A96E" w14:textId="77777777" w:rsidR="00E94561" w:rsidRPr="00E24002" w:rsidRDefault="00000000">
      <w:pPr>
        <w:pStyle w:val="Reference"/>
        <w:spacing w:after="60" w:line="240" w:lineRule="auto"/>
        <w:ind w:left="0"/>
        <w:rPr>
          <w:rFonts w:ascii="Simplified Arabic" w:hAnsi="Simplified Arabic" w:cs="Simplified Arabic"/>
          <w:sz w:val="28"/>
          <w:szCs w:val="24"/>
        </w:rPr>
      </w:pPr>
      <w:r w:rsidRPr="00E24002">
        <w:rPr>
          <w:rFonts w:ascii="Simplified Arabic" w:hAnsi="Simplified Arabic" w:cs="Simplified Arabic"/>
          <w:szCs w:val="24"/>
        </w:rPr>
        <w:t>Heizer, J., Render, B., &amp; Munson, C. (2020). Operations management: Sustainability and supply chain management (13th ed.). Pearson.</w:t>
      </w:r>
    </w:p>
    <w:p w14:paraId="7D9ACC1B" w14:textId="77777777" w:rsidR="00E94561" w:rsidRPr="00E24002" w:rsidRDefault="00000000">
      <w:pPr>
        <w:pStyle w:val="Reference"/>
        <w:spacing w:after="60" w:line="240" w:lineRule="auto"/>
        <w:ind w:left="0"/>
        <w:rPr>
          <w:rFonts w:ascii="Simplified Arabic" w:hAnsi="Simplified Arabic" w:cs="Simplified Arabic"/>
          <w:sz w:val="28"/>
          <w:szCs w:val="24"/>
        </w:rPr>
      </w:pPr>
      <w:r w:rsidRPr="00E24002">
        <w:rPr>
          <w:rFonts w:ascii="Simplified Arabic" w:hAnsi="Simplified Arabic" w:cs="Simplified Arabic"/>
          <w:szCs w:val="24"/>
        </w:rPr>
        <w:t>Henthorne, L., &amp; Boysen, B. (2015). State-of-the-art of reverse osmosis desalination pretreatment. Desalination, 356, 129-139. https://doi.org/10.1016/j.desal.2014.10.039</w:t>
      </w:r>
    </w:p>
    <w:p w14:paraId="369529BC" w14:textId="77777777" w:rsidR="00E94561" w:rsidRPr="00E24002" w:rsidRDefault="00000000">
      <w:pPr>
        <w:pStyle w:val="Reference"/>
        <w:spacing w:after="60" w:line="240" w:lineRule="auto"/>
        <w:ind w:left="0"/>
        <w:rPr>
          <w:rFonts w:ascii="Simplified Arabic" w:hAnsi="Simplified Arabic" w:cs="Simplified Arabic"/>
          <w:sz w:val="28"/>
          <w:szCs w:val="24"/>
        </w:rPr>
      </w:pPr>
      <w:r w:rsidRPr="00E24002">
        <w:rPr>
          <w:rFonts w:ascii="Simplified Arabic" w:hAnsi="Simplified Arabic" w:cs="Simplified Arabic"/>
          <w:szCs w:val="24"/>
        </w:rPr>
        <w:t>Hitt, M. A., Ireland, R. D., &amp; Hoskisson, R. E. (2020). Strategic management: Competitiveness and globalization (13th ed.). Cengage.</w:t>
      </w:r>
    </w:p>
    <w:p w14:paraId="136EE9F1" w14:textId="77777777" w:rsidR="00E94561" w:rsidRPr="00E24002" w:rsidRDefault="00000000">
      <w:pPr>
        <w:pStyle w:val="Reference"/>
        <w:spacing w:after="60" w:line="240" w:lineRule="auto"/>
        <w:ind w:left="0"/>
        <w:rPr>
          <w:rFonts w:ascii="Simplified Arabic" w:hAnsi="Simplified Arabic" w:cs="Simplified Arabic"/>
          <w:sz w:val="28"/>
          <w:szCs w:val="24"/>
        </w:rPr>
      </w:pPr>
      <w:r w:rsidRPr="00E24002">
        <w:rPr>
          <w:rFonts w:ascii="Simplified Arabic" w:hAnsi="Simplified Arabic" w:cs="Simplified Arabic"/>
          <w:szCs w:val="24"/>
        </w:rPr>
        <w:t>International Organization for Standardization. (2014). ISO 55000: Asset management - Overview, principles and terminology. ISO.</w:t>
      </w:r>
    </w:p>
    <w:p w14:paraId="21117175" w14:textId="77777777" w:rsidR="00E94561" w:rsidRPr="00E24002" w:rsidRDefault="00000000">
      <w:pPr>
        <w:pStyle w:val="Reference"/>
        <w:spacing w:after="60" w:line="240" w:lineRule="auto"/>
        <w:ind w:left="0"/>
        <w:rPr>
          <w:rFonts w:ascii="Simplified Arabic" w:hAnsi="Simplified Arabic" w:cs="Simplified Arabic"/>
          <w:sz w:val="28"/>
          <w:szCs w:val="24"/>
        </w:rPr>
      </w:pPr>
      <w:r w:rsidRPr="00E24002">
        <w:rPr>
          <w:rFonts w:ascii="Simplified Arabic" w:hAnsi="Simplified Arabic" w:cs="Simplified Arabic"/>
          <w:szCs w:val="24"/>
        </w:rPr>
        <w:t>Jones, E., Qadir, M., van Vliet, M. T. H., Smakhtin, V., &amp; Kang, S.-M. (2019). The state of desalination and brine production: A global outlook. Science of the Total Environment, 657, 1343-1356. https://doi.org/10.1016/j.scitotenv.2018.12.076</w:t>
      </w:r>
    </w:p>
    <w:p w14:paraId="353A641B" w14:textId="77777777" w:rsidR="00E94561" w:rsidRPr="00E24002" w:rsidRDefault="00000000">
      <w:pPr>
        <w:pStyle w:val="Reference"/>
        <w:spacing w:after="60" w:line="240" w:lineRule="auto"/>
        <w:ind w:left="0"/>
        <w:rPr>
          <w:rFonts w:ascii="Simplified Arabic" w:hAnsi="Simplified Arabic" w:cs="Simplified Arabic"/>
          <w:sz w:val="28"/>
          <w:szCs w:val="24"/>
        </w:rPr>
      </w:pPr>
      <w:r w:rsidRPr="00E24002">
        <w:rPr>
          <w:rFonts w:ascii="Simplified Arabic" w:hAnsi="Simplified Arabic" w:cs="Simplified Arabic"/>
          <w:szCs w:val="24"/>
        </w:rPr>
        <w:t>Kaplan, R. S., &amp; Norton, D. P. (1992). The balanced scorecard: Measures that drive performance. Harvard Business Review, 70(1), 71-79.</w:t>
      </w:r>
    </w:p>
    <w:p w14:paraId="1C1F280B" w14:textId="77777777" w:rsidR="00E94561" w:rsidRPr="00E24002" w:rsidRDefault="00000000">
      <w:pPr>
        <w:pStyle w:val="Reference"/>
        <w:spacing w:after="60" w:line="240" w:lineRule="auto"/>
        <w:ind w:left="0"/>
        <w:rPr>
          <w:rFonts w:ascii="Simplified Arabic" w:hAnsi="Simplified Arabic" w:cs="Simplified Arabic"/>
          <w:sz w:val="28"/>
          <w:szCs w:val="24"/>
        </w:rPr>
      </w:pPr>
      <w:r w:rsidRPr="00E24002">
        <w:rPr>
          <w:rFonts w:ascii="Simplified Arabic" w:hAnsi="Simplified Arabic" w:cs="Simplified Arabic"/>
          <w:szCs w:val="24"/>
        </w:rPr>
        <w:t>Kim, J., Park, K., Yang, D. R., &amp; Hong, S. (2019). A comprehensive review of energy consumption of seawater reverse osmosis desalination plants. Applied Energy, 254, 113652. https://doi.org/10.1016/j.apenergy.2019.113652</w:t>
      </w:r>
    </w:p>
    <w:p w14:paraId="724FE55E" w14:textId="77777777" w:rsidR="00E94561" w:rsidRPr="00E24002" w:rsidRDefault="00000000">
      <w:pPr>
        <w:pStyle w:val="Reference"/>
        <w:spacing w:after="60" w:line="240" w:lineRule="auto"/>
        <w:ind w:left="0"/>
        <w:rPr>
          <w:rFonts w:ascii="Simplified Arabic" w:hAnsi="Simplified Arabic" w:cs="Simplified Arabic"/>
          <w:sz w:val="28"/>
          <w:szCs w:val="24"/>
        </w:rPr>
      </w:pPr>
      <w:r w:rsidRPr="00E24002">
        <w:rPr>
          <w:rFonts w:ascii="Simplified Arabic" w:hAnsi="Simplified Arabic" w:cs="Simplified Arabic"/>
          <w:szCs w:val="24"/>
        </w:rPr>
        <w:t>Krejcie, R. V., &amp; Morgan, D. W. (1970). Determining sample size for research activities. Educational and Psychological Measurement, 30(3), 607-610. https://doi.org/10.1177/001316447003000308</w:t>
      </w:r>
    </w:p>
    <w:p w14:paraId="7E1F29E7" w14:textId="77777777" w:rsidR="00E94561" w:rsidRPr="00E24002" w:rsidRDefault="00000000">
      <w:pPr>
        <w:pStyle w:val="Reference"/>
        <w:spacing w:after="60" w:line="240" w:lineRule="auto"/>
        <w:ind w:left="0"/>
        <w:rPr>
          <w:rFonts w:ascii="Simplified Arabic" w:hAnsi="Simplified Arabic" w:cs="Simplified Arabic"/>
          <w:sz w:val="28"/>
          <w:szCs w:val="24"/>
        </w:rPr>
      </w:pPr>
      <w:r w:rsidRPr="00E24002">
        <w:rPr>
          <w:rFonts w:ascii="Simplified Arabic" w:hAnsi="Simplified Arabic" w:cs="Simplified Arabic"/>
          <w:szCs w:val="24"/>
        </w:rPr>
        <w:t>Mohammed, A. H. A. (2016). Strategic management and firm performance: Evidence from Saudi Arabia industrial firms. European Academic Research, 4(5), 4399-4416.</w:t>
      </w:r>
    </w:p>
    <w:p w14:paraId="0C976C58" w14:textId="77777777" w:rsidR="00E94561" w:rsidRPr="00E24002" w:rsidRDefault="00000000">
      <w:pPr>
        <w:pStyle w:val="Reference"/>
        <w:spacing w:after="60" w:line="240" w:lineRule="auto"/>
        <w:ind w:left="0"/>
        <w:rPr>
          <w:rFonts w:ascii="Simplified Arabic" w:hAnsi="Simplified Arabic" w:cs="Simplified Arabic"/>
          <w:sz w:val="28"/>
          <w:szCs w:val="24"/>
        </w:rPr>
      </w:pPr>
      <w:r w:rsidRPr="00E24002">
        <w:rPr>
          <w:rFonts w:ascii="Simplified Arabic" w:hAnsi="Simplified Arabic" w:cs="Simplified Arabic"/>
          <w:szCs w:val="24"/>
        </w:rPr>
        <w:lastRenderedPageBreak/>
        <w:t>Mousa, K. M., Ali, K. A. A., &amp; Gurler, S. (2024). Strategic planning and organizational performance: An empirical study on the manufacturing sector. Sustainability, 16(15), 6690. https://doi.org/10.3390/su16156690</w:t>
      </w:r>
    </w:p>
    <w:p w14:paraId="28243553" w14:textId="77777777" w:rsidR="00E94561" w:rsidRPr="00E24002" w:rsidRDefault="00000000">
      <w:pPr>
        <w:pStyle w:val="Reference"/>
        <w:spacing w:after="60" w:line="240" w:lineRule="auto"/>
        <w:ind w:left="0"/>
        <w:rPr>
          <w:rFonts w:ascii="Simplified Arabic" w:hAnsi="Simplified Arabic" w:cs="Simplified Arabic"/>
          <w:sz w:val="28"/>
          <w:szCs w:val="24"/>
        </w:rPr>
      </w:pPr>
      <w:r w:rsidRPr="00E24002">
        <w:rPr>
          <w:rFonts w:ascii="Simplified Arabic" w:hAnsi="Simplified Arabic" w:cs="Simplified Arabic"/>
          <w:szCs w:val="24"/>
        </w:rPr>
        <w:t>Muogbo, U. S. (2013). The impact of strategic management on organisational growth and development: A study of selected manufacturing firms in Anambra State. IOSR Journal of Business and Management, 7(1), 24-32. https://doi.org/10.9790/487X-0712432</w:t>
      </w:r>
    </w:p>
    <w:p w14:paraId="101E8453" w14:textId="77777777" w:rsidR="00E94561" w:rsidRPr="00E24002" w:rsidRDefault="00000000">
      <w:pPr>
        <w:pStyle w:val="Reference"/>
        <w:spacing w:after="60" w:line="240" w:lineRule="auto"/>
        <w:ind w:left="0"/>
        <w:rPr>
          <w:rFonts w:ascii="Simplified Arabic" w:hAnsi="Simplified Arabic" w:cs="Simplified Arabic"/>
          <w:sz w:val="28"/>
          <w:szCs w:val="24"/>
        </w:rPr>
      </w:pPr>
      <w:r w:rsidRPr="00E24002">
        <w:rPr>
          <w:rFonts w:ascii="Simplified Arabic" w:hAnsi="Simplified Arabic" w:cs="Simplified Arabic"/>
          <w:szCs w:val="24"/>
        </w:rPr>
        <w:t>Park, K., Kim, J., Yang, D. R., &amp; Hong, S. (2020). Towards a low-energy seawater reverse osmosis desalination plant: A review and theoretical analysis for future directions. Journal of Membrane Science, 595, 117607. https://doi.org/10.1016/j.memsci.2019.117607</w:t>
      </w:r>
    </w:p>
    <w:p w14:paraId="7DC72F74" w14:textId="77777777" w:rsidR="00E94561" w:rsidRPr="00E24002" w:rsidRDefault="00000000">
      <w:pPr>
        <w:pStyle w:val="Reference"/>
        <w:spacing w:after="60" w:line="240" w:lineRule="auto"/>
        <w:ind w:left="0"/>
        <w:rPr>
          <w:rFonts w:ascii="Simplified Arabic" w:hAnsi="Simplified Arabic" w:cs="Simplified Arabic"/>
          <w:sz w:val="28"/>
          <w:szCs w:val="24"/>
        </w:rPr>
      </w:pPr>
      <w:r w:rsidRPr="00E24002">
        <w:rPr>
          <w:rFonts w:ascii="Simplified Arabic" w:hAnsi="Simplified Arabic" w:cs="Simplified Arabic"/>
          <w:szCs w:val="24"/>
        </w:rPr>
        <w:t>Teece, D. J., Pisano, G., &amp; Shuen, A. (1997). Dynamic capabilities and strategic management. Strategic Management Journal, 18(7), 509-533. https://doi.org/10.1002/(SICI)1097-0266(199708)18:7&lt;509::AID-SMJ882&gt;3.0.CO;2-Z</w:t>
      </w:r>
    </w:p>
    <w:p w14:paraId="5D746408" w14:textId="77777777" w:rsidR="00E94561" w:rsidRPr="00E24002" w:rsidRDefault="00000000">
      <w:pPr>
        <w:pStyle w:val="Reference"/>
        <w:spacing w:after="60" w:line="240" w:lineRule="auto"/>
        <w:ind w:left="0"/>
        <w:rPr>
          <w:rFonts w:ascii="Simplified Arabic" w:hAnsi="Simplified Arabic" w:cs="Simplified Arabic"/>
          <w:sz w:val="28"/>
          <w:szCs w:val="24"/>
        </w:rPr>
      </w:pPr>
      <w:r w:rsidRPr="00E24002">
        <w:rPr>
          <w:rFonts w:ascii="Simplified Arabic" w:hAnsi="Simplified Arabic" w:cs="Simplified Arabic"/>
          <w:szCs w:val="24"/>
        </w:rPr>
        <w:t>Tabachnick, B. G., &amp; Fidell, L. S. (2019). Using multivariate statistics (7th ed.). Pearson.</w:t>
      </w:r>
    </w:p>
    <w:p w14:paraId="552E8084" w14:textId="77777777" w:rsidR="00E94561" w:rsidRPr="00E24002" w:rsidRDefault="00000000">
      <w:pPr>
        <w:pStyle w:val="Reference"/>
        <w:spacing w:after="60" w:line="240" w:lineRule="auto"/>
        <w:ind w:left="0"/>
        <w:rPr>
          <w:rFonts w:ascii="Simplified Arabic" w:hAnsi="Simplified Arabic" w:cs="Simplified Arabic"/>
          <w:sz w:val="28"/>
          <w:szCs w:val="24"/>
        </w:rPr>
      </w:pPr>
      <w:r w:rsidRPr="00E24002">
        <w:rPr>
          <w:rFonts w:ascii="Simplified Arabic" w:hAnsi="Simplified Arabic" w:cs="Simplified Arabic"/>
          <w:szCs w:val="24"/>
        </w:rPr>
        <w:t>Wolf, C., &amp; Floyd, S. W. (2017). Strategic planning research: Toward a theory-driven agenda. Journal of Management, 43(6), 1754-1788. https://doi.org/10.1177/0149206313478185</w:t>
      </w:r>
    </w:p>
    <w:p w14:paraId="74051A39" w14:textId="77777777" w:rsidR="00E94561" w:rsidRPr="00E24002" w:rsidRDefault="00000000">
      <w:pPr>
        <w:pStyle w:val="Reference"/>
        <w:spacing w:after="60" w:line="240" w:lineRule="auto"/>
        <w:ind w:left="0"/>
        <w:rPr>
          <w:rFonts w:ascii="Simplified Arabic" w:hAnsi="Simplified Arabic" w:cs="Simplified Arabic"/>
          <w:sz w:val="28"/>
          <w:szCs w:val="24"/>
        </w:rPr>
      </w:pPr>
      <w:r w:rsidRPr="00E24002">
        <w:rPr>
          <w:rFonts w:ascii="Simplified Arabic" w:hAnsi="Simplified Arabic" w:cs="Simplified Arabic"/>
          <w:szCs w:val="24"/>
        </w:rPr>
        <w:t>Zarzo, D., &amp; Prats, D. (2018). Desalination and energy consumption: What can we expect in the near future? Desalination, 427, 1-9. https://doi.org/10.1016/j.desal.2017.10.046</w:t>
      </w:r>
    </w:p>
    <w:sectPr w:rsidR="00E94561" w:rsidRPr="00E24002" w:rsidSect="00315ADA">
      <w:headerReference w:type="default" r:id="rId14"/>
      <w:footerReference w:type="default" r:id="rId15"/>
      <w:pgSz w:w="11906" w:h="16838"/>
      <w:pgMar w:top="1134" w:right="1701" w:bottom="1134" w:left="1134" w:header="454" w:footer="454" w:gutter="0"/>
      <w:pgBorders w:offsetFrom="page">
        <w:top w:val="single" w:sz="8" w:space="18" w:color="4B5563"/>
        <w:left w:val="single" w:sz="8" w:space="18" w:color="4B5563"/>
        <w:bottom w:val="single" w:sz="8" w:space="18" w:color="4B5563"/>
        <w:right w:val="single" w:sz="8" w:space="18" w:color="4B5563"/>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0E42E" w14:textId="77777777" w:rsidR="00DC5DBD" w:rsidRDefault="00DC5DBD">
      <w:pPr>
        <w:spacing w:after="0" w:line="240" w:lineRule="auto"/>
      </w:pPr>
      <w:r>
        <w:separator/>
      </w:r>
    </w:p>
  </w:endnote>
  <w:endnote w:type="continuationSeparator" w:id="0">
    <w:p w14:paraId="2DCEE3E5" w14:textId="77777777" w:rsidR="00DC5DBD" w:rsidRDefault="00DC5D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iri">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roman"/>
    <w:pitch w:val="variable"/>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6EE4F" w14:textId="77777777" w:rsidR="00E302CD" w:rsidRDefault="00E302CD">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8B64D" w14:textId="77777777" w:rsidR="00E302CD" w:rsidRDefault="00E302CD">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D33AE2" w14:textId="77777777" w:rsidR="00DC5DBD" w:rsidRDefault="00DC5DBD">
      <w:pPr>
        <w:spacing w:after="0" w:line="240" w:lineRule="auto"/>
      </w:pPr>
      <w:r>
        <w:separator/>
      </w:r>
    </w:p>
  </w:footnote>
  <w:footnote w:type="continuationSeparator" w:id="0">
    <w:p w14:paraId="2A9573E5" w14:textId="77777777" w:rsidR="00DC5DBD" w:rsidRDefault="00DC5D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88A2D" w14:textId="77777777" w:rsidR="00E302CD" w:rsidRDefault="00E302CD">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20D45" w14:textId="77777777" w:rsidR="00E302CD" w:rsidRDefault="00E302CD">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01630429">
    <w:abstractNumId w:val="8"/>
  </w:num>
  <w:num w:numId="2" w16cid:durableId="1019814771">
    <w:abstractNumId w:val="6"/>
  </w:num>
  <w:num w:numId="3" w16cid:durableId="110511593">
    <w:abstractNumId w:val="5"/>
  </w:num>
  <w:num w:numId="4" w16cid:durableId="2104377276">
    <w:abstractNumId w:val="4"/>
  </w:num>
  <w:num w:numId="5" w16cid:durableId="1253130134">
    <w:abstractNumId w:val="7"/>
  </w:num>
  <w:num w:numId="6" w16cid:durableId="176775682">
    <w:abstractNumId w:val="3"/>
  </w:num>
  <w:num w:numId="7" w16cid:durableId="1764836437">
    <w:abstractNumId w:val="2"/>
  </w:num>
  <w:num w:numId="8" w16cid:durableId="115763145">
    <w:abstractNumId w:val="1"/>
  </w:num>
  <w:num w:numId="9" w16cid:durableId="14574845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36740"/>
    <w:rsid w:val="0025544E"/>
    <w:rsid w:val="0029639D"/>
    <w:rsid w:val="002B2078"/>
    <w:rsid w:val="00315ADA"/>
    <w:rsid w:val="00326F90"/>
    <w:rsid w:val="0051280A"/>
    <w:rsid w:val="005A189C"/>
    <w:rsid w:val="005F40DF"/>
    <w:rsid w:val="006B2E56"/>
    <w:rsid w:val="00895881"/>
    <w:rsid w:val="008F0F11"/>
    <w:rsid w:val="00970FAE"/>
    <w:rsid w:val="00A17C25"/>
    <w:rsid w:val="00A27841"/>
    <w:rsid w:val="00AA1D8D"/>
    <w:rsid w:val="00B47730"/>
    <w:rsid w:val="00B56FDF"/>
    <w:rsid w:val="00CB0664"/>
    <w:rsid w:val="00DC5DBD"/>
    <w:rsid w:val="00E24002"/>
    <w:rsid w:val="00E302CD"/>
    <w:rsid w:val="00E9456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113496B"/>
  <w14:defaultImageDpi w14:val="300"/>
  <w15:docId w15:val="{C51E8EDB-C3AA-43B3-B447-FA4111FF0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ind w:firstLine="283"/>
      <w:jc w:val="both"/>
    </w:pPr>
    <w:rPr>
      <w:rFonts w:ascii="Amiri" w:eastAsia="Amiri" w:hAnsi="Amiri" w:cs="Amiri"/>
      <w:color w:val="111827"/>
      <w:sz w:val="28"/>
    </w:rPr>
  </w:style>
  <w:style w:type="paragraph" w:styleId="Heading1">
    <w:name w:val="heading 1"/>
    <w:basedOn w:val="Normal"/>
    <w:next w:val="Normal"/>
    <w:link w:val="Heading1Char"/>
    <w:uiPriority w:val="9"/>
    <w:qFormat/>
    <w:rsid w:val="00FC693F"/>
    <w:pPr>
      <w:keepNext/>
      <w:keepLines/>
      <w:spacing w:before="360" w:after="160" w:line="264" w:lineRule="auto"/>
      <w:ind w:firstLine="0"/>
      <w:jc w:val="right"/>
      <w:outlineLvl w:val="0"/>
    </w:pPr>
    <w:rPr>
      <w:rFonts w:asciiTheme="majorHAnsi" w:eastAsiaTheme="majorEastAsia" w:hAnsiTheme="majorHAnsi" w:cstheme="majorBidi"/>
      <w:b/>
      <w:bCs/>
      <w:color w:val="1F4E79"/>
      <w:sz w:val="40"/>
      <w:szCs w:val="28"/>
    </w:rPr>
  </w:style>
  <w:style w:type="paragraph" w:styleId="Heading2">
    <w:name w:val="heading 2"/>
    <w:basedOn w:val="Normal"/>
    <w:next w:val="Normal"/>
    <w:link w:val="Heading2Char"/>
    <w:uiPriority w:val="9"/>
    <w:unhideWhenUsed/>
    <w:qFormat/>
    <w:rsid w:val="00FC693F"/>
    <w:pPr>
      <w:keepNext/>
      <w:keepLines/>
      <w:spacing w:before="240" w:line="264" w:lineRule="auto"/>
      <w:ind w:firstLine="0"/>
      <w:jc w:val="right"/>
      <w:outlineLvl w:val="1"/>
    </w:pPr>
    <w:rPr>
      <w:rFonts w:asciiTheme="majorHAnsi" w:eastAsiaTheme="majorEastAsia" w:hAnsiTheme="majorHAnsi" w:cstheme="majorBidi"/>
      <w:b/>
      <w:bCs/>
      <w:color w:val="1F4E79"/>
      <w:sz w:val="36"/>
      <w:szCs w:val="26"/>
    </w:rPr>
  </w:style>
  <w:style w:type="paragraph" w:styleId="Heading3">
    <w:name w:val="heading 3"/>
    <w:basedOn w:val="Normal"/>
    <w:next w:val="Normal"/>
    <w:link w:val="Heading3Char"/>
    <w:uiPriority w:val="9"/>
    <w:unhideWhenUsed/>
    <w:qFormat/>
    <w:rsid w:val="00FC693F"/>
    <w:pPr>
      <w:keepNext/>
      <w:keepLines/>
      <w:spacing w:before="200" w:line="264" w:lineRule="auto"/>
      <w:ind w:firstLine="0"/>
      <w:jc w:val="right"/>
      <w:outlineLvl w:val="2"/>
    </w:pPr>
    <w:rPr>
      <w:rFonts w:asciiTheme="majorHAnsi" w:eastAsiaTheme="majorEastAsia" w:hAnsiTheme="majorHAnsi" w:cstheme="majorBidi"/>
      <w:b/>
      <w:bCs/>
      <w:color w:val="D97A1E"/>
      <w:sz w:val="3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before="240" w:after="160" w:line="300" w:lineRule="auto"/>
      <w:contextualSpacing/>
    </w:pPr>
    <w:rPr>
      <w:rFonts w:asciiTheme="majorHAnsi" w:eastAsiaTheme="majorEastAsia" w:hAnsiTheme="majorHAnsi" w:cstheme="majorBidi"/>
      <w:b/>
      <w:color w:val="0F4069"/>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ind w:firstLine="283"/>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Cs/>
      <w:sz w:val="24"/>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Reference">
    <w:name w:val="Reference"/>
    <w:pPr>
      <w:spacing w:after="180"/>
      <w:ind w:left="283"/>
    </w:pPr>
    <w:rPr>
      <w:rFonts w:ascii="Times New Roman" w:eastAsia="Times New Roman" w:hAnsi="Times New Roman" w:cs="Times New Roman"/>
      <w:color w:val="111827"/>
      <w:sz w:val="24"/>
    </w:rPr>
  </w:style>
  <w:style w:type="paragraph" w:styleId="TOC1">
    <w:name w:val="toc 1"/>
    <w:basedOn w:val="Normal"/>
    <w:next w:val="Normal"/>
    <w:autoRedefine/>
    <w:uiPriority w:val="39"/>
    <w:unhideWhenUsed/>
    <w:rsid w:val="00A27841"/>
    <w:pPr>
      <w:spacing w:after="100"/>
    </w:pPr>
  </w:style>
  <w:style w:type="paragraph" w:styleId="TOC2">
    <w:name w:val="toc 2"/>
    <w:basedOn w:val="Normal"/>
    <w:next w:val="Normal"/>
    <w:autoRedefine/>
    <w:uiPriority w:val="39"/>
    <w:unhideWhenUsed/>
    <w:rsid w:val="00A27841"/>
    <w:pPr>
      <w:spacing w:after="100"/>
      <w:ind w:left="280"/>
    </w:pPr>
  </w:style>
  <w:style w:type="paragraph" w:styleId="TOC3">
    <w:name w:val="toc 3"/>
    <w:basedOn w:val="Normal"/>
    <w:next w:val="Normal"/>
    <w:autoRedefine/>
    <w:uiPriority w:val="39"/>
    <w:unhideWhenUsed/>
    <w:rsid w:val="00A27841"/>
    <w:pPr>
      <w:spacing w:after="100"/>
      <w:ind w:left="560"/>
    </w:pPr>
  </w:style>
  <w:style w:type="paragraph" w:styleId="TOC4">
    <w:name w:val="toc 4"/>
    <w:basedOn w:val="Normal"/>
    <w:next w:val="Normal"/>
    <w:autoRedefine/>
    <w:uiPriority w:val="39"/>
    <w:unhideWhenUsed/>
    <w:rsid w:val="00A27841"/>
    <w:pPr>
      <w:spacing w:after="100" w:line="278" w:lineRule="auto"/>
      <w:ind w:left="720" w:firstLine="0"/>
      <w:jc w:val="left"/>
    </w:pPr>
    <w:rPr>
      <w:rFonts w:asciiTheme="minorHAnsi" w:eastAsiaTheme="minorEastAsia" w:hAnsiTheme="minorHAnsi" w:cstheme="minorBidi"/>
      <w:color w:val="auto"/>
      <w:kern w:val="2"/>
      <w:sz w:val="24"/>
      <w:szCs w:val="24"/>
      <w14:ligatures w14:val="standardContextual"/>
    </w:rPr>
  </w:style>
  <w:style w:type="paragraph" w:styleId="TOC5">
    <w:name w:val="toc 5"/>
    <w:basedOn w:val="Normal"/>
    <w:next w:val="Normal"/>
    <w:autoRedefine/>
    <w:uiPriority w:val="39"/>
    <w:unhideWhenUsed/>
    <w:rsid w:val="00A27841"/>
    <w:pPr>
      <w:spacing w:after="100" w:line="278" w:lineRule="auto"/>
      <w:ind w:left="960" w:firstLine="0"/>
      <w:jc w:val="left"/>
    </w:pPr>
    <w:rPr>
      <w:rFonts w:asciiTheme="minorHAnsi" w:eastAsiaTheme="minorEastAsia" w:hAnsiTheme="minorHAnsi" w:cstheme="minorBidi"/>
      <w:color w:val="auto"/>
      <w:kern w:val="2"/>
      <w:sz w:val="24"/>
      <w:szCs w:val="24"/>
      <w14:ligatures w14:val="standardContextual"/>
    </w:rPr>
  </w:style>
  <w:style w:type="paragraph" w:styleId="TOC6">
    <w:name w:val="toc 6"/>
    <w:basedOn w:val="Normal"/>
    <w:next w:val="Normal"/>
    <w:autoRedefine/>
    <w:uiPriority w:val="39"/>
    <w:unhideWhenUsed/>
    <w:rsid w:val="00A27841"/>
    <w:pPr>
      <w:spacing w:after="100" w:line="278" w:lineRule="auto"/>
      <w:ind w:left="1200" w:firstLine="0"/>
      <w:jc w:val="left"/>
    </w:pPr>
    <w:rPr>
      <w:rFonts w:asciiTheme="minorHAnsi" w:eastAsiaTheme="minorEastAsia" w:hAnsiTheme="minorHAnsi" w:cstheme="minorBidi"/>
      <w:color w:val="auto"/>
      <w:kern w:val="2"/>
      <w:sz w:val="24"/>
      <w:szCs w:val="24"/>
      <w14:ligatures w14:val="standardContextual"/>
    </w:rPr>
  </w:style>
  <w:style w:type="paragraph" w:styleId="TOC7">
    <w:name w:val="toc 7"/>
    <w:basedOn w:val="Normal"/>
    <w:next w:val="Normal"/>
    <w:autoRedefine/>
    <w:uiPriority w:val="39"/>
    <w:unhideWhenUsed/>
    <w:rsid w:val="00A27841"/>
    <w:pPr>
      <w:spacing w:after="100" w:line="278" w:lineRule="auto"/>
      <w:ind w:left="1440" w:firstLine="0"/>
      <w:jc w:val="left"/>
    </w:pPr>
    <w:rPr>
      <w:rFonts w:asciiTheme="minorHAnsi" w:eastAsiaTheme="minorEastAsia" w:hAnsiTheme="minorHAnsi" w:cstheme="minorBidi"/>
      <w:color w:val="auto"/>
      <w:kern w:val="2"/>
      <w:sz w:val="24"/>
      <w:szCs w:val="24"/>
      <w14:ligatures w14:val="standardContextual"/>
    </w:rPr>
  </w:style>
  <w:style w:type="paragraph" w:styleId="TOC8">
    <w:name w:val="toc 8"/>
    <w:basedOn w:val="Normal"/>
    <w:next w:val="Normal"/>
    <w:autoRedefine/>
    <w:uiPriority w:val="39"/>
    <w:unhideWhenUsed/>
    <w:rsid w:val="00A27841"/>
    <w:pPr>
      <w:spacing w:after="100" w:line="278" w:lineRule="auto"/>
      <w:ind w:left="1680" w:firstLine="0"/>
      <w:jc w:val="left"/>
    </w:pPr>
    <w:rPr>
      <w:rFonts w:asciiTheme="minorHAnsi" w:eastAsiaTheme="minorEastAsia" w:hAnsiTheme="minorHAnsi" w:cstheme="minorBidi"/>
      <w:color w:val="auto"/>
      <w:kern w:val="2"/>
      <w:sz w:val="24"/>
      <w:szCs w:val="24"/>
      <w14:ligatures w14:val="standardContextual"/>
    </w:rPr>
  </w:style>
  <w:style w:type="paragraph" w:styleId="TOC9">
    <w:name w:val="toc 9"/>
    <w:basedOn w:val="Normal"/>
    <w:next w:val="Normal"/>
    <w:autoRedefine/>
    <w:uiPriority w:val="39"/>
    <w:unhideWhenUsed/>
    <w:rsid w:val="00A27841"/>
    <w:pPr>
      <w:spacing w:after="100" w:line="278" w:lineRule="auto"/>
      <w:ind w:left="1920" w:firstLine="0"/>
      <w:jc w:val="left"/>
    </w:pPr>
    <w:rPr>
      <w:rFonts w:asciiTheme="minorHAnsi" w:eastAsiaTheme="minorEastAsia" w:hAnsiTheme="minorHAnsi" w:cstheme="minorBidi"/>
      <w:color w:val="auto"/>
      <w:kern w:val="2"/>
      <w:sz w:val="24"/>
      <w:szCs w:val="24"/>
      <w14:ligatures w14:val="standardContextual"/>
    </w:rPr>
  </w:style>
  <w:style w:type="character" w:styleId="Hyperlink">
    <w:name w:val="Hyperlink"/>
    <w:basedOn w:val="DefaultParagraphFont"/>
    <w:uiPriority w:val="99"/>
    <w:unhideWhenUsed/>
    <w:rsid w:val="00A27841"/>
    <w:rPr>
      <w:color w:val="0000FF" w:themeColor="hyperlink"/>
      <w:u w:val="single"/>
    </w:rPr>
  </w:style>
  <w:style w:type="character" w:styleId="UnresolvedMention">
    <w:name w:val="Unresolved Mention"/>
    <w:basedOn w:val="DefaultParagraphFont"/>
    <w:uiPriority w:val="99"/>
    <w:semiHidden/>
    <w:unhideWhenUsed/>
    <w:rsid w:val="00A27841"/>
    <w:rPr>
      <w:color w:val="605E5C"/>
      <w:shd w:val="clear" w:color="auto" w:fill="E1DFDD"/>
    </w:rPr>
  </w:style>
  <w:style w:type="paragraph" w:styleId="NormalWeb">
    <w:name w:val="Normal (Web)"/>
    <w:basedOn w:val="Normal"/>
    <w:uiPriority w:val="99"/>
    <w:semiHidden/>
    <w:unhideWhenUsed/>
    <w:rsid w:val="00A17C2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31</Pages>
  <Words>7755</Words>
  <Characters>44209</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51861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أثر الإدارة الاستراتيجية على كفاءة التشغيل</dc:title>
  <dc:subject>رسالة ماجستير في إدارة الأعمال - جامعة ميدأوشن</dc:subject>
  <dc:creator>عادل زكي الصبحي</dc:creator>
  <cp:keywords>الإدارة الاستراتيجية، كفاءة التشغيل، تحلية مياه البحر، شركة مرافق</cp:keywords>
  <dc:description>generated by python-docx</dc:description>
  <cp:lastModifiedBy>mohamed ssmart88</cp:lastModifiedBy>
  <cp:revision>2</cp:revision>
  <cp:lastPrinted>2026-07-26T17:54:00Z</cp:lastPrinted>
  <dcterms:created xsi:type="dcterms:W3CDTF">2026-07-26T17:59:00Z</dcterms:created>
  <dcterms:modified xsi:type="dcterms:W3CDTF">2026-07-26T17:59:00Z</dcterms:modified>
  <cp:category/>
</cp:coreProperties>
</file>