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D2A1" w14:textId="77777777" w:rsidR="00454428" w:rsidRDefault="00000000" w:rsidP="00C72BA8">
      <w:pPr>
        <w:pStyle w:val="Body"/>
        <w:spacing w:line="360" w:lineRule="auto"/>
        <w:rPr>
          <w:rFonts w:ascii="Times New Roman" w:eastAsia="Times New Roman" w:hAnsi="Times New Roman" w:cs="Times New Roman"/>
          <w:b/>
          <w:bCs/>
          <w:sz w:val="28"/>
          <w:szCs w:val="28"/>
        </w:rPr>
      </w:pPr>
      <w:r>
        <w:rPr>
          <w:rFonts w:ascii="Times New Roman" w:hAnsi="Times New Roman"/>
          <w:noProof/>
          <w:sz w:val="28"/>
          <w:szCs w:val="28"/>
        </w:rPr>
        <mc:AlternateContent>
          <mc:Choice Requires="wps">
            <w:drawing>
              <wp:anchor distT="0" distB="0" distL="0" distR="0" simplePos="0" relativeHeight="251660288" behindDoc="0" locked="0" layoutInCell="1" allowOverlap="1" wp14:anchorId="40C0D051" wp14:editId="4754C8F8">
                <wp:simplePos x="0" y="0"/>
                <wp:positionH relativeFrom="column">
                  <wp:posOffset>3533379</wp:posOffset>
                </wp:positionH>
                <wp:positionV relativeFrom="line">
                  <wp:posOffset>-4445</wp:posOffset>
                </wp:positionV>
                <wp:extent cx="1990725" cy="885825"/>
                <wp:effectExtent l="0" t="0" r="0" b="0"/>
                <wp:wrapNone/>
                <wp:docPr id="1073741825" name="officeArt object" descr="مربع نص 6"/>
                <wp:cNvGraphicFramePr/>
                <a:graphic xmlns:a="http://schemas.openxmlformats.org/drawingml/2006/main">
                  <a:graphicData uri="http://schemas.microsoft.com/office/word/2010/wordprocessingShape">
                    <wps:wsp>
                      <wps:cNvSpPr txBox="1"/>
                      <wps:spPr>
                        <a:xfrm>
                          <a:off x="0" y="0"/>
                          <a:ext cx="1990725" cy="885825"/>
                        </a:xfrm>
                        <a:prstGeom prst="rect">
                          <a:avLst/>
                        </a:prstGeom>
                        <a:solidFill>
                          <a:srgbClr val="FFFFFF"/>
                        </a:solidFill>
                        <a:ln w="12700" cap="flat">
                          <a:noFill/>
                          <a:miter lim="400000"/>
                        </a:ln>
                        <a:effectLst/>
                      </wps:spPr>
                      <wps:txbx>
                        <w:txbxContent>
                          <w:p w14:paraId="5D4066CA" w14:textId="77777777" w:rsidR="00454428" w:rsidRDefault="00000000">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0AB4292E" w14:textId="77777777" w:rsidR="00454428" w:rsidRDefault="00000000">
                            <w:pPr>
                              <w:pStyle w:val="Body"/>
                              <w:spacing w:after="200" w:line="276" w:lineRule="auto"/>
                              <w:jc w:val="center"/>
                            </w:pPr>
                            <w:r>
                              <w:rPr>
                                <w:rFonts w:ascii="Arial Unicode MS" w:hAnsi="Arial Unicode MS" w:cs="Times New Roman" w:hint="cs"/>
                                <w:b/>
                                <w:bCs/>
                                <w:sz w:val="24"/>
                                <w:szCs w:val="24"/>
                                <w:rtl/>
                                <w:lang w:val="ar-SA"/>
                              </w:rPr>
                              <w:t>برنامج دكتوراه القانون</w:t>
                            </w:r>
                          </w:p>
                        </w:txbxContent>
                      </wps:txbx>
                      <wps:bodyPr wrap="square" lIns="45719" tIns="45719" rIns="45719" bIns="45719" numCol="1" anchor="t">
                        <a:noAutofit/>
                      </wps:bodyPr>
                    </wps:wsp>
                  </a:graphicData>
                </a:graphic>
              </wp:anchor>
            </w:drawing>
          </mc:Choice>
          <mc:Fallback>
            <w:pict>
              <v:shapetype w14:anchorId="40C0D051" id="_x0000_t202" coordsize="21600,21600" o:spt="202" path="m,l,21600r21600,l21600,xe">
                <v:stroke joinstyle="miter"/>
                <v:path gradientshapeok="t" o:connecttype="rect"/>
              </v:shapetype>
              <v:shape id="officeArt object" o:spid="_x0000_s1026" type="#_x0000_t202" alt="مربع نص 6" style="position:absolute;left:0;text-align:left;margin-left:278.2pt;margin-top:-.35pt;width:156.75pt;height:69.7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" stroked="f" strokeweight="1pt">
                <v:stroke miterlimit="4"/>
                <v:textbox inset="1.27mm,1.27mm,1.27mm,1.27mm">
                  <w:txbxContent>
                    <w:p w14:paraId="5D4066CA" w14:textId="77777777" w:rsidR="00454428" w:rsidRDefault="00000000">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0AB4292E" w14:textId="77777777" w:rsidR="00454428" w:rsidRDefault="00000000">
                      <w:pPr>
                        <w:pStyle w:val="Body"/>
                        <w:spacing w:after="200" w:line="276" w:lineRule="auto"/>
                        <w:jc w:val="center"/>
                      </w:pPr>
                      <w:r>
                        <w:rPr>
                          <w:rFonts w:ascii="Arial Unicode MS" w:hAnsi="Arial Unicode MS" w:cs="Times New Roman" w:hint="cs"/>
                          <w:b/>
                          <w:bCs/>
                          <w:sz w:val="24"/>
                          <w:szCs w:val="24"/>
                          <w:rtl/>
                          <w:lang w:val="ar-SA"/>
                        </w:rPr>
                        <w:t>برنامج دكتوراه القانون</w:t>
                      </w:r>
                    </w:p>
                  </w:txbxContent>
                </v:textbox>
                <w10:wrap anchory="line"/>
              </v:shape>
            </w:pict>
          </mc:Fallback>
        </mc:AlternateContent>
      </w:r>
      <w:r>
        <w:rPr>
          <w:rFonts w:ascii="Times New Roman" w:eastAsia="Times New Roman" w:hAnsi="Times New Roman" w:cs="Times New Roman"/>
          <w:noProof/>
          <w:sz w:val="28"/>
          <w:szCs w:val="28"/>
        </w:rPr>
        <mc:AlternateContent>
          <mc:Choice Requires="wps">
            <w:drawing>
              <wp:anchor distT="0" distB="0" distL="0" distR="0" simplePos="0" relativeHeight="251659264" behindDoc="0" locked="0" layoutInCell="1" allowOverlap="1" wp14:anchorId="08870892" wp14:editId="3F607A6B">
                <wp:simplePos x="0" y="0"/>
                <wp:positionH relativeFrom="column">
                  <wp:posOffset>-567690</wp:posOffset>
                </wp:positionH>
                <wp:positionV relativeFrom="line">
                  <wp:posOffset>-805180</wp:posOffset>
                </wp:positionV>
                <wp:extent cx="2927986" cy="1819275"/>
                <wp:effectExtent l="0" t="0" r="0" b="0"/>
                <wp:wrapNone/>
                <wp:docPr id="1073741826" name="officeArt object" descr="مربع نص 2"/>
                <wp:cNvGraphicFramePr/>
                <a:graphic xmlns:a="http://schemas.openxmlformats.org/drawingml/2006/main">
                  <a:graphicData uri="http://schemas.microsoft.com/office/word/2010/wordprocessingShape">
                    <wps:wsp>
                      <wps:cNvSpPr txBox="1"/>
                      <wps:spPr>
                        <a:xfrm>
                          <a:off x="0" y="0"/>
                          <a:ext cx="2927986" cy="1819275"/>
                        </a:xfrm>
                        <a:prstGeom prst="rect">
                          <a:avLst/>
                        </a:prstGeom>
                        <a:noFill/>
                        <a:ln w="12700" cap="flat">
                          <a:noFill/>
                          <a:miter lim="400000"/>
                        </a:ln>
                        <a:effectLst/>
                      </wps:spPr>
                      <wps:txbx>
                        <w:txbxContent>
                          <w:p w14:paraId="5A5BCD88" w14:textId="77777777" w:rsidR="00454428" w:rsidRDefault="00000000">
                            <w:pPr>
                              <w:pStyle w:val="Body"/>
                              <w:jc w:val="center"/>
                            </w:pPr>
                            <w:r>
                              <w:rPr>
                                <w:rStyle w:val="NoneA"/>
                                <w:noProof/>
                              </w:rPr>
                              <w:drawing>
                                <wp:inline distT="0" distB="0" distL="0" distR="0" wp14:anchorId="078B91D5" wp14:editId="10663A79">
                                  <wp:extent cx="1724534" cy="17245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8"/>
                                          <a:stretch>
                                            <a:fillRect/>
                                          </a:stretch>
                                        </pic:blipFill>
                                        <pic:spPr>
                                          <a:xfrm>
                                            <a:off x="0" y="0"/>
                                            <a:ext cx="1724534" cy="1724534"/>
                                          </a:xfrm>
                                          <a:prstGeom prst="rect">
                                            <a:avLst/>
                                          </a:prstGeom>
                                        </pic:spPr>
                                      </pic:pic>
                                    </a:graphicData>
                                  </a:graphic>
                                </wp:inline>
                              </w:drawing>
                            </w:r>
                          </w:p>
                        </w:txbxContent>
                      </wps:txbx>
                      <wps:bodyPr wrap="square" lIns="45719" tIns="45719" rIns="45719" bIns="45719" numCol="1" anchor="t">
                        <a:noAutofit/>
                      </wps:bodyPr>
                    </wps:wsp>
                  </a:graphicData>
                </a:graphic>
              </wp:anchor>
            </w:drawing>
          </mc:Choice>
          <mc:Fallback>
            <w:pict>
              <v:shape w14:anchorId="08870892" id="_x0000_s1027" type="#_x0000_t202" alt="مربع نص 2" style="position:absolute;left:0;text-align:left;margin-left:-44.7pt;margin-top:-63.4pt;width:230.55pt;height:143.25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" filled="f" stroked="f" strokeweight="1pt">
                <v:stroke miterlimit="4"/>
                <v:textbox inset="1.27mm,1.27mm,1.27mm,1.27mm">
                  <w:txbxContent>
                    <w:p w14:paraId="5A5BCD88" w14:textId="77777777" w:rsidR="00454428" w:rsidRDefault="00000000">
                      <w:pPr>
                        <w:pStyle w:val="Body"/>
                        <w:jc w:val="center"/>
                      </w:pPr>
                      <w:r>
                        <w:rPr>
                          <w:rStyle w:val="NoneA"/>
                          <w:noProof/>
                        </w:rPr>
                        <w:drawing>
                          <wp:inline distT="0" distB="0" distL="0" distR="0" wp14:anchorId="078B91D5" wp14:editId="10663A79">
                            <wp:extent cx="1724534" cy="17245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a:blip r:embed="rId8"/>
                                    <a:stretch>
                                      <a:fillRect/>
                                    </a:stretch>
                                  </pic:blipFill>
                                  <pic:spPr>
                                    <a:xfrm>
                                      <a:off x="0" y="0"/>
                                      <a:ext cx="1724534" cy="1724534"/>
                                    </a:xfrm>
                                    <a:prstGeom prst="rect">
                                      <a:avLst/>
                                    </a:prstGeom>
                                  </pic:spPr>
                                </pic:pic>
                              </a:graphicData>
                            </a:graphic>
                          </wp:inline>
                        </w:drawing>
                      </w:r>
                    </w:p>
                  </w:txbxContent>
                </v:textbox>
                <w10:wrap anchory="line"/>
              </v:shape>
            </w:pict>
          </mc:Fallback>
        </mc:AlternateContent>
      </w:r>
      <w:r>
        <w:rPr>
          <w:rFonts w:ascii="Times New Roman" w:hAnsi="Times New Roman"/>
          <w:b/>
          <w:bCs/>
          <w:sz w:val="28"/>
          <w:szCs w:val="28"/>
        </w:rPr>
        <w:t xml:space="preserve">   </w:t>
      </w:r>
    </w:p>
    <w:p w14:paraId="24165F61" w14:textId="77777777" w:rsidR="00454428" w:rsidRDefault="00454428" w:rsidP="00C72BA8">
      <w:pPr>
        <w:pStyle w:val="Body"/>
        <w:spacing w:line="360" w:lineRule="auto"/>
        <w:rPr>
          <w:rFonts w:ascii="Times New Roman" w:eastAsia="Times New Roman" w:hAnsi="Times New Roman" w:cs="Times New Roman"/>
          <w:lang w:val="ar-SA"/>
        </w:rPr>
      </w:pPr>
    </w:p>
    <w:p w14:paraId="0955CD81"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Pr>
      </w:pPr>
      <w:bookmarkStart w:id="0" w:name="_Hlk180453328"/>
    </w:p>
    <w:p w14:paraId="3BB9895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lang w:val="ar-SA"/>
        </w:rPr>
      </w:pPr>
    </w:p>
    <w:p w14:paraId="57D74A70"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lang w:val="ar-SA"/>
        </w:rPr>
      </w:pPr>
    </w:p>
    <w:p w14:paraId="794F977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Pr>
      </w:pPr>
    </w:p>
    <w:p w14:paraId="7D733FFE" w14:textId="77777777" w:rsidR="00454428" w:rsidRDefault="00000000" w:rsidP="00C72BA8">
      <w:pPr>
        <w:pStyle w:val="Body"/>
        <w:spacing w:line="360" w:lineRule="auto"/>
        <w:jc w:val="center"/>
        <w:rPr>
          <w:rFonts w:ascii="Times New Roman" w:eastAsia="Times New Roman" w:hAnsi="Times New Roman" w:cs="Times New Roman"/>
          <w:b/>
          <w:bCs/>
          <w:spacing w:val="-4"/>
          <w:sz w:val="36"/>
          <w:szCs w:val="36"/>
        </w:rPr>
      </w:pPr>
      <w:r>
        <w:rPr>
          <w:rFonts w:ascii="Arial Unicode MS" w:hAnsi="Arial Unicode MS" w:cs="Times New Roman" w:hint="cs"/>
          <w:b/>
          <w:bCs/>
          <w:spacing w:val="-4"/>
          <w:sz w:val="36"/>
          <w:szCs w:val="36"/>
          <w:rtl/>
          <w:lang w:val="ar-SA"/>
        </w:rPr>
        <w:t xml:space="preserve">رسالة </w:t>
      </w:r>
      <w:bookmarkEnd w:id="0"/>
      <w:r>
        <w:rPr>
          <w:rFonts w:ascii="Arial Unicode MS" w:hAnsi="Arial Unicode MS" w:cs="Times New Roman" w:hint="cs"/>
          <w:b/>
          <w:bCs/>
          <w:spacing w:val="-4"/>
          <w:sz w:val="36"/>
          <w:szCs w:val="36"/>
          <w:rtl/>
          <w:lang w:val="ar-SA"/>
        </w:rPr>
        <w:t>بعنـوان</w:t>
      </w:r>
    </w:p>
    <w:p w14:paraId="496AEC48" w14:textId="77777777" w:rsidR="00454428" w:rsidRDefault="00000000" w:rsidP="00C72BA8">
      <w:pPr>
        <w:pStyle w:val="Body"/>
        <w:spacing w:before="240" w:line="360" w:lineRule="auto"/>
        <w:jc w:val="center"/>
        <w:rPr>
          <w:rFonts w:ascii="Times New Roman" w:eastAsia="Times New Roman" w:hAnsi="Times New Roman" w:cs="Times New Roman"/>
          <w:b/>
          <w:bCs/>
          <w:sz w:val="36"/>
          <w:szCs w:val="36"/>
        </w:rPr>
      </w:pPr>
      <w:bookmarkStart w:id="1" w:name="_Hlk175677510"/>
      <w:r>
        <w:rPr>
          <w:rFonts w:ascii="Arial Unicode MS" w:hAnsi="Arial Unicode MS" w:cs="Times New Roman" w:hint="cs"/>
          <w:b/>
          <w:bCs/>
          <w:sz w:val="36"/>
          <w:szCs w:val="36"/>
          <w:rtl/>
          <w:lang w:val="ar-SA"/>
        </w:rPr>
        <w:t xml:space="preserve">الحمـاية القانونيـة لحقـوق الملكيـة الفكرية في البيئة الرقميـة </w:t>
      </w:r>
      <w:bookmarkEnd w:id="1"/>
    </w:p>
    <w:p w14:paraId="25F76D7C" w14:textId="77777777" w:rsidR="00454428" w:rsidRDefault="00000000" w:rsidP="00C72BA8">
      <w:pPr>
        <w:pStyle w:val="Body"/>
        <w:spacing w:line="360" w:lineRule="auto"/>
        <w:jc w:val="center"/>
        <w:rPr>
          <w:rFonts w:ascii="Times New Roman" w:eastAsia="Times New Roman" w:hAnsi="Times New Roman" w:cs="Times New Roman"/>
          <w:b/>
          <w:bCs/>
          <w:sz w:val="36"/>
          <w:szCs w:val="36"/>
        </w:rPr>
      </w:pPr>
      <w:r>
        <w:rPr>
          <w:rFonts w:ascii="Times New Roman" w:hAnsi="Times New Roman"/>
          <w:b/>
          <w:bCs/>
          <w:sz w:val="36"/>
          <w:szCs w:val="36"/>
          <w:rtl/>
          <w:lang w:val="ar-SA"/>
        </w:rPr>
        <w:t>"</w:t>
      </w:r>
      <w:r>
        <w:rPr>
          <w:rFonts w:ascii="Arial Unicode MS" w:hAnsi="Arial Unicode MS" w:cs="Times New Roman" w:hint="cs"/>
          <w:b/>
          <w:bCs/>
          <w:sz w:val="36"/>
          <w:szCs w:val="36"/>
          <w:rtl/>
          <w:lang w:val="ar-SA"/>
        </w:rPr>
        <w:t>دراسة مقارنة</w:t>
      </w:r>
      <w:r>
        <w:rPr>
          <w:rFonts w:ascii="Times New Roman" w:hAnsi="Times New Roman"/>
          <w:b/>
          <w:bCs/>
          <w:sz w:val="36"/>
          <w:szCs w:val="36"/>
          <w:rtl/>
          <w:lang w:val="ar-SA"/>
        </w:rPr>
        <w:t>"</w:t>
      </w:r>
    </w:p>
    <w:p w14:paraId="6AB1A368" w14:textId="77777777" w:rsidR="00454428" w:rsidRPr="00113335" w:rsidRDefault="00454428" w:rsidP="00113335">
      <w:pPr>
        <w:pStyle w:val="Body"/>
        <w:spacing w:line="360" w:lineRule="auto"/>
        <w:rPr>
          <w:rFonts w:ascii="Times New Roman" w:eastAsia="Times New Roman" w:hAnsi="Times New Roman" w:cs="Times New Roman"/>
          <w:b/>
          <w:bCs/>
          <w:sz w:val="36"/>
          <w:szCs w:val="36"/>
        </w:rPr>
      </w:pPr>
    </w:p>
    <w:p w14:paraId="3BD6B814" w14:textId="77777777" w:rsidR="00454428" w:rsidRDefault="00454428" w:rsidP="00C72BA8">
      <w:pPr>
        <w:pStyle w:val="Body"/>
        <w:spacing w:line="360" w:lineRule="auto"/>
        <w:jc w:val="center"/>
        <w:rPr>
          <w:rFonts w:ascii="Times New Roman" w:eastAsia="Times New Roman" w:hAnsi="Times New Roman" w:cs="Times New Roman"/>
          <w:b/>
          <w:bCs/>
          <w:sz w:val="20"/>
          <w:szCs w:val="20"/>
          <w:lang w:val="ar-SA"/>
        </w:rPr>
      </w:pPr>
    </w:p>
    <w:p w14:paraId="6B60547B" w14:textId="525C45B9" w:rsidR="00454428" w:rsidRPr="00113335" w:rsidRDefault="00000000" w:rsidP="00113335">
      <w:pPr>
        <w:pStyle w:val="Body"/>
        <w:spacing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رسالة مقدمــة لجامعة ميد أوشن لاستكمال متطلبات نيـل درجـة الدكتـوراه في القانون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الملكية الفكرية</w:t>
      </w:r>
      <w:r>
        <w:rPr>
          <w:rFonts w:ascii="Times New Roman" w:hAnsi="Times New Roman"/>
          <w:b/>
          <w:bCs/>
          <w:sz w:val="24"/>
          <w:szCs w:val="24"/>
          <w:rtl/>
          <w:lang w:val="ar-SA"/>
        </w:rPr>
        <w:t>"</w:t>
      </w:r>
    </w:p>
    <w:p w14:paraId="6995DF67"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إعداد</w:t>
      </w:r>
      <w:r>
        <w:rPr>
          <w:rFonts w:ascii="Times New Roman" w:hAnsi="Times New Roman"/>
          <w:b/>
          <w:bCs/>
          <w:sz w:val="28"/>
          <w:szCs w:val="28"/>
          <w:rtl/>
          <w:lang w:val="ar-SA"/>
        </w:rPr>
        <w:t>:</w:t>
      </w:r>
    </w:p>
    <w:p w14:paraId="35A861D6"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الباحـث</w:t>
      </w:r>
      <w:r>
        <w:rPr>
          <w:rFonts w:ascii="Times New Roman" w:hAnsi="Times New Roman"/>
          <w:b/>
          <w:bCs/>
          <w:sz w:val="28"/>
          <w:szCs w:val="28"/>
          <w:rtl/>
          <w:lang w:val="ar-SA"/>
        </w:rPr>
        <w:t xml:space="preserve">: </w:t>
      </w:r>
      <w:r>
        <w:rPr>
          <w:rFonts w:ascii="Arial Unicode MS" w:hAnsi="Arial Unicode MS" w:cs="Times New Roman" w:hint="cs"/>
          <w:b/>
          <w:bCs/>
          <w:sz w:val="28"/>
          <w:szCs w:val="28"/>
          <w:rtl/>
          <w:lang w:val="ar-SA"/>
        </w:rPr>
        <w:t>خـالد عمـر بـاراس</w:t>
      </w:r>
    </w:p>
    <w:p w14:paraId="17BE2C68" w14:textId="77777777" w:rsidR="00454428" w:rsidRDefault="00000000" w:rsidP="00C72BA8">
      <w:pPr>
        <w:pStyle w:val="Body"/>
        <w:spacing w:line="360" w:lineRule="auto"/>
        <w:jc w:val="center"/>
        <w:rPr>
          <w:rFonts w:ascii="Times New Roman" w:eastAsia="Times New Roman" w:hAnsi="Times New Roman" w:cs="Times New Roman"/>
          <w:b/>
          <w:bCs/>
          <w:sz w:val="28"/>
          <w:szCs w:val="28"/>
        </w:rPr>
      </w:pPr>
      <w:r>
        <w:rPr>
          <w:rFonts w:ascii="Arial Unicode MS" w:hAnsi="Arial Unicode MS" w:cs="Times New Roman" w:hint="cs"/>
          <w:b/>
          <w:bCs/>
          <w:sz w:val="28"/>
          <w:szCs w:val="28"/>
          <w:rtl/>
          <w:lang w:val="ar-SA"/>
        </w:rPr>
        <w:t>الرقـم الأكاديمي</w:t>
      </w:r>
      <w:r>
        <w:rPr>
          <w:rFonts w:ascii="Times New Roman" w:hAnsi="Times New Roman"/>
          <w:b/>
          <w:bCs/>
          <w:sz w:val="28"/>
          <w:szCs w:val="28"/>
          <w:rtl/>
          <w:lang w:val="ar-SA"/>
        </w:rPr>
        <w:t>: 232001583</w:t>
      </w:r>
    </w:p>
    <w:p w14:paraId="2C124B2A" w14:textId="77777777" w:rsidR="00454428" w:rsidRPr="00113335" w:rsidRDefault="00454428" w:rsidP="00C72BA8">
      <w:pPr>
        <w:pStyle w:val="Body"/>
        <w:spacing w:line="360" w:lineRule="auto"/>
        <w:rPr>
          <w:rFonts w:ascii="Times New Roman" w:eastAsia="Times New Roman" w:hAnsi="Times New Roman" w:cs="Times New Roman"/>
        </w:rPr>
      </w:pPr>
    </w:p>
    <w:p w14:paraId="54DA472C" w14:textId="77777777" w:rsidR="00454428" w:rsidRDefault="00000000" w:rsidP="00C72BA8">
      <w:pPr>
        <w:pStyle w:val="Body"/>
        <w:spacing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العام الجامعي</w:t>
      </w:r>
      <w:r>
        <w:rPr>
          <w:rFonts w:ascii="Times New Roman" w:hAnsi="Times New Roman"/>
          <w:b/>
          <w:bCs/>
          <w:sz w:val="24"/>
          <w:szCs w:val="24"/>
          <w:rtl/>
          <w:lang w:val="ar-SA"/>
        </w:rPr>
        <w:t xml:space="preserve">: </w:t>
      </w:r>
    </w:p>
    <w:p w14:paraId="54E956AC" w14:textId="098842DD" w:rsidR="00454428" w:rsidRDefault="00000000" w:rsidP="00C72BA8">
      <w:pPr>
        <w:pStyle w:val="Body"/>
        <w:spacing w:line="360" w:lineRule="auto"/>
        <w:jc w:val="center"/>
        <w:rPr>
          <w:rFonts w:ascii="Times New Roman" w:eastAsia="Times New Roman" w:hAnsi="Times New Roman" w:cs="Times New Roman"/>
          <w:b/>
          <w:bCs/>
          <w:sz w:val="24"/>
          <w:szCs w:val="24"/>
        </w:rPr>
      </w:pPr>
      <w:r>
        <w:rPr>
          <w:rFonts w:ascii="Times New Roman" w:hAnsi="Times New Roman"/>
          <w:b/>
          <w:bCs/>
          <w:sz w:val="24"/>
          <w:szCs w:val="24"/>
          <w:rtl/>
        </w:rPr>
        <w:t>1447</w:t>
      </w:r>
      <w:r>
        <w:rPr>
          <w:rFonts w:ascii="Arial Unicode MS" w:hAnsi="Arial Unicode MS" w:cs="Times New Roman" w:hint="cs"/>
          <w:b/>
          <w:bCs/>
          <w:sz w:val="24"/>
          <w:szCs w:val="24"/>
          <w:rtl/>
          <w:lang w:val="ar-SA"/>
        </w:rPr>
        <w:t xml:space="preserve">هـ </w:t>
      </w:r>
      <w:r>
        <w:rPr>
          <w:rFonts w:ascii="Times New Roman" w:hAnsi="Times New Roman"/>
          <w:b/>
          <w:bCs/>
          <w:sz w:val="24"/>
          <w:szCs w:val="24"/>
          <w:rtl/>
          <w:lang w:val="ar-SA"/>
        </w:rPr>
        <w:t xml:space="preserve">- </w:t>
      </w:r>
      <w:r w:rsidR="00087562">
        <w:rPr>
          <w:rFonts w:ascii="Times New Roman" w:hAnsi="Times New Roman" w:hint="cs"/>
          <w:b/>
          <w:bCs/>
          <w:sz w:val="24"/>
          <w:szCs w:val="24"/>
          <w:rtl/>
          <w:lang w:bidi="ar-EG"/>
        </w:rPr>
        <w:t>2026</w:t>
      </w:r>
      <w:r>
        <w:rPr>
          <w:rFonts w:ascii="Arial Unicode MS" w:hAnsi="Arial Unicode MS" w:cs="Times New Roman" w:hint="cs"/>
          <w:b/>
          <w:bCs/>
          <w:sz w:val="24"/>
          <w:szCs w:val="24"/>
          <w:rtl/>
          <w:lang w:val="ar-SA"/>
        </w:rPr>
        <w:t>م</w:t>
      </w:r>
    </w:p>
    <w:p w14:paraId="16AEEFB6" w14:textId="77777777" w:rsidR="00454428" w:rsidRDefault="00454428" w:rsidP="00C72BA8">
      <w:pPr>
        <w:pStyle w:val="Body"/>
        <w:spacing w:line="360" w:lineRule="auto"/>
        <w:sectPr w:rsidR="00454428">
          <w:footerReference w:type="default" r:id="rId9"/>
          <w:footnotePr>
            <w:numRestart w:val="eachPage"/>
          </w:footnotePr>
          <w:pgSz w:w="11900" w:h="16840"/>
          <w:pgMar w:top="1418" w:right="1985" w:bottom="1418" w:left="1418" w:header="709" w:footer="709" w:gutter="0"/>
          <w:pgNumType w:start="0"/>
          <w:cols w:space="720"/>
          <w:titlePg/>
          <w:bidi/>
        </w:sectPr>
      </w:pPr>
    </w:p>
    <w:p w14:paraId="502EC9D2" w14:textId="77777777" w:rsidR="00454428" w:rsidRDefault="00000000" w:rsidP="00C72BA8">
      <w:pPr>
        <w:pStyle w:val="Body"/>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noProof/>
          <w:sz w:val="28"/>
          <w:szCs w:val="28"/>
          <w:lang w:val="ar-SA"/>
        </w:rPr>
        <w:lastRenderedPageBreak/>
        <w:drawing>
          <wp:anchor distT="0" distB="0" distL="114300" distR="114300" simplePos="0" relativeHeight="251661312" behindDoc="0" locked="0" layoutInCell="1" allowOverlap="1" wp14:anchorId="7345293E" wp14:editId="032D815A">
            <wp:simplePos x="1242204" y="897147"/>
            <wp:positionH relativeFrom="margin">
              <wp:align>center</wp:align>
            </wp:positionH>
            <wp:positionV relativeFrom="margin">
              <wp:align>center</wp:align>
            </wp:positionV>
            <wp:extent cx="5058250" cy="4914900"/>
            <wp:effectExtent l="0" t="0" r="9525" b="0"/>
            <wp:wrapSquare wrapText="bothSides"/>
            <wp:docPr id="1073741828" name="officeArt object" descr="صورة 2"/>
            <wp:cNvGraphicFramePr/>
            <a:graphic xmlns:a="http://schemas.openxmlformats.org/drawingml/2006/main">
              <a:graphicData uri="http://schemas.openxmlformats.org/drawingml/2006/picture">
                <pic:pic xmlns:pic="http://schemas.openxmlformats.org/drawingml/2006/picture">
                  <pic:nvPicPr>
                    <pic:cNvPr id="1073741828" name="صورة 2" descr="صورة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58250" cy="4914900"/>
                    </a:xfrm>
                    <a:prstGeom prst="rect">
                      <a:avLst/>
                    </a:prstGeom>
                    <a:ln w="12700" cap="flat">
                      <a:noFill/>
                      <a:miter lim="400000"/>
                    </a:ln>
                    <a:effectLst/>
                  </pic:spPr>
                </pic:pic>
              </a:graphicData>
            </a:graphic>
          </wp:anchor>
        </w:drawing>
      </w:r>
    </w:p>
    <w:p w14:paraId="2E0159AD" w14:textId="77777777" w:rsidR="00454428" w:rsidRDefault="00454428" w:rsidP="00C72BA8">
      <w:pPr>
        <w:pStyle w:val="a4"/>
        <w:spacing w:after="160"/>
        <w:rPr>
          <w:lang w:val="ar-SA"/>
        </w:rPr>
      </w:pPr>
    </w:p>
    <w:p w14:paraId="04DA1A44" w14:textId="77777777" w:rsidR="00454428" w:rsidRDefault="00454428" w:rsidP="00C72BA8">
      <w:pPr>
        <w:pStyle w:val="a4"/>
        <w:spacing w:after="160"/>
        <w:rPr>
          <w:lang w:val="ar-SA"/>
        </w:rPr>
      </w:pPr>
    </w:p>
    <w:p w14:paraId="3E2E6311" w14:textId="77777777" w:rsidR="00454428" w:rsidRDefault="00454428" w:rsidP="00C72BA8">
      <w:pPr>
        <w:pStyle w:val="a4"/>
        <w:spacing w:after="160"/>
        <w:rPr>
          <w:lang w:val="ar-SA"/>
        </w:rPr>
      </w:pPr>
    </w:p>
    <w:p w14:paraId="149B5E24" w14:textId="77777777" w:rsidR="00454428" w:rsidRDefault="00454428" w:rsidP="00C72BA8">
      <w:pPr>
        <w:pStyle w:val="a4"/>
        <w:spacing w:after="160"/>
        <w:rPr>
          <w:lang w:val="ar-SA"/>
        </w:rPr>
      </w:pPr>
    </w:p>
    <w:p w14:paraId="27775230" w14:textId="77777777" w:rsidR="00454428" w:rsidRDefault="00454428" w:rsidP="00C72BA8">
      <w:pPr>
        <w:pStyle w:val="a4"/>
        <w:spacing w:after="160"/>
        <w:rPr>
          <w:lang w:val="ar-SA"/>
        </w:rPr>
      </w:pPr>
    </w:p>
    <w:p w14:paraId="2798BD60" w14:textId="77777777" w:rsidR="00454428" w:rsidRDefault="00454428" w:rsidP="00C72BA8">
      <w:pPr>
        <w:pStyle w:val="a4"/>
        <w:spacing w:after="160"/>
        <w:rPr>
          <w:lang w:val="ar-SA"/>
        </w:rPr>
      </w:pPr>
    </w:p>
    <w:p w14:paraId="29A5DFB9" w14:textId="77777777" w:rsidR="00454428" w:rsidRDefault="00454428" w:rsidP="00C72BA8">
      <w:pPr>
        <w:pStyle w:val="a4"/>
        <w:spacing w:after="160"/>
        <w:rPr>
          <w:lang w:val="ar-SA"/>
        </w:rPr>
      </w:pPr>
    </w:p>
    <w:p w14:paraId="084E2C96" w14:textId="77777777" w:rsidR="00454428" w:rsidRDefault="00000000" w:rsidP="00C72BA8">
      <w:pPr>
        <w:pStyle w:val="a4"/>
        <w:spacing w:after="160"/>
        <w:rPr>
          <w:lang w:val="ar-SA"/>
        </w:rPr>
      </w:pPr>
      <w:bookmarkStart w:id="2" w:name="_Toc227251052"/>
      <w:bookmarkStart w:id="3" w:name="_Toc227251362"/>
      <w:r>
        <w:rPr>
          <w:rFonts w:ascii="Arial Unicode MS" w:eastAsia="Arial Unicode MS" w:hAnsi="Arial Unicode MS" w:hint="cs"/>
          <w:rtl/>
          <w:lang w:val="ar-SA"/>
        </w:rPr>
        <w:lastRenderedPageBreak/>
        <w:t>الإهداء</w:t>
      </w:r>
      <w:bookmarkEnd w:id="2"/>
      <w:bookmarkEnd w:id="3"/>
    </w:p>
    <w:p w14:paraId="3D421AC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2C097492"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إلى من علّمني أن العلم رسالة، وأن الصبر مفتاح كل نجاح</w:t>
      </w:r>
      <w:r>
        <w:rPr>
          <w:rFonts w:ascii="Times New Roman" w:hAnsi="Times New Roman"/>
          <w:sz w:val="24"/>
          <w:szCs w:val="24"/>
          <w:rtl/>
          <w:lang w:val="ar-SA"/>
        </w:rPr>
        <w:t>…</w:t>
      </w:r>
    </w:p>
    <w:p w14:paraId="01C9D4B1"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36F14100"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إلى والديّ الكريمين،</w:t>
      </w:r>
    </w:p>
    <w:p w14:paraId="1426D96D" w14:textId="472689FF"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عرفانًا بفضلهما، وتقديرًا لعطائهما، ودعائهما الذي كان سندًا لي في كل مرحلة من مراحل هذا العمل</w:t>
      </w:r>
      <w:r>
        <w:rPr>
          <w:rFonts w:ascii="Times New Roman" w:hAnsi="Times New Roman"/>
          <w:sz w:val="24"/>
          <w:szCs w:val="24"/>
          <w:rtl/>
          <w:lang w:val="ar-SA"/>
        </w:rPr>
        <w:t>.</w:t>
      </w:r>
    </w:p>
    <w:p w14:paraId="316FD981"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زوجتي الغالية،</w:t>
      </w:r>
    </w:p>
    <w:p w14:paraId="0603B577" w14:textId="2C88E09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التي منحتني الدعم والتشجيع، وشاركتني مشقة الطريق، فكان حضورها دافعًا للاستمرار والعطاء</w:t>
      </w:r>
      <w:r>
        <w:rPr>
          <w:rFonts w:ascii="Times New Roman" w:hAnsi="Times New Roman"/>
          <w:sz w:val="24"/>
          <w:szCs w:val="24"/>
          <w:rtl/>
          <w:lang w:val="ar-SA"/>
        </w:rPr>
        <w:t>.</w:t>
      </w:r>
    </w:p>
    <w:p w14:paraId="57554D9A"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أبنائي وبناتي وقرة عيوني،</w:t>
      </w:r>
    </w:p>
    <w:p w14:paraId="4C8E8F4D" w14:textId="1A1BE7DB"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الذين أجبروني أن أكون لهم القدوة في هذه الحياة الشاقة، فكانوا دوما سباقين للوصول للأعالي</w:t>
      </w:r>
      <w:r>
        <w:rPr>
          <w:rFonts w:ascii="Times New Roman" w:hAnsi="Times New Roman"/>
          <w:sz w:val="24"/>
          <w:szCs w:val="24"/>
          <w:rtl/>
          <w:lang w:val="ar-SA"/>
        </w:rPr>
        <w:t>.</w:t>
      </w:r>
    </w:p>
    <w:p w14:paraId="1F6BED87" w14:textId="3B9A737B"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وإلى أخي وشقيقي</w:t>
      </w:r>
      <w:r>
        <w:rPr>
          <w:rFonts w:ascii="Arial Unicode MS" w:hAnsi="Arial Unicode MS" w:cs="Times New Roman" w:hint="cs"/>
          <w:sz w:val="24"/>
          <w:szCs w:val="24"/>
          <w:rtl/>
          <w:lang w:val="ar-SA"/>
        </w:rPr>
        <w:t xml:space="preserve"> وسندي في هذه الحياة، دمت فخرا وعزا</w:t>
      </w:r>
      <w:r>
        <w:rPr>
          <w:rFonts w:ascii="Times New Roman" w:hAnsi="Times New Roman"/>
          <w:sz w:val="24"/>
          <w:szCs w:val="24"/>
          <w:rtl/>
          <w:lang w:val="ar-SA"/>
        </w:rPr>
        <w:t>.</w:t>
      </w:r>
    </w:p>
    <w:p w14:paraId="0996A329" w14:textId="2F4D14FE"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وإلى كل من آمن بقيمة العلم، وجعل من المعرفة سبيلًا للرقي والارتقاء</w:t>
      </w:r>
      <w:r>
        <w:rPr>
          <w:rFonts w:ascii="Times New Roman" w:hAnsi="Times New Roman"/>
          <w:sz w:val="24"/>
          <w:szCs w:val="24"/>
          <w:rtl/>
          <w:lang w:val="ar-SA"/>
        </w:rPr>
        <w:t>…</w:t>
      </w:r>
    </w:p>
    <w:p w14:paraId="02D9DD1B" w14:textId="77777777" w:rsidR="00113335" w:rsidRPr="00113335" w:rsidRDefault="00113335" w:rsidP="00113335">
      <w:pPr>
        <w:pStyle w:val="Body"/>
        <w:spacing w:after="100" w:line="360" w:lineRule="auto"/>
        <w:jc w:val="both"/>
        <w:rPr>
          <w:rFonts w:ascii="Times New Roman" w:eastAsia="Times New Roman" w:hAnsi="Times New Roman" w:cs="Times New Roman"/>
          <w:sz w:val="24"/>
          <w:szCs w:val="24"/>
        </w:rPr>
      </w:pPr>
    </w:p>
    <w:p w14:paraId="72FE0B9F"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أهدي هذا العمل</w:t>
      </w:r>
      <w:r>
        <w:rPr>
          <w:rFonts w:ascii="Times New Roman" w:hAnsi="Times New Roman"/>
          <w:sz w:val="24"/>
          <w:szCs w:val="24"/>
          <w:rtl/>
          <w:lang w:val="ar-SA"/>
        </w:rPr>
        <w:t>.</w:t>
      </w:r>
    </w:p>
    <w:p w14:paraId="1710C7A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79C812ED"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0B8B1652"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71E403CE"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10D2435E" w14:textId="77777777" w:rsidR="00454428" w:rsidRDefault="00454428" w:rsidP="00C72BA8">
      <w:pPr>
        <w:pStyle w:val="Body"/>
        <w:spacing w:before="240" w:line="360" w:lineRule="auto"/>
        <w:rPr>
          <w:rFonts w:ascii="Times New Roman" w:eastAsia="Times New Roman" w:hAnsi="Times New Roman" w:cs="Times New Roman"/>
          <w:b/>
          <w:bCs/>
          <w:sz w:val="32"/>
          <w:szCs w:val="32"/>
        </w:rPr>
      </w:pPr>
    </w:p>
    <w:p w14:paraId="671A4F09" w14:textId="77777777" w:rsidR="00113335" w:rsidRPr="00113335" w:rsidRDefault="00113335" w:rsidP="00C72BA8">
      <w:pPr>
        <w:pStyle w:val="Body"/>
        <w:spacing w:before="240" w:line="360" w:lineRule="auto"/>
        <w:rPr>
          <w:rFonts w:ascii="Times New Roman" w:eastAsia="Times New Roman" w:hAnsi="Times New Roman" w:cs="Times New Roman"/>
          <w:b/>
          <w:bCs/>
          <w:sz w:val="32"/>
          <w:szCs w:val="32"/>
        </w:rPr>
      </w:pPr>
    </w:p>
    <w:p w14:paraId="7F062431" w14:textId="77777777" w:rsidR="00113335" w:rsidRDefault="00113335" w:rsidP="00C72BA8">
      <w:pPr>
        <w:pStyle w:val="a4"/>
        <w:spacing w:after="160"/>
        <w:rPr>
          <w:rFonts w:ascii="Arial Unicode MS" w:eastAsia="Arial Unicode MS" w:hAnsi="Arial Unicode MS"/>
        </w:rPr>
      </w:pPr>
    </w:p>
    <w:p w14:paraId="15D06095" w14:textId="77777777" w:rsidR="00113335" w:rsidRDefault="00113335" w:rsidP="00C72BA8">
      <w:pPr>
        <w:pStyle w:val="a4"/>
        <w:spacing w:after="160"/>
        <w:rPr>
          <w:rFonts w:ascii="Arial Unicode MS" w:eastAsia="Arial Unicode MS" w:hAnsi="Arial Unicode MS"/>
        </w:rPr>
      </w:pPr>
    </w:p>
    <w:p w14:paraId="6D6F311B" w14:textId="7615F743" w:rsidR="00454428" w:rsidRDefault="00000000" w:rsidP="00C72BA8">
      <w:pPr>
        <w:pStyle w:val="a4"/>
        <w:spacing w:after="160"/>
        <w:rPr>
          <w:lang w:val="ar-SA"/>
        </w:rPr>
      </w:pPr>
      <w:bookmarkStart w:id="4" w:name="_Toc227251053"/>
      <w:bookmarkStart w:id="5" w:name="_Toc227251363"/>
      <w:r>
        <w:rPr>
          <w:rFonts w:ascii="Arial Unicode MS" w:eastAsia="Arial Unicode MS" w:hAnsi="Arial Unicode MS" w:hint="cs"/>
          <w:rtl/>
          <w:lang w:val="ar-SA"/>
        </w:rPr>
        <w:lastRenderedPageBreak/>
        <w:t>الشكر والتقدير</w:t>
      </w:r>
      <w:bookmarkEnd w:id="4"/>
      <w:bookmarkEnd w:id="5"/>
    </w:p>
    <w:p w14:paraId="5DBBCF58" w14:textId="77777777" w:rsidR="00454428" w:rsidRDefault="00454428" w:rsidP="00C72BA8">
      <w:pPr>
        <w:pStyle w:val="Body"/>
        <w:bidi w:val="0"/>
        <w:spacing w:after="100" w:line="360" w:lineRule="auto"/>
        <w:jc w:val="both"/>
        <w:rPr>
          <w:rFonts w:ascii="Times New Roman" w:eastAsia="Times New Roman" w:hAnsi="Times New Roman" w:cs="Times New Roman"/>
          <w:b/>
          <w:bCs/>
          <w:sz w:val="24"/>
          <w:szCs w:val="24"/>
        </w:rPr>
      </w:pPr>
    </w:p>
    <w:p w14:paraId="090E4A7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5F2459D9" w14:textId="739083B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الحمد لله رب العالمين، والصلاة والسلام على أشرف الأنبياء والمرسلين</w:t>
      </w:r>
      <w:r>
        <w:rPr>
          <w:rFonts w:ascii="Times New Roman" w:hAnsi="Times New Roman"/>
          <w:sz w:val="24"/>
          <w:szCs w:val="24"/>
          <w:rtl/>
          <w:lang w:val="ar-SA"/>
        </w:rPr>
        <w:t>.</w:t>
      </w:r>
    </w:p>
    <w:p w14:paraId="2BEAC493" w14:textId="0A19175D"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 أتقدّم بالشكر والتقدير إلى أصحاب السعادة أعضاء لجنة المناقشة الكرام، لما بذلوه من جهد علمي، وما سيقدّمونه من ملاحظات بنّاءة تسهم في تطوير هذا العمل</w:t>
      </w:r>
      <w:r>
        <w:rPr>
          <w:rFonts w:ascii="Times New Roman" w:hAnsi="Times New Roman"/>
          <w:sz w:val="24"/>
          <w:szCs w:val="24"/>
          <w:rtl/>
          <w:lang w:val="ar-SA"/>
        </w:rPr>
        <w:t>.</w:t>
      </w:r>
    </w:p>
    <w:p w14:paraId="2A5009D0" w14:textId="7FA1FA36"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ولا يفوتني أن أتقدّم بالشكر لكل من أسهم، بصورة مباشرة أو غير مباشرة، في إنجاز هذه الرسالة، من أساتذة وزملاء وباحثين</w:t>
      </w:r>
      <w:r>
        <w:rPr>
          <w:rFonts w:ascii="Times New Roman" w:hAnsi="Times New Roman"/>
          <w:sz w:val="24"/>
          <w:szCs w:val="24"/>
          <w:rtl/>
          <w:lang w:val="ar-SA"/>
        </w:rPr>
        <w:t>.</w:t>
      </w:r>
    </w:p>
    <w:p w14:paraId="5B954C46"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الختام، أسأل الله تعالى أن يجعل هذا العمل خالصًا لوجهه الكريم، وأن ينفع به، وأن يجعله إضافة علمية نافعة في مجال الدراسات القانونية</w:t>
      </w:r>
      <w:r>
        <w:rPr>
          <w:rFonts w:ascii="Times New Roman" w:hAnsi="Times New Roman"/>
          <w:sz w:val="24"/>
          <w:szCs w:val="24"/>
          <w:rtl/>
          <w:lang w:val="ar-SA"/>
        </w:rPr>
        <w:t>.</w:t>
      </w:r>
    </w:p>
    <w:p w14:paraId="099BFFDC"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0B35A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3B90FCAE"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43A86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14340306"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2A64C02B"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4DF5062"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CD46A79"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7A9C473"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026BB7B"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2947420F" w14:textId="77777777" w:rsidR="00454428" w:rsidRPr="00113335" w:rsidRDefault="00454428" w:rsidP="00113335">
      <w:pPr>
        <w:pStyle w:val="Body"/>
        <w:bidi w:val="0"/>
        <w:spacing w:after="100" w:line="360" w:lineRule="auto"/>
        <w:jc w:val="both"/>
        <w:rPr>
          <w:rFonts w:ascii="Times New Roman" w:eastAsia="Times New Roman" w:hAnsi="Times New Roman" w:cs="Times New Roman"/>
          <w:sz w:val="24"/>
          <w:szCs w:val="24"/>
        </w:rPr>
      </w:pPr>
    </w:p>
    <w:p w14:paraId="69468A88" w14:textId="77777777" w:rsidR="00A663DE" w:rsidRDefault="00A663DE" w:rsidP="00C72BA8">
      <w:pPr>
        <w:pStyle w:val="a4"/>
        <w:spacing w:after="160"/>
        <w:rPr>
          <w:rFonts w:ascii="Arial Unicode MS" w:eastAsia="Arial Unicode MS" w:hAnsi="Arial Unicode MS"/>
          <w:rtl/>
          <w:lang w:val="ar-SA"/>
        </w:rPr>
      </w:pPr>
    </w:p>
    <w:p w14:paraId="1C17330C" w14:textId="77777777" w:rsidR="00A663DE" w:rsidRDefault="00A663DE" w:rsidP="00C72BA8">
      <w:pPr>
        <w:pStyle w:val="a4"/>
        <w:spacing w:after="160"/>
        <w:rPr>
          <w:rFonts w:ascii="Arial Unicode MS" w:eastAsia="Arial Unicode MS" w:hAnsi="Arial Unicode MS"/>
          <w:rtl/>
          <w:lang w:val="ar-SA"/>
        </w:rPr>
      </w:pPr>
    </w:p>
    <w:p w14:paraId="2A91BAF9" w14:textId="77777777" w:rsidR="00087562" w:rsidRDefault="00087562" w:rsidP="00C72BA8">
      <w:pPr>
        <w:pStyle w:val="a4"/>
        <w:spacing w:after="160"/>
        <w:rPr>
          <w:rFonts w:ascii="Arial Unicode MS" w:eastAsia="Arial Unicode MS" w:hAnsi="Arial Unicode MS"/>
          <w:rtl/>
          <w:lang w:val="ar-SA"/>
        </w:rPr>
      </w:pPr>
      <w:bookmarkStart w:id="6" w:name="_Toc227251054"/>
      <w:bookmarkStart w:id="7" w:name="_Toc227251364"/>
    </w:p>
    <w:p w14:paraId="360B13AA" w14:textId="77777777" w:rsidR="00087562" w:rsidRDefault="00087562" w:rsidP="00C72BA8">
      <w:pPr>
        <w:pStyle w:val="a4"/>
        <w:spacing w:after="160"/>
        <w:rPr>
          <w:rFonts w:ascii="Arial Unicode MS" w:eastAsia="Arial Unicode MS" w:hAnsi="Arial Unicode MS"/>
          <w:rtl/>
          <w:lang w:val="ar-SA"/>
        </w:rPr>
      </w:pPr>
    </w:p>
    <w:p w14:paraId="6DEEC5D3" w14:textId="77777777" w:rsidR="00087562" w:rsidRDefault="00087562" w:rsidP="00C72BA8">
      <w:pPr>
        <w:pStyle w:val="a4"/>
        <w:spacing w:after="160"/>
        <w:rPr>
          <w:rFonts w:ascii="Arial Unicode MS" w:eastAsia="Arial Unicode MS" w:hAnsi="Arial Unicode MS"/>
          <w:rtl/>
          <w:lang w:val="ar-SA"/>
        </w:rPr>
      </w:pPr>
    </w:p>
    <w:p w14:paraId="2DBE0CD9" w14:textId="61FE256E" w:rsidR="00454428" w:rsidRDefault="00000000" w:rsidP="00C72BA8">
      <w:pPr>
        <w:pStyle w:val="a4"/>
        <w:spacing w:after="160"/>
        <w:rPr>
          <w:lang w:val="ar-SA"/>
        </w:rPr>
      </w:pPr>
      <w:r>
        <w:rPr>
          <w:rFonts w:ascii="Arial Unicode MS" w:eastAsia="Arial Unicode MS" w:hAnsi="Arial Unicode MS" w:hint="cs"/>
          <w:rtl/>
          <w:lang w:val="ar-SA"/>
        </w:rPr>
        <w:lastRenderedPageBreak/>
        <w:t>المستخـلص</w:t>
      </w:r>
      <w:bookmarkEnd w:id="6"/>
      <w:bookmarkEnd w:id="7"/>
    </w:p>
    <w:p w14:paraId="6EFF9AAD"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lang w:val="ar-SA"/>
        </w:rPr>
      </w:pPr>
    </w:p>
    <w:p w14:paraId="5EDDC160" w14:textId="77777777" w:rsidR="00454428" w:rsidRDefault="00454428" w:rsidP="00C72BA8">
      <w:pPr>
        <w:pStyle w:val="Body"/>
        <w:spacing w:after="100" w:line="360" w:lineRule="auto"/>
        <w:jc w:val="both"/>
        <w:rPr>
          <w:rFonts w:ascii="Times New Roman" w:eastAsia="Times New Roman" w:hAnsi="Times New Roman" w:cs="Times New Roman"/>
          <w:sz w:val="24"/>
          <w:szCs w:val="24"/>
          <w:rtl/>
        </w:rPr>
      </w:pPr>
    </w:p>
    <w:p w14:paraId="367F5A40" w14:textId="29739C54"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تهدف هذه الدراسة إلى تحليل الإطار القانوني المنظم لحماية حقوق الملكية الفكرية في البيئة الرقمية، وبيان مدى كفاية القواعد القانونية الحالية في مواجهة التحديات الناشئة عن التطور التكنولوجي، لاسيما فيما يتعلق بالمصنفات الرقمية ومسؤولية المنصات الإلكترونية</w:t>
      </w:r>
    </w:p>
    <w:p w14:paraId="3AD4CD64" w14:textId="534112EA"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وتعتمد الدراسة على المنهج التحليلي المقارن، من خلال دراسة النظام السعودي ومقارنته ببعض التشريعات الأجنبية، بهدف الوقوف على أوجه القصور واقتراح الحلول المناسبة</w:t>
      </w:r>
      <w:r>
        <w:rPr>
          <w:rFonts w:ascii="Times New Roman" w:hAnsi="Times New Roman"/>
          <w:sz w:val="24"/>
          <w:szCs w:val="24"/>
          <w:rtl/>
        </w:rPr>
        <w:t>.</w:t>
      </w:r>
    </w:p>
    <w:p w14:paraId="56C66641" w14:textId="027F7108"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وقد توصلت الدراسة إلى أن القواعد القانونية التقليدية لم تعد كافية لمواجهة الاعتداءات في البيئة الرقمية، كما كشفت عن وجود قصور في تنظيم مسؤولية المنصات الرقمية، وصعوبات في تحديد الاختصاص القضائي، إضافة إلى قصور وسائل الإثبات التقليدية في التعامل مع الأدلة الرقمية</w:t>
      </w:r>
      <w:r>
        <w:rPr>
          <w:rFonts w:ascii="Times New Roman" w:hAnsi="Times New Roman"/>
          <w:sz w:val="24"/>
          <w:szCs w:val="24"/>
          <w:rtl/>
        </w:rPr>
        <w:t>.</w:t>
      </w:r>
    </w:p>
    <w:p w14:paraId="05A83896" w14:textId="6E1FE119"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أظهرت الدراسة إمكانية الاستفادة من التقنيات الحديثة، مثل تقنية البلوكشين، في توثيق المصنفات الرقمية، مع الحاجة إلى تنظيم قانوني يحدد حجيتها</w:t>
      </w:r>
      <w:r>
        <w:rPr>
          <w:rFonts w:ascii="Times New Roman" w:hAnsi="Times New Roman"/>
          <w:sz w:val="24"/>
          <w:szCs w:val="24"/>
          <w:rtl/>
        </w:rPr>
        <w:t>.</w:t>
      </w:r>
    </w:p>
    <w:p w14:paraId="218F8F90"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ضوء ذلك، توصي الدراسة بضرورة تطوير التشريعات الوطنية، واستحداث تنظيم قانوني لمسؤولية المنصات الرقمية، وتنظيم الأدلة الرقمية، إلى جانب تعزيز كفاءة القضاء في التعامل مع المنازعات الرقمية</w:t>
      </w:r>
      <w:r>
        <w:rPr>
          <w:rFonts w:ascii="Times New Roman" w:hAnsi="Times New Roman"/>
          <w:sz w:val="24"/>
          <w:szCs w:val="24"/>
          <w:rtl/>
        </w:rPr>
        <w:t>.</w:t>
      </w:r>
    </w:p>
    <w:p w14:paraId="1B833C3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4A9C69A"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034B366"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0D3256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F4E8F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3E8B13C"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0E428E9"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C022B83"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A4C3B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AC2D792"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489B2893" w14:textId="77777777" w:rsidR="00087562" w:rsidRDefault="00087562">
      <w:pPr>
        <w:rPr>
          <w:rFonts w:ascii="Calibri" w:hAnsi="Calibri" w:cs="Arial Unicode MS"/>
          <w:b/>
          <w:bCs/>
          <w:color w:val="000000"/>
          <w:sz w:val="32"/>
          <w:szCs w:val="32"/>
          <w:u w:color="000000"/>
          <w:lang w:val="de-DE"/>
          <w14:textOutline w14:w="0" w14:cap="flat" w14:cmpd="sng" w14:algn="ctr">
            <w14:noFill/>
            <w14:prstDash w14:val="solid"/>
            <w14:bevel/>
          </w14:textOutline>
        </w:rPr>
      </w:pPr>
      <w:r>
        <w:rPr>
          <w:b/>
          <w:bCs/>
          <w:sz w:val="32"/>
          <w:szCs w:val="32"/>
          <w:lang w:val="de-DE"/>
        </w:rPr>
        <w:br w:type="page"/>
      </w:r>
    </w:p>
    <w:p w14:paraId="6FD4B369" w14:textId="580B67D5" w:rsidR="00454428" w:rsidRPr="00087562" w:rsidRDefault="00000000" w:rsidP="00C72BA8">
      <w:pPr>
        <w:pStyle w:val="Body"/>
        <w:spacing w:after="100" w:line="360" w:lineRule="auto"/>
        <w:jc w:val="center"/>
        <w:rPr>
          <w:rFonts w:ascii="Times New Roman" w:eastAsia="Times New Roman" w:hAnsi="Times New Roman" w:cs="Times New Roman"/>
          <w:b/>
          <w:bCs/>
          <w:sz w:val="32"/>
          <w:szCs w:val="32"/>
        </w:rPr>
      </w:pPr>
      <w:r w:rsidRPr="00087562">
        <w:rPr>
          <w:rFonts w:ascii="Times New Roman" w:hAnsi="Times New Roman" w:cs="Times New Roman"/>
          <w:b/>
          <w:bCs/>
          <w:sz w:val="32"/>
          <w:szCs w:val="32"/>
          <w:lang w:val="de-DE"/>
        </w:rPr>
        <w:lastRenderedPageBreak/>
        <w:t>ABSTRACT</w:t>
      </w:r>
    </w:p>
    <w:p w14:paraId="33C013B9"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This study aims to analyze the legal framework governing the protection of intellectual property rights in the digital environment, and to assess the adequacy of current legal rules in addressing challenges arising from technological developments, particularly with regard to digital works and the liability of online platforms.</w:t>
      </w:r>
    </w:p>
    <w:p w14:paraId="1AA4F958"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adopts an analytical and comparative approach by examining the Saudi legal system and comparing it with selected foreign legislations, with the aim of identifying legal gaps and proposing appropriate solutions.</w:t>
      </w:r>
    </w:p>
    <w:p w14:paraId="4DBB6F3C"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finds that traditional legal rules are no longer sufficient to address infringements in the digital environment. It also reveals deficiencies in regulating platform liability, difficulties in determining jurisdiction, and limitations of traditional evidentiary rules in dealing with digital evidence.</w:t>
      </w:r>
    </w:p>
    <w:p w14:paraId="6B7FF0D9"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Furthermore, the study highlights the potential of modern technologies, such as blockchain, in documenting digital works, while emphasizing the need for a clear legal framework governing their evidentiary value.</w:t>
      </w:r>
    </w:p>
    <w:p w14:paraId="26104201"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Based on these findings, the study recommends developing national legislation, establishing a legal framework for platform liability and digital evidence, and enhancing judicial capacity to handle digital disputes.</w:t>
      </w:r>
    </w:p>
    <w:p w14:paraId="26634A74" w14:textId="77777777" w:rsidR="00454428" w:rsidRPr="00C72BA8" w:rsidRDefault="00454428" w:rsidP="00C72BA8">
      <w:pPr>
        <w:pStyle w:val="Body"/>
        <w:spacing w:before="120" w:line="360" w:lineRule="auto"/>
        <w:jc w:val="right"/>
        <w:rPr>
          <w:rFonts w:ascii="Times New Roman" w:eastAsia="Times New Roman" w:hAnsi="Times New Roman" w:cs="Times New Roman"/>
          <w:b/>
          <w:bCs/>
          <w:sz w:val="24"/>
          <w:szCs w:val="24"/>
        </w:rPr>
      </w:pPr>
    </w:p>
    <w:p w14:paraId="0BE0823C" w14:textId="77777777" w:rsidR="002633B7" w:rsidRDefault="002633B7">
      <w:pPr>
        <w:rPr>
          <w:rFonts w:ascii="Arial Unicode MS" w:hAnsi="Arial Unicode MS"/>
          <w:b/>
          <w:bCs/>
          <w:color w:val="000000"/>
          <w:sz w:val="32"/>
          <w:szCs w:val="32"/>
          <w:u w:color="000000"/>
          <w:rtl/>
          <w:lang w:val="ar-SA"/>
          <w14:textOutline w14:w="0" w14:cap="flat" w14:cmpd="sng" w14:algn="ctr">
            <w14:noFill/>
            <w14:prstDash w14:val="solid"/>
            <w14:bevel/>
          </w14:textOutline>
        </w:rPr>
      </w:pPr>
      <w:r>
        <w:rPr>
          <w:rFonts w:ascii="Arial Unicode MS" w:hAnsi="Arial Unicode MS"/>
          <w:b/>
          <w:bCs/>
          <w:sz w:val="32"/>
          <w:szCs w:val="32"/>
          <w:rtl/>
          <w:lang w:val="ar-SA"/>
        </w:rPr>
        <w:br w:type="page"/>
      </w:r>
    </w:p>
    <w:p w14:paraId="4A2C0EEB" w14:textId="284F78F8" w:rsidR="00454428" w:rsidRDefault="00000000" w:rsidP="00C72BA8">
      <w:pPr>
        <w:pStyle w:val="Body"/>
        <w:spacing w:before="120" w:line="360" w:lineRule="auto"/>
        <w:jc w:val="center"/>
        <w:rPr>
          <w:rFonts w:ascii="Arial Unicode MS" w:hAnsi="Arial Unicode MS" w:cs="Times New Roman"/>
          <w:b/>
          <w:bCs/>
          <w:sz w:val="32"/>
          <w:szCs w:val="32"/>
          <w:rtl/>
          <w:lang w:val="ar-SA"/>
        </w:rPr>
      </w:pPr>
      <w:r>
        <w:rPr>
          <w:rFonts w:ascii="Arial Unicode MS" w:hAnsi="Arial Unicode MS" w:cs="Times New Roman" w:hint="cs"/>
          <w:b/>
          <w:bCs/>
          <w:sz w:val="32"/>
          <w:szCs w:val="32"/>
          <w:rtl/>
          <w:lang w:val="ar-SA"/>
        </w:rPr>
        <w:lastRenderedPageBreak/>
        <w:t>قائمــة المحتــويات</w:t>
      </w:r>
    </w:p>
    <w:p w14:paraId="03B7C97A" w14:textId="2A550EF0"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r w:rsidRPr="00E9455F">
        <w:rPr>
          <w:rFonts w:ascii="Times New Roman" w:eastAsia="Times New Roman" w:hAnsi="Times New Roman" w:cs="Times New Roman"/>
          <w:b/>
          <w:bCs/>
          <w:sz w:val="24"/>
          <w:szCs w:val="24"/>
          <w:rtl/>
          <w:lang w:val="ar-SA"/>
        </w:rPr>
        <w:fldChar w:fldCharType="begin"/>
      </w:r>
      <w:r w:rsidRPr="00E9455F">
        <w:rPr>
          <w:rFonts w:ascii="Times New Roman" w:eastAsia="Times New Roman" w:hAnsi="Times New Roman" w:cs="Times New Roman"/>
          <w:b/>
          <w:bCs/>
          <w:sz w:val="24"/>
          <w:szCs w:val="24"/>
          <w:rtl/>
          <w:lang w:val="ar-SA"/>
        </w:rPr>
        <w:instrText xml:space="preserve"> </w:instrText>
      </w:r>
      <w:r w:rsidRPr="00E9455F">
        <w:rPr>
          <w:rFonts w:ascii="Times New Roman" w:eastAsia="Times New Roman" w:hAnsi="Times New Roman" w:cs="Times New Roman"/>
          <w:b/>
          <w:bCs/>
          <w:sz w:val="24"/>
          <w:szCs w:val="24"/>
          <w:lang w:val="ar-SA"/>
        </w:rPr>
        <w:instrText>TOC</w:instrText>
      </w:r>
      <w:r w:rsidRPr="00E9455F">
        <w:rPr>
          <w:rFonts w:ascii="Times New Roman" w:eastAsia="Times New Roman" w:hAnsi="Times New Roman" w:cs="Times New Roman"/>
          <w:b/>
          <w:bCs/>
          <w:sz w:val="24"/>
          <w:szCs w:val="24"/>
          <w:rtl/>
          <w:lang w:val="ar-SA"/>
        </w:rPr>
        <w:instrText xml:space="preserve"> \</w:instrText>
      </w:r>
      <w:r w:rsidRPr="00E9455F">
        <w:rPr>
          <w:rFonts w:ascii="Times New Roman" w:eastAsia="Times New Roman" w:hAnsi="Times New Roman" w:cs="Times New Roman"/>
          <w:b/>
          <w:bCs/>
          <w:sz w:val="24"/>
          <w:szCs w:val="24"/>
          <w:lang w:val="ar-SA"/>
        </w:rPr>
        <w:instrText>o "1-7" \h \z \u</w:instrText>
      </w:r>
      <w:r w:rsidRPr="00E9455F">
        <w:rPr>
          <w:rFonts w:ascii="Times New Roman" w:eastAsia="Times New Roman" w:hAnsi="Times New Roman" w:cs="Times New Roman"/>
          <w:b/>
          <w:bCs/>
          <w:sz w:val="24"/>
          <w:szCs w:val="24"/>
          <w:rtl/>
          <w:lang w:val="ar-SA"/>
        </w:rPr>
        <w:instrText xml:space="preserve"> </w:instrText>
      </w:r>
      <w:r w:rsidRPr="00E9455F">
        <w:rPr>
          <w:rFonts w:ascii="Times New Roman" w:eastAsia="Times New Roman" w:hAnsi="Times New Roman" w:cs="Times New Roman"/>
          <w:b/>
          <w:bCs/>
          <w:sz w:val="24"/>
          <w:szCs w:val="24"/>
          <w:rtl/>
          <w:lang w:val="ar-SA"/>
        </w:rPr>
        <w:fldChar w:fldCharType="separate"/>
      </w:r>
      <w:hyperlink w:anchor="_Toc227251362" w:history="1">
        <w:r w:rsidRPr="002D2096">
          <w:rPr>
            <w:rStyle w:val="Hyperlink"/>
            <w:rFonts w:ascii="Times New Roman" w:eastAsia="Arial Unicode MS" w:hAnsi="Times New Roman" w:cs="Times New Roman"/>
            <w:b/>
            <w:bCs/>
            <w:noProof/>
            <w:sz w:val="24"/>
            <w:szCs w:val="24"/>
            <w:rtl/>
            <w:lang w:val="ar-SA"/>
          </w:rPr>
          <w:t>الإهداء</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Toc227251362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hint="eastAsia"/>
            <w:b/>
            <w:bCs/>
            <w:noProof/>
            <w:webHidden/>
            <w:sz w:val="24"/>
            <w:szCs w:val="24"/>
            <w:rtl/>
          </w:rPr>
          <w:t>‌ب</w:t>
        </w:r>
        <w:r w:rsidRPr="002D2096">
          <w:rPr>
            <w:rFonts w:ascii="Times New Roman" w:hAnsi="Times New Roman" w:cs="Times New Roman"/>
            <w:b/>
            <w:bCs/>
            <w:noProof/>
            <w:webHidden/>
            <w:sz w:val="24"/>
            <w:szCs w:val="24"/>
            <w:rtl/>
          </w:rPr>
          <w:fldChar w:fldCharType="end"/>
        </w:r>
      </w:hyperlink>
    </w:p>
    <w:p w14:paraId="3CB909A3" w14:textId="31F40B7D"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363" w:history="1">
        <w:r w:rsidRPr="002D2096">
          <w:rPr>
            <w:rStyle w:val="Hyperlink"/>
            <w:rFonts w:ascii="Times New Roman" w:eastAsia="Arial Unicode MS" w:hAnsi="Times New Roman" w:cs="Times New Roman"/>
            <w:b/>
            <w:bCs/>
            <w:noProof/>
            <w:sz w:val="24"/>
            <w:szCs w:val="24"/>
            <w:rtl/>
            <w:lang w:val="ar-SA"/>
          </w:rPr>
          <w:t>الشكر والتقدير</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Toc227251363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hint="eastAsia"/>
            <w:b/>
            <w:bCs/>
            <w:noProof/>
            <w:webHidden/>
            <w:sz w:val="24"/>
            <w:szCs w:val="24"/>
            <w:rtl/>
          </w:rPr>
          <w:t>‌ج</w:t>
        </w:r>
        <w:r w:rsidRPr="002D2096">
          <w:rPr>
            <w:rFonts w:ascii="Times New Roman" w:hAnsi="Times New Roman" w:cs="Times New Roman"/>
            <w:b/>
            <w:bCs/>
            <w:noProof/>
            <w:webHidden/>
            <w:sz w:val="24"/>
            <w:szCs w:val="24"/>
            <w:rtl/>
          </w:rPr>
          <w:fldChar w:fldCharType="end"/>
        </w:r>
      </w:hyperlink>
    </w:p>
    <w:p w14:paraId="21B39486" w14:textId="3C473101"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364" w:history="1">
        <w:r w:rsidRPr="002D2096">
          <w:rPr>
            <w:rStyle w:val="Hyperlink"/>
            <w:rFonts w:ascii="Times New Roman" w:eastAsia="Arial Unicode MS" w:hAnsi="Times New Roman" w:cs="Times New Roman"/>
            <w:b/>
            <w:bCs/>
            <w:noProof/>
            <w:sz w:val="24"/>
            <w:szCs w:val="24"/>
            <w:rtl/>
            <w:lang w:val="ar-SA"/>
          </w:rPr>
          <w:t>المستخـلص</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Toc227251364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hint="eastAsia"/>
            <w:b/>
            <w:bCs/>
            <w:noProof/>
            <w:webHidden/>
            <w:sz w:val="24"/>
            <w:szCs w:val="24"/>
            <w:rtl/>
          </w:rPr>
          <w:t>‌د</w:t>
        </w:r>
        <w:r w:rsidRPr="002D2096">
          <w:rPr>
            <w:rFonts w:ascii="Times New Roman" w:hAnsi="Times New Roman" w:cs="Times New Roman"/>
            <w:b/>
            <w:bCs/>
            <w:noProof/>
            <w:webHidden/>
            <w:sz w:val="24"/>
            <w:szCs w:val="24"/>
            <w:rtl/>
          </w:rPr>
          <w:fldChar w:fldCharType="end"/>
        </w:r>
      </w:hyperlink>
    </w:p>
    <w:p w14:paraId="01559826" w14:textId="4EA69826"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365" w:history="1">
        <w:r w:rsidRPr="002D2096">
          <w:rPr>
            <w:rStyle w:val="Hyperlink"/>
            <w:rFonts w:ascii="Times New Roman" w:eastAsia="Arial Unicode MS" w:hAnsi="Times New Roman" w:cs="Times New Roman"/>
            <w:b/>
            <w:bCs/>
            <w:noProof/>
            <w:sz w:val="24"/>
            <w:szCs w:val="24"/>
            <w:rtl/>
            <w:lang w:val="ar-SA"/>
          </w:rPr>
          <w:t>المقدمة</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Toc227251365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1</w:t>
        </w:r>
        <w:r w:rsidRPr="002D2096">
          <w:rPr>
            <w:rFonts w:ascii="Times New Roman" w:hAnsi="Times New Roman" w:cs="Times New Roman"/>
            <w:b/>
            <w:bCs/>
            <w:noProof/>
            <w:webHidden/>
            <w:sz w:val="24"/>
            <w:szCs w:val="24"/>
            <w:rtl/>
          </w:rPr>
          <w:fldChar w:fldCharType="end"/>
        </w:r>
      </w:hyperlink>
    </w:p>
    <w:p w14:paraId="4BBA9783" w14:textId="5952998F"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66" w:history="1">
        <w:r w:rsidRPr="00E9455F">
          <w:rPr>
            <w:rStyle w:val="Hyperlink"/>
            <w:rFonts w:ascii="Times New Roman" w:eastAsia="Arial Unicode MS" w:hAnsi="Times New Roman" w:cs="Times New Roman"/>
            <w:noProof/>
            <w:sz w:val="24"/>
            <w:szCs w:val="24"/>
            <w:rtl/>
            <w:lang w:val="ar-SA"/>
          </w:rPr>
          <w:t>أولًا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أهمية الدراسة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Toc227251366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w:t>
        </w:r>
        <w:r w:rsidRPr="00E9455F">
          <w:rPr>
            <w:rFonts w:ascii="Times New Roman" w:hAnsi="Times New Roman" w:cs="Times New Roman"/>
            <w:noProof/>
            <w:webHidden/>
            <w:sz w:val="24"/>
            <w:szCs w:val="24"/>
            <w:rtl/>
          </w:rPr>
          <w:fldChar w:fldCharType="end"/>
        </w:r>
      </w:hyperlink>
    </w:p>
    <w:p w14:paraId="50534EC9" w14:textId="53A9E404"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67" w:history="1">
        <w:r w:rsidRPr="00E9455F">
          <w:rPr>
            <w:rStyle w:val="Hyperlink"/>
            <w:rFonts w:ascii="Times New Roman" w:eastAsia="Arial Unicode MS" w:hAnsi="Times New Roman" w:cs="Times New Roman"/>
            <w:noProof/>
            <w:sz w:val="24"/>
            <w:szCs w:val="24"/>
            <w:rtl/>
            <w:lang w:val="ar-SA"/>
          </w:rPr>
          <w:t>ثانيًا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أهداف الدراسة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Toc227251367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w:t>
        </w:r>
        <w:r w:rsidRPr="00E9455F">
          <w:rPr>
            <w:rFonts w:ascii="Times New Roman" w:hAnsi="Times New Roman" w:cs="Times New Roman"/>
            <w:noProof/>
            <w:webHidden/>
            <w:sz w:val="24"/>
            <w:szCs w:val="24"/>
            <w:rtl/>
          </w:rPr>
          <w:fldChar w:fldCharType="end"/>
        </w:r>
      </w:hyperlink>
    </w:p>
    <w:p w14:paraId="2702644A" w14:textId="28F58C36"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68" w:history="1">
        <w:r w:rsidRPr="00E9455F">
          <w:rPr>
            <w:rStyle w:val="Hyperlink"/>
            <w:rFonts w:ascii="Times New Roman" w:eastAsia="Arial Unicode MS" w:hAnsi="Times New Roman" w:cs="Times New Roman"/>
            <w:noProof/>
            <w:sz w:val="24"/>
            <w:szCs w:val="24"/>
            <w:rtl/>
            <w:lang w:val="ar-SA"/>
          </w:rPr>
          <w:t>ثالثًا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مشكلة الدراسة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Toc227251368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w:t>
        </w:r>
        <w:r w:rsidRPr="00E9455F">
          <w:rPr>
            <w:rFonts w:ascii="Times New Roman" w:hAnsi="Times New Roman" w:cs="Times New Roman"/>
            <w:noProof/>
            <w:webHidden/>
            <w:sz w:val="24"/>
            <w:szCs w:val="24"/>
            <w:rtl/>
          </w:rPr>
          <w:fldChar w:fldCharType="end"/>
        </w:r>
      </w:hyperlink>
    </w:p>
    <w:p w14:paraId="21CE3A9C" w14:textId="705C6D8E"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69" w:history="1">
        <w:r w:rsidRPr="00E9455F">
          <w:rPr>
            <w:rStyle w:val="Hyperlink"/>
            <w:rFonts w:ascii="Times New Roman" w:eastAsia="Arial Unicode MS" w:hAnsi="Times New Roman" w:cs="Times New Roman"/>
            <w:noProof/>
            <w:sz w:val="24"/>
            <w:szCs w:val="24"/>
            <w:rtl/>
            <w:lang w:val="ar-SA"/>
          </w:rPr>
          <w:t>رابعًا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تساؤلات الدراسة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Toc227251369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w:t>
        </w:r>
        <w:r w:rsidRPr="00E9455F">
          <w:rPr>
            <w:rFonts w:ascii="Times New Roman" w:hAnsi="Times New Roman" w:cs="Times New Roman"/>
            <w:noProof/>
            <w:webHidden/>
            <w:sz w:val="24"/>
            <w:szCs w:val="24"/>
            <w:rtl/>
          </w:rPr>
          <w:fldChar w:fldCharType="end"/>
        </w:r>
      </w:hyperlink>
    </w:p>
    <w:p w14:paraId="3DE07758" w14:textId="54A97D56"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77" w:history="1">
        <w:r w:rsidRPr="00E9455F">
          <w:rPr>
            <w:rStyle w:val="Hyperlink"/>
            <w:rFonts w:ascii="Times New Roman" w:eastAsia="Arial Unicode MS" w:hAnsi="Times New Roman" w:cs="Times New Roman"/>
            <w:noProof/>
            <w:sz w:val="24"/>
            <w:szCs w:val="24"/>
            <w:rtl/>
            <w:lang w:val="ar-SA"/>
          </w:rPr>
          <w:t>خامسًا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منهجية الدراسة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Toc227251377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5</w:t>
        </w:r>
        <w:r w:rsidRPr="00E9455F">
          <w:rPr>
            <w:rFonts w:ascii="Times New Roman" w:hAnsi="Times New Roman" w:cs="Times New Roman"/>
            <w:noProof/>
            <w:webHidden/>
            <w:sz w:val="24"/>
            <w:szCs w:val="24"/>
            <w:rtl/>
          </w:rPr>
          <w:fldChar w:fldCharType="end"/>
        </w:r>
      </w:hyperlink>
    </w:p>
    <w:p w14:paraId="674F3359" w14:textId="24B3CFB5"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78" w:history="1">
        <w:r w:rsidRPr="00E9455F">
          <w:rPr>
            <w:rStyle w:val="Hyperlink"/>
            <w:rFonts w:ascii="Times New Roman" w:eastAsia="Arial Unicode MS" w:hAnsi="Times New Roman" w:cs="Times New Roman"/>
            <w:noProof/>
            <w:sz w:val="24"/>
            <w:szCs w:val="24"/>
            <w:rtl/>
            <w:lang w:val="ar-SA"/>
          </w:rPr>
          <w:t>سادسًا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الدراسات السابقة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Toc227251378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5</w:t>
        </w:r>
        <w:r w:rsidRPr="00E9455F">
          <w:rPr>
            <w:rFonts w:ascii="Times New Roman" w:hAnsi="Times New Roman" w:cs="Times New Roman"/>
            <w:noProof/>
            <w:webHidden/>
            <w:sz w:val="24"/>
            <w:szCs w:val="24"/>
            <w:rtl/>
          </w:rPr>
          <w:fldChar w:fldCharType="end"/>
        </w:r>
      </w:hyperlink>
    </w:p>
    <w:p w14:paraId="6471C901" w14:textId="6427B3DF"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79" w:history="1">
        <w:r w:rsidRPr="00E9455F">
          <w:rPr>
            <w:rStyle w:val="Hyperlink"/>
            <w:rFonts w:ascii="Times New Roman" w:eastAsia="Arial Unicode MS" w:hAnsi="Times New Roman" w:cs="Times New Roman"/>
            <w:noProof/>
            <w:sz w:val="24"/>
            <w:szCs w:val="24"/>
            <w:rtl/>
            <w:lang w:val="ar-SA"/>
          </w:rPr>
          <w:t>سابعًا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مخطط البحث</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Toc227251379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7</w:t>
        </w:r>
        <w:r w:rsidRPr="00E9455F">
          <w:rPr>
            <w:rFonts w:ascii="Times New Roman" w:hAnsi="Times New Roman" w:cs="Times New Roman"/>
            <w:noProof/>
            <w:webHidden/>
            <w:sz w:val="24"/>
            <w:szCs w:val="24"/>
            <w:rtl/>
          </w:rPr>
          <w:fldChar w:fldCharType="end"/>
        </w:r>
      </w:hyperlink>
    </w:p>
    <w:p w14:paraId="7C3905E0" w14:textId="5A2447D2"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380" w:history="1">
        <w:r w:rsidRPr="002D2096">
          <w:rPr>
            <w:rStyle w:val="Hyperlink"/>
            <w:rFonts w:ascii="Times New Roman" w:eastAsia="Arial Unicode MS" w:hAnsi="Times New Roman" w:cs="Times New Roman"/>
            <w:b/>
            <w:bCs/>
            <w:noProof/>
            <w:sz w:val="24"/>
            <w:szCs w:val="24"/>
            <w:rtl/>
            <w:lang w:val="ar-SA"/>
          </w:rPr>
          <w:t>الفصــل التمهيدي</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Toc227251380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9</w:t>
        </w:r>
        <w:r w:rsidRPr="002D2096">
          <w:rPr>
            <w:rFonts w:ascii="Times New Roman" w:hAnsi="Times New Roman" w:cs="Times New Roman"/>
            <w:b/>
            <w:bCs/>
            <w:noProof/>
            <w:webHidden/>
            <w:sz w:val="24"/>
            <w:szCs w:val="24"/>
            <w:rtl/>
          </w:rPr>
          <w:fldChar w:fldCharType="end"/>
        </w:r>
      </w:hyperlink>
    </w:p>
    <w:p w14:paraId="32A34C66" w14:textId="182F964A" w:rsidR="00E9455F" w:rsidRPr="002D2096"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381" w:history="1">
        <w:r w:rsidRPr="002D2096">
          <w:rPr>
            <w:rStyle w:val="Hyperlink"/>
            <w:rFonts w:ascii="Times New Roman" w:eastAsia="Arial Unicode MS" w:hAnsi="Times New Roman" w:cs="Times New Roman"/>
            <w:b/>
            <w:bCs/>
            <w:noProof/>
            <w:sz w:val="24"/>
            <w:szCs w:val="24"/>
            <w:rtl/>
            <w:lang w:val="ar-SA"/>
          </w:rPr>
          <w:t>الإطار العام لأساسيات حماية حقوق الملكية الفكرية</w:t>
        </w:r>
        <w:r w:rsidRPr="002D2096">
          <w:rPr>
            <w:rFonts w:ascii="Times New Roman" w:hAnsi="Times New Roman" w:cs="Times New Roman"/>
            <w:b/>
            <w:bCs/>
            <w:noProof/>
            <w:webHidden/>
            <w:sz w:val="24"/>
            <w:szCs w:val="24"/>
            <w:rtl/>
          </w:rPr>
          <w:tab/>
        </w:r>
        <w:r w:rsidRPr="002D2096">
          <w:rPr>
            <w:rFonts w:ascii="Times New Roman" w:hAnsi="Times New Roman" w:cs="Times New Roman"/>
            <w:b/>
            <w:bCs/>
            <w:noProof/>
            <w:webHidden/>
            <w:sz w:val="24"/>
            <w:szCs w:val="24"/>
            <w:rtl/>
          </w:rPr>
          <w:fldChar w:fldCharType="begin"/>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Pr>
          <w:instrText>PAGEREF</w:instrText>
        </w:r>
        <w:r w:rsidRPr="002D2096">
          <w:rPr>
            <w:rFonts w:ascii="Times New Roman" w:hAnsi="Times New Roman" w:cs="Times New Roman"/>
            <w:b/>
            <w:bCs/>
            <w:noProof/>
            <w:webHidden/>
            <w:sz w:val="24"/>
            <w:szCs w:val="24"/>
            <w:rtl/>
          </w:rPr>
          <w:instrText xml:space="preserve"> _</w:instrText>
        </w:r>
        <w:r w:rsidRPr="002D2096">
          <w:rPr>
            <w:rFonts w:ascii="Times New Roman" w:hAnsi="Times New Roman" w:cs="Times New Roman"/>
            <w:b/>
            <w:bCs/>
            <w:noProof/>
            <w:webHidden/>
            <w:sz w:val="24"/>
            <w:szCs w:val="24"/>
          </w:rPr>
          <w:instrText>Toc227251381 \h</w:instrText>
        </w:r>
        <w:r w:rsidRPr="002D2096">
          <w:rPr>
            <w:rFonts w:ascii="Times New Roman" w:hAnsi="Times New Roman" w:cs="Times New Roman"/>
            <w:b/>
            <w:bCs/>
            <w:noProof/>
            <w:webHidden/>
            <w:sz w:val="24"/>
            <w:szCs w:val="24"/>
            <w:rtl/>
          </w:rPr>
          <w:instrText xml:space="preserve"> </w:instrText>
        </w:r>
        <w:r w:rsidRPr="002D2096">
          <w:rPr>
            <w:rFonts w:ascii="Times New Roman" w:hAnsi="Times New Roman" w:cs="Times New Roman"/>
            <w:b/>
            <w:bCs/>
            <w:noProof/>
            <w:webHidden/>
            <w:sz w:val="24"/>
            <w:szCs w:val="24"/>
            <w:rtl/>
          </w:rPr>
        </w:r>
        <w:r w:rsidRPr="002D2096">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9</w:t>
        </w:r>
        <w:r w:rsidRPr="002D2096">
          <w:rPr>
            <w:rFonts w:ascii="Times New Roman" w:hAnsi="Times New Roman" w:cs="Times New Roman"/>
            <w:b/>
            <w:bCs/>
            <w:noProof/>
            <w:webHidden/>
            <w:sz w:val="24"/>
            <w:szCs w:val="24"/>
            <w:rtl/>
          </w:rPr>
          <w:fldChar w:fldCharType="end"/>
        </w:r>
      </w:hyperlink>
    </w:p>
    <w:p w14:paraId="3DB6BFCB" w14:textId="0628C85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2" w:history="1">
        <w:r w:rsidRPr="00E9455F">
          <w:rPr>
            <w:rStyle w:val="Hyperlink"/>
            <w:rFonts w:ascii="Times New Roman" w:eastAsia="Arial Unicode MS" w:hAnsi="Times New Roman" w:cs="Times New Roman"/>
            <w:noProof/>
            <w:sz w:val="24"/>
            <w:szCs w:val="24"/>
            <w:rtl/>
            <w:lang w:val="ar-SA"/>
          </w:rPr>
          <w:t>المبحث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w:t>
        </w:r>
        <w:r w:rsidRPr="00E9455F">
          <w:rPr>
            <w:rFonts w:ascii="Times New Roman" w:hAnsi="Times New Roman" w:cs="Times New Roman"/>
            <w:noProof/>
            <w:webHidden/>
            <w:sz w:val="24"/>
            <w:szCs w:val="24"/>
            <w:rtl/>
          </w:rPr>
          <w:fldChar w:fldCharType="end"/>
        </w:r>
      </w:hyperlink>
    </w:p>
    <w:p w14:paraId="26E8A750" w14:textId="5C7B3F3D"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3" w:history="1">
        <w:r w:rsidRPr="00E9455F">
          <w:rPr>
            <w:rStyle w:val="Hyperlink"/>
            <w:rFonts w:ascii="Times New Roman" w:eastAsia="Arial Unicode MS" w:hAnsi="Times New Roman" w:cs="Times New Roman"/>
            <w:noProof/>
            <w:sz w:val="24"/>
            <w:szCs w:val="24"/>
            <w:rtl/>
            <w:lang w:val="ar-SA"/>
          </w:rPr>
          <w:t>ماهية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w:t>
        </w:r>
        <w:r w:rsidRPr="00E9455F">
          <w:rPr>
            <w:rFonts w:ascii="Times New Roman" w:hAnsi="Times New Roman" w:cs="Times New Roman"/>
            <w:noProof/>
            <w:webHidden/>
            <w:sz w:val="24"/>
            <w:szCs w:val="24"/>
            <w:rtl/>
          </w:rPr>
          <w:fldChar w:fldCharType="end"/>
        </w:r>
      </w:hyperlink>
    </w:p>
    <w:p w14:paraId="4667765D" w14:textId="5407EC03"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4"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w:t>
        </w:r>
        <w:r w:rsidRPr="00E9455F">
          <w:rPr>
            <w:rFonts w:ascii="Times New Roman" w:hAnsi="Times New Roman" w:cs="Times New Roman"/>
            <w:noProof/>
            <w:webHidden/>
            <w:sz w:val="24"/>
            <w:szCs w:val="24"/>
            <w:rtl/>
          </w:rPr>
          <w:fldChar w:fldCharType="end"/>
        </w:r>
      </w:hyperlink>
    </w:p>
    <w:p w14:paraId="0A34A082" w14:textId="50EC56AF"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5" w:history="1">
        <w:r w:rsidRPr="00E9455F">
          <w:rPr>
            <w:rStyle w:val="Hyperlink"/>
            <w:rFonts w:ascii="Times New Roman" w:eastAsia="Arial Unicode MS" w:hAnsi="Times New Roman" w:cs="Times New Roman"/>
            <w:noProof/>
            <w:sz w:val="24"/>
            <w:szCs w:val="24"/>
            <w:rtl/>
            <w:lang w:val="ar-SA"/>
          </w:rPr>
          <w:t>تعريف حقوق</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w:t>
        </w:r>
        <w:r w:rsidRPr="00E9455F">
          <w:rPr>
            <w:rFonts w:ascii="Times New Roman" w:hAnsi="Times New Roman" w:cs="Times New Roman"/>
            <w:noProof/>
            <w:webHidden/>
            <w:sz w:val="24"/>
            <w:szCs w:val="24"/>
            <w:rtl/>
          </w:rPr>
          <w:fldChar w:fldCharType="end"/>
        </w:r>
      </w:hyperlink>
    </w:p>
    <w:p w14:paraId="1FFE6316" w14:textId="731FED5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6" w:history="1">
        <w:r w:rsidRPr="00E9455F">
          <w:rPr>
            <w:rStyle w:val="Hyperlink"/>
            <w:rFonts w:ascii="Times New Roman" w:eastAsia="Arial Unicode MS" w:hAnsi="Times New Roman" w:cs="Times New Roman"/>
            <w:noProof/>
            <w:sz w:val="24"/>
            <w:szCs w:val="24"/>
            <w:rtl/>
            <w:lang w:val="ar-SA"/>
          </w:rPr>
          <w:t>الفرع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12</w:t>
        </w:r>
        <w:r w:rsidRPr="00E9455F">
          <w:rPr>
            <w:rFonts w:ascii="Times New Roman" w:hAnsi="Times New Roman" w:cs="Times New Roman"/>
            <w:noProof/>
            <w:webHidden/>
            <w:sz w:val="24"/>
            <w:szCs w:val="24"/>
            <w:rtl/>
          </w:rPr>
          <w:fldChar w:fldCharType="end"/>
        </w:r>
      </w:hyperlink>
    </w:p>
    <w:p w14:paraId="7D2BFDE2" w14:textId="0F002FB0"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7" w:history="1">
        <w:r w:rsidRPr="00E9455F">
          <w:rPr>
            <w:rStyle w:val="Hyperlink"/>
            <w:rFonts w:ascii="Times New Roman" w:eastAsia="Arial Unicode MS" w:hAnsi="Times New Roman" w:cs="Times New Roman"/>
            <w:noProof/>
            <w:sz w:val="24"/>
            <w:szCs w:val="24"/>
            <w:rtl/>
            <w:lang w:val="ar-SA"/>
          </w:rPr>
          <w:t>المفهوم التقليدي للملكية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12</w:t>
        </w:r>
        <w:r w:rsidRPr="00E9455F">
          <w:rPr>
            <w:rFonts w:ascii="Times New Roman" w:hAnsi="Times New Roman" w:cs="Times New Roman"/>
            <w:noProof/>
            <w:webHidden/>
            <w:sz w:val="24"/>
            <w:szCs w:val="24"/>
            <w:rtl/>
          </w:rPr>
          <w:fldChar w:fldCharType="end"/>
        </w:r>
      </w:hyperlink>
    </w:p>
    <w:p w14:paraId="1BB7BE77" w14:textId="428504D3"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8" w:history="1">
        <w:r w:rsidRPr="00E9455F">
          <w:rPr>
            <w:rStyle w:val="Hyperlink"/>
            <w:rFonts w:ascii="Times New Roman" w:eastAsia="Arial Unicode MS" w:hAnsi="Times New Roman" w:cs="Times New Roman"/>
            <w:noProof/>
            <w:sz w:val="24"/>
            <w:szCs w:val="24"/>
            <w:rtl/>
            <w:lang w:val="ar-SA"/>
          </w:rPr>
          <w:t>الفرع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w:t>
        </w:r>
        <w:r w:rsidRPr="00E9455F">
          <w:rPr>
            <w:rFonts w:ascii="Times New Roman" w:hAnsi="Times New Roman" w:cs="Times New Roman"/>
            <w:noProof/>
            <w:webHidden/>
            <w:sz w:val="24"/>
            <w:szCs w:val="24"/>
            <w:rtl/>
          </w:rPr>
          <w:fldChar w:fldCharType="end"/>
        </w:r>
      </w:hyperlink>
    </w:p>
    <w:p w14:paraId="73129C57" w14:textId="7C33E9B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89" w:history="1">
        <w:r w:rsidRPr="00E9455F">
          <w:rPr>
            <w:rStyle w:val="Hyperlink"/>
            <w:rFonts w:ascii="Times New Roman" w:eastAsia="Arial Unicode MS" w:hAnsi="Times New Roman" w:cs="Times New Roman"/>
            <w:noProof/>
            <w:sz w:val="24"/>
            <w:szCs w:val="24"/>
            <w:rtl/>
            <w:lang w:val="ar-SA"/>
          </w:rPr>
          <w:t>مفهوم الملكية الفكرية الإلكترونية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Toc227251389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w:t>
        </w:r>
        <w:r w:rsidRPr="00E9455F">
          <w:rPr>
            <w:rFonts w:ascii="Times New Roman" w:hAnsi="Times New Roman" w:cs="Times New Roman"/>
            <w:noProof/>
            <w:webHidden/>
            <w:sz w:val="24"/>
            <w:szCs w:val="24"/>
            <w:rtl/>
          </w:rPr>
          <w:fldChar w:fldCharType="end"/>
        </w:r>
      </w:hyperlink>
    </w:p>
    <w:p w14:paraId="2C04AFE4" w14:textId="09B8B10E"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0"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19</w:t>
        </w:r>
        <w:r w:rsidRPr="00E9455F">
          <w:rPr>
            <w:rFonts w:ascii="Times New Roman" w:hAnsi="Times New Roman" w:cs="Times New Roman"/>
            <w:noProof/>
            <w:webHidden/>
            <w:sz w:val="24"/>
            <w:szCs w:val="24"/>
            <w:rtl/>
          </w:rPr>
          <w:fldChar w:fldCharType="end"/>
        </w:r>
      </w:hyperlink>
    </w:p>
    <w:p w14:paraId="4ADC8216" w14:textId="2B5E134D"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1" w:history="1">
        <w:r w:rsidRPr="00E9455F">
          <w:rPr>
            <w:rStyle w:val="Hyperlink"/>
            <w:rFonts w:ascii="Times New Roman" w:eastAsia="Arial Unicode MS" w:hAnsi="Times New Roman" w:cs="Times New Roman"/>
            <w:noProof/>
            <w:sz w:val="24"/>
            <w:szCs w:val="24"/>
            <w:rtl/>
            <w:lang w:val="ar-SA"/>
          </w:rPr>
          <w:t>أهمية أهداف وحقوق وأنواع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19</w:t>
        </w:r>
        <w:r w:rsidRPr="00E9455F">
          <w:rPr>
            <w:rFonts w:ascii="Times New Roman" w:hAnsi="Times New Roman" w:cs="Times New Roman"/>
            <w:noProof/>
            <w:webHidden/>
            <w:sz w:val="24"/>
            <w:szCs w:val="24"/>
            <w:rtl/>
          </w:rPr>
          <w:fldChar w:fldCharType="end"/>
        </w:r>
      </w:hyperlink>
    </w:p>
    <w:p w14:paraId="0877720B" w14:textId="3AEC554B"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2" w:history="1">
        <w:r w:rsidRPr="00E9455F">
          <w:rPr>
            <w:rStyle w:val="Hyperlink"/>
            <w:rFonts w:ascii="Times New Roman" w:eastAsia="Arial Unicode MS" w:hAnsi="Times New Roman" w:cs="Times New Roman"/>
            <w:noProof/>
            <w:sz w:val="24"/>
            <w:szCs w:val="24"/>
            <w:rtl/>
            <w:lang w:val="ar-SA"/>
          </w:rPr>
          <w:t>الفرع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20</w:t>
        </w:r>
        <w:r w:rsidRPr="00E9455F">
          <w:rPr>
            <w:rFonts w:ascii="Times New Roman" w:hAnsi="Times New Roman" w:cs="Times New Roman"/>
            <w:noProof/>
            <w:webHidden/>
            <w:sz w:val="24"/>
            <w:szCs w:val="24"/>
            <w:rtl/>
          </w:rPr>
          <w:fldChar w:fldCharType="end"/>
        </w:r>
      </w:hyperlink>
    </w:p>
    <w:p w14:paraId="695EC09F" w14:textId="2EE93CE8"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3" w:history="1">
        <w:r w:rsidRPr="00E9455F">
          <w:rPr>
            <w:rStyle w:val="Hyperlink"/>
            <w:rFonts w:ascii="Times New Roman" w:eastAsia="Arial Unicode MS" w:hAnsi="Times New Roman" w:cs="Times New Roman"/>
            <w:noProof/>
            <w:sz w:val="24"/>
            <w:szCs w:val="24"/>
            <w:rtl/>
            <w:lang w:val="ar-SA"/>
          </w:rPr>
          <w:t>أهمية وأهداف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20</w:t>
        </w:r>
        <w:r w:rsidRPr="00E9455F">
          <w:rPr>
            <w:rFonts w:ascii="Times New Roman" w:hAnsi="Times New Roman" w:cs="Times New Roman"/>
            <w:noProof/>
            <w:webHidden/>
            <w:sz w:val="24"/>
            <w:szCs w:val="24"/>
            <w:rtl/>
          </w:rPr>
          <w:fldChar w:fldCharType="end"/>
        </w:r>
      </w:hyperlink>
    </w:p>
    <w:p w14:paraId="73108F8A" w14:textId="5743B8AC"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4" w:history="1">
        <w:r w:rsidRPr="00E9455F">
          <w:rPr>
            <w:rStyle w:val="Hyperlink"/>
            <w:rFonts w:ascii="Times New Roman" w:eastAsia="Arial Unicode MS" w:hAnsi="Times New Roman" w:cs="Times New Roman"/>
            <w:noProof/>
            <w:sz w:val="24"/>
            <w:szCs w:val="24"/>
            <w:rtl/>
            <w:lang w:val="ar-SA"/>
          </w:rPr>
          <w:t>الفرع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24</w:t>
        </w:r>
        <w:r w:rsidRPr="00E9455F">
          <w:rPr>
            <w:rFonts w:ascii="Times New Roman" w:hAnsi="Times New Roman" w:cs="Times New Roman"/>
            <w:noProof/>
            <w:webHidden/>
            <w:sz w:val="24"/>
            <w:szCs w:val="24"/>
            <w:rtl/>
          </w:rPr>
          <w:fldChar w:fldCharType="end"/>
        </w:r>
      </w:hyperlink>
    </w:p>
    <w:p w14:paraId="5D5FA408" w14:textId="0357269D"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5" w:history="1">
        <w:r w:rsidRPr="00E9455F">
          <w:rPr>
            <w:rStyle w:val="Hyperlink"/>
            <w:rFonts w:ascii="Times New Roman" w:eastAsia="Arial Unicode MS" w:hAnsi="Times New Roman" w:cs="Times New Roman"/>
            <w:noProof/>
            <w:sz w:val="24"/>
            <w:szCs w:val="24"/>
            <w:rtl/>
            <w:lang w:val="ar-SA"/>
          </w:rPr>
          <w:t>أنواع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24</w:t>
        </w:r>
        <w:r w:rsidRPr="00E9455F">
          <w:rPr>
            <w:rFonts w:ascii="Times New Roman" w:hAnsi="Times New Roman" w:cs="Times New Roman"/>
            <w:noProof/>
            <w:webHidden/>
            <w:sz w:val="24"/>
            <w:szCs w:val="24"/>
            <w:rtl/>
          </w:rPr>
          <w:fldChar w:fldCharType="end"/>
        </w:r>
      </w:hyperlink>
    </w:p>
    <w:p w14:paraId="3924AD55" w14:textId="2AF57D85"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6" w:history="1">
        <w:r w:rsidRPr="00E9455F">
          <w:rPr>
            <w:rStyle w:val="Hyperlink"/>
            <w:rFonts w:ascii="Times New Roman" w:eastAsia="Arial Unicode MS" w:hAnsi="Times New Roman" w:cs="Times New Roman"/>
            <w:noProof/>
            <w:sz w:val="24"/>
            <w:szCs w:val="24"/>
            <w:rtl/>
            <w:lang w:val="ar-SA"/>
          </w:rPr>
          <w:t>المبحث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29</w:t>
        </w:r>
        <w:r w:rsidRPr="00E9455F">
          <w:rPr>
            <w:rFonts w:ascii="Times New Roman" w:hAnsi="Times New Roman" w:cs="Times New Roman"/>
            <w:noProof/>
            <w:webHidden/>
            <w:sz w:val="24"/>
            <w:szCs w:val="24"/>
            <w:rtl/>
          </w:rPr>
          <w:fldChar w:fldCharType="end"/>
        </w:r>
      </w:hyperlink>
    </w:p>
    <w:p w14:paraId="4F1A7B55" w14:textId="0A91CCCC"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7" w:history="1">
        <w:r w:rsidRPr="00E9455F">
          <w:rPr>
            <w:rStyle w:val="Hyperlink"/>
            <w:rFonts w:ascii="Times New Roman" w:eastAsia="Arial Unicode MS" w:hAnsi="Times New Roman" w:cs="Times New Roman"/>
            <w:noProof/>
            <w:sz w:val="24"/>
            <w:szCs w:val="24"/>
            <w:rtl/>
            <w:lang w:val="ar-SA"/>
          </w:rPr>
          <w:t>نُبذة تاريخية عن نشأة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29</w:t>
        </w:r>
        <w:r w:rsidRPr="00E9455F">
          <w:rPr>
            <w:rFonts w:ascii="Times New Roman" w:hAnsi="Times New Roman" w:cs="Times New Roman"/>
            <w:noProof/>
            <w:webHidden/>
            <w:sz w:val="24"/>
            <w:szCs w:val="24"/>
            <w:rtl/>
          </w:rPr>
          <w:fldChar w:fldCharType="end"/>
        </w:r>
      </w:hyperlink>
    </w:p>
    <w:p w14:paraId="45FA4378" w14:textId="0D2B26C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8"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30</w:t>
        </w:r>
        <w:r w:rsidRPr="00E9455F">
          <w:rPr>
            <w:rFonts w:ascii="Times New Roman" w:hAnsi="Times New Roman" w:cs="Times New Roman"/>
            <w:noProof/>
            <w:webHidden/>
            <w:sz w:val="24"/>
            <w:szCs w:val="24"/>
            <w:rtl/>
          </w:rPr>
          <w:fldChar w:fldCharType="end"/>
        </w:r>
      </w:hyperlink>
    </w:p>
    <w:p w14:paraId="2CFB3966" w14:textId="466BA977"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399" w:history="1">
        <w:r w:rsidRPr="00E9455F">
          <w:rPr>
            <w:rStyle w:val="Hyperlink"/>
            <w:rFonts w:ascii="Times New Roman" w:eastAsia="Arial Unicode MS" w:hAnsi="Times New Roman" w:cs="Times New Roman"/>
            <w:noProof/>
            <w:sz w:val="24"/>
            <w:szCs w:val="24"/>
            <w:rtl/>
            <w:lang w:val="ar-SA"/>
          </w:rPr>
          <w:t>نُبذة تاريخية عن نشأة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Toc227251399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30</w:t>
        </w:r>
        <w:r w:rsidRPr="00E9455F">
          <w:rPr>
            <w:rFonts w:ascii="Times New Roman" w:hAnsi="Times New Roman" w:cs="Times New Roman"/>
            <w:noProof/>
            <w:webHidden/>
            <w:sz w:val="24"/>
            <w:szCs w:val="24"/>
            <w:rtl/>
          </w:rPr>
          <w:fldChar w:fldCharType="end"/>
        </w:r>
      </w:hyperlink>
    </w:p>
    <w:p w14:paraId="3CD5B9A0" w14:textId="61B7F9FC"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0" w:history="1">
        <w:r w:rsidRPr="00E9455F">
          <w:rPr>
            <w:rStyle w:val="Hyperlink"/>
            <w:rFonts w:ascii="Times New Roman" w:eastAsia="Arial Unicode MS" w:hAnsi="Times New Roman" w:cs="Times New Roman"/>
            <w:noProof/>
            <w:sz w:val="24"/>
            <w:szCs w:val="24"/>
            <w:rtl/>
            <w:lang w:val="ar-SA"/>
          </w:rPr>
          <w:t>الفرع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31</w:t>
        </w:r>
        <w:r w:rsidRPr="00E9455F">
          <w:rPr>
            <w:rFonts w:ascii="Times New Roman" w:hAnsi="Times New Roman" w:cs="Times New Roman"/>
            <w:noProof/>
            <w:webHidden/>
            <w:sz w:val="24"/>
            <w:szCs w:val="24"/>
            <w:rtl/>
          </w:rPr>
          <w:fldChar w:fldCharType="end"/>
        </w:r>
      </w:hyperlink>
    </w:p>
    <w:p w14:paraId="6E3EF21C" w14:textId="54112641"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1" w:history="1">
        <w:r w:rsidRPr="00E9455F">
          <w:rPr>
            <w:rStyle w:val="Hyperlink"/>
            <w:rFonts w:ascii="Times New Roman" w:eastAsia="Arial Unicode MS" w:hAnsi="Times New Roman" w:cs="Times New Roman"/>
            <w:noProof/>
            <w:sz w:val="24"/>
            <w:szCs w:val="24"/>
            <w:rtl/>
            <w:lang w:val="ar-SA"/>
          </w:rPr>
          <w:t>تاريخ تطوُّر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31</w:t>
        </w:r>
        <w:r w:rsidRPr="00E9455F">
          <w:rPr>
            <w:rFonts w:ascii="Times New Roman" w:hAnsi="Times New Roman" w:cs="Times New Roman"/>
            <w:noProof/>
            <w:webHidden/>
            <w:sz w:val="24"/>
            <w:szCs w:val="24"/>
            <w:rtl/>
          </w:rPr>
          <w:fldChar w:fldCharType="end"/>
        </w:r>
      </w:hyperlink>
    </w:p>
    <w:p w14:paraId="7FDB04D8" w14:textId="54558160"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2" w:history="1">
        <w:r w:rsidRPr="00E9455F">
          <w:rPr>
            <w:rStyle w:val="Hyperlink"/>
            <w:rFonts w:ascii="Times New Roman" w:eastAsia="Arial Unicode MS" w:hAnsi="Times New Roman" w:cs="Times New Roman"/>
            <w:noProof/>
            <w:sz w:val="24"/>
            <w:szCs w:val="24"/>
            <w:rtl/>
            <w:lang w:val="ar-SA"/>
          </w:rPr>
          <w:t>الفرع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35</w:t>
        </w:r>
        <w:r w:rsidRPr="00E9455F">
          <w:rPr>
            <w:rFonts w:ascii="Times New Roman" w:hAnsi="Times New Roman" w:cs="Times New Roman"/>
            <w:noProof/>
            <w:webHidden/>
            <w:sz w:val="24"/>
            <w:szCs w:val="24"/>
            <w:rtl/>
          </w:rPr>
          <w:fldChar w:fldCharType="end"/>
        </w:r>
      </w:hyperlink>
    </w:p>
    <w:p w14:paraId="1055C93C" w14:textId="1884AE6D"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3" w:history="1">
        <w:r w:rsidRPr="00E9455F">
          <w:rPr>
            <w:rStyle w:val="Hyperlink"/>
            <w:rFonts w:ascii="Times New Roman" w:eastAsia="Arial Unicode MS" w:hAnsi="Times New Roman" w:cs="Times New Roman"/>
            <w:noProof/>
            <w:sz w:val="24"/>
            <w:szCs w:val="24"/>
            <w:rtl/>
            <w:lang w:val="ar-SA"/>
          </w:rPr>
          <w:t>نشأة حقوق المؤلف في الدول العربية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35</w:t>
        </w:r>
        <w:r w:rsidRPr="00E9455F">
          <w:rPr>
            <w:rFonts w:ascii="Times New Roman" w:hAnsi="Times New Roman" w:cs="Times New Roman"/>
            <w:noProof/>
            <w:webHidden/>
            <w:sz w:val="24"/>
            <w:szCs w:val="24"/>
            <w:rtl/>
          </w:rPr>
          <w:fldChar w:fldCharType="end"/>
        </w:r>
      </w:hyperlink>
    </w:p>
    <w:p w14:paraId="4615B287" w14:textId="4D5D6D80"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4"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38</w:t>
        </w:r>
        <w:r w:rsidRPr="00E9455F">
          <w:rPr>
            <w:rFonts w:ascii="Times New Roman" w:hAnsi="Times New Roman" w:cs="Times New Roman"/>
            <w:noProof/>
            <w:webHidden/>
            <w:sz w:val="24"/>
            <w:szCs w:val="24"/>
            <w:rtl/>
          </w:rPr>
          <w:fldChar w:fldCharType="end"/>
        </w:r>
      </w:hyperlink>
    </w:p>
    <w:p w14:paraId="496EB391" w14:textId="43C00142"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5" w:history="1">
        <w:r w:rsidRPr="00E9455F">
          <w:rPr>
            <w:rStyle w:val="Hyperlink"/>
            <w:rFonts w:ascii="Times New Roman" w:eastAsia="Arial Unicode MS" w:hAnsi="Times New Roman" w:cs="Times New Roman"/>
            <w:noProof/>
            <w:sz w:val="24"/>
            <w:szCs w:val="24"/>
            <w:rtl/>
            <w:lang w:val="ar-SA"/>
          </w:rPr>
          <w:t>تطوُّر الأطر القانونية والمؤسسية لحماية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38</w:t>
        </w:r>
        <w:r w:rsidRPr="00E9455F">
          <w:rPr>
            <w:rFonts w:ascii="Times New Roman" w:hAnsi="Times New Roman" w:cs="Times New Roman"/>
            <w:noProof/>
            <w:webHidden/>
            <w:sz w:val="24"/>
            <w:szCs w:val="24"/>
            <w:rtl/>
          </w:rPr>
          <w:fldChar w:fldCharType="end"/>
        </w:r>
      </w:hyperlink>
    </w:p>
    <w:p w14:paraId="36EBA94D" w14:textId="03371E6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6" w:history="1">
        <w:r w:rsidRPr="00E9455F">
          <w:rPr>
            <w:rStyle w:val="Hyperlink"/>
            <w:rFonts w:ascii="Times New Roman" w:eastAsia="Arial Unicode MS" w:hAnsi="Times New Roman" w:cs="Times New Roman"/>
            <w:noProof/>
            <w:sz w:val="24"/>
            <w:szCs w:val="24"/>
            <w:rtl/>
            <w:lang w:val="ar-SA"/>
          </w:rPr>
          <w:t>الفرع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39</w:t>
        </w:r>
        <w:r w:rsidRPr="00E9455F">
          <w:rPr>
            <w:rFonts w:ascii="Times New Roman" w:hAnsi="Times New Roman" w:cs="Times New Roman"/>
            <w:noProof/>
            <w:webHidden/>
            <w:sz w:val="24"/>
            <w:szCs w:val="24"/>
            <w:rtl/>
          </w:rPr>
          <w:fldChar w:fldCharType="end"/>
        </w:r>
      </w:hyperlink>
    </w:p>
    <w:p w14:paraId="09CAD0D5" w14:textId="310FBBE6"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7" w:history="1">
        <w:r w:rsidRPr="00E9455F">
          <w:rPr>
            <w:rStyle w:val="Hyperlink"/>
            <w:rFonts w:ascii="Times New Roman" w:eastAsia="Arial Unicode MS" w:hAnsi="Times New Roman" w:cs="Times New Roman"/>
            <w:noProof/>
            <w:sz w:val="24"/>
            <w:szCs w:val="24"/>
            <w:rtl/>
            <w:lang w:val="ar-SA"/>
          </w:rPr>
          <w:t>تطوُّر الأطر التشريعية لحماية حقوق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39</w:t>
        </w:r>
        <w:r w:rsidRPr="00E9455F">
          <w:rPr>
            <w:rFonts w:ascii="Times New Roman" w:hAnsi="Times New Roman" w:cs="Times New Roman"/>
            <w:noProof/>
            <w:webHidden/>
            <w:sz w:val="24"/>
            <w:szCs w:val="24"/>
            <w:rtl/>
          </w:rPr>
          <w:fldChar w:fldCharType="end"/>
        </w:r>
      </w:hyperlink>
    </w:p>
    <w:p w14:paraId="44BA3766" w14:textId="25B8D706"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8" w:history="1">
        <w:r w:rsidRPr="00E9455F">
          <w:rPr>
            <w:rStyle w:val="Hyperlink"/>
            <w:rFonts w:ascii="Times New Roman" w:eastAsia="Arial Unicode MS" w:hAnsi="Times New Roman" w:cs="Times New Roman"/>
            <w:noProof/>
            <w:sz w:val="24"/>
            <w:szCs w:val="24"/>
            <w:rtl/>
            <w:lang w:val="ar-SA"/>
          </w:rPr>
          <w:t>الفرع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45</w:t>
        </w:r>
        <w:r w:rsidRPr="00E9455F">
          <w:rPr>
            <w:rFonts w:ascii="Times New Roman" w:hAnsi="Times New Roman" w:cs="Times New Roman"/>
            <w:noProof/>
            <w:webHidden/>
            <w:sz w:val="24"/>
            <w:szCs w:val="24"/>
            <w:rtl/>
          </w:rPr>
          <w:fldChar w:fldCharType="end"/>
        </w:r>
      </w:hyperlink>
    </w:p>
    <w:p w14:paraId="36EC0A7D" w14:textId="76206F3A"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09" w:history="1">
        <w:r w:rsidRPr="00E9455F">
          <w:rPr>
            <w:rStyle w:val="Hyperlink"/>
            <w:rFonts w:ascii="Times New Roman" w:eastAsia="Arial Unicode MS" w:hAnsi="Times New Roman" w:cs="Times New Roman"/>
            <w:noProof/>
            <w:sz w:val="24"/>
            <w:szCs w:val="24"/>
            <w:rtl/>
            <w:lang w:val="ar-SA"/>
          </w:rPr>
          <w:t>دور المؤسسات الوطنية والدولية في دعم الحماية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Toc227251409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45</w:t>
        </w:r>
        <w:r w:rsidRPr="00E9455F">
          <w:rPr>
            <w:rFonts w:ascii="Times New Roman" w:hAnsi="Times New Roman" w:cs="Times New Roman"/>
            <w:noProof/>
            <w:webHidden/>
            <w:sz w:val="24"/>
            <w:szCs w:val="24"/>
            <w:rtl/>
          </w:rPr>
          <w:fldChar w:fldCharType="end"/>
        </w:r>
      </w:hyperlink>
    </w:p>
    <w:p w14:paraId="185B2D5D" w14:textId="2E01B3A9" w:rsidR="00E9455F" w:rsidRPr="00E61534"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10" w:history="1">
        <w:r w:rsidRPr="00E61534">
          <w:rPr>
            <w:rStyle w:val="Hyperlink"/>
            <w:rFonts w:ascii="Times New Roman" w:eastAsia="Arial Unicode MS" w:hAnsi="Times New Roman" w:cs="Times New Roman"/>
            <w:b/>
            <w:bCs/>
            <w:noProof/>
            <w:sz w:val="24"/>
            <w:szCs w:val="24"/>
            <w:rtl/>
            <w:lang w:val="ar-SA"/>
          </w:rPr>
          <w:t>الفصل الأول</w:t>
        </w:r>
        <w:r w:rsidRPr="00E61534">
          <w:rPr>
            <w:rFonts w:ascii="Times New Roman" w:hAnsi="Times New Roman" w:cs="Times New Roman"/>
            <w:b/>
            <w:bCs/>
            <w:noProof/>
            <w:webHidden/>
            <w:sz w:val="24"/>
            <w:szCs w:val="24"/>
            <w:rtl/>
          </w:rPr>
          <w:tab/>
        </w:r>
        <w:r w:rsidRPr="00E61534">
          <w:rPr>
            <w:rFonts w:ascii="Times New Roman" w:hAnsi="Times New Roman" w:cs="Times New Roman"/>
            <w:b/>
            <w:bCs/>
            <w:noProof/>
            <w:webHidden/>
            <w:sz w:val="24"/>
            <w:szCs w:val="24"/>
            <w:rtl/>
          </w:rPr>
          <w:fldChar w:fldCharType="begin"/>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Pr>
          <w:instrText>PAGEREF</w:instrText>
        </w:r>
        <w:r w:rsidRPr="00E61534">
          <w:rPr>
            <w:rFonts w:ascii="Times New Roman" w:hAnsi="Times New Roman" w:cs="Times New Roman"/>
            <w:b/>
            <w:bCs/>
            <w:noProof/>
            <w:webHidden/>
            <w:sz w:val="24"/>
            <w:szCs w:val="24"/>
            <w:rtl/>
          </w:rPr>
          <w:instrText xml:space="preserve"> _</w:instrText>
        </w:r>
        <w:r w:rsidRPr="00E61534">
          <w:rPr>
            <w:rFonts w:ascii="Times New Roman" w:hAnsi="Times New Roman" w:cs="Times New Roman"/>
            <w:b/>
            <w:bCs/>
            <w:noProof/>
            <w:webHidden/>
            <w:sz w:val="24"/>
            <w:szCs w:val="24"/>
          </w:rPr>
          <w:instrText>Toc227251410 \h</w:instrText>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tl/>
          </w:rPr>
        </w:r>
        <w:r w:rsidRPr="00E61534">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48</w:t>
        </w:r>
        <w:r w:rsidRPr="00E61534">
          <w:rPr>
            <w:rFonts w:ascii="Times New Roman" w:hAnsi="Times New Roman" w:cs="Times New Roman"/>
            <w:b/>
            <w:bCs/>
            <w:noProof/>
            <w:webHidden/>
            <w:sz w:val="24"/>
            <w:szCs w:val="24"/>
            <w:rtl/>
          </w:rPr>
          <w:fldChar w:fldCharType="end"/>
        </w:r>
      </w:hyperlink>
    </w:p>
    <w:p w14:paraId="7CE7F4FD" w14:textId="0BFA0332"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1" w:history="1">
        <w:r w:rsidRPr="00E61534">
          <w:rPr>
            <w:rStyle w:val="Hyperlink"/>
            <w:rFonts w:ascii="Times New Roman" w:eastAsia="Arial Unicode MS" w:hAnsi="Times New Roman" w:cs="Times New Roman"/>
            <w:b/>
            <w:bCs/>
            <w:noProof/>
            <w:sz w:val="24"/>
            <w:szCs w:val="24"/>
            <w:rtl/>
            <w:lang w:val="ar-SA"/>
          </w:rPr>
          <w:t>التعريف بالبيئة الرقمية وخصائصها</w:t>
        </w:r>
        <w:r w:rsidRPr="00E61534">
          <w:rPr>
            <w:rFonts w:ascii="Times New Roman" w:hAnsi="Times New Roman" w:cs="Times New Roman"/>
            <w:b/>
            <w:bCs/>
            <w:noProof/>
            <w:webHidden/>
            <w:sz w:val="24"/>
            <w:szCs w:val="24"/>
            <w:rtl/>
          </w:rPr>
          <w:tab/>
        </w:r>
        <w:r w:rsidRPr="00E61534">
          <w:rPr>
            <w:rFonts w:ascii="Times New Roman" w:hAnsi="Times New Roman" w:cs="Times New Roman"/>
            <w:b/>
            <w:bCs/>
            <w:noProof/>
            <w:webHidden/>
            <w:sz w:val="24"/>
            <w:szCs w:val="24"/>
            <w:rtl/>
          </w:rPr>
          <w:fldChar w:fldCharType="begin"/>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Pr>
          <w:instrText>PAGEREF</w:instrText>
        </w:r>
        <w:r w:rsidRPr="00E61534">
          <w:rPr>
            <w:rFonts w:ascii="Times New Roman" w:hAnsi="Times New Roman" w:cs="Times New Roman"/>
            <w:b/>
            <w:bCs/>
            <w:noProof/>
            <w:webHidden/>
            <w:sz w:val="24"/>
            <w:szCs w:val="24"/>
            <w:rtl/>
          </w:rPr>
          <w:instrText xml:space="preserve"> _</w:instrText>
        </w:r>
        <w:r w:rsidRPr="00E61534">
          <w:rPr>
            <w:rFonts w:ascii="Times New Roman" w:hAnsi="Times New Roman" w:cs="Times New Roman"/>
            <w:b/>
            <w:bCs/>
            <w:noProof/>
            <w:webHidden/>
            <w:sz w:val="24"/>
            <w:szCs w:val="24"/>
          </w:rPr>
          <w:instrText>Toc227251411 \h</w:instrText>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tl/>
          </w:rPr>
        </w:r>
        <w:r w:rsidRPr="00E61534">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48</w:t>
        </w:r>
        <w:r w:rsidRPr="00E61534">
          <w:rPr>
            <w:rFonts w:ascii="Times New Roman" w:hAnsi="Times New Roman" w:cs="Times New Roman"/>
            <w:b/>
            <w:bCs/>
            <w:noProof/>
            <w:webHidden/>
            <w:sz w:val="24"/>
            <w:szCs w:val="24"/>
            <w:rtl/>
          </w:rPr>
          <w:fldChar w:fldCharType="end"/>
        </w:r>
      </w:hyperlink>
    </w:p>
    <w:p w14:paraId="69AE948E" w14:textId="271F85F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2" w:history="1">
        <w:r w:rsidRPr="00E9455F">
          <w:rPr>
            <w:rStyle w:val="Hyperlink"/>
            <w:rFonts w:ascii="Times New Roman" w:eastAsia="Arial Unicode MS" w:hAnsi="Times New Roman" w:cs="Times New Roman"/>
            <w:noProof/>
            <w:sz w:val="24"/>
            <w:szCs w:val="24"/>
            <w:rtl/>
            <w:lang w:val="ar-SA"/>
          </w:rPr>
          <w:t>المبحث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49</w:t>
        </w:r>
        <w:r w:rsidRPr="00E9455F">
          <w:rPr>
            <w:rFonts w:ascii="Times New Roman" w:hAnsi="Times New Roman" w:cs="Times New Roman"/>
            <w:noProof/>
            <w:webHidden/>
            <w:sz w:val="24"/>
            <w:szCs w:val="24"/>
            <w:rtl/>
          </w:rPr>
          <w:fldChar w:fldCharType="end"/>
        </w:r>
      </w:hyperlink>
    </w:p>
    <w:p w14:paraId="6985F528" w14:textId="06E7F01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3" w:history="1">
        <w:r w:rsidRPr="00E9455F">
          <w:rPr>
            <w:rStyle w:val="Hyperlink"/>
            <w:rFonts w:ascii="Times New Roman" w:eastAsia="Arial Unicode MS" w:hAnsi="Times New Roman" w:cs="Times New Roman"/>
            <w:noProof/>
            <w:sz w:val="24"/>
            <w:szCs w:val="24"/>
            <w:rtl/>
            <w:lang w:val="ar-SA"/>
          </w:rPr>
          <w:t>البيئة الرقمية ومكوناتها</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49</w:t>
        </w:r>
        <w:r w:rsidRPr="00E9455F">
          <w:rPr>
            <w:rFonts w:ascii="Times New Roman" w:hAnsi="Times New Roman" w:cs="Times New Roman"/>
            <w:noProof/>
            <w:webHidden/>
            <w:sz w:val="24"/>
            <w:szCs w:val="24"/>
            <w:rtl/>
          </w:rPr>
          <w:fldChar w:fldCharType="end"/>
        </w:r>
      </w:hyperlink>
    </w:p>
    <w:p w14:paraId="531AFD1C" w14:textId="7D8B999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4"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50</w:t>
        </w:r>
        <w:r w:rsidRPr="00E9455F">
          <w:rPr>
            <w:rFonts w:ascii="Times New Roman" w:hAnsi="Times New Roman" w:cs="Times New Roman"/>
            <w:noProof/>
            <w:webHidden/>
            <w:sz w:val="24"/>
            <w:szCs w:val="24"/>
            <w:rtl/>
          </w:rPr>
          <w:fldChar w:fldCharType="end"/>
        </w:r>
      </w:hyperlink>
    </w:p>
    <w:p w14:paraId="4D6D057F" w14:textId="6C480AD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5" w:history="1">
        <w:r w:rsidRPr="00E9455F">
          <w:rPr>
            <w:rStyle w:val="Hyperlink"/>
            <w:rFonts w:ascii="Times New Roman" w:eastAsia="Arial Unicode MS" w:hAnsi="Times New Roman" w:cs="Times New Roman"/>
            <w:noProof/>
            <w:sz w:val="24"/>
            <w:szCs w:val="24"/>
            <w:rtl/>
            <w:lang w:val="ar-SA"/>
          </w:rPr>
          <w:t>مفهوم البيئة الرقمية وأبرز خصائصها</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50</w:t>
        </w:r>
        <w:r w:rsidRPr="00E9455F">
          <w:rPr>
            <w:rFonts w:ascii="Times New Roman" w:hAnsi="Times New Roman" w:cs="Times New Roman"/>
            <w:noProof/>
            <w:webHidden/>
            <w:sz w:val="24"/>
            <w:szCs w:val="24"/>
            <w:rtl/>
          </w:rPr>
          <w:fldChar w:fldCharType="end"/>
        </w:r>
      </w:hyperlink>
    </w:p>
    <w:p w14:paraId="6A78A94F" w14:textId="3D962AB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6"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61</w:t>
        </w:r>
        <w:r w:rsidRPr="00E9455F">
          <w:rPr>
            <w:rFonts w:ascii="Times New Roman" w:hAnsi="Times New Roman" w:cs="Times New Roman"/>
            <w:noProof/>
            <w:webHidden/>
            <w:sz w:val="24"/>
            <w:szCs w:val="24"/>
            <w:rtl/>
          </w:rPr>
          <w:fldChar w:fldCharType="end"/>
        </w:r>
      </w:hyperlink>
    </w:p>
    <w:p w14:paraId="3204232D" w14:textId="613811D7"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7" w:history="1">
        <w:r w:rsidRPr="00E9455F">
          <w:rPr>
            <w:rStyle w:val="Hyperlink"/>
            <w:rFonts w:ascii="Times New Roman" w:eastAsia="Arial Unicode MS" w:hAnsi="Times New Roman" w:cs="Times New Roman"/>
            <w:noProof/>
            <w:sz w:val="24"/>
            <w:szCs w:val="24"/>
            <w:rtl/>
            <w:lang w:val="ar-SA"/>
          </w:rPr>
          <w:t>أثر البيئة الرقمية على تطوُّر الملكية الفكرية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61</w:t>
        </w:r>
        <w:r w:rsidRPr="00E9455F">
          <w:rPr>
            <w:rFonts w:ascii="Times New Roman" w:hAnsi="Times New Roman" w:cs="Times New Roman"/>
            <w:noProof/>
            <w:webHidden/>
            <w:sz w:val="24"/>
            <w:szCs w:val="24"/>
            <w:rtl/>
          </w:rPr>
          <w:fldChar w:fldCharType="end"/>
        </w:r>
      </w:hyperlink>
    </w:p>
    <w:p w14:paraId="63C64944" w14:textId="157766C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8" w:history="1">
        <w:r w:rsidRPr="00E9455F">
          <w:rPr>
            <w:rStyle w:val="Hyperlink"/>
            <w:rFonts w:ascii="Times New Roman" w:eastAsia="Arial Unicode MS" w:hAnsi="Times New Roman" w:cs="Times New Roman"/>
            <w:noProof/>
            <w:sz w:val="24"/>
            <w:szCs w:val="24"/>
            <w:rtl/>
            <w:lang w:val="ar-SA"/>
          </w:rPr>
          <w:t>المبحث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71</w:t>
        </w:r>
        <w:r w:rsidRPr="00E9455F">
          <w:rPr>
            <w:rFonts w:ascii="Times New Roman" w:hAnsi="Times New Roman" w:cs="Times New Roman"/>
            <w:noProof/>
            <w:webHidden/>
            <w:sz w:val="24"/>
            <w:szCs w:val="24"/>
            <w:rtl/>
          </w:rPr>
          <w:fldChar w:fldCharType="end"/>
        </w:r>
      </w:hyperlink>
    </w:p>
    <w:p w14:paraId="48F5A053" w14:textId="5724F6F9"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19" w:history="1">
        <w:r w:rsidRPr="00E9455F">
          <w:rPr>
            <w:rStyle w:val="Hyperlink"/>
            <w:rFonts w:ascii="Times New Roman" w:eastAsia="Arial Unicode MS" w:hAnsi="Times New Roman" w:cs="Times New Roman"/>
            <w:noProof/>
            <w:sz w:val="24"/>
            <w:szCs w:val="24"/>
            <w:rtl/>
            <w:lang w:val="ar-SA"/>
          </w:rPr>
          <w:t>إشكاليات حماية حقوق الملكية الفكرية في البيئة الرقمية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Toc227251419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71</w:t>
        </w:r>
        <w:r w:rsidRPr="00E9455F">
          <w:rPr>
            <w:rFonts w:ascii="Times New Roman" w:hAnsi="Times New Roman" w:cs="Times New Roman"/>
            <w:noProof/>
            <w:webHidden/>
            <w:sz w:val="24"/>
            <w:szCs w:val="24"/>
            <w:rtl/>
          </w:rPr>
          <w:fldChar w:fldCharType="end"/>
        </w:r>
      </w:hyperlink>
    </w:p>
    <w:p w14:paraId="12147C34" w14:textId="2D5906FB"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0"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72</w:t>
        </w:r>
        <w:r w:rsidRPr="00E9455F">
          <w:rPr>
            <w:rFonts w:ascii="Times New Roman" w:hAnsi="Times New Roman" w:cs="Times New Roman"/>
            <w:noProof/>
            <w:webHidden/>
            <w:sz w:val="24"/>
            <w:szCs w:val="24"/>
            <w:rtl/>
          </w:rPr>
          <w:fldChar w:fldCharType="end"/>
        </w:r>
      </w:hyperlink>
    </w:p>
    <w:p w14:paraId="36ED8785" w14:textId="48A2C5E0"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1" w:history="1">
        <w:r w:rsidRPr="00E9455F">
          <w:rPr>
            <w:rStyle w:val="Hyperlink"/>
            <w:rFonts w:ascii="Times New Roman" w:eastAsia="Arial Unicode MS" w:hAnsi="Times New Roman" w:cs="Times New Roman"/>
            <w:noProof/>
            <w:sz w:val="24"/>
            <w:szCs w:val="24"/>
            <w:rtl/>
            <w:lang w:val="ar-SA"/>
          </w:rPr>
          <w:t>أدوات تداول الإنتاج الفكري الرقمي وتحدياتها التقنية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72</w:t>
        </w:r>
        <w:r w:rsidRPr="00E9455F">
          <w:rPr>
            <w:rFonts w:ascii="Times New Roman" w:hAnsi="Times New Roman" w:cs="Times New Roman"/>
            <w:noProof/>
            <w:webHidden/>
            <w:sz w:val="24"/>
            <w:szCs w:val="24"/>
            <w:rtl/>
          </w:rPr>
          <w:fldChar w:fldCharType="end"/>
        </w:r>
      </w:hyperlink>
    </w:p>
    <w:p w14:paraId="5174CEBC" w14:textId="100B596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2"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85</w:t>
        </w:r>
        <w:r w:rsidRPr="00E9455F">
          <w:rPr>
            <w:rFonts w:ascii="Times New Roman" w:hAnsi="Times New Roman" w:cs="Times New Roman"/>
            <w:noProof/>
            <w:webHidden/>
            <w:sz w:val="24"/>
            <w:szCs w:val="24"/>
            <w:rtl/>
          </w:rPr>
          <w:fldChar w:fldCharType="end"/>
        </w:r>
      </w:hyperlink>
    </w:p>
    <w:p w14:paraId="092BDED6" w14:textId="68522668"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3" w:history="1">
        <w:r w:rsidRPr="00E9455F">
          <w:rPr>
            <w:rStyle w:val="Hyperlink"/>
            <w:rFonts w:ascii="Times New Roman" w:eastAsia="Arial Unicode MS" w:hAnsi="Times New Roman" w:cs="Times New Roman"/>
            <w:noProof/>
            <w:sz w:val="24"/>
            <w:szCs w:val="24"/>
            <w:rtl/>
            <w:lang w:val="ar-SA"/>
          </w:rPr>
          <w:t>خصائص الإنتاج الفكري الرقمي وحدود الحماية القانونية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85</w:t>
        </w:r>
        <w:r w:rsidRPr="00E9455F">
          <w:rPr>
            <w:rFonts w:ascii="Times New Roman" w:hAnsi="Times New Roman" w:cs="Times New Roman"/>
            <w:noProof/>
            <w:webHidden/>
            <w:sz w:val="24"/>
            <w:szCs w:val="24"/>
            <w:rtl/>
          </w:rPr>
          <w:fldChar w:fldCharType="end"/>
        </w:r>
      </w:hyperlink>
    </w:p>
    <w:p w14:paraId="731077BA" w14:textId="17441A22" w:rsidR="00E9455F" w:rsidRPr="00E61534"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24" w:history="1">
        <w:r w:rsidRPr="00E61534">
          <w:rPr>
            <w:rStyle w:val="Hyperlink"/>
            <w:rFonts w:ascii="Times New Roman" w:eastAsia="Arial Unicode MS" w:hAnsi="Times New Roman" w:cs="Times New Roman"/>
            <w:b/>
            <w:bCs/>
            <w:noProof/>
            <w:sz w:val="24"/>
            <w:szCs w:val="24"/>
            <w:rtl/>
            <w:lang w:val="ar-SA"/>
          </w:rPr>
          <w:t>الفصل الثاني</w:t>
        </w:r>
        <w:r w:rsidRPr="00E61534">
          <w:rPr>
            <w:rFonts w:ascii="Times New Roman" w:hAnsi="Times New Roman" w:cs="Times New Roman"/>
            <w:b/>
            <w:bCs/>
            <w:noProof/>
            <w:webHidden/>
            <w:sz w:val="24"/>
            <w:szCs w:val="24"/>
            <w:rtl/>
          </w:rPr>
          <w:tab/>
        </w:r>
        <w:r w:rsidRPr="00E61534">
          <w:rPr>
            <w:rFonts w:ascii="Times New Roman" w:hAnsi="Times New Roman" w:cs="Times New Roman"/>
            <w:b/>
            <w:bCs/>
            <w:noProof/>
            <w:webHidden/>
            <w:sz w:val="24"/>
            <w:szCs w:val="24"/>
            <w:rtl/>
          </w:rPr>
          <w:fldChar w:fldCharType="begin"/>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Pr>
          <w:instrText>PAGEREF</w:instrText>
        </w:r>
        <w:r w:rsidRPr="00E61534">
          <w:rPr>
            <w:rFonts w:ascii="Times New Roman" w:hAnsi="Times New Roman" w:cs="Times New Roman"/>
            <w:b/>
            <w:bCs/>
            <w:noProof/>
            <w:webHidden/>
            <w:sz w:val="24"/>
            <w:szCs w:val="24"/>
            <w:rtl/>
          </w:rPr>
          <w:instrText xml:space="preserve"> _</w:instrText>
        </w:r>
        <w:r w:rsidRPr="00E61534">
          <w:rPr>
            <w:rFonts w:ascii="Times New Roman" w:hAnsi="Times New Roman" w:cs="Times New Roman"/>
            <w:b/>
            <w:bCs/>
            <w:noProof/>
            <w:webHidden/>
            <w:sz w:val="24"/>
            <w:szCs w:val="24"/>
          </w:rPr>
          <w:instrText>Toc227251424 \h</w:instrText>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tl/>
          </w:rPr>
        </w:r>
        <w:r w:rsidRPr="00E61534">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91</w:t>
        </w:r>
        <w:r w:rsidRPr="00E61534">
          <w:rPr>
            <w:rFonts w:ascii="Times New Roman" w:hAnsi="Times New Roman" w:cs="Times New Roman"/>
            <w:b/>
            <w:bCs/>
            <w:noProof/>
            <w:webHidden/>
            <w:sz w:val="24"/>
            <w:szCs w:val="24"/>
            <w:rtl/>
          </w:rPr>
          <w:fldChar w:fldCharType="end"/>
        </w:r>
      </w:hyperlink>
    </w:p>
    <w:p w14:paraId="59CE1F6B" w14:textId="0724D78B"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5" w:history="1">
        <w:r w:rsidRPr="00E61534">
          <w:rPr>
            <w:rStyle w:val="Hyperlink"/>
            <w:rFonts w:ascii="Times New Roman" w:eastAsia="Arial Unicode MS" w:hAnsi="Times New Roman" w:cs="Times New Roman"/>
            <w:b/>
            <w:bCs/>
            <w:noProof/>
            <w:sz w:val="24"/>
            <w:szCs w:val="24"/>
            <w:rtl/>
            <w:lang w:val="ar-SA"/>
          </w:rPr>
          <w:t>الإطار القانوني لحماية الملكية الفكرية في الاتفاقيات الدولية والقوانين الوطنية</w:t>
        </w:r>
        <w:r w:rsidRPr="00E61534">
          <w:rPr>
            <w:rFonts w:ascii="Times New Roman" w:hAnsi="Times New Roman" w:cs="Times New Roman"/>
            <w:b/>
            <w:bCs/>
            <w:noProof/>
            <w:webHidden/>
            <w:sz w:val="24"/>
            <w:szCs w:val="24"/>
            <w:rtl/>
          </w:rPr>
          <w:tab/>
        </w:r>
        <w:r w:rsidRPr="00E61534">
          <w:rPr>
            <w:rFonts w:ascii="Times New Roman" w:hAnsi="Times New Roman" w:cs="Times New Roman"/>
            <w:b/>
            <w:bCs/>
            <w:noProof/>
            <w:webHidden/>
            <w:sz w:val="24"/>
            <w:szCs w:val="24"/>
            <w:rtl/>
          </w:rPr>
          <w:fldChar w:fldCharType="begin"/>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Pr>
          <w:instrText>PAGEREF</w:instrText>
        </w:r>
        <w:r w:rsidRPr="00E61534">
          <w:rPr>
            <w:rFonts w:ascii="Times New Roman" w:hAnsi="Times New Roman" w:cs="Times New Roman"/>
            <w:b/>
            <w:bCs/>
            <w:noProof/>
            <w:webHidden/>
            <w:sz w:val="24"/>
            <w:szCs w:val="24"/>
            <w:rtl/>
          </w:rPr>
          <w:instrText xml:space="preserve"> _</w:instrText>
        </w:r>
        <w:r w:rsidRPr="00E61534">
          <w:rPr>
            <w:rFonts w:ascii="Times New Roman" w:hAnsi="Times New Roman" w:cs="Times New Roman"/>
            <w:b/>
            <w:bCs/>
            <w:noProof/>
            <w:webHidden/>
            <w:sz w:val="24"/>
            <w:szCs w:val="24"/>
          </w:rPr>
          <w:instrText>Toc227251425 \h</w:instrText>
        </w:r>
        <w:r w:rsidRPr="00E61534">
          <w:rPr>
            <w:rFonts w:ascii="Times New Roman" w:hAnsi="Times New Roman" w:cs="Times New Roman"/>
            <w:b/>
            <w:bCs/>
            <w:noProof/>
            <w:webHidden/>
            <w:sz w:val="24"/>
            <w:szCs w:val="24"/>
            <w:rtl/>
          </w:rPr>
          <w:instrText xml:space="preserve"> </w:instrText>
        </w:r>
        <w:r w:rsidRPr="00E61534">
          <w:rPr>
            <w:rFonts w:ascii="Times New Roman" w:hAnsi="Times New Roman" w:cs="Times New Roman"/>
            <w:b/>
            <w:bCs/>
            <w:noProof/>
            <w:webHidden/>
            <w:sz w:val="24"/>
            <w:szCs w:val="24"/>
            <w:rtl/>
          </w:rPr>
        </w:r>
        <w:r w:rsidRPr="00E61534">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91</w:t>
        </w:r>
        <w:r w:rsidRPr="00E61534">
          <w:rPr>
            <w:rFonts w:ascii="Times New Roman" w:hAnsi="Times New Roman" w:cs="Times New Roman"/>
            <w:b/>
            <w:bCs/>
            <w:noProof/>
            <w:webHidden/>
            <w:sz w:val="24"/>
            <w:szCs w:val="24"/>
            <w:rtl/>
          </w:rPr>
          <w:fldChar w:fldCharType="end"/>
        </w:r>
      </w:hyperlink>
    </w:p>
    <w:p w14:paraId="539827A8" w14:textId="2956CD8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6" w:history="1">
        <w:r w:rsidRPr="00E9455F">
          <w:rPr>
            <w:rStyle w:val="Hyperlink"/>
            <w:rFonts w:ascii="Times New Roman" w:eastAsia="Arial Unicode MS" w:hAnsi="Times New Roman" w:cs="Times New Roman"/>
            <w:noProof/>
            <w:sz w:val="24"/>
            <w:szCs w:val="24"/>
            <w:rtl/>
            <w:lang w:val="ar-SA"/>
          </w:rPr>
          <w:t>المبحث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92</w:t>
        </w:r>
        <w:r w:rsidRPr="00E9455F">
          <w:rPr>
            <w:rFonts w:ascii="Times New Roman" w:hAnsi="Times New Roman" w:cs="Times New Roman"/>
            <w:noProof/>
            <w:webHidden/>
            <w:sz w:val="24"/>
            <w:szCs w:val="24"/>
            <w:rtl/>
          </w:rPr>
          <w:fldChar w:fldCharType="end"/>
        </w:r>
      </w:hyperlink>
    </w:p>
    <w:p w14:paraId="0F36456E" w14:textId="4A8E5960"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7" w:history="1">
        <w:r w:rsidRPr="00E9455F">
          <w:rPr>
            <w:rStyle w:val="Hyperlink"/>
            <w:rFonts w:ascii="Times New Roman" w:eastAsia="Arial Unicode MS" w:hAnsi="Times New Roman" w:cs="Times New Roman"/>
            <w:noProof/>
            <w:sz w:val="24"/>
            <w:szCs w:val="24"/>
            <w:rtl/>
            <w:lang w:val="ar-SA"/>
          </w:rPr>
          <w:t>الحماية الدولية والتعاون العابر للحدود</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92</w:t>
        </w:r>
        <w:r w:rsidRPr="00E9455F">
          <w:rPr>
            <w:rFonts w:ascii="Times New Roman" w:hAnsi="Times New Roman" w:cs="Times New Roman"/>
            <w:noProof/>
            <w:webHidden/>
            <w:sz w:val="24"/>
            <w:szCs w:val="24"/>
            <w:rtl/>
          </w:rPr>
          <w:fldChar w:fldCharType="end"/>
        </w:r>
      </w:hyperlink>
    </w:p>
    <w:p w14:paraId="301247EE" w14:textId="08EC50F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8"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93</w:t>
        </w:r>
        <w:r w:rsidRPr="00E9455F">
          <w:rPr>
            <w:rFonts w:ascii="Times New Roman" w:hAnsi="Times New Roman" w:cs="Times New Roman"/>
            <w:noProof/>
            <w:webHidden/>
            <w:sz w:val="24"/>
            <w:szCs w:val="24"/>
            <w:rtl/>
          </w:rPr>
          <w:fldChar w:fldCharType="end"/>
        </w:r>
      </w:hyperlink>
    </w:p>
    <w:p w14:paraId="485E4D6D" w14:textId="7D15B393"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29" w:history="1">
        <w:r w:rsidRPr="00E9455F">
          <w:rPr>
            <w:rStyle w:val="Hyperlink"/>
            <w:rFonts w:ascii="Times New Roman" w:eastAsia="Arial Unicode MS" w:hAnsi="Times New Roman" w:cs="Times New Roman"/>
            <w:noProof/>
            <w:sz w:val="24"/>
            <w:szCs w:val="24"/>
            <w:rtl/>
            <w:lang w:val="ar-SA"/>
          </w:rPr>
          <w:t>اتفاقية بيرن وتريبس والاتفاقيات الأخرى</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Toc227251429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93</w:t>
        </w:r>
        <w:r w:rsidRPr="00E9455F">
          <w:rPr>
            <w:rFonts w:ascii="Times New Roman" w:hAnsi="Times New Roman" w:cs="Times New Roman"/>
            <w:noProof/>
            <w:webHidden/>
            <w:sz w:val="24"/>
            <w:szCs w:val="24"/>
            <w:rtl/>
          </w:rPr>
          <w:fldChar w:fldCharType="end"/>
        </w:r>
      </w:hyperlink>
    </w:p>
    <w:p w14:paraId="64CD31E0" w14:textId="6EC5485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0"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105</w:t>
        </w:r>
        <w:r w:rsidRPr="00E9455F">
          <w:rPr>
            <w:rFonts w:ascii="Times New Roman" w:hAnsi="Times New Roman" w:cs="Times New Roman"/>
            <w:noProof/>
            <w:webHidden/>
            <w:sz w:val="24"/>
            <w:szCs w:val="24"/>
            <w:rtl/>
          </w:rPr>
          <w:fldChar w:fldCharType="end"/>
        </w:r>
      </w:hyperlink>
    </w:p>
    <w:p w14:paraId="2EFF5211" w14:textId="1C544AA7"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1" w:history="1">
        <w:r w:rsidRPr="00E9455F">
          <w:rPr>
            <w:rStyle w:val="Hyperlink"/>
            <w:rFonts w:ascii="Times New Roman" w:eastAsia="Arial Unicode MS" w:hAnsi="Times New Roman" w:cs="Times New Roman"/>
            <w:noProof/>
            <w:sz w:val="24"/>
            <w:szCs w:val="24"/>
            <w:rtl/>
            <w:lang w:val="ar-SA"/>
          </w:rPr>
          <w:t>التحديات الدولية في تنفيذ الحماية الرقمية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105</w:t>
        </w:r>
        <w:r w:rsidRPr="00E9455F">
          <w:rPr>
            <w:rFonts w:ascii="Times New Roman" w:hAnsi="Times New Roman" w:cs="Times New Roman"/>
            <w:noProof/>
            <w:webHidden/>
            <w:sz w:val="24"/>
            <w:szCs w:val="24"/>
            <w:rtl/>
          </w:rPr>
          <w:fldChar w:fldCharType="end"/>
        </w:r>
      </w:hyperlink>
    </w:p>
    <w:p w14:paraId="13FC1B0A" w14:textId="41389D58"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2" w:history="1">
        <w:r w:rsidRPr="00E9455F">
          <w:rPr>
            <w:rStyle w:val="Hyperlink"/>
            <w:rFonts w:ascii="Times New Roman" w:eastAsia="Arial Unicode MS" w:hAnsi="Times New Roman" w:cs="Times New Roman"/>
            <w:noProof/>
            <w:sz w:val="24"/>
            <w:szCs w:val="24"/>
            <w:rtl/>
            <w:lang w:val="ar-SA"/>
          </w:rPr>
          <w:t>المبحث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109</w:t>
        </w:r>
        <w:r w:rsidRPr="00E9455F">
          <w:rPr>
            <w:rFonts w:ascii="Times New Roman" w:hAnsi="Times New Roman" w:cs="Times New Roman"/>
            <w:noProof/>
            <w:webHidden/>
            <w:sz w:val="24"/>
            <w:szCs w:val="24"/>
            <w:rtl/>
          </w:rPr>
          <w:fldChar w:fldCharType="end"/>
        </w:r>
      </w:hyperlink>
    </w:p>
    <w:p w14:paraId="49A5FF56" w14:textId="768CB2C6"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3" w:history="1">
        <w:r w:rsidRPr="00E9455F">
          <w:rPr>
            <w:rStyle w:val="Hyperlink"/>
            <w:rFonts w:ascii="Times New Roman" w:eastAsia="Arial Unicode MS" w:hAnsi="Times New Roman" w:cs="Times New Roman"/>
            <w:noProof/>
            <w:sz w:val="24"/>
            <w:szCs w:val="24"/>
            <w:rtl/>
            <w:lang w:val="ar-SA"/>
          </w:rPr>
          <w:t>النظام القانونية للمصنف الرقمي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109</w:t>
        </w:r>
        <w:r w:rsidRPr="00E9455F">
          <w:rPr>
            <w:rFonts w:ascii="Times New Roman" w:hAnsi="Times New Roman" w:cs="Times New Roman"/>
            <w:noProof/>
            <w:webHidden/>
            <w:sz w:val="24"/>
            <w:szCs w:val="24"/>
            <w:rtl/>
          </w:rPr>
          <w:fldChar w:fldCharType="end"/>
        </w:r>
      </w:hyperlink>
    </w:p>
    <w:p w14:paraId="004162A2" w14:textId="0CD777E6"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4"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110</w:t>
        </w:r>
        <w:r w:rsidRPr="00E9455F">
          <w:rPr>
            <w:rFonts w:ascii="Times New Roman" w:hAnsi="Times New Roman" w:cs="Times New Roman"/>
            <w:noProof/>
            <w:webHidden/>
            <w:sz w:val="24"/>
            <w:szCs w:val="24"/>
            <w:rtl/>
          </w:rPr>
          <w:fldChar w:fldCharType="end"/>
        </w:r>
      </w:hyperlink>
    </w:p>
    <w:p w14:paraId="677192E7" w14:textId="6C8BB339"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5" w:history="1">
        <w:r w:rsidRPr="00E9455F">
          <w:rPr>
            <w:rStyle w:val="Hyperlink"/>
            <w:rFonts w:ascii="Times New Roman" w:eastAsia="Arial Unicode MS" w:hAnsi="Times New Roman" w:cs="Times New Roman"/>
            <w:noProof/>
            <w:sz w:val="24"/>
            <w:szCs w:val="24"/>
            <w:rtl/>
            <w:lang w:val="ar-SA"/>
          </w:rPr>
          <w:t>نطاق الحماية القانونية في النظام السعودي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110</w:t>
        </w:r>
        <w:r w:rsidRPr="00E9455F">
          <w:rPr>
            <w:rFonts w:ascii="Times New Roman" w:hAnsi="Times New Roman" w:cs="Times New Roman"/>
            <w:noProof/>
            <w:webHidden/>
            <w:sz w:val="24"/>
            <w:szCs w:val="24"/>
            <w:rtl/>
          </w:rPr>
          <w:fldChar w:fldCharType="end"/>
        </w:r>
      </w:hyperlink>
    </w:p>
    <w:p w14:paraId="0B1D8EA6" w14:textId="0B9AE8BF"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6"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118</w:t>
        </w:r>
        <w:r w:rsidRPr="00E9455F">
          <w:rPr>
            <w:rFonts w:ascii="Times New Roman" w:hAnsi="Times New Roman" w:cs="Times New Roman"/>
            <w:noProof/>
            <w:webHidden/>
            <w:sz w:val="24"/>
            <w:szCs w:val="24"/>
            <w:rtl/>
          </w:rPr>
          <w:fldChar w:fldCharType="end"/>
        </w:r>
      </w:hyperlink>
    </w:p>
    <w:p w14:paraId="07F6394B" w14:textId="2DCBFBE1"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7" w:history="1">
        <w:r w:rsidRPr="00E9455F">
          <w:rPr>
            <w:rStyle w:val="Hyperlink"/>
            <w:rFonts w:ascii="Times New Roman" w:eastAsia="Arial Unicode MS" w:hAnsi="Times New Roman" w:cs="Times New Roman"/>
            <w:noProof/>
            <w:sz w:val="24"/>
            <w:szCs w:val="24"/>
            <w:rtl/>
            <w:lang w:val="ar-SA"/>
          </w:rPr>
          <w:t>نطاق حماية الملكية الفكرية في التشريعيْنِ الفَرنسي والأمريكي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Toc227251437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118</w:t>
        </w:r>
        <w:r w:rsidRPr="00E9455F">
          <w:rPr>
            <w:rFonts w:ascii="Times New Roman" w:hAnsi="Times New Roman" w:cs="Times New Roman"/>
            <w:noProof/>
            <w:webHidden/>
            <w:sz w:val="24"/>
            <w:szCs w:val="24"/>
            <w:rtl/>
          </w:rPr>
          <w:fldChar w:fldCharType="end"/>
        </w:r>
      </w:hyperlink>
    </w:p>
    <w:p w14:paraId="0C00B490" w14:textId="36B1A373" w:rsidR="00E9455F" w:rsidRPr="007E301C"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38" w:history="1">
        <w:r w:rsidRPr="007E301C">
          <w:rPr>
            <w:rStyle w:val="Hyperlink"/>
            <w:rFonts w:ascii="Times New Roman" w:eastAsia="Arial Unicode MS" w:hAnsi="Times New Roman" w:cs="Times New Roman"/>
            <w:b/>
            <w:bCs/>
            <w:noProof/>
            <w:sz w:val="24"/>
            <w:szCs w:val="24"/>
            <w:rtl/>
            <w:lang w:val="ar-SA"/>
          </w:rPr>
          <w:t>الفصل الثالث</w:t>
        </w:r>
        <w:r w:rsidRPr="007E301C">
          <w:rPr>
            <w:rFonts w:ascii="Times New Roman" w:hAnsi="Times New Roman" w:cs="Times New Roman"/>
            <w:b/>
            <w:bCs/>
            <w:noProof/>
            <w:webHidden/>
            <w:sz w:val="24"/>
            <w:szCs w:val="24"/>
            <w:rtl/>
          </w:rPr>
          <w:tab/>
        </w:r>
        <w:r w:rsidRPr="007E301C">
          <w:rPr>
            <w:rFonts w:ascii="Times New Roman" w:hAnsi="Times New Roman" w:cs="Times New Roman"/>
            <w:b/>
            <w:bCs/>
            <w:noProof/>
            <w:webHidden/>
            <w:sz w:val="24"/>
            <w:szCs w:val="24"/>
            <w:rtl/>
          </w:rPr>
          <w:fldChar w:fldCharType="begin"/>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Pr>
          <w:instrText>PAGEREF</w:instrText>
        </w:r>
        <w:r w:rsidRPr="007E301C">
          <w:rPr>
            <w:rFonts w:ascii="Times New Roman" w:hAnsi="Times New Roman" w:cs="Times New Roman"/>
            <w:b/>
            <w:bCs/>
            <w:noProof/>
            <w:webHidden/>
            <w:sz w:val="24"/>
            <w:szCs w:val="24"/>
            <w:rtl/>
          </w:rPr>
          <w:instrText xml:space="preserve"> _</w:instrText>
        </w:r>
        <w:r w:rsidRPr="007E301C">
          <w:rPr>
            <w:rFonts w:ascii="Times New Roman" w:hAnsi="Times New Roman" w:cs="Times New Roman"/>
            <w:b/>
            <w:bCs/>
            <w:noProof/>
            <w:webHidden/>
            <w:sz w:val="24"/>
            <w:szCs w:val="24"/>
          </w:rPr>
          <w:instrText>Toc227251438 \h</w:instrText>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tl/>
          </w:rPr>
        </w:r>
        <w:r w:rsidRPr="007E301C">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129</w:t>
        </w:r>
        <w:r w:rsidRPr="007E301C">
          <w:rPr>
            <w:rFonts w:ascii="Times New Roman" w:hAnsi="Times New Roman" w:cs="Times New Roman"/>
            <w:b/>
            <w:bCs/>
            <w:noProof/>
            <w:webHidden/>
            <w:sz w:val="24"/>
            <w:szCs w:val="24"/>
            <w:rtl/>
          </w:rPr>
          <w:fldChar w:fldCharType="end"/>
        </w:r>
      </w:hyperlink>
    </w:p>
    <w:p w14:paraId="121BA247" w14:textId="1C14E835"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39" w:history="1">
        <w:r w:rsidRPr="007E301C">
          <w:rPr>
            <w:rStyle w:val="Hyperlink"/>
            <w:rFonts w:ascii="Times New Roman" w:eastAsia="Arial Unicode MS" w:hAnsi="Times New Roman" w:cs="Times New Roman"/>
            <w:b/>
            <w:bCs/>
            <w:noProof/>
            <w:sz w:val="24"/>
            <w:szCs w:val="24"/>
            <w:rtl/>
            <w:lang w:val="ar-SA"/>
          </w:rPr>
          <w:t>صور الحماية القانونية للملكية الفكرية في البيئة الرقمية</w:t>
        </w:r>
        <w:r w:rsidRPr="007E301C">
          <w:rPr>
            <w:rFonts w:ascii="Times New Roman" w:hAnsi="Times New Roman" w:cs="Times New Roman"/>
            <w:b/>
            <w:bCs/>
            <w:noProof/>
            <w:webHidden/>
            <w:sz w:val="24"/>
            <w:szCs w:val="24"/>
            <w:rtl/>
          </w:rPr>
          <w:tab/>
        </w:r>
        <w:r w:rsidRPr="007E301C">
          <w:rPr>
            <w:rFonts w:ascii="Times New Roman" w:hAnsi="Times New Roman" w:cs="Times New Roman"/>
            <w:b/>
            <w:bCs/>
            <w:noProof/>
            <w:webHidden/>
            <w:sz w:val="24"/>
            <w:szCs w:val="24"/>
            <w:rtl/>
          </w:rPr>
          <w:fldChar w:fldCharType="begin"/>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Pr>
          <w:instrText>PAGEREF</w:instrText>
        </w:r>
        <w:r w:rsidRPr="007E301C">
          <w:rPr>
            <w:rFonts w:ascii="Times New Roman" w:hAnsi="Times New Roman" w:cs="Times New Roman"/>
            <w:b/>
            <w:bCs/>
            <w:noProof/>
            <w:webHidden/>
            <w:sz w:val="24"/>
            <w:szCs w:val="24"/>
            <w:rtl/>
          </w:rPr>
          <w:instrText xml:space="preserve"> _</w:instrText>
        </w:r>
        <w:r w:rsidRPr="007E301C">
          <w:rPr>
            <w:rFonts w:ascii="Times New Roman" w:hAnsi="Times New Roman" w:cs="Times New Roman"/>
            <w:b/>
            <w:bCs/>
            <w:noProof/>
            <w:webHidden/>
            <w:sz w:val="24"/>
            <w:szCs w:val="24"/>
          </w:rPr>
          <w:instrText>Toc227251439 \h</w:instrText>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tl/>
          </w:rPr>
        </w:r>
        <w:r w:rsidRPr="007E301C">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129</w:t>
        </w:r>
        <w:r w:rsidRPr="007E301C">
          <w:rPr>
            <w:rFonts w:ascii="Times New Roman" w:hAnsi="Times New Roman" w:cs="Times New Roman"/>
            <w:b/>
            <w:bCs/>
            <w:noProof/>
            <w:webHidden/>
            <w:sz w:val="24"/>
            <w:szCs w:val="24"/>
            <w:rtl/>
          </w:rPr>
          <w:fldChar w:fldCharType="end"/>
        </w:r>
      </w:hyperlink>
    </w:p>
    <w:p w14:paraId="492D267B" w14:textId="1872D3EC"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0" w:history="1">
        <w:r w:rsidRPr="00E9455F">
          <w:rPr>
            <w:rStyle w:val="Hyperlink"/>
            <w:rFonts w:ascii="Times New Roman" w:eastAsia="Arial Unicode MS" w:hAnsi="Times New Roman" w:cs="Times New Roman"/>
            <w:noProof/>
            <w:sz w:val="24"/>
            <w:szCs w:val="24"/>
            <w:rtl/>
            <w:lang w:val="ar-SA"/>
          </w:rPr>
          <w:t>المبحث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130</w:t>
        </w:r>
        <w:r w:rsidRPr="00E9455F">
          <w:rPr>
            <w:rFonts w:ascii="Times New Roman" w:hAnsi="Times New Roman" w:cs="Times New Roman"/>
            <w:noProof/>
            <w:webHidden/>
            <w:sz w:val="24"/>
            <w:szCs w:val="24"/>
            <w:rtl/>
          </w:rPr>
          <w:fldChar w:fldCharType="end"/>
        </w:r>
      </w:hyperlink>
    </w:p>
    <w:p w14:paraId="642A085C" w14:textId="06D9B4EF"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1" w:history="1">
        <w:r w:rsidRPr="00E9455F">
          <w:rPr>
            <w:rStyle w:val="Hyperlink"/>
            <w:rFonts w:ascii="Times New Roman" w:eastAsia="Arial Unicode MS" w:hAnsi="Times New Roman" w:cs="Times New Roman"/>
            <w:noProof/>
            <w:sz w:val="24"/>
            <w:szCs w:val="24"/>
            <w:rtl/>
            <w:lang w:val="ar-SA"/>
          </w:rPr>
          <w:t>الحماية المدنية للمصنفات الرقمية</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130</w:t>
        </w:r>
        <w:r w:rsidRPr="00E9455F">
          <w:rPr>
            <w:rFonts w:ascii="Times New Roman" w:hAnsi="Times New Roman" w:cs="Times New Roman"/>
            <w:noProof/>
            <w:webHidden/>
            <w:sz w:val="24"/>
            <w:szCs w:val="24"/>
            <w:rtl/>
          </w:rPr>
          <w:fldChar w:fldCharType="end"/>
        </w:r>
      </w:hyperlink>
    </w:p>
    <w:p w14:paraId="3B8F9CCB" w14:textId="16F47A3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2"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131</w:t>
        </w:r>
        <w:r w:rsidRPr="00E9455F">
          <w:rPr>
            <w:rFonts w:ascii="Times New Roman" w:hAnsi="Times New Roman" w:cs="Times New Roman"/>
            <w:noProof/>
            <w:webHidden/>
            <w:sz w:val="24"/>
            <w:szCs w:val="24"/>
            <w:rtl/>
          </w:rPr>
          <w:fldChar w:fldCharType="end"/>
        </w:r>
      </w:hyperlink>
    </w:p>
    <w:p w14:paraId="0F7EFCC1" w14:textId="0CDDCBE9"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3" w:history="1">
        <w:r w:rsidRPr="00E9455F">
          <w:rPr>
            <w:rStyle w:val="Hyperlink"/>
            <w:rFonts w:ascii="Times New Roman" w:eastAsia="Arial Unicode MS" w:hAnsi="Times New Roman" w:cs="Times New Roman"/>
            <w:noProof/>
            <w:sz w:val="24"/>
            <w:szCs w:val="24"/>
            <w:rtl/>
            <w:lang w:val="ar-SA"/>
          </w:rPr>
          <w:t>التعويض عن الاعتداء على حقوق الملكية الفكرية في البيئة الرقمية في النظام السعودي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131</w:t>
        </w:r>
        <w:r w:rsidRPr="00E9455F">
          <w:rPr>
            <w:rFonts w:ascii="Times New Roman" w:hAnsi="Times New Roman" w:cs="Times New Roman"/>
            <w:noProof/>
            <w:webHidden/>
            <w:sz w:val="24"/>
            <w:szCs w:val="24"/>
            <w:rtl/>
          </w:rPr>
          <w:fldChar w:fldCharType="end"/>
        </w:r>
      </w:hyperlink>
    </w:p>
    <w:p w14:paraId="15B325E6" w14:textId="5A70A475"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4"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142</w:t>
        </w:r>
        <w:r w:rsidRPr="00E9455F">
          <w:rPr>
            <w:rFonts w:ascii="Times New Roman" w:hAnsi="Times New Roman" w:cs="Times New Roman"/>
            <w:noProof/>
            <w:webHidden/>
            <w:sz w:val="24"/>
            <w:szCs w:val="24"/>
            <w:rtl/>
          </w:rPr>
          <w:fldChar w:fldCharType="end"/>
        </w:r>
      </w:hyperlink>
    </w:p>
    <w:p w14:paraId="14C19B5C" w14:textId="03814E1D"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5" w:history="1">
        <w:r w:rsidRPr="00E9455F">
          <w:rPr>
            <w:rStyle w:val="Hyperlink"/>
            <w:rFonts w:ascii="Times New Roman" w:eastAsia="Arial Unicode MS" w:hAnsi="Times New Roman" w:cs="Times New Roman"/>
            <w:noProof/>
            <w:sz w:val="24"/>
            <w:szCs w:val="24"/>
            <w:rtl/>
            <w:lang w:val="ar-SA"/>
          </w:rPr>
          <w:t>التعويض عن الاعتداء على حقوق الملكية الفكرية في البيئة الرقمية في القانون الأمريكي والفَرنسي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Toc227251445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142</w:t>
        </w:r>
        <w:r w:rsidRPr="00E9455F">
          <w:rPr>
            <w:rFonts w:ascii="Times New Roman" w:hAnsi="Times New Roman" w:cs="Times New Roman"/>
            <w:noProof/>
            <w:webHidden/>
            <w:sz w:val="24"/>
            <w:szCs w:val="24"/>
            <w:rtl/>
          </w:rPr>
          <w:fldChar w:fldCharType="end"/>
        </w:r>
      </w:hyperlink>
    </w:p>
    <w:p w14:paraId="6271D1BE" w14:textId="603FC8FA"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6" w:history="1">
        <w:r w:rsidRPr="00E9455F">
          <w:rPr>
            <w:rStyle w:val="Hyperlink"/>
            <w:rFonts w:ascii="Times New Roman" w:eastAsia="Arial Unicode MS" w:hAnsi="Times New Roman" w:cs="Times New Roman"/>
            <w:noProof/>
            <w:sz w:val="24"/>
            <w:szCs w:val="24"/>
            <w:rtl/>
            <w:lang w:val="ar-SA"/>
          </w:rPr>
          <w:t>المبحث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Toc227251446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154</w:t>
        </w:r>
        <w:r w:rsidRPr="00E9455F">
          <w:rPr>
            <w:rFonts w:ascii="Times New Roman" w:hAnsi="Times New Roman" w:cs="Times New Roman"/>
            <w:noProof/>
            <w:webHidden/>
            <w:sz w:val="24"/>
            <w:szCs w:val="24"/>
            <w:rtl/>
          </w:rPr>
          <w:fldChar w:fldCharType="end"/>
        </w:r>
      </w:hyperlink>
    </w:p>
    <w:p w14:paraId="43883E24" w14:textId="57C3BDA4" w:rsidR="00E9455F" w:rsidRPr="00E9455F" w:rsidRDefault="00E9455F" w:rsidP="007E301C">
      <w:pPr>
        <w:pStyle w:val="2"/>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7" w:history="1">
        <w:r w:rsidRPr="00E9455F">
          <w:rPr>
            <w:rStyle w:val="Hyperlink"/>
            <w:rFonts w:ascii="Times New Roman" w:eastAsia="Arial Unicode MS" w:hAnsi="Times New Roman" w:cs="Times New Roman"/>
            <w:noProof/>
            <w:sz w:val="24"/>
            <w:szCs w:val="24"/>
            <w:rtl/>
            <w:lang w:val="ar-SA"/>
          </w:rPr>
          <w:t>الحماية الجنائية والتجريم الرقمي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Toc227251447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154</w:t>
        </w:r>
        <w:r w:rsidRPr="00E9455F">
          <w:rPr>
            <w:rFonts w:ascii="Times New Roman" w:hAnsi="Times New Roman" w:cs="Times New Roman"/>
            <w:noProof/>
            <w:webHidden/>
            <w:sz w:val="24"/>
            <w:szCs w:val="24"/>
            <w:rtl/>
          </w:rPr>
          <w:fldChar w:fldCharType="end"/>
        </w:r>
      </w:hyperlink>
    </w:p>
    <w:p w14:paraId="5CC4B5EE" w14:textId="7372402C"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8" w:history="1">
        <w:r w:rsidRPr="00E9455F">
          <w:rPr>
            <w:rStyle w:val="Hyperlink"/>
            <w:rFonts w:ascii="Times New Roman" w:eastAsia="Arial Unicode MS" w:hAnsi="Times New Roman" w:cs="Times New Roman"/>
            <w:noProof/>
            <w:sz w:val="24"/>
            <w:szCs w:val="24"/>
            <w:rtl/>
            <w:lang w:val="ar-SA"/>
          </w:rPr>
          <w:t>المطلب الأول</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Toc227251448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155</w:t>
        </w:r>
        <w:r w:rsidRPr="00E9455F">
          <w:rPr>
            <w:rFonts w:ascii="Times New Roman" w:hAnsi="Times New Roman" w:cs="Times New Roman"/>
            <w:noProof/>
            <w:webHidden/>
            <w:sz w:val="24"/>
            <w:szCs w:val="24"/>
            <w:rtl/>
          </w:rPr>
          <w:fldChar w:fldCharType="end"/>
        </w:r>
      </w:hyperlink>
    </w:p>
    <w:p w14:paraId="018456EA" w14:textId="13D6C7E1"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49" w:history="1">
        <w:r w:rsidRPr="00E9455F">
          <w:rPr>
            <w:rStyle w:val="Hyperlink"/>
            <w:rFonts w:ascii="Times New Roman" w:eastAsia="Arial Unicode MS" w:hAnsi="Times New Roman" w:cs="Times New Roman"/>
            <w:noProof/>
            <w:sz w:val="24"/>
            <w:szCs w:val="24"/>
            <w:rtl/>
            <w:lang w:val="ar-SA"/>
          </w:rPr>
          <w:t>الحماية الجنائية للملكية الفكرية في البيئة الرقمية في النظام السعودي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Toc227251449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155</w:t>
        </w:r>
        <w:r w:rsidRPr="00E9455F">
          <w:rPr>
            <w:rFonts w:ascii="Times New Roman" w:hAnsi="Times New Roman" w:cs="Times New Roman"/>
            <w:noProof/>
            <w:webHidden/>
            <w:sz w:val="24"/>
            <w:szCs w:val="24"/>
            <w:rtl/>
          </w:rPr>
          <w:fldChar w:fldCharType="end"/>
        </w:r>
      </w:hyperlink>
    </w:p>
    <w:p w14:paraId="4D06EE41" w14:textId="7EBFBDDD"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0" w:history="1">
        <w:r w:rsidRPr="00E9455F">
          <w:rPr>
            <w:rStyle w:val="Hyperlink"/>
            <w:rFonts w:ascii="Times New Roman" w:eastAsia="Arial Unicode MS" w:hAnsi="Times New Roman" w:cs="Times New Roman"/>
            <w:noProof/>
            <w:sz w:val="24"/>
            <w:szCs w:val="24"/>
            <w:rtl/>
            <w:lang w:val="ar-SA"/>
          </w:rPr>
          <w:t>المطلب الثاني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Toc227251450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163</w:t>
        </w:r>
        <w:r w:rsidRPr="00E9455F">
          <w:rPr>
            <w:rFonts w:ascii="Times New Roman" w:hAnsi="Times New Roman" w:cs="Times New Roman"/>
            <w:noProof/>
            <w:webHidden/>
            <w:sz w:val="24"/>
            <w:szCs w:val="24"/>
            <w:rtl/>
          </w:rPr>
          <w:fldChar w:fldCharType="end"/>
        </w:r>
      </w:hyperlink>
    </w:p>
    <w:p w14:paraId="1DEF03A4" w14:textId="67B55BB6"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1" w:history="1">
        <w:r w:rsidRPr="00E9455F">
          <w:rPr>
            <w:rStyle w:val="Hyperlink"/>
            <w:rFonts w:ascii="Times New Roman" w:eastAsia="Arial Unicode MS" w:hAnsi="Times New Roman" w:cs="Times New Roman"/>
            <w:noProof/>
            <w:sz w:val="24"/>
            <w:szCs w:val="24"/>
            <w:rtl/>
            <w:lang w:val="ar-SA"/>
          </w:rPr>
          <w:t>الحماية الجنائية للملكية الفكرية في البيئة الرقمية في النظامين الفَرنسي والأمريكي</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Toc227251451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163</w:t>
        </w:r>
        <w:r w:rsidRPr="00E9455F">
          <w:rPr>
            <w:rFonts w:ascii="Times New Roman" w:hAnsi="Times New Roman" w:cs="Times New Roman"/>
            <w:noProof/>
            <w:webHidden/>
            <w:sz w:val="24"/>
            <w:szCs w:val="24"/>
            <w:rtl/>
          </w:rPr>
          <w:fldChar w:fldCharType="end"/>
        </w:r>
      </w:hyperlink>
    </w:p>
    <w:p w14:paraId="756B6937" w14:textId="25FA8745" w:rsidR="00E9455F" w:rsidRPr="0036089B" w:rsidRDefault="00E9455F" w:rsidP="007E301C">
      <w:pPr>
        <w:pStyle w:val="1"/>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52" w:history="1">
        <w:r w:rsidRPr="0036089B">
          <w:rPr>
            <w:rStyle w:val="Hyperlink"/>
            <w:rFonts w:ascii="Times New Roman" w:hAnsi="Times New Roman" w:cs="Times New Roman"/>
            <w:b/>
            <w:bCs/>
            <w:noProof/>
            <w:sz w:val="24"/>
            <w:szCs w:val="24"/>
            <w:rtl/>
            <w:lang w:val="ar-SA"/>
          </w:rPr>
          <w:t>الفصل الرابع</w:t>
        </w:r>
        <w:r w:rsidRPr="0036089B">
          <w:rPr>
            <w:rFonts w:ascii="Times New Roman" w:hAnsi="Times New Roman" w:cs="Times New Roman"/>
            <w:b/>
            <w:bCs/>
            <w:noProof/>
            <w:webHidden/>
            <w:sz w:val="24"/>
            <w:szCs w:val="24"/>
            <w:rtl/>
          </w:rPr>
          <w:tab/>
        </w:r>
        <w:r w:rsidRPr="0036089B">
          <w:rPr>
            <w:rFonts w:ascii="Times New Roman" w:hAnsi="Times New Roman" w:cs="Times New Roman"/>
            <w:b/>
            <w:bCs/>
            <w:noProof/>
            <w:webHidden/>
            <w:sz w:val="24"/>
            <w:szCs w:val="24"/>
            <w:rtl/>
          </w:rPr>
          <w:fldChar w:fldCharType="begin"/>
        </w:r>
        <w:r w:rsidRPr="0036089B">
          <w:rPr>
            <w:rFonts w:ascii="Times New Roman" w:hAnsi="Times New Roman" w:cs="Times New Roman"/>
            <w:b/>
            <w:bCs/>
            <w:noProof/>
            <w:webHidden/>
            <w:sz w:val="24"/>
            <w:szCs w:val="24"/>
            <w:rtl/>
          </w:rPr>
          <w:instrText xml:space="preserve"> </w:instrText>
        </w:r>
        <w:r w:rsidRPr="0036089B">
          <w:rPr>
            <w:rFonts w:ascii="Times New Roman" w:hAnsi="Times New Roman" w:cs="Times New Roman"/>
            <w:b/>
            <w:bCs/>
            <w:noProof/>
            <w:webHidden/>
            <w:sz w:val="24"/>
            <w:szCs w:val="24"/>
          </w:rPr>
          <w:instrText>PAGEREF</w:instrText>
        </w:r>
        <w:r w:rsidRPr="0036089B">
          <w:rPr>
            <w:rFonts w:ascii="Times New Roman" w:hAnsi="Times New Roman" w:cs="Times New Roman"/>
            <w:b/>
            <w:bCs/>
            <w:noProof/>
            <w:webHidden/>
            <w:sz w:val="24"/>
            <w:szCs w:val="24"/>
            <w:rtl/>
          </w:rPr>
          <w:instrText xml:space="preserve"> _</w:instrText>
        </w:r>
        <w:r w:rsidRPr="0036089B">
          <w:rPr>
            <w:rFonts w:ascii="Times New Roman" w:hAnsi="Times New Roman" w:cs="Times New Roman"/>
            <w:b/>
            <w:bCs/>
            <w:noProof/>
            <w:webHidden/>
            <w:sz w:val="24"/>
            <w:szCs w:val="24"/>
          </w:rPr>
          <w:instrText>Toc227251452 \h</w:instrText>
        </w:r>
        <w:r w:rsidRPr="0036089B">
          <w:rPr>
            <w:rFonts w:ascii="Times New Roman" w:hAnsi="Times New Roman" w:cs="Times New Roman"/>
            <w:b/>
            <w:bCs/>
            <w:noProof/>
            <w:webHidden/>
            <w:sz w:val="24"/>
            <w:szCs w:val="24"/>
            <w:rtl/>
          </w:rPr>
          <w:instrText xml:space="preserve"> </w:instrText>
        </w:r>
        <w:r w:rsidRPr="0036089B">
          <w:rPr>
            <w:rFonts w:ascii="Times New Roman" w:hAnsi="Times New Roman" w:cs="Times New Roman"/>
            <w:b/>
            <w:bCs/>
            <w:noProof/>
            <w:webHidden/>
            <w:sz w:val="24"/>
            <w:szCs w:val="24"/>
            <w:rtl/>
          </w:rPr>
        </w:r>
        <w:r w:rsidRPr="0036089B">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173</w:t>
        </w:r>
        <w:r w:rsidRPr="0036089B">
          <w:rPr>
            <w:rFonts w:ascii="Times New Roman" w:hAnsi="Times New Roman" w:cs="Times New Roman"/>
            <w:b/>
            <w:bCs/>
            <w:noProof/>
            <w:webHidden/>
            <w:sz w:val="24"/>
            <w:szCs w:val="24"/>
            <w:rtl/>
          </w:rPr>
          <w:fldChar w:fldCharType="end"/>
        </w:r>
      </w:hyperlink>
    </w:p>
    <w:p w14:paraId="34B05D7D" w14:textId="617D4316" w:rsidR="00E9455F" w:rsidRPr="00E9455F" w:rsidRDefault="00E9455F" w:rsidP="007E301C">
      <w:pPr>
        <w:pStyle w:val="1"/>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3" w:history="1">
        <w:r w:rsidRPr="0036089B">
          <w:rPr>
            <w:rStyle w:val="Hyperlink"/>
            <w:rFonts w:ascii="Times New Roman" w:hAnsi="Times New Roman" w:cs="Times New Roman"/>
            <w:b/>
            <w:bCs/>
            <w:noProof/>
            <w:sz w:val="24"/>
            <w:szCs w:val="24"/>
            <w:rtl/>
            <w:lang w:val="ar-SA"/>
          </w:rPr>
          <w:t>الحماية الإجرائية للملكية الفكرية في البيئة الرقمية</w:t>
        </w:r>
        <w:r w:rsidRPr="0036089B">
          <w:rPr>
            <w:rFonts w:ascii="Times New Roman" w:hAnsi="Times New Roman" w:cs="Times New Roman"/>
            <w:b/>
            <w:bCs/>
            <w:noProof/>
            <w:webHidden/>
            <w:sz w:val="24"/>
            <w:szCs w:val="24"/>
            <w:rtl/>
          </w:rPr>
          <w:tab/>
        </w:r>
        <w:r w:rsidRPr="0036089B">
          <w:rPr>
            <w:rFonts w:ascii="Times New Roman" w:hAnsi="Times New Roman" w:cs="Times New Roman"/>
            <w:b/>
            <w:bCs/>
            <w:noProof/>
            <w:webHidden/>
            <w:sz w:val="24"/>
            <w:szCs w:val="24"/>
            <w:rtl/>
          </w:rPr>
          <w:fldChar w:fldCharType="begin"/>
        </w:r>
        <w:r w:rsidRPr="0036089B">
          <w:rPr>
            <w:rFonts w:ascii="Times New Roman" w:hAnsi="Times New Roman" w:cs="Times New Roman"/>
            <w:b/>
            <w:bCs/>
            <w:noProof/>
            <w:webHidden/>
            <w:sz w:val="24"/>
            <w:szCs w:val="24"/>
            <w:rtl/>
          </w:rPr>
          <w:instrText xml:space="preserve"> </w:instrText>
        </w:r>
        <w:r w:rsidRPr="0036089B">
          <w:rPr>
            <w:rFonts w:ascii="Times New Roman" w:hAnsi="Times New Roman" w:cs="Times New Roman"/>
            <w:b/>
            <w:bCs/>
            <w:noProof/>
            <w:webHidden/>
            <w:sz w:val="24"/>
            <w:szCs w:val="24"/>
          </w:rPr>
          <w:instrText>PAGEREF</w:instrText>
        </w:r>
        <w:r w:rsidRPr="0036089B">
          <w:rPr>
            <w:rFonts w:ascii="Times New Roman" w:hAnsi="Times New Roman" w:cs="Times New Roman"/>
            <w:b/>
            <w:bCs/>
            <w:noProof/>
            <w:webHidden/>
            <w:sz w:val="24"/>
            <w:szCs w:val="24"/>
            <w:rtl/>
          </w:rPr>
          <w:instrText xml:space="preserve"> _</w:instrText>
        </w:r>
        <w:r w:rsidRPr="0036089B">
          <w:rPr>
            <w:rFonts w:ascii="Times New Roman" w:hAnsi="Times New Roman" w:cs="Times New Roman"/>
            <w:b/>
            <w:bCs/>
            <w:noProof/>
            <w:webHidden/>
            <w:sz w:val="24"/>
            <w:szCs w:val="24"/>
          </w:rPr>
          <w:instrText>Toc227251453 \h</w:instrText>
        </w:r>
        <w:r w:rsidRPr="0036089B">
          <w:rPr>
            <w:rFonts w:ascii="Times New Roman" w:hAnsi="Times New Roman" w:cs="Times New Roman"/>
            <w:b/>
            <w:bCs/>
            <w:noProof/>
            <w:webHidden/>
            <w:sz w:val="24"/>
            <w:szCs w:val="24"/>
            <w:rtl/>
          </w:rPr>
          <w:instrText xml:space="preserve"> </w:instrText>
        </w:r>
        <w:r w:rsidRPr="0036089B">
          <w:rPr>
            <w:rFonts w:ascii="Times New Roman" w:hAnsi="Times New Roman" w:cs="Times New Roman"/>
            <w:b/>
            <w:bCs/>
            <w:noProof/>
            <w:webHidden/>
            <w:sz w:val="24"/>
            <w:szCs w:val="24"/>
            <w:rtl/>
          </w:rPr>
        </w:r>
        <w:r w:rsidRPr="0036089B">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173</w:t>
        </w:r>
        <w:r w:rsidRPr="0036089B">
          <w:rPr>
            <w:rFonts w:ascii="Times New Roman" w:hAnsi="Times New Roman" w:cs="Times New Roman"/>
            <w:b/>
            <w:bCs/>
            <w:noProof/>
            <w:webHidden/>
            <w:sz w:val="24"/>
            <w:szCs w:val="24"/>
            <w:rtl/>
          </w:rPr>
          <w:fldChar w:fldCharType="end"/>
        </w:r>
      </w:hyperlink>
    </w:p>
    <w:p w14:paraId="6CFF5DA6" w14:textId="5872A7E3" w:rsidR="00E9455F" w:rsidRPr="007E301C" w:rsidRDefault="00E9455F" w:rsidP="007E301C">
      <w:pPr>
        <w:pStyle w:val="1"/>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4" w:history="1">
        <w:r w:rsidRPr="007E301C">
          <w:rPr>
            <w:rStyle w:val="Hyperlink"/>
            <w:rFonts w:ascii="Times New Roman" w:hAnsi="Times New Roman" w:cs="Times New Roman"/>
            <w:noProof/>
            <w:sz w:val="24"/>
            <w:szCs w:val="24"/>
            <w:rtl/>
            <w:lang w:val="ar-SA"/>
          </w:rPr>
          <w:t>المبحث الأول</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Toc227251454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174</w:t>
        </w:r>
        <w:r w:rsidRPr="007E301C">
          <w:rPr>
            <w:rFonts w:ascii="Times New Roman" w:hAnsi="Times New Roman" w:cs="Times New Roman"/>
            <w:noProof/>
            <w:webHidden/>
            <w:sz w:val="24"/>
            <w:szCs w:val="24"/>
            <w:rtl/>
          </w:rPr>
          <w:fldChar w:fldCharType="end"/>
        </w:r>
      </w:hyperlink>
    </w:p>
    <w:p w14:paraId="1BB88FF6" w14:textId="2082E596" w:rsidR="00E9455F" w:rsidRPr="007E301C" w:rsidRDefault="00E9455F" w:rsidP="007E301C">
      <w:pPr>
        <w:pStyle w:val="1"/>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5" w:history="1">
        <w:r w:rsidRPr="007E301C">
          <w:rPr>
            <w:rStyle w:val="Hyperlink"/>
            <w:rFonts w:ascii="Times New Roman" w:hAnsi="Times New Roman" w:cs="Times New Roman"/>
            <w:noProof/>
            <w:sz w:val="24"/>
            <w:szCs w:val="24"/>
            <w:rtl/>
            <w:lang w:val="ar-SA"/>
          </w:rPr>
          <w:t>الإجراءات القانونية لحماية الملكية الفكرية في البيئة الرقمية</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Toc227251455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174</w:t>
        </w:r>
        <w:r w:rsidRPr="007E301C">
          <w:rPr>
            <w:rFonts w:ascii="Times New Roman" w:hAnsi="Times New Roman" w:cs="Times New Roman"/>
            <w:noProof/>
            <w:webHidden/>
            <w:sz w:val="24"/>
            <w:szCs w:val="24"/>
            <w:rtl/>
          </w:rPr>
          <w:fldChar w:fldCharType="end"/>
        </w:r>
      </w:hyperlink>
    </w:p>
    <w:p w14:paraId="12777E27" w14:textId="39214C5B"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6" w:history="1">
        <w:r w:rsidRPr="007E301C">
          <w:rPr>
            <w:rStyle w:val="Hyperlink"/>
            <w:rFonts w:ascii="Times New Roman" w:hAnsi="Times New Roman" w:cs="Times New Roman"/>
            <w:noProof/>
            <w:sz w:val="24"/>
            <w:szCs w:val="24"/>
            <w:rtl/>
            <w:lang w:val="ar-SA"/>
          </w:rPr>
          <w:t>المطلب الأول</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Toc227251456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175</w:t>
        </w:r>
        <w:r w:rsidRPr="007E301C">
          <w:rPr>
            <w:rFonts w:ascii="Times New Roman" w:hAnsi="Times New Roman" w:cs="Times New Roman"/>
            <w:noProof/>
            <w:webHidden/>
            <w:sz w:val="24"/>
            <w:szCs w:val="24"/>
            <w:rtl/>
          </w:rPr>
          <w:fldChar w:fldCharType="end"/>
        </w:r>
      </w:hyperlink>
    </w:p>
    <w:p w14:paraId="0D2F50F9" w14:textId="044C3A31"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7" w:history="1">
        <w:r w:rsidRPr="007E301C">
          <w:rPr>
            <w:rStyle w:val="Hyperlink"/>
            <w:rFonts w:ascii="Times New Roman" w:hAnsi="Times New Roman" w:cs="Times New Roman"/>
            <w:noProof/>
            <w:sz w:val="24"/>
            <w:szCs w:val="24"/>
            <w:rtl/>
            <w:lang w:val="ar-SA"/>
          </w:rPr>
          <w:t>الترخيص الإجباري</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Toc227251457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175</w:t>
        </w:r>
        <w:r w:rsidRPr="007E301C">
          <w:rPr>
            <w:rFonts w:ascii="Times New Roman" w:hAnsi="Times New Roman" w:cs="Times New Roman"/>
            <w:noProof/>
            <w:webHidden/>
            <w:sz w:val="24"/>
            <w:szCs w:val="24"/>
            <w:rtl/>
          </w:rPr>
          <w:fldChar w:fldCharType="end"/>
        </w:r>
      </w:hyperlink>
    </w:p>
    <w:p w14:paraId="6B4219C6" w14:textId="5611F0F5"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8" w:history="1">
        <w:r w:rsidRPr="007E301C">
          <w:rPr>
            <w:rStyle w:val="Hyperlink"/>
            <w:rFonts w:ascii="Times New Roman" w:hAnsi="Times New Roman" w:cs="Times New Roman"/>
            <w:noProof/>
            <w:sz w:val="24"/>
            <w:szCs w:val="24"/>
            <w:rtl/>
            <w:lang w:val="ar-SA"/>
          </w:rPr>
          <w:t>المطلب الثاني</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Toc227251458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188</w:t>
        </w:r>
        <w:r w:rsidRPr="007E301C">
          <w:rPr>
            <w:rFonts w:ascii="Times New Roman" w:hAnsi="Times New Roman" w:cs="Times New Roman"/>
            <w:noProof/>
            <w:webHidden/>
            <w:sz w:val="24"/>
            <w:szCs w:val="24"/>
            <w:rtl/>
          </w:rPr>
          <w:fldChar w:fldCharType="end"/>
        </w:r>
      </w:hyperlink>
    </w:p>
    <w:p w14:paraId="61E3BF68" w14:textId="3BD958DD"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59" w:history="1">
        <w:r w:rsidRPr="007E301C">
          <w:rPr>
            <w:rStyle w:val="Hyperlink"/>
            <w:rFonts w:ascii="Times New Roman" w:hAnsi="Times New Roman" w:cs="Times New Roman"/>
            <w:noProof/>
            <w:sz w:val="24"/>
            <w:szCs w:val="24"/>
            <w:rtl/>
            <w:lang w:val="ar-SA"/>
          </w:rPr>
          <w:t>الإثبات والتحقيق والضبط الفني في البيئة الرقمية</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Toc227251459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188</w:t>
        </w:r>
        <w:r w:rsidRPr="007E301C">
          <w:rPr>
            <w:rFonts w:ascii="Times New Roman" w:hAnsi="Times New Roman" w:cs="Times New Roman"/>
            <w:noProof/>
            <w:webHidden/>
            <w:sz w:val="24"/>
            <w:szCs w:val="24"/>
            <w:rtl/>
          </w:rPr>
          <w:fldChar w:fldCharType="end"/>
        </w:r>
      </w:hyperlink>
    </w:p>
    <w:p w14:paraId="7932E9FF" w14:textId="67332451" w:rsidR="00E9455F" w:rsidRPr="007E301C" w:rsidRDefault="00E9455F" w:rsidP="007E301C">
      <w:pPr>
        <w:pStyle w:val="1"/>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0" w:history="1">
        <w:r w:rsidRPr="007E301C">
          <w:rPr>
            <w:rStyle w:val="Hyperlink"/>
            <w:rFonts w:ascii="Times New Roman" w:hAnsi="Times New Roman" w:cs="Times New Roman"/>
            <w:noProof/>
            <w:sz w:val="24"/>
            <w:szCs w:val="24"/>
            <w:rtl/>
            <w:lang w:val="ar-SA"/>
          </w:rPr>
          <w:t>المبحث الثاني</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Toc227251460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199</w:t>
        </w:r>
        <w:r w:rsidRPr="007E301C">
          <w:rPr>
            <w:rFonts w:ascii="Times New Roman" w:hAnsi="Times New Roman" w:cs="Times New Roman"/>
            <w:noProof/>
            <w:webHidden/>
            <w:sz w:val="24"/>
            <w:szCs w:val="24"/>
            <w:rtl/>
          </w:rPr>
          <w:fldChar w:fldCharType="end"/>
        </w:r>
      </w:hyperlink>
    </w:p>
    <w:p w14:paraId="3147C716" w14:textId="4E152822" w:rsidR="00E9455F" w:rsidRPr="007E301C" w:rsidRDefault="00E9455F" w:rsidP="007E301C">
      <w:pPr>
        <w:pStyle w:val="1"/>
        <w:spacing w:before="0" w:after="0"/>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1" w:history="1">
        <w:r w:rsidRPr="007E301C">
          <w:rPr>
            <w:rStyle w:val="Hyperlink"/>
            <w:rFonts w:ascii="Times New Roman" w:hAnsi="Times New Roman" w:cs="Times New Roman"/>
            <w:noProof/>
            <w:sz w:val="24"/>
            <w:szCs w:val="24"/>
            <w:rtl/>
            <w:lang w:val="ar-SA"/>
          </w:rPr>
          <w:t>الإجراءات التقنية لحماية الملكية الفكرية في البيئة الرقمية</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Toc227251461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199</w:t>
        </w:r>
        <w:r w:rsidRPr="007E301C">
          <w:rPr>
            <w:rFonts w:ascii="Times New Roman" w:hAnsi="Times New Roman" w:cs="Times New Roman"/>
            <w:noProof/>
            <w:webHidden/>
            <w:sz w:val="24"/>
            <w:szCs w:val="24"/>
            <w:rtl/>
          </w:rPr>
          <w:fldChar w:fldCharType="end"/>
        </w:r>
      </w:hyperlink>
    </w:p>
    <w:p w14:paraId="29AD5CC1" w14:textId="5F813D48"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2" w:history="1">
        <w:r w:rsidRPr="007E301C">
          <w:rPr>
            <w:rStyle w:val="Hyperlink"/>
            <w:rFonts w:ascii="Times New Roman" w:hAnsi="Times New Roman" w:cs="Times New Roman"/>
            <w:noProof/>
            <w:sz w:val="24"/>
            <w:szCs w:val="24"/>
            <w:rtl/>
            <w:lang w:val="ar-SA"/>
          </w:rPr>
          <w:t>المطلب الأول</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Toc227251462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200</w:t>
        </w:r>
        <w:r w:rsidRPr="007E301C">
          <w:rPr>
            <w:rFonts w:ascii="Times New Roman" w:hAnsi="Times New Roman" w:cs="Times New Roman"/>
            <w:noProof/>
            <w:webHidden/>
            <w:sz w:val="24"/>
            <w:szCs w:val="24"/>
            <w:rtl/>
          </w:rPr>
          <w:fldChar w:fldCharType="end"/>
        </w:r>
      </w:hyperlink>
    </w:p>
    <w:p w14:paraId="7ACC0FB5" w14:textId="615183B7"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3" w:history="1">
        <w:r w:rsidRPr="007E301C">
          <w:rPr>
            <w:rStyle w:val="Hyperlink"/>
            <w:rFonts w:ascii="Times New Roman" w:hAnsi="Times New Roman" w:cs="Times New Roman"/>
            <w:noProof/>
            <w:sz w:val="24"/>
            <w:szCs w:val="24"/>
            <w:rtl/>
            <w:lang w:val="ar-SA"/>
          </w:rPr>
          <w:t>الرقابة على المواقع الإلكترونية</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Toc227251463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200</w:t>
        </w:r>
        <w:r w:rsidRPr="007E301C">
          <w:rPr>
            <w:rFonts w:ascii="Times New Roman" w:hAnsi="Times New Roman" w:cs="Times New Roman"/>
            <w:noProof/>
            <w:webHidden/>
            <w:sz w:val="24"/>
            <w:szCs w:val="24"/>
            <w:rtl/>
          </w:rPr>
          <w:fldChar w:fldCharType="end"/>
        </w:r>
      </w:hyperlink>
    </w:p>
    <w:p w14:paraId="01838A6B" w14:textId="4C22276B"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4" w:history="1">
        <w:r w:rsidRPr="007E301C">
          <w:rPr>
            <w:rStyle w:val="Hyperlink"/>
            <w:rFonts w:ascii="Times New Roman" w:hAnsi="Times New Roman" w:cs="Times New Roman"/>
            <w:noProof/>
            <w:sz w:val="24"/>
            <w:szCs w:val="24"/>
            <w:rtl/>
            <w:lang w:val="ar-SA"/>
          </w:rPr>
          <w:t>المطلب الثاني</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Toc227251464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210</w:t>
        </w:r>
        <w:r w:rsidRPr="007E301C">
          <w:rPr>
            <w:rFonts w:ascii="Times New Roman" w:hAnsi="Times New Roman" w:cs="Times New Roman"/>
            <w:noProof/>
            <w:webHidden/>
            <w:sz w:val="24"/>
            <w:szCs w:val="24"/>
            <w:rtl/>
          </w:rPr>
          <w:fldChar w:fldCharType="end"/>
        </w:r>
      </w:hyperlink>
    </w:p>
    <w:p w14:paraId="2E61E17F" w14:textId="56717DE8"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5" w:history="1">
        <w:r w:rsidRPr="007E301C">
          <w:rPr>
            <w:rStyle w:val="Hyperlink"/>
            <w:rFonts w:ascii="Times New Roman" w:hAnsi="Times New Roman" w:cs="Times New Roman"/>
            <w:noProof/>
            <w:sz w:val="24"/>
            <w:szCs w:val="24"/>
            <w:rtl/>
            <w:lang w:val="ar-SA"/>
          </w:rPr>
          <w:t>الحماية التكنولوجية للمنتجات الفكرية في البيئة الرقمية</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Toc227251465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210</w:t>
        </w:r>
        <w:r w:rsidRPr="007E301C">
          <w:rPr>
            <w:rFonts w:ascii="Times New Roman" w:hAnsi="Times New Roman" w:cs="Times New Roman"/>
            <w:noProof/>
            <w:webHidden/>
            <w:sz w:val="24"/>
            <w:szCs w:val="24"/>
            <w:rtl/>
          </w:rPr>
          <w:fldChar w:fldCharType="end"/>
        </w:r>
      </w:hyperlink>
    </w:p>
    <w:p w14:paraId="7C148892" w14:textId="79F66DC1" w:rsidR="00E9455F" w:rsidRPr="007E301C" w:rsidRDefault="00E9455F" w:rsidP="007E301C">
      <w:pPr>
        <w:pStyle w:val="1"/>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66" w:history="1">
        <w:r w:rsidRPr="007E301C">
          <w:rPr>
            <w:rStyle w:val="Hyperlink"/>
            <w:rFonts w:ascii="Times New Roman" w:hAnsi="Times New Roman" w:cs="Times New Roman"/>
            <w:b/>
            <w:bCs/>
            <w:noProof/>
            <w:sz w:val="24"/>
            <w:szCs w:val="24"/>
            <w:rtl/>
            <w:lang w:val="ar-SA"/>
          </w:rPr>
          <w:t>الخاتمة</w:t>
        </w:r>
        <w:r w:rsidRPr="007E301C">
          <w:rPr>
            <w:rFonts w:ascii="Times New Roman" w:hAnsi="Times New Roman" w:cs="Times New Roman"/>
            <w:b/>
            <w:bCs/>
            <w:noProof/>
            <w:webHidden/>
            <w:sz w:val="24"/>
            <w:szCs w:val="24"/>
            <w:rtl/>
          </w:rPr>
          <w:tab/>
        </w:r>
        <w:r w:rsidRPr="007E301C">
          <w:rPr>
            <w:rFonts w:ascii="Times New Roman" w:hAnsi="Times New Roman" w:cs="Times New Roman"/>
            <w:b/>
            <w:bCs/>
            <w:noProof/>
            <w:webHidden/>
            <w:sz w:val="24"/>
            <w:szCs w:val="24"/>
            <w:rtl/>
          </w:rPr>
          <w:fldChar w:fldCharType="begin"/>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Pr>
          <w:instrText>PAGEREF</w:instrText>
        </w:r>
        <w:r w:rsidRPr="007E301C">
          <w:rPr>
            <w:rFonts w:ascii="Times New Roman" w:hAnsi="Times New Roman" w:cs="Times New Roman"/>
            <w:b/>
            <w:bCs/>
            <w:noProof/>
            <w:webHidden/>
            <w:sz w:val="24"/>
            <w:szCs w:val="24"/>
            <w:rtl/>
          </w:rPr>
          <w:instrText xml:space="preserve"> _</w:instrText>
        </w:r>
        <w:r w:rsidRPr="007E301C">
          <w:rPr>
            <w:rFonts w:ascii="Times New Roman" w:hAnsi="Times New Roman" w:cs="Times New Roman"/>
            <w:b/>
            <w:bCs/>
            <w:noProof/>
            <w:webHidden/>
            <w:sz w:val="24"/>
            <w:szCs w:val="24"/>
          </w:rPr>
          <w:instrText>Toc227251466 \h</w:instrText>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tl/>
          </w:rPr>
        </w:r>
        <w:r w:rsidRPr="007E301C">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218</w:t>
        </w:r>
        <w:r w:rsidRPr="007E301C">
          <w:rPr>
            <w:rFonts w:ascii="Times New Roman" w:hAnsi="Times New Roman" w:cs="Times New Roman"/>
            <w:b/>
            <w:bCs/>
            <w:noProof/>
            <w:webHidden/>
            <w:sz w:val="24"/>
            <w:szCs w:val="24"/>
            <w:rtl/>
          </w:rPr>
          <w:fldChar w:fldCharType="end"/>
        </w:r>
      </w:hyperlink>
    </w:p>
    <w:p w14:paraId="3AC840AA" w14:textId="37A376EA"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7" w:history="1">
        <w:r w:rsidRPr="007E301C">
          <w:rPr>
            <w:rStyle w:val="Hyperlink"/>
            <w:rFonts w:ascii="Times New Roman" w:hAnsi="Times New Roman" w:cs="Times New Roman"/>
            <w:noProof/>
            <w:sz w:val="24"/>
            <w:szCs w:val="24"/>
            <w:rtl/>
            <w:lang w:val="ar-SA"/>
          </w:rPr>
          <w:t>النتائج والتوصيات</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Toc227251467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218</w:t>
        </w:r>
        <w:r w:rsidRPr="007E301C">
          <w:rPr>
            <w:rFonts w:ascii="Times New Roman" w:hAnsi="Times New Roman" w:cs="Times New Roman"/>
            <w:noProof/>
            <w:webHidden/>
            <w:sz w:val="24"/>
            <w:szCs w:val="24"/>
            <w:rtl/>
          </w:rPr>
          <w:fldChar w:fldCharType="end"/>
        </w:r>
      </w:hyperlink>
    </w:p>
    <w:p w14:paraId="2F65801E" w14:textId="7CE15FDE" w:rsidR="00E9455F" w:rsidRPr="007E301C"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8" w:history="1">
        <w:r w:rsidRPr="007E301C">
          <w:rPr>
            <w:rStyle w:val="Hyperlink"/>
            <w:rFonts w:ascii="Times New Roman" w:hAnsi="Times New Roman" w:cs="Times New Roman"/>
            <w:noProof/>
            <w:sz w:val="24"/>
            <w:szCs w:val="24"/>
            <w:rtl/>
            <w:lang w:val="ar-SA"/>
          </w:rPr>
          <w:t>أولًا: النتائج</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Toc227251468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218</w:t>
        </w:r>
        <w:r w:rsidRPr="007E301C">
          <w:rPr>
            <w:rFonts w:ascii="Times New Roman" w:hAnsi="Times New Roman" w:cs="Times New Roman"/>
            <w:noProof/>
            <w:webHidden/>
            <w:sz w:val="24"/>
            <w:szCs w:val="24"/>
            <w:rtl/>
          </w:rPr>
          <w:fldChar w:fldCharType="end"/>
        </w:r>
      </w:hyperlink>
    </w:p>
    <w:p w14:paraId="63F0C7E0" w14:textId="2875DB9A" w:rsidR="00E9455F" w:rsidRPr="00E9455F" w:rsidRDefault="00E9455F" w:rsidP="007E301C">
      <w:pPr>
        <w:pStyle w:val="1"/>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69" w:history="1">
        <w:r w:rsidRPr="007E301C">
          <w:rPr>
            <w:rStyle w:val="Hyperlink"/>
            <w:rFonts w:ascii="Times New Roman" w:hAnsi="Times New Roman" w:cs="Times New Roman"/>
            <w:noProof/>
            <w:sz w:val="24"/>
            <w:szCs w:val="24"/>
            <w:rtl/>
            <w:lang w:val="ar-SA"/>
          </w:rPr>
          <w:t>ثانيًا: التوصيات</w:t>
        </w:r>
        <w:r w:rsidRPr="007E301C">
          <w:rPr>
            <w:rFonts w:ascii="Times New Roman" w:hAnsi="Times New Roman" w:cs="Times New Roman"/>
            <w:noProof/>
            <w:webHidden/>
            <w:sz w:val="24"/>
            <w:szCs w:val="24"/>
            <w:rtl/>
          </w:rPr>
          <w:tab/>
        </w:r>
        <w:r w:rsidRPr="007E301C">
          <w:rPr>
            <w:rFonts w:ascii="Times New Roman" w:hAnsi="Times New Roman" w:cs="Times New Roman"/>
            <w:noProof/>
            <w:webHidden/>
            <w:sz w:val="24"/>
            <w:szCs w:val="24"/>
            <w:rtl/>
          </w:rPr>
          <w:fldChar w:fldCharType="begin"/>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Pr>
          <w:instrText>PAGEREF</w:instrText>
        </w:r>
        <w:r w:rsidRPr="007E301C">
          <w:rPr>
            <w:rFonts w:ascii="Times New Roman" w:hAnsi="Times New Roman" w:cs="Times New Roman"/>
            <w:noProof/>
            <w:webHidden/>
            <w:sz w:val="24"/>
            <w:szCs w:val="24"/>
            <w:rtl/>
          </w:rPr>
          <w:instrText xml:space="preserve"> _</w:instrText>
        </w:r>
        <w:r w:rsidRPr="007E301C">
          <w:rPr>
            <w:rFonts w:ascii="Times New Roman" w:hAnsi="Times New Roman" w:cs="Times New Roman"/>
            <w:noProof/>
            <w:webHidden/>
            <w:sz w:val="24"/>
            <w:szCs w:val="24"/>
          </w:rPr>
          <w:instrText>Toc227251469 \h</w:instrText>
        </w:r>
        <w:r w:rsidRPr="007E301C">
          <w:rPr>
            <w:rFonts w:ascii="Times New Roman" w:hAnsi="Times New Roman" w:cs="Times New Roman"/>
            <w:noProof/>
            <w:webHidden/>
            <w:sz w:val="24"/>
            <w:szCs w:val="24"/>
            <w:rtl/>
          </w:rPr>
          <w:instrText xml:space="preserve"> </w:instrText>
        </w:r>
        <w:r w:rsidRPr="007E301C">
          <w:rPr>
            <w:rFonts w:ascii="Times New Roman" w:hAnsi="Times New Roman" w:cs="Times New Roman"/>
            <w:noProof/>
            <w:webHidden/>
            <w:sz w:val="24"/>
            <w:szCs w:val="24"/>
            <w:rtl/>
          </w:rPr>
        </w:r>
        <w:r w:rsidRPr="007E301C">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219</w:t>
        </w:r>
        <w:r w:rsidRPr="007E301C">
          <w:rPr>
            <w:rFonts w:ascii="Times New Roman" w:hAnsi="Times New Roman" w:cs="Times New Roman"/>
            <w:noProof/>
            <w:webHidden/>
            <w:sz w:val="24"/>
            <w:szCs w:val="24"/>
            <w:rtl/>
          </w:rPr>
          <w:fldChar w:fldCharType="end"/>
        </w:r>
      </w:hyperlink>
    </w:p>
    <w:p w14:paraId="2730D96F" w14:textId="75BE1DCC" w:rsidR="00E9455F" w:rsidRPr="007E301C" w:rsidRDefault="00E9455F" w:rsidP="007E301C">
      <w:pPr>
        <w:pStyle w:val="2"/>
        <w:spacing w:before="0" w:after="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27251470" w:history="1">
        <w:r w:rsidRPr="007E301C">
          <w:rPr>
            <w:rStyle w:val="Hyperlink"/>
            <w:rFonts w:ascii="Times New Roman" w:eastAsia="Arial Unicode MS" w:hAnsi="Times New Roman" w:cs="Times New Roman"/>
            <w:b/>
            <w:bCs/>
            <w:noProof/>
            <w:sz w:val="24"/>
            <w:szCs w:val="24"/>
            <w:rtl/>
            <w:lang w:val="ar-SA"/>
          </w:rPr>
          <w:t>قائمة المراجع</w:t>
        </w:r>
        <w:r w:rsidRPr="007E301C">
          <w:rPr>
            <w:rFonts w:ascii="Times New Roman" w:hAnsi="Times New Roman" w:cs="Times New Roman"/>
            <w:b/>
            <w:bCs/>
            <w:noProof/>
            <w:webHidden/>
            <w:sz w:val="24"/>
            <w:szCs w:val="24"/>
            <w:rtl/>
          </w:rPr>
          <w:tab/>
        </w:r>
        <w:r w:rsidRPr="007E301C">
          <w:rPr>
            <w:rFonts w:ascii="Times New Roman" w:hAnsi="Times New Roman" w:cs="Times New Roman"/>
            <w:b/>
            <w:bCs/>
            <w:noProof/>
            <w:webHidden/>
            <w:sz w:val="24"/>
            <w:szCs w:val="24"/>
            <w:rtl/>
          </w:rPr>
          <w:fldChar w:fldCharType="begin"/>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Pr>
          <w:instrText>PAGEREF</w:instrText>
        </w:r>
        <w:r w:rsidRPr="007E301C">
          <w:rPr>
            <w:rFonts w:ascii="Times New Roman" w:hAnsi="Times New Roman" w:cs="Times New Roman"/>
            <w:b/>
            <w:bCs/>
            <w:noProof/>
            <w:webHidden/>
            <w:sz w:val="24"/>
            <w:szCs w:val="24"/>
            <w:rtl/>
          </w:rPr>
          <w:instrText xml:space="preserve"> _</w:instrText>
        </w:r>
        <w:r w:rsidRPr="007E301C">
          <w:rPr>
            <w:rFonts w:ascii="Times New Roman" w:hAnsi="Times New Roman" w:cs="Times New Roman"/>
            <w:b/>
            <w:bCs/>
            <w:noProof/>
            <w:webHidden/>
            <w:sz w:val="24"/>
            <w:szCs w:val="24"/>
          </w:rPr>
          <w:instrText>Toc227251470 \h</w:instrText>
        </w:r>
        <w:r w:rsidRPr="007E301C">
          <w:rPr>
            <w:rFonts w:ascii="Times New Roman" w:hAnsi="Times New Roman" w:cs="Times New Roman"/>
            <w:b/>
            <w:bCs/>
            <w:noProof/>
            <w:webHidden/>
            <w:sz w:val="24"/>
            <w:szCs w:val="24"/>
            <w:rtl/>
          </w:rPr>
          <w:instrText xml:space="preserve"> </w:instrText>
        </w:r>
        <w:r w:rsidRPr="007E301C">
          <w:rPr>
            <w:rFonts w:ascii="Times New Roman" w:hAnsi="Times New Roman" w:cs="Times New Roman"/>
            <w:b/>
            <w:bCs/>
            <w:noProof/>
            <w:webHidden/>
            <w:sz w:val="24"/>
            <w:szCs w:val="24"/>
            <w:rtl/>
          </w:rPr>
        </w:r>
        <w:r w:rsidRPr="007E301C">
          <w:rPr>
            <w:rFonts w:ascii="Times New Roman" w:hAnsi="Times New Roman" w:cs="Times New Roman"/>
            <w:b/>
            <w:bCs/>
            <w:noProof/>
            <w:webHidden/>
            <w:sz w:val="24"/>
            <w:szCs w:val="24"/>
            <w:rtl/>
          </w:rPr>
          <w:fldChar w:fldCharType="separate"/>
        </w:r>
        <w:r w:rsidR="0036089B">
          <w:rPr>
            <w:rFonts w:ascii="Times New Roman" w:hAnsi="Times New Roman" w:cs="Times New Roman"/>
            <w:b/>
            <w:bCs/>
            <w:noProof/>
            <w:webHidden/>
            <w:sz w:val="24"/>
            <w:szCs w:val="24"/>
            <w:rtl/>
          </w:rPr>
          <w:t>222</w:t>
        </w:r>
        <w:r w:rsidRPr="007E301C">
          <w:rPr>
            <w:rFonts w:ascii="Times New Roman" w:hAnsi="Times New Roman" w:cs="Times New Roman"/>
            <w:b/>
            <w:bCs/>
            <w:noProof/>
            <w:webHidden/>
            <w:sz w:val="24"/>
            <w:szCs w:val="24"/>
            <w:rtl/>
          </w:rPr>
          <w:fldChar w:fldCharType="end"/>
        </w:r>
      </w:hyperlink>
    </w:p>
    <w:p w14:paraId="181230DF" w14:textId="5F557FB1"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71" w:history="1">
        <w:r w:rsidRPr="00E9455F">
          <w:rPr>
            <w:rStyle w:val="Hyperlink"/>
            <w:rFonts w:ascii="Times New Roman" w:eastAsia="Arial Unicode MS" w:hAnsi="Times New Roman" w:cs="Times New Roman"/>
            <w:noProof/>
            <w:sz w:val="24"/>
            <w:szCs w:val="24"/>
            <w:rtl/>
            <w:lang w:val="ar-SA"/>
          </w:rPr>
          <w:t>أولًا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المراجع العربية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Toc227251471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222</w:t>
        </w:r>
        <w:r w:rsidRPr="00E9455F">
          <w:rPr>
            <w:rFonts w:ascii="Times New Roman" w:hAnsi="Times New Roman" w:cs="Times New Roman"/>
            <w:noProof/>
            <w:webHidden/>
            <w:sz w:val="24"/>
            <w:szCs w:val="24"/>
            <w:rtl/>
          </w:rPr>
          <w:fldChar w:fldCharType="end"/>
        </w:r>
      </w:hyperlink>
    </w:p>
    <w:p w14:paraId="0CE9A1AC" w14:textId="0C5298EF"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72" w:history="1">
        <w:r w:rsidRPr="00E9455F">
          <w:rPr>
            <w:rStyle w:val="Hyperlink"/>
            <w:rFonts w:ascii="Times New Roman" w:eastAsia="Arial Unicode MS" w:hAnsi="Times New Roman" w:cs="Times New Roman"/>
            <w:noProof/>
            <w:sz w:val="24"/>
            <w:szCs w:val="24"/>
            <w:rtl/>
            <w:lang w:val="ar-SA"/>
          </w:rPr>
          <w:t>ثانيًا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المراجع الأجنبية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Toc227251472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237</w:t>
        </w:r>
        <w:r w:rsidRPr="00E9455F">
          <w:rPr>
            <w:rFonts w:ascii="Times New Roman" w:hAnsi="Times New Roman" w:cs="Times New Roman"/>
            <w:noProof/>
            <w:webHidden/>
            <w:sz w:val="24"/>
            <w:szCs w:val="24"/>
            <w:rtl/>
          </w:rPr>
          <w:fldChar w:fldCharType="end"/>
        </w:r>
      </w:hyperlink>
    </w:p>
    <w:p w14:paraId="79EC01F9" w14:textId="3CA13BD2"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73" w:history="1">
        <w:r w:rsidRPr="00E9455F">
          <w:rPr>
            <w:rStyle w:val="Hyperlink"/>
            <w:rFonts w:ascii="Times New Roman" w:eastAsia="Arial Unicode MS" w:hAnsi="Times New Roman" w:cs="Times New Roman"/>
            <w:noProof/>
            <w:sz w:val="24"/>
            <w:szCs w:val="24"/>
            <w:rtl/>
            <w:lang w:val="ar-SA"/>
          </w:rPr>
          <w:t>ثالثًا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القوانين</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Toc227251473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247</w:t>
        </w:r>
        <w:r w:rsidRPr="00E9455F">
          <w:rPr>
            <w:rFonts w:ascii="Times New Roman" w:hAnsi="Times New Roman" w:cs="Times New Roman"/>
            <w:noProof/>
            <w:webHidden/>
            <w:sz w:val="24"/>
            <w:szCs w:val="24"/>
            <w:rtl/>
          </w:rPr>
          <w:fldChar w:fldCharType="end"/>
        </w:r>
      </w:hyperlink>
    </w:p>
    <w:p w14:paraId="6E149A07" w14:textId="35083179" w:rsidR="00E9455F" w:rsidRPr="00E9455F" w:rsidRDefault="00E9455F" w:rsidP="007E301C">
      <w:pPr>
        <w:pStyle w:val="2"/>
        <w:spacing w:before="0" w:after="0"/>
        <w:ind w:left="275"/>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27251474" w:history="1">
        <w:r w:rsidRPr="00E9455F">
          <w:rPr>
            <w:rStyle w:val="Hyperlink"/>
            <w:rFonts w:ascii="Times New Roman" w:eastAsia="Arial Unicode MS" w:hAnsi="Times New Roman" w:cs="Times New Roman"/>
            <w:noProof/>
            <w:sz w:val="24"/>
            <w:szCs w:val="24"/>
            <w:rtl/>
            <w:lang w:val="ar-SA"/>
          </w:rPr>
          <w:t>رابعًا</w:t>
        </w:r>
        <w:r w:rsidRPr="00E9455F">
          <w:rPr>
            <w:rStyle w:val="Hyperlink"/>
            <w:rFonts w:ascii="Times New Roman" w:hAnsi="Times New Roman" w:cs="Times New Roman"/>
            <w:noProof/>
            <w:sz w:val="24"/>
            <w:szCs w:val="24"/>
            <w:rtl/>
            <w:lang w:val="ar-SA"/>
          </w:rPr>
          <w:t xml:space="preserve">: </w:t>
        </w:r>
        <w:r w:rsidRPr="00E9455F">
          <w:rPr>
            <w:rStyle w:val="Hyperlink"/>
            <w:rFonts w:ascii="Times New Roman" w:eastAsia="Arial Unicode MS" w:hAnsi="Times New Roman" w:cs="Times New Roman"/>
            <w:noProof/>
            <w:sz w:val="24"/>
            <w:szCs w:val="24"/>
            <w:rtl/>
            <w:lang w:val="ar-SA"/>
          </w:rPr>
          <w:t>المواقع الإلكترونية</w:t>
        </w:r>
        <w:r w:rsidRPr="00E9455F">
          <w:rPr>
            <w:rStyle w:val="Hyperlink"/>
            <w:rFonts w:ascii="Times New Roman" w:hAnsi="Times New Roman" w:cs="Times New Roman"/>
            <w:noProof/>
            <w:sz w:val="24"/>
            <w:szCs w:val="24"/>
            <w:rtl/>
            <w:lang w:val="ar-SA"/>
          </w:rPr>
          <w:t>.</w:t>
        </w:r>
        <w:r w:rsidRPr="00E9455F">
          <w:rPr>
            <w:rFonts w:ascii="Times New Roman" w:hAnsi="Times New Roman" w:cs="Times New Roman"/>
            <w:noProof/>
            <w:webHidden/>
            <w:sz w:val="24"/>
            <w:szCs w:val="24"/>
            <w:rtl/>
          </w:rPr>
          <w:tab/>
        </w:r>
        <w:r w:rsidRPr="00E9455F">
          <w:rPr>
            <w:rFonts w:ascii="Times New Roman" w:hAnsi="Times New Roman" w:cs="Times New Roman"/>
            <w:noProof/>
            <w:webHidden/>
            <w:sz w:val="24"/>
            <w:szCs w:val="24"/>
            <w:rtl/>
          </w:rPr>
          <w:fldChar w:fldCharType="begin"/>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Pr>
          <w:instrText>PAGEREF</w:instrText>
        </w:r>
        <w:r w:rsidRPr="00E9455F">
          <w:rPr>
            <w:rFonts w:ascii="Times New Roman" w:hAnsi="Times New Roman" w:cs="Times New Roman"/>
            <w:noProof/>
            <w:webHidden/>
            <w:sz w:val="24"/>
            <w:szCs w:val="24"/>
            <w:rtl/>
          </w:rPr>
          <w:instrText xml:space="preserve"> _</w:instrText>
        </w:r>
        <w:r w:rsidRPr="00E9455F">
          <w:rPr>
            <w:rFonts w:ascii="Times New Roman" w:hAnsi="Times New Roman" w:cs="Times New Roman"/>
            <w:noProof/>
            <w:webHidden/>
            <w:sz w:val="24"/>
            <w:szCs w:val="24"/>
          </w:rPr>
          <w:instrText>Toc227251474 \h</w:instrText>
        </w:r>
        <w:r w:rsidRPr="00E9455F">
          <w:rPr>
            <w:rFonts w:ascii="Times New Roman" w:hAnsi="Times New Roman" w:cs="Times New Roman"/>
            <w:noProof/>
            <w:webHidden/>
            <w:sz w:val="24"/>
            <w:szCs w:val="24"/>
            <w:rtl/>
          </w:rPr>
          <w:instrText xml:space="preserve"> </w:instrText>
        </w:r>
        <w:r w:rsidRPr="00E9455F">
          <w:rPr>
            <w:rFonts w:ascii="Times New Roman" w:hAnsi="Times New Roman" w:cs="Times New Roman"/>
            <w:noProof/>
            <w:webHidden/>
            <w:sz w:val="24"/>
            <w:szCs w:val="24"/>
            <w:rtl/>
          </w:rPr>
        </w:r>
        <w:r w:rsidRPr="00E9455F">
          <w:rPr>
            <w:rFonts w:ascii="Times New Roman" w:hAnsi="Times New Roman" w:cs="Times New Roman"/>
            <w:noProof/>
            <w:webHidden/>
            <w:sz w:val="24"/>
            <w:szCs w:val="24"/>
            <w:rtl/>
          </w:rPr>
          <w:fldChar w:fldCharType="separate"/>
        </w:r>
        <w:r w:rsidR="0036089B">
          <w:rPr>
            <w:rFonts w:ascii="Times New Roman" w:hAnsi="Times New Roman" w:cs="Times New Roman"/>
            <w:noProof/>
            <w:webHidden/>
            <w:sz w:val="24"/>
            <w:szCs w:val="24"/>
            <w:rtl/>
          </w:rPr>
          <w:t>248</w:t>
        </w:r>
        <w:r w:rsidRPr="00E9455F">
          <w:rPr>
            <w:rFonts w:ascii="Times New Roman" w:hAnsi="Times New Roman" w:cs="Times New Roman"/>
            <w:noProof/>
            <w:webHidden/>
            <w:sz w:val="24"/>
            <w:szCs w:val="24"/>
            <w:rtl/>
          </w:rPr>
          <w:fldChar w:fldCharType="end"/>
        </w:r>
      </w:hyperlink>
    </w:p>
    <w:p w14:paraId="45914101" w14:textId="2765E007" w:rsidR="00E9455F" w:rsidRDefault="00E9455F" w:rsidP="007E301C">
      <w:pPr>
        <w:pStyle w:val="Body"/>
        <w:spacing w:after="0" w:line="240" w:lineRule="auto"/>
        <w:jc w:val="center"/>
        <w:rPr>
          <w:rFonts w:ascii="Times New Roman" w:eastAsia="Times New Roman" w:hAnsi="Times New Roman" w:cs="Times New Roman"/>
          <w:b/>
          <w:bCs/>
          <w:sz w:val="32"/>
          <w:szCs w:val="32"/>
          <w:lang w:val="ar-SA"/>
        </w:rPr>
      </w:pPr>
      <w:r w:rsidRPr="00E9455F">
        <w:rPr>
          <w:rFonts w:ascii="Times New Roman" w:eastAsia="Times New Roman" w:hAnsi="Times New Roman" w:cs="Times New Roman"/>
          <w:b/>
          <w:bCs/>
          <w:sz w:val="24"/>
          <w:szCs w:val="24"/>
          <w:rtl/>
          <w:lang w:val="ar-SA"/>
        </w:rPr>
        <w:fldChar w:fldCharType="end"/>
      </w:r>
    </w:p>
    <w:p w14:paraId="0443192B" w14:textId="77777777" w:rsidR="00454428" w:rsidRDefault="00454428" w:rsidP="00C72BA8">
      <w:pPr>
        <w:pStyle w:val="Body"/>
        <w:spacing w:before="120" w:line="360" w:lineRule="auto"/>
        <w:sectPr w:rsidR="00454428" w:rsidSect="00C8596B">
          <w:headerReference w:type="default" r:id="rId11"/>
          <w:footnotePr>
            <w:numRestart w:val="eachPage"/>
          </w:footnotePr>
          <w:pgSz w:w="11900" w:h="16840"/>
          <w:pgMar w:top="1418" w:right="1985" w:bottom="1418" w:left="1418" w:header="709" w:footer="709" w:gutter="0"/>
          <w:pgNumType w:fmt="arabicAbjad"/>
          <w:cols w:space="720"/>
          <w:bidi/>
        </w:sectPr>
      </w:pPr>
    </w:p>
    <w:p w14:paraId="1D292C9D" w14:textId="77777777" w:rsidR="00454428" w:rsidRDefault="00000000" w:rsidP="00C72BA8">
      <w:pPr>
        <w:pStyle w:val="a4"/>
        <w:rPr>
          <w:lang w:val="ar-SA"/>
        </w:rPr>
      </w:pPr>
      <w:bookmarkStart w:id="8" w:name="_Toc227251055"/>
      <w:bookmarkStart w:id="9" w:name="_Toc227251365"/>
      <w:r>
        <w:rPr>
          <w:rFonts w:ascii="Arial Unicode MS" w:eastAsia="Arial Unicode MS" w:hAnsi="Arial Unicode MS" w:hint="cs"/>
          <w:rtl/>
          <w:lang w:val="ar-SA"/>
        </w:rPr>
        <w:lastRenderedPageBreak/>
        <w:t>المقدمة</w:t>
      </w:r>
      <w:bookmarkEnd w:id="8"/>
      <w:bookmarkEnd w:id="9"/>
    </w:p>
    <w:p w14:paraId="4FA13A08"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يعيش العالم ثورةً في عالم التكنولوجيا والاتصالات وهي مستمرة بشكل دائم ومتطوِّرة، وأهم ما أفرزته هذه الثورة هو الكمبيوتر وشبكة الإنترنت، وما لهما من تأثيرات شملت معظم مجالات الحياة،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فرضت نفسها على حقوق الملكية الفكرية، ولا شك أنَّ معظم ما تتضمنه هذه الشبكة من خلال المواقع الإلكترونية هو عبارة عن ملكية فكرية، سواء كانت براءةَ اختراعٍ، أو علاماتٍ تجاريةً، أو حقوقَ المؤلفين والحقوق المجاورة لها؛ حيث إنَّ ما ينشر في البيئة الرقمية أو الفضاء الإلكتروني هي حقوق لصاحبها ولا يجوز استغلالها بأي شكل من الأشكال إلا بإذن وموافقة مالكها</w:t>
      </w:r>
      <w:r>
        <w:rPr>
          <w:rFonts w:ascii="Times New Roman" w:hAnsi="Times New Roman"/>
          <w:sz w:val="24"/>
          <w:szCs w:val="24"/>
          <w:rtl/>
          <w:lang w:val="ar-SA"/>
        </w:rPr>
        <w:t>.</w:t>
      </w:r>
    </w:p>
    <w:p w14:paraId="773C2B2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تُعَدُّ الحماية القانونية للملكية الفكرية ضروريةً؛ لحماية حقوق المبتكرين والمبدعين في مجالات متنوعة،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الأدب، والفنون، والإعلام، والاختراعات، والعلوم، تهدف هذه الحماية إلى تعزيز الابتكار والإبداع، من خلال منح حقوق قانونية محددة لأصحاب الأعمال الفكرية، تشمل هذه الحقوق الحق في الاستخدام الحصري للعمل الفكري، بالإضافة إلى القدرة على منع الآخرين من نسخ أو استخدام العمل دون الحصول على إذن</w:t>
      </w:r>
      <w:r>
        <w:rPr>
          <w:rFonts w:ascii="Times New Roman" w:hAnsi="Times New Roman"/>
          <w:sz w:val="24"/>
          <w:szCs w:val="24"/>
          <w:rtl/>
          <w:lang w:val="ar-SA"/>
        </w:rPr>
        <w:t>.</w:t>
      </w:r>
    </w:p>
    <w:p w14:paraId="5A518197"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تختلف آليات الحماية من دولة لأخرى بِناءً على نوع الملكية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النشر وبراءات الاختراع، تُعتبر البراءات حقوقًا حصريةً تمنح مقابل اختراع معين؛ حيث تتيح لصاحب البراءة التحكم في كيفية استخدام الآخرين للاختراع، وفي المقابل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يُلزَم مالك البراءة بتوفير المعلومات التقنية المتعلقة بالاختراع في وثيقة البراءة المنشورة، أما العلامات التجارية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فهي تشير إلى تمييز منتجات أو خدمات شركة معينة عن تلك الخاصة بشركات أخرى</w:t>
      </w:r>
      <w:r>
        <w:rPr>
          <w:rFonts w:ascii="Times New Roman" w:hAnsi="Times New Roman"/>
          <w:sz w:val="24"/>
          <w:szCs w:val="24"/>
          <w:rtl/>
          <w:lang w:val="ar-SA"/>
        </w:rPr>
        <w:t xml:space="preserve">. </w:t>
      </w:r>
    </w:p>
    <w:p w14:paraId="03E55DB1"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بالإضافة إلى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تشمل حقوق المؤلف مجموعةً واسعةً من الأعمال، بَدءًا من النشر الإعلامي والكتب والموسيقى، وصولًا إلى اللوحات الزيتية، والمنحوتات، والأفلام، وكذلك البرامج الحاسوبية، وقواعد البيانات، والإعلانات، والخرائط، والرسوم التقنية</w:t>
      </w:r>
      <w:r>
        <w:rPr>
          <w:rFonts w:ascii="Times New Roman" w:hAnsi="Times New Roman"/>
          <w:sz w:val="24"/>
          <w:szCs w:val="24"/>
          <w:rtl/>
          <w:lang w:val="ar-SA"/>
        </w:rPr>
        <w:t>.</w:t>
      </w:r>
    </w:p>
    <w:p w14:paraId="11480EF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يعمل القانون على حماية الملكية الفكرية التجارية والمالية لأصحاب الأعمال في المملكة، وفي القوانين المقارنة؛ ممَّا يسهم في تعزيز الاستثمار في مجالات البحث والابتكار، كما أنَّ حقوق الملكية الفكرية تعزّز المنافسة العادلة، وتقلل من الانتهاكات والقرصنة الفكرية</w:t>
      </w:r>
      <w:r>
        <w:rPr>
          <w:rFonts w:ascii="Times New Roman" w:hAnsi="Times New Roman"/>
          <w:sz w:val="24"/>
          <w:szCs w:val="24"/>
          <w:rtl/>
          <w:lang w:val="ar-SA"/>
        </w:rPr>
        <w:t>.</w:t>
      </w:r>
    </w:p>
    <w:p w14:paraId="1473E8E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ونتيجة للتطور التكنولوجي تغيرت النظرة إلى مفهوم الملكية الفكرية حيث اتسع المفهوم ليشمل العديد من أشكال الملكية الفكرية وهي الأعمال الإبداعية التي يتم إنتاجها في البيئة الرقمية</w:t>
      </w:r>
      <w:r>
        <w:rPr>
          <w:rFonts w:ascii="Times New Roman" w:hAnsi="Times New Roman"/>
          <w:sz w:val="24"/>
          <w:szCs w:val="24"/>
          <w:rtl/>
          <w:lang w:val="ar-SA"/>
        </w:rPr>
        <w:t xml:space="preserve">. </w:t>
      </w:r>
    </w:p>
    <w:p w14:paraId="3DBA124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فقد ساهمت الثورة الصناعية من خلال التقدم التقني وانتشار الحاسبات الآلية لبزوغ الثورة الجديدة في مجال الاتصالات ونقل المعلومات عبر وسائل متعددة مبتدئة بالتلغراف فالهاتف فالأقمار الصناعية والانترنت وغيرها، وأحدثها شبكة الانترنت وهذا ما ساعد على تسهيل طرق نشر حقوق الملكية الفكرية بجميع أنواعها شبكات الاتصالات أو عبر أجهزة الحاسب الآلي وغيرها من الوسائل الأخرى للنشر الإلكتروني</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
      </w:r>
      <w:r>
        <w:rPr>
          <w:rFonts w:ascii="Times New Roman" w:hAnsi="Times New Roman"/>
          <w:sz w:val="24"/>
          <w:szCs w:val="24"/>
          <w:vertAlign w:val="superscript"/>
          <w:rtl/>
          <w:lang w:val="ar-SA"/>
        </w:rPr>
        <w:t>)</w:t>
      </w:r>
    </w:p>
    <w:p w14:paraId="265CD28A"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فلا شك أن التطور التكنولوجي في مختلف جوانب الحياة ساهم بشكل كبير في ظهور حقوق جديدة لم تكن مألوفة في الماضي، وتشمل هذه الحقوق</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حق المخترع، وحق المكتشف، وحق المصمم، وحق الرسام، وحق المؤلف، وذلك في </w:t>
      </w:r>
      <w:r>
        <w:rPr>
          <w:rFonts w:ascii="Arial Unicode MS" w:hAnsi="Arial Unicode MS" w:cs="Times New Roman" w:hint="cs"/>
          <w:sz w:val="24"/>
          <w:szCs w:val="24"/>
          <w:rtl/>
          <w:lang w:val="ar-SA"/>
        </w:rPr>
        <w:lastRenderedPageBreak/>
        <w:t xml:space="preserve">حقول المعارف المتعددة من علوم أو آداب أو فنون سواء تم التعبير عن هذه المصنفات في مظهر الكتابة أو الصوت أو الرسم أو الحركة أو الشكل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5205C54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يتضح من ذلك أن التطور التكنولوجي أثر في فكرة حقوق الملكية من زاويتين الزاوية الأولى ظهور حقوق جديدة تتعلق بالبيئة الرقمية أما الزاوية الأخرى فهي المتطلبات القانونية اللازمة لحماية حقوق الملكية الفكرية في البيئة الرقمية</w:t>
      </w:r>
      <w:r>
        <w:rPr>
          <w:rFonts w:ascii="Times New Roman" w:hAnsi="Times New Roman"/>
          <w:sz w:val="24"/>
          <w:szCs w:val="24"/>
          <w:rtl/>
          <w:lang w:val="ar-SA"/>
        </w:rPr>
        <w:t xml:space="preserve">. </w:t>
      </w:r>
    </w:p>
    <w:p w14:paraId="426F44F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تعتبر حماية الحقوق القانونية للملكية الفكرية في الفضاء الرقمي من أبرز التحديات التي تواجه المجتمعات المعاصرة، وذلك في ظل التطوُّر التكنولوجي السريع وانتشار البيئة الرقمية، وتهدف حقوق الملكية الفكرية إلى حماية الابتكارات والإبداعات الفكرية، وتشجيع الابتكار والإبداع، وذلك من خلال توفير الحماية القانونية للمخترعين، والمؤلفين، والمبدعين، أما كلمة ملكية فإنَّها تنطبق على الأشياء المادية من عقارات ومنقولات، وإذا كانت ملكية الأشياء تبدو طبيعيةً ومألوفةً؛ فإنَّ التساؤل يثور حول حيازة الإنتاج الفكري</w:t>
      </w:r>
      <w:r>
        <w:rPr>
          <w:rFonts w:ascii="Times New Roman" w:hAnsi="Times New Roman"/>
          <w:sz w:val="24"/>
          <w:szCs w:val="24"/>
          <w:rtl/>
          <w:lang w:val="ar-SA"/>
        </w:rPr>
        <w:t>.</w:t>
      </w:r>
      <w:bookmarkStart w:id="10" w:name="_Hlk175666718"/>
      <w:r>
        <w:rPr>
          <w:rFonts w:ascii="Times New Roman" w:hAnsi="Times New Roman"/>
          <w:sz w:val="24"/>
          <w:szCs w:val="24"/>
          <w:rtl/>
          <w:lang w:val="ar-SA"/>
        </w:rPr>
        <w:t xml:space="preserve"> </w:t>
      </w:r>
      <w:bookmarkEnd w:id="10"/>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
      </w:r>
      <w:r>
        <w:rPr>
          <w:rFonts w:ascii="Times New Roman" w:hAnsi="Times New Roman"/>
          <w:sz w:val="24"/>
          <w:szCs w:val="24"/>
          <w:vertAlign w:val="superscript"/>
          <w:rtl/>
          <w:lang w:val="ar-SA"/>
        </w:rPr>
        <w:t>)</w:t>
      </w:r>
    </w:p>
    <w:p w14:paraId="41B656DB"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حيث تكمن الصعوبة في مدى اعتبار حقوق الملكية الفكرية بشكل عام، وحقوق المؤلفين، والحقوق المجاورة لها بمنأى عن الاعتداءات التي قد تتعرض لها، في حقيقة الأمر</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فإنَّ السهولة المفرطة في النسخ والتوزيع وقلة تكاليفها وتزايد عدد المستخدمين يجعل هذه البيئة غير آمنة،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ظهرت مشاكل كبيرة في هذا المجال، ومن هنا كان لا بُدَّ من البحث في حماية حقوق المؤلف والحقوق المرتبطة بها في الفضاء الرقمي، وكذلك النشر الإلكتروني</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
      </w:r>
      <w:r>
        <w:rPr>
          <w:rFonts w:ascii="Times New Roman" w:hAnsi="Times New Roman"/>
          <w:sz w:val="24"/>
          <w:szCs w:val="24"/>
          <w:vertAlign w:val="superscript"/>
          <w:rtl/>
          <w:lang w:val="ar-SA"/>
        </w:rPr>
        <w:t>)</w:t>
      </w:r>
    </w:p>
    <w:p w14:paraId="0B2EEB3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نتيجةً لذلك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تسارعت الجهود الدولية ومنظمات العالم لتوحيد المساعي نحو إيجاد أساليب متطوِّرة تهدف إلى توفير حماية أفضل للحقوق الفكرية في البيئة الرقمية، وقد كانت من أبرز هذه الجهود على المستوى التجاري الدولي إنشاء منظمة التجارة العالمية </w:t>
      </w:r>
      <w:r>
        <w:rPr>
          <w:rFonts w:ascii="Times New Roman" w:hAnsi="Times New Roman"/>
          <w:sz w:val="24"/>
          <w:szCs w:val="24"/>
          <w:rtl/>
          <w:lang w:val="ar-SA"/>
        </w:rPr>
        <w:t>(</w:t>
      </w:r>
      <w:r>
        <w:rPr>
          <w:rFonts w:ascii="Times New Roman" w:hAnsi="Times New Roman"/>
          <w:sz w:val="24"/>
          <w:szCs w:val="24"/>
          <w:lang w:val="de-DE"/>
        </w:rPr>
        <w:t>W.T.O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w:t>
      </w:r>
      <w:r>
        <w:rPr>
          <w:rFonts w:ascii="Times New Roman" w:hAnsi="Times New Roman"/>
          <w:sz w:val="24"/>
          <w:szCs w:val="24"/>
          <w:rtl/>
          <w:lang w:val="ar-SA"/>
        </w:rPr>
        <w:t xml:space="preserve">15 </w:t>
      </w:r>
      <w:r>
        <w:rPr>
          <w:rFonts w:ascii="Arial Unicode MS" w:hAnsi="Arial Unicode MS" w:cs="Times New Roman" w:hint="cs"/>
          <w:sz w:val="24"/>
          <w:szCs w:val="24"/>
          <w:rtl/>
          <w:lang w:val="ar-SA"/>
        </w:rPr>
        <w:t xml:space="preserve">أبريل </w:t>
      </w:r>
      <w:r>
        <w:rPr>
          <w:rFonts w:ascii="Times New Roman" w:hAnsi="Times New Roman"/>
          <w:sz w:val="24"/>
          <w:szCs w:val="24"/>
          <w:rtl/>
          <w:lang w:val="ar-SA"/>
        </w:rPr>
        <w:t>1994</w:t>
      </w:r>
      <w:r>
        <w:rPr>
          <w:rFonts w:ascii="Arial Unicode MS" w:hAnsi="Arial Unicode MS" w:cs="Times New Roman" w:hint="cs"/>
          <w:sz w:val="24"/>
          <w:szCs w:val="24"/>
          <w:rtl/>
          <w:lang w:val="ar-SA"/>
        </w:rPr>
        <w:t>؛ حيث أسفرت جهودها عن إبرام اتفاقية تريبس التي تعمل تحت مظلة المنظمة، أما على صعيد الحقوق الأدبية والفنية الدولية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فقد أُسست المنظمة العالمية للملكية الفكرية </w:t>
      </w:r>
      <w:r>
        <w:rPr>
          <w:rFonts w:ascii="Times New Roman" w:hAnsi="Times New Roman"/>
          <w:sz w:val="24"/>
          <w:szCs w:val="24"/>
          <w:rtl/>
          <w:lang w:val="ar-SA"/>
        </w:rPr>
        <w:t>(</w:t>
      </w:r>
      <w:r>
        <w:rPr>
          <w:rFonts w:ascii="Times New Roman" w:hAnsi="Times New Roman"/>
          <w:sz w:val="24"/>
          <w:szCs w:val="24"/>
        </w:rPr>
        <w:t>WIPO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عام </w:t>
      </w:r>
      <w:r>
        <w:rPr>
          <w:rFonts w:ascii="Times New Roman" w:hAnsi="Times New Roman"/>
          <w:sz w:val="24"/>
          <w:szCs w:val="24"/>
          <w:rtl/>
          <w:lang w:val="ar-SA"/>
        </w:rPr>
        <w:t>1974</w:t>
      </w:r>
      <w:r>
        <w:rPr>
          <w:rFonts w:ascii="Arial Unicode MS" w:hAnsi="Arial Unicode MS" w:cs="Times New Roman" w:hint="cs"/>
          <w:sz w:val="24"/>
          <w:szCs w:val="24"/>
          <w:rtl/>
          <w:lang w:val="ar-SA"/>
        </w:rPr>
        <w:t xml:space="preserve">، ونجحت في إبرام العديد من الاتفاقيات، من أبرزها 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التأليف في عام </w:t>
      </w:r>
      <w:r>
        <w:rPr>
          <w:rFonts w:ascii="Times New Roman" w:hAnsi="Times New Roman"/>
          <w:sz w:val="24"/>
          <w:szCs w:val="24"/>
          <w:rtl/>
          <w:lang w:val="ar-SA"/>
        </w:rPr>
        <w:t>1996</w:t>
      </w:r>
      <w:r>
        <w:rPr>
          <w:rFonts w:ascii="Arial Unicode MS" w:hAnsi="Arial Unicode MS" w:cs="Times New Roman" w:hint="cs"/>
          <w:sz w:val="24"/>
          <w:szCs w:val="24"/>
          <w:rtl/>
          <w:lang w:val="ar-SA"/>
        </w:rPr>
        <w:t xml:space="preserve">، واتفاقية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المؤدين ومنتجي التسجيلات الصوتية في نفس العام</w:t>
      </w:r>
      <w:r>
        <w:rPr>
          <w:rFonts w:ascii="Times New Roman" w:hAnsi="Times New Roman"/>
          <w:sz w:val="24"/>
          <w:szCs w:val="24"/>
          <w:rtl/>
          <w:lang w:val="ar-SA"/>
        </w:rPr>
        <w:t>.</w:t>
      </w:r>
    </w:p>
    <w:p w14:paraId="2201BCA0"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نظرًا للأهمية الكبيرة التي تتمتع بها الحقوق الفكرية ودورها الحيوي في تعزيز البحث العلمي والإبداع والابتكار؛ ممَّا يساهم بشكل إيجابي في التقدم الصناعي والتكنولوجي، كان من الطبيعي أنْ تسعى التشريعات والمنظمات الدولية إلى توفير الحماية اللازمة والمناسبة لهذه الحقوق، وخاصةً الحقوق الرقمية، فالمجهود الفكري يرتبط بشكل وثيق بشخص صاحبه، أكثر من ارتباطه بالجهد البدني الذي تحميه جميع القوانين</w:t>
      </w:r>
      <w:r>
        <w:rPr>
          <w:rFonts w:ascii="Times New Roman" w:hAnsi="Times New Roman"/>
          <w:sz w:val="24"/>
          <w:szCs w:val="24"/>
          <w:rtl/>
          <w:lang w:val="ar-SA"/>
        </w:rPr>
        <w:t xml:space="preserve">. </w:t>
      </w:r>
    </w:p>
    <w:p w14:paraId="37AE095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وبسبب تعدد أنواع الحقوق الفكرية؛ تختلف وسائل حمايتها أيضًا، عمومًا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يمكن تقسيم وسائل حماية الحقوق الفكرية الرقمية إلى قسمين</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قانونية وتقنية، تشير الوسائل التقنية إلى مجموعة من الأدوات التي تهدف إلى ضمان أمن </w:t>
      </w:r>
      <w:r>
        <w:rPr>
          <w:rFonts w:ascii="Arial Unicode MS" w:hAnsi="Arial Unicode MS" w:cs="Times New Roman" w:hint="cs"/>
          <w:sz w:val="24"/>
          <w:szCs w:val="24"/>
          <w:rtl/>
          <w:lang w:val="ar-SA"/>
        </w:rPr>
        <w:lastRenderedPageBreak/>
        <w:t>وموثوقية البيانات والمعلومات المتداولة عبر الإنترنت أو في بيئة الحاسوب، بالإضافة إلى مشروعية الاستخدام والتداول في الفضاء الرقمي، ومن الأمثلة على هذه الوسائل التشفير، والخصوصية، والجدران النارية</w:t>
      </w:r>
      <w:r>
        <w:rPr>
          <w:rFonts w:ascii="Times New Roman" w:hAnsi="Times New Roman"/>
          <w:sz w:val="24"/>
          <w:szCs w:val="24"/>
          <w:rtl/>
          <w:lang w:val="ar-SA"/>
        </w:rPr>
        <w:t xml:space="preserve">. </w:t>
      </w:r>
    </w:p>
    <w:p w14:paraId="2AA8FF7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ومع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ستركز دراستنا على الحماية القانونية، والتي تتولَّى مسئوليتها التشريعات الوطنية والاتفاقيات الدولية المتعلقة بحماية الحقوق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 حماية حق المؤلف، وقانون براءات الاختراع، وقانون حماية العلامات التجارية، بالإضافة إلى القواعد العامة،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القانون المدني</w:t>
      </w:r>
      <w:r>
        <w:rPr>
          <w:rFonts w:ascii="Times New Roman" w:hAnsi="Times New Roman"/>
          <w:sz w:val="24"/>
          <w:szCs w:val="24"/>
          <w:rtl/>
          <w:lang w:val="ar-SA"/>
        </w:rPr>
        <w:t>.</w:t>
      </w:r>
    </w:p>
    <w:p w14:paraId="305D15D4"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تهدف هذه </w:t>
      </w:r>
      <w:bookmarkStart w:id="11" w:name="_Hlk183281366"/>
      <w:r>
        <w:rPr>
          <w:rFonts w:ascii="Arial Unicode MS" w:hAnsi="Arial Unicode MS" w:cs="Times New Roman" w:hint="cs"/>
          <w:sz w:val="24"/>
          <w:szCs w:val="24"/>
          <w:rtl/>
          <w:lang w:val="ar-SA"/>
        </w:rPr>
        <w:t xml:space="preserve">الدراسة </w:t>
      </w:r>
      <w:bookmarkEnd w:id="11"/>
      <w:r>
        <w:rPr>
          <w:rFonts w:ascii="Arial Unicode MS" w:hAnsi="Arial Unicode MS" w:cs="Times New Roman" w:hint="cs"/>
          <w:sz w:val="24"/>
          <w:szCs w:val="24"/>
          <w:rtl/>
          <w:lang w:val="ar-SA"/>
        </w:rPr>
        <w:t>إلى تقديم دراسة شاملة ومقارنة حول الحماية القانونية لحقوق الملكية الفكرية في البيئة الرقمية، مع التركيز على التحديات والفرص التي تتيحها التطوُّرات التكنولوجية الحديثة، من خلال استعراض القوانين والتشريعات الوطنية والدولية، تسعى الرسالة إلى تقديم توصيات فعَّالة؛ لتعزيز حماية حقوق الملكية الفكرية في العصر الرقمي، بما يسهم في دعم الابتكار، والإبداع، وتحقيق التنمية المستدامة</w:t>
      </w:r>
      <w:r>
        <w:rPr>
          <w:rFonts w:ascii="Times New Roman" w:hAnsi="Times New Roman"/>
          <w:sz w:val="24"/>
          <w:szCs w:val="24"/>
          <w:rtl/>
          <w:lang w:val="ar-SA"/>
        </w:rPr>
        <w:t>.</w:t>
      </w:r>
    </w:p>
    <w:p w14:paraId="7E1B362F" w14:textId="77777777" w:rsidR="00454428" w:rsidRDefault="00000000" w:rsidP="00C72BA8">
      <w:pPr>
        <w:pStyle w:val="a5"/>
        <w:rPr>
          <w:lang w:val="ar-SA"/>
        </w:rPr>
      </w:pPr>
      <w:bookmarkStart w:id="12" w:name="_Toc227251056"/>
      <w:bookmarkStart w:id="13" w:name="_Toc227251366"/>
      <w:r>
        <w:rPr>
          <w:rFonts w:ascii="Arial Unicode MS" w:eastAsia="Arial Unicode MS" w:hAnsi="Arial Unicode MS" w:hint="cs"/>
          <w:rtl/>
          <w:lang w:val="ar-SA"/>
        </w:rPr>
        <w:t>أولًا</w:t>
      </w:r>
      <w:r>
        <w:rPr>
          <w:rtl/>
          <w:lang w:val="ar-SA"/>
        </w:rPr>
        <w:t xml:space="preserve">: </w:t>
      </w:r>
      <w:r>
        <w:rPr>
          <w:rFonts w:ascii="Arial Unicode MS" w:eastAsia="Arial Unicode MS" w:hAnsi="Arial Unicode MS" w:hint="cs"/>
          <w:rtl/>
          <w:lang w:val="ar-SA"/>
        </w:rPr>
        <w:t>أهمية الدراسة</w:t>
      </w:r>
      <w:r>
        <w:rPr>
          <w:rtl/>
          <w:lang w:val="ar-SA"/>
        </w:rPr>
        <w:t>:</w:t>
      </w:r>
      <w:bookmarkEnd w:id="12"/>
      <w:bookmarkEnd w:id="13"/>
    </w:p>
    <w:p w14:paraId="74FAB6E9"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يعتبر كل ما ينتج عن الفكر والعقل البشري من ابتكارات وإبداعات من الأمور التي تستحق الحماية والمحافظة عليها؛ حيث تعتبر هذه الحقوق مرتبطةً ارتباطًا وثيقًا بالفرد، فهي نتاج جهوده الفكرية، ويُعَدُّ الابتكار والإبداع من أبرز سماته، وغالبًا ما ترتبط هذه الإبداعات بالجوانب الإنتاجية والاقتصادية؛ ممَّا يعود بالنفع على صاحبها والمجتمع بشكل عام</w:t>
      </w:r>
      <w:r>
        <w:rPr>
          <w:rFonts w:ascii="Times New Roman" w:hAnsi="Times New Roman"/>
          <w:sz w:val="24"/>
          <w:szCs w:val="24"/>
          <w:rtl/>
          <w:lang w:val="ar-SA"/>
        </w:rPr>
        <w:t>.</w:t>
      </w:r>
    </w:p>
    <w:p w14:paraId="51480300"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تتجلَّى أهمية الملكية الفكرية من خلال ضرورة حمايتها، خاصةً مع ظهور الإبداعات والاختراعات، واستمرار الثورة الصناعية؛ ممَّا أدى إلى نتائج خطيرة على الأصعدة الاقتصادية، والاجتماعية، والصحية، وقد أثر ذلك بشكل إيجابي على عملية الإنتاج وزيادة حركة التبادل الدولي؛ ممَّا استدعى تنظيم العلاقات التجارية ضمن إطار النظام التجاري الدولي</w:t>
      </w:r>
      <w:r>
        <w:rPr>
          <w:rFonts w:ascii="Times New Roman" w:hAnsi="Times New Roman"/>
          <w:sz w:val="24"/>
          <w:szCs w:val="24"/>
          <w:rtl/>
          <w:lang w:val="ar-SA"/>
        </w:rPr>
        <w:t>.</w:t>
      </w:r>
    </w:p>
    <w:p w14:paraId="52A808AA"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تشكل الحماية القانونية لحقوق الملكية الفكرية في البيئة الرقمية مسألةً ذاتَ أهميةٍ بالغةٍ، تُعَدُّ هذه الحقوق أساسيةً لتعزيز الابتكار والإبداع، وتشجيع الاستثمار في الأبحاث والتطوير بفضل التقدم التكنولوجي، أصبح بإمكان الأفراد والمؤسسات نسخ وتوزيع المحتوى الرقمي بسرعة وسهولة عبر منصات متعددة؛ ممَّا يضاعف التحديات المتعلقة بحقوق الملكية الفكرية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6"/>
      </w:r>
      <w:r>
        <w:rPr>
          <w:rFonts w:ascii="Times New Roman" w:hAnsi="Times New Roman"/>
          <w:sz w:val="24"/>
          <w:szCs w:val="24"/>
          <w:vertAlign w:val="superscript"/>
          <w:rtl/>
          <w:lang w:val="ar-SA"/>
        </w:rPr>
        <w:t>)</w:t>
      </w:r>
    </w:p>
    <w:p w14:paraId="559D8847" w14:textId="0870A342" w:rsidR="00454428" w:rsidRPr="00C72BA8" w:rsidRDefault="00000000">
      <w:pPr>
        <w:pStyle w:val="a7"/>
        <w:numPr>
          <w:ilvl w:val="0"/>
          <w:numId w:val="2"/>
        </w:numPr>
        <w:spacing w:before="120" w:after="120" w:line="360" w:lineRule="auto"/>
        <w:jc w:val="both"/>
        <w:rPr>
          <w:rFonts w:cs="Times New Roman" w:hint="default"/>
          <w:sz w:val="24"/>
          <w:szCs w:val="24"/>
          <w:lang w:val="ar-SA"/>
        </w:rPr>
      </w:pPr>
      <w:r>
        <w:rPr>
          <w:rFonts w:cs="Times New Roman"/>
          <w:sz w:val="24"/>
          <w:szCs w:val="24"/>
          <w:rtl/>
          <w:lang w:val="ar-SA"/>
        </w:rPr>
        <w:t>تساهم حماية حقوق الملكية الفكرية في توفير بيئةٍ آمنةٍ للاستثمار في التكنولوجيا والمحتوى الرقمي؛ ممَّا يعزّز من نمو الاقتصاد الرقمي</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7"/>
      </w:r>
      <w:r>
        <w:rPr>
          <w:rFonts w:ascii="Times New Roman" w:hAnsi="Times New Roman"/>
          <w:sz w:val="24"/>
          <w:szCs w:val="24"/>
          <w:vertAlign w:val="superscript"/>
          <w:rtl/>
          <w:lang w:val="ar-SA"/>
        </w:rPr>
        <w:t>)</w:t>
      </w:r>
    </w:p>
    <w:p w14:paraId="3EB79094" w14:textId="77777777" w:rsidR="00066A55" w:rsidRDefault="00066A55">
      <w:pPr>
        <w:rPr>
          <w:rFonts w:ascii="Arial Unicode MS" w:hAnsi="Arial Unicode MS"/>
          <w:b/>
          <w:bCs/>
          <w:color w:val="000000"/>
          <w:sz w:val="28"/>
          <w:szCs w:val="28"/>
          <w:u w:color="000000"/>
          <w:rtl/>
          <w:lang w:val="ar-SA"/>
        </w:rPr>
      </w:pPr>
      <w:r>
        <w:rPr>
          <w:rFonts w:ascii="Arial Unicode MS" w:hAnsi="Arial Unicode MS"/>
          <w:rtl/>
          <w:lang w:val="ar-SA"/>
        </w:rPr>
        <w:br w:type="page"/>
      </w:r>
    </w:p>
    <w:p w14:paraId="1781F692" w14:textId="122C0B3B" w:rsidR="00454428" w:rsidRDefault="00000000" w:rsidP="00C72BA8">
      <w:pPr>
        <w:pStyle w:val="a5"/>
        <w:rPr>
          <w:lang w:val="ar-SA"/>
        </w:rPr>
      </w:pPr>
      <w:bookmarkStart w:id="14" w:name="_Toc227251057"/>
      <w:bookmarkStart w:id="15" w:name="_Toc227251367"/>
      <w:r>
        <w:rPr>
          <w:rFonts w:ascii="Arial Unicode MS" w:eastAsia="Arial Unicode MS" w:hAnsi="Arial Unicode MS" w:hint="cs"/>
          <w:rtl/>
          <w:lang w:val="ar-SA"/>
        </w:rPr>
        <w:lastRenderedPageBreak/>
        <w:t>ثانيًا</w:t>
      </w:r>
      <w:r>
        <w:rPr>
          <w:rtl/>
          <w:lang w:val="ar-SA"/>
        </w:rPr>
        <w:t xml:space="preserve">: </w:t>
      </w:r>
      <w:r>
        <w:rPr>
          <w:rFonts w:ascii="Arial Unicode MS" w:eastAsia="Arial Unicode MS" w:hAnsi="Arial Unicode MS" w:hint="cs"/>
          <w:rtl/>
          <w:lang w:val="ar-SA"/>
        </w:rPr>
        <w:t>أهداف الدراسة</w:t>
      </w:r>
      <w:r>
        <w:rPr>
          <w:rtl/>
          <w:lang w:val="ar-SA"/>
        </w:rPr>
        <w:t>:</w:t>
      </w:r>
      <w:bookmarkEnd w:id="14"/>
      <w:bookmarkEnd w:id="15"/>
    </w:p>
    <w:p w14:paraId="6FDCEC4B"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تحديد أنواع حقوق الملكية الفكرية</w:t>
      </w:r>
      <w:r>
        <w:rPr>
          <w:rFonts w:ascii="Times New Roman" w:hAnsi="Times New Roman"/>
          <w:sz w:val="24"/>
          <w:szCs w:val="24"/>
          <w:rtl/>
          <w:lang w:val="ar-SA"/>
        </w:rPr>
        <w:t>.</w:t>
      </w:r>
    </w:p>
    <w:p w14:paraId="0961EE5D" w14:textId="77777777" w:rsidR="00454428" w:rsidRDefault="00000000">
      <w:pPr>
        <w:pStyle w:val="a7"/>
        <w:numPr>
          <w:ilvl w:val="0"/>
          <w:numId w:val="2"/>
        </w:numPr>
        <w:spacing w:before="120" w:after="120" w:line="360" w:lineRule="auto"/>
        <w:jc w:val="both"/>
        <w:rPr>
          <w:rFonts w:ascii="Times New Roman" w:eastAsia="Times New Roman" w:hAnsi="Times New Roman" w:cs="Times New Roman" w:hint="default"/>
          <w:sz w:val="24"/>
          <w:szCs w:val="24"/>
          <w:rtl/>
          <w:lang w:val="ar-SA"/>
        </w:rPr>
      </w:pPr>
      <w:bookmarkStart w:id="16" w:name="_Hlk184236920"/>
      <w:r>
        <w:rPr>
          <w:rFonts w:cs="Times New Roman"/>
          <w:sz w:val="24"/>
          <w:szCs w:val="24"/>
          <w:rtl/>
          <w:lang w:val="ar-SA"/>
        </w:rPr>
        <w:t xml:space="preserve">تهدف الدراسة إلى </w:t>
      </w:r>
      <w:bookmarkEnd w:id="16"/>
      <w:r>
        <w:rPr>
          <w:rFonts w:cs="Times New Roman"/>
          <w:sz w:val="24"/>
          <w:szCs w:val="24"/>
          <w:rtl/>
          <w:lang w:val="ar-SA"/>
        </w:rPr>
        <w:t>توضيح التحديات التقنية والقانونية، وتحليل الفروق الثقافية والتشريعية في حماية حقوق الملكية الفكرية في البيئة الرقمية؛ بسبب التأثيرات المتنوعة</w:t>
      </w:r>
      <w:bookmarkStart w:id="17" w:name="_Hlk175674867"/>
      <w:r>
        <w:rPr>
          <w:rFonts w:ascii="Times New Roman" w:hAnsi="Times New Roman"/>
          <w:sz w:val="24"/>
          <w:szCs w:val="24"/>
          <w:rtl/>
          <w:lang w:val="ar-SA"/>
        </w:rPr>
        <w:t xml:space="preserve"> </w:t>
      </w:r>
      <w:bookmarkStart w:id="18" w:name="_Hlk180453620"/>
      <w:bookmarkEnd w:id="17"/>
      <w:r>
        <w:rPr>
          <w:rFonts w:cs="Times New Roman"/>
          <w:sz w:val="24"/>
          <w:szCs w:val="24"/>
          <w:rtl/>
          <w:lang w:val="ar-SA"/>
        </w:rPr>
        <w:t>في البيئة الرقمية</w:t>
      </w:r>
      <w:r>
        <w:rPr>
          <w:rFonts w:ascii="Times New Roman" w:hAnsi="Times New Roman"/>
          <w:sz w:val="24"/>
          <w:szCs w:val="24"/>
          <w:rtl/>
          <w:lang w:val="ar-SA"/>
        </w:rPr>
        <w:t>.</w:t>
      </w:r>
    </w:p>
    <w:p w14:paraId="0D0215AB"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التعرُّف على الحماية التكنولوجية والقانونية للملكية الفكرية في البيئة الرقمية</w:t>
      </w:r>
      <w:r>
        <w:rPr>
          <w:rFonts w:ascii="Times New Roman" w:hAnsi="Times New Roman"/>
          <w:sz w:val="24"/>
          <w:szCs w:val="24"/>
          <w:rtl/>
          <w:lang w:val="ar-SA"/>
        </w:rPr>
        <w:t>.</w:t>
      </w:r>
    </w:p>
    <w:p w14:paraId="2405F739"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رؤية شاملة للقضايا المرتبطة بالابتكار، والإبداع، والملكية الفكرية في العصر الرقمي؛ ممَّا يساعد في صياغة سياسات وإجراءات تشريعية أكثر فاعليةً وملاءمةً لمواجهة التحديات الحالية والمستقبلية</w:t>
      </w:r>
      <w:bookmarkEnd w:id="18"/>
      <w:r>
        <w:rPr>
          <w:rFonts w:ascii="Times New Roman" w:hAnsi="Times New Roman"/>
          <w:sz w:val="24"/>
          <w:szCs w:val="24"/>
          <w:rtl/>
          <w:lang w:val="ar-SA"/>
        </w:rPr>
        <w:t>.</w:t>
      </w:r>
    </w:p>
    <w:p w14:paraId="13E9FEBB" w14:textId="77777777" w:rsidR="00454428" w:rsidRDefault="00000000">
      <w:pPr>
        <w:pStyle w:val="a7"/>
        <w:numPr>
          <w:ilvl w:val="0"/>
          <w:numId w:val="3"/>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توصياتٍ عملية ومبنية على أدلة؛ لتعزيز الحماية، وتحسين التشريعات المعنية، وبيان طبيعة التحديات التقنية والقانونية، وتحليل الفروق الثقافية والتشريعية بين الدول المختلفة</w:t>
      </w:r>
      <w:r>
        <w:rPr>
          <w:rFonts w:ascii="Times New Roman" w:hAnsi="Times New Roman"/>
          <w:sz w:val="24"/>
          <w:szCs w:val="24"/>
          <w:rtl/>
          <w:lang w:val="ar-SA"/>
        </w:rPr>
        <w:t>.</w:t>
      </w:r>
    </w:p>
    <w:p w14:paraId="12DE082E" w14:textId="77777777" w:rsidR="00454428" w:rsidRDefault="00000000" w:rsidP="00C72BA8">
      <w:pPr>
        <w:pStyle w:val="a5"/>
        <w:rPr>
          <w:lang w:val="ar-SA"/>
        </w:rPr>
      </w:pPr>
      <w:bookmarkStart w:id="19" w:name="_Toc227251058"/>
      <w:bookmarkStart w:id="20" w:name="_Toc227251368"/>
      <w:r>
        <w:rPr>
          <w:rFonts w:ascii="Arial Unicode MS" w:eastAsia="Arial Unicode MS" w:hAnsi="Arial Unicode MS" w:hint="cs"/>
          <w:rtl/>
          <w:lang w:val="ar-SA"/>
        </w:rPr>
        <w:t>ثالثًا</w:t>
      </w:r>
      <w:r>
        <w:rPr>
          <w:rtl/>
          <w:lang w:val="ar-SA"/>
        </w:rPr>
        <w:t xml:space="preserve">: </w:t>
      </w:r>
      <w:r>
        <w:rPr>
          <w:rFonts w:ascii="Arial Unicode MS" w:eastAsia="Arial Unicode MS" w:hAnsi="Arial Unicode MS" w:hint="cs"/>
          <w:rtl/>
          <w:lang w:val="ar-SA"/>
        </w:rPr>
        <w:t xml:space="preserve">مشكلة </w:t>
      </w:r>
      <w:bookmarkStart w:id="21" w:name="_Hlk183281579"/>
      <w:r>
        <w:rPr>
          <w:rFonts w:ascii="Arial Unicode MS" w:eastAsia="Arial Unicode MS" w:hAnsi="Arial Unicode MS" w:hint="cs"/>
          <w:rtl/>
          <w:lang w:val="ar-SA"/>
        </w:rPr>
        <w:t>الدراسة</w:t>
      </w:r>
      <w:bookmarkEnd w:id="21"/>
      <w:r>
        <w:rPr>
          <w:rtl/>
          <w:lang w:val="ar-SA"/>
        </w:rPr>
        <w:t>:</w:t>
      </w:r>
      <w:bookmarkEnd w:id="19"/>
      <w:bookmarkEnd w:id="20"/>
    </w:p>
    <w:p w14:paraId="6AEC81AF"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يظهر من خلال الواقع العملي أن القواعد القانونية التقليدية لم تعد كافية لمواجهة الانتهاكات التي تقع على المصنفات الرقمية، في ظل التحول المتسارع نحو البيئة الرقمية، والتي تتسم بسهولة نسخ المحتوى وإعادة نشره، فضلاً عن الطابع العابر للحدود لهذه الانتهاكات</w:t>
      </w:r>
      <w:r>
        <w:rPr>
          <w:rFonts w:ascii="Times New Roman" w:hAnsi="Times New Roman"/>
          <w:sz w:val="24"/>
          <w:szCs w:val="24"/>
          <w:rtl/>
          <w:lang w:val="ar-SA"/>
        </w:rPr>
        <w:t>.</w:t>
      </w:r>
    </w:p>
    <w:p w14:paraId="0E380087"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يتضح أن الإشكالية لا تقتصر على طبيعة المصنف الرقمي فحسب، بل تمتد لتشمل غياب تنظيم قانوني واضح لمسؤولية الأطراف الوسيطة، وعلى وجه الخصوص مزودي خدمات الإنترنت والمنصات الرقمية، عن المحتوى المخالف الذي يتم تداوله عبرها، إضافة إلى عدم وضوح الآليات القانونية المتعلقة بإزالة هذا المحتوى</w:t>
      </w:r>
      <w:r>
        <w:rPr>
          <w:rFonts w:ascii="Times New Roman" w:hAnsi="Times New Roman"/>
          <w:sz w:val="24"/>
          <w:szCs w:val="24"/>
          <w:rtl/>
          <w:lang w:val="ar-SA"/>
        </w:rPr>
        <w:t>.</w:t>
      </w:r>
    </w:p>
    <w:p w14:paraId="1578E861"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ويزداد الأمر تعقيداً بالنظر إلى الطبيعة الدولية للبيئة الرقمية، حيث يثور التساؤل حول الجهة القضائية المختصة والقانون الواجب التطبيق في حال تعدد أطراف العلاقة وتوزعهم جغرافياً</w:t>
      </w:r>
      <w:r>
        <w:rPr>
          <w:rFonts w:ascii="Times New Roman" w:hAnsi="Times New Roman"/>
          <w:sz w:val="24"/>
          <w:szCs w:val="24"/>
          <w:rtl/>
          <w:lang w:val="ar-SA"/>
        </w:rPr>
        <w:t>.</w:t>
      </w:r>
    </w:p>
    <w:p w14:paraId="5A778097"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ومن ناحية أخرى، أفرزت التطورات التقنية الحديثة، وعلى رأسها تقنيات الذكاء الاصطناعي، إشكالات قانونية جديدة تتعلق بتحديد صفة المؤلف، ومدى خضوع المصنفات الناتجة عنها للحماية القانونية</w:t>
      </w:r>
      <w:r>
        <w:rPr>
          <w:rFonts w:ascii="Times New Roman" w:hAnsi="Times New Roman"/>
          <w:sz w:val="24"/>
          <w:szCs w:val="24"/>
          <w:rtl/>
          <w:lang w:val="ar-SA"/>
        </w:rPr>
        <w:t>.</w:t>
      </w:r>
    </w:p>
    <w:p w14:paraId="358D1944"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shd w:val="clear" w:color="auto" w:fill="FFFF00"/>
        </w:rPr>
      </w:pPr>
      <w:r>
        <w:rPr>
          <w:rFonts w:ascii="Arial Unicode MS" w:hAnsi="Arial Unicode MS" w:cs="Times New Roman" w:hint="cs"/>
          <w:sz w:val="24"/>
          <w:szCs w:val="24"/>
          <w:rtl/>
          <w:lang w:val="ar-SA"/>
        </w:rPr>
        <w:t>وبناءً على ما سبق، تتمحور هذه الدراسة حول تقييم مدى كفاية الإطار القانوني القائم في توفير حماية فعالة لحقوق الملكية الفكرية في البيئة الرقمية، وبيان أوجه القصور فيه، واقتراح الحلول المناسبة لمعالجته</w:t>
      </w:r>
      <w:r>
        <w:rPr>
          <w:rFonts w:ascii="Times New Roman" w:hAnsi="Times New Roman"/>
          <w:sz w:val="24"/>
          <w:szCs w:val="24"/>
          <w:rtl/>
          <w:lang w:val="ar-SA"/>
        </w:rPr>
        <w:t>.</w:t>
      </w:r>
      <w:r>
        <w:rPr>
          <w:rFonts w:ascii="Times New Roman" w:hAnsi="Times New Roman"/>
          <w:sz w:val="24"/>
          <w:szCs w:val="24"/>
          <w:shd w:val="clear" w:color="auto" w:fill="FFFF00"/>
          <w:rtl/>
          <w:lang w:val="ar-SA"/>
        </w:rPr>
        <w:t xml:space="preserve"> </w:t>
      </w:r>
    </w:p>
    <w:p w14:paraId="74A931D5" w14:textId="145CE945" w:rsidR="00454428" w:rsidRPr="00C72BA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وبناء على ما سبق تتضح إشكالية الدراسة في السؤال الرئيسي 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إلى أي مدى يمكن للقواعد القانونية الحالية، سواء على المستوى الوطني أو الدولي، أن توفر حماية فعالة لحقوق الملكية الفكرية في البيئة الرقمية، لاسيما فيما يتعلق بمسؤولية المنصات الرقمية، وتنازع الاختصاص القضائي، والتحديات الناشئة عن التقنيات الحديثة؟</w:t>
      </w:r>
    </w:p>
    <w:p w14:paraId="19E9ABEC" w14:textId="77777777" w:rsidR="00454428" w:rsidRDefault="00000000" w:rsidP="00942492">
      <w:pPr>
        <w:pStyle w:val="a5"/>
        <w:rPr>
          <w:lang w:val="ar-SA"/>
        </w:rPr>
      </w:pPr>
      <w:bookmarkStart w:id="22" w:name="_Toc227251059"/>
      <w:bookmarkStart w:id="23" w:name="_Toc227251369"/>
      <w:r>
        <w:rPr>
          <w:rFonts w:ascii="Arial Unicode MS" w:eastAsia="Arial Unicode MS" w:hAnsi="Arial Unicode MS" w:hint="cs"/>
          <w:rtl/>
          <w:lang w:val="ar-SA"/>
        </w:rPr>
        <w:t>رابعًا</w:t>
      </w:r>
      <w:r>
        <w:rPr>
          <w:rtl/>
          <w:lang w:val="ar-SA"/>
        </w:rPr>
        <w:t xml:space="preserve">: </w:t>
      </w:r>
      <w:r>
        <w:rPr>
          <w:rFonts w:ascii="Arial Unicode MS" w:eastAsia="Arial Unicode MS" w:hAnsi="Arial Unicode MS" w:hint="cs"/>
          <w:rtl/>
          <w:lang w:val="ar-SA"/>
        </w:rPr>
        <w:t xml:space="preserve">تساؤلات </w:t>
      </w:r>
      <w:bookmarkStart w:id="24" w:name="_Hlk179307107"/>
      <w:r>
        <w:rPr>
          <w:rFonts w:ascii="Arial Unicode MS" w:eastAsia="Arial Unicode MS" w:hAnsi="Arial Unicode MS" w:hint="cs"/>
          <w:rtl/>
          <w:lang w:val="ar-SA"/>
        </w:rPr>
        <w:t>الدراسة</w:t>
      </w:r>
      <w:r>
        <w:rPr>
          <w:rtl/>
          <w:lang w:val="ar-SA"/>
        </w:rPr>
        <w:t>:</w:t>
      </w:r>
      <w:bookmarkEnd w:id="22"/>
      <w:bookmarkEnd w:id="23"/>
      <w:bookmarkEnd w:id="24"/>
    </w:p>
    <w:p w14:paraId="34753F32" w14:textId="77777777" w:rsidR="00454428" w:rsidRDefault="00000000">
      <w:pPr>
        <w:pStyle w:val="a5"/>
        <w:numPr>
          <w:ilvl w:val="0"/>
          <w:numId w:val="5"/>
        </w:numPr>
        <w:rPr>
          <w:b w:val="0"/>
          <w:bCs w:val="0"/>
          <w:sz w:val="24"/>
          <w:szCs w:val="24"/>
          <w:rtl/>
          <w:lang w:val="ar-SA"/>
        </w:rPr>
      </w:pPr>
      <w:bookmarkStart w:id="25" w:name="_Toc227251060"/>
      <w:bookmarkStart w:id="26" w:name="_Toc227251370"/>
      <w:r>
        <w:rPr>
          <w:rFonts w:ascii="Arial Unicode MS" w:eastAsia="Arial Unicode MS" w:hAnsi="Arial Unicode MS" w:hint="cs"/>
          <w:b w:val="0"/>
          <w:bCs w:val="0"/>
          <w:sz w:val="24"/>
          <w:szCs w:val="24"/>
          <w:rtl/>
          <w:lang w:val="ar-SA"/>
        </w:rPr>
        <w:t>ما الخصائص القانونية التي تميز المصنفات الرقمية عن المصنفات التقليدية؟</w:t>
      </w:r>
      <w:bookmarkEnd w:id="25"/>
      <w:bookmarkEnd w:id="26"/>
    </w:p>
    <w:p w14:paraId="11063F6D" w14:textId="77777777" w:rsidR="00454428" w:rsidRDefault="00000000">
      <w:pPr>
        <w:pStyle w:val="a5"/>
        <w:numPr>
          <w:ilvl w:val="0"/>
          <w:numId w:val="5"/>
        </w:numPr>
        <w:rPr>
          <w:b w:val="0"/>
          <w:bCs w:val="0"/>
          <w:sz w:val="24"/>
          <w:szCs w:val="24"/>
          <w:rtl/>
          <w:lang w:val="ar-SA"/>
        </w:rPr>
      </w:pPr>
      <w:bookmarkStart w:id="27" w:name="_Toc227251061"/>
      <w:bookmarkStart w:id="28" w:name="_Toc227251371"/>
      <w:r>
        <w:rPr>
          <w:rFonts w:ascii="Arial Unicode MS" w:eastAsia="Arial Unicode MS" w:hAnsi="Arial Unicode MS" w:hint="cs"/>
          <w:b w:val="0"/>
          <w:bCs w:val="0"/>
          <w:sz w:val="24"/>
          <w:szCs w:val="24"/>
          <w:rtl/>
          <w:lang w:val="ar-SA"/>
        </w:rPr>
        <w:t>إلى أي مدى توفر الاتفاقيات الدولية حماية كافية لحقوق الملكية الفكرية في البيئة الرقمية؟</w:t>
      </w:r>
      <w:bookmarkEnd w:id="27"/>
      <w:bookmarkEnd w:id="28"/>
    </w:p>
    <w:p w14:paraId="37BBFF68" w14:textId="77777777" w:rsidR="00454428" w:rsidRDefault="00000000">
      <w:pPr>
        <w:pStyle w:val="a5"/>
        <w:numPr>
          <w:ilvl w:val="0"/>
          <w:numId w:val="5"/>
        </w:numPr>
        <w:rPr>
          <w:b w:val="0"/>
          <w:bCs w:val="0"/>
          <w:sz w:val="24"/>
          <w:szCs w:val="24"/>
          <w:rtl/>
          <w:lang w:val="ar-SA"/>
        </w:rPr>
      </w:pPr>
      <w:bookmarkStart w:id="29" w:name="_Toc227251062"/>
      <w:bookmarkStart w:id="30" w:name="_Toc227251372"/>
      <w:r>
        <w:rPr>
          <w:rFonts w:ascii="Arial Unicode MS" w:eastAsia="Arial Unicode MS" w:hAnsi="Arial Unicode MS" w:hint="cs"/>
          <w:b w:val="0"/>
          <w:bCs w:val="0"/>
          <w:sz w:val="24"/>
          <w:szCs w:val="24"/>
          <w:rtl/>
          <w:lang w:val="ar-SA"/>
        </w:rPr>
        <w:lastRenderedPageBreak/>
        <w:t>ما نطاق المسؤولية القانونية لمزودي خدمات الإنترنت والمنصات الرقمية عن الانتهاكات التي تقع عبرها؟</w:t>
      </w:r>
      <w:bookmarkEnd w:id="29"/>
      <w:bookmarkEnd w:id="30"/>
    </w:p>
    <w:p w14:paraId="42420535" w14:textId="77777777" w:rsidR="00454428" w:rsidRDefault="00000000">
      <w:pPr>
        <w:pStyle w:val="a5"/>
        <w:numPr>
          <w:ilvl w:val="0"/>
          <w:numId w:val="5"/>
        </w:numPr>
        <w:rPr>
          <w:b w:val="0"/>
          <w:bCs w:val="0"/>
          <w:sz w:val="24"/>
          <w:szCs w:val="24"/>
          <w:rtl/>
          <w:lang w:val="ar-SA"/>
        </w:rPr>
      </w:pPr>
      <w:bookmarkStart w:id="31" w:name="_Toc227251063"/>
      <w:bookmarkStart w:id="32" w:name="_Toc227251373"/>
      <w:r>
        <w:rPr>
          <w:rFonts w:ascii="Arial Unicode MS" w:eastAsia="Arial Unicode MS" w:hAnsi="Arial Unicode MS" w:hint="cs"/>
          <w:b w:val="0"/>
          <w:bCs w:val="0"/>
          <w:sz w:val="24"/>
          <w:szCs w:val="24"/>
          <w:rtl/>
          <w:lang w:val="ar-SA"/>
        </w:rPr>
        <w:t>إلى أي مدى يواكب النظام السعودي التطورات المرتبطة بالملكية الفكرية الرقمية مقارنة بالتشريعات الأجنبية؟</w:t>
      </w:r>
      <w:bookmarkEnd w:id="31"/>
      <w:bookmarkEnd w:id="32"/>
    </w:p>
    <w:p w14:paraId="79CEA694" w14:textId="77777777" w:rsidR="00454428" w:rsidRDefault="00000000">
      <w:pPr>
        <w:pStyle w:val="a5"/>
        <w:numPr>
          <w:ilvl w:val="0"/>
          <w:numId w:val="5"/>
        </w:numPr>
        <w:rPr>
          <w:b w:val="0"/>
          <w:bCs w:val="0"/>
          <w:sz w:val="24"/>
          <w:szCs w:val="24"/>
          <w:rtl/>
          <w:lang w:val="ar-SA"/>
        </w:rPr>
      </w:pPr>
      <w:bookmarkStart w:id="33" w:name="_Toc227251064"/>
      <w:bookmarkStart w:id="34" w:name="_Toc227251374"/>
      <w:r>
        <w:rPr>
          <w:rFonts w:ascii="Arial Unicode MS" w:eastAsia="Arial Unicode MS" w:hAnsi="Arial Unicode MS" w:hint="cs"/>
          <w:b w:val="0"/>
          <w:bCs w:val="0"/>
          <w:sz w:val="24"/>
          <w:szCs w:val="24"/>
          <w:rtl/>
          <w:lang w:val="ar-SA"/>
        </w:rPr>
        <w:t>ما أبرز الإشكالات المتعلقة بتحديد الاختصاص القضائي والقانون الواجب التطبيق في النزاعات الرقمية؟</w:t>
      </w:r>
      <w:bookmarkEnd w:id="33"/>
      <w:bookmarkEnd w:id="34"/>
    </w:p>
    <w:p w14:paraId="07D9844A" w14:textId="77777777" w:rsidR="00454428" w:rsidRDefault="00000000">
      <w:pPr>
        <w:pStyle w:val="a5"/>
        <w:numPr>
          <w:ilvl w:val="0"/>
          <w:numId w:val="5"/>
        </w:numPr>
        <w:rPr>
          <w:b w:val="0"/>
          <w:bCs w:val="0"/>
          <w:sz w:val="24"/>
          <w:szCs w:val="24"/>
          <w:rtl/>
          <w:lang w:val="ar-SA"/>
        </w:rPr>
      </w:pPr>
      <w:bookmarkStart w:id="35" w:name="_Toc227251065"/>
      <w:bookmarkStart w:id="36" w:name="_Toc227251375"/>
      <w:r>
        <w:rPr>
          <w:rFonts w:ascii="Arial Unicode MS" w:eastAsia="Arial Unicode MS" w:hAnsi="Arial Unicode MS" w:hint="cs"/>
          <w:b w:val="0"/>
          <w:bCs w:val="0"/>
          <w:sz w:val="24"/>
          <w:szCs w:val="24"/>
          <w:rtl/>
          <w:lang w:val="ar-SA"/>
        </w:rPr>
        <w:t>ما الوضع القانوني للمصنفات الناتجة عن تقنيات الذكاء الاصطناعي؟</w:t>
      </w:r>
      <w:bookmarkEnd w:id="35"/>
      <w:bookmarkEnd w:id="36"/>
    </w:p>
    <w:p w14:paraId="36ACE475" w14:textId="2789D097" w:rsidR="00454428" w:rsidRPr="00C72BA8" w:rsidRDefault="00000000">
      <w:pPr>
        <w:pStyle w:val="a5"/>
        <w:numPr>
          <w:ilvl w:val="0"/>
          <w:numId w:val="5"/>
        </w:numPr>
        <w:rPr>
          <w:b w:val="0"/>
          <w:bCs w:val="0"/>
          <w:sz w:val="24"/>
          <w:szCs w:val="24"/>
          <w:lang w:val="ar-SA"/>
        </w:rPr>
      </w:pPr>
      <w:bookmarkStart w:id="37" w:name="_Toc227251066"/>
      <w:bookmarkStart w:id="38" w:name="_Toc227251376"/>
      <w:r>
        <w:rPr>
          <w:rFonts w:ascii="Arial Unicode MS" w:eastAsia="Arial Unicode MS" w:hAnsi="Arial Unicode MS" w:hint="cs"/>
          <w:b w:val="0"/>
          <w:bCs w:val="0"/>
          <w:sz w:val="24"/>
          <w:szCs w:val="24"/>
          <w:rtl/>
          <w:lang w:val="ar-SA"/>
        </w:rPr>
        <w:t>ما مدى فعالية آليات إزالة المحتوى المخالف في البيئة الرقمية؟</w:t>
      </w:r>
      <w:bookmarkEnd w:id="37"/>
      <w:bookmarkEnd w:id="38"/>
    </w:p>
    <w:p w14:paraId="21C52DF4" w14:textId="77777777" w:rsidR="00454428" w:rsidRDefault="00000000" w:rsidP="00942492">
      <w:pPr>
        <w:pStyle w:val="a5"/>
        <w:rPr>
          <w:lang w:val="ar-SA"/>
        </w:rPr>
      </w:pPr>
      <w:bookmarkStart w:id="39" w:name="_Toc227251067"/>
      <w:bookmarkStart w:id="40" w:name="_Toc227251377"/>
      <w:r>
        <w:rPr>
          <w:rFonts w:ascii="Arial Unicode MS" w:eastAsia="Arial Unicode MS" w:hAnsi="Arial Unicode MS" w:hint="cs"/>
          <w:rtl/>
          <w:lang w:val="ar-SA"/>
        </w:rPr>
        <w:t>خامسًا</w:t>
      </w:r>
      <w:r>
        <w:rPr>
          <w:rtl/>
          <w:lang w:val="ar-SA"/>
        </w:rPr>
        <w:t xml:space="preserve">: </w:t>
      </w:r>
      <w:r>
        <w:rPr>
          <w:rFonts w:ascii="Arial Unicode MS" w:eastAsia="Arial Unicode MS" w:hAnsi="Arial Unicode MS" w:hint="cs"/>
          <w:rtl/>
          <w:lang w:val="ar-SA"/>
        </w:rPr>
        <w:t>منهجية الدراسة</w:t>
      </w:r>
      <w:r>
        <w:rPr>
          <w:rtl/>
          <w:lang w:val="ar-SA"/>
        </w:rPr>
        <w:t>:</w:t>
      </w:r>
      <w:bookmarkEnd w:id="39"/>
      <w:bookmarkEnd w:id="40"/>
    </w:p>
    <w:p w14:paraId="2480AE21"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سوف اعتمد على المنهج التحليلي لدراسة الظاهرة من جوانبها المختلفة، وتفسير الظروف والأوضاع، وتحليلها، وعرضها بشكل نقدي منهجي، بالإضافة إلى المنهج المقارن، الذي يعتمد بشكل أساسي على المقارنة في دراسة الظاهرة؛ إذْ يبرز أوجه الشبه والاختلاف فيما بين ظاهرتين أو أكثر، بالإضافة إلى المنهج الوصفي لدراسة الظواهر أو المشكلات العلمية، من خلال القيام بالوصف بطريقة علمية، ومِنْ ثَمَّ الوصول إلى تفسيرات منطقية لها دلائل وبراهين لوضع أطر محددة للمشكلة؛ ممَّا يمكنني من اقتراح حلول قانونية أكثر فاعليةً</w:t>
      </w:r>
      <w:r>
        <w:rPr>
          <w:rFonts w:ascii="Times New Roman" w:hAnsi="Times New Roman"/>
          <w:sz w:val="24"/>
          <w:szCs w:val="24"/>
          <w:rtl/>
          <w:lang w:val="ar-SA"/>
        </w:rPr>
        <w:t>.</w:t>
      </w:r>
    </w:p>
    <w:p w14:paraId="77A4DC36" w14:textId="77777777" w:rsidR="00454428" w:rsidRDefault="00000000" w:rsidP="00C72BA8">
      <w:pPr>
        <w:pStyle w:val="a5"/>
        <w:rPr>
          <w:lang w:val="ar-SA"/>
        </w:rPr>
      </w:pPr>
      <w:bookmarkStart w:id="41" w:name="_Toc227251068"/>
      <w:bookmarkStart w:id="42" w:name="_Toc227251378"/>
      <w:r>
        <w:rPr>
          <w:rFonts w:ascii="Arial Unicode MS" w:eastAsia="Arial Unicode MS" w:hAnsi="Arial Unicode MS" w:hint="cs"/>
          <w:rtl/>
          <w:lang w:val="ar-SA"/>
        </w:rPr>
        <w:t>سادسًا</w:t>
      </w:r>
      <w:r>
        <w:rPr>
          <w:rtl/>
          <w:lang w:val="ar-SA"/>
        </w:rPr>
        <w:t xml:space="preserve">: </w:t>
      </w:r>
      <w:r>
        <w:rPr>
          <w:rFonts w:ascii="Arial Unicode MS" w:eastAsia="Arial Unicode MS" w:hAnsi="Arial Unicode MS" w:hint="cs"/>
          <w:rtl/>
          <w:lang w:val="ar-SA"/>
        </w:rPr>
        <w:t>الدراسات السابقة</w:t>
      </w:r>
      <w:r>
        <w:rPr>
          <w:rtl/>
          <w:lang w:val="ar-SA"/>
        </w:rPr>
        <w:t>:</w:t>
      </w:r>
      <w:bookmarkEnd w:id="41"/>
      <w:bookmarkEnd w:id="42"/>
    </w:p>
    <w:p w14:paraId="0AA0F49D" w14:textId="77777777" w:rsidR="00454428" w:rsidRDefault="00000000">
      <w:pPr>
        <w:pStyle w:val="a7"/>
        <w:numPr>
          <w:ilvl w:val="0"/>
          <w:numId w:val="7"/>
        </w:numPr>
        <w:spacing w:before="120" w:after="120" w:line="360" w:lineRule="auto"/>
        <w:jc w:val="both"/>
        <w:rPr>
          <w:rFonts w:cs="Times New Roman" w:hint="default"/>
          <w:b/>
          <w:bCs/>
          <w:sz w:val="24"/>
          <w:szCs w:val="24"/>
          <w:rtl/>
          <w:lang w:val="ar-SA"/>
        </w:rPr>
      </w:pPr>
      <w:r>
        <w:rPr>
          <w:rFonts w:cs="Times New Roman"/>
          <w:b/>
          <w:bCs/>
          <w:sz w:val="24"/>
          <w:szCs w:val="24"/>
          <w:rtl/>
          <w:lang w:val="ar-SA"/>
        </w:rPr>
        <w:t>دراسة</w:t>
      </w:r>
      <w:r>
        <w:rPr>
          <w:rFonts w:ascii="Times New Roman" w:hAnsi="Times New Roman"/>
          <w:b/>
          <w:bCs/>
          <w:sz w:val="24"/>
          <w:szCs w:val="24"/>
          <w:rtl/>
          <w:lang w:val="ar-SA"/>
        </w:rPr>
        <w:t xml:space="preserve">: </w:t>
      </w:r>
      <w:bookmarkStart w:id="43" w:name="_Hlk179313632"/>
      <w:r>
        <w:rPr>
          <w:rFonts w:cs="Times New Roman"/>
          <w:b/>
          <w:bCs/>
          <w:sz w:val="24"/>
          <w:szCs w:val="24"/>
          <w:rtl/>
          <w:lang w:val="ar-SA"/>
        </w:rPr>
        <w:t>د</w:t>
      </w:r>
      <w:r>
        <w:rPr>
          <w:rFonts w:ascii="Times New Roman" w:hAnsi="Times New Roman"/>
          <w:b/>
          <w:bCs/>
          <w:sz w:val="24"/>
          <w:szCs w:val="24"/>
          <w:rtl/>
          <w:lang w:val="ar-SA"/>
        </w:rPr>
        <w:t xml:space="preserve">. </w:t>
      </w:r>
      <w:r>
        <w:rPr>
          <w:rFonts w:cs="Times New Roman"/>
          <w:b/>
          <w:bCs/>
          <w:sz w:val="24"/>
          <w:szCs w:val="24"/>
          <w:rtl/>
          <w:lang w:val="ar-SA"/>
        </w:rPr>
        <w:t xml:space="preserve">حمزة، عادل إسماعيل، عبد الله عوض الكريم حاج أحمد، مظفر أنور عبد الرحيم، </w:t>
      </w:r>
      <w:r>
        <w:rPr>
          <w:rFonts w:ascii="Times New Roman" w:hAnsi="Times New Roman"/>
          <w:b/>
          <w:bCs/>
          <w:sz w:val="24"/>
          <w:szCs w:val="24"/>
          <w:rtl/>
          <w:lang w:val="ar-SA"/>
        </w:rPr>
        <w:t>"</w:t>
      </w:r>
      <w:r>
        <w:rPr>
          <w:rFonts w:cs="Times New Roman"/>
          <w:b/>
          <w:bCs/>
          <w:sz w:val="24"/>
          <w:szCs w:val="24"/>
          <w:rtl/>
          <w:lang w:val="ar-SA"/>
        </w:rPr>
        <w:t>واقع</w:t>
      </w:r>
      <w:bookmarkEnd w:id="43"/>
      <w:r>
        <w:rPr>
          <w:rFonts w:ascii="Times New Roman" w:hAnsi="Times New Roman"/>
          <w:b/>
          <w:bCs/>
          <w:sz w:val="24"/>
          <w:szCs w:val="24"/>
          <w:rtl/>
          <w:lang w:val="ar-SA"/>
        </w:rPr>
        <w:t xml:space="preserve"> </w:t>
      </w:r>
      <w:bookmarkStart w:id="44" w:name="_Hlk179315874"/>
      <w:r>
        <w:rPr>
          <w:rFonts w:cs="Times New Roman"/>
          <w:b/>
          <w:bCs/>
          <w:sz w:val="24"/>
          <w:szCs w:val="24"/>
          <w:rtl/>
          <w:lang w:val="ar-SA"/>
        </w:rPr>
        <w:t>حماية الملكية الفكرية في المستودعات الرقمية للجامعات السعودية</w:t>
      </w:r>
      <w:bookmarkEnd w:id="44"/>
      <w:r>
        <w:rPr>
          <w:rFonts w:cs="Times New Roman"/>
          <w:b/>
          <w:bCs/>
          <w:sz w:val="24"/>
          <w:szCs w:val="24"/>
          <w:rtl/>
          <w:lang w:val="ar-SA"/>
        </w:rPr>
        <w:t>،</w:t>
      </w:r>
      <w:r>
        <w:rPr>
          <w:rFonts w:ascii="Times New Roman" w:hAnsi="Times New Roman"/>
          <w:sz w:val="24"/>
          <w:szCs w:val="24"/>
          <w:rtl/>
          <w:lang w:val="ar-SA"/>
        </w:rPr>
        <w:t xml:space="preserve"> </w:t>
      </w:r>
      <w:r>
        <w:rPr>
          <w:rFonts w:cs="Times New Roman"/>
          <w:b/>
          <w:bCs/>
          <w:sz w:val="24"/>
          <w:szCs w:val="24"/>
          <w:rtl/>
          <w:lang w:val="ar-SA"/>
        </w:rPr>
        <w:t xml:space="preserve">جامعة الإمام عبد الرحمن بن فيصل، </w:t>
      </w:r>
      <w:r>
        <w:rPr>
          <w:rFonts w:ascii="Times New Roman" w:hAnsi="Times New Roman"/>
          <w:b/>
          <w:bCs/>
          <w:sz w:val="24"/>
          <w:szCs w:val="24"/>
          <w:rtl/>
          <w:lang w:val="ar-SA"/>
        </w:rPr>
        <w:t>2020"</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8"/>
      </w:r>
      <w:r>
        <w:rPr>
          <w:rFonts w:ascii="Times New Roman" w:hAnsi="Times New Roman"/>
          <w:sz w:val="24"/>
          <w:szCs w:val="24"/>
          <w:vertAlign w:val="superscript"/>
          <w:rtl/>
          <w:lang w:val="ar-SA"/>
        </w:rPr>
        <w:t>)</w:t>
      </w:r>
    </w:p>
    <w:p w14:paraId="5BD4DB3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توضيح مفهوم الملكية الفكرية وآليات حمايتها في الفضاء الرقمي، مع التركيز على المستودعات الرقمية في الجامعات السعودية، وأوصت باستخدام برمجيات، مثل</w:t>
      </w:r>
      <w:r>
        <w:rPr>
          <w:rFonts w:ascii="Times New Roman" w:hAnsi="Times New Roman"/>
          <w:sz w:val="24"/>
          <w:szCs w:val="24"/>
          <w:rtl/>
          <w:lang w:val="ar-SA"/>
        </w:rPr>
        <w:t xml:space="preserve">: </w:t>
      </w:r>
      <w:r>
        <w:rPr>
          <w:rFonts w:ascii="Times New Roman" w:hAnsi="Times New Roman"/>
          <w:sz w:val="24"/>
          <w:szCs w:val="24"/>
        </w:rPr>
        <w:t>D-space</w:t>
      </w:r>
      <w:r>
        <w:rPr>
          <w:rFonts w:ascii="Arial Unicode MS" w:hAnsi="Arial Unicode MS" w:cs="Times New Roman" w:hint="cs"/>
          <w:sz w:val="24"/>
          <w:szCs w:val="24"/>
          <w:rtl/>
          <w:lang w:val="ar-SA"/>
        </w:rPr>
        <w:t>، وتراخيص المشاعات الإبداعية؛ لتعزيز حماية الحقوق</w:t>
      </w:r>
      <w:r>
        <w:rPr>
          <w:rFonts w:ascii="Times New Roman" w:hAnsi="Times New Roman"/>
          <w:sz w:val="24"/>
          <w:szCs w:val="24"/>
          <w:rtl/>
          <w:lang w:val="ar-SA"/>
        </w:rPr>
        <w:t>.</w:t>
      </w:r>
    </w:p>
    <w:p w14:paraId="6807233C" w14:textId="6D13EC32" w:rsidR="00454428" w:rsidRPr="00C72BA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فيما يتعلق بموقف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اعتمد الباحثون في الدراسة السابقة على المنهج التاريخي والوصفي بجانب التحليلي، بينما تستخدم دراستنا المنهج المقارن، كما أنَّ الدراسة السابقة اقتصرت على بحث حماية الملكية الفكرية في المستودعات الرقمية للجامعات السعودية، </w:t>
      </w:r>
      <w:r>
        <w:rPr>
          <w:rFonts w:ascii="Arial Unicode MS" w:hAnsi="Arial Unicode MS" w:cs="Times New Roman" w:hint="cs"/>
          <w:b/>
          <w:bCs/>
          <w:sz w:val="24"/>
          <w:szCs w:val="24"/>
          <w:rtl/>
          <w:lang w:val="ar-SA"/>
        </w:rPr>
        <w:t>بينما ما يميز دراستنا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هو مقارنة التشريعات والقوانين المختلفة؛ لتسليط الضوء على الموضوع، واستنتاج النتائج والتوصيات الحديثة في مجال الدراسات القانونية</w:t>
      </w:r>
      <w:r>
        <w:rPr>
          <w:rFonts w:ascii="Times New Roman" w:hAnsi="Times New Roman"/>
          <w:sz w:val="24"/>
          <w:szCs w:val="24"/>
          <w:rtl/>
          <w:lang w:val="ar-SA"/>
        </w:rPr>
        <w:t>.</w:t>
      </w:r>
    </w:p>
    <w:p w14:paraId="7B5DE007" w14:textId="77777777" w:rsidR="00942492" w:rsidRDefault="00942492">
      <w:pPr>
        <w:rPr>
          <w:rFonts w:ascii="Arial Unicode MS" w:hAnsi="Arial Unicode MS"/>
          <w:b/>
          <w:bCs/>
          <w:color w:val="000000"/>
          <w:u w:color="000000"/>
          <w:rtl/>
          <w:lang w:val="ar-SA"/>
        </w:rPr>
      </w:pPr>
      <w:r>
        <w:rPr>
          <w:b/>
          <w:bCs/>
          <w:rtl/>
          <w:lang w:val="ar-SA"/>
        </w:rPr>
        <w:br w:type="page"/>
      </w:r>
    </w:p>
    <w:p w14:paraId="74DFA869" w14:textId="27EE4871" w:rsidR="00454428" w:rsidRDefault="00000000">
      <w:pPr>
        <w:pStyle w:val="a7"/>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lastRenderedPageBreak/>
        <w:t>دراسة</w:t>
      </w:r>
      <w:r>
        <w:rPr>
          <w:rFonts w:ascii="Times New Roman" w:hAnsi="Times New Roman"/>
          <w:b/>
          <w:bCs/>
          <w:sz w:val="24"/>
          <w:szCs w:val="24"/>
          <w:rtl/>
          <w:lang w:val="ar-SA"/>
        </w:rPr>
        <w:t xml:space="preserve">: </w:t>
      </w:r>
      <w:bookmarkStart w:id="45" w:name="_Hlk179318307"/>
      <w:r>
        <w:rPr>
          <w:rFonts w:cs="Times New Roman"/>
          <w:b/>
          <w:bCs/>
          <w:sz w:val="24"/>
          <w:szCs w:val="24"/>
          <w:rtl/>
          <w:lang w:val="ar-SA"/>
        </w:rPr>
        <w:t xml:space="preserve">نور الدين، وابن عيشة، وابن بتيش خليل </w:t>
      </w:r>
      <w:r>
        <w:rPr>
          <w:rFonts w:ascii="Times New Roman" w:hAnsi="Times New Roman"/>
          <w:b/>
          <w:bCs/>
          <w:sz w:val="24"/>
          <w:szCs w:val="24"/>
          <w:rtl/>
          <w:lang w:val="ar-SA"/>
        </w:rPr>
        <w:t>"</w:t>
      </w:r>
      <w:r>
        <w:rPr>
          <w:rFonts w:cs="Times New Roman"/>
          <w:b/>
          <w:bCs/>
          <w:sz w:val="24"/>
          <w:szCs w:val="24"/>
          <w:rtl/>
          <w:lang w:val="ar-SA"/>
        </w:rPr>
        <w:t>حماية الملكية الفكرية في الفضاء الإلكتروني</w:t>
      </w:r>
      <w:r>
        <w:rPr>
          <w:rFonts w:ascii="Times New Roman" w:hAnsi="Times New Roman"/>
          <w:b/>
          <w:bCs/>
          <w:sz w:val="24"/>
          <w:szCs w:val="24"/>
          <w:rtl/>
          <w:lang w:val="ar-SA"/>
        </w:rPr>
        <w:t>"</w:t>
      </w:r>
      <w:r>
        <w:rPr>
          <w:rFonts w:cs="Times New Roman"/>
          <w:b/>
          <w:bCs/>
          <w:sz w:val="24"/>
          <w:szCs w:val="24"/>
          <w:rtl/>
          <w:lang w:val="ar-SA"/>
        </w:rPr>
        <w:t>، مذكرة ماستر مهني في الحقوق، كلية الحقوق والعلوم السياسية جامعة محمد البشير السنة الجامعية</w:t>
      </w:r>
      <w:r>
        <w:rPr>
          <w:rFonts w:ascii="Times New Roman" w:hAnsi="Times New Roman"/>
          <w:b/>
          <w:bCs/>
          <w:sz w:val="24"/>
          <w:szCs w:val="24"/>
          <w:rtl/>
          <w:lang w:val="ar-SA"/>
        </w:rPr>
        <w:t>: 2022/</w:t>
      </w:r>
      <w:r>
        <w:rPr>
          <w:rFonts w:ascii="Times New Roman" w:hAnsi="Times New Roman"/>
          <w:sz w:val="24"/>
          <w:szCs w:val="24"/>
          <w:rtl/>
          <w:lang w:val="ar-SA"/>
        </w:rPr>
        <w:t xml:space="preserve"> </w:t>
      </w:r>
      <w:r>
        <w:rPr>
          <w:rFonts w:ascii="Times New Roman" w:hAnsi="Times New Roman"/>
          <w:b/>
          <w:bCs/>
          <w:sz w:val="24"/>
          <w:szCs w:val="24"/>
          <w:rtl/>
          <w:lang w:val="ar-SA"/>
        </w:rPr>
        <w:t>2023.</w:t>
      </w:r>
      <w:bookmarkEnd w:id="45"/>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9"/>
      </w:r>
      <w:r>
        <w:rPr>
          <w:rFonts w:ascii="Times New Roman" w:hAnsi="Times New Roman"/>
          <w:sz w:val="24"/>
          <w:szCs w:val="24"/>
          <w:vertAlign w:val="superscript"/>
          <w:rtl/>
          <w:lang w:val="ar-SA"/>
        </w:rPr>
        <w:t>)</w:t>
      </w:r>
    </w:p>
    <w:p w14:paraId="434CA86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تسليط الضوء على حماية الملكية الفكرية في الفضاء السيبراني، مع التركيز على حقوق المؤلف والحقوق المجاورة، وتطوير أنظمة،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التشفير الرقمي، والتوقيع الإلكتروني</w:t>
      </w:r>
      <w:r>
        <w:rPr>
          <w:rFonts w:ascii="Times New Roman" w:hAnsi="Times New Roman"/>
          <w:sz w:val="24"/>
          <w:szCs w:val="24"/>
          <w:rtl/>
          <w:lang w:val="ar-SA"/>
        </w:rPr>
        <w:t>.</w:t>
      </w:r>
    </w:p>
    <w:p w14:paraId="6EE52C3D"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46" w:name="_Hlk179717963"/>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46"/>
      <w:r>
        <w:rPr>
          <w:rFonts w:ascii="Arial Unicode MS" w:hAnsi="Arial Unicode MS" w:cs="Times New Roman" w:hint="cs"/>
          <w:sz w:val="24"/>
          <w:szCs w:val="24"/>
          <w:rtl/>
          <w:lang w:val="ar-SA"/>
        </w:rPr>
        <w:t xml:space="preserve">استخدم الباحثون في الدراسة السابقة المنهج الوصفي والتحليلي؛ لوصف الحالة وتحليلها، بينما سوف أستخدمُ المنهجَ المقارن بين التشريعات المختلفة، وأيضا اقتصر الباحثون إلى التطرُّق للتشريع الجزائري وبعض المواثيق الدولية، أما </w:t>
      </w:r>
      <w:r>
        <w:rPr>
          <w:rFonts w:ascii="Arial Unicode MS" w:hAnsi="Arial Unicode MS" w:cs="Times New Roman" w:hint="cs"/>
          <w:b/>
          <w:bCs/>
          <w:sz w:val="24"/>
          <w:szCs w:val="24"/>
          <w:rtl/>
          <w:lang w:val="ar-SA"/>
        </w:rPr>
        <w:t>ما يميز دراستنا الحالية</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فهو</w:t>
      </w:r>
      <w:r>
        <w:rPr>
          <w:rFonts w:ascii="Arial Unicode MS" w:hAnsi="Arial Unicode MS" w:cs="Times New Roman" w:hint="cs"/>
          <w:sz w:val="24"/>
          <w:szCs w:val="24"/>
          <w:rtl/>
          <w:lang w:val="ar-SA"/>
        </w:rPr>
        <w:t xml:space="preserve"> التطرق لباقي التشريعات العربية، والمقارنة، والتشريع السعودي، والتشريعات الدولية الأخرى التي سوف نلقي الضوء عليها، واستخدام الأسلوب المقارن</w:t>
      </w:r>
      <w:r>
        <w:rPr>
          <w:rFonts w:ascii="Times New Roman" w:hAnsi="Times New Roman"/>
          <w:sz w:val="24"/>
          <w:szCs w:val="24"/>
          <w:rtl/>
          <w:lang w:val="ar-SA"/>
        </w:rPr>
        <w:t>.</w:t>
      </w:r>
    </w:p>
    <w:p w14:paraId="68DF2289" w14:textId="77777777" w:rsidR="00454428" w:rsidRDefault="00000000">
      <w:pPr>
        <w:pStyle w:val="a7"/>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t>دراسة مروة زين العابدين</w:t>
      </w:r>
      <w:r>
        <w:rPr>
          <w:rFonts w:ascii="Times New Roman" w:hAnsi="Times New Roman"/>
          <w:sz w:val="24"/>
          <w:szCs w:val="24"/>
          <w:rtl/>
          <w:lang w:val="ar-SA"/>
        </w:rPr>
        <w:t xml:space="preserve"> </w:t>
      </w:r>
      <w:r>
        <w:rPr>
          <w:rFonts w:cs="Times New Roman"/>
          <w:b/>
          <w:bCs/>
          <w:sz w:val="24"/>
          <w:szCs w:val="24"/>
          <w:rtl/>
          <w:lang w:val="ar-SA"/>
        </w:rPr>
        <w:t xml:space="preserve">سعد </w:t>
      </w:r>
      <w:r>
        <w:rPr>
          <w:rFonts w:ascii="Times New Roman" w:hAnsi="Times New Roman"/>
          <w:b/>
          <w:bCs/>
          <w:sz w:val="24"/>
          <w:szCs w:val="24"/>
          <w:rtl/>
          <w:lang w:val="ar-SA"/>
        </w:rPr>
        <w:t>"</w:t>
      </w:r>
      <w:r>
        <w:rPr>
          <w:rFonts w:cs="Times New Roman"/>
          <w:b/>
          <w:bCs/>
          <w:sz w:val="24"/>
          <w:szCs w:val="24"/>
          <w:rtl/>
          <w:lang w:val="ar-SA"/>
        </w:rPr>
        <w:t>التحكيم في منازعات الملكية الفكرية ما بين النظام العام ومبدأ سلطان الإرادة</w:t>
      </w:r>
      <w:r>
        <w:rPr>
          <w:rFonts w:ascii="Times New Roman" w:hAnsi="Times New Roman"/>
          <w:b/>
          <w:bCs/>
          <w:sz w:val="24"/>
          <w:szCs w:val="24"/>
          <w:rtl/>
          <w:lang w:val="ar-SA"/>
        </w:rPr>
        <w:t>"</w:t>
      </w:r>
      <w:r>
        <w:rPr>
          <w:rFonts w:cs="Times New Roman"/>
          <w:b/>
          <w:bCs/>
          <w:sz w:val="24"/>
          <w:szCs w:val="24"/>
          <w:rtl/>
          <w:lang w:val="ar-SA"/>
        </w:rPr>
        <w:t xml:space="preserve">، كلية الحقوق جامعة عين شمس، </w:t>
      </w:r>
      <w:r>
        <w:rPr>
          <w:rFonts w:ascii="Times New Roman" w:hAnsi="Times New Roman"/>
          <w:b/>
          <w:bCs/>
          <w:sz w:val="24"/>
          <w:szCs w:val="24"/>
          <w:rtl/>
          <w:lang w:val="ar-SA"/>
        </w:rPr>
        <w:t>2024</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0"/>
      </w:r>
      <w:r>
        <w:rPr>
          <w:rFonts w:ascii="Times New Roman" w:hAnsi="Times New Roman"/>
          <w:sz w:val="24"/>
          <w:szCs w:val="24"/>
          <w:vertAlign w:val="superscript"/>
          <w:rtl/>
          <w:lang w:val="ar-SA"/>
        </w:rPr>
        <w:t>)</w:t>
      </w:r>
    </w:p>
    <w:p w14:paraId="533CBDB5"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47" w:name="_Hlk183282722"/>
      <w:r>
        <w:rPr>
          <w:rFonts w:ascii="Arial Unicode MS" w:hAnsi="Arial Unicode MS" w:cs="Times New Roman" w:hint="cs"/>
          <w:b/>
          <w:bCs/>
          <w:sz w:val="24"/>
          <w:szCs w:val="24"/>
          <w:rtl/>
          <w:lang w:val="ar-SA"/>
        </w:rPr>
        <w:t>ملخص الدراسة</w:t>
      </w:r>
      <w:r>
        <w:rPr>
          <w:rFonts w:ascii="Times New Roman" w:hAnsi="Times New Roman"/>
          <w:b/>
          <w:bCs/>
          <w:sz w:val="24"/>
          <w:szCs w:val="24"/>
          <w:rtl/>
          <w:lang w:val="ar-SA"/>
        </w:rPr>
        <w:t>:</w:t>
      </w:r>
      <w:r>
        <w:rPr>
          <w:rFonts w:ascii="Times New Roman" w:hAnsi="Times New Roman"/>
          <w:sz w:val="24"/>
          <w:szCs w:val="24"/>
          <w:rtl/>
          <w:lang w:val="ar-SA"/>
        </w:rPr>
        <w:t xml:space="preserve"> </w:t>
      </w:r>
      <w:bookmarkEnd w:id="47"/>
      <w:r>
        <w:rPr>
          <w:rFonts w:ascii="Arial Unicode MS" w:hAnsi="Arial Unicode MS" w:cs="Times New Roman" w:hint="cs"/>
          <w:sz w:val="24"/>
          <w:szCs w:val="24"/>
          <w:rtl/>
          <w:lang w:val="ar-SA"/>
        </w:rPr>
        <w:t>نظرًا لأهمية حقوق الملكية الفكرية وتأثيرها الاقتصادي، أصبحت النزاعات شائعةً؛ ممَّا دفع الأطراف نحو التحكيم كوسيلة بديلة، وأوصى الباحثون بتحديث التشريعات؛ لمواكبة التطوُّرات التكنولوجية، وتعزيز الأنظمة القانونية</w:t>
      </w:r>
      <w:r>
        <w:rPr>
          <w:rFonts w:ascii="Times New Roman" w:hAnsi="Times New Roman"/>
          <w:sz w:val="24"/>
          <w:szCs w:val="24"/>
          <w:rtl/>
          <w:lang w:val="ar-SA"/>
        </w:rPr>
        <w:t>.</w:t>
      </w:r>
      <w:bookmarkStart w:id="48" w:name="_Hlk182080183"/>
    </w:p>
    <w:p w14:paraId="5C469DB9"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48"/>
      <w:r>
        <w:rPr>
          <w:rFonts w:ascii="Arial Unicode MS" w:hAnsi="Arial Unicode MS" w:cs="Times New Roman" w:hint="cs"/>
          <w:sz w:val="24"/>
          <w:szCs w:val="24"/>
          <w:rtl/>
          <w:lang w:val="ar-SA"/>
        </w:rPr>
        <w:t xml:space="preserve">اعتمد الباحث في الدراسة السابقة على المنهج التحليلي، على عكس الدراسة الحالية المعتمدة على المنهج المقارن، وأيضًا اختلفت في تناول التشريعات؛ حيث اقتصرت على القانون المصري بشكل عام، واقتصر التركيز على عقود الاستغلال والتراخيص وموقفها التشريعي من التقاضي في </w:t>
      </w:r>
      <w:r>
        <w:rPr>
          <w:rFonts w:ascii="Arial Unicode MS" w:hAnsi="Arial Unicode MS" w:cs="Times New Roman" w:hint="cs"/>
          <w:b/>
          <w:bCs/>
          <w:sz w:val="24"/>
          <w:szCs w:val="24"/>
          <w:rtl/>
          <w:lang w:val="ar-SA"/>
        </w:rPr>
        <w:t>حين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بالتطرق إلى كل جوانب</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الملكية الفكرية واستخدام الأسلوب المقارن بين التشريعات المختلفة</w:t>
      </w:r>
      <w:r>
        <w:rPr>
          <w:rFonts w:ascii="Times New Roman" w:hAnsi="Times New Roman"/>
          <w:sz w:val="24"/>
          <w:szCs w:val="24"/>
          <w:rtl/>
          <w:lang w:val="ar-SA"/>
        </w:rPr>
        <w:t>.</w:t>
      </w:r>
    </w:p>
    <w:p w14:paraId="1C1D9B4D" w14:textId="209337FD" w:rsidR="00454428" w:rsidRDefault="00000000">
      <w:pPr>
        <w:pStyle w:val="a7"/>
        <w:numPr>
          <w:ilvl w:val="0"/>
          <w:numId w:val="8"/>
        </w:numPr>
        <w:bidi w:val="0"/>
        <w:spacing w:before="120" w:after="120" w:line="360" w:lineRule="auto"/>
        <w:ind w:right="720"/>
        <w:jc w:val="both"/>
        <w:rPr>
          <w:rFonts w:ascii="Times New Roman" w:eastAsia="Times New Roman" w:hAnsi="Times New Roman" w:cs="Times New Roman" w:hint="default"/>
          <w:b/>
          <w:bCs/>
          <w:sz w:val="24"/>
          <w:szCs w:val="24"/>
        </w:rPr>
      </w:pPr>
      <w:bookmarkStart w:id="49" w:name="_Hlk179329941"/>
      <w:r>
        <w:rPr>
          <w:rFonts w:ascii="Times New Roman" w:hAnsi="Times New Roman"/>
          <w:b/>
          <w:bCs/>
          <w:sz w:val="24"/>
          <w:szCs w:val="24"/>
        </w:rPr>
        <w:t>Jeremy de Beer, Edward Richard Gold, International Trade, Intellectual Property, and Innovation Policy: Lessons from a Pandemic, January 2020</w:t>
      </w:r>
      <w:bookmarkEnd w:id="49"/>
      <w:r w:rsidR="007E301C">
        <w:rPr>
          <w:rFonts w:ascii="Times New Roman" w:hAnsi="Times New Roman" w:hint="default"/>
          <w:b/>
          <w:bCs/>
          <w:sz w:val="24"/>
          <w:szCs w:val="24"/>
        </w:rPr>
        <w:t xml:space="preserve">. </w:t>
      </w:r>
      <w:r w:rsidR="007E301C" w:rsidRPr="007E301C">
        <w:rPr>
          <w:rFonts w:ascii="Times New Roman" w:hAnsi="Times New Roman"/>
          <w:b/>
          <w:bCs/>
          <w:vertAlign w:val="superscript"/>
          <w:rtl/>
        </w:rPr>
        <w:t>)</w:t>
      </w:r>
      <w:r w:rsidRPr="007E301C">
        <w:rPr>
          <w:rFonts w:ascii="Times New Roman" w:hAnsi="Times New Roman"/>
          <w:b/>
          <w:bCs/>
          <w:vertAlign w:val="superscript"/>
        </w:rPr>
        <w:t xml:space="preserve"> </w:t>
      </w:r>
      <w:r w:rsidR="007E301C" w:rsidRPr="007E301C">
        <w:rPr>
          <w:rFonts w:ascii="Times New Roman" w:hAnsi="Times New Roman"/>
          <w:b/>
          <w:bCs/>
          <w:vertAlign w:val="superscript"/>
          <w:rtl/>
        </w:rPr>
        <w:t>(</w:t>
      </w:r>
      <w:r w:rsidRPr="007E301C">
        <w:rPr>
          <w:rFonts w:ascii="Times New Roman" w:eastAsia="Times New Roman" w:hAnsi="Times New Roman" w:cs="Times New Roman"/>
          <w:vertAlign w:val="superscript"/>
          <w:rtl/>
          <w:lang w:val="ar-SA"/>
        </w:rPr>
        <w:footnoteReference w:id="11"/>
      </w:r>
    </w:p>
    <w:p w14:paraId="36DB8B5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تناولت الدراسة تأثير المشاكل البنيوية في نظام الابتكار في كندا على استعدادها للأوبئة، وأوصت بمواءمة التدابير السياسية لتعزيز مساهمات كندا من خلال العلم المفتوح، مستعرضةً الدروس المستفادة من الوباء على سياسات الابتكار الوطنية</w:t>
      </w:r>
      <w:r>
        <w:rPr>
          <w:rFonts w:ascii="Times New Roman" w:hAnsi="Times New Roman"/>
          <w:sz w:val="24"/>
          <w:szCs w:val="24"/>
          <w:rtl/>
          <w:lang w:val="ar-SA"/>
        </w:rPr>
        <w:t>.</w:t>
      </w:r>
    </w:p>
    <w:p w14:paraId="1F7CCB64" w14:textId="77777777" w:rsidR="00454428" w:rsidRDefault="00454428" w:rsidP="00C72BA8">
      <w:pPr>
        <w:pStyle w:val="Body"/>
        <w:spacing w:before="120" w:after="120" w:line="360" w:lineRule="auto"/>
        <w:ind w:firstLine="720"/>
        <w:jc w:val="both"/>
        <w:rPr>
          <w:rFonts w:ascii="Times New Roman" w:eastAsia="Times New Roman" w:hAnsi="Times New Roman" w:cs="Times New Roman"/>
          <w:b/>
          <w:bCs/>
          <w:sz w:val="24"/>
          <w:szCs w:val="24"/>
        </w:rPr>
      </w:pPr>
    </w:p>
    <w:p w14:paraId="119385C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lastRenderedPageBreak/>
        <w:t>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الدراسة السابقة تركز على العلاقة بين قانون التجارة الدولية، وحقوق الملكية الفكرية، وسياسات الابتكار في سياق الأوبئة، الدراسة السابقة تبحث في تأثير المشاكل البنيوية في نظام الابتكار الكندي على الاستعداد للأوبئة، وتقترح مواءمة التدابير السياسية المحلية والدولية؛ لتسريع مساهمات كندا من خلال العلم المفتوح، </w:t>
      </w:r>
      <w:r>
        <w:rPr>
          <w:rFonts w:ascii="Arial Unicode MS" w:hAnsi="Arial Unicode MS" w:cs="Times New Roman" w:hint="cs"/>
          <w:b/>
          <w:bCs/>
          <w:sz w:val="24"/>
          <w:szCs w:val="24"/>
          <w:rtl/>
          <w:lang w:val="ar-SA"/>
        </w:rPr>
        <w:t>بينما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بالتركيز على الحلول التقنية لحماية الملكية الفكرية</w:t>
      </w:r>
      <w:r>
        <w:rPr>
          <w:rFonts w:ascii="Times New Roman" w:hAnsi="Times New Roman"/>
          <w:sz w:val="24"/>
          <w:szCs w:val="24"/>
          <w:rtl/>
          <w:lang w:val="ar-SA"/>
        </w:rPr>
        <w:t>.</w:t>
      </w:r>
    </w:p>
    <w:p w14:paraId="63811ECE" w14:textId="77777777" w:rsidR="00454428" w:rsidRDefault="00000000" w:rsidP="00C72BA8">
      <w:pPr>
        <w:pStyle w:val="a5"/>
        <w:rPr>
          <w:lang w:val="ar-SA"/>
        </w:rPr>
      </w:pPr>
      <w:bookmarkStart w:id="50" w:name="_Toc227251069"/>
      <w:bookmarkStart w:id="51" w:name="_Toc227251379"/>
      <w:r>
        <w:rPr>
          <w:rFonts w:ascii="Arial Unicode MS" w:eastAsia="Arial Unicode MS" w:hAnsi="Arial Unicode MS" w:hint="cs"/>
          <w:rtl/>
          <w:lang w:val="ar-SA"/>
        </w:rPr>
        <w:t>سابعًا</w:t>
      </w:r>
      <w:r>
        <w:rPr>
          <w:rtl/>
          <w:lang w:val="ar-SA"/>
        </w:rPr>
        <w:t xml:space="preserve">: </w:t>
      </w:r>
      <w:r>
        <w:rPr>
          <w:rFonts w:ascii="Arial Unicode MS" w:eastAsia="Arial Unicode MS" w:hAnsi="Arial Unicode MS" w:hint="cs"/>
          <w:rtl/>
          <w:lang w:val="ar-SA"/>
        </w:rPr>
        <w:t>مخطط البحث</w:t>
      </w:r>
      <w:r>
        <w:rPr>
          <w:rtl/>
          <w:lang w:val="ar-SA"/>
        </w:rPr>
        <w:t>:</w:t>
      </w:r>
      <w:bookmarkEnd w:id="50"/>
      <w:bookmarkEnd w:id="51"/>
    </w:p>
    <w:p w14:paraId="6B879F0C"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bookmarkStart w:id="52" w:name="_Hlk225612313"/>
      <w:r>
        <w:rPr>
          <w:rFonts w:ascii="Arial Unicode MS" w:hAnsi="Arial Unicode MS" w:cs="Times New Roman" w:hint="cs"/>
          <w:b/>
          <w:bCs/>
          <w:sz w:val="24"/>
          <w:szCs w:val="24"/>
          <w:rtl/>
          <w:lang w:val="ar-SA"/>
        </w:rPr>
        <w:t>الفصـــــل التمهيدي</w:t>
      </w:r>
    </w:p>
    <w:p w14:paraId="4CED83D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 الإطار العام لأساسيات حماية حقوق الملكية الفكرية</w:t>
      </w:r>
    </w:p>
    <w:p w14:paraId="4EE8ED3C"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4"/>
          <w:szCs w:val="24"/>
          <w:lang w:val="ar-SA"/>
        </w:rPr>
      </w:pPr>
      <w:r>
        <w:rPr>
          <w:rFonts w:cs="Times New Roman"/>
          <w:b/>
          <w:bCs/>
          <w:sz w:val="24"/>
          <w:szCs w:val="24"/>
          <w:rtl/>
          <w:lang w:val="ar-SA"/>
        </w:rPr>
        <w:t>المبحث الأول</w:t>
      </w:r>
      <w:r>
        <w:rPr>
          <w:rFonts w:ascii="Times New Roman" w:hAnsi="Times New Roman"/>
          <w:b/>
          <w:bCs/>
          <w:sz w:val="24"/>
          <w:szCs w:val="24"/>
          <w:rtl/>
          <w:lang w:val="ar-SA"/>
        </w:rPr>
        <w:t xml:space="preserve">: </w:t>
      </w:r>
      <w:r>
        <w:rPr>
          <w:rFonts w:cs="Times New Roman"/>
          <w:b/>
          <w:bCs/>
          <w:sz w:val="24"/>
          <w:szCs w:val="24"/>
          <w:rtl/>
          <w:lang w:val="ar-SA"/>
        </w:rPr>
        <w:t>ماهية حقوق الملكية الفكرية</w:t>
      </w:r>
      <w:r>
        <w:rPr>
          <w:rFonts w:ascii="Times New Roman" w:hAnsi="Times New Roman"/>
          <w:b/>
          <w:bCs/>
          <w:sz w:val="24"/>
          <w:szCs w:val="24"/>
          <w:rtl/>
          <w:lang w:val="ar-SA"/>
        </w:rPr>
        <w:t>.</w:t>
      </w:r>
    </w:p>
    <w:p w14:paraId="58E1EDDD"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6E6F13AB"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p>
    <w:p w14:paraId="365285E7"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4"/>
          <w:szCs w:val="24"/>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r>
        <w:rPr>
          <w:rFonts w:ascii="Times New Roman" w:hAnsi="Times New Roman"/>
          <w:sz w:val="24"/>
          <w:szCs w:val="24"/>
          <w:rtl/>
          <w:lang w:val="ar-SA"/>
        </w:rPr>
        <w:t>.</w:t>
      </w:r>
    </w:p>
    <w:p w14:paraId="16E7AF49"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نُبذة تاريخية عن نشأة حقوق الملكية الفكرية</w:t>
      </w:r>
      <w:r>
        <w:rPr>
          <w:rFonts w:ascii="Times New Roman" w:hAnsi="Times New Roman"/>
          <w:sz w:val="24"/>
          <w:szCs w:val="24"/>
          <w:rtl/>
          <w:lang w:val="ar-SA"/>
        </w:rPr>
        <w:t>.</w:t>
      </w:r>
    </w:p>
    <w:p w14:paraId="513C381E"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تطوُّر الأطر القانونية والمؤسسية لحماية حقوق الملكية الفكرية</w:t>
      </w:r>
      <w:r>
        <w:rPr>
          <w:rFonts w:ascii="Times New Roman" w:hAnsi="Times New Roman"/>
          <w:sz w:val="24"/>
          <w:szCs w:val="24"/>
          <w:rtl/>
          <w:lang w:val="ar-SA"/>
        </w:rPr>
        <w:t>.</w:t>
      </w:r>
    </w:p>
    <w:p w14:paraId="0E41C45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الأول</w:t>
      </w:r>
    </w:p>
    <w:p w14:paraId="0C173274"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التعريف بالبيئة الرقمية وخصائصها</w:t>
      </w:r>
    </w:p>
    <w:p w14:paraId="70F7399F"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البيئة الرقمية ومكوناتها</w:t>
      </w:r>
      <w:r>
        <w:rPr>
          <w:rFonts w:ascii="Times New Roman" w:hAnsi="Times New Roman"/>
          <w:b/>
          <w:bCs/>
          <w:sz w:val="24"/>
          <w:szCs w:val="24"/>
          <w:rtl/>
          <w:lang w:val="ar-SA"/>
        </w:rPr>
        <w:t>.</w:t>
      </w:r>
    </w:p>
    <w:p w14:paraId="576A6C6A" w14:textId="77777777" w:rsidR="00454428" w:rsidRDefault="00000000">
      <w:pPr>
        <w:pStyle w:val="a7"/>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مفهوم البيئة الرقمية وأبرز خصائصها</w:t>
      </w:r>
      <w:r>
        <w:rPr>
          <w:rFonts w:ascii="Times New Roman" w:hAnsi="Times New Roman"/>
          <w:sz w:val="24"/>
          <w:szCs w:val="24"/>
          <w:rtl/>
          <w:lang w:val="ar-SA"/>
        </w:rPr>
        <w:t>.</w:t>
      </w:r>
    </w:p>
    <w:p w14:paraId="28CE0EAD" w14:textId="77777777" w:rsidR="00454428" w:rsidRDefault="00000000">
      <w:pPr>
        <w:pStyle w:val="a7"/>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أثر البيئة الرقمية على تطوُّر الملكية الفكرية</w:t>
      </w:r>
      <w:r>
        <w:rPr>
          <w:rFonts w:ascii="Times New Roman" w:hAnsi="Times New Roman"/>
          <w:sz w:val="24"/>
          <w:szCs w:val="24"/>
          <w:rtl/>
          <w:lang w:val="ar-SA"/>
        </w:rPr>
        <w:t xml:space="preserve">. </w:t>
      </w:r>
    </w:p>
    <w:p w14:paraId="0415D978"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إشكاليات حماية حقوق الملكية الفكرية في البيئة الرقمية</w:t>
      </w:r>
      <w:r>
        <w:rPr>
          <w:rFonts w:ascii="Times New Roman" w:hAnsi="Times New Roman"/>
          <w:b/>
          <w:bCs/>
          <w:sz w:val="24"/>
          <w:szCs w:val="24"/>
          <w:rtl/>
          <w:lang w:val="ar-SA"/>
        </w:rPr>
        <w:t>.</w:t>
      </w:r>
    </w:p>
    <w:p w14:paraId="5544832B" w14:textId="77777777" w:rsidR="00454428" w:rsidRDefault="00000000">
      <w:pPr>
        <w:pStyle w:val="a7"/>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أدوات تداول الإنتاج الفكري الرقمي وتحدياتها التقنية</w:t>
      </w:r>
      <w:r>
        <w:rPr>
          <w:rFonts w:ascii="Times New Roman" w:hAnsi="Times New Roman"/>
          <w:sz w:val="24"/>
          <w:szCs w:val="24"/>
          <w:rtl/>
          <w:lang w:val="ar-SA"/>
        </w:rPr>
        <w:t xml:space="preserve">. </w:t>
      </w:r>
    </w:p>
    <w:p w14:paraId="4068F9C3" w14:textId="77777777" w:rsidR="00454428" w:rsidRDefault="00000000">
      <w:pPr>
        <w:pStyle w:val="a7"/>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خصائص الإنتاج الفكري الرقمي وحدود الحماية القانونية</w:t>
      </w:r>
      <w:r>
        <w:rPr>
          <w:rFonts w:ascii="Times New Roman" w:hAnsi="Times New Roman"/>
          <w:sz w:val="24"/>
          <w:szCs w:val="24"/>
          <w:rtl/>
          <w:lang w:val="ar-SA"/>
        </w:rPr>
        <w:t xml:space="preserve">. </w:t>
      </w:r>
    </w:p>
    <w:p w14:paraId="16429252"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الثاني</w:t>
      </w:r>
    </w:p>
    <w:p w14:paraId="12F41D86"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الإطار القانوني لحماية الملكية الفكرية في الاتفاقيات الدولية والقوانين الوطنية</w:t>
      </w:r>
    </w:p>
    <w:p w14:paraId="3A1D46F7"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الدولية والتعاون العابر للحدود</w:t>
      </w:r>
      <w:r>
        <w:rPr>
          <w:rFonts w:ascii="Times New Roman" w:hAnsi="Times New Roman"/>
          <w:b/>
          <w:bCs/>
          <w:sz w:val="24"/>
          <w:szCs w:val="24"/>
          <w:rtl/>
          <w:lang w:val="ar-SA"/>
        </w:rPr>
        <w:t>.</w:t>
      </w:r>
    </w:p>
    <w:p w14:paraId="10384ECB" w14:textId="77777777" w:rsidR="00454428" w:rsidRDefault="00000000">
      <w:pPr>
        <w:pStyle w:val="a7"/>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اتفاقية بيرن وتريبس والاتفاقيات الأخرى</w:t>
      </w:r>
      <w:r>
        <w:rPr>
          <w:rFonts w:ascii="Times New Roman" w:hAnsi="Times New Roman"/>
          <w:sz w:val="24"/>
          <w:szCs w:val="24"/>
          <w:rtl/>
          <w:lang w:val="ar-SA"/>
        </w:rPr>
        <w:t>.</w:t>
      </w:r>
    </w:p>
    <w:p w14:paraId="5B338C26" w14:textId="77777777" w:rsidR="00454428" w:rsidRDefault="00000000">
      <w:pPr>
        <w:pStyle w:val="a7"/>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التحديات الدولية في تنفيذ الحماية الرقمية</w:t>
      </w:r>
      <w:r>
        <w:rPr>
          <w:rFonts w:ascii="Times New Roman" w:hAnsi="Times New Roman"/>
          <w:sz w:val="24"/>
          <w:szCs w:val="24"/>
          <w:rtl/>
          <w:lang w:val="ar-SA"/>
        </w:rPr>
        <w:t>.</w:t>
      </w:r>
    </w:p>
    <w:p w14:paraId="639475C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lastRenderedPageBreak/>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النظام القانونية للمصنف الرقمي</w:t>
      </w:r>
      <w:r>
        <w:rPr>
          <w:rFonts w:ascii="Times New Roman" w:hAnsi="Times New Roman"/>
          <w:b/>
          <w:bCs/>
          <w:sz w:val="24"/>
          <w:szCs w:val="24"/>
          <w:rtl/>
          <w:lang w:val="ar-SA"/>
        </w:rPr>
        <w:t>.</w:t>
      </w:r>
    </w:p>
    <w:p w14:paraId="51783E2B" w14:textId="77777777" w:rsidR="00454428" w:rsidRDefault="00000000">
      <w:pPr>
        <w:pStyle w:val="a7"/>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نطاق الحماية القانونية في النظام السعودي</w:t>
      </w:r>
      <w:r>
        <w:rPr>
          <w:rFonts w:ascii="Times New Roman" w:hAnsi="Times New Roman"/>
          <w:sz w:val="24"/>
          <w:szCs w:val="24"/>
          <w:rtl/>
          <w:lang w:val="ar-SA"/>
        </w:rPr>
        <w:t>.</w:t>
      </w:r>
    </w:p>
    <w:p w14:paraId="0CF5EBC3" w14:textId="77777777" w:rsidR="00454428" w:rsidRDefault="00000000">
      <w:pPr>
        <w:pStyle w:val="a7"/>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نطاق الحماية في التشريعين الفرنسي والأمريكي</w:t>
      </w:r>
      <w:r>
        <w:rPr>
          <w:rFonts w:ascii="Times New Roman" w:hAnsi="Times New Roman"/>
          <w:sz w:val="24"/>
          <w:szCs w:val="24"/>
          <w:rtl/>
          <w:lang w:val="ar-SA"/>
        </w:rPr>
        <w:t>.</w:t>
      </w:r>
    </w:p>
    <w:p w14:paraId="51626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الثالث</w:t>
      </w:r>
    </w:p>
    <w:p w14:paraId="460F5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صور الحماية القانونية للملكية الفكرية في البيئة الرقمية</w:t>
      </w:r>
    </w:p>
    <w:p w14:paraId="54827A13"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المدنية للمصنفات الرقمية</w:t>
      </w:r>
      <w:r>
        <w:rPr>
          <w:rFonts w:ascii="Times New Roman" w:hAnsi="Times New Roman"/>
          <w:b/>
          <w:bCs/>
          <w:sz w:val="24"/>
          <w:szCs w:val="24"/>
          <w:rtl/>
          <w:lang w:val="ar-SA"/>
        </w:rPr>
        <w:t>.</w:t>
      </w:r>
    </w:p>
    <w:p w14:paraId="2C92148E" w14:textId="77777777" w:rsidR="00454428" w:rsidRDefault="00000000">
      <w:pPr>
        <w:pStyle w:val="a7"/>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النظام السعودي</w:t>
      </w:r>
      <w:r>
        <w:rPr>
          <w:rFonts w:ascii="Times New Roman" w:hAnsi="Times New Roman"/>
          <w:sz w:val="24"/>
          <w:szCs w:val="24"/>
          <w:rtl/>
          <w:lang w:val="ar-SA"/>
        </w:rPr>
        <w:t>.</w:t>
      </w:r>
    </w:p>
    <w:p w14:paraId="7B2B4367" w14:textId="77777777" w:rsidR="00454428" w:rsidRDefault="00000000">
      <w:pPr>
        <w:pStyle w:val="a7"/>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القانون الأمريكي والفَرنسي</w:t>
      </w:r>
      <w:r>
        <w:rPr>
          <w:rFonts w:ascii="Times New Roman" w:hAnsi="Times New Roman"/>
          <w:sz w:val="24"/>
          <w:szCs w:val="24"/>
          <w:rtl/>
          <w:lang w:val="ar-SA"/>
        </w:rPr>
        <w:t xml:space="preserve">. </w:t>
      </w:r>
    </w:p>
    <w:p w14:paraId="45C5D2FC"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الجنائية والتجريم الرقمي</w:t>
      </w:r>
      <w:r>
        <w:rPr>
          <w:rFonts w:ascii="Times New Roman" w:hAnsi="Times New Roman"/>
          <w:b/>
          <w:bCs/>
          <w:sz w:val="24"/>
          <w:szCs w:val="24"/>
          <w:rtl/>
          <w:lang w:val="ar-SA"/>
        </w:rPr>
        <w:t>.</w:t>
      </w:r>
    </w:p>
    <w:p w14:paraId="513BDE18" w14:textId="77777777" w:rsidR="00454428" w:rsidRDefault="00000000">
      <w:pPr>
        <w:pStyle w:val="a7"/>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 السعودي</w:t>
      </w:r>
      <w:r>
        <w:rPr>
          <w:rFonts w:ascii="Times New Roman" w:hAnsi="Times New Roman"/>
          <w:sz w:val="24"/>
          <w:szCs w:val="24"/>
          <w:rtl/>
          <w:lang w:val="ar-SA"/>
        </w:rPr>
        <w:t xml:space="preserve">. </w:t>
      </w:r>
    </w:p>
    <w:p w14:paraId="00C422AD" w14:textId="77777777" w:rsidR="00454428" w:rsidRDefault="00000000">
      <w:pPr>
        <w:pStyle w:val="a7"/>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النظامين الفرنسي والأمريكي</w:t>
      </w:r>
      <w:r>
        <w:rPr>
          <w:rFonts w:ascii="Times New Roman" w:hAnsi="Times New Roman"/>
          <w:sz w:val="24"/>
          <w:szCs w:val="24"/>
          <w:rtl/>
          <w:lang w:val="ar-SA"/>
        </w:rPr>
        <w:t>.</w:t>
      </w:r>
    </w:p>
    <w:p w14:paraId="7F730629"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الرابع</w:t>
      </w:r>
    </w:p>
    <w:p w14:paraId="7AC03F63"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الحماية الإجرائية للملكية الفكرية في البيئة الرقمية</w:t>
      </w:r>
    </w:p>
    <w:p w14:paraId="3C4CC54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القانونية لحماية الملكية الفكرية في البيئة الرقمية</w:t>
      </w:r>
      <w:r>
        <w:rPr>
          <w:rFonts w:ascii="Times New Roman" w:hAnsi="Times New Roman"/>
          <w:b/>
          <w:bCs/>
          <w:sz w:val="24"/>
          <w:szCs w:val="24"/>
          <w:rtl/>
          <w:lang w:val="ar-SA"/>
        </w:rPr>
        <w:t>.</w:t>
      </w:r>
    </w:p>
    <w:p w14:paraId="683A236A" w14:textId="77777777" w:rsidR="00454428" w:rsidRDefault="00000000">
      <w:pPr>
        <w:pStyle w:val="a7"/>
        <w:numPr>
          <w:ilvl w:val="0"/>
          <w:numId w:val="2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الترخيص الإجباري</w:t>
      </w:r>
      <w:r>
        <w:rPr>
          <w:rFonts w:ascii="Times New Roman" w:hAnsi="Times New Roman"/>
          <w:sz w:val="24"/>
          <w:szCs w:val="24"/>
          <w:rtl/>
          <w:lang w:val="ar-SA"/>
        </w:rPr>
        <w:t>.</w:t>
      </w:r>
    </w:p>
    <w:p w14:paraId="1B589C2E" w14:textId="11D572AD" w:rsidR="00454428" w:rsidRPr="00942492" w:rsidRDefault="00000000">
      <w:pPr>
        <w:pStyle w:val="a7"/>
        <w:numPr>
          <w:ilvl w:val="0"/>
          <w:numId w:val="26"/>
        </w:numPr>
        <w:spacing w:before="120" w:after="120" w:line="360" w:lineRule="auto"/>
        <w:rPr>
          <w:rFonts w:cs="Times New Roman"/>
          <w:sz w:val="24"/>
          <w:szCs w:val="24"/>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الإثبات والتحقيق والضبط الفني في البيئة الرقمية</w:t>
      </w:r>
      <w:r>
        <w:rPr>
          <w:rFonts w:ascii="Times New Roman" w:hAnsi="Times New Roman"/>
          <w:sz w:val="24"/>
          <w:szCs w:val="24"/>
          <w:rtl/>
          <w:lang w:val="ar-SA"/>
        </w:rPr>
        <w:t>.</w:t>
      </w:r>
    </w:p>
    <w:p w14:paraId="316C61C9"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التقنية لحماية الملكية الفكرية في البيئة الرقمية</w:t>
      </w:r>
      <w:r>
        <w:rPr>
          <w:rFonts w:ascii="Times New Roman" w:hAnsi="Times New Roman"/>
          <w:b/>
          <w:bCs/>
          <w:sz w:val="24"/>
          <w:szCs w:val="24"/>
          <w:rtl/>
          <w:lang w:val="ar-SA"/>
        </w:rPr>
        <w:t>.</w:t>
      </w:r>
    </w:p>
    <w:p w14:paraId="25F02407" w14:textId="77777777" w:rsidR="00454428" w:rsidRDefault="00000000">
      <w:pPr>
        <w:pStyle w:val="a7"/>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الرقابة على المواقع الإلكترونية</w:t>
      </w:r>
      <w:r>
        <w:rPr>
          <w:rFonts w:ascii="Times New Roman" w:hAnsi="Times New Roman"/>
          <w:sz w:val="24"/>
          <w:szCs w:val="24"/>
          <w:rtl/>
          <w:lang w:val="ar-SA"/>
        </w:rPr>
        <w:t>.</w:t>
      </w:r>
    </w:p>
    <w:p w14:paraId="01CEAABB" w14:textId="7516F522" w:rsidR="00C72BA8" w:rsidRPr="00D61DE9" w:rsidRDefault="00000000">
      <w:pPr>
        <w:pStyle w:val="a7"/>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التكنولوجية للمنتجات الفكرية في البيئة الرقمية</w:t>
      </w:r>
      <w:r>
        <w:rPr>
          <w:rFonts w:ascii="Times New Roman" w:hAnsi="Times New Roman"/>
          <w:sz w:val="24"/>
          <w:szCs w:val="24"/>
          <w:rtl/>
          <w:lang w:val="ar-SA"/>
        </w:rPr>
        <w:t>.</w:t>
      </w:r>
      <w:bookmarkEnd w:id="52"/>
    </w:p>
    <w:p w14:paraId="5A960C22"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9638F1A"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1F13677"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47E704D7" w14:textId="77777777" w:rsidR="00454428" w:rsidRDefault="00454428" w:rsidP="00C72BA8">
      <w:pPr>
        <w:pStyle w:val="a4"/>
        <w:rPr>
          <w:lang w:val="ar-SA"/>
        </w:rPr>
      </w:pPr>
    </w:p>
    <w:p w14:paraId="5B8FF68F" w14:textId="77777777" w:rsidR="00942492" w:rsidRDefault="00942492">
      <w:pPr>
        <w:rPr>
          <w:rFonts w:ascii="Arial Unicode MS" w:hAnsi="Arial Unicode MS"/>
          <w:b/>
          <w:bCs/>
          <w:color w:val="000000"/>
          <w:sz w:val="32"/>
          <w:szCs w:val="32"/>
          <w:u w:color="000000"/>
          <w:rtl/>
          <w:lang w:val="ar-SA"/>
        </w:rPr>
      </w:pPr>
      <w:r>
        <w:rPr>
          <w:rFonts w:ascii="Arial Unicode MS" w:hAnsi="Arial Unicode MS"/>
          <w:rtl/>
          <w:lang w:val="ar-SA"/>
        </w:rPr>
        <w:br w:type="page"/>
      </w:r>
    </w:p>
    <w:p w14:paraId="04B17D8E" w14:textId="449D248C" w:rsidR="00454428" w:rsidRDefault="00000000" w:rsidP="00C72BA8">
      <w:pPr>
        <w:pStyle w:val="a4"/>
        <w:rPr>
          <w:lang w:val="ar-SA"/>
        </w:rPr>
      </w:pPr>
      <w:bookmarkStart w:id="53" w:name="_Toc227251070"/>
      <w:bookmarkStart w:id="54" w:name="_Toc227251380"/>
      <w:r>
        <w:rPr>
          <w:rFonts w:ascii="Arial Unicode MS" w:eastAsia="Arial Unicode MS" w:hAnsi="Arial Unicode MS" w:hint="cs"/>
          <w:rtl/>
          <w:lang w:val="ar-SA"/>
        </w:rPr>
        <w:lastRenderedPageBreak/>
        <w:t>الفصــل التمهيدي</w:t>
      </w:r>
      <w:bookmarkEnd w:id="53"/>
      <w:bookmarkEnd w:id="54"/>
    </w:p>
    <w:p w14:paraId="282A7512" w14:textId="77777777" w:rsidR="00454428" w:rsidRDefault="00000000" w:rsidP="00C72BA8">
      <w:pPr>
        <w:pStyle w:val="a4"/>
        <w:rPr>
          <w:lang w:val="ar-SA"/>
        </w:rPr>
      </w:pPr>
      <w:r>
        <w:rPr>
          <w:rFonts w:ascii="Arial Unicode MS" w:eastAsia="Arial Unicode MS" w:hAnsi="Arial Unicode MS" w:hint="cs"/>
          <w:rtl/>
          <w:lang w:val="ar-SA"/>
        </w:rPr>
        <w:t xml:space="preserve"> </w:t>
      </w:r>
      <w:bookmarkStart w:id="55" w:name="_Toc227251071"/>
      <w:bookmarkStart w:id="56" w:name="_Toc227251381"/>
      <w:r>
        <w:rPr>
          <w:rFonts w:ascii="Arial Unicode MS" w:eastAsia="Arial Unicode MS" w:hAnsi="Arial Unicode MS" w:hint="cs"/>
          <w:rtl/>
          <w:lang w:val="ar-SA"/>
        </w:rPr>
        <w:t>الإطار العام لأساسيات حماية حقوق الملكية الفكرية</w:t>
      </w:r>
      <w:bookmarkEnd w:id="55"/>
      <w:bookmarkEnd w:id="56"/>
    </w:p>
    <w:p w14:paraId="7FDA0E2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6B5CD29D" w14:textId="77777777" w:rsidR="00454428" w:rsidRDefault="00000000" w:rsidP="00D61DE9">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تشكل حقوق الملكية الفكرية أحد أبرز دعائم النظام القانوني المعاصر؛ حيث جاءت كاستجابة طبيعية للتطوُّرات العلمية، والتقنية، والثقافية التي شهدها العالم، والتي جعلت من الإبداع والابتكار ركيزتين أساسيتين للتنمية والنهضة في شتى المجتمعات، وتنبع أهمية حماية حقوق الملكية الفكرية من دورها في تعزيز الابتكار والإبداع، وحثّ الأفراد والمؤسسات على الاستثمار في مجالات البحث والتطوير، وضمان استفادة صاحب الحق من ثمار جهوده الفكرية، وتتعدد أشكال هذه الحقوق لتشمل الحقوق الأدبية والفنية</w:t>
      </w:r>
      <w:r>
        <w:rPr>
          <w:rFonts w:ascii="Times New Roman" w:hAnsi="Times New Roman"/>
          <w:sz w:val="24"/>
          <w:szCs w:val="24"/>
          <w:rtl/>
          <w:lang w:val="ar-SA"/>
        </w:rPr>
        <w:t>: (</w:t>
      </w:r>
      <w:r>
        <w:rPr>
          <w:rFonts w:cs="Times New Roman"/>
          <w:sz w:val="24"/>
          <w:szCs w:val="24"/>
          <w:rtl/>
          <w:lang w:val="ar-SA"/>
        </w:rPr>
        <w:t>كحقوق المؤلف</w:t>
      </w:r>
      <w:r>
        <w:rPr>
          <w:rFonts w:ascii="Times New Roman" w:hAnsi="Times New Roman"/>
          <w:sz w:val="24"/>
          <w:szCs w:val="24"/>
          <w:rtl/>
          <w:lang w:val="ar-SA"/>
        </w:rPr>
        <w:t>)</w:t>
      </w:r>
      <w:r>
        <w:rPr>
          <w:rFonts w:cs="Times New Roman"/>
          <w:sz w:val="24"/>
          <w:szCs w:val="24"/>
          <w:rtl/>
          <w:lang w:val="ar-SA"/>
        </w:rPr>
        <w:t xml:space="preserve">، والحقوق الصناعية، </w:t>
      </w:r>
      <w:r>
        <w:rPr>
          <w:rFonts w:ascii="Times New Roman" w:hAnsi="Times New Roman"/>
          <w:sz w:val="24"/>
          <w:szCs w:val="24"/>
          <w:rtl/>
          <w:lang w:val="ar-SA"/>
        </w:rPr>
        <w:t>(</w:t>
      </w:r>
      <w:r>
        <w:rPr>
          <w:rFonts w:cs="Times New Roman"/>
          <w:sz w:val="24"/>
          <w:szCs w:val="24"/>
          <w:rtl/>
          <w:lang w:val="ar-SA"/>
        </w:rPr>
        <w:t>كبراءات الاختراع، والعلامات التجارية، والنماذج الصناعية</w:t>
      </w:r>
      <w:r>
        <w:rPr>
          <w:rFonts w:ascii="Times New Roman" w:hAnsi="Times New Roman"/>
          <w:sz w:val="24"/>
          <w:szCs w:val="24"/>
          <w:rtl/>
          <w:lang w:val="ar-SA"/>
        </w:rPr>
        <w:t>)</w:t>
      </w:r>
      <w:r>
        <w:rPr>
          <w:rFonts w:cs="Times New Roman"/>
          <w:sz w:val="24"/>
          <w:szCs w:val="24"/>
          <w:rtl/>
          <w:lang w:val="ar-SA"/>
        </w:rPr>
        <w:t>؛ لتغطي بذلك مختلف مناحي النشاط الإبداعي والاقتصادي</w:t>
      </w:r>
      <w:r>
        <w:rPr>
          <w:rFonts w:ascii="Times New Roman" w:hAnsi="Times New Roman"/>
          <w:sz w:val="24"/>
          <w:szCs w:val="24"/>
          <w:rtl/>
          <w:lang w:val="ar-SA"/>
        </w:rPr>
        <w:t>.</w:t>
      </w:r>
    </w:p>
    <w:p w14:paraId="6308CDF0" w14:textId="77777777" w:rsidR="00454428" w:rsidRPr="00D61DE9" w:rsidRDefault="00000000" w:rsidP="00D61DE9">
      <w:pPr>
        <w:pStyle w:val="BodyA"/>
        <w:spacing w:before="120" w:after="120" w:line="360" w:lineRule="auto"/>
        <w:jc w:val="both"/>
        <w:rPr>
          <w:rFonts w:ascii="Times New Roman" w:eastAsia="Times New Roman" w:hAnsi="Times New Roman" w:cs="Times New Roman" w:hint="default"/>
          <w:b/>
          <w:bCs/>
          <w:sz w:val="24"/>
          <w:szCs w:val="24"/>
          <w:lang w:val="ar-SA"/>
        </w:rPr>
      </w:pPr>
      <w:r w:rsidRPr="00D61DE9">
        <w:rPr>
          <w:rFonts w:cs="Times New Roman"/>
          <w:b/>
          <w:bCs/>
          <w:sz w:val="24"/>
          <w:szCs w:val="24"/>
          <w:rtl/>
          <w:lang w:val="ar-SA"/>
        </w:rPr>
        <w:t>من هذا المنظور</w:t>
      </w:r>
      <w:r w:rsidRPr="00D61DE9">
        <w:rPr>
          <w:rFonts w:ascii="Times New Roman" w:hAnsi="Times New Roman"/>
          <w:b/>
          <w:bCs/>
          <w:sz w:val="24"/>
          <w:szCs w:val="24"/>
          <w:rtl/>
          <w:lang w:val="ar-SA"/>
        </w:rPr>
        <w:t>:</w:t>
      </w:r>
    </w:p>
    <w:p w14:paraId="63D16898" w14:textId="77777777" w:rsidR="00454428" w:rsidRDefault="00000000" w:rsidP="00D61DE9">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يقتصر هذا الفصل على عرض المفاهيم الأساسية المرتبطة بحقوق الملكية الفكرية في إطارها الحديث، مع التركيز على ما يتصل بالبيئة الرقمية وخصائصها، دون التوسع في الجوانب التاريخية أو التعريفات التقليدية التي لا ترتبط بشكل مباشر بموضوع الدراسة، وذلك بهدف توجيه التحليل نحو الإشكالات القانونية المعاصرة</w:t>
      </w:r>
      <w:r>
        <w:rPr>
          <w:rFonts w:ascii="Times New Roman" w:hAnsi="Times New Roman"/>
          <w:sz w:val="24"/>
          <w:szCs w:val="24"/>
          <w:rtl/>
          <w:lang w:val="ar-SA"/>
        </w:rPr>
        <w:t xml:space="preserve">. </w:t>
      </w:r>
      <w:r>
        <w:rPr>
          <w:rFonts w:cs="Times New Roman"/>
          <w:sz w:val="24"/>
          <w:szCs w:val="24"/>
          <w:rtl/>
          <w:lang w:val="ar-SA"/>
        </w:rPr>
        <w:t>ومن ناحية أخرى، أفرزت التطورات التقنية الحديثة عدداً من الإشكالات القانونية المستجدة، من أبرزها ما يتعلق بالمصنفات الناتجة عن تقنيات الذكاء الاصطناعي، والتي تثير تساؤلات حول صفة المؤلف، ومدى استحقاق هذه المصنفات للحماية القانونية</w:t>
      </w:r>
      <w:r>
        <w:rPr>
          <w:rFonts w:ascii="Times New Roman" w:hAnsi="Times New Roman"/>
          <w:sz w:val="24"/>
          <w:szCs w:val="24"/>
          <w:rtl/>
          <w:lang w:val="ar-SA"/>
        </w:rPr>
        <w:t xml:space="preserve">. </w:t>
      </w:r>
      <w:r>
        <w:rPr>
          <w:rFonts w:cs="Times New Roman"/>
          <w:sz w:val="24"/>
          <w:szCs w:val="24"/>
          <w:rtl/>
          <w:lang w:val="ar-SA"/>
        </w:rPr>
        <w:t>كما برزت المنصات الرقمية ومزودو خدمات الإنترنت كوسطاء رئيسيين في تداول المحتوى، وهو ما يثير إشكالية قانونية تتعلق بمدى مسؤوليتهم عن الانتهاكات التي تقع عبر هذه الوسائط، خاصة في ظل غياب تنظيم قانوني واضح في بعض التشريعات</w:t>
      </w:r>
      <w:r>
        <w:rPr>
          <w:rFonts w:ascii="Times New Roman" w:hAnsi="Times New Roman"/>
          <w:sz w:val="24"/>
          <w:szCs w:val="24"/>
          <w:rtl/>
          <w:lang w:val="ar-SA"/>
        </w:rPr>
        <w:t xml:space="preserve">. </w:t>
      </w:r>
      <w:r>
        <w:rPr>
          <w:rFonts w:cs="Times New Roman"/>
          <w:sz w:val="24"/>
          <w:szCs w:val="24"/>
          <w:rtl/>
          <w:lang w:val="ar-SA"/>
        </w:rPr>
        <w:t>وتتجلَّى أهمية إلقاء الضوء على المبادئ الأساسية لحقوق الملكية الفكرية، واستيعاب طبيعتها، وأهدافها، وتصنيفاتها، مع استعراض مسيرتها التاريخية، والآليات التي تطوَّرت بها أدوات الحماية القانونية لمواكبة التحوُّلات التكنولوجية، بما يحقق التوازن بين صون حقوق المبدعين وضمان مصلحة الجمهور في الانتفاع بالمعرفة والإبداع؛ حيث يتناول ما يلي</w:t>
      </w:r>
      <w:r>
        <w:rPr>
          <w:rFonts w:ascii="Times New Roman" w:hAnsi="Times New Roman"/>
          <w:sz w:val="24"/>
          <w:szCs w:val="24"/>
          <w:rtl/>
          <w:lang w:val="ar-SA"/>
        </w:rPr>
        <w:t>:</w:t>
      </w:r>
    </w:p>
    <w:p w14:paraId="73A68B72" w14:textId="77777777" w:rsidR="00454428" w:rsidRDefault="00000000">
      <w:pPr>
        <w:pStyle w:val="BodyA"/>
        <w:numPr>
          <w:ilvl w:val="0"/>
          <w:numId w:val="30"/>
        </w:numPr>
        <w:spacing w:before="120" w:after="120" w:line="360" w:lineRule="auto"/>
        <w:jc w:val="both"/>
        <w:rPr>
          <w:rFonts w:ascii="Times New Roman" w:eastAsia="Times New Roman" w:hAnsi="Times New Roman" w:cs="Times New Roman" w:hint="default"/>
          <w:sz w:val="24"/>
          <w:szCs w:val="24"/>
          <w:rtl/>
          <w:lang w:val="ar-SA"/>
        </w:rPr>
      </w:pPr>
      <w:bookmarkStart w:id="57" w:name="_Hlk195996279"/>
      <w:r>
        <w:rPr>
          <w:rFonts w:cs="Times New Roman"/>
          <w:b/>
          <w:bCs/>
          <w:sz w:val="24"/>
          <w:szCs w:val="24"/>
          <w:rtl/>
          <w:lang w:val="ar-SA"/>
        </w:rPr>
        <w:t>ا</w:t>
      </w:r>
      <w:bookmarkStart w:id="58" w:name="_Hlk202175013"/>
      <w:bookmarkEnd w:id="57"/>
      <w:r>
        <w:rPr>
          <w:rFonts w:cs="Times New Roman"/>
          <w:b/>
          <w:bCs/>
          <w:sz w:val="24"/>
          <w:szCs w:val="24"/>
          <w:rtl/>
          <w:lang w:val="ar-SA"/>
        </w:rPr>
        <w:t>لمبحث الأول</w:t>
      </w:r>
      <w:r>
        <w:rPr>
          <w:rFonts w:ascii="Times New Roman" w:hAnsi="Times New Roman"/>
          <w:b/>
          <w:bCs/>
          <w:sz w:val="24"/>
          <w:szCs w:val="24"/>
          <w:rtl/>
          <w:lang w:val="ar-SA"/>
        </w:rPr>
        <w:t xml:space="preserve">: </w:t>
      </w:r>
      <w:r>
        <w:rPr>
          <w:rFonts w:cs="Times New Roman"/>
          <w:sz w:val="24"/>
          <w:szCs w:val="24"/>
          <w:rtl/>
          <w:lang w:val="ar-SA"/>
        </w:rPr>
        <w:t>ماهية حقوق الملكية الفكرية</w:t>
      </w:r>
      <w:r>
        <w:rPr>
          <w:rFonts w:ascii="Times New Roman" w:hAnsi="Times New Roman"/>
          <w:sz w:val="24"/>
          <w:szCs w:val="24"/>
          <w:rtl/>
          <w:lang w:val="ar-SA"/>
        </w:rPr>
        <w:t>.</w:t>
      </w:r>
    </w:p>
    <w:p w14:paraId="57409AC2" w14:textId="77777777" w:rsidR="00454428" w:rsidRDefault="00000000">
      <w:pPr>
        <w:pStyle w:val="BodyA"/>
        <w:numPr>
          <w:ilvl w:val="0"/>
          <w:numId w:val="30"/>
        </w:numPr>
        <w:spacing w:before="120" w:after="120" w:line="360" w:lineRule="auto"/>
        <w:jc w:val="both"/>
        <w:rPr>
          <w:rFonts w:cs="Times New Roman" w:hint="default"/>
          <w:sz w:val="24"/>
          <w:szCs w:val="24"/>
          <w:rtl/>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bookmarkEnd w:id="58"/>
      <w:r>
        <w:rPr>
          <w:rFonts w:ascii="Times New Roman" w:hAnsi="Times New Roman"/>
          <w:sz w:val="24"/>
          <w:szCs w:val="24"/>
          <w:rtl/>
          <w:lang w:val="ar-SA"/>
        </w:rPr>
        <w:t>.</w:t>
      </w:r>
    </w:p>
    <w:p w14:paraId="647DF88A"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4FB4ADD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57266C78"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60BAF12" w14:textId="77777777" w:rsidR="00942492" w:rsidRDefault="00942492">
      <w:pPr>
        <w:rPr>
          <w:rFonts w:ascii="Arial Unicode MS" w:hAnsi="Arial Unicode MS"/>
          <w:b/>
          <w:bCs/>
          <w:color w:val="000000"/>
          <w:sz w:val="32"/>
          <w:szCs w:val="32"/>
          <w:u w:color="000000"/>
          <w:rtl/>
          <w:lang w:val="ar-SA"/>
        </w:rPr>
      </w:pPr>
      <w:r>
        <w:rPr>
          <w:rFonts w:ascii="Arial Unicode MS" w:hAnsi="Arial Unicode MS"/>
          <w:rtl/>
          <w:lang w:val="ar-SA"/>
        </w:rPr>
        <w:br w:type="page"/>
      </w:r>
    </w:p>
    <w:p w14:paraId="781C23F0" w14:textId="259591EB" w:rsidR="00454428" w:rsidRDefault="00000000" w:rsidP="00C72BA8">
      <w:pPr>
        <w:pStyle w:val="a4"/>
        <w:rPr>
          <w:lang w:val="ar-SA"/>
        </w:rPr>
      </w:pPr>
      <w:bookmarkStart w:id="59" w:name="_Toc227251072"/>
      <w:bookmarkStart w:id="60" w:name="_Toc227251382"/>
      <w:r>
        <w:rPr>
          <w:rFonts w:ascii="Arial Unicode MS" w:eastAsia="Arial Unicode MS" w:hAnsi="Arial Unicode MS" w:hint="cs"/>
          <w:rtl/>
          <w:lang w:val="ar-SA"/>
        </w:rPr>
        <w:lastRenderedPageBreak/>
        <w:t>المبحث الأول</w:t>
      </w:r>
      <w:bookmarkEnd w:id="59"/>
      <w:bookmarkEnd w:id="60"/>
    </w:p>
    <w:p w14:paraId="6A9BA10D" w14:textId="77777777" w:rsidR="00454428" w:rsidRDefault="00000000" w:rsidP="00C72BA8">
      <w:pPr>
        <w:pStyle w:val="a4"/>
        <w:rPr>
          <w:lang w:val="ar-SA"/>
        </w:rPr>
      </w:pPr>
      <w:bookmarkStart w:id="61" w:name="_Toc227251073"/>
      <w:bookmarkStart w:id="62" w:name="_Toc227251383"/>
      <w:r>
        <w:rPr>
          <w:rFonts w:ascii="Arial Unicode MS" w:eastAsia="Arial Unicode MS" w:hAnsi="Arial Unicode MS" w:hint="cs"/>
          <w:rtl/>
          <w:lang w:val="ar-SA"/>
        </w:rPr>
        <w:t>ماهية حقوق الملكية الفكرية</w:t>
      </w:r>
      <w:bookmarkEnd w:id="61"/>
      <w:bookmarkEnd w:id="62"/>
    </w:p>
    <w:p w14:paraId="6F7E5B18"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5D798CB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أصبحت الملكية الفكرية تُعَدُّ من أبرز الأصول غير المادية التي تُعنى بحماية نتاج الفكر البشري، وتتضمن هذه الحقوق مجموعةً من الامتيازات القانونية التي تُمنح للأفراد الطبيعيين أو الكيانات الاعتبارية؛ بهدف صون إبداعاتهم الفكرية، سواء كانت أدبيةً، أو فنية، أو صناعية، أو تجارية، ويتمثل جوهر هذه الحقوق في كونها أداةً قانونيةً لتنظيم العلاقة بين المبدع والمجتمع، بما يكفل تحقيق التوازن بين المصلحة العامة وحقوق الأفراد في الانتفاع بثمار إبداعاتهم</w:t>
      </w:r>
      <w:r>
        <w:rPr>
          <w:rFonts w:ascii="Times New Roman" w:hAnsi="Times New Roman"/>
          <w:sz w:val="24"/>
          <w:szCs w:val="24"/>
          <w:rtl/>
          <w:lang w:val="ar-SA"/>
        </w:rPr>
        <w:t>.</w:t>
      </w:r>
    </w:p>
    <w:p w14:paraId="1B18695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تبرز أهمية حقوق الملكية الفكرية في الدور الجوهري الذي تضطلع به في تعزيز التنمية الاقتصادية، والاجتماعية، والثقافية؛ حيث تحفِّز الاستثمار في المجالات العلمية والإبداعية، وتفتح آفاقًا جديدةً للعمل والنمو، من خلال تحويل الأفكار إلى مشروعات ملموسة، كما تساهم في تعزيز القدرة التنافسية بين الدول والمؤسسات، وفي ذات الوقت تكفل نقل التكنولوجيا والمعرفة بأسلوب منظم وعادل، بِناءً على ذلك</w:t>
      </w:r>
      <w:r>
        <w:rPr>
          <w:rFonts w:ascii="Times New Roman" w:hAnsi="Times New Roman"/>
          <w:sz w:val="24"/>
          <w:szCs w:val="24"/>
          <w:rtl/>
          <w:lang w:val="ar-SA"/>
        </w:rPr>
        <w:t xml:space="preserve">: </w:t>
      </w:r>
      <w:r>
        <w:rPr>
          <w:rFonts w:cs="Times New Roman"/>
          <w:sz w:val="24"/>
          <w:szCs w:val="24"/>
          <w:rtl/>
          <w:lang w:val="ar-SA"/>
        </w:rPr>
        <w:t>سنستعرض في هذا المبحث ما يلي</w:t>
      </w:r>
      <w:r>
        <w:rPr>
          <w:rFonts w:ascii="Times New Roman" w:hAnsi="Times New Roman"/>
          <w:sz w:val="24"/>
          <w:szCs w:val="24"/>
          <w:rtl/>
          <w:lang w:val="ar-SA"/>
        </w:rPr>
        <w:t>:</w:t>
      </w:r>
    </w:p>
    <w:p w14:paraId="128E7ADD" w14:textId="77777777" w:rsidR="00454428" w:rsidRDefault="00000000">
      <w:pPr>
        <w:pStyle w:val="BodyA"/>
        <w:numPr>
          <w:ilvl w:val="0"/>
          <w:numId w:val="10"/>
        </w:numPr>
        <w:spacing w:before="120" w:after="120" w:line="360" w:lineRule="auto"/>
        <w:rPr>
          <w:rFonts w:ascii="Times New Roman" w:eastAsia="Times New Roman" w:hAnsi="Times New Roman" w:cs="Times New Roman" w:hint="default"/>
          <w:sz w:val="24"/>
          <w:szCs w:val="24"/>
          <w:rtl/>
          <w:lang w:val="ar-SA"/>
        </w:rPr>
      </w:pPr>
      <w:bookmarkStart w:id="63" w:name="_Hlk202175027"/>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7F0C299A"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bookmarkEnd w:id="63"/>
    </w:p>
    <w:p w14:paraId="10A4F76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3B4DB7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C53B63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28294A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68EA74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9B562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E85634B"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E3F1E7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681B75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96370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6D44E6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9D1E67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48363E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9BAA3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1DE0D5F" w14:textId="77777777" w:rsidR="00454428" w:rsidRDefault="00000000" w:rsidP="00C72BA8">
      <w:pPr>
        <w:pStyle w:val="a4"/>
        <w:rPr>
          <w:lang w:val="ar-SA"/>
        </w:rPr>
      </w:pPr>
      <w:bookmarkStart w:id="64" w:name="_Toc227251074"/>
      <w:bookmarkStart w:id="65" w:name="_Toc227251384"/>
      <w:r>
        <w:rPr>
          <w:rFonts w:ascii="Arial Unicode MS" w:eastAsia="Arial Unicode MS" w:hAnsi="Arial Unicode MS" w:hint="cs"/>
          <w:rtl/>
          <w:lang w:val="ar-SA"/>
        </w:rPr>
        <w:lastRenderedPageBreak/>
        <w:t>المطلب الأول</w:t>
      </w:r>
      <w:bookmarkStart w:id="66" w:name="_Hlk184218954"/>
      <w:bookmarkEnd w:id="64"/>
      <w:bookmarkEnd w:id="65"/>
    </w:p>
    <w:p w14:paraId="7EB3C60E" w14:textId="77777777" w:rsidR="00454428" w:rsidRDefault="00000000" w:rsidP="00C72BA8">
      <w:pPr>
        <w:pStyle w:val="a4"/>
        <w:rPr>
          <w:lang w:val="ar-SA"/>
        </w:rPr>
      </w:pPr>
      <w:bookmarkStart w:id="67" w:name="_Toc227251075"/>
      <w:bookmarkStart w:id="68" w:name="_Toc227251385"/>
      <w:r>
        <w:rPr>
          <w:rFonts w:ascii="Arial Unicode MS" w:eastAsia="Arial Unicode MS" w:hAnsi="Arial Unicode MS" w:hint="cs"/>
          <w:rtl/>
          <w:lang w:val="ar-SA"/>
        </w:rPr>
        <w:t>تعريف حقوق</w:t>
      </w:r>
      <w:r>
        <w:rPr>
          <w:rtl/>
          <w:lang w:val="ar-SA"/>
        </w:rPr>
        <w:t xml:space="preserve"> </w:t>
      </w:r>
      <w:bookmarkStart w:id="69" w:name="_Hlk193407459"/>
      <w:r>
        <w:rPr>
          <w:rFonts w:ascii="Arial Unicode MS" w:eastAsia="Arial Unicode MS" w:hAnsi="Arial Unicode MS" w:hint="cs"/>
          <w:rtl/>
          <w:lang w:val="ar-SA"/>
        </w:rPr>
        <w:t>الملكية الفكرية</w:t>
      </w:r>
      <w:bookmarkEnd w:id="67"/>
      <w:bookmarkEnd w:id="68"/>
      <w:bookmarkEnd w:id="69"/>
    </w:p>
    <w:bookmarkEnd w:id="66"/>
    <w:p w14:paraId="51C21167"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1D228219"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يُعَدُّ الإنتاج الفكري عمليةً عقليةً تأخذ الكثير من الوقت والجهد والتركيب بين الاجتهادات، والأفكار، والافتراضات، والقوانين؛ حتى يصل ذلك الإنتاج إلى الواقع، ويتضمن الإنتاج الفكري فيما ينتجه الفرد من أعمال أدبية، وتجارية، وصناعية؛ ومِنْ ثَمَّ يكون هذا الإنتاج جديرًا بالحماية من أية اختراقات أو انتهاكات فكرية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2"/>
      </w:r>
      <w:r>
        <w:rPr>
          <w:rFonts w:ascii="Times New Roman" w:hAnsi="Times New Roman"/>
          <w:sz w:val="24"/>
          <w:szCs w:val="24"/>
          <w:vertAlign w:val="superscript"/>
          <w:rtl/>
          <w:lang w:val="ar-SA"/>
        </w:rPr>
        <w:t>)</w:t>
      </w:r>
      <w:r>
        <w:rPr>
          <w:rFonts w:cs="Times New Roman"/>
          <w:sz w:val="24"/>
          <w:szCs w:val="24"/>
          <w:rtl/>
          <w:lang w:val="ar-SA"/>
        </w:rPr>
        <w:t>؛ فتُعَدُّ الملكية الفكرية نوعًا من أنواع الملكية التي ظهرت في العصور المتأخرة؛ نتيجةً للتطوُّر العلمي وظهور الطباعة والتقدم الصناعي والتجاري الذي يشهده العالم</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3"/>
      </w:r>
      <w:r>
        <w:rPr>
          <w:rFonts w:ascii="Times New Roman" w:hAnsi="Times New Roman"/>
          <w:sz w:val="24"/>
          <w:szCs w:val="24"/>
          <w:vertAlign w:val="superscript"/>
          <w:rtl/>
          <w:lang w:val="ar-SA"/>
        </w:rPr>
        <w:t>)</w:t>
      </w:r>
    </w:p>
    <w:p w14:paraId="4FE5BF3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مفهوم الملكية الفكرية فيما يلي</w:t>
      </w:r>
      <w:r>
        <w:rPr>
          <w:rFonts w:ascii="Times New Roman" w:hAnsi="Times New Roman"/>
          <w:sz w:val="24"/>
          <w:szCs w:val="24"/>
          <w:rtl/>
          <w:lang w:val="ar-SA"/>
        </w:rPr>
        <w:t>:</w:t>
      </w:r>
    </w:p>
    <w:p w14:paraId="3BE57B6B" w14:textId="77777777" w:rsidR="00454428" w:rsidRDefault="00000000">
      <w:pPr>
        <w:pStyle w:val="BodyA"/>
        <w:numPr>
          <w:ilvl w:val="0"/>
          <w:numId w:val="32"/>
        </w:numPr>
        <w:spacing w:before="120" w:after="120" w:line="360" w:lineRule="auto"/>
        <w:rPr>
          <w:rFonts w:ascii="Times New Roman" w:eastAsia="Times New Roman" w:hAnsi="Times New Roman" w:cs="Times New Roman" w:hint="default"/>
          <w:sz w:val="24"/>
          <w:szCs w:val="24"/>
          <w:rtl/>
          <w:lang w:val="ar-SA"/>
        </w:rPr>
      </w:pPr>
      <w:bookmarkStart w:id="70" w:name="_Hlk195996459"/>
      <w:r>
        <w:rPr>
          <w:rFonts w:cs="Times New Roman"/>
          <w:b/>
          <w:bCs/>
          <w:sz w:val="24"/>
          <w:szCs w:val="24"/>
          <w:rtl/>
          <w:lang w:val="ar-SA"/>
        </w:rPr>
        <w:t xml:space="preserve">الفرع </w:t>
      </w:r>
      <w:bookmarkEnd w:id="70"/>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71" w:name="_Hlk193407760"/>
      <w:r>
        <w:rPr>
          <w:rFonts w:cs="Times New Roman"/>
          <w:sz w:val="24"/>
          <w:szCs w:val="24"/>
          <w:rtl/>
          <w:lang w:val="ar-SA"/>
        </w:rPr>
        <w:t>المفهوم التقليدي للملكية الفكرية</w:t>
      </w:r>
      <w:bookmarkEnd w:id="71"/>
      <w:r>
        <w:rPr>
          <w:rFonts w:ascii="Times New Roman" w:hAnsi="Times New Roman"/>
          <w:sz w:val="24"/>
          <w:szCs w:val="24"/>
          <w:rtl/>
          <w:lang w:val="ar-SA"/>
        </w:rPr>
        <w:t>.</w:t>
      </w:r>
    </w:p>
    <w:p w14:paraId="6DBC9AED" w14:textId="77777777" w:rsidR="00454428" w:rsidRDefault="00000000">
      <w:pPr>
        <w:pStyle w:val="BodyA"/>
        <w:numPr>
          <w:ilvl w:val="0"/>
          <w:numId w:val="32"/>
        </w:numPr>
        <w:spacing w:before="120" w:after="120" w:line="360" w:lineRule="auto"/>
        <w:jc w:val="both"/>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مفهوم الملكية الفكرية الإلكترونية</w:t>
      </w:r>
      <w:r>
        <w:rPr>
          <w:rFonts w:ascii="Times New Roman" w:hAnsi="Times New Roman"/>
          <w:sz w:val="24"/>
          <w:szCs w:val="24"/>
          <w:rtl/>
          <w:lang w:val="ar-SA"/>
        </w:rPr>
        <w:t>.</w:t>
      </w:r>
    </w:p>
    <w:p w14:paraId="779054E1" w14:textId="77777777" w:rsidR="00454428" w:rsidRDefault="00000000" w:rsidP="00C72BA8">
      <w:pPr>
        <w:pStyle w:val="Body"/>
        <w:spacing w:before="120" w:after="120" w:line="360" w:lineRule="auto"/>
      </w:pPr>
      <w:r>
        <w:rPr>
          <w:rFonts w:ascii="Arial Unicode MS" w:hAnsi="Arial Unicode MS"/>
          <w:sz w:val="28"/>
          <w:szCs w:val="28"/>
          <w:lang w:val="ar-SA"/>
        </w:rPr>
        <w:br w:type="page"/>
      </w:r>
    </w:p>
    <w:p w14:paraId="77153365" w14:textId="77777777" w:rsidR="00454428" w:rsidRDefault="00000000" w:rsidP="00C72BA8">
      <w:pPr>
        <w:pStyle w:val="a4"/>
        <w:rPr>
          <w:lang w:val="ar-SA"/>
        </w:rPr>
      </w:pPr>
      <w:bookmarkStart w:id="72" w:name="_Toc227251076"/>
      <w:bookmarkStart w:id="73" w:name="_Toc227251386"/>
      <w:r>
        <w:rPr>
          <w:rFonts w:ascii="Arial Unicode MS" w:eastAsia="Arial Unicode MS" w:hAnsi="Arial Unicode MS" w:hint="cs"/>
          <w:rtl/>
          <w:lang w:val="ar-SA"/>
        </w:rPr>
        <w:lastRenderedPageBreak/>
        <w:t>الفرع الأول</w:t>
      </w:r>
      <w:bookmarkEnd w:id="72"/>
      <w:bookmarkEnd w:id="73"/>
    </w:p>
    <w:p w14:paraId="0361AD0B" w14:textId="77777777" w:rsidR="00454428" w:rsidRDefault="00000000" w:rsidP="00C72BA8">
      <w:pPr>
        <w:pStyle w:val="a4"/>
        <w:rPr>
          <w:lang w:val="ar-SA"/>
        </w:rPr>
      </w:pPr>
      <w:bookmarkStart w:id="74" w:name="_Toc227251077"/>
      <w:bookmarkStart w:id="75" w:name="_Toc227251387"/>
      <w:r>
        <w:rPr>
          <w:rFonts w:ascii="Arial Unicode MS" w:eastAsia="Arial Unicode MS" w:hAnsi="Arial Unicode MS" w:hint="cs"/>
          <w:rtl/>
          <w:lang w:val="ar-SA"/>
        </w:rPr>
        <w:t>المفهوم التقليدي للملكية الفكرية</w:t>
      </w:r>
      <w:bookmarkEnd w:id="74"/>
      <w:bookmarkEnd w:id="75"/>
    </w:p>
    <w:p w14:paraId="55384281"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يشير مصطلح الملكية الفكرية إلى عملية نسبة حق الأفكار إلى صاحبها، وأنْ يكون له الحق في إطلاع الغير عليها، بالإضافة إلى التعديل أو الإضافة على أفكاره، كما أنَّ له الحق في منع نسخها وتصويرها والتصرف بها، فإنَّ حقوق الملكية الفكرية تعطي صاحبها الحق في استغلال إبداعاته بصورة مادية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4"/>
      </w:r>
      <w:r>
        <w:rPr>
          <w:rFonts w:ascii="Times New Roman" w:hAnsi="Times New Roman"/>
          <w:sz w:val="24"/>
          <w:szCs w:val="24"/>
          <w:vertAlign w:val="superscript"/>
          <w:rtl/>
          <w:lang w:val="ar-SA"/>
        </w:rPr>
        <w:t>)</w:t>
      </w:r>
    </w:p>
    <w:p w14:paraId="6A5C41F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يعرف الفكر في اللغة</w:t>
      </w:r>
      <w:r>
        <w:rPr>
          <w:rFonts w:ascii="Times New Roman" w:hAnsi="Times New Roman"/>
          <w:sz w:val="24"/>
          <w:szCs w:val="24"/>
          <w:rtl/>
          <w:lang w:val="ar-SA"/>
        </w:rPr>
        <w:t xml:space="preserve">: </w:t>
      </w:r>
      <w:r>
        <w:rPr>
          <w:rFonts w:cs="Times New Roman"/>
          <w:sz w:val="24"/>
          <w:szCs w:val="24"/>
          <w:rtl/>
          <w:lang w:val="ar-SA"/>
        </w:rPr>
        <w:t xml:space="preserve">هو استخدام العقل أو التأمل في شيء ما، ويشير المعجم الوسيط إلى أنَّ </w:t>
      </w:r>
      <w:r>
        <w:rPr>
          <w:rFonts w:ascii="Times New Roman" w:hAnsi="Times New Roman"/>
          <w:sz w:val="24"/>
          <w:szCs w:val="24"/>
          <w:rtl/>
          <w:lang w:val="ar-SA"/>
        </w:rPr>
        <w:t>"</w:t>
      </w:r>
      <w:r>
        <w:rPr>
          <w:rFonts w:cs="Times New Roman"/>
          <w:sz w:val="24"/>
          <w:szCs w:val="24"/>
          <w:rtl/>
          <w:lang w:val="ar-SA"/>
        </w:rPr>
        <w:t>الفكر</w:t>
      </w:r>
      <w:r>
        <w:rPr>
          <w:rFonts w:ascii="Times New Roman" w:hAnsi="Times New Roman"/>
          <w:sz w:val="24"/>
          <w:szCs w:val="24"/>
          <w:rtl/>
          <w:lang w:val="ar-SA"/>
        </w:rPr>
        <w:t xml:space="preserve">" </w:t>
      </w:r>
      <w:r>
        <w:rPr>
          <w:rFonts w:cs="Times New Roman"/>
          <w:sz w:val="24"/>
          <w:szCs w:val="24"/>
          <w:rtl/>
          <w:lang w:val="ar-SA"/>
        </w:rPr>
        <w:t>يعني توظيف العقل في موضوع معين وتنظيم بعض المعلومات للوصول إلى ما هو غير معروف</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5"/>
      </w:r>
      <w:r>
        <w:rPr>
          <w:rFonts w:ascii="Times New Roman" w:hAnsi="Times New Roman"/>
          <w:sz w:val="20"/>
          <w:szCs w:val="20"/>
          <w:rtl/>
          <w:lang w:val="ar-SA"/>
        </w:rPr>
        <w:t>)</w:t>
      </w:r>
      <w:r>
        <w:rPr>
          <w:rFonts w:cs="Times New Roman"/>
          <w:sz w:val="24"/>
          <w:szCs w:val="24"/>
          <w:rtl/>
          <w:lang w:val="ar-SA"/>
        </w:rPr>
        <w:t>، والفكر</w:t>
      </w:r>
      <w:r>
        <w:rPr>
          <w:rFonts w:ascii="Times New Roman" w:hAnsi="Times New Roman"/>
          <w:sz w:val="24"/>
          <w:szCs w:val="24"/>
          <w:rtl/>
          <w:lang w:val="ar-SA"/>
        </w:rPr>
        <w:t xml:space="preserve">: </w:t>
      </w:r>
      <w:r>
        <w:rPr>
          <w:rFonts w:cs="Times New Roman"/>
          <w:sz w:val="24"/>
          <w:szCs w:val="24"/>
          <w:rtl/>
          <w:lang w:val="ar-SA"/>
        </w:rPr>
        <w:t>إعمال العقل في المعلوم للوصول إلى معرفة مجهول</w:t>
      </w:r>
      <w:r>
        <w:rPr>
          <w:rFonts w:ascii="Times New Roman" w:hAnsi="Times New Roman"/>
          <w:sz w:val="24"/>
          <w:szCs w:val="24"/>
          <w:rtl/>
          <w:lang w:val="ar-SA"/>
        </w:rPr>
        <w:t>.</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6"/>
      </w:r>
      <w:r>
        <w:rPr>
          <w:rFonts w:ascii="Times New Roman" w:hAnsi="Times New Roman"/>
          <w:sz w:val="20"/>
          <w:szCs w:val="20"/>
          <w:rtl/>
          <w:lang w:val="ar-SA"/>
        </w:rPr>
        <w:t>)</w:t>
      </w:r>
    </w:p>
    <w:p w14:paraId="705B07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فإنَّ عبارة الملكية تعني نوعًا خاصًا من الملكية؛ إذ إنَّ من أهم خصائص الملكية أنَّه يجوز للمالك أنْ يستعمل ما يملكه كيفما يشاء، وأنَّه لا يمكن لغيره قانونًا أنْ يستعمل دون تصريح منه</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7"/>
      </w:r>
      <w:r>
        <w:rPr>
          <w:rFonts w:ascii="Times New Roman" w:hAnsi="Times New Roman"/>
          <w:sz w:val="24"/>
          <w:szCs w:val="24"/>
          <w:vertAlign w:val="superscript"/>
          <w:rtl/>
          <w:lang w:val="ar-SA"/>
        </w:rPr>
        <w:t>)</w:t>
      </w:r>
    </w:p>
    <w:p w14:paraId="6F3ACB5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فمصطلح الملكية الفكرية يشير إلى نوع من أنواع الملكية بمفهومها الواسع والشامل، والتي حظيت بحماية جميع التشريعات السماوية والوضعية عبر العصور، تعتبر الملكية الفكرية أحد الأركان الأساسية التي يقوم عليها النظام الاجتماعي، والاقتصادي، والحضاري للدول والمجتمعات، يتعين على الدولة الالتزام بحماية ملكية الأفراد، كما يفترض بالأفراد حماية ملكية الدولة، إنَّ حماية الملكية بجميع أشكالها وأنواعها تُعَدُّ الضمانة الأساسية لاستقرار الدول، وتحفيز الأفراد على العمل؛ ممَّا يسهم في دفع عجلة النمو الاقتصادي، والاجتماعي، والحضاري</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8"/>
      </w:r>
      <w:r>
        <w:rPr>
          <w:rFonts w:ascii="Times New Roman" w:hAnsi="Times New Roman"/>
          <w:sz w:val="20"/>
          <w:szCs w:val="20"/>
          <w:rtl/>
          <w:lang w:val="ar-SA"/>
        </w:rPr>
        <w:t>)</w:t>
      </w:r>
    </w:p>
    <w:p w14:paraId="3D983B7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مفهوم الملكية الفكرية ليس وليد اليوم، فقد يُعتقد أنَّ جذور نظام الملكية الفكرية تعود إلى شمال إيطاليا في عصر النهضة، ففي عام ١٤٧٤ أصدرت مدينة البندقية تشريعًا ينظم حماية الابتكارات، ويمنح المخترعين حقوقًا حصرية، أما نظام حقوق المؤلف</w:t>
      </w:r>
      <w:r>
        <w:rPr>
          <w:rFonts w:ascii="Times New Roman" w:hAnsi="Times New Roman"/>
          <w:sz w:val="24"/>
          <w:szCs w:val="24"/>
          <w:rtl/>
          <w:lang w:val="ar-SA"/>
        </w:rPr>
        <w:t xml:space="preserve">: </w:t>
      </w:r>
      <w:r>
        <w:rPr>
          <w:rFonts w:cs="Times New Roman"/>
          <w:sz w:val="24"/>
          <w:szCs w:val="24"/>
          <w:rtl/>
          <w:lang w:val="ar-SA"/>
        </w:rPr>
        <w:t>فقد نشأ نتيجة اختراع الحروف المطبعية وآلة الطباعة على يد يوهانس غوتنبرغ عام ١٤٤٠، وبحلول نهاية القرن التاسع عشر أدركت العديد من الدول ضرورة سنّ قوانين لتنظيم الملكية الفكرية، ويُعَدُّ حق الملكية من أبرز الحقوق العينية التي تكفلها القوانين والتشريعات لكل فرد في المجتمع، ويتعين على السلطة الرسمية في الدولة حماية هذا الحق وتفعيله وفقًا للأنظمة القانونية المعمول بها</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9"/>
      </w:r>
      <w:r>
        <w:rPr>
          <w:rFonts w:ascii="Times New Roman" w:hAnsi="Times New Roman"/>
          <w:sz w:val="20"/>
          <w:szCs w:val="20"/>
          <w:rtl/>
          <w:lang w:val="ar-SA"/>
        </w:rPr>
        <w:t>)</w:t>
      </w:r>
    </w:p>
    <w:p w14:paraId="142D7915"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يقصد بالملكية الفكرية مجموعة من القوانين التي تنظم حقوق المؤلف المتعلقة بالأعمال الأدبية والفنية وما يشابهها، بالإضافة إلى حقوق الملكية الفكرية الصناعية التي تشمل براءات الاختراع والعلامات التجارية، تهدف هذه القوانين إلى ضمان احتفاظ صاحب الحق أو الإبداع بجميع الحقوق المتعلقة باستغلال الآخرين لهذا الإبداع</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0"/>
      </w:r>
      <w:r>
        <w:rPr>
          <w:rFonts w:ascii="Times New Roman" w:hAnsi="Times New Roman"/>
          <w:sz w:val="20"/>
          <w:szCs w:val="20"/>
          <w:rtl/>
          <w:lang w:val="ar-SA"/>
        </w:rPr>
        <w:t>)</w:t>
      </w:r>
    </w:p>
    <w:p w14:paraId="2F8AC6F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يتمثل الفرق بين الملكية الفكرية وملكية الأموال المادية في طبيعة الحق؛ حيث إنَّ الملكية الفكرية لا تتعلق بأموال مادية، سواء كانت عقاريةً أو منقولة، بل تتعلق بشيء غير ملموس، وهو مال معنوي يحمل قيمةً ماليةً، كما أنَّ حقوق الملكية الفكرية تختلف عن الحقوق الشخصية؛ حيث تمثل الحقوق الشخصية علاقةً قانونيةً بين دائن ومدين، وهذه العلاقة غير موجودة في مختلف أشكال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1"/>
      </w:r>
      <w:r>
        <w:rPr>
          <w:rFonts w:ascii="Times New Roman" w:hAnsi="Times New Roman"/>
          <w:sz w:val="20"/>
          <w:szCs w:val="20"/>
          <w:rtl/>
          <w:lang w:val="ar-SA"/>
        </w:rPr>
        <w:t>)</w:t>
      </w:r>
    </w:p>
    <w:p w14:paraId="7A009FC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ومن خلال ما تقدم</w:t>
      </w:r>
      <w:r>
        <w:rPr>
          <w:rFonts w:ascii="Times New Roman" w:hAnsi="Times New Roman"/>
          <w:sz w:val="24"/>
          <w:szCs w:val="24"/>
          <w:rtl/>
          <w:lang w:val="ar-SA"/>
        </w:rPr>
        <w:t xml:space="preserve">: </w:t>
      </w:r>
      <w:r>
        <w:rPr>
          <w:rFonts w:cs="Times New Roman"/>
          <w:sz w:val="24"/>
          <w:szCs w:val="24"/>
          <w:rtl/>
          <w:lang w:val="ar-SA"/>
        </w:rPr>
        <w:t>يمكنني تقديم تعريف للملكية الفكرية بأنَّها</w:t>
      </w:r>
      <w:r>
        <w:rPr>
          <w:rFonts w:ascii="Times New Roman" w:hAnsi="Times New Roman"/>
          <w:sz w:val="24"/>
          <w:szCs w:val="24"/>
          <w:rtl/>
          <w:lang w:val="ar-SA"/>
        </w:rPr>
        <w:t>: "</w:t>
      </w:r>
      <w:r>
        <w:rPr>
          <w:rFonts w:cs="Times New Roman"/>
          <w:sz w:val="24"/>
          <w:szCs w:val="24"/>
          <w:rtl/>
          <w:lang w:val="ar-SA"/>
        </w:rPr>
        <w:t>مجموعة من الحقوق القانونية التي تمنح للأفراد أو المؤسسات لحماية إبداعاتهم الفكرية والابتكارات التقنية، وتشمل هذه الحقوق الأعمال الأدبية والفنية، والاختراعات، والعلامات التجارية، والتصاميم الصناعية</w:t>
      </w:r>
      <w:r>
        <w:rPr>
          <w:rFonts w:ascii="Times New Roman" w:hAnsi="Times New Roman"/>
          <w:sz w:val="24"/>
          <w:szCs w:val="24"/>
          <w:rtl/>
          <w:lang w:val="ar-SA"/>
        </w:rPr>
        <w:t>".</w:t>
      </w:r>
    </w:p>
    <w:p w14:paraId="04FE037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تنقسم حقوق الملكية إلى قسمين رئيسيين</w:t>
      </w:r>
      <w:r>
        <w:rPr>
          <w:rFonts w:ascii="Times New Roman" w:hAnsi="Times New Roman"/>
          <w:sz w:val="24"/>
          <w:szCs w:val="24"/>
          <w:rtl/>
          <w:lang w:val="ar-SA"/>
        </w:rPr>
        <w:t xml:space="preserve">: </w:t>
      </w:r>
      <w:r>
        <w:rPr>
          <w:rFonts w:cs="Times New Roman"/>
          <w:sz w:val="24"/>
          <w:szCs w:val="24"/>
          <w:rtl/>
          <w:lang w:val="ar-SA"/>
        </w:rPr>
        <w:t>الأول</w:t>
      </w:r>
      <w:r>
        <w:rPr>
          <w:rFonts w:ascii="Times New Roman" w:hAnsi="Times New Roman"/>
          <w:sz w:val="24"/>
          <w:szCs w:val="24"/>
          <w:rtl/>
          <w:lang w:val="ar-SA"/>
        </w:rPr>
        <w:t xml:space="preserve">: </w:t>
      </w:r>
      <w:r>
        <w:rPr>
          <w:rFonts w:cs="Times New Roman"/>
          <w:sz w:val="24"/>
          <w:szCs w:val="24"/>
          <w:rtl/>
          <w:lang w:val="ar-SA"/>
        </w:rPr>
        <w:t>هو الحقوق العينية، وهي السلطة المباشرة التي يكفلها القانون لشخص معين على شيء محدد، سواء كان عقارًا أو منقولًا؛ بحيث يمكنه التصرف فيه أو الانتفاع به دون واسطة، والثاني</w:t>
      </w:r>
      <w:r>
        <w:rPr>
          <w:rFonts w:ascii="Times New Roman" w:hAnsi="Times New Roman"/>
          <w:sz w:val="24"/>
          <w:szCs w:val="24"/>
          <w:rtl/>
          <w:lang w:val="ar-SA"/>
        </w:rPr>
        <w:t xml:space="preserve">: </w:t>
      </w:r>
      <w:r>
        <w:rPr>
          <w:rFonts w:cs="Times New Roman"/>
          <w:sz w:val="24"/>
          <w:szCs w:val="24"/>
          <w:rtl/>
          <w:lang w:val="ar-SA"/>
        </w:rPr>
        <w:t xml:space="preserve">هو الحقوق الشخصية، وهي العلاقة القانونية التي تربط بين الدائن والمدين، والتي يترتب عليها التزام المدين تجاه الدائن بأداء عمل معين، أو الامتناع عن فعل، أو نقل حق عيني إليه وفي الغالب تتعلق هذه الحقوق بأشياء مادية ملموسة، غير أنَّ هناك حقوقًا أخرى تتعلق بأمور معنوية، ترتبط ارتباطًا وثيقًا بما ينتجه العقل البشري من إبداعات، وتُعرف هذه الحقوق بـ </w:t>
      </w:r>
      <w:r>
        <w:rPr>
          <w:rFonts w:ascii="Times New Roman" w:hAnsi="Times New Roman"/>
          <w:sz w:val="24"/>
          <w:szCs w:val="24"/>
          <w:rtl/>
          <w:lang w:val="ar-SA"/>
        </w:rPr>
        <w:t>"</w:t>
      </w:r>
      <w:r>
        <w:rPr>
          <w:rFonts w:cs="Times New Roman"/>
          <w:sz w:val="24"/>
          <w:szCs w:val="24"/>
          <w:rtl/>
          <w:lang w:val="ar-SA"/>
        </w:rPr>
        <w:t>حقوق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2"/>
      </w:r>
      <w:r>
        <w:rPr>
          <w:rFonts w:ascii="Times New Roman" w:hAnsi="Times New Roman"/>
          <w:sz w:val="20"/>
          <w:szCs w:val="20"/>
          <w:rtl/>
          <w:lang w:val="ar-SA"/>
        </w:rPr>
        <w:t>)</w:t>
      </w:r>
    </w:p>
    <w:p w14:paraId="1FD796D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الملكية الفكرية ثمرةَ الإبداع البشري ونتاج العقل الإنساني، وقد ازداد الاهتمام بصونها؛ نتيجةَ تزايد الوعي بأهميتها كعنصر أساسي في تعزيز التنمية والتقدم، ويتم تحقيق ذلك من خلال تحويل المعارف والمعلومات إلى ابتكارات، ثم توظيف هذه الابتكارات لتتحول إلى منتجات قابلة للإنتاج والتطوير؛ ممَّا يعزّز من قيمتها الاقتصادية، ويرسخ مكانتها ضمن المجتمع، وتشمل حقوق الملكية الفكرية جميع أشكال الإنتاج الفكري الإبداعي، بما في ذلك</w:t>
      </w:r>
      <w:r>
        <w:rPr>
          <w:rFonts w:ascii="Times New Roman" w:hAnsi="Times New Roman"/>
          <w:sz w:val="24"/>
          <w:szCs w:val="24"/>
          <w:rtl/>
          <w:lang w:val="ar-SA"/>
        </w:rPr>
        <w:t xml:space="preserve">: </w:t>
      </w:r>
      <w:r>
        <w:rPr>
          <w:rFonts w:cs="Times New Roman"/>
          <w:sz w:val="24"/>
          <w:szCs w:val="24"/>
          <w:rtl/>
          <w:lang w:val="ar-SA"/>
        </w:rPr>
        <w:t>الاختراعات، والرسوم، والنماذج الصناعية، والرموز، والعلامات المميزة، إلى جانب المصنفات الأدبية والفنية</w:t>
      </w:r>
      <w:r>
        <w:rPr>
          <w:rFonts w:ascii="Times New Roman" w:hAnsi="Times New Roman"/>
          <w:sz w:val="24"/>
          <w:szCs w:val="24"/>
          <w:rtl/>
          <w:lang w:val="ar-SA"/>
        </w:rPr>
        <w:t xml:space="preserve">: </w:t>
      </w:r>
      <w:r>
        <w:rPr>
          <w:rFonts w:cs="Times New Roman"/>
          <w:sz w:val="24"/>
          <w:szCs w:val="24"/>
          <w:rtl/>
          <w:lang w:val="ar-SA"/>
        </w:rPr>
        <w:t>كالقصائد، واللوحات، والروايات، والتماثيل، وغيرها من الأعمال التي تبرز عبقرية الإنسان وإبداعه</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3"/>
      </w:r>
      <w:r>
        <w:rPr>
          <w:rFonts w:ascii="Times New Roman" w:hAnsi="Times New Roman"/>
          <w:sz w:val="20"/>
          <w:szCs w:val="20"/>
          <w:rtl/>
          <w:lang w:val="ar-SA"/>
        </w:rPr>
        <w:t>)</w:t>
      </w:r>
    </w:p>
    <w:p w14:paraId="2CC383B0"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يوجد اختلاف طفيف بين حق الملكية على الأشياء المادية سواء المنقولة أو العقارية، وحق الملكية على الأشياء المعنوية، ومع ذلك</w:t>
      </w:r>
      <w:r>
        <w:rPr>
          <w:rFonts w:ascii="Times New Roman" w:hAnsi="Times New Roman"/>
          <w:sz w:val="24"/>
          <w:szCs w:val="24"/>
          <w:rtl/>
          <w:lang w:val="ar-SA"/>
        </w:rPr>
        <w:t xml:space="preserve">: </w:t>
      </w:r>
      <w:r>
        <w:rPr>
          <w:rFonts w:cs="Times New Roman"/>
          <w:sz w:val="24"/>
          <w:szCs w:val="24"/>
          <w:rtl/>
          <w:lang w:val="ar-SA"/>
        </w:rPr>
        <w:t xml:space="preserve">فإنَّ هذا الاختلاف ليست له أهمية كبيرة؛ حيث إنَّ الآثار المترتبة على حق الملكية تنطبق في كلتا الحالتين، تعتبر الملكية الفكرية جزءًا من الملكية المعنوية؛ لأنَّها تتعلق دائمًا بإنتاج العقل والإبداع، ولا شك في أهمية </w:t>
      </w:r>
      <w:r>
        <w:rPr>
          <w:rFonts w:cs="Times New Roman"/>
          <w:sz w:val="24"/>
          <w:szCs w:val="24"/>
          <w:rtl/>
          <w:lang w:val="ar-SA"/>
        </w:rPr>
        <w:lastRenderedPageBreak/>
        <w:t>حماية ما ينتجه الفكر البشري، لا يمكن أنْ تكون هناك حماية للملكية المادية دون أنْ تشمل الملكية المعنوية، التي قد تتجاوز قيمتها في بعض الأحيان قيمة الذهب، والمجوهرات، والعقارات، وغيرها من الممتلكات المادية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4"/>
      </w:r>
      <w:r>
        <w:rPr>
          <w:rFonts w:ascii="Times New Roman" w:hAnsi="Times New Roman"/>
          <w:sz w:val="20"/>
          <w:szCs w:val="20"/>
          <w:rtl/>
          <w:lang w:val="ar-SA"/>
        </w:rPr>
        <w:t>)</w:t>
      </w:r>
    </w:p>
    <w:p w14:paraId="639FC3E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تعود أصول الملكية الفكرية إلى عصور موغلة في القدم؛ حيث نشأت مع وجود الإنسان نفسه، ومع ذلك لم يتضح مفهومها ومصطلحها بشكل جلي في تلك الحقب، بل تطوَّرت تدريجيًا عبر السياقات التاريخية المختلفة، حتى تفرعت إلى عدة فروع تعتمد عليها المجتمعات المتحضرة في إطار من التعاون المشترك، واحترام حقوق الأفراد والجماعات على حد سواء، وتكتسب هذه الحقوق أهميةً بالغةً؛ إذْ تُعَدُّ بمثابة وسيلة أساسية تمكن الأفراد من العيش وممارسة أنشطتهم المتنوعة، فضلًا عن كونها أداةً قانونيةً محوريةً لتنظيم العلاقات داخل المجتمع، وتنقسم هذه الحقوق إلى قسمين رئيسيين</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5"/>
      </w:r>
      <w:r>
        <w:rPr>
          <w:rFonts w:ascii="Times New Roman" w:hAnsi="Times New Roman"/>
          <w:sz w:val="20"/>
          <w:szCs w:val="20"/>
          <w:rtl/>
          <w:lang w:val="ar-SA"/>
        </w:rPr>
        <w:t>)</w:t>
      </w:r>
    </w:p>
    <w:p w14:paraId="032ACA37" w14:textId="77777777" w:rsidR="00454428" w:rsidRDefault="00000000">
      <w:pPr>
        <w:pStyle w:val="a7"/>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عامة</w:t>
      </w:r>
      <w:r>
        <w:rPr>
          <w:rFonts w:ascii="Times New Roman" w:hAnsi="Times New Roman"/>
          <w:b/>
          <w:bCs/>
          <w:sz w:val="24"/>
          <w:szCs w:val="24"/>
          <w:rtl/>
          <w:lang w:val="ar-SA"/>
        </w:rPr>
        <w:t>:</w:t>
      </w:r>
      <w:r>
        <w:rPr>
          <w:rFonts w:cs="Times New Roman"/>
          <w:sz w:val="24"/>
          <w:szCs w:val="24"/>
          <w:rtl/>
          <w:lang w:val="ar-SA"/>
        </w:rPr>
        <w:t xml:space="preserve"> تشمل جميع أفراد المجتمع، مثل</w:t>
      </w:r>
      <w:r>
        <w:rPr>
          <w:rFonts w:ascii="Times New Roman" w:hAnsi="Times New Roman"/>
          <w:sz w:val="24"/>
          <w:szCs w:val="24"/>
          <w:rtl/>
          <w:lang w:val="ar-SA"/>
        </w:rPr>
        <w:t xml:space="preserve">: </w:t>
      </w:r>
      <w:r>
        <w:rPr>
          <w:rFonts w:cs="Times New Roman"/>
          <w:sz w:val="24"/>
          <w:szCs w:val="24"/>
          <w:rtl/>
          <w:lang w:val="ar-SA"/>
        </w:rPr>
        <w:t>الحقوق السياسية، والاجتماعية</w:t>
      </w:r>
      <w:r>
        <w:rPr>
          <w:rFonts w:ascii="Times New Roman" w:hAnsi="Times New Roman"/>
          <w:sz w:val="24"/>
          <w:szCs w:val="24"/>
          <w:rtl/>
          <w:lang w:val="ar-SA"/>
        </w:rPr>
        <w:t xml:space="preserve">. </w:t>
      </w:r>
    </w:p>
    <w:p w14:paraId="1B9C3EEE" w14:textId="77777777" w:rsidR="00454428" w:rsidRDefault="00000000">
      <w:pPr>
        <w:pStyle w:val="a7"/>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خاصة</w:t>
      </w:r>
      <w:r>
        <w:rPr>
          <w:rFonts w:ascii="Times New Roman" w:hAnsi="Times New Roman"/>
          <w:b/>
          <w:bCs/>
          <w:sz w:val="24"/>
          <w:szCs w:val="24"/>
          <w:rtl/>
          <w:lang w:val="ar-SA"/>
        </w:rPr>
        <w:t>:</w:t>
      </w:r>
      <w:r>
        <w:rPr>
          <w:rFonts w:cs="Times New Roman"/>
          <w:sz w:val="24"/>
          <w:szCs w:val="24"/>
          <w:rtl/>
          <w:lang w:val="ar-SA"/>
        </w:rPr>
        <w:t xml:space="preserve"> تكتسب من قبل أفراد محددين، مثل</w:t>
      </w:r>
      <w:r>
        <w:rPr>
          <w:rFonts w:ascii="Times New Roman" w:hAnsi="Times New Roman"/>
          <w:sz w:val="24"/>
          <w:szCs w:val="24"/>
          <w:rtl/>
          <w:lang w:val="ar-SA"/>
        </w:rPr>
        <w:t xml:space="preserve">: </w:t>
      </w:r>
      <w:r>
        <w:rPr>
          <w:rFonts w:cs="Times New Roman"/>
          <w:sz w:val="24"/>
          <w:szCs w:val="24"/>
          <w:rtl/>
          <w:lang w:val="ar-SA"/>
        </w:rPr>
        <w:t>حقوق الأسرة والحقوق المالية، التي تنقسم بدورها إلى ثلاث فئاتٍ، تشمل هذه الفئات الحقوق المعنوية، أو الذهنية، أو الأدبية، وهي سلطات يمتلكها الشخص على شيء غير مادي، يمثل ثمرة أفكاره، أو خياله، أو جهوده، من أمثلة ذلك حق المؤلف في مؤلفاته العلمية، وحق الفنان في إبداعاته الفنية، وحق المخترع في ابتكاراته الصناعية، وحق التاجر في اسمه التجاري وعلامته التجارية وثقة العملاء</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26"/>
      </w:r>
      <w:r>
        <w:rPr>
          <w:rFonts w:ascii="Times New Roman" w:hAnsi="Times New Roman"/>
          <w:sz w:val="24"/>
          <w:szCs w:val="24"/>
          <w:vertAlign w:val="superscript"/>
          <w:rtl/>
          <w:lang w:val="ar-SA"/>
        </w:rPr>
        <w:t>)</w:t>
      </w:r>
    </w:p>
    <w:p w14:paraId="5426E49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بعد أنْ استعرضنا الأسس التاريخية والمفاهيم التقليدية للملكية الفكرية، نتوجه الآن لاستكشاف التحوُّلات التي فرضها العصر الرقمي على هذا المفهوم؛ ليكشف الفرع الثاني مفهوم الملكية الفكرية الإلكترونية عن رؤى متجددة تعيد صياغة معايير الحماية والإبداع</w:t>
      </w:r>
      <w:r>
        <w:rPr>
          <w:rFonts w:ascii="Times New Roman" w:hAnsi="Times New Roman"/>
          <w:sz w:val="24"/>
          <w:szCs w:val="24"/>
          <w:rtl/>
          <w:lang w:val="ar-SA"/>
        </w:rPr>
        <w:t>.</w:t>
      </w:r>
    </w:p>
    <w:p w14:paraId="731D35B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42A1E5A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7F2FD9F"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FF89614"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EA2448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22B988D"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6D884B3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00F8A53C"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DE79C34" w14:textId="77777777" w:rsidR="00454428" w:rsidRDefault="00000000" w:rsidP="00C72BA8">
      <w:pPr>
        <w:pStyle w:val="a4"/>
        <w:rPr>
          <w:lang w:val="ar-SA"/>
        </w:rPr>
      </w:pPr>
      <w:bookmarkStart w:id="76" w:name="_Toc227251078"/>
      <w:bookmarkStart w:id="77" w:name="_Toc227251388"/>
      <w:r>
        <w:rPr>
          <w:rFonts w:ascii="Arial Unicode MS" w:eastAsia="Arial Unicode MS" w:hAnsi="Arial Unicode MS" w:hint="cs"/>
          <w:rtl/>
          <w:lang w:val="ar-SA"/>
        </w:rPr>
        <w:lastRenderedPageBreak/>
        <w:t>الفرع الثاني</w:t>
      </w:r>
      <w:bookmarkStart w:id="78" w:name="_Hlk193407937"/>
      <w:bookmarkEnd w:id="76"/>
      <w:bookmarkEnd w:id="77"/>
    </w:p>
    <w:p w14:paraId="19605395" w14:textId="77777777" w:rsidR="00454428" w:rsidRDefault="00000000" w:rsidP="00C72BA8">
      <w:pPr>
        <w:pStyle w:val="a4"/>
        <w:rPr>
          <w:lang w:val="ar-SA"/>
        </w:rPr>
      </w:pPr>
      <w:bookmarkStart w:id="79" w:name="_Toc227251079"/>
      <w:bookmarkStart w:id="80" w:name="_Toc227251389"/>
      <w:r>
        <w:rPr>
          <w:rFonts w:ascii="Arial Unicode MS" w:eastAsia="Arial Unicode MS" w:hAnsi="Arial Unicode MS" w:hint="cs"/>
          <w:rtl/>
          <w:lang w:val="ar-SA"/>
        </w:rPr>
        <w:t>مفهوم الملكية الفكرية الإلكترونية</w:t>
      </w:r>
      <w:bookmarkEnd w:id="79"/>
      <w:bookmarkEnd w:id="80"/>
    </w:p>
    <w:bookmarkEnd w:id="78"/>
    <w:p w14:paraId="1F732E28" w14:textId="77408719"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يعتبر اختراع الحاسوب وتحويله إلى منتج تجاري خطوةً جوهريةً في تاريخ التكنولوجيا القانونية والإدارية؛ لما أتاحه من قدرات فائقة في جمع المعطيات القانونية، وتخزينها بصورة منهجية، ومعالجتها، وتحليلها بسرعة استثنائية، مقارنةً بالأساليب التقليدية، وقد أدى انتشار الحاسوب في الأسواق إلى إحداث نقلة نوعية في التعامل مع الكم المعلوماتي الهائل، خصوصًا في مجالات الأحوال الشخصية، والتسجيل العقاري، والوثائق الرسمية؛ حيث باتت الأنظمة الرقمية تدعم مبدأ الأمن القانوني، وتسهيل الوصول إلى المصادر مع الحفاظ على سريتها، كما أسهمت الابتكارات المصاحبة لهذه الثورة، مثل</w:t>
      </w:r>
      <w:r>
        <w:rPr>
          <w:rFonts w:ascii="Times New Roman" w:hAnsi="Times New Roman"/>
          <w:sz w:val="24"/>
          <w:szCs w:val="24"/>
          <w:rtl/>
          <w:lang w:val="ar-SA"/>
        </w:rPr>
        <w:t xml:space="preserve">: </w:t>
      </w:r>
      <w:r>
        <w:rPr>
          <w:rFonts w:cs="Times New Roman"/>
          <w:sz w:val="24"/>
          <w:szCs w:val="24"/>
          <w:rtl/>
          <w:lang w:val="ar-SA"/>
        </w:rPr>
        <w:t>الأجهزة اللوحية، والهواتف الذكية، وأنظمة التخزين الخارجي، والحوسبة السحابية في رسم معالم الوسائط المتعددة، التي دمجت الصوت، والنص، والصورة، والرسوم البيانية داخل إطار واحد؛ ممَّا فتح آفاقًا لاعتمادها في العروض القضائية الإلكترونية والتعليم القانوني عن بُعد</w:t>
      </w:r>
      <w:r>
        <w:rPr>
          <w:rFonts w:ascii="Times New Roman" w:hAnsi="Times New Roman"/>
          <w:sz w:val="24"/>
          <w:szCs w:val="24"/>
          <w:rtl/>
          <w:lang w:val="ar-SA"/>
        </w:rPr>
        <w:t xml:space="preserve">. </w:t>
      </w:r>
      <w:r w:rsidR="005B098D" w:rsidRPr="005B098D">
        <w:rPr>
          <w:rFonts w:ascii="Times New Roman" w:hAnsi="Times New Roman" w:hint="default"/>
          <w:sz w:val="24"/>
          <w:szCs w:val="24"/>
          <w:vertAlign w:val="superscript"/>
        </w:rPr>
        <w:t>)</w:t>
      </w:r>
      <w:r w:rsidR="005B098D" w:rsidRPr="005B098D">
        <w:rPr>
          <w:rStyle w:val="aa"/>
          <w:rFonts w:ascii="Times New Roman" w:hAnsi="Times New Roman" w:hint="default"/>
          <w:sz w:val="24"/>
          <w:szCs w:val="24"/>
          <w:rtl/>
          <w:lang w:val="ar-SA"/>
        </w:rPr>
        <w:footnoteReference w:id="27"/>
      </w:r>
      <w:r w:rsidR="005B098D" w:rsidRPr="005B098D">
        <w:rPr>
          <w:rFonts w:ascii="Times New Roman" w:hAnsi="Times New Roman" w:hint="default"/>
          <w:sz w:val="24"/>
          <w:szCs w:val="24"/>
          <w:vertAlign w:val="superscript"/>
        </w:rPr>
        <w:t>(</w:t>
      </w:r>
    </w:p>
    <w:p w14:paraId="20BE82C2"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تحولت هذه الاختراعات إلى قاعدة اقتصادية منتجة للاقتصاد المعرفي؛ حيث شكلت صناعة البرمجيات والمنصات الرقمية قطاعًا حيويًا؛ لجذب الاستثمارات العالمية، واستقطاب الكفاءات المهنية المتخصصة في مجال الاستشارات القانونية التقنية، ثم برز الإنترنت أو شبكة المعلومات العالمية باعتباره الطريق السريع الدولي لنقل البيانات بعدما جمع بين الحواسيب، والهواتف الذكية، والأقمار الصناعية، وكابلات الألياف الضوئية ضمن بنية تحتية متكاملة؛ لتبادل البيانات عبر بروتوكولات موحدة مكنت الحكومات، والمؤسسات، والشركات القانونية من تبادل المستندات الرسمية والأبحاث القضائية بصورة إلكترونية فورية، وتوفر هذه الشبكة طيفًا واسعًا من الخدمات الإلكترونية التي تشمل بوابات المحاكم الرقمية، ومنصات التوقيع الإلكتروني، والمحاكم الافتراضية، ومحركات البحث المتخصصة في الاجتهادات القضائية والقوانين المقارنة؛ ممَّا يتيح للقضاة، والمحامين، والباحثين الاطلاع على الآراء الفقهية والمعايير التشريعية عالميًا</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8"/>
      </w:r>
      <w:r>
        <w:rPr>
          <w:rFonts w:ascii="Times New Roman" w:hAnsi="Times New Roman"/>
          <w:sz w:val="24"/>
          <w:szCs w:val="24"/>
          <w:vertAlign w:val="superscript"/>
          <w:rtl/>
          <w:lang w:val="ar-SA"/>
        </w:rPr>
        <w:t>)</w:t>
      </w:r>
    </w:p>
    <w:p w14:paraId="47AB183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لا شك أنَّ التطوُّر التكنولوجي في وسائل الاتصالات وتقنيات الإرسال وانفتاح الحدود الدولية ساهم بصورة كبيرة في سهولة بث، ونقل، ونسخ المعلومات للأشخاص؛ حيث إنَّ الأفكار كلما زادت قيمتها التجارية أصبحت عرضةً لعمليات القرصنة والسرقة الأدبية؛ لذا يلزم على كافة التشريعات الوطنية والدولية حمايتها من أي اعتداءات، أو انتهاكات، أو تعديات على الملكية الفكرية، كما يشكل البث عبر الإنترنت خطورةً على حق المؤلف من ناحية إمكانية تحوير العمل وتحويله كما يمكن نسخة بسهولة، وقد حاول أصحاب الحقوق حماية حقوقهم المبثوثة عبر الإنترنت عن طريق تشفير الأوامر داخل البرنامج المحدد حتى لا يمكن نسخة، إلا أنَّ هذه الوسائل لم تؤدِّ إلى الحماية الكاملة، خاصةً أنَّ أعمال القرصنة أوجدت لها سوقًا لفك الشفرات إزاء هذه الاعتداءات المتكررة، كما ثارت العديد من النزاعات في مجال حق المؤلف</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29"/>
      </w:r>
      <w:r>
        <w:rPr>
          <w:rFonts w:ascii="Times New Roman" w:hAnsi="Times New Roman"/>
          <w:sz w:val="20"/>
          <w:szCs w:val="20"/>
          <w:vertAlign w:val="superscript"/>
          <w:rtl/>
          <w:lang w:val="ar-SA"/>
        </w:rPr>
        <w:t>)</w:t>
      </w:r>
    </w:p>
    <w:p w14:paraId="09CD5B6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lastRenderedPageBreak/>
        <w:t>رغم التنوع الواسع للخدمات الإلكترونية التي توفرها شبكة المعلومات العالمية ومحتواها المتجدد باستمرار يتعرض هذا المجال إلى مشكلات قانونية جوهرية تتعلق بضمان سرية المعلومات وحمايتها من الاختراق والتلاعب، وتجلت أهمية معالجة هذه التحديات في سعي الدول المتقدمة إلى استحداث إطار تشريعي منظم يعزّز من حماية المحتوى الرقمي، ويكفل حفظ الحقوق الفكرية للمبدعين والمؤلفين، وقد عبّرت قوانين الملكية الفكرية الدولية والإقليمية عن هذا التوجه عبر وضع تعريفات دقيقة للحقوق، والمحظورات، واشتراطات الترخيص، كما تهدف هذه الاجراءات إلى ردع الاعتداءات على المصنفات الرقمية، مثل</w:t>
      </w:r>
      <w:r>
        <w:rPr>
          <w:rFonts w:ascii="Times New Roman" w:hAnsi="Times New Roman"/>
          <w:sz w:val="24"/>
          <w:szCs w:val="24"/>
          <w:rtl/>
          <w:lang w:val="ar-SA"/>
        </w:rPr>
        <w:t xml:space="preserve">: </w:t>
      </w:r>
      <w:r>
        <w:rPr>
          <w:rFonts w:cs="Times New Roman"/>
          <w:sz w:val="24"/>
          <w:szCs w:val="24"/>
          <w:rtl/>
          <w:lang w:val="ar-SA"/>
        </w:rPr>
        <w:t>القرصنة، والاقتباس غير المشروع، والتقليد غير المصرّح به، ويأخذ إطار الحماية في الاعتبار جملةً من الانتهاكات المحتملة التي قد تمس المصالح المعنوية والمادية للأصحاب الأصليين للأعمال، ولتحقيق ذلك ظهرت مواد متخصصة تتناول الجزاءات المدنية والجنائية، والعقوبات الزجرية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0"/>
      </w:r>
      <w:r>
        <w:rPr>
          <w:rFonts w:ascii="Times New Roman" w:hAnsi="Times New Roman"/>
          <w:sz w:val="24"/>
          <w:szCs w:val="24"/>
          <w:vertAlign w:val="superscript"/>
          <w:rtl/>
          <w:lang w:val="ar-SA"/>
        </w:rPr>
        <w:t>)</w:t>
      </w:r>
    </w:p>
    <w:p w14:paraId="2638AC0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 xml:space="preserve"> ومن الناحية التنظيمية</w:t>
      </w:r>
      <w:r>
        <w:rPr>
          <w:rFonts w:ascii="Times New Roman" w:hAnsi="Times New Roman"/>
          <w:sz w:val="24"/>
          <w:szCs w:val="24"/>
          <w:rtl/>
          <w:lang w:val="ar-SA"/>
        </w:rPr>
        <w:t xml:space="preserve">: </w:t>
      </w:r>
      <w:r>
        <w:rPr>
          <w:rFonts w:cs="Times New Roman"/>
          <w:sz w:val="24"/>
          <w:szCs w:val="24"/>
          <w:rtl/>
          <w:lang w:val="ar-SA"/>
        </w:rPr>
        <w:t>أدى هذا التحول إلى رفع مستوى الشفافية، وتسهيل الاطلاع على المعلومات التشريعية والقضائية، وتقليص الإجراءات البيروقراطية في المحاكم وسجلات الأحوال؛ ممَّا ساهم في تحسين كفاءة الإدارة القضائية، وتعزيز ثقة الأفراد في المنظومة القانونية الرقمية، وقد استوجبت هذه البيئة المعلوماتية رسم استراتيجيات وطنية للأمن السيبراني، تتضمن تطوير أطرًا قانونيةً لمحاربة الجرائم الإلكترونية، والتحقيق في الجرائم المالية عبر الشبكات الرقمية، واعتماد معاهد وطنية للخبرة القانونية التقنية، وأخيرًا يستمر هذا التطوُّر في تحفيز التنسيق الدولي لتوحيد المعايير التقنية والقانونية وضمان حق الدول في إدارة مواردها الرقمية، وحماية بيانات مواطنيها، ضمن مبدأ التعاون والتكامل؛ لتأسيس نظام رقمي عالمي يستند إلى قواعد القانون الدولي والسيادة الرقمية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31"/>
      </w:r>
      <w:r>
        <w:rPr>
          <w:rFonts w:ascii="Times New Roman" w:hAnsi="Times New Roman"/>
          <w:sz w:val="24"/>
          <w:szCs w:val="24"/>
          <w:vertAlign w:val="superscript"/>
          <w:rtl/>
          <w:lang w:val="ar-SA"/>
        </w:rPr>
        <w:t>)</w:t>
      </w:r>
    </w:p>
    <w:p w14:paraId="57E6C795" w14:textId="11B2979F" w:rsidR="00454428" w:rsidRPr="00B57F5C"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علاوةً على تنظيم اختصاصات الجهات الرقابية والمحاكم الإلكترونية لتسوية المنازعات بكفاءة واقتدار، ومع توسع شبكة الإنترنت؛ بات من الممكن إصدار التراخيص الإلكترونية، واستغلال المنتجات الفكرية عبر المنصات الرقمية بتكاليف مخفضة، ونطاق جغرافي واسع يشمل معظم مناطق العالم، وتساهم هذه الإمكانية في تنمية اقتصاد المعرفة، ودعم الصناعات الإبداعية من خلال تسويق الكتب، والمقالات، والبرمجيات، والأعمال الفنية عبر قنوات رقمية مهيكلة، غير أنَّ ذلك يضع المسئولية على عاتق المشرع بمواصلة تطوير الآليات القانونية لمكافحة الانتهاكات الإلكترونية، وضبط عمليات التحميل والنسخ غير المشروع، وبينما توفّر بروتوكولات الحماية الرقمية إجراءات تقنية لمنع التلاعب؛ تبرز الحاجة أيضًا إلى معاهدات دولية توحّد المعايير، وتشدد إجراءات النفاذ عبر الحدود، وتجدر الإشارة إلى دور الجمعيات والمؤسسات الدولية في نشر الوعي بحقوق الملكية الفكرية، وتنظيم ورش العمل، والتدريب على الإجراءات القانونية والتقنية، وأخيرًا يبقى التحدي الماثل أمام المشرعات الوطنية والإقليمية هو تحقيق التوازن بين تشجيع الإبداع ونشر المعرفة وبين حماية حقوق المبدعين؛ لضمان استدامة المنظومة الرقمية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2"/>
      </w:r>
      <w:r>
        <w:rPr>
          <w:rFonts w:ascii="Times New Roman" w:hAnsi="Times New Roman"/>
          <w:sz w:val="24"/>
          <w:szCs w:val="24"/>
          <w:vertAlign w:val="superscript"/>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يمكن تعريف الملكية الفكرية الإلكترونية بأنَّها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المنشأة للإبداع الأدبي، أو الفني، أو العلمي، والإبداع الفكري مدمجة بشكل في فضاء مادي أو إلكتروني، باستخدام وسائل إلكترونية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3"/>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كما يمكن تعريف الملكية الفكرية الإلكترونية على أنَّها</w:t>
      </w:r>
      <w:r>
        <w:rPr>
          <w:rFonts w:ascii="Times New Roman" w:hAnsi="Times New Roman"/>
          <w:sz w:val="24"/>
          <w:szCs w:val="24"/>
          <w:rtl/>
          <w:lang w:val="ar-SA"/>
        </w:rPr>
        <w:t>: "</w:t>
      </w:r>
      <w:r>
        <w:rPr>
          <w:rFonts w:cs="Times New Roman"/>
          <w:sz w:val="24"/>
          <w:szCs w:val="24"/>
          <w:rtl/>
          <w:lang w:val="ar-SA"/>
        </w:rPr>
        <w:t xml:space="preserve">مجموعة الحقوق المادية والمعنوية الممنوحة للابتكار والإبداع الذهني في المجالات الأدبية، أو الفنية، أو العلمية، والتي </w:t>
      </w:r>
      <w:r>
        <w:rPr>
          <w:rFonts w:cs="Times New Roman"/>
          <w:sz w:val="24"/>
          <w:szCs w:val="24"/>
          <w:rtl/>
          <w:lang w:val="ar-SA"/>
        </w:rPr>
        <w:lastRenderedPageBreak/>
        <w:t>تتجسد في أشكال رقمية تستخدم الوسائل الإلكترونية في الإنتاج والنشر</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4"/>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4B83791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ولا شك أنَّ حماية الملكية الفكرية الإلكترونية تتطلب تقسيم الملكية بين مادية خبرتها متمثلة في الإنسان، وبين الملكية المستخدمة في الواقع الرقمي، ويتطلب التطوُّر التكنولوجي في مجال الحوسبة الرقمية الكشف عن أهمية نظم الملكية الفكرية عامة، والبحث في إمكانية تطبيق التشريعات القائمة على الملكية الفكرية الإلكترونية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5"/>
      </w:r>
      <w:r>
        <w:rPr>
          <w:rFonts w:ascii="Times New Roman" w:hAnsi="Times New Roman"/>
          <w:sz w:val="20"/>
          <w:szCs w:val="20"/>
          <w:vertAlign w:val="superscript"/>
          <w:rtl/>
          <w:lang w:val="ar-SA"/>
        </w:rPr>
        <w:t>)</w:t>
      </w:r>
    </w:p>
    <w:p w14:paraId="0DCA538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والفرق الجوهري بين الملكية الفكرية التقليدية، والملكية الفكرية الإلكترونية، من حيث وسيط العرض وأسلوب الحماية، فبينما كانت الأولى ترتكز على أشكال مادية</w:t>
      </w:r>
      <w:r>
        <w:rPr>
          <w:rFonts w:ascii="Times New Roman" w:hAnsi="Times New Roman"/>
          <w:sz w:val="24"/>
          <w:szCs w:val="24"/>
          <w:rtl/>
          <w:lang w:val="ar-SA"/>
        </w:rPr>
        <w:t xml:space="preserve">: </w:t>
      </w:r>
      <w:r>
        <w:rPr>
          <w:rFonts w:cs="Times New Roman"/>
          <w:sz w:val="24"/>
          <w:szCs w:val="24"/>
          <w:rtl/>
          <w:lang w:val="ar-SA"/>
        </w:rPr>
        <w:t>كالكتب، والأشرطة، والرسوم؛ فإنَّ الثانية تضم البرمجيات، وقواعد البيانات والتصاميم الرقمية، والمحتوى السمعي والبصري الموزع على الشبكات الرقمية، ويتيح هذا التوسع الرقمي ظهور حقوق جديدة تفرض ضوابط تتعلق بعمليات النسخ، والتوزيع، والاطلاع الإلكتروني، وقد استوجب ذلك تطوير نظم تراخيص إلكترونية مرنة تحدد شروط الاستخدام، وإعادة الإنتاج في بيئات الحوسبة السحابية والمنصات الرقمية، كما يتطلب إعلان الإصدار الرقمي، والتوثيق الإلكتروني؛ لضمان إثبات الأولوية، والحيازة، وتقليص أخطار التزوير، ويستقل إطار الحماية الإلكترونية عن التصنيف التقليدي بفروعه الخمسة؛ ليواكب خصوصية المحتوى الرقمي ومتطلبات تشفيره، وإخفائه، وإعادة عرضه، ويستلزم هذا التوجه استحداث نصوص قانونية متخصصة تعالج تجاوزات القرصنة الرقمية والاختراق غير المشروع والتلاعب بالبيانات، ويسهم التنسيق الدولي في تبني معايير مشتركة لحماية الحقوق الإلكترونية عبر الحدود، وعلاوةً على ذلك</w:t>
      </w:r>
      <w:r>
        <w:rPr>
          <w:rFonts w:ascii="Times New Roman" w:hAnsi="Times New Roman"/>
          <w:sz w:val="24"/>
          <w:szCs w:val="24"/>
          <w:rtl/>
          <w:lang w:val="ar-SA"/>
        </w:rPr>
        <w:t xml:space="preserve">: </w:t>
      </w:r>
      <w:r>
        <w:rPr>
          <w:rFonts w:cs="Times New Roman"/>
          <w:sz w:val="24"/>
          <w:szCs w:val="24"/>
          <w:rtl/>
          <w:lang w:val="ar-SA"/>
        </w:rPr>
        <w:t>يوفر ترخيص المحتوى الإلكتروني فرصًا تجاريةً واسعةً بأقل التكاليف، وأقصى انتشار جغرافي ممَّا يعزّز اقتصاد المعرفة ويحفز الابتكار في العصر الرقمي، وبذلك يعكس مفهوم الملكية الفكرية الإلكترونية تطوُّر التشريع لتلبية تحديات الوسائط الحديثة وضمان توازن بين تشجيع الإبداع وحماية حقوق المبدعين</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6"/>
      </w:r>
      <w:r>
        <w:rPr>
          <w:rFonts w:ascii="Times New Roman" w:hAnsi="Times New Roman"/>
          <w:sz w:val="24"/>
          <w:szCs w:val="24"/>
          <w:vertAlign w:val="superscript"/>
          <w:rtl/>
          <w:lang w:val="ar-SA"/>
        </w:rPr>
        <w:t>)</w:t>
      </w:r>
    </w:p>
    <w:p w14:paraId="25F27360" w14:textId="77777777"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w:t>
      </w:r>
      <w:r>
        <w:rPr>
          <w:rFonts w:ascii="Times New Roman" w:hAnsi="Times New Roman"/>
          <w:sz w:val="24"/>
          <w:szCs w:val="24"/>
          <w:rtl/>
          <w:lang w:val="ar-SA"/>
        </w:rPr>
        <w:t>(</w:t>
      </w:r>
      <w:r>
        <w:rPr>
          <w:rFonts w:cs="Times New Roman"/>
          <w:sz w:val="24"/>
          <w:szCs w:val="24"/>
          <w:rtl/>
          <w:lang w:val="ar-SA"/>
        </w:rPr>
        <w:t>المحتوى</w:t>
      </w:r>
      <w:r>
        <w:rPr>
          <w:rFonts w:ascii="Times New Roman" w:hAnsi="Times New Roman"/>
          <w:sz w:val="24"/>
          <w:szCs w:val="24"/>
          <w:rtl/>
          <w:lang w:val="ar-SA"/>
        </w:rPr>
        <w:t>)</w:t>
      </w:r>
      <w:r>
        <w:rPr>
          <w:rFonts w:cs="Times New Roman"/>
          <w:sz w:val="24"/>
          <w:szCs w:val="24"/>
          <w:rtl/>
          <w:lang w:val="ar-SA"/>
        </w:rPr>
        <w:t>،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7"/>
      </w:r>
      <w:r>
        <w:rPr>
          <w:rFonts w:ascii="Times New Roman" w:hAnsi="Times New Roman"/>
          <w:sz w:val="20"/>
          <w:szCs w:val="20"/>
          <w:vertAlign w:val="superscript"/>
          <w:rtl/>
          <w:lang w:val="ar-SA"/>
        </w:rPr>
        <w:t>)</w:t>
      </w:r>
    </w:p>
    <w:p w14:paraId="149787E8" w14:textId="514E6797" w:rsidR="00454428" w:rsidRPr="00B57F5C"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rPr>
      </w:pPr>
      <w:r>
        <w:rPr>
          <w:rFonts w:cs="Times New Roman"/>
          <w:sz w:val="24"/>
          <w:szCs w:val="24"/>
          <w:rtl/>
          <w:lang w:val="ar-SA"/>
        </w:rPr>
        <w:t>وتُعَدُّ حماية الملكية الفكرية في العصر الإلكتروني من الأمور بالغة الأهمية؛ حيث سهل العصر الإلكتروني عمليات نسخ الكتب باستخدام آلات نسخ ضوئية سريعة الاستخدام، والجدير بالذكر</w:t>
      </w:r>
      <w:r>
        <w:rPr>
          <w:rFonts w:ascii="Times New Roman" w:hAnsi="Times New Roman"/>
          <w:sz w:val="24"/>
          <w:szCs w:val="24"/>
          <w:rtl/>
          <w:lang w:val="ar-SA"/>
        </w:rPr>
        <w:t xml:space="preserve">: </w:t>
      </w:r>
      <w:r>
        <w:rPr>
          <w:rFonts w:cs="Times New Roman"/>
          <w:sz w:val="24"/>
          <w:szCs w:val="24"/>
          <w:rtl/>
          <w:lang w:val="ar-SA"/>
        </w:rPr>
        <w:t>أنَّ الناس عادة ما يفضلون شراء الكتب، في حين أنَّ نسخ برامج الكمبيوتر على قرص مرن يمكن أنْ يتم في ثوان معدودة، ويهدد التحول إلى استخدام الأجهزة البرمجية أو الإلكترونية بتعقيد المشكلة، وعلى سبيل المثال</w:t>
      </w:r>
      <w:r>
        <w:rPr>
          <w:rFonts w:ascii="Times New Roman" w:hAnsi="Times New Roman"/>
          <w:sz w:val="24"/>
          <w:szCs w:val="24"/>
        </w:rPr>
        <w:t>:</w:t>
      </w:r>
      <w:r>
        <w:rPr>
          <w:rFonts w:cs="Times New Roman"/>
          <w:sz w:val="24"/>
          <w:szCs w:val="24"/>
          <w:rtl/>
          <w:lang w:val="ar-SA"/>
        </w:rPr>
        <w:t xml:space="preserve"> فإنَّ القوانين الحالية لحق النشر والتأليف في معظم </w:t>
      </w:r>
      <w:r>
        <w:rPr>
          <w:rFonts w:cs="Times New Roman"/>
          <w:sz w:val="24"/>
          <w:szCs w:val="24"/>
          <w:rtl/>
          <w:lang w:val="ar-SA"/>
        </w:rPr>
        <w:lastRenderedPageBreak/>
        <w:t xml:space="preserve">البلدان لا تحمي حق النشر والتأليف للمادة الموجودة على خدمة الكمبيوتر مباشر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8"/>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 xml:space="preserve">لذلك من الضروري الوقوف على حقوق المؤلف لمعرفة ما تحويه من دلالات ومفاهيم، وأثر التكنولوجيا الحديثة على تلك الحقوق؛ حيث تنوع المصادر وطرق الوصول للمعلومات، كذلك تنوع وسائل النشر المختلفة فلم تقتصر على المواد المطبوعة بالطرق التقليدية </w:t>
      </w:r>
      <w:r>
        <w:rPr>
          <w:rFonts w:ascii="Times New Roman" w:hAnsi="Times New Roman"/>
          <w:sz w:val="24"/>
          <w:szCs w:val="24"/>
          <w:rtl/>
          <w:lang w:val="ar-SA"/>
        </w:rPr>
        <w:t>(</w:t>
      </w:r>
      <w:r>
        <w:rPr>
          <w:rFonts w:cs="Times New Roman"/>
          <w:sz w:val="24"/>
          <w:szCs w:val="24"/>
          <w:rtl/>
          <w:lang w:val="ar-SA"/>
        </w:rPr>
        <w:t>الورقية</w:t>
      </w:r>
      <w:r>
        <w:rPr>
          <w:rFonts w:ascii="Times New Roman" w:hAnsi="Times New Roman"/>
          <w:sz w:val="24"/>
          <w:szCs w:val="24"/>
          <w:rtl/>
          <w:lang w:val="ar-SA"/>
        </w:rPr>
        <w:t>)</w:t>
      </w:r>
      <w:r>
        <w:rPr>
          <w:rFonts w:cs="Times New Roman"/>
          <w:sz w:val="24"/>
          <w:szCs w:val="24"/>
          <w:rtl/>
          <w:lang w:val="ar-SA"/>
        </w:rPr>
        <w:t xml:space="preserve">، بل تخطى هذا وأصبح هناك ما يعرف بالنشر الإلكتروني حتى وصلت إلى النشر على الإنترنت في العصر الحالي، أو ما يعرف بالملكية الفكرية الرقمية، أو الملكية الفكرية للمصنفات الرقمية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9"/>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1445986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توضح الاجتهادات القانونية أنَّ الحقوق الفكرية تندرج ضمن الحقوق العينية التي تنشأ عن الإبداع الفكري والابتكار، ولا تشمل الحقوق الشخصية المتصلة باسم الفرد أو بسلامته الجسدية أو بحريته في التعبير؛ إذ يخطئ بعض الفقه في تصنيف الحقوق الفكرية ضمن الحقوق الشخصية، ويؤكد القانون أنَّ الحقوق الشخصية لا تُعَدُّ حقوقًا ذات طابع مالي، ومِنْ ثَمَّ فهي غير قابلة للتداول، أو التنازل، أو الحجز، أو الانتقال بالوراثة، بينما تتسم الحقوق الفكرية بإمكانية التنازل عنها، أو منح تراخيص استغلالها لأطراف ثالثة بمقابل مادي أو غير مادي، وتتمتع هذه الحقوق بقابلية الانتقال بالوراثة وفق الشروط المقررة في التشريعات الوطنية والدولية، ويستقل إطار الحماية الفكرية عن التصنيف التقليدي بفروعه الخمسة؛ ليعكس خصوصية المصنفات الرقمية والتكنولوجية ومتطلبات تشفيرها وإدارتها، وتفرض القوانين الدولية والإقليمية تعريفاتٍ دقيقةً للحقوق والمحظورات واشتراطات التسجيل أو الإعلان الإلكتروني للمصنف؛ لضمان إثبات الأولوية والحيازة، كما تضمّن التشريع ردع الاعتداءات على المصنفات الفكرية، مثل</w:t>
      </w:r>
      <w:r>
        <w:rPr>
          <w:rFonts w:ascii="Times New Roman" w:hAnsi="Times New Roman"/>
          <w:sz w:val="24"/>
          <w:szCs w:val="24"/>
          <w:rtl/>
          <w:lang w:val="ar-SA"/>
        </w:rPr>
        <w:t xml:space="preserve">: </w:t>
      </w:r>
      <w:r>
        <w:rPr>
          <w:rFonts w:cs="Times New Roman"/>
          <w:sz w:val="24"/>
          <w:szCs w:val="24"/>
          <w:rtl/>
          <w:lang w:val="ar-SA"/>
        </w:rPr>
        <w:t>القرصنة، والتقليد غير المصرّح به، ويسهم الفصل بين الحقوق الشخصية والفكرية في توفير حماية مزدوجة تراعى كرامة الفرد واستقلالية الملكية الفكرية، ويعتمد تفعيل هذه الحماية على تنسيق الجهود بين الجهات الرقابية ومزوِّدي خدمات الإنترنت والمحاكم المتخصصة في المنازعات الرقمية، واستحداث نظم تراخيص إلكترونية مرنة وآليات مراقبة الانتهاكات عبر الحدود الرقمية، ويؤكد القضاء المختص على أهمية وضوح التعريفات والمفاهيم لكل فئة من الحقوق؛ لضمان تحقيق التوازن بين حماية الحقوق الإنسانية وتشجيع الابتكار في الفضاء الرقمي، وتظل المتابعة التشريعية مستمرةً لمواكبة التطوُّرات التقنية وتطوير الأطر القانونية المتخصصة في الملكية الفكرية الإلكترونية، وبذلك يعكس النظام القانوني التكاملي تطوُّر الفكر التشريعي؛ لتلبية تحديات العصر الرقمي وضمان استدامة المنظومة الفكرية والإبداعية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0"/>
      </w:r>
      <w:r>
        <w:rPr>
          <w:rFonts w:ascii="Times New Roman" w:hAnsi="Times New Roman"/>
          <w:sz w:val="24"/>
          <w:szCs w:val="24"/>
          <w:vertAlign w:val="superscript"/>
          <w:rtl/>
          <w:lang w:val="ar-SA"/>
        </w:rPr>
        <w:t>)</w:t>
      </w:r>
    </w:p>
    <w:p w14:paraId="682CFB98" w14:textId="054AEF31"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تهدف الملكية الفكرية إلى تشجيع الابتكار والإبداع من خلال توفير حماية قانونية للمبدعين؛ ممَّا يتيح لهم الاستفادة من أعمالهم واختراعاتهم بشكل حصري لفترة زمنية محددة، وبالتالي</w:t>
      </w:r>
      <w:r>
        <w:rPr>
          <w:rFonts w:ascii="Times New Roman" w:hAnsi="Times New Roman"/>
          <w:sz w:val="24"/>
          <w:szCs w:val="24"/>
          <w:rtl/>
          <w:lang w:val="ar-SA"/>
        </w:rPr>
        <w:t xml:space="preserve">: </w:t>
      </w:r>
      <w:r>
        <w:rPr>
          <w:rFonts w:cs="Times New Roman"/>
          <w:sz w:val="24"/>
          <w:szCs w:val="24"/>
          <w:rtl/>
          <w:lang w:val="ar-SA"/>
        </w:rPr>
        <w:t>تحفيز المزيد من التطوُّر والتقدم في مختلف المجالات</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1"/>
      </w:r>
      <w:r>
        <w:rPr>
          <w:rFonts w:ascii="Times New Roman" w:hAnsi="Times New Roman"/>
          <w:sz w:val="24"/>
          <w:szCs w:val="24"/>
          <w:vertAlign w:val="superscript"/>
          <w:rtl/>
          <w:lang w:val="ar-SA"/>
        </w:rPr>
        <w:t>)</w:t>
      </w:r>
      <w:r w:rsidR="00FD2A46">
        <w:rPr>
          <w:rFonts w:ascii="Times New Roman" w:hAnsi="Times New Roman" w:hint="default"/>
          <w:sz w:val="24"/>
          <w:szCs w:val="24"/>
          <w:vertAlign w:val="superscript"/>
        </w:rPr>
        <w:t xml:space="preserve"> </w:t>
      </w:r>
      <w:r>
        <w:rPr>
          <w:rFonts w:cs="Times New Roman"/>
          <w:sz w:val="24"/>
          <w:szCs w:val="24"/>
          <w:rtl/>
          <w:lang w:val="ar-SA"/>
        </w:rPr>
        <w:t>بعدما استعرضنا مفهوم الملكية الفكرية الإلكترونية وما يستتبعها من تحولات وتوجهات رقمية متجددة، نتوجه لاستقصاء أهمية، وأنواع، وأهداف الملكية الفكرية في المطلب الثاني في ظل تحديات العصر الحديث، على سبيل المثال، وسوف نوضح ذلك من خلال بيان أنواع حقوق المؤلف</w:t>
      </w:r>
      <w:r>
        <w:rPr>
          <w:rFonts w:ascii="Times New Roman" w:hAnsi="Times New Roman"/>
          <w:sz w:val="24"/>
          <w:szCs w:val="24"/>
          <w:rtl/>
          <w:lang w:val="ar-SA"/>
        </w:rPr>
        <w:t>:</w:t>
      </w:r>
    </w:p>
    <w:p w14:paraId="20BCE3FE" w14:textId="77777777" w:rsidR="00454428" w:rsidRDefault="00000000">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 المالي والحق الأدبي للمؤلف</w:t>
      </w:r>
      <w:r>
        <w:rPr>
          <w:rFonts w:ascii="Times New Roman" w:hAnsi="Times New Roman"/>
          <w:sz w:val="24"/>
          <w:szCs w:val="24"/>
          <w:rtl/>
          <w:lang w:val="ar-SA"/>
        </w:rPr>
        <w:t>.</w:t>
      </w:r>
    </w:p>
    <w:p w14:paraId="09833EB9" w14:textId="77777777" w:rsidR="00454428" w:rsidRDefault="00000000">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الحقوق المعنوية للمؤلف</w:t>
      </w:r>
      <w:r>
        <w:rPr>
          <w:rFonts w:ascii="Times New Roman" w:hAnsi="Times New Roman"/>
          <w:sz w:val="24"/>
          <w:szCs w:val="24"/>
          <w:rtl/>
          <w:lang w:val="ar-SA"/>
        </w:rPr>
        <w:t>.</w:t>
      </w:r>
    </w:p>
    <w:p w14:paraId="1686DBAC" w14:textId="77777777" w:rsidR="00454428" w:rsidRDefault="00000000" w:rsidP="00C72BA8">
      <w:pPr>
        <w:pStyle w:val="a4"/>
        <w:rPr>
          <w:b w:val="0"/>
          <w:bCs w:val="0"/>
          <w:lang w:val="ar-SA"/>
        </w:rPr>
      </w:pPr>
      <w:bookmarkStart w:id="81" w:name="_Toc227251080"/>
      <w:bookmarkStart w:id="82" w:name="_Toc227251390"/>
      <w:r>
        <w:rPr>
          <w:rFonts w:ascii="Arial Unicode MS" w:eastAsia="Arial Unicode MS" w:hAnsi="Arial Unicode MS" w:hint="cs"/>
          <w:rtl/>
          <w:lang w:val="ar-SA"/>
        </w:rPr>
        <w:lastRenderedPageBreak/>
        <w:t>المطلب الثاني</w:t>
      </w:r>
      <w:bookmarkStart w:id="83" w:name="_Hlk179396102"/>
      <w:bookmarkEnd w:id="81"/>
      <w:bookmarkEnd w:id="82"/>
    </w:p>
    <w:p w14:paraId="4EA60211" w14:textId="77777777" w:rsidR="00454428" w:rsidRDefault="00000000" w:rsidP="00C72BA8">
      <w:pPr>
        <w:pStyle w:val="a4"/>
        <w:rPr>
          <w:b w:val="0"/>
          <w:bCs w:val="0"/>
          <w:lang w:val="ar-SA"/>
        </w:rPr>
      </w:pPr>
      <w:bookmarkStart w:id="84" w:name="_Toc227251081"/>
      <w:bookmarkStart w:id="85" w:name="_Toc227251391"/>
      <w:r>
        <w:rPr>
          <w:rFonts w:ascii="Arial Unicode MS" w:eastAsia="Arial Unicode MS" w:hAnsi="Arial Unicode MS" w:hint="cs"/>
          <w:rtl/>
          <w:lang w:val="ar-SA"/>
        </w:rPr>
        <w:t>أ</w:t>
      </w:r>
      <w:bookmarkStart w:id="86" w:name="_Hlk193408756"/>
      <w:r>
        <w:rPr>
          <w:rFonts w:ascii="Arial Unicode MS" w:eastAsia="Arial Unicode MS" w:hAnsi="Arial Unicode MS" w:hint="cs"/>
          <w:rtl/>
          <w:lang w:val="ar-SA"/>
        </w:rPr>
        <w:t xml:space="preserve">همية </w:t>
      </w:r>
      <w:bookmarkEnd w:id="86"/>
      <w:r>
        <w:rPr>
          <w:rFonts w:ascii="Arial Unicode MS" w:eastAsia="Arial Unicode MS" w:hAnsi="Arial Unicode MS" w:hint="cs"/>
          <w:rtl/>
          <w:lang w:val="ar-SA"/>
        </w:rPr>
        <w:t xml:space="preserve">أهداف وحقوق وأنواع </w:t>
      </w:r>
      <w:bookmarkStart w:id="87" w:name="_Hlk179396111"/>
      <w:r>
        <w:rPr>
          <w:rFonts w:ascii="Arial Unicode MS" w:eastAsia="Arial Unicode MS" w:hAnsi="Arial Unicode MS" w:hint="cs"/>
          <w:rtl/>
          <w:lang w:val="ar-SA"/>
        </w:rPr>
        <w:t>الملكية الفكرية</w:t>
      </w:r>
      <w:bookmarkEnd w:id="84"/>
      <w:bookmarkEnd w:id="85"/>
      <w:bookmarkEnd w:id="87"/>
    </w:p>
    <w:bookmarkEnd w:id="83"/>
    <w:p w14:paraId="51AA22F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070B261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تُعَدُّ الملكية الفكرية من الركائز القانونية المهمة، التي تهدف إلى حماية الحقوق الناتجة عن الابتكار والإبداع، فهي تمنح أصحاب الحقوق أدوات قانونية لضمان الاستفادة الحصرية من نتاجهم الفكري، وتوفّر إطارًا ينظّم استخدام هذه الحقوق بما يحقق التوازن بين المصلحة الفردية والمصلحة العامة، ويستعرض هذا الفصل الأهداف القانونية للملكية الفكرية، وأنواع الحقوق التي تنشأ عنها، إضافةً إلى تصنيفها القانوني وفقًا للأنظمة المعتمدة</w:t>
      </w:r>
      <w:r>
        <w:rPr>
          <w:rFonts w:ascii="Times New Roman" w:hAnsi="Times New Roman"/>
          <w:sz w:val="24"/>
          <w:szCs w:val="24"/>
          <w:rtl/>
          <w:lang w:val="ar-SA"/>
        </w:rPr>
        <w:t>.</w:t>
      </w:r>
    </w:p>
    <w:p w14:paraId="51C0C5C0" w14:textId="77777777" w:rsidR="00454428" w:rsidRDefault="00000000" w:rsidP="00B57F5C">
      <w:pPr>
        <w:pStyle w:val="BodyA"/>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ما يلي</w:t>
      </w:r>
      <w:r>
        <w:rPr>
          <w:rFonts w:ascii="Times New Roman" w:hAnsi="Times New Roman"/>
          <w:sz w:val="24"/>
          <w:szCs w:val="24"/>
          <w:rtl/>
          <w:lang w:val="ar-SA"/>
        </w:rPr>
        <w:t>:</w:t>
      </w:r>
    </w:p>
    <w:p w14:paraId="6B6F3395" w14:textId="77777777" w:rsidR="00454428" w:rsidRDefault="00000000">
      <w:pPr>
        <w:pStyle w:val="BodyA"/>
        <w:numPr>
          <w:ilvl w:val="0"/>
          <w:numId w:val="37"/>
        </w:numPr>
        <w:spacing w:before="120" w:after="120" w:line="360" w:lineRule="auto"/>
        <w:rPr>
          <w:rFonts w:ascii="Times New Roman" w:eastAsia="Times New Roman" w:hAnsi="Times New Roman" w:cs="Times New Roman" w:hint="default"/>
          <w:sz w:val="24"/>
          <w:szCs w:val="24"/>
          <w:rtl/>
          <w:lang w:val="ar-SA"/>
        </w:rPr>
      </w:pPr>
      <w:bookmarkStart w:id="88" w:name="_Hlk195996544"/>
      <w:r>
        <w:rPr>
          <w:rFonts w:cs="Times New Roman"/>
          <w:b/>
          <w:bCs/>
          <w:sz w:val="24"/>
          <w:szCs w:val="24"/>
          <w:rtl/>
          <w:lang w:val="ar-SA"/>
        </w:rPr>
        <w:t xml:space="preserve">الفرع </w:t>
      </w:r>
      <w:bookmarkEnd w:id="88"/>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89" w:name="_Hlk193569938"/>
      <w:r>
        <w:rPr>
          <w:rFonts w:cs="Times New Roman"/>
          <w:sz w:val="24"/>
          <w:szCs w:val="24"/>
          <w:rtl/>
          <w:lang w:val="ar-SA"/>
        </w:rPr>
        <w:t>أهمية وأهداف حقوق الملكية الفكرية</w:t>
      </w:r>
      <w:bookmarkEnd w:id="89"/>
      <w:r>
        <w:rPr>
          <w:rFonts w:ascii="Times New Roman" w:hAnsi="Times New Roman"/>
          <w:sz w:val="24"/>
          <w:szCs w:val="24"/>
          <w:rtl/>
          <w:lang w:val="ar-SA"/>
        </w:rPr>
        <w:t>.</w:t>
      </w:r>
    </w:p>
    <w:p w14:paraId="241ADD5B" w14:textId="77777777" w:rsidR="00454428" w:rsidRDefault="00000000">
      <w:pPr>
        <w:pStyle w:val="BodyA"/>
        <w:numPr>
          <w:ilvl w:val="0"/>
          <w:numId w:val="37"/>
        </w:numPr>
        <w:spacing w:before="120" w:after="120" w:line="360" w:lineRule="auto"/>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أنواع حقوق الملكية الفكرية</w:t>
      </w:r>
      <w:r>
        <w:rPr>
          <w:rFonts w:ascii="Times New Roman" w:hAnsi="Times New Roman"/>
          <w:sz w:val="24"/>
          <w:szCs w:val="24"/>
          <w:rtl/>
          <w:lang w:val="ar-SA"/>
        </w:rPr>
        <w:t>.</w:t>
      </w:r>
    </w:p>
    <w:p w14:paraId="35AABA0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1B0AEA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22961B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8974922"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EDD5D0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1D47319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F46F38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F880C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B71B8E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4D01305"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D76861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7045543"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C47CAE0"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93EBD8E"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6FAC3A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D31D4E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BC1BB4D" w14:textId="77777777" w:rsidR="00454428" w:rsidRDefault="00000000" w:rsidP="00C72BA8">
      <w:pPr>
        <w:pStyle w:val="a4"/>
        <w:rPr>
          <w:b w:val="0"/>
          <w:bCs w:val="0"/>
          <w:lang w:val="ar-SA"/>
        </w:rPr>
      </w:pPr>
      <w:bookmarkStart w:id="90" w:name="_Hlk185710277"/>
      <w:bookmarkStart w:id="91" w:name="_Toc227251082"/>
      <w:bookmarkStart w:id="92" w:name="_Toc227251392"/>
      <w:r>
        <w:rPr>
          <w:rFonts w:ascii="Arial Unicode MS" w:eastAsia="Arial Unicode MS" w:hAnsi="Arial Unicode MS" w:hint="cs"/>
          <w:rtl/>
          <w:lang w:val="ar-SA"/>
        </w:rPr>
        <w:lastRenderedPageBreak/>
        <w:t>الفرع الأول</w:t>
      </w:r>
      <w:bookmarkEnd w:id="91"/>
      <w:bookmarkEnd w:id="92"/>
    </w:p>
    <w:p w14:paraId="223B257B" w14:textId="77777777" w:rsidR="00454428" w:rsidRDefault="00000000" w:rsidP="00C72BA8">
      <w:pPr>
        <w:pStyle w:val="a4"/>
        <w:rPr>
          <w:b w:val="0"/>
          <w:bCs w:val="0"/>
          <w:lang w:val="ar-SA"/>
        </w:rPr>
      </w:pPr>
      <w:bookmarkStart w:id="93" w:name="_Toc227251083"/>
      <w:bookmarkStart w:id="94" w:name="_Toc227251393"/>
      <w:r>
        <w:rPr>
          <w:rFonts w:ascii="Arial Unicode MS" w:eastAsia="Arial Unicode MS" w:hAnsi="Arial Unicode MS" w:hint="cs"/>
          <w:rtl/>
          <w:lang w:val="ar-SA"/>
        </w:rPr>
        <w:t>أهمية وأهداف حقوق الملكية الفكرية</w:t>
      </w:r>
      <w:bookmarkEnd w:id="93"/>
      <w:bookmarkEnd w:id="94"/>
    </w:p>
    <w:p w14:paraId="5219B5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حماية الملكية الفكرية ذات أهمية قصوى؛ لأنَّها تشجع على المنافسة المشروعية، وأيضًا تعمل على منع الصور المختلفة من الغش وتحارب التزوير والتقليد؛ لأنَّها تشجع على الابتكار الفردي، وبوجود حماية الملكية الفكرية تتمكن الدول من الوصول إلى التقنيات المختلفة للتكنولوجيا، والتي من خلالها تستطيع التقدم واللحاق بركب الدول المتقدمة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2"/>
      </w:r>
      <w:r>
        <w:rPr>
          <w:rFonts w:ascii="Times New Roman" w:hAnsi="Times New Roman"/>
          <w:sz w:val="20"/>
          <w:szCs w:val="20"/>
          <w:vertAlign w:val="superscript"/>
          <w:rtl/>
          <w:lang w:val="ar-SA"/>
        </w:rPr>
        <w:t>)</w:t>
      </w:r>
    </w:p>
    <w:p w14:paraId="3F53E25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حماية الملكية الفكرية لها دورٌ مهمٌ في تشجيع الابتكار والإبداع، كما يتم ضمان حقوق الملكية الفكرية للأفراد؛ لأنَّهم يشعرون بالثقة في استثمار وقتهم وجهودهم في البحث والتطوير؛ لإنتاج منتجات وخدمات جديدة ومبتكرة، ويعمل هذا التطوير على النمو الاقتصادي في البلاد، كما توجد تشريعات تحمي الملكية الفكرية في القوانين والاتفاقيات الدولية</w:t>
      </w:r>
      <w:r>
        <w:rPr>
          <w:rFonts w:ascii="Times New Roman" w:hAnsi="Times New Roman"/>
          <w:sz w:val="24"/>
          <w:szCs w:val="24"/>
          <w:rtl/>
          <w:lang w:val="ar-SA"/>
        </w:rPr>
        <w:t xml:space="preserve">. </w:t>
      </w:r>
    </w:p>
    <w:p w14:paraId="101ECEFE"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8"/>
          <w:szCs w:val="28"/>
          <w:lang w:val="ar-SA"/>
        </w:rPr>
      </w:pPr>
      <w:r>
        <w:rPr>
          <w:rFonts w:cs="Times New Roman"/>
          <w:b/>
          <w:bCs/>
          <w:sz w:val="28"/>
          <w:szCs w:val="28"/>
          <w:rtl/>
          <w:lang w:val="ar-SA"/>
        </w:rPr>
        <w:t>أولًا</w:t>
      </w:r>
      <w:r>
        <w:rPr>
          <w:rFonts w:ascii="Times New Roman" w:hAnsi="Times New Roman"/>
          <w:b/>
          <w:bCs/>
          <w:sz w:val="28"/>
          <w:szCs w:val="28"/>
          <w:rtl/>
          <w:lang w:val="ar-SA"/>
        </w:rPr>
        <w:t xml:space="preserve">: </w:t>
      </w:r>
      <w:r>
        <w:rPr>
          <w:rFonts w:cs="Times New Roman"/>
          <w:b/>
          <w:bCs/>
          <w:sz w:val="28"/>
          <w:szCs w:val="28"/>
          <w:rtl/>
          <w:lang w:val="ar-SA"/>
        </w:rPr>
        <w:t>أهمية</w:t>
      </w:r>
      <w:r>
        <w:rPr>
          <w:rFonts w:ascii="Times New Roman" w:hAnsi="Times New Roman"/>
          <w:sz w:val="28"/>
          <w:szCs w:val="28"/>
          <w:rtl/>
          <w:lang w:val="ar-SA"/>
        </w:rPr>
        <w:t xml:space="preserve"> </w:t>
      </w:r>
      <w:r>
        <w:rPr>
          <w:rFonts w:cs="Times New Roman"/>
          <w:b/>
          <w:bCs/>
          <w:sz w:val="28"/>
          <w:szCs w:val="28"/>
          <w:rtl/>
          <w:lang w:val="ar-SA"/>
        </w:rPr>
        <w:t>حقوق الملكية الفكرية</w:t>
      </w:r>
      <w:bookmarkEnd w:id="90"/>
      <w:r>
        <w:rPr>
          <w:rFonts w:ascii="Times New Roman" w:hAnsi="Times New Roman"/>
          <w:b/>
          <w:bCs/>
          <w:sz w:val="28"/>
          <w:szCs w:val="28"/>
          <w:rtl/>
          <w:lang w:val="ar-SA"/>
        </w:rPr>
        <w:t>:</w:t>
      </w:r>
    </w:p>
    <w:p w14:paraId="08F7A04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شهدت قوانين الملكية الفكرية في الآونة الأخيرة تزايدًا في الأهمية، وتعمل العديد من الاتفاقيات الدولية على توسيع نطاق تطبيق هذه القوانين، ويرجع ذلك إلى الأهداف الجوهرية التي تسعى الملكية الفكرية لتحقيقها من عدة جوانب</w:t>
      </w:r>
      <w:r>
        <w:rPr>
          <w:rFonts w:ascii="Times New Roman" w:hAnsi="Times New Roman"/>
          <w:sz w:val="24"/>
          <w:szCs w:val="24"/>
          <w:rtl/>
          <w:lang w:val="ar-SA"/>
        </w:rPr>
        <w:t>:</w:t>
      </w:r>
    </w:p>
    <w:p w14:paraId="1ECC412C" w14:textId="77777777" w:rsidR="00454428" w:rsidRDefault="00000000">
      <w:pPr>
        <w:pStyle w:val="a7"/>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العلمي والاقتصادي</w:t>
      </w:r>
      <w:r>
        <w:rPr>
          <w:rFonts w:ascii="Times New Roman" w:hAnsi="Times New Roman"/>
          <w:b/>
          <w:bCs/>
          <w:sz w:val="24"/>
          <w:szCs w:val="24"/>
          <w:rtl/>
          <w:lang w:val="ar-SA"/>
        </w:rPr>
        <w:t xml:space="preserve">: </w:t>
      </w:r>
    </w:p>
    <w:p w14:paraId="1CED011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vertAlign w:val="superscript"/>
          <w:lang w:val="ar-SA"/>
        </w:rPr>
      </w:pPr>
      <w:r>
        <w:rPr>
          <w:rFonts w:cs="Times New Roman"/>
          <w:sz w:val="24"/>
          <w:szCs w:val="24"/>
          <w:rtl/>
          <w:lang w:val="ar-SA"/>
        </w:rPr>
        <w:t>تعزّز التشريعات في مجال الملكية الفكرية ولادة الابتكارات لدى الأفراد، وتحفّز استمرارية البحث العلمي، بما يدعم التقدم الحضاري للدول، ويُعَدُّ التطوُّر العلمي مقياسًا رئيسًا للتقدم الاجتماعي، وقد أحدثت ثورة المعلومات نموًّا هائلًا في القطاعات الصناعية، والثقافية، والعلمية، وتقنيات الحوسبة؛ حيث أتاحت هذه الثورة الرقمية آلياتٍ فوريةً للوصول إلى المعارف وتبادل البيانات؛ ممَّا أفاد المسار البحثي، وسرع وتيرة الابتكار، كما ساهم ذلك في تعزيز اقتصاد المعرفة وجذب الاستثمارات التقنية وتنشيط التعاون الدولي، وتوفير بيئة محفزة للاستثمار في المشاريع التكنولوجية والصناعات 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3"/>
      </w:r>
      <w:r>
        <w:rPr>
          <w:rFonts w:ascii="Times New Roman" w:hAnsi="Times New Roman"/>
          <w:sz w:val="24"/>
          <w:szCs w:val="24"/>
          <w:vertAlign w:val="superscript"/>
          <w:rtl/>
          <w:lang w:val="ar-SA"/>
        </w:rPr>
        <w:t>)</w:t>
      </w:r>
    </w:p>
    <w:p w14:paraId="4B507DFE" w14:textId="77777777"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لما كانت حقوق الملكية الفكرية تشكل الدراية العلمية بالإنتاج، والتوزيع، والتسويق، فهي إذن تشكل بحثَ عنصرٍ مهمٍّ في عملية التطوُّر الاقتصادي؛ كونها تقود عجلة التطوُّر، والتقدم، والتغيير، والتحديث المستمر في المجتمعات، وبالتالي</w:t>
      </w:r>
      <w:r>
        <w:rPr>
          <w:rFonts w:ascii="Times New Roman" w:hAnsi="Times New Roman"/>
          <w:sz w:val="24"/>
          <w:szCs w:val="24"/>
          <w:rtl/>
          <w:lang w:val="ar-SA"/>
        </w:rPr>
        <w:t xml:space="preserve">: </w:t>
      </w:r>
      <w:r>
        <w:rPr>
          <w:rFonts w:cs="Times New Roman"/>
          <w:sz w:val="24"/>
          <w:szCs w:val="24"/>
          <w:rtl/>
          <w:lang w:val="ar-SA"/>
        </w:rPr>
        <w:t>استطاع الإنسان بفضلها أنْ يختصر المسافات، ويسلك أقصر الطرق إلى غاياته، واتباع أفضل الوسائل إلى تحقيق رفاهيته وراحته</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4"/>
      </w:r>
      <w:r>
        <w:rPr>
          <w:rFonts w:ascii="Times New Roman" w:hAnsi="Times New Roman"/>
          <w:sz w:val="20"/>
          <w:szCs w:val="20"/>
          <w:vertAlign w:val="superscript"/>
          <w:rtl/>
          <w:lang w:val="ar-SA"/>
        </w:rPr>
        <w:t>)</w:t>
      </w:r>
    </w:p>
    <w:p w14:paraId="5ABF089D" w14:textId="44CBF21C" w:rsidR="00454428" w:rsidRDefault="00000000" w:rsidP="006F4C04">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كلما كانت الدولة متقدمة في مجال حماية الملكية الفكرية، فإنَّ ذلك سيشجع الاستثمار في تلك الدولة، وستكون قبلةً للمثقفين، والمخترعين، والمنتجين؛ وذلك لوجود ضمانة حقيقية لهم بحماية ابتكاراتهم وإنتاجهم من السرقة، والتعدي، </w:t>
      </w:r>
      <w:r>
        <w:rPr>
          <w:rFonts w:cs="Times New Roman"/>
          <w:sz w:val="24"/>
          <w:szCs w:val="24"/>
          <w:rtl/>
          <w:lang w:val="ar-SA"/>
        </w:rPr>
        <w:lastRenderedPageBreak/>
        <w:t>والتزوير</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5"/>
      </w:r>
      <w:r>
        <w:rPr>
          <w:rFonts w:ascii="Times New Roman" w:hAnsi="Times New Roman"/>
          <w:sz w:val="20"/>
          <w:szCs w:val="20"/>
          <w:vertAlign w:val="superscript"/>
          <w:rtl/>
          <w:lang w:val="ar-SA"/>
        </w:rPr>
        <w:t>)</w:t>
      </w:r>
      <w:r w:rsidR="006F4C04">
        <w:rPr>
          <w:rFonts w:ascii="Times New Roman" w:eastAsia="Times New Roman" w:hAnsi="Times New Roman" w:cs="Times New Roman" w:hint="default"/>
          <w:sz w:val="24"/>
          <w:szCs w:val="24"/>
        </w:rPr>
        <w:t xml:space="preserve"> </w:t>
      </w:r>
      <w:r>
        <w:rPr>
          <w:rFonts w:cs="Times New Roman"/>
          <w:sz w:val="24"/>
          <w:szCs w:val="24"/>
          <w:rtl/>
          <w:lang w:val="ar-SA"/>
        </w:rPr>
        <w:t>تتمثل الأهمية الاقتصادية في حماية الملكية الفكرية في تعزيز الابتكار والاستثمار، وفي البحث والتطوير والإبداع، كما تعمل على تعزيز النمو الاقتصادي في خلق فرص العمل، وتوفير دخل للأفراد، وزيادة الإنتاجية، من خلال الاستثمارات والتطويرات الصناعية</w:t>
      </w:r>
      <w:r>
        <w:rPr>
          <w:rFonts w:ascii="Times New Roman" w:hAnsi="Times New Roman"/>
          <w:sz w:val="24"/>
          <w:szCs w:val="24"/>
          <w:rtl/>
          <w:lang w:val="ar-SA"/>
        </w:rPr>
        <w:t>.</w:t>
      </w:r>
    </w:p>
    <w:p w14:paraId="6DBA596E" w14:textId="77777777" w:rsidR="00454428" w:rsidRDefault="00000000">
      <w:pPr>
        <w:pStyle w:val="a7"/>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الدولي</w:t>
      </w:r>
      <w:r>
        <w:rPr>
          <w:rFonts w:ascii="Times New Roman" w:hAnsi="Times New Roman"/>
          <w:b/>
          <w:bCs/>
          <w:sz w:val="24"/>
          <w:szCs w:val="24"/>
          <w:rtl/>
          <w:lang w:val="ar-SA"/>
        </w:rPr>
        <w:t xml:space="preserve">: </w:t>
      </w:r>
    </w:p>
    <w:p w14:paraId="2105CE7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ظهور الملكية الفكرية في المجال الدولي إلى زيادة الصراع والتنافس بين الدول، هذا الصراع أدى إلى انقسام الدول إلى مجموعات متفاوتة من حيث دول متقدمة ودول نامية، وتسعى الدول المتقدمة للاستحواذ على الاختراعات المبتكرة وتحتفظ بها، بينما تعاني الدول النامية من عدم الحصول على التكنولوجيا والابتكارات الحديثة هذا الانقسام يؤثر على السوق الاقتصادية، والثقافية، والسياسية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6"/>
      </w:r>
      <w:r>
        <w:rPr>
          <w:rFonts w:ascii="Times New Roman" w:hAnsi="Times New Roman"/>
          <w:sz w:val="20"/>
          <w:szCs w:val="20"/>
          <w:vertAlign w:val="superscript"/>
          <w:rtl/>
          <w:lang w:val="ar-SA"/>
        </w:rPr>
        <w:t>)</w:t>
      </w:r>
    </w:p>
    <w:p w14:paraId="76CE8EA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فمن أهم المنظمات التي تنظم الأحكام المختلفة للملكية الفكرية على الصعيد الدوي هي اتفاقية الويبو، وهي عبارة عن منظمة دولية حكومية لها دور فعَّال في تشجيع وحماية الملكية الفكرية؛ حيث تعمل على تطوير إطار قانوني دولي متوازن بشأن الملكية الفكرية؛ لتلبية احتياجات المجتمع المتنامية بتوفير خدمات في مجال الأعمال؛ لتمكين الحصول على حقوق الملكية الفكرية في بلدان متعددة، وخدمات لتسوية المنازعات</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7"/>
      </w:r>
      <w:r>
        <w:rPr>
          <w:rFonts w:ascii="Times New Roman" w:hAnsi="Times New Roman"/>
          <w:sz w:val="24"/>
          <w:szCs w:val="24"/>
          <w:vertAlign w:val="superscript"/>
          <w:rtl/>
          <w:lang w:val="ar-SA"/>
        </w:rPr>
        <w:t>)</w:t>
      </w:r>
    </w:p>
    <w:p w14:paraId="6D43C4A8" w14:textId="77777777" w:rsidR="00454428" w:rsidRDefault="00000000">
      <w:pPr>
        <w:pStyle w:val="a7"/>
        <w:numPr>
          <w:ilvl w:val="0"/>
          <w:numId w:val="40"/>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القانوني</w:t>
      </w:r>
      <w:r>
        <w:rPr>
          <w:rFonts w:ascii="Times New Roman" w:hAnsi="Times New Roman"/>
          <w:b/>
          <w:bCs/>
          <w:sz w:val="24"/>
          <w:szCs w:val="24"/>
          <w:rtl/>
          <w:lang w:val="ar-SA"/>
        </w:rPr>
        <w:t xml:space="preserve">: </w:t>
      </w:r>
    </w:p>
    <w:p w14:paraId="5BDC440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تطوُّر الاستثمارات الرقمية الناتجة عن الابتكار الذهني إلى حاجة ملحة لدى الدول لتنظيم هذا القطاع المتسارع، وفرض ظهور العالم الافتراضي، وانتشار مصطلحات وجرائم مستحدثة تحديات قانونية جديدة، الأمر الذي استدعى استحداث حلول تشريعية لضبط البيئة الرقمية، وسعت الدول إلى تطوير أطر قانونية متخصصة لحماية حقوق الملكية الفكرية في الفضاء الإلكتروني، بما يضمن صيانة المصنفات الرقمية من الاعتداءات، ويحفظ الحقوق المالية والمعنوية للمبدعين ضمن نظام قانوني يتماشى مع التحوُّلات التكنولوجية المتلاحقة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8"/>
      </w:r>
      <w:r>
        <w:rPr>
          <w:rFonts w:ascii="Times New Roman" w:hAnsi="Times New Roman"/>
          <w:sz w:val="24"/>
          <w:szCs w:val="24"/>
          <w:vertAlign w:val="superscript"/>
          <w:rtl/>
          <w:lang w:val="ar-SA"/>
        </w:rPr>
        <w:t>)</w:t>
      </w:r>
    </w:p>
    <w:p w14:paraId="2C29FEF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لا شك أنَّ التطوُّرات الإلكترونية وإرهاصات التكنولوجيا العديدة جعلت العالم بأكمله، مثل</w:t>
      </w:r>
      <w:r>
        <w:rPr>
          <w:rFonts w:ascii="Times New Roman" w:hAnsi="Times New Roman"/>
          <w:sz w:val="24"/>
          <w:szCs w:val="24"/>
          <w:rtl/>
          <w:lang w:val="ar-SA"/>
        </w:rPr>
        <w:t xml:space="preserve">: </w:t>
      </w:r>
      <w:r>
        <w:rPr>
          <w:rFonts w:cs="Times New Roman"/>
          <w:sz w:val="24"/>
          <w:szCs w:val="24"/>
          <w:rtl/>
          <w:lang w:val="ar-SA"/>
        </w:rPr>
        <w:t>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Fonts w:ascii="Times New Roman" w:hAnsi="Times New Roman"/>
          <w:sz w:val="24"/>
          <w:szCs w:val="24"/>
          <w:rtl/>
          <w:lang w:val="ar-SA"/>
        </w:rPr>
        <w:t>.</w:t>
      </w:r>
    </w:p>
    <w:p w14:paraId="6227BF7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ويُعَدُّ إقرار حقوق حماية الملكية الفكرية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9"/>
      </w:r>
      <w:r>
        <w:rPr>
          <w:rFonts w:ascii="Times New Roman" w:hAnsi="Times New Roman"/>
          <w:sz w:val="20"/>
          <w:szCs w:val="20"/>
          <w:vertAlign w:val="superscript"/>
          <w:rtl/>
          <w:lang w:val="ar-SA"/>
        </w:rPr>
        <w:t>)</w:t>
      </w:r>
    </w:p>
    <w:p w14:paraId="29EA3C96" w14:textId="77777777" w:rsidR="00454428" w:rsidRPr="006F4C04" w:rsidRDefault="00000000" w:rsidP="006F4C04">
      <w:pPr>
        <w:pStyle w:val="BodyA"/>
        <w:spacing w:before="120" w:after="120" w:line="360" w:lineRule="auto"/>
        <w:jc w:val="both"/>
        <w:rPr>
          <w:rFonts w:cs="Times New Roman" w:hint="default"/>
          <w:sz w:val="24"/>
          <w:szCs w:val="24"/>
          <w:lang w:val="ar-SA"/>
        </w:rPr>
      </w:pPr>
      <w:r w:rsidRPr="006F4C04">
        <w:rPr>
          <w:rFonts w:cs="Times New Roman"/>
          <w:sz w:val="24"/>
          <w:szCs w:val="24"/>
          <w:rtl/>
          <w:lang w:val="ar-SA"/>
        </w:rPr>
        <w:lastRenderedPageBreak/>
        <w:t>وذهب بعض الفقهاء إلى أنَّ أهمية الملكية الفكرية تتمثل أيضًا في الحقوق الناشئة عنها، والتي تشمل:</w:t>
      </w:r>
    </w:p>
    <w:p w14:paraId="1A230AFB" w14:textId="77777777" w:rsidR="00454428" w:rsidRDefault="00000000">
      <w:pPr>
        <w:pStyle w:val="a7"/>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الاقتصادية</w:t>
      </w:r>
      <w:r>
        <w:rPr>
          <w:rFonts w:ascii="Times New Roman" w:hAnsi="Times New Roman"/>
          <w:sz w:val="24"/>
          <w:szCs w:val="24"/>
          <w:rtl/>
          <w:lang w:val="ar-SA"/>
        </w:rPr>
        <w:t xml:space="preserve">: </w:t>
      </w:r>
      <w:r>
        <w:rPr>
          <w:rFonts w:cs="Times New Roman"/>
          <w:sz w:val="24"/>
          <w:szCs w:val="24"/>
          <w:rtl/>
          <w:lang w:val="ar-SA"/>
        </w:rPr>
        <w:t>التي تمكن صاحبها من الحصول على مكافآت مالية؛ نتيجة استخدام الآخرين لعمله</w:t>
      </w:r>
      <w:r>
        <w:rPr>
          <w:rFonts w:ascii="Times New Roman" w:hAnsi="Times New Roman"/>
          <w:sz w:val="24"/>
          <w:szCs w:val="24"/>
          <w:rtl/>
          <w:lang w:val="ar-SA"/>
        </w:rPr>
        <w:t>.</w:t>
      </w:r>
    </w:p>
    <w:p w14:paraId="4D68F368" w14:textId="77777777" w:rsidR="00454428" w:rsidRDefault="00000000">
      <w:pPr>
        <w:pStyle w:val="a7"/>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المعنوية</w:t>
      </w:r>
      <w:r>
        <w:rPr>
          <w:rFonts w:ascii="Times New Roman" w:hAnsi="Times New Roman"/>
          <w:sz w:val="24"/>
          <w:szCs w:val="24"/>
          <w:rtl/>
          <w:lang w:val="ar-SA"/>
        </w:rPr>
        <w:t xml:space="preserve">: </w:t>
      </w:r>
      <w:r>
        <w:rPr>
          <w:rFonts w:cs="Times New Roman"/>
          <w:sz w:val="24"/>
          <w:szCs w:val="24"/>
          <w:rtl/>
          <w:lang w:val="ar-SA"/>
        </w:rPr>
        <w:t>تحمي المصالح غير المالية للمؤلف</w:t>
      </w:r>
      <w:r>
        <w:rPr>
          <w:rFonts w:ascii="Times New Roman" w:hAnsi="Times New Roman"/>
          <w:sz w:val="24"/>
          <w:szCs w:val="24"/>
          <w:rtl/>
          <w:lang w:val="ar-SA"/>
        </w:rPr>
        <w:t>.</w:t>
      </w:r>
      <w:bookmarkStart w:id="95" w:name="_Hlk179416525"/>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0"/>
      </w:r>
      <w:r>
        <w:rPr>
          <w:rStyle w:val="None"/>
          <w:rFonts w:ascii="Times New Roman" w:hAnsi="Times New Roman"/>
          <w:sz w:val="24"/>
          <w:szCs w:val="24"/>
          <w:vertAlign w:val="superscript"/>
          <w:rtl/>
          <w:lang w:val="ar-SA"/>
        </w:rPr>
        <w:t>)</w:t>
      </w:r>
    </w:p>
    <w:p w14:paraId="4E4ECDC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w:t>
      </w:r>
      <w:bookmarkEnd w:id="95"/>
      <w:r>
        <w:rPr>
          <w:rStyle w:val="None"/>
          <w:rFonts w:ascii="Times New Roman" w:hAnsi="Times New Roman"/>
          <w:b/>
          <w:bCs/>
          <w:sz w:val="28"/>
          <w:szCs w:val="28"/>
          <w:rtl/>
          <w:lang w:val="ar-SA"/>
        </w:rPr>
        <w:t xml:space="preserve"> </w:t>
      </w:r>
      <w:bookmarkStart w:id="96" w:name="_Hlk193408061"/>
      <w:r>
        <w:rPr>
          <w:rStyle w:val="None"/>
          <w:rFonts w:cs="Times New Roman"/>
          <w:b/>
          <w:bCs/>
          <w:sz w:val="28"/>
          <w:szCs w:val="28"/>
          <w:rtl/>
          <w:lang w:val="ar-SA"/>
        </w:rPr>
        <w:t>أهداف حماية الملكية الفكرية</w:t>
      </w:r>
      <w:bookmarkEnd w:id="96"/>
      <w:r>
        <w:rPr>
          <w:rStyle w:val="None"/>
          <w:rFonts w:ascii="Times New Roman" w:hAnsi="Times New Roman"/>
          <w:b/>
          <w:bCs/>
          <w:sz w:val="28"/>
          <w:szCs w:val="28"/>
          <w:rtl/>
          <w:lang w:val="ar-SA"/>
        </w:rPr>
        <w:t>:</w:t>
      </w:r>
    </w:p>
    <w:p w14:paraId="4038FB7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تساهم الملكية الفكرية في تحقيق مجموعة من الأهداف الاقتصادية، والاجتماعية، والثقافية، وتتجلَّى هذه الأهداف في النقاط الآتية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1"/>
      </w:r>
      <w:r>
        <w:rPr>
          <w:rStyle w:val="None"/>
          <w:rFonts w:ascii="Times New Roman" w:hAnsi="Times New Roman"/>
          <w:sz w:val="24"/>
          <w:szCs w:val="24"/>
          <w:vertAlign w:val="superscript"/>
          <w:rtl/>
          <w:lang w:val="ar-SA"/>
        </w:rPr>
        <w:t>)</w:t>
      </w:r>
    </w:p>
    <w:p w14:paraId="651422ED"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تحفيز الابتكار والإبداع</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منح حقوق حصرية للمخترعين والمبدعين، تشجع الملكية الفكرية على تطوير أفكار جديدة، وتحسين المنتجات والخدمات، هذا التحفيز يؤدي إلى تقدم التكنولوجيا وزيادة التنوع الثقافي والفني</w:t>
      </w:r>
      <w:r>
        <w:rPr>
          <w:rStyle w:val="None"/>
          <w:rFonts w:ascii="Times New Roman" w:hAnsi="Times New Roman"/>
          <w:sz w:val="24"/>
          <w:szCs w:val="24"/>
          <w:rtl/>
          <w:lang w:val="ar-SA"/>
        </w:rPr>
        <w:t>.</w:t>
      </w:r>
    </w:p>
    <w:p w14:paraId="508CD35C"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حقوق المبدعين</w:t>
      </w:r>
      <w:r>
        <w:rPr>
          <w:rStyle w:val="None"/>
          <w:rFonts w:ascii="Times New Roman" w:hAnsi="Times New Roman"/>
          <w:b/>
          <w:bCs/>
          <w:sz w:val="24"/>
          <w:szCs w:val="24"/>
          <w:rtl/>
          <w:lang w:val="ar-SA"/>
        </w:rPr>
        <w:t>:</w:t>
      </w:r>
      <w:r>
        <w:rPr>
          <w:rStyle w:val="None"/>
          <w:rFonts w:cs="Times New Roman"/>
          <w:sz w:val="24"/>
          <w:szCs w:val="24"/>
          <w:rtl/>
          <w:lang w:val="ar-SA"/>
        </w:rPr>
        <w:t xml:space="preserve"> تضمن الملكية الفكرية أنْ يحصل المبدعون على الاعتراف والمكافأة المناسبة لجهودهم، هذا يشمل حماية حقوق المؤلفين، والفنانين، والمخترعين من الاستغلال غير القانوني لأعمالهم</w:t>
      </w:r>
      <w:r>
        <w:rPr>
          <w:rStyle w:val="None"/>
          <w:rFonts w:ascii="Times New Roman" w:hAnsi="Times New Roman"/>
          <w:sz w:val="24"/>
          <w:szCs w:val="24"/>
          <w:rtl/>
          <w:lang w:val="ar-SA"/>
        </w:rPr>
        <w:t>.</w:t>
      </w:r>
    </w:p>
    <w:p w14:paraId="45955487"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الاقتصاد</w:t>
      </w:r>
      <w:r>
        <w:rPr>
          <w:rStyle w:val="None"/>
          <w:rFonts w:ascii="Times New Roman" w:hAnsi="Times New Roman"/>
          <w:b/>
          <w:bCs/>
          <w:sz w:val="24"/>
          <w:szCs w:val="24"/>
          <w:rtl/>
          <w:lang w:val="ar-SA"/>
        </w:rPr>
        <w:t>:</w:t>
      </w:r>
      <w:r>
        <w:rPr>
          <w:rStyle w:val="None"/>
          <w:rFonts w:cs="Times New Roman"/>
          <w:sz w:val="24"/>
          <w:szCs w:val="24"/>
          <w:rtl/>
          <w:lang w:val="ar-SA"/>
        </w:rPr>
        <w:t xml:space="preserve"> تساهم الملكية الفكرية في تعزيز النمو الاقتصادي عبر تشجيع الاستثمار في البحث والتطوير، فالشركات التي تمتلك حقوق ملكية فكرية قوية تكون أكثر قدرةً على جذب الاستثمارات وتحقيق أرباح أعلى</w:t>
      </w:r>
      <w:r>
        <w:rPr>
          <w:rStyle w:val="None"/>
          <w:rFonts w:ascii="Times New Roman" w:hAnsi="Times New Roman"/>
          <w:sz w:val="24"/>
          <w:szCs w:val="24"/>
          <w:rtl/>
          <w:lang w:val="ar-SA"/>
        </w:rPr>
        <w:t>.</w:t>
      </w:r>
    </w:p>
    <w:p w14:paraId="0CD88C4C"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نقل التكنولوجيا</w:t>
      </w:r>
      <w:r>
        <w:rPr>
          <w:rStyle w:val="None"/>
          <w:rFonts w:ascii="Times New Roman" w:hAnsi="Times New Roman"/>
          <w:b/>
          <w:bCs/>
          <w:sz w:val="24"/>
          <w:szCs w:val="24"/>
          <w:rtl/>
          <w:lang w:val="ar-SA"/>
        </w:rPr>
        <w:t>:</w:t>
      </w:r>
      <w:r>
        <w:rPr>
          <w:rStyle w:val="None"/>
          <w:rFonts w:cs="Times New Roman"/>
          <w:sz w:val="24"/>
          <w:szCs w:val="24"/>
          <w:rtl/>
          <w:lang w:val="ar-SA"/>
        </w:rPr>
        <w:t xml:space="preserve"> تسهل الملكية الفكرية نقل التكنولوجيا والمعرفة بين الدول والشركات، من خلال تراخيص البراءات واتفاقيات التعاون، يمكن للدول النامية الاستفادة من الابتكارات الحديثة وتحسين قدراتها الإنتاجية</w:t>
      </w:r>
      <w:r>
        <w:rPr>
          <w:rStyle w:val="None"/>
          <w:rFonts w:ascii="Times New Roman" w:hAnsi="Times New Roman"/>
          <w:sz w:val="24"/>
          <w:szCs w:val="24"/>
          <w:rtl/>
          <w:lang w:val="ar-SA"/>
        </w:rPr>
        <w:t>.</w:t>
      </w:r>
    </w:p>
    <w:p w14:paraId="6A8AFD7F"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المستهلك</w:t>
      </w:r>
      <w:r>
        <w:rPr>
          <w:rStyle w:val="None"/>
          <w:rFonts w:ascii="Times New Roman" w:hAnsi="Times New Roman"/>
          <w:b/>
          <w:bCs/>
          <w:sz w:val="24"/>
          <w:szCs w:val="24"/>
          <w:rtl/>
          <w:lang w:val="ar-SA"/>
        </w:rPr>
        <w:t>:</w:t>
      </w:r>
      <w:r>
        <w:rPr>
          <w:rStyle w:val="None"/>
          <w:rFonts w:cs="Times New Roman"/>
          <w:sz w:val="24"/>
          <w:szCs w:val="24"/>
          <w:rtl/>
          <w:lang w:val="ar-SA"/>
        </w:rPr>
        <w:t xml:space="preserve"> تضمن حقوق الملكية الفكرية أنَّ المنتجات والخدمات التي يتم تقديمها في السوق هي أصلية وذات جودة عالية، هذا يساعد في حماية المستهلكين من المنتجات المقلدة أو ذات الجودة المنخفضة</w:t>
      </w:r>
      <w:r>
        <w:rPr>
          <w:rStyle w:val="None"/>
          <w:rFonts w:ascii="Times New Roman" w:hAnsi="Times New Roman"/>
          <w:sz w:val="24"/>
          <w:szCs w:val="24"/>
          <w:rtl/>
          <w:lang w:val="ar-SA"/>
        </w:rPr>
        <w:t>.</w:t>
      </w:r>
    </w:p>
    <w:p w14:paraId="712BF2AF"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الوصول إلى توازن بين المصلحة العامة والمصلحة الخاصة</w:t>
      </w:r>
      <w:r>
        <w:rPr>
          <w:rStyle w:val="None"/>
          <w:rFonts w:ascii="Times New Roman" w:hAnsi="Times New Roman"/>
          <w:b/>
          <w:bCs/>
          <w:sz w:val="24"/>
          <w:szCs w:val="24"/>
          <w:rtl/>
          <w:lang w:val="ar-SA"/>
        </w:rPr>
        <w:t>:</w:t>
      </w:r>
      <w:r>
        <w:rPr>
          <w:rStyle w:val="None"/>
          <w:rFonts w:cs="Times New Roman"/>
          <w:sz w:val="24"/>
          <w:szCs w:val="24"/>
          <w:rtl/>
          <w:lang w:val="ar-SA"/>
        </w:rPr>
        <w:t xml:space="preserve"> من الأهداف الأساسية للملكية الفكرية هو إيجاد توازن بين مصلحة المبدع في استثمار إبداعه ومصلحة المجتمع في الاستفادة من هذه الإبداعات من خلال منح حقوق حصرية لفترة معينة، تُتاح للمبدعين فرصة تحقيق الأرباح من أعمالهم، وفي الوقت نفسه يصبح بإمكان الجمهور الوصول إلى هذه الأعمال والاستفادة منها بشكل أوسع بعد انتهاء فترة الحماية</w:t>
      </w:r>
      <w:r>
        <w:rPr>
          <w:rStyle w:val="None"/>
          <w:rFonts w:ascii="Times New Roman" w:hAnsi="Times New Roman"/>
          <w:sz w:val="24"/>
          <w:szCs w:val="24"/>
          <w:rtl/>
          <w:lang w:val="ar-SA"/>
        </w:rPr>
        <w:t>.</w:t>
      </w:r>
    </w:p>
    <w:p w14:paraId="3E0A25F3"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التنافسية</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حماية الابتكارات، تساعد الملكية الفكرية الشركات على التميز في السوق وزيادة قدرتها التنافسية، يساهم ذلك في رفع جودة المنتجات والخدمات المتوفرة للمستهلكين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
      </w:r>
      <w:r>
        <w:rPr>
          <w:rStyle w:val="None"/>
          <w:rFonts w:ascii="Times New Roman" w:hAnsi="Times New Roman"/>
          <w:sz w:val="24"/>
          <w:szCs w:val="24"/>
          <w:vertAlign w:val="superscript"/>
          <w:rtl/>
          <w:lang w:val="ar-SA"/>
        </w:rPr>
        <w:t>)</w:t>
      </w:r>
    </w:p>
    <w:p w14:paraId="265EB7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حيث تنص المادة الثالثة من اتفاقية إنشاء المنظمة العالمية للملكية الفكرية على</w:t>
      </w:r>
      <w:r>
        <w:rPr>
          <w:rStyle w:val="None"/>
          <w:rFonts w:ascii="Times New Roman" w:hAnsi="Times New Roman"/>
          <w:sz w:val="24"/>
          <w:szCs w:val="24"/>
          <w:rtl/>
          <w:lang w:val="ar-SA"/>
        </w:rPr>
        <w:t>:</w:t>
      </w:r>
    </w:p>
    <w:p w14:paraId="1AA78DF4" w14:textId="77777777" w:rsidR="00454428" w:rsidRDefault="00000000">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t>دعم حماية الملكية الفكرية في جميع العالم عن طريق التعاون بين الدول، وبالتعاون مع أي منظمة دولية أخرى حيثما كان ملائمًا</w:t>
      </w:r>
      <w:r>
        <w:rPr>
          <w:rStyle w:val="None"/>
          <w:rFonts w:ascii="Times New Roman" w:hAnsi="Times New Roman"/>
          <w:sz w:val="24"/>
          <w:szCs w:val="24"/>
          <w:rtl/>
          <w:lang w:val="ar-SA"/>
        </w:rPr>
        <w:t>.</w:t>
      </w:r>
    </w:p>
    <w:p w14:paraId="28FD7C5E" w14:textId="77777777" w:rsidR="00454428" w:rsidRDefault="00000000">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التعاون الإداري بين الاتحادات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
      </w:r>
      <w:r>
        <w:rPr>
          <w:rStyle w:val="None"/>
          <w:rFonts w:ascii="Times New Roman" w:hAnsi="Times New Roman"/>
          <w:sz w:val="24"/>
          <w:szCs w:val="24"/>
          <w:vertAlign w:val="superscript"/>
          <w:rtl/>
          <w:lang w:val="ar-SA"/>
        </w:rPr>
        <w:t>)</w:t>
      </w:r>
    </w:p>
    <w:p w14:paraId="1F98FADE"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بعدما استعرضنا أهداف حقوق الملكية الفكرية، نتجه الآن لاستقصاء أنواع حقوق الملكية الفكرية في الفرع التالي؛ حيث يكشف تنوُّعها عن أبعاد جديدة تجمع بين حماية الإبداع وتعزيز التطوُّر في هذا المجال</w:t>
      </w:r>
      <w:r>
        <w:rPr>
          <w:rStyle w:val="None"/>
          <w:rFonts w:ascii="Times New Roman" w:hAnsi="Times New Roman"/>
          <w:sz w:val="24"/>
          <w:szCs w:val="24"/>
          <w:rtl/>
          <w:lang w:val="ar-SA"/>
        </w:rPr>
        <w:t>.</w:t>
      </w:r>
    </w:p>
    <w:p w14:paraId="4ADCCC8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139EFB2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5161C8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C5034B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C031E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EBAF1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4D4CA5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2623F9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7E2D9C1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6C9958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6E79B22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DB4942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23A389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6813F83" w14:textId="77777777" w:rsidR="00454428" w:rsidRPr="00CC3E5F" w:rsidRDefault="00454428" w:rsidP="00CC3E5F">
      <w:pPr>
        <w:pStyle w:val="BodyA"/>
        <w:spacing w:before="120" w:after="120" w:line="360" w:lineRule="auto"/>
        <w:jc w:val="both"/>
        <w:rPr>
          <w:rStyle w:val="None"/>
          <w:rFonts w:ascii="Times New Roman" w:eastAsia="Times New Roman" w:hAnsi="Times New Roman" w:cs="Times New Roman" w:hint="default"/>
          <w:sz w:val="24"/>
          <w:szCs w:val="24"/>
        </w:rPr>
      </w:pPr>
    </w:p>
    <w:p w14:paraId="376E59B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66B27E4A" w14:textId="77777777" w:rsidR="006F4C04" w:rsidRDefault="006F4C0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F745BC8" w14:textId="3A72F1C9" w:rsidR="00454428" w:rsidRDefault="00000000" w:rsidP="00C72BA8">
      <w:pPr>
        <w:pStyle w:val="a4"/>
        <w:rPr>
          <w:rStyle w:val="None"/>
          <w:b w:val="0"/>
          <w:bCs w:val="0"/>
          <w:lang w:val="ar-SA"/>
        </w:rPr>
      </w:pPr>
      <w:bookmarkStart w:id="97" w:name="_Toc227251084"/>
      <w:bookmarkStart w:id="98" w:name="_Toc227251394"/>
      <w:r>
        <w:rPr>
          <w:rStyle w:val="None"/>
          <w:rFonts w:ascii="Arial Unicode MS" w:eastAsia="Arial Unicode MS" w:hAnsi="Arial Unicode MS" w:hint="cs"/>
          <w:rtl/>
          <w:lang w:val="ar-SA"/>
        </w:rPr>
        <w:lastRenderedPageBreak/>
        <w:t>الفرع الثاني</w:t>
      </w:r>
      <w:bookmarkEnd w:id="97"/>
      <w:bookmarkEnd w:id="98"/>
    </w:p>
    <w:p w14:paraId="4DF1D821" w14:textId="77777777" w:rsidR="00454428" w:rsidRDefault="00000000" w:rsidP="00C72BA8">
      <w:pPr>
        <w:pStyle w:val="a4"/>
        <w:rPr>
          <w:rStyle w:val="NoneA"/>
          <w:lang w:val="ar-SA"/>
        </w:rPr>
      </w:pPr>
      <w:bookmarkStart w:id="99" w:name="_Toc227251085"/>
      <w:bookmarkStart w:id="100" w:name="_Toc227251395"/>
      <w:r>
        <w:rPr>
          <w:rStyle w:val="None"/>
          <w:rFonts w:ascii="Arial Unicode MS" w:eastAsia="Arial Unicode MS" w:hAnsi="Arial Unicode MS" w:hint="cs"/>
          <w:rtl/>
          <w:lang w:val="ar-SA"/>
        </w:rPr>
        <w:t>أنواع حقوق الملكية الفكرية</w:t>
      </w:r>
      <w:bookmarkEnd w:id="99"/>
      <w:bookmarkEnd w:id="100"/>
    </w:p>
    <w:p w14:paraId="51FD46F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حقوق الملكية الفكرية وإنْ كانت تستقى من مصدر واحد هو الشخصية الإنسانية إلا أنَّها ليست واحدة إنما متعددة ومتنوعة، بقدر تنوُّع الفكر الإنساني وإبداعه فطرة من الله، فهناك حقوق المؤلف أو الملكية الأدبية، وهناك الحقوق المترتبة على الرسوم والنماذج الصناعية وبراءات الاختراع أو الملكية الصناعية، وأيضًا هناك الحقوق التي ترد على ملكية العلامات الفارقة والرسوم التجارية، والاسم، والعنوان التجاري، أو ما يسمى بالملكية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
      </w:r>
      <w:r>
        <w:rPr>
          <w:rStyle w:val="None"/>
          <w:rFonts w:ascii="Times New Roman" w:hAnsi="Times New Roman"/>
          <w:sz w:val="24"/>
          <w:szCs w:val="24"/>
          <w:vertAlign w:val="superscript"/>
          <w:rtl/>
          <w:lang w:val="ar-SA"/>
        </w:rPr>
        <w:t>)</w:t>
      </w:r>
    </w:p>
    <w:p w14:paraId="7C98A84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وتنقسم الملكية الفكرية إلى عنصرين رئيسيين، العنصر الأول حق المؤلف، والعنصر الثاني الملكية الصناعية، وفيما يلي سنتحدث بالتفصيل عن كل عنصر هذه العناصر</w:t>
      </w:r>
      <w:r>
        <w:rPr>
          <w:rStyle w:val="None"/>
          <w:rFonts w:ascii="Times New Roman" w:hAnsi="Times New Roman"/>
          <w:sz w:val="24"/>
          <w:szCs w:val="24"/>
          <w:rtl/>
          <w:lang w:val="ar-SA"/>
        </w:rPr>
        <w:t>:</w:t>
      </w:r>
    </w:p>
    <w:p w14:paraId="077BB1BD"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أولًا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حقوق المؤلف</w:t>
      </w:r>
      <w:r>
        <w:rPr>
          <w:rStyle w:val="None"/>
          <w:rFonts w:ascii="Times New Roman" w:hAnsi="Times New Roman"/>
          <w:b/>
          <w:bCs/>
          <w:sz w:val="28"/>
          <w:szCs w:val="28"/>
          <w:rtl/>
          <w:lang w:val="ar-SA"/>
        </w:rPr>
        <w:t>:</w:t>
      </w:r>
    </w:p>
    <w:p w14:paraId="2F5E5755"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إنَّ من حقوق المؤلف له سلطة تقديرية في نشر مصنفة من عدمه، وذلك على أساس أنَّ المصنف يعبر عن جانب من جوانب شخصيته ألا وهو الجانب الذهني أو الجانب الفكري، فكان طبيعيًا أنْ يترك له أمر تقدير نشر هذا المصنف أو عدم نشره حسبما يتراءى؛ لأنَّه قد يقدر المؤلف أنَّ في نشر مصنفه مساسًا بسمعته الأدبية، أو الفنية، أو العلمية فيكون له سلطة الامتناع عن النشر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55"/>
      </w:r>
      <w:r>
        <w:rPr>
          <w:rStyle w:val="None"/>
          <w:rFonts w:ascii="Times New Roman" w:hAnsi="Times New Roman"/>
          <w:sz w:val="20"/>
          <w:szCs w:val="20"/>
          <w:vertAlign w:val="superscript"/>
          <w:rtl/>
          <w:lang w:val="ar-SA"/>
        </w:rPr>
        <w:t>)</w:t>
      </w:r>
      <w:r>
        <w:rPr>
          <w:rStyle w:val="None"/>
          <w:rFonts w:cs="Times New Roman"/>
          <w:sz w:val="24"/>
          <w:szCs w:val="24"/>
          <w:rtl/>
          <w:lang w:val="ar-SA"/>
        </w:rPr>
        <w:t>، وتتمثل حقوق المؤلف في الحق الأدبي، والحق المالي</w:t>
      </w:r>
      <w:r>
        <w:rPr>
          <w:rStyle w:val="None"/>
          <w:rFonts w:ascii="Times New Roman" w:hAnsi="Times New Roman"/>
          <w:sz w:val="24"/>
          <w:szCs w:val="24"/>
          <w:rtl/>
          <w:lang w:val="ar-SA"/>
        </w:rPr>
        <w:t>:</w:t>
      </w:r>
    </w:p>
    <w:p w14:paraId="51493025" w14:textId="77777777" w:rsidR="00454428" w:rsidRDefault="00000000">
      <w:pPr>
        <w:pStyle w:val="a7"/>
        <w:numPr>
          <w:ilvl w:val="0"/>
          <w:numId w:val="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المالي والحق الأدبي للمؤلف</w:t>
      </w:r>
      <w:r>
        <w:rPr>
          <w:rStyle w:val="None"/>
          <w:rFonts w:ascii="Times New Roman" w:hAnsi="Times New Roman"/>
          <w:sz w:val="24"/>
          <w:szCs w:val="24"/>
          <w:rtl/>
          <w:lang w:val="ar-SA"/>
        </w:rPr>
        <w:t>:</w:t>
      </w:r>
    </w:p>
    <w:p w14:paraId="7FC8D43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يتعلق حق المؤلف بجوانب أدبية بحتة؛ حيث يمنح المؤلف الحق الحصري في تحديد نشر مصنفه للجمهور ونسبته إليه، بالإضافة إلى حماية عمله من التداول غير المصرح به، يُلزم الآخرون باحترام مصنفه فلا يسمح لهم بإجراء أي تعديلات عليه سواء كانت إضافاتٍ، أو حذفًا، أو تغييرًا، حتى في حالة تنازله عن حقوقه في المصنف يعرف هذا الحق بالحق الأدبي، كما يتضمن حق المؤلف أيضًا جانبًا ماديًا؛ حيث إذا قرر المؤلف نشر عمله فإنَّ هذا الحق يصبح جزءًا من ذمته المالية، ويعرف بالحق المادي؛ لذا يرى البعض أنَّ للمؤلف حقين مستقلين ومنفصلين عن بعضهما وهو ما يعرف بنظرية الازدواج</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
      </w:r>
      <w:r>
        <w:rPr>
          <w:rStyle w:val="None"/>
          <w:rFonts w:ascii="Times New Roman" w:hAnsi="Times New Roman"/>
          <w:sz w:val="24"/>
          <w:szCs w:val="24"/>
          <w:vertAlign w:val="superscript"/>
          <w:rtl/>
          <w:lang w:val="ar-SA"/>
        </w:rPr>
        <w:t>)</w:t>
      </w:r>
    </w:p>
    <w:p w14:paraId="5682BEA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b/>
          <w:bCs/>
          <w:sz w:val="24"/>
          <w:szCs w:val="24"/>
          <w:rtl/>
          <w:lang w:val="ar-SA"/>
        </w:rPr>
        <w:t>فالحق الأدبي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غير مالي يتصل بشخصية المؤلف، ويتكوّن من عناصر أساسية، هي</w:t>
      </w:r>
      <w:r>
        <w:rPr>
          <w:rStyle w:val="None"/>
          <w:rFonts w:ascii="Times New Roman" w:hAnsi="Times New Roman"/>
          <w:sz w:val="24"/>
          <w:szCs w:val="24"/>
          <w:rtl/>
          <w:lang w:val="ar-SA"/>
        </w:rPr>
        <w:t xml:space="preserve">: </w:t>
      </w:r>
      <w:r>
        <w:rPr>
          <w:rStyle w:val="None"/>
          <w:rFonts w:cs="Times New Roman"/>
          <w:sz w:val="24"/>
          <w:szCs w:val="24"/>
          <w:rtl/>
          <w:lang w:val="ar-SA"/>
        </w:rPr>
        <w:t>الحق في إشهار المصنف، والحق في نسبة العمل إلى المؤلف، والحق في احترام المؤلف، والحق في سحب المصنف، وأهم ما تتميز به هذه الحقوق، هو عدم قابليته للصرف وعدم قابلية للحجز، وكذلك أنَّ هذا الحق ينتقل إلى الورثة بعد وفاة المؤلف</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7"/>
      </w:r>
      <w:r>
        <w:rPr>
          <w:rStyle w:val="None"/>
          <w:rFonts w:ascii="Times New Roman" w:hAnsi="Times New Roman"/>
          <w:sz w:val="20"/>
          <w:szCs w:val="20"/>
          <w:vertAlign w:val="superscript"/>
          <w:rtl/>
          <w:lang w:val="ar-SA"/>
        </w:rPr>
        <w:t>)</w:t>
      </w:r>
    </w:p>
    <w:p w14:paraId="70D85FE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0"/>
          <w:szCs w:val="20"/>
          <w:vertAlign w:val="superscript"/>
          <w:lang w:val="ar-SA"/>
        </w:rPr>
      </w:pPr>
      <w:r>
        <w:rPr>
          <w:rStyle w:val="None"/>
          <w:rFonts w:cs="Times New Roman"/>
          <w:b/>
          <w:bCs/>
          <w:sz w:val="24"/>
          <w:szCs w:val="24"/>
          <w:rtl/>
          <w:lang w:val="ar-SA"/>
        </w:rPr>
        <w:t>والحق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من حقوق الذمة المالية، فإسناد الحق المالي للمؤلف يعني إعطائه الحق في الاستفادة ماديًا في مصنفه، وذلك بنشره بأية وسيلة من وسائل النشر، كما يجوز للمؤلف أنْ يتصرف في هذا المصنف عن طريق </w:t>
      </w:r>
      <w:r>
        <w:rPr>
          <w:rStyle w:val="None"/>
          <w:rFonts w:cs="Times New Roman"/>
          <w:sz w:val="24"/>
          <w:szCs w:val="24"/>
          <w:rtl/>
          <w:lang w:val="ar-SA"/>
        </w:rPr>
        <w:lastRenderedPageBreak/>
        <w:t>الحق بالبيع، أو الهبة، أو الإيجار، ولكن يشترط في ذلك الرسمية، وإلا وقع التصرف باطلًا،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على المؤلف أنْ يضمن عدم عرقلة الانتفاع بالمصنف على الطائفة والطريقة المتفق عليها</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8"/>
      </w:r>
      <w:r>
        <w:rPr>
          <w:rStyle w:val="None"/>
          <w:rFonts w:ascii="Times New Roman" w:hAnsi="Times New Roman"/>
          <w:sz w:val="20"/>
          <w:szCs w:val="20"/>
          <w:vertAlign w:val="superscript"/>
          <w:rtl/>
          <w:lang w:val="ar-SA"/>
        </w:rPr>
        <w:t>)</w:t>
      </w:r>
    </w:p>
    <w:p w14:paraId="37E5432B" w14:textId="77777777" w:rsidR="00454428" w:rsidRDefault="00000000">
      <w:pPr>
        <w:pStyle w:val="a7"/>
        <w:numPr>
          <w:ilvl w:val="0"/>
          <w:numId w:val="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المالية للمؤلف</w:t>
      </w:r>
      <w:r>
        <w:rPr>
          <w:rStyle w:val="None"/>
          <w:rFonts w:ascii="Times New Roman" w:hAnsi="Times New Roman"/>
          <w:sz w:val="24"/>
          <w:szCs w:val="24"/>
          <w:rtl/>
          <w:lang w:val="ar-SA"/>
        </w:rPr>
        <w:t>:</w:t>
      </w:r>
    </w:p>
    <w:p w14:paraId="714E9F4F"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حقوق النسخ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بالإشارة إلى الأحكام الواردة في معاهدة الويبو بشأن حق المؤلف، ولا سيما الفقرة الرابعة من المادة الأولى، التي تنص على أنَّه يجب على الأطراف المتعاقدة أنْ تراعي </w:t>
      </w:r>
      <w:r>
        <w:rPr>
          <w:rStyle w:val="None"/>
          <w:rFonts w:ascii="Times New Roman" w:hAnsi="Times New Roman"/>
          <w:sz w:val="24"/>
          <w:szCs w:val="24"/>
          <w:rtl/>
          <w:lang w:val="ar-SA"/>
        </w:rPr>
        <w:t>-</w:t>
      </w:r>
      <w:r>
        <w:rPr>
          <w:rStyle w:val="None"/>
          <w:rFonts w:cs="Times New Roman"/>
          <w:sz w:val="24"/>
          <w:szCs w:val="24"/>
          <w:rtl/>
          <w:lang w:val="ar-SA"/>
        </w:rPr>
        <w:t>المواد من</w:t>
      </w:r>
      <w:bookmarkStart w:id="101" w:name="_Hlk179476650"/>
      <w:r>
        <w:rPr>
          <w:rStyle w:val="None"/>
          <w:rFonts w:ascii="Times New Roman" w:hAnsi="Times New Roman"/>
          <w:sz w:val="24"/>
          <w:szCs w:val="24"/>
          <w:rtl/>
          <w:lang w:val="ar-SA"/>
        </w:rPr>
        <w:t xml:space="preserve"> </w:t>
      </w:r>
      <w:bookmarkEnd w:id="101"/>
      <w:r>
        <w:rPr>
          <w:rStyle w:val="None"/>
          <w:rFonts w:ascii="Times New Roman" w:hAnsi="Times New Roman"/>
          <w:sz w:val="24"/>
          <w:szCs w:val="24"/>
          <w:rtl/>
          <w:lang w:val="ar-SA"/>
        </w:rPr>
        <w:t xml:space="preserve">1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21 </w:t>
      </w:r>
      <w:r>
        <w:rPr>
          <w:rStyle w:val="None"/>
          <w:rFonts w:cs="Times New Roman"/>
          <w:sz w:val="24"/>
          <w:szCs w:val="24"/>
          <w:rtl/>
          <w:lang w:val="ar-SA"/>
        </w:rPr>
        <w:t>وملحق اتفاقية برن</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إشارة هذه المواد إلى نص المادة التاسعة من اتفاقية برن، المتعلقة بحق المؤلف؛ حيث قام جدل واسع حول مدى إمكانية تطبيق حكم هذه المادة من اتفاقية برن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فمن الواضح أنَّ تخزين مصنف محمي بصيغة رقمية في وسيلة إلكترونية يعتبر نسخًا وفقًا لما تنص عليه المادة التاسعة المشار إليها، بند </w:t>
      </w:r>
      <w:r>
        <w:rPr>
          <w:rStyle w:val="None"/>
          <w:rFonts w:ascii="Times New Roman" w:hAnsi="Times New Roman"/>
          <w:sz w:val="24"/>
          <w:szCs w:val="24"/>
          <w:rtl/>
          <w:lang w:val="ar-SA"/>
        </w:rPr>
        <w:t>20.</w:t>
      </w:r>
    </w:p>
    <w:p w14:paraId="70429FF8" w14:textId="77777777" w:rsidR="00454428" w:rsidRDefault="00000000">
      <w:pPr>
        <w:pStyle w:val="a7"/>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الأداء العلني، وتقديم العمل للجمهور عبر وسائل سلكية أو لاسلكية</w:t>
      </w:r>
      <w:r>
        <w:rPr>
          <w:rStyle w:val="None"/>
          <w:rFonts w:ascii="Times New Roman" w:hAnsi="Times New Roman"/>
          <w:b/>
          <w:bCs/>
          <w:sz w:val="24"/>
          <w:szCs w:val="24"/>
          <w:rtl/>
          <w:lang w:val="ar-SA"/>
        </w:rPr>
        <w:t>:</w:t>
      </w:r>
      <w:r>
        <w:rPr>
          <w:rStyle w:val="None"/>
          <w:rFonts w:cs="Times New Roman"/>
          <w:sz w:val="24"/>
          <w:szCs w:val="24"/>
          <w:rtl/>
          <w:lang w:val="ar-SA"/>
        </w:rPr>
        <w:t xml:space="preserve"> يعرف أداء العمل بتقديمه في مكان يتواجد فيه جمهور حاضر، أو يمكن أنْ يكون موجودًا، ويعتبر الأداء علنيًا عندما يتم تقديم المصنف باستخدام آلات التسجيل، مثل</w:t>
      </w:r>
      <w:r>
        <w:rPr>
          <w:rStyle w:val="None"/>
          <w:rFonts w:ascii="Times New Roman" w:hAnsi="Times New Roman"/>
          <w:sz w:val="24"/>
          <w:szCs w:val="24"/>
          <w:rtl/>
          <w:lang w:val="ar-SA"/>
        </w:rPr>
        <w:t xml:space="preserve">: </w:t>
      </w:r>
      <w:r>
        <w:rPr>
          <w:rStyle w:val="None"/>
          <w:rFonts w:cs="Times New Roman"/>
          <w:sz w:val="24"/>
          <w:szCs w:val="24"/>
          <w:rtl/>
          <w:lang w:val="ar-SA"/>
        </w:rPr>
        <w:t>العروض في القاعات أو أماكن تجمع الجمهور، أما نقل العمل</w:t>
      </w:r>
      <w:r>
        <w:rPr>
          <w:rStyle w:val="None"/>
          <w:rFonts w:ascii="Times New Roman" w:hAnsi="Times New Roman"/>
          <w:sz w:val="24"/>
          <w:szCs w:val="24"/>
          <w:rtl/>
          <w:lang w:val="ar-SA"/>
        </w:rPr>
        <w:t xml:space="preserve">: </w:t>
      </w:r>
      <w:r>
        <w:rPr>
          <w:rStyle w:val="None"/>
          <w:rFonts w:cs="Times New Roman"/>
          <w:sz w:val="24"/>
          <w:szCs w:val="24"/>
          <w:rtl/>
          <w:lang w:val="ar-SA"/>
        </w:rPr>
        <w:t>فيتم بشكل غير مباشر عبر الأقمار الصناعية، أو الكوابل، أو البث اللاسلكي، سواء كان مشفرًا أو غير مشفر، بما في ذلك التلفاز والراديو، أو أي وسيلة أخرى لنقل الصوت والصورة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0"/>
      </w:r>
      <w:r>
        <w:rPr>
          <w:rStyle w:val="None"/>
          <w:rFonts w:ascii="Times New Roman" w:hAnsi="Times New Roman"/>
          <w:sz w:val="24"/>
          <w:szCs w:val="24"/>
          <w:vertAlign w:val="superscript"/>
          <w:rtl/>
          <w:lang w:val="ar-SA"/>
        </w:rPr>
        <w:t>)</w:t>
      </w:r>
    </w:p>
    <w:p w14:paraId="46FFDA1D" w14:textId="77777777" w:rsidR="00454428" w:rsidRDefault="00000000">
      <w:pPr>
        <w:pStyle w:val="a7"/>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في تحويل المصنف من نموذج إلى آخر</w:t>
      </w:r>
      <w:r>
        <w:rPr>
          <w:rStyle w:val="None"/>
          <w:rFonts w:ascii="Times New Roman" w:hAnsi="Times New Roman"/>
          <w:b/>
          <w:bCs/>
          <w:sz w:val="24"/>
          <w:szCs w:val="24"/>
          <w:rtl/>
          <w:lang w:val="ar-SA"/>
        </w:rPr>
        <w:t>:</w:t>
      </w:r>
      <w:r>
        <w:rPr>
          <w:rStyle w:val="None"/>
          <w:rFonts w:cs="Times New Roman"/>
          <w:sz w:val="24"/>
          <w:szCs w:val="24"/>
          <w:rtl/>
          <w:lang w:val="ar-SA"/>
        </w:rPr>
        <w:t xml:space="preserve"> هو تحويل نص قصة معينة من كتاب إلى شكل آخر، مثل</w:t>
      </w:r>
      <w:r>
        <w:rPr>
          <w:rStyle w:val="None"/>
          <w:rFonts w:ascii="Times New Roman" w:hAnsi="Times New Roman"/>
          <w:sz w:val="24"/>
          <w:szCs w:val="24"/>
          <w:rtl/>
          <w:lang w:val="ar-SA"/>
        </w:rPr>
        <w:t xml:space="preserve">: </w:t>
      </w:r>
      <w:r>
        <w:rPr>
          <w:rStyle w:val="None"/>
          <w:rFonts w:cs="Times New Roman"/>
          <w:sz w:val="24"/>
          <w:szCs w:val="24"/>
          <w:rtl/>
          <w:lang w:val="ar-SA"/>
        </w:rPr>
        <w:t>اقتباس نص مسرحي من قصة مكتوبة، أو تحويلها إلى فيلم، كما يحق للمؤلف أنْ يمنح الإذن لملحن، أو مُغَنٍّ بتلحين وإنشاد أحد أشعاره، وكذلك أنْ يسمح لناشر بنشره في كتاب بشكل منفصل، 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قصص الكاتب المعروف عباس العقاد ونجيب محفوظ التي بعد نشرها ككتب متداولة للجمهور تتسابق شركات الإنتاج للحصول على إذن المؤلف لتحويل النص إلى نص حواري، ثم تمثيله في شكل أفلام ومسلسلات تلفزيونية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1"/>
      </w:r>
      <w:r>
        <w:rPr>
          <w:rStyle w:val="None"/>
          <w:rFonts w:ascii="Times New Roman" w:hAnsi="Times New Roman"/>
          <w:sz w:val="24"/>
          <w:szCs w:val="24"/>
          <w:vertAlign w:val="superscript"/>
          <w:rtl/>
          <w:lang w:val="ar-SA"/>
        </w:rPr>
        <w:t>)</w:t>
      </w:r>
    </w:p>
    <w:p w14:paraId="605F6F76"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ترجمة المصنف من لغة إلى أخرى</w:t>
      </w:r>
      <w:r>
        <w:rPr>
          <w:rStyle w:val="None"/>
          <w:rFonts w:ascii="Times New Roman" w:hAnsi="Times New Roman"/>
          <w:b/>
          <w:bCs/>
          <w:sz w:val="24"/>
          <w:szCs w:val="24"/>
          <w:rtl/>
          <w:lang w:val="ar-SA"/>
        </w:rPr>
        <w:t>:</w:t>
      </w:r>
      <w:r>
        <w:rPr>
          <w:rStyle w:val="None"/>
          <w:rFonts w:cs="Times New Roman"/>
          <w:sz w:val="24"/>
          <w:szCs w:val="24"/>
          <w:rtl/>
          <w:lang w:val="ar-SA"/>
        </w:rPr>
        <w:t xml:space="preserve"> حق الترجمة باعتباره حق يمنحه المشرع للمؤلف، ويمنح المترجم في المقابل حقًا على ترجمته يدفعه إلى مرتبة المؤلفين، فهو من الحقوق الاستئثارية التي يتمتع بها المؤلف في ترجمة أو التصريح بترجمته لما يبذله المترجم من جهد في نقل المصنف من لغته الأصلية إلى لغة أخرى، الأمر الذي يكسبه حقًا أدبيًا وماليًا على ترجمته؛ لتوافر قدر من الابتكار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2"/>
      </w:r>
      <w:r>
        <w:rPr>
          <w:rStyle w:val="None"/>
          <w:rFonts w:ascii="Times New Roman" w:hAnsi="Times New Roman"/>
          <w:sz w:val="24"/>
          <w:szCs w:val="24"/>
          <w:vertAlign w:val="superscript"/>
          <w:rtl/>
          <w:lang w:val="ar-SA"/>
        </w:rPr>
        <w:t>)</w:t>
      </w:r>
    </w:p>
    <w:p w14:paraId="4843F568"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w:t>
      </w:r>
      <w:r>
        <w:rPr>
          <w:rStyle w:val="None"/>
          <w:rFonts w:ascii="Times New Roman" w:hAnsi="Times New Roman"/>
          <w:b/>
          <w:bCs/>
          <w:sz w:val="24"/>
          <w:szCs w:val="24"/>
          <w:rtl/>
          <w:lang w:val="ar-SA"/>
        </w:rPr>
        <w:t xml:space="preserve">: </w:t>
      </w:r>
      <w:r>
        <w:rPr>
          <w:rStyle w:val="None"/>
          <w:rFonts w:cs="Times New Roman"/>
          <w:sz w:val="24"/>
          <w:szCs w:val="24"/>
          <w:rtl/>
          <w:lang w:val="ar-SA"/>
        </w:rPr>
        <w:t>لكي تتمتع المصنفات بالحماية القانونية، يجب أنْ تتسم بالطابع الابتكاري،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معظم عناوين المصنفات في العصور الحديثة تفتقر إلى هذا الطابع؛ إذْ غالبًا ما تكون مجرد ألفاظ شائعة تدل على </w:t>
      </w:r>
      <w:r>
        <w:rPr>
          <w:rStyle w:val="None"/>
          <w:rFonts w:cs="Times New Roman"/>
          <w:sz w:val="24"/>
          <w:szCs w:val="24"/>
          <w:rtl/>
          <w:lang w:val="ar-SA"/>
        </w:rPr>
        <w:lastRenderedPageBreak/>
        <w:t>موضوع المصنف؛ ممَّا يجعلها غير خاضعة للحماية، فعلى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ألف مؤلف مصنفًا عن التاريخ وأطلق عليه عنوان </w:t>
      </w:r>
      <w:r>
        <w:rPr>
          <w:rStyle w:val="None"/>
          <w:rFonts w:ascii="Times New Roman" w:hAnsi="Times New Roman"/>
          <w:sz w:val="24"/>
          <w:szCs w:val="24"/>
          <w:rtl/>
          <w:lang w:val="ar-SA"/>
        </w:rPr>
        <w:t>"</w:t>
      </w:r>
      <w:r>
        <w:rPr>
          <w:rStyle w:val="None"/>
          <w:rFonts w:cs="Times New Roman"/>
          <w:sz w:val="24"/>
          <w:szCs w:val="24"/>
          <w:rtl/>
          <w:lang w:val="ar-SA"/>
        </w:rPr>
        <w:t>تاريخ أوروبا في العصور الوسطى</w:t>
      </w:r>
      <w:r>
        <w:rPr>
          <w:rStyle w:val="None"/>
          <w:rFonts w:ascii="Times New Roman" w:hAnsi="Times New Roman"/>
          <w:sz w:val="24"/>
          <w:szCs w:val="24"/>
          <w:rtl/>
          <w:lang w:val="ar-SA"/>
        </w:rPr>
        <w:t>"</w:t>
      </w:r>
      <w:r>
        <w:rPr>
          <w:rStyle w:val="None"/>
          <w:rFonts w:cs="Times New Roman"/>
          <w:sz w:val="24"/>
          <w:szCs w:val="24"/>
          <w:rtl/>
          <w:lang w:val="ar-SA"/>
        </w:rPr>
        <w:t>؛ فإنَّ هذا العنوان لا يحمل طابعًا ابتكاريًا،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يحق لأي مؤلف آخر أنْ يستخدم العنوان ذاته لمعالجة الموضوع نفسه، وفي هذه الحالة يتم التمييز بين المصنف الجديد والسابق ليس من خلال العنوان، بل من خلال اسم المؤلف، وقد يضاف إلى ذلك اسم الناشر وتاريخ النشر، وأخيرًا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الطابع الابتكاري الذي يضفيه المؤلف في تناوله للموضوعات التي يعالجها المصنف، أما إذا اختار المؤلف عنوانًا مبتكرًا لمصنفه، كـ </w:t>
      </w:r>
      <w:r>
        <w:rPr>
          <w:rStyle w:val="None"/>
          <w:rFonts w:ascii="Times New Roman" w:hAnsi="Times New Roman"/>
          <w:sz w:val="24"/>
          <w:szCs w:val="24"/>
          <w:rtl/>
          <w:lang w:val="ar-SA"/>
        </w:rPr>
        <w:t>"</w:t>
      </w:r>
      <w:r>
        <w:rPr>
          <w:rStyle w:val="None"/>
          <w:rFonts w:cs="Times New Roman"/>
          <w:sz w:val="24"/>
          <w:szCs w:val="24"/>
          <w:rtl/>
          <w:lang w:val="ar-SA"/>
        </w:rPr>
        <w:t>مرشد الحيران</w:t>
      </w:r>
      <w:r>
        <w:rPr>
          <w:rStyle w:val="None"/>
          <w:rFonts w:ascii="Times New Roman" w:hAnsi="Times New Roman"/>
          <w:sz w:val="24"/>
          <w:szCs w:val="24"/>
          <w:rtl/>
          <w:lang w:val="ar-SA"/>
        </w:rPr>
        <w:t>"</w:t>
      </w:r>
      <w:r>
        <w:rPr>
          <w:rStyle w:val="None"/>
          <w:rFonts w:cs="Times New Roman"/>
          <w:sz w:val="24"/>
          <w:szCs w:val="24"/>
          <w:rtl/>
          <w:lang w:val="ar-SA"/>
        </w:rPr>
        <w:t>، أو إذا اختار صاحب مجلة عنوانًا، مثل</w:t>
      </w:r>
      <w:r>
        <w:rPr>
          <w:rStyle w:val="None"/>
          <w:rFonts w:ascii="Times New Roman" w:hAnsi="Times New Roman"/>
          <w:sz w:val="24"/>
          <w:szCs w:val="24"/>
          <w:rtl/>
          <w:lang w:val="ar-SA"/>
        </w:rPr>
        <w:t>: "</w:t>
      </w:r>
      <w:r>
        <w:rPr>
          <w:rStyle w:val="None"/>
          <w:rFonts w:cs="Times New Roman"/>
          <w:sz w:val="24"/>
          <w:szCs w:val="24"/>
          <w:rtl/>
          <w:lang w:val="ar-SA"/>
        </w:rPr>
        <w:t>مجلة القانون والاقتصاد</w:t>
      </w:r>
      <w:r>
        <w:rPr>
          <w:rStyle w:val="None"/>
          <w:rFonts w:ascii="Times New Roman" w:hAnsi="Times New Roman"/>
          <w:sz w:val="24"/>
          <w:szCs w:val="24"/>
          <w:rtl/>
          <w:lang w:val="ar-SA"/>
        </w:rPr>
        <w:t>"</w:t>
      </w:r>
      <w:r>
        <w:rPr>
          <w:rStyle w:val="None"/>
          <w:rFonts w:cs="Times New Roman"/>
          <w:sz w:val="24"/>
          <w:szCs w:val="24"/>
          <w:rtl/>
          <w:lang w:val="ar-SA"/>
        </w:rPr>
        <w:t>، أو إذا كانت أغنية تحمل عنوانًا متفردًا، مثل</w:t>
      </w:r>
      <w:r>
        <w:rPr>
          <w:rStyle w:val="None"/>
          <w:rFonts w:ascii="Times New Roman" w:hAnsi="Times New Roman"/>
          <w:sz w:val="24"/>
          <w:szCs w:val="24"/>
          <w:rtl/>
          <w:lang w:val="ar-SA"/>
        </w:rPr>
        <w:t>: "</w:t>
      </w:r>
      <w:r>
        <w:rPr>
          <w:rStyle w:val="None"/>
          <w:rFonts w:cs="Times New Roman"/>
          <w:sz w:val="24"/>
          <w:szCs w:val="24"/>
          <w:rtl/>
          <w:lang w:val="ar-SA"/>
        </w:rPr>
        <w:t>أنت عمري</w:t>
      </w:r>
      <w:r>
        <w:rPr>
          <w:rStyle w:val="None"/>
          <w:rFonts w:ascii="Times New Roman" w:hAnsi="Times New Roman"/>
          <w:sz w:val="24"/>
          <w:szCs w:val="24"/>
          <w:rtl/>
          <w:lang w:val="ar-SA"/>
        </w:rPr>
        <w:t>"</w:t>
      </w:r>
      <w:r>
        <w:rPr>
          <w:rStyle w:val="None"/>
          <w:rFonts w:cs="Times New Roman"/>
          <w:sz w:val="24"/>
          <w:szCs w:val="24"/>
          <w:rtl/>
          <w:lang w:val="ar-SA"/>
        </w:rPr>
        <w:t>، وحقق المصنف شهرةً واسعةً بهذا العنوان، فإنَّ العنوان المبتكر يصبح جزءًا لا يتجزأ من المصنف ذاته، ويخضع للحماية القانونية التي تشمل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3"/>
      </w:r>
      <w:r>
        <w:rPr>
          <w:rStyle w:val="None"/>
          <w:rFonts w:ascii="Times New Roman" w:hAnsi="Times New Roman"/>
          <w:sz w:val="24"/>
          <w:szCs w:val="24"/>
          <w:vertAlign w:val="superscript"/>
          <w:rtl/>
          <w:lang w:val="ar-SA"/>
        </w:rPr>
        <w:t>)</w:t>
      </w:r>
    </w:p>
    <w:p w14:paraId="722A7410" w14:textId="77777777" w:rsidR="00454428" w:rsidRDefault="00000000">
      <w:pPr>
        <w:pStyle w:val="a7"/>
        <w:numPr>
          <w:ilvl w:val="0"/>
          <w:numId w:val="5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الحقوق المعنوية للمؤلف</w:t>
      </w:r>
      <w:r>
        <w:rPr>
          <w:rStyle w:val="None"/>
          <w:rFonts w:ascii="Times New Roman" w:hAnsi="Times New Roman"/>
          <w:b/>
          <w:bCs/>
          <w:sz w:val="24"/>
          <w:szCs w:val="24"/>
          <w:rtl/>
          <w:lang w:val="ar-SA"/>
        </w:rPr>
        <w:t>:</w:t>
      </w:r>
    </w:p>
    <w:p w14:paraId="61B38F7C" w14:textId="77777777" w:rsidR="00454428" w:rsidRDefault="00000000">
      <w:pPr>
        <w:pStyle w:val="a7"/>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المؤلف في نسبة المصنف إليه</w:t>
      </w:r>
      <w:r>
        <w:rPr>
          <w:rStyle w:val="None"/>
          <w:rFonts w:ascii="Times New Roman" w:hAnsi="Times New Roman"/>
          <w:b/>
          <w:bCs/>
          <w:sz w:val="24"/>
          <w:szCs w:val="24"/>
          <w:rtl/>
          <w:lang w:val="ar-SA"/>
        </w:rPr>
        <w:t xml:space="preserve">: </w:t>
      </w:r>
      <w:r>
        <w:rPr>
          <w:rStyle w:val="None"/>
          <w:rFonts w:cs="Times New Roman"/>
          <w:sz w:val="24"/>
          <w:szCs w:val="24"/>
          <w:rtl/>
          <w:lang w:val="ar-SA"/>
        </w:rPr>
        <w:t>الحق المعنوي حق أدبي غير مالي يتصل بشخصية المؤلف، وإنْ كان يتميز عن الحقوق الشخصية البحثة في أنَّه يعتبر عنصرًا في حق المؤلف الذي يرد المصنف ذاته، ويترتب على ذلك أنْ يتحدد خصائصه على ضوء هذه الاعتبارين، فهو بذلك لا يجوز التصرف فيه والتخلي عنه، وهو يتكون من أربعة عناصرَ أساسيةٍ</w:t>
      </w:r>
      <w:r>
        <w:rPr>
          <w:rStyle w:val="None"/>
          <w:rFonts w:ascii="Times New Roman" w:hAnsi="Times New Roman"/>
          <w:sz w:val="24"/>
          <w:szCs w:val="24"/>
          <w:rtl/>
          <w:lang w:val="ar-SA"/>
        </w:rPr>
        <w:t xml:space="preserve">: </w:t>
      </w:r>
      <w:r>
        <w:rPr>
          <w:rStyle w:val="None"/>
          <w:rFonts w:cs="Times New Roman"/>
          <w:sz w:val="24"/>
          <w:szCs w:val="24"/>
          <w:rtl/>
          <w:lang w:val="ar-SA"/>
        </w:rPr>
        <w:t>الحق في شَهْر المصنف، والحق في نسبة العمل إلى المؤلف، والحق في احترام المؤلف، والحق في سحب المصنف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4"/>
      </w:r>
      <w:r>
        <w:rPr>
          <w:rStyle w:val="None"/>
          <w:rFonts w:ascii="Times New Roman" w:hAnsi="Times New Roman"/>
          <w:sz w:val="24"/>
          <w:szCs w:val="24"/>
          <w:vertAlign w:val="superscript"/>
          <w:rtl/>
          <w:lang w:val="ar-SA"/>
        </w:rPr>
        <w:t>)</w:t>
      </w:r>
    </w:p>
    <w:p w14:paraId="409463AF" w14:textId="77777777" w:rsidR="00454428" w:rsidRDefault="00000000">
      <w:pPr>
        <w:pStyle w:val="a7"/>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تقدير العمل</w:t>
      </w:r>
      <w:r>
        <w:rPr>
          <w:rStyle w:val="None"/>
          <w:rFonts w:ascii="Times New Roman" w:hAnsi="Times New Roman"/>
          <w:b/>
          <w:bCs/>
          <w:sz w:val="24"/>
          <w:szCs w:val="24"/>
          <w:rtl/>
          <w:lang w:val="ar-SA"/>
        </w:rPr>
        <w:t xml:space="preserve">: </w:t>
      </w:r>
      <w:r>
        <w:rPr>
          <w:rStyle w:val="None"/>
          <w:rFonts w:cs="Times New Roman"/>
          <w:sz w:val="24"/>
          <w:szCs w:val="24"/>
          <w:rtl/>
          <w:lang w:val="ar-SA"/>
        </w:rPr>
        <w:t>تعتبر وحدة الأفكار وترتيبها بشكل متسلسل من أبرز وسائل الإبداع، يمتد حق المؤلف لحماية المصنف من أي حذف قد يؤثر على العمل؛ ممَّا يؤدي إلى تشويهه أو المَسِّ بوحدته،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يؤثر على مضمون القصة ومعناها، كما أنَّ هناك حقًا في حماية المصنف من أي تشويه، أو تحوير قد يفقد العمل تميزه، أو يضر بسمعة المؤلف، بالإضافة إلى ذلك</w:t>
      </w:r>
      <w:r>
        <w:rPr>
          <w:rStyle w:val="None"/>
          <w:rFonts w:ascii="Times New Roman" w:hAnsi="Times New Roman"/>
          <w:sz w:val="24"/>
          <w:szCs w:val="24"/>
          <w:rtl/>
          <w:lang w:val="ar-SA"/>
        </w:rPr>
        <w:t xml:space="preserve">: </w:t>
      </w:r>
      <w:r>
        <w:rPr>
          <w:rStyle w:val="None"/>
          <w:rFonts w:cs="Times New Roman"/>
          <w:sz w:val="24"/>
          <w:szCs w:val="24"/>
          <w:rtl/>
          <w:lang w:val="ar-SA"/>
        </w:rPr>
        <w:t>يحق للمؤلف سحب مؤلفه من الأسواق إذا تغيرت الظروف المحيطة بالأفكار الواردة في المصنف، أو إذا اختلفت قناعاته بشأن الآراء التي طرحها في عمله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5"/>
      </w:r>
      <w:r>
        <w:rPr>
          <w:rStyle w:val="None"/>
          <w:rFonts w:ascii="Times New Roman" w:hAnsi="Times New Roman"/>
          <w:sz w:val="24"/>
          <w:szCs w:val="24"/>
          <w:vertAlign w:val="superscript"/>
          <w:rtl/>
          <w:lang w:val="ar-SA"/>
        </w:rPr>
        <w:t>)</w:t>
      </w:r>
    </w:p>
    <w:p w14:paraId="17C11009"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الملكية الصناعية</w:t>
      </w:r>
      <w:r>
        <w:rPr>
          <w:rStyle w:val="None"/>
          <w:rFonts w:ascii="Times New Roman" w:hAnsi="Times New Roman"/>
          <w:b/>
          <w:bCs/>
          <w:sz w:val="28"/>
          <w:szCs w:val="28"/>
          <w:rtl/>
          <w:lang w:val="ar-SA"/>
        </w:rPr>
        <w:t>:</w:t>
      </w:r>
    </w:p>
    <w:p w14:paraId="6490EC7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برزت أهمية حماية حقوق الملكية الصناعية منذ بزوغ عهد الثورة الصناعية في أوربا منتصف القرن التاسع عشر، وما واكبها من اختراعات أدت إلى استغلالها لكافة الدوافع التي استندت عليها اتفاقية باريس لحماية حقوق الملكية الصناعية؛ بهدف تحفيز المبتكرين على مواصلة إنتاجهم واختراعاتهم؛ ممَّا يخدم تطوُّر الحركة التجارية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6"/>
      </w:r>
      <w:r>
        <w:rPr>
          <w:rStyle w:val="None"/>
          <w:rFonts w:ascii="Times New Roman" w:hAnsi="Times New Roman"/>
          <w:sz w:val="24"/>
          <w:szCs w:val="24"/>
          <w:vertAlign w:val="superscript"/>
          <w:rtl/>
          <w:lang w:val="ar-SA"/>
        </w:rPr>
        <w:t>)</w:t>
      </w:r>
    </w:p>
    <w:p w14:paraId="21CEBEE1" w14:textId="69C98D7A" w:rsidR="00454428" w:rsidRDefault="00000000" w:rsidP="006F4C04">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حيث بدأ العمل الدولي على تنظيم مجالاته المتنوعة من خلال اتفاقية باريس لحماية الملكية الصناعية، التي تم توقيعها في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مارس </w:t>
      </w:r>
      <w:r>
        <w:rPr>
          <w:rStyle w:val="None"/>
          <w:rFonts w:ascii="Times New Roman" w:hAnsi="Times New Roman"/>
          <w:sz w:val="24"/>
          <w:szCs w:val="24"/>
          <w:rtl/>
          <w:lang w:val="ar-SA"/>
        </w:rPr>
        <w:t>1883</w:t>
      </w:r>
      <w:r>
        <w:rPr>
          <w:rStyle w:val="None"/>
          <w:rFonts w:cs="Times New Roman"/>
          <w:sz w:val="24"/>
          <w:szCs w:val="24"/>
          <w:rtl/>
          <w:lang w:val="ar-SA"/>
        </w:rPr>
        <w:t xml:space="preserve">، وقد خضعت هذه الاتفاقية لعدة تعديلات وتنقيحات، بلغ عددها سبع تعديلات ومن أبرزها </w:t>
      </w:r>
      <w:r>
        <w:rPr>
          <w:rStyle w:val="None"/>
          <w:rFonts w:cs="Times New Roman"/>
          <w:sz w:val="24"/>
          <w:szCs w:val="24"/>
          <w:rtl/>
          <w:lang w:val="ar-SA"/>
        </w:rPr>
        <w:lastRenderedPageBreak/>
        <w:t xml:space="preserve">تعديل </w:t>
      </w:r>
      <w:r>
        <w:rPr>
          <w:rStyle w:val="None"/>
          <w:rFonts w:ascii="Times New Roman" w:hAnsi="Times New Roman"/>
          <w:sz w:val="24"/>
          <w:szCs w:val="24"/>
          <w:rtl/>
          <w:lang w:val="ar-SA"/>
        </w:rPr>
        <w:t>(</w:t>
      </w:r>
      <w:r>
        <w:rPr>
          <w:rStyle w:val="None"/>
          <w:rFonts w:cs="Times New Roman"/>
          <w:sz w:val="24"/>
          <w:szCs w:val="24"/>
          <w:rtl/>
          <w:lang w:val="ar-SA"/>
        </w:rPr>
        <w:t>ستوكهولم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الذي تم في </w:t>
      </w:r>
      <w:r>
        <w:rPr>
          <w:rStyle w:val="None"/>
          <w:rFonts w:ascii="Times New Roman" w:hAnsi="Times New Roman"/>
          <w:sz w:val="24"/>
          <w:szCs w:val="24"/>
          <w:rtl/>
          <w:lang w:val="ar-SA"/>
        </w:rPr>
        <w:t xml:space="preserve">14 </w:t>
      </w:r>
      <w:r>
        <w:rPr>
          <w:rStyle w:val="None"/>
          <w:rFonts w:cs="Times New Roman"/>
          <w:sz w:val="24"/>
          <w:szCs w:val="24"/>
          <w:rtl/>
          <w:lang w:val="ar-SA"/>
        </w:rPr>
        <w:t xml:space="preserve">يوليو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جاء في </w:t>
      </w:r>
      <w:bookmarkStart w:id="102" w:name="_Hlk179575099"/>
      <w:r>
        <w:rPr>
          <w:rStyle w:val="None"/>
          <w:rFonts w:cs="Times New Roman"/>
          <w:sz w:val="24"/>
          <w:szCs w:val="24"/>
          <w:rtl/>
          <w:lang w:val="ar-SA"/>
        </w:rPr>
        <w:t xml:space="preserve">المادة الأولى الفقرة الأولى من اتفاقية باريس </w:t>
      </w:r>
      <w:bookmarkEnd w:id="102"/>
      <w:r>
        <w:rPr>
          <w:rStyle w:val="None"/>
          <w:rFonts w:cs="Times New Roman"/>
          <w:sz w:val="24"/>
          <w:szCs w:val="24"/>
          <w:rtl/>
          <w:lang w:val="ar-SA"/>
        </w:rPr>
        <w:t>تفهم للملكية الصناعية بمعناها الواسع؛ حيث لا تقتصر تطبيقاتها على الصناعة والتجارة بالمعنى الحرفي فحسب، بل تشمل أيضًا الصناعات الزراعية والاستخراجية، بالإضافة إلى جميع المنتجات المصنعة أو الطبيعية، مثل</w:t>
      </w:r>
      <w:r>
        <w:rPr>
          <w:rStyle w:val="None"/>
          <w:rFonts w:ascii="Times New Roman" w:hAnsi="Times New Roman"/>
          <w:sz w:val="24"/>
          <w:szCs w:val="24"/>
          <w:rtl/>
          <w:lang w:val="ar-SA"/>
        </w:rPr>
        <w:t xml:space="preserve">: </w:t>
      </w:r>
      <w:r>
        <w:rPr>
          <w:rStyle w:val="None"/>
          <w:rFonts w:cs="Times New Roman"/>
          <w:sz w:val="24"/>
          <w:szCs w:val="24"/>
          <w:rtl/>
          <w:lang w:val="ar-SA"/>
        </w:rPr>
        <w:t>المشروبات، والحبوب، وأوراق التبغ، والفواكه، والمواشي، والمعادن، والمياه المعدنية، والزهور، والدقيق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7"/>
      </w:r>
      <w:r>
        <w:rPr>
          <w:rStyle w:val="None"/>
          <w:rFonts w:ascii="Times New Roman" w:hAnsi="Times New Roman"/>
          <w:sz w:val="24"/>
          <w:szCs w:val="24"/>
          <w:vertAlign w:val="superscript"/>
          <w:rtl/>
          <w:lang w:val="ar-SA"/>
        </w:rPr>
        <w:t>)</w:t>
      </w:r>
      <w:r w:rsidR="006F4C04">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تشمل حقوق الملكية الفكرية عدة جوانب مهمة، وهي</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تمنح المخترعين حقوقًا حصريةً لاستخدام وتسويق اختراعاتهم لفترة محددة؛ ممَّا يعزّز الابتكار والتطوير، العلامة التجارية تحمي هُوِيَّة السلع والخدمات عبر منع الاستخدام غير المصرح لعلامات مشابهة، الرسوم والنماذج الصناعية تحمي التصاميم الجمالية للمنتجات، التصاميم الشكلية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8"/>
      </w:r>
      <w:r>
        <w:rPr>
          <w:rStyle w:val="None"/>
          <w:rFonts w:ascii="Times New Roman" w:hAnsi="Times New Roman"/>
          <w:sz w:val="24"/>
          <w:szCs w:val="24"/>
          <w:vertAlign w:val="superscript"/>
          <w:rtl/>
          <w:lang w:val="ar-SA"/>
        </w:rPr>
        <w:t>)</w:t>
      </w:r>
      <w:r>
        <w:rPr>
          <w:rStyle w:val="None"/>
          <w:rFonts w:cs="Times New Roman"/>
          <w:sz w:val="24"/>
          <w:szCs w:val="24"/>
          <w:rtl/>
          <w:lang w:val="ar-SA"/>
        </w:rPr>
        <w:t>، وتعدد أشكال الملكية الصناعية، ومنها ما يلي</w:t>
      </w:r>
      <w:r>
        <w:rPr>
          <w:rStyle w:val="None"/>
          <w:rFonts w:ascii="Times New Roman" w:hAnsi="Times New Roman"/>
          <w:sz w:val="24"/>
          <w:szCs w:val="24"/>
          <w:rtl/>
          <w:lang w:val="ar-SA"/>
        </w:rPr>
        <w:t>:</w:t>
      </w:r>
    </w:p>
    <w:p w14:paraId="4649782E" w14:textId="5DE31794" w:rsidR="00454428" w:rsidRPr="0048398C" w:rsidRDefault="00000000">
      <w:pPr>
        <w:pStyle w:val="BodyA"/>
        <w:numPr>
          <w:ilvl w:val="6"/>
          <w:numId w:val="54"/>
        </w:numPr>
        <w:spacing w:before="120" w:after="120" w:line="360" w:lineRule="auto"/>
        <w:jc w:val="both"/>
        <w:rPr>
          <w:rFonts w:cs="Times New Roman" w:hint="default"/>
          <w:b/>
          <w:bCs/>
          <w:sz w:val="24"/>
          <w:szCs w:val="24"/>
          <w:lang w:val="ar-SA"/>
        </w:rPr>
      </w:pPr>
      <w:r>
        <w:rPr>
          <w:rStyle w:val="None"/>
          <w:rFonts w:cs="Times New Roman"/>
          <w:b/>
          <w:bCs/>
          <w:sz w:val="24"/>
          <w:szCs w:val="24"/>
          <w:rtl/>
          <w:lang w:val="ar-SA"/>
        </w:rPr>
        <w:t>البراءات</w:t>
      </w:r>
      <w:r>
        <w:rPr>
          <w:rStyle w:val="None"/>
          <w:rFonts w:ascii="Times New Roman" w:hAnsi="Times New Roman"/>
          <w:b/>
          <w:bCs/>
          <w:sz w:val="24"/>
          <w:szCs w:val="24"/>
          <w:rtl/>
          <w:lang w:val="ar-SA"/>
        </w:rPr>
        <w:t xml:space="preserve">: </w:t>
      </w:r>
      <w:r>
        <w:rPr>
          <w:rStyle w:val="None"/>
          <w:rFonts w:cs="Times New Roman"/>
          <w:sz w:val="24"/>
          <w:szCs w:val="24"/>
          <w:rtl/>
          <w:lang w:val="ar-SA"/>
        </w:rPr>
        <w:t>تعمل البراءات على حماية الاختراعات الجديدة؛ حيث تمنح المخترعين حقوقًا حصرية لاستخدام وبيع ابتكاراتهم لفترة زمنية معينة، في السياق الرقمي تشمل البراءات تقنيات الحوسبة البرمجيات وغيرها من الابتكارات التكنولوجية، يتطلب الحفاظ على حماية البراءات في العصر الرقمي تحديثات دورية لمواكبة التطوُّرات السريعة في مجال التكنولوجيا</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9"/>
      </w:r>
      <w:r>
        <w:rPr>
          <w:rStyle w:val="None"/>
          <w:rFonts w:ascii="Times New Roman" w:hAnsi="Times New Roman"/>
          <w:sz w:val="24"/>
          <w:szCs w:val="24"/>
          <w:vertAlign w:val="superscript"/>
          <w:rtl/>
          <w:lang w:val="ar-SA"/>
        </w:rPr>
        <w:t>)</w:t>
      </w:r>
      <w:r>
        <w:rPr>
          <w:rStyle w:val="None"/>
          <w:rFonts w:cs="Times New Roman"/>
          <w:sz w:val="24"/>
          <w:szCs w:val="24"/>
          <w:rtl/>
          <w:lang w:val="ar-SA"/>
        </w:rPr>
        <w:t>، ولا تستحق جميع الاختراعات الحصول على براءة اختراع؛ حيث تتطلب القوانين في التشريعات السعودية والمقارنة أنْ يلتزم الاختراع بمجموعة من الشروط المعروفة بالمقتضيات أو شروط البراءة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0"/>
      </w:r>
      <w:r>
        <w:rPr>
          <w:rStyle w:val="None"/>
          <w:rFonts w:ascii="Times New Roman" w:hAnsi="Times New Roman"/>
          <w:sz w:val="24"/>
          <w:szCs w:val="24"/>
          <w:vertAlign w:val="superscript"/>
          <w:rtl/>
          <w:lang w:val="ar-SA"/>
        </w:rPr>
        <w:t>)</w:t>
      </w:r>
      <w:r w:rsidR="0048398C">
        <w:rPr>
          <w:rFonts w:cs="Times New Roman" w:hint="default"/>
          <w:b/>
          <w:bCs/>
          <w:sz w:val="24"/>
          <w:szCs w:val="24"/>
        </w:rPr>
        <w:t xml:space="preserve"> </w:t>
      </w:r>
      <w:r w:rsidRPr="0048398C">
        <w:rPr>
          <w:rStyle w:val="None"/>
          <w:rFonts w:cs="Times New Roman"/>
          <w:sz w:val="24"/>
          <w:szCs w:val="24"/>
          <w:rtl/>
          <w:lang w:val="ar-SA"/>
        </w:rPr>
        <w:t>تُعرَّف البراءات بأنَّها</w:t>
      </w:r>
      <w:r w:rsidRPr="0048398C">
        <w:rPr>
          <w:rStyle w:val="None"/>
          <w:rFonts w:ascii="Times New Roman" w:hAnsi="Times New Roman"/>
          <w:sz w:val="24"/>
          <w:szCs w:val="24"/>
          <w:rtl/>
          <w:lang w:val="ar-SA"/>
        </w:rPr>
        <w:t>: "</w:t>
      </w:r>
      <w:r w:rsidRPr="0048398C">
        <w:rPr>
          <w:rStyle w:val="None"/>
          <w:rFonts w:cs="Times New Roman"/>
          <w:sz w:val="24"/>
          <w:szCs w:val="24"/>
          <w:rtl/>
          <w:lang w:val="ar-SA"/>
        </w:rPr>
        <w:t>شهادة تمنحها الجهات المختصة في الدولة للمخترع عن اختراعه يكون له موجبها حق استثمار واستغلال اختراعه</w:t>
      </w:r>
      <w:r w:rsidRPr="0048398C">
        <w:rPr>
          <w:rStyle w:val="None"/>
          <w:rFonts w:ascii="Times New Roman" w:hAnsi="Times New Roman"/>
          <w:sz w:val="24"/>
          <w:szCs w:val="24"/>
          <w:rtl/>
          <w:lang w:val="ar-SA"/>
        </w:rPr>
        <w:t>"</w:t>
      </w:r>
      <w:r w:rsidRPr="0048398C">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1"/>
      </w:r>
      <w:r w:rsidRPr="0048398C">
        <w:rPr>
          <w:rStyle w:val="None"/>
          <w:rFonts w:ascii="Times New Roman" w:hAnsi="Times New Roman"/>
          <w:sz w:val="24"/>
          <w:szCs w:val="24"/>
          <w:vertAlign w:val="superscript"/>
          <w:rtl/>
          <w:lang w:val="ar-SA"/>
        </w:rPr>
        <w:t>)</w:t>
      </w:r>
      <w:r w:rsidRPr="0048398C">
        <w:rPr>
          <w:rStyle w:val="None"/>
          <w:rFonts w:ascii="Times New Roman" w:hAnsi="Times New Roman"/>
          <w:sz w:val="24"/>
          <w:szCs w:val="24"/>
          <w:rtl/>
          <w:lang w:val="ar-SA"/>
        </w:rPr>
        <w:t>.</w:t>
      </w:r>
      <w:r w:rsidR="006F4C04" w:rsidRPr="0048398C">
        <w:rPr>
          <w:rStyle w:val="None"/>
          <w:rFonts w:ascii="Times New Roman" w:eastAsia="Times New Roman" w:hAnsi="Times New Roman" w:cs="Times New Roman" w:hint="default"/>
          <w:sz w:val="24"/>
          <w:szCs w:val="24"/>
        </w:rPr>
        <w:t xml:space="preserve"> </w:t>
      </w:r>
      <w:r w:rsidRPr="0048398C">
        <w:rPr>
          <w:rFonts w:cs="Times New Roman"/>
          <w:sz w:val="24"/>
          <w:szCs w:val="24"/>
          <w:rtl/>
          <w:lang w:val="ar-SA"/>
        </w:rPr>
        <w:t>كما عُرِّف الاختراع في النظام السعودي بأنَّه:</w:t>
      </w:r>
      <w:r w:rsidRPr="0048398C">
        <w:rPr>
          <w:rFonts w:cs="Times New Roman" w:hint="default"/>
          <w:sz w:val="24"/>
          <w:szCs w:val="24"/>
          <w:rtl/>
          <w:lang w:val="ar-SA"/>
        </w:rPr>
        <w:t> </w:t>
      </w:r>
      <w:r w:rsidRPr="0048398C">
        <w:rPr>
          <w:rFonts w:cs="Times New Roman"/>
          <w:sz w:val="24"/>
          <w:szCs w:val="24"/>
          <w:rtl/>
          <w:lang w:val="ar-SA"/>
        </w:rPr>
        <w:t>"فكرة يتوصل إليها المخترع، وينتج عنها حل مشكلة معينة في مجال التقنية"</w:t>
      </w:r>
      <w:r w:rsidRPr="0048398C">
        <w:rPr>
          <w:rFonts w:cs="Times New Roman"/>
          <w:sz w:val="24"/>
          <w:szCs w:val="24"/>
          <w:vertAlign w:val="superscript"/>
          <w:rtl/>
          <w:lang w:val="ar-SA"/>
        </w:rPr>
        <w:t>(</w:t>
      </w:r>
      <w:r w:rsidRPr="006F4C04">
        <w:rPr>
          <w:rFonts w:cs="Times New Roman"/>
          <w:sz w:val="24"/>
          <w:szCs w:val="24"/>
          <w:vertAlign w:val="superscript"/>
          <w:lang w:val="ar-SA"/>
        </w:rPr>
        <w:footnoteReference w:id="72"/>
      </w:r>
      <w:r w:rsidRPr="0048398C">
        <w:rPr>
          <w:rFonts w:cs="Times New Roman"/>
          <w:sz w:val="24"/>
          <w:szCs w:val="24"/>
          <w:vertAlign w:val="superscript"/>
          <w:rtl/>
          <w:lang w:val="ar-SA"/>
        </w:rPr>
        <w:t>)</w:t>
      </w:r>
      <w:r w:rsidRPr="0048398C">
        <w:rPr>
          <w:rFonts w:cs="Times New Roman"/>
          <w:sz w:val="24"/>
          <w:szCs w:val="24"/>
          <w:rtl/>
          <w:lang w:val="ar-SA"/>
        </w:rPr>
        <w:t>.</w:t>
      </w:r>
    </w:p>
    <w:p w14:paraId="0B946756" w14:textId="77777777" w:rsidR="00454428" w:rsidRDefault="00000000">
      <w:pPr>
        <w:pStyle w:val="BodyA"/>
        <w:widowControl w:val="0"/>
        <w:numPr>
          <w:ilvl w:val="6"/>
          <w:numId w:val="5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موضوع يستحق البراءة</w:t>
      </w:r>
      <w:r>
        <w:rPr>
          <w:rStyle w:val="None"/>
          <w:rFonts w:ascii="Times New Roman" w:hAnsi="Times New Roman"/>
          <w:b/>
          <w:bCs/>
          <w:sz w:val="24"/>
          <w:szCs w:val="24"/>
          <w:rtl/>
          <w:lang w:val="ar-SA"/>
        </w:rPr>
        <w:t>:</w:t>
      </w:r>
      <w:r>
        <w:rPr>
          <w:rStyle w:val="None"/>
          <w:rFonts w:cs="Times New Roman"/>
          <w:sz w:val="24"/>
          <w:szCs w:val="24"/>
          <w:rtl/>
          <w:lang w:val="ar-SA"/>
        </w:rPr>
        <w:t xml:space="preserve"> بمعنى أنَّه يجب أنْ يكون للاختراع </w:t>
      </w:r>
      <w:r>
        <w:rPr>
          <w:rStyle w:val="None"/>
          <w:rFonts w:ascii="Times New Roman" w:hAnsi="Times New Roman"/>
          <w:sz w:val="24"/>
          <w:szCs w:val="24"/>
          <w:rtl/>
          <w:lang w:val="ar-SA"/>
        </w:rPr>
        <w:t>-</w:t>
      </w:r>
      <w:r>
        <w:rPr>
          <w:rStyle w:val="None"/>
          <w:rFonts w:cs="Times New Roman"/>
          <w:sz w:val="24"/>
          <w:szCs w:val="24"/>
          <w:rtl/>
          <w:lang w:val="ar-SA"/>
        </w:rPr>
        <w:t>المقدم بشأنه الحصول على البراءة من قبل صاحبه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ذاتيته المستقلة التي تميزه عن غيره من الابتكارات أو الاختراعات الأخرى، وأنْ يكون هذا الاختراع قابلًا للتنفيذ أو التطبيق العلمي، وفي الوقع حتى يتوافر هذا الشرط يجب أنْ يكون الاختراع واردًا على أحد </w:t>
      </w:r>
      <w:r>
        <w:rPr>
          <w:rStyle w:val="None"/>
          <w:rFonts w:cs="Times New Roman"/>
          <w:sz w:val="24"/>
          <w:szCs w:val="24"/>
          <w:rtl/>
          <w:lang w:val="ar-SA"/>
        </w:rPr>
        <w:lastRenderedPageBreak/>
        <w:t>الوسائل التي يمكن بواسطتها تحقيق نتائج كان في الماضي يتعذر تحقيقها</w:t>
      </w:r>
      <w:r>
        <w:rPr>
          <w:rStyle w:val="None"/>
          <w:rFonts w:ascii="Times New Roman" w:hAnsi="Times New Roman"/>
          <w:sz w:val="24"/>
          <w:szCs w:val="24"/>
          <w:rtl/>
          <w:lang w:val="ar-SA"/>
        </w:rPr>
        <w:t xml:space="preserve">.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3"/>
      </w:r>
      <w:r>
        <w:rPr>
          <w:rStyle w:val="None"/>
          <w:rFonts w:ascii="Times New Roman" w:hAnsi="Times New Roman"/>
          <w:sz w:val="20"/>
          <w:szCs w:val="20"/>
          <w:vertAlign w:val="superscript"/>
          <w:rtl/>
          <w:lang w:val="ar-SA"/>
        </w:rPr>
        <w:t>)</w:t>
      </w:r>
    </w:p>
    <w:p w14:paraId="43024217" w14:textId="13CFB3CD" w:rsidR="00454428" w:rsidRPr="0048398C" w:rsidRDefault="00000000">
      <w:pPr>
        <w:pStyle w:val="a7"/>
        <w:widowControl w:val="0"/>
        <w:numPr>
          <w:ilvl w:val="6"/>
          <w:numId w:val="54"/>
        </w:numPr>
        <w:spacing w:before="120" w:after="120" w:line="360" w:lineRule="auto"/>
        <w:jc w:val="both"/>
        <w:rPr>
          <w:rFonts w:cs="Times New Roman" w:hint="default"/>
          <w:b/>
          <w:bCs/>
          <w:sz w:val="24"/>
          <w:szCs w:val="24"/>
          <w:lang w:val="ar-SA"/>
        </w:rPr>
      </w:pPr>
      <w:r>
        <w:rPr>
          <w:rStyle w:val="None"/>
          <w:rFonts w:cs="Times New Roman"/>
          <w:b/>
          <w:bCs/>
          <w:sz w:val="24"/>
          <w:szCs w:val="24"/>
          <w:rtl/>
          <w:lang w:val="ar-SA"/>
        </w:rPr>
        <w:t>التصاميم الصناعية</w:t>
      </w:r>
      <w:r>
        <w:rPr>
          <w:rStyle w:val="None"/>
          <w:rFonts w:ascii="Times New Roman" w:hAnsi="Times New Roman"/>
          <w:b/>
          <w:bCs/>
          <w:sz w:val="24"/>
          <w:szCs w:val="24"/>
          <w:rtl/>
          <w:lang w:val="ar-SA"/>
        </w:rPr>
        <w:t xml:space="preserve">: </w:t>
      </w:r>
      <w:r>
        <w:rPr>
          <w:rStyle w:val="None"/>
          <w:rFonts w:cs="Times New Roman"/>
          <w:sz w:val="24"/>
          <w:szCs w:val="24"/>
          <w:rtl/>
          <w:lang w:val="ar-SA"/>
        </w:rPr>
        <w:t>التصميمات الصناعية هي المظهر الزخرفي أو الجمالي لسلعة ما، وهي تطبق على طائفة واسعة من المنتجات الصناعية والحرفية،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تشكيلة الخطوط، والأنماط، والألوان، والأشكال المجسمة، التي تعطي المنتج الصناعي أو الحرفي مظهرًا مختلفًا عن غيره من السلع المشابهة، ولا يشترط أنْ تكون لها قيمة فنية؛ كي تتمتع بالحماية، فالحماية واجبة قانونًا سواء كانت لها قيمة فنية أو لم تكن لها أية قيمة فنية طالما توافرت فيها الشروط المطلوبة قانونًا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4"/>
      </w:r>
      <w:r>
        <w:rPr>
          <w:rStyle w:val="None"/>
          <w:rFonts w:ascii="Times New Roman" w:hAnsi="Times New Roman"/>
          <w:sz w:val="24"/>
          <w:szCs w:val="24"/>
          <w:vertAlign w:val="superscript"/>
          <w:rtl/>
          <w:lang w:val="ar-SA"/>
        </w:rPr>
        <w:t>)</w:t>
      </w:r>
      <w:r w:rsidR="0048398C">
        <w:rPr>
          <w:rStyle w:val="None"/>
          <w:rFonts w:ascii="Times New Roman" w:hAnsi="Times New Roman" w:hint="default"/>
          <w:sz w:val="24"/>
          <w:szCs w:val="24"/>
          <w:vertAlign w:val="superscript"/>
        </w:rPr>
        <w:t xml:space="preserve"> </w:t>
      </w:r>
      <w:r w:rsidRPr="0048398C">
        <w:rPr>
          <w:rFonts w:cs="Times New Roman"/>
          <w:sz w:val="24"/>
          <w:szCs w:val="24"/>
          <w:rtl/>
          <w:lang w:val="ar-SA"/>
        </w:rPr>
        <w:t xml:space="preserve">كما عُرِّف التصميم في النظام السعودي بأنَّه هو التصميم " الترتيب الثلاثي الأبعاد لعناصر دائرة متكاملة -على أنْ يكون أحد تلك العناصر على الأقل نشطًا- ولجميع الوصلات، أو بعضها، أو الترتيب الثلاثي الأبعاد المعد لدائرة متكاملة بغرض التصنيع" </w:t>
      </w:r>
      <w:r w:rsidRPr="0048398C">
        <w:rPr>
          <w:rFonts w:cs="Times New Roman"/>
          <w:sz w:val="20"/>
          <w:szCs w:val="20"/>
          <w:vertAlign w:val="superscript"/>
          <w:rtl/>
          <w:lang w:val="ar-SA"/>
        </w:rPr>
        <w:t>(</w:t>
      </w:r>
      <w:r w:rsidRPr="006F4C04">
        <w:rPr>
          <w:sz w:val="20"/>
          <w:szCs w:val="20"/>
          <w:vertAlign w:val="superscript"/>
          <w:lang w:val="ar-SA"/>
        </w:rPr>
        <w:footnoteReference w:id="75"/>
      </w:r>
      <w:r w:rsidRPr="0048398C">
        <w:rPr>
          <w:rFonts w:cs="Times New Roman"/>
          <w:sz w:val="20"/>
          <w:szCs w:val="20"/>
          <w:vertAlign w:val="superscript"/>
          <w:rtl/>
          <w:lang w:val="ar-SA"/>
        </w:rPr>
        <w:t>)</w:t>
      </w:r>
      <w:r w:rsidRPr="0048398C">
        <w:rPr>
          <w:rFonts w:cs="Times New Roman"/>
          <w:sz w:val="24"/>
          <w:szCs w:val="24"/>
          <w:rtl/>
          <w:lang w:val="ar-SA"/>
        </w:rPr>
        <w:t>.</w:t>
      </w:r>
    </w:p>
    <w:p w14:paraId="48AE41C6" w14:textId="77777777" w:rsidR="00454428" w:rsidRDefault="00000000">
      <w:pPr>
        <w:pStyle w:val="a7"/>
        <w:widowControl w:val="0"/>
        <w:numPr>
          <w:ilvl w:val="6"/>
          <w:numId w:val="5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 xml:space="preserve">: </w:t>
      </w:r>
      <w:r>
        <w:rPr>
          <w:rStyle w:val="None"/>
          <w:rFonts w:cs="Times New Roman"/>
          <w:sz w:val="24"/>
          <w:szCs w:val="24"/>
          <w:rtl/>
          <w:lang w:val="ar-SA"/>
        </w:rPr>
        <w:t>إنَّ العلامة التجارية جزءٌ مهمٌّ في المتجر، ويسعى جميع التجار إلى التمييز في اختيار علامتهم التجارية؛ لتمييز خدماتهم أو منتجاتهم عن باقي الخدمات أو المنتجات؛ لحماية حقوقهم ومصالحهم، ومن هنا كانت بداية الاهتمام الملحوظ بتنظيم موضوع العلامات التجارية من الناحية القانوني في الدول ذات الاقتصاد المتطوِّر، باعتبار أنَّ العلامة التجارية تمثل نوعًا من المنافسة المشروعة بين التجار، وتساعد على ازدهار الناحية الاقتصادية في الدولة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6"/>
      </w:r>
      <w:r>
        <w:rPr>
          <w:rStyle w:val="None"/>
          <w:rFonts w:ascii="Times New Roman" w:hAnsi="Times New Roman"/>
          <w:sz w:val="24"/>
          <w:szCs w:val="24"/>
          <w:vertAlign w:val="superscript"/>
          <w:rtl/>
          <w:lang w:val="ar-SA"/>
        </w:rPr>
        <w:t>)</w:t>
      </w:r>
    </w:p>
    <w:p w14:paraId="601E257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وتُعرَّف العلامات التجارية فهي </w:t>
      </w:r>
      <w:r>
        <w:rPr>
          <w:rStyle w:val="None"/>
          <w:rFonts w:ascii="Times New Roman" w:hAnsi="Times New Roman"/>
          <w:sz w:val="24"/>
          <w:szCs w:val="24"/>
          <w:rtl/>
          <w:lang w:val="ar-SA"/>
        </w:rPr>
        <w:t>"</w:t>
      </w:r>
      <w:r>
        <w:rPr>
          <w:rStyle w:val="None"/>
          <w:rFonts w:cs="Times New Roman"/>
          <w:sz w:val="24"/>
          <w:szCs w:val="24"/>
          <w:rtl/>
          <w:lang w:val="ar-SA"/>
        </w:rPr>
        <w:t>كل إشارة، أو رمز، أو دلالة ذي تكوين خاص بذات التجار، أو الصانع على منتجاته، أو الخدمات التي يقوم بصنعها لغرض بيعها، ويهدف إلى تيسير التعرُّف على مصدر تلك المنتجات أو الخدمات؛ بحيث يسهل تمييزها عن غيرها من السلع والخدمات المشابهة من قبل المستهلكين، أو المتعاملين بها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90B2E9D" w14:textId="7A8B558B" w:rsidR="00454428" w:rsidRDefault="00000000" w:rsidP="0048398C">
      <w:pPr>
        <w:pStyle w:val="BodyA"/>
        <w:widowControl w:val="0"/>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عُرِّفت العلامات التجارية في المادة الأولى من نظام العلامات التجارية السعودي بأنَّه</w:t>
      </w:r>
      <w:r>
        <w:rPr>
          <w:rStyle w:val="None"/>
          <w:rFonts w:ascii="Times New Roman" w:hAnsi="Times New Roman"/>
          <w:sz w:val="24"/>
          <w:szCs w:val="24"/>
          <w:rtl/>
          <w:lang w:val="ar-SA"/>
        </w:rPr>
        <w:t>: "</w:t>
      </w:r>
      <w:r>
        <w:rPr>
          <w:rStyle w:val="None"/>
          <w:rFonts w:cs="Times New Roman"/>
          <w:sz w:val="24"/>
          <w:szCs w:val="24"/>
          <w:rtl/>
          <w:lang w:val="ar-SA"/>
        </w:rPr>
        <w:t>تُعَدُّ علامةً تجاريةً 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8"/>
      </w:r>
      <w:r>
        <w:rPr>
          <w:rStyle w:val="None"/>
          <w:rFonts w:ascii="Times New Roman" w:hAnsi="Times New Roman"/>
          <w:sz w:val="20"/>
          <w:szCs w:val="20"/>
          <w:vertAlign w:val="superscript"/>
          <w:rtl/>
          <w:lang w:val="ar-SA"/>
        </w:rPr>
        <w:t>)</w:t>
      </w:r>
      <w:r>
        <w:rPr>
          <w:rStyle w:val="None"/>
          <w:rFonts w:ascii="Times New Roman" w:hAnsi="Times New Roman"/>
          <w:rtl/>
          <w:lang w:val="ar-SA"/>
        </w:rPr>
        <w:t>.</w:t>
      </w:r>
      <w:r w:rsidR="0048398C">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بعدما استعرضنا أنواع حقوق الملكية الفكرية وما يتجلَّى من معان وإسهامات معاصرة للحماية والابتكار، نتوجه نحو المبحث الثاني الذي يعرض نبذةً تاريخيةً عن نشأة حقوق الملكية الفكرية وتطوُّرها؛ ليكشف بذلك عن الأسس التاريخية التي أرست قواعد هذه المفاهيم في ظل التغيرات القانونية والاجتماعية</w:t>
      </w:r>
      <w:r>
        <w:rPr>
          <w:rStyle w:val="None"/>
          <w:rFonts w:ascii="Times New Roman" w:hAnsi="Times New Roman"/>
          <w:sz w:val="24"/>
          <w:szCs w:val="24"/>
          <w:rtl/>
          <w:lang w:val="ar-SA"/>
        </w:rPr>
        <w:t>.</w:t>
      </w:r>
    </w:p>
    <w:p w14:paraId="58C75FF2" w14:textId="77777777" w:rsidR="00454428" w:rsidRDefault="00000000" w:rsidP="00C72BA8">
      <w:pPr>
        <w:pStyle w:val="a4"/>
        <w:rPr>
          <w:rStyle w:val="None"/>
          <w:b w:val="0"/>
          <w:bCs w:val="0"/>
          <w:lang w:val="ar-SA"/>
        </w:rPr>
      </w:pPr>
      <w:bookmarkStart w:id="103" w:name="_Toc227251086"/>
      <w:bookmarkStart w:id="104" w:name="_Toc227251396"/>
      <w:r>
        <w:rPr>
          <w:rStyle w:val="None"/>
          <w:rFonts w:ascii="Arial Unicode MS" w:eastAsia="Arial Unicode MS" w:hAnsi="Arial Unicode MS" w:hint="cs"/>
          <w:rtl/>
          <w:lang w:val="ar-SA"/>
        </w:rPr>
        <w:lastRenderedPageBreak/>
        <w:t>المبحث الثاني</w:t>
      </w:r>
      <w:bookmarkEnd w:id="103"/>
      <w:bookmarkEnd w:id="104"/>
    </w:p>
    <w:p w14:paraId="73B8B162" w14:textId="77777777" w:rsidR="00454428" w:rsidRDefault="00000000" w:rsidP="00C72BA8">
      <w:pPr>
        <w:pStyle w:val="a4"/>
        <w:rPr>
          <w:rStyle w:val="NoneA"/>
          <w:lang w:val="ar-SA"/>
        </w:rPr>
      </w:pPr>
      <w:bookmarkStart w:id="105" w:name="_Toc227251087"/>
      <w:bookmarkStart w:id="106" w:name="_Toc227251397"/>
      <w:r>
        <w:rPr>
          <w:rStyle w:val="None"/>
          <w:rFonts w:ascii="Arial Unicode MS" w:eastAsia="Arial Unicode MS" w:hAnsi="Arial Unicode MS" w:hint="cs"/>
          <w:rtl/>
          <w:lang w:val="ar-SA"/>
        </w:rPr>
        <w:t>نُبذة تاريخية عن نشأة حقوق الملكية الفكرية</w:t>
      </w:r>
      <w:bookmarkEnd w:id="105"/>
      <w:bookmarkEnd w:id="106"/>
    </w:p>
    <w:p w14:paraId="0F7A0114"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bookmarkStart w:id="107" w:name="_Hlk184935422"/>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5688152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نشأت حقوق الملكية الفكرية في أواخر القرن التاسع عشر لحماية إبداعات الأفراد والشركات، بدأت مع قوانين براءات الاختراع وحقوق التأليف والنشر، وتطوَّرت لتشمل العلامات التجارية والأسرار التجارية، تهدف هذه الحقوق إلى تشجيع الابتكار والإبداع من خلال منح المبدعين حقوقًا حصرية لاستخدام وتوزيع أعمالهم، تشمل أنواعها الرئيسية براءات الاختراع، حقوق التأليف والنشر، العلامات التجارية، والأسرار التجارية</w:t>
      </w:r>
      <w:r>
        <w:rPr>
          <w:rStyle w:val="None"/>
          <w:rFonts w:ascii="Times New Roman" w:hAnsi="Times New Roman"/>
          <w:sz w:val="24"/>
          <w:szCs w:val="24"/>
          <w:rtl/>
          <w:lang w:val="ar-SA"/>
        </w:rPr>
        <w:t>.</w:t>
      </w:r>
    </w:p>
    <w:p w14:paraId="3D9FB462"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سوف نتناول في هذا المبحث الآتي</w:t>
      </w:r>
      <w:r>
        <w:rPr>
          <w:rStyle w:val="None"/>
          <w:rFonts w:ascii="Times New Roman" w:hAnsi="Times New Roman"/>
          <w:sz w:val="24"/>
          <w:szCs w:val="24"/>
          <w:rtl/>
          <w:lang w:val="ar-SA"/>
        </w:rPr>
        <w:t>:</w:t>
      </w:r>
      <w:bookmarkEnd w:id="107"/>
    </w:p>
    <w:p w14:paraId="32D7F72F" w14:textId="77777777" w:rsidR="00454428" w:rsidRDefault="00000000">
      <w:pPr>
        <w:pStyle w:val="BodyA"/>
        <w:numPr>
          <w:ilvl w:val="0"/>
          <w:numId w:val="12"/>
        </w:numPr>
        <w:spacing w:before="120" w:after="120" w:line="360" w:lineRule="auto"/>
        <w:rPr>
          <w:rFonts w:ascii="Times New Roman" w:eastAsia="Times New Roman" w:hAnsi="Times New Roman" w:cs="Times New Roman" w:hint="default"/>
          <w:sz w:val="24"/>
          <w:szCs w:val="24"/>
          <w:rtl/>
          <w:lang w:val="ar-SA"/>
        </w:rPr>
      </w:pPr>
      <w:bookmarkStart w:id="108" w:name="_Hlk184225564"/>
      <w:r>
        <w:rPr>
          <w:rStyle w:val="None"/>
          <w:rFonts w:cs="Times New Roman"/>
          <w:b/>
          <w:bCs/>
          <w:sz w:val="24"/>
          <w:szCs w:val="24"/>
          <w:rtl/>
          <w:lang w:val="ar-SA"/>
        </w:rPr>
        <w:t>ا</w:t>
      </w:r>
      <w:bookmarkStart w:id="109" w:name="_Hlk202175058"/>
      <w:bookmarkEnd w:id="108"/>
      <w:r>
        <w:rPr>
          <w:rStyle w:val="None"/>
          <w:rFonts w:cs="Times New Roman"/>
          <w:b/>
          <w:bCs/>
          <w:sz w:val="24"/>
          <w:szCs w:val="24"/>
          <w:rtl/>
          <w:lang w:val="ar-SA"/>
        </w:rPr>
        <w:t>ل</w:t>
      </w:r>
      <w:bookmarkStart w:id="110" w:name="_Hlk184225902"/>
      <w:bookmarkEnd w:id="109"/>
      <w:r>
        <w:rPr>
          <w:rStyle w:val="None"/>
          <w:rFonts w:cs="Times New Roman"/>
          <w:b/>
          <w:bCs/>
          <w:sz w:val="24"/>
          <w:szCs w:val="24"/>
          <w:rtl/>
          <w:lang w:val="ar-SA"/>
        </w:rPr>
        <w:t>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نُبذة تاريخية عن نشأة حقوق الملكية الفكرية</w:t>
      </w:r>
      <w:r>
        <w:rPr>
          <w:rStyle w:val="None"/>
          <w:rFonts w:ascii="Times New Roman" w:hAnsi="Times New Roman"/>
          <w:sz w:val="24"/>
          <w:szCs w:val="24"/>
          <w:rtl/>
          <w:lang w:val="ar-SA"/>
        </w:rPr>
        <w:t>.</w:t>
      </w:r>
    </w:p>
    <w:p w14:paraId="223288EA"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القانونية والمؤسسية لحماية حقوق الملكية الفكرية</w:t>
      </w:r>
      <w:r>
        <w:rPr>
          <w:rStyle w:val="None"/>
          <w:rFonts w:ascii="Times New Roman" w:hAnsi="Times New Roman"/>
          <w:sz w:val="24"/>
          <w:szCs w:val="24"/>
          <w:rtl/>
          <w:lang w:val="ar-SA"/>
        </w:rPr>
        <w:t>.</w:t>
      </w:r>
    </w:p>
    <w:p w14:paraId="07BB2D63"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32C8E12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F72FCE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11F1BB0"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2CF3A5E7"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4D5535FA"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5489F745"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1222D48E"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9B20BF1"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53CA334"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3E17957"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66D34538" w14:textId="77777777" w:rsidR="00CC3E5F" w:rsidRP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6C5EDFE1"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79B55602"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332065E0"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7C04E64A" w14:textId="77777777" w:rsidR="0048398C" w:rsidRDefault="0048398C">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175FD8A" w14:textId="4E5DB566" w:rsidR="00454428" w:rsidRDefault="00000000" w:rsidP="00C72BA8">
      <w:pPr>
        <w:pStyle w:val="a4"/>
        <w:rPr>
          <w:rStyle w:val="None"/>
          <w:b w:val="0"/>
          <w:bCs w:val="0"/>
          <w:lang w:val="ar-SA"/>
        </w:rPr>
      </w:pPr>
      <w:bookmarkStart w:id="111" w:name="_Toc227251088"/>
      <w:bookmarkStart w:id="112" w:name="_Toc227251398"/>
      <w:r>
        <w:rPr>
          <w:rStyle w:val="None"/>
          <w:rFonts w:ascii="Arial Unicode MS" w:eastAsia="Arial Unicode MS" w:hAnsi="Arial Unicode MS" w:hint="cs"/>
          <w:rtl/>
          <w:lang w:val="ar-SA"/>
        </w:rPr>
        <w:lastRenderedPageBreak/>
        <w:t>المطلب الأول</w:t>
      </w:r>
      <w:bookmarkEnd w:id="111"/>
      <w:bookmarkEnd w:id="112"/>
    </w:p>
    <w:p w14:paraId="168C5F5E" w14:textId="77777777" w:rsidR="00454428" w:rsidRDefault="00000000" w:rsidP="00C72BA8">
      <w:pPr>
        <w:pStyle w:val="a4"/>
        <w:rPr>
          <w:rStyle w:val="None"/>
          <w:b w:val="0"/>
          <w:bCs w:val="0"/>
          <w:lang w:val="ar-SA"/>
        </w:rPr>
      </w:pPr>
      <w:bookmarkStart w:id="113" w:name="_Toc227251089"/>
      <w:bookmarkStart w:id="114" w:name="_Toc227251399"/>
      <w:r>
        <w:rPr>
          <w:rStyle w:val="None"/>
          <w:rFonts w:ascii="Arial Unicode MS" w:eastAsia="Arial Unicode MS" w:hAnsi="Arial Unicode MS" w:hint="cs"/>
          <w:rtl/>
          <w:lang w:val="ar-SA"/>
        </w:rPr>
        <w:t>نُبذة تاريخية عن نشأة حقوق الملكية الفكرية</w:t>
      </w:r>
      <w:bookmarkEnd w:id="113"/>
      <w:bookmarkEnd w:id="114"/>
    </w:p>
    <w:bookmarkEnd w:id="110"/>
    <w:p w14:paraId="2233508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25A4E11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ازداد اهتمام العالم بموضوع الملكية الفكرية التي أصبحت من مفردات هذا العصر، بيد أنَّ جذورها ضاربة في التاريخ، ولم تأتِ من العدم، بل جاءت نتيجة التطوُّرات التاريخية التي عَرِفها الإنسان في حياته منذ الأزل، فهي عصارة مجهوداته وإبداعاته الإنسانية التي تبني الحضارات وترقي الأمم، فيستحق المبدع من مخلفاته كل التقدير والتشجيع؛ لما يقدمه من إسهامات يستفيد منها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9"/>
      </w:r>
      <w:r>
        <w:rPr>
          <w:rStyle w:val="None"/>
          <w:rFonts w:ascii="Times New Roman" w:hAnsi="Times New Roman"/>
          <w:sz w:val="24"/>
          <w:szCs w:val="24"/>
          <w:vertAlign w:val="superscript"/>
          <w:rtl/>
          <w:lang w:val="ar-SA"/>
        </w:rPr>
        <w:t>)</w:t>
      </w:r>
    </w:p>
    <w:p w14:paraId="415B58D0" w14:textId="77777777" w:rsidR="00454428" w:rsidRDefault="00000000" w:rsidP="0048398C">
      <w:pPr>
        <w:pStyle w:val="BodyA"/>
        <w:spacing w:before="120" w:after="120" w:line="360" w:lineRule="auto"/>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لذلك سوف نتناول في هذا المطلب ما يلي</w:t>
      </w:r>
      <w:r>
        <w:rPr>
          <w:rStyle w:val="None"/>
          <w:rFonts w:ascii="Times New Roman" w:hAnsi="Times New Roman"/>
          <w:sz w:val="24"/>
          <w:szCs w:val="24"/>
          <w:rtl/>
          <w:lang w:val="ar-SA"/>
        </w:rPr>
        <w:t xml:space="preserve">: </w:t>
      </w:r>
    </w:p>
    <w:p w14:paraId="686B0544" w14:textId="77777777" w:rsidR="00454428" w:rsidRDefault="00000000">
      <w:pPr>
        <w:pStyle w:val="BodyA"/>
        <w:numPr>
          <w:ilvl w:val="0"/>
          <w:numId w:val="57"/>
        </w:numPr>
        <w:spacing w:before="120" w:after="120" w:line="360" w:lineRule="auto"/>
        <w:rPr>
          <w:rFonts w:ascii="Times New Roman" w:eastAsia="Times New Roman" w:hAnsi="Times New Roman" w:cs="Times New Roman" w:hint="default"/>
          <w:sz w:val="24"/>
          <w:szCs w:val="24"/>
          <w:rtl/>
          <w:lang w:val="ar-SA"/>
        </w:rPr>
      </w:pPr>
      <w:bookmarkStart w:id="115" w:name="_Hlk195996791"/>
      <w:r>
        <w:rPr>
          <w:rStyle w:val="None"/>
          <w:rFonts w:cs="Times New Roman"/>
          <w:b/>
          <w:bCs/>
          <w:sz w:val="24"/>
          <w:szCs w:val="24"/>
          <w:rtl/>
          <w:lang w:val="ar-SA"/>
        </w:rPr>
        <w:t xml:space="preserve">الفرع </w:t>
      </w:r>
      <w:bookmarkEnd w:id="115"/>
      <w:r>
        <w:rPr>
          <w:rStyle w:val="None"/>
          <w:rFonts w:cs="Times New Roman"/>
          <w:b/>
          <w:bCs/>
          <w:sz w:val="24"/>
          <w:szCs w:val="24"/>
          <w:rtl/>
          <w:lang w:val="ar-SA"/>
        </w:rPr>
        <w:t>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تاريخ تطوُّر الملكية الفكرية</w:t>
      </w:r>
      <w:r>
        <w:rPr>
          <w:rStyle w:val="None"/>
          <w:rFonts w:ascii="Times New Roman" w:hAnsi="Times New Roman"/>
          <w:sz w:val="24"/>
          <w:szCs w:val="24"/>
          <w:rtl/>
          <w:lang w:val="ar-SA"/>
        </w:rPr>
        <w:t>.</w:t>
      </w:r>
    </w:p>
    <w:p w14:paraId="6CB5FC82" w14:textId="77777777" w:rsidR="00454428" w:rsidRDefault="00000000">
      <w:pPr>
        <w:pStyle w:val="BodyA"/>
        <w:numPr>
          <w:ilvl w:val="0"/>
          <w:numId w:val="5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نشأة حقوق المؤلف في الدول العربية</w:t>
      </w:r>
      <w:r>
        <w:rPr>
          <w:rStyle w:val="None"/>
          <w:rFonts w:ascii="Times New Roman" w:hAnsi="Times New Roman"/>
          <w:sz w:val="24"/>
          <w:szCs w:val="24"/>
          <w:rtl/>
          <w:lang w:val="ar-SA"/>
        </w:rPr>
        <w:t>.</w:t>
      </w:r>
    </w:p>
    <w:p w14:paraId="1CA4FC4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06E8BE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BF9F6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F73A28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22F530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C90E8ED"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E44C93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FE743F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627AC3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1B07282E"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C9D30E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569A645"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11C804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2D7119A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66F0EB0F" w14:textId="77777777" w:rsidR="00454428" w:rsidRDefault="00000000" w:rsidP="00C72BA8">
      <w:pPr>
        <w:pStyle w:val="a4"/>
        <w:rPr>
          <w:rStyle w:val="None"/>
          <w:b w:val="0"/>
          <w:bCs w:val="0"/>
          <w:lang w:val="ar-SA"/>
        </w:rPr>
      </w:pPr>
      <w:bookmarkStart w:id="116" w:name="_Toc227251090"/>
      <w:bookmarkStart w:id="117" w:name="_Toc227251400"/>
      <w:r>
        <w:rPr>
          <w:rStyle w:val="None"/>
          <w:rFonts w:ascii="Arial Unicode MS" w:eastAsia="Arial Unicode MS" w:hAnsi="Arial Unicode MS" w:hint="cs"/>
          <w:rtl/>
          <w:lang w:val="ar-SA"/>
        </w:rPr>
        <w:lastRenderedPageBreak/>
        <w:t>الفرع الأول</w:t>
      </w:r>
      <w:bookmarkEnd w:id="116"/>
      <w:bookmarkEnd w:id="117"/>
    </w:p>
    <w:p w14:paraId="437699C8" w14:textId="77777777" w:rsidR="00454428" w:rsidRDefault="00000000" w:rsidP="00C72BA8">
      <w:pPr>
        <w:pStyle w:val="a4"/>
        <w:rPr>
          <w:rStyle w:val="None"/>
          <w:b w:val="0"/>
          <w:bCs w:val="0"/>
          <w:lang w:val="ar-SA"/>
        </w:rPr>
      </w:pPr>
      <w:bookmarkStart w:id="118" w:name="_Toc227251091"/>
      <w:bookmarkStart w:id="119" w:name="_Toc227251401"/>
      <w:r>
        <w:rPr>
          <w:rStyle w:val="None"/>
          <w:rFonts w:ascii="Arial Unicode MS" w:eastAsia="Arial Unicode MS" w:hAnsi="Arial Unicode MS" w:hint="cs"/>
          <w:rtl/>
          <w:lang w:val="ar-SA"/>
        </w:rPr>
        <w:t>تاريخ تطوُّر الملكية الفكرية</w:t>
      </w:r>
      <w:bookmarkEnd w:id="118"/>
      <w:bookmarkEnd w:id="119"/>
    </w:p>
    <w:p w14:paraId="37F666B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r>
        <w:rPr>
          <w:rStyle w:val="None"/>
          <w:rFonts w:cs="Times New Roman"/>
          <w:sz w:val="24"/>
          <w:szCs w:val="24"/>
          <w:rtl/>
          <w:lang w:val="ar-SA"/>
        </w:rPr>
        <w:t>مع تطوُّر الكتابة وتعدد وسائل التدوين، سعى الإغريق إلى صون حقوقهم الفكرية من خلال إيداع مؤلفاتهم في المكتبة الوطنية؛ حيث لم تكن هذه المؤلفات متاحةً إلا ضمن نطاق المكتبة؛ ممَّا يعكس إحدى صور الحماية المبكرة للمصنفات الفكرية، ويشابه هذا الإجراء ما يعرف في الوقت الراهن بنظام الإيداع القانوني الذي يهدف إلى حماية الملكية الفكرية، وفي روما القديمة اعتبر انتحال أعمال الآخرين فعلًا معيبًا يقتضي الإدانة الأخلاقية والاجتماعية، وهو ما يدل على وجود إدراك ضمني لقيمة الإبداع وضرورة نسبته إلى صاحبه، كما لم يكن العالم العربي بمنأى عن هذا التوجه؛ إذْ حظي الأدب والشعر بمكانة بارزة في الحضارة العربية، وكان الشعراء يحظون بالتقدير والتكريم، وقد أبدى المجتمع العربي رفضًا قاطعًا لكل أشكال السطو على الإنتاج الأدبي، سواء بسرقة بيت شعر، أو نسبة قصيدة إلى غير صاحبها؛ ممَّا يعكس وعيًا مبكرًا بأهمية حماية الإبداع واحترام الحقوق المعنوية للمؤلفين، ويشير هذا التراكم التاريخي إلى أنَّ مفاهيم حماية الملكية الفكرية لم تكن وليدة العصر الحديث، وإنما تعود جذورها إلى الحضارات القديمة التي سعت إلى صون الجهد الذهني والاعتراف بمكانة المبدعين داخل مجتمعاتها، وهو ما مهد الطريق لتبلور المفاهيم القانونية الحديثة في هذا المجال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0"/>
      </w:r>
      <w:r>
        <w:rPr>
          <w:rStyle w:val="None"/>
          <w:rFonts w:ascii="Times New Roman" w:hAnsi="Times New Roman"/>
          <w:sz w:val="24"/>
          <w:szCs w:val="24"/>
          <w:vertAlign w:val="superscript"/>
          <w:rtl/>
          <w:lang w:val="ar-SA"/>
        </w:rPr>
        <w:t>)</w:t>
      </w:r>
    </w:p>
    <w:p w14:paraId="02D0861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vertAlign w:val="superscript"/>
          <w:lang w:val="ar-SA"/>
        </w:rPr>
      </w:pPr>
      <w:r>
        <w:rPr>
          <w:rStyle w:val="None"/>
          <w:rFonts w:cs="Times New Roman"/>
          <w:sz w:val="24"/>
          <w:szCs w:val="24"/>
          <w:rtl/>
          <w:lang w:val="ar-SA"/>
        </w:rPr>
        <w:t>سبق الإسلام جميع الأنظمة القانونية في الاعتراف بالملكية الفكرية وتوفير وسائل لحمايتها؛ حيث دعا إلى نسبها لأصحابها فقد قال الله تعالى</w:t>
      </w:r>
      <w:r>
        <w:rPr>
          <w:rStyle w:val="None"/>
          <w:rFonts w:ascii="Times New Roman" w:hAnsi="Times New Roman"/>
          <w:sz w:val="24"/>
          <w:szCs w:val="24"/>
          <w:rtl/>
          <w:lang w:val="ar-SA"/>
        </w:rPr>
        <w:t>: "</w:t>
      </w:r>
      <w:r>
        <w:rPr>
          <w:rStyle w:val="None"/>
          <w:rFonts w:cs="Times New Roman"/>
          <w:sz w:val="24"/>
          <w:szCs w:val="24"/>
          <w:rtl/>
          <w:lang w:val="ar-SA"/>
        </w:rPr>
        <w:t>يا أَيُّهَا الَّذِينَ آمَنُوا لا تَأْكُلُوا أَمْوالَكُمْ بَيْنَكُمْ بِالْبَاطِلِ إِلَّا أَنْ تَكُونَ تِجارَةً عَنْ تَراضٍ مِنْكُمْ وَلا تَقْتُلُوا أَنْفُسَكُمْ إِنَّ اللهَ كَانَ بِكُمْ رَحِيما</w:t>
      </w:r>
      <w:r>
        <w:rPr>
          <w:rStyle w:val="None"/>
          <w:rFonts w:ascii="Times New Roman" w:hAnsi="Times New Roman"/>
          <w:sz w:val="24"/>
          <w:szCs w:val="24"/>
          <w:rtl/>
          <w:lang w:val="ar-SA"/>
        </w:rPr>
        <w:t>" [</w:t>
      </w:r>
      <w:r>
        <w:rPr>
          <w:rStyle w:val="None"/>
          <w:rFonts w:cs="Times New Roman"/>
          <w:sz w:val="24"/>
          <w:szCs w:val="24"/>
          <w:rtl/>
          <w:lang w:val="ar-SA"/>
        </w:rPr>
        <w:t>سورة النساء</w:t>
      </w:r>
      <w:r>
        <w:rPr>
          <w:rStyle w:val="None"/>
          <w:rFonts w:ascii="Times New Roman" w:hAnsi="Times New Roman"/>
          <w:sz w:val="24"/>
          <w:szCs w:val="24"/>
          <w:rtl/>
          <w:lang w:val="ar-SA"/>
        </w:rPr>
        <w:t xml:space="preserve">: </w:t>
      </w:r>
      <w:r>
        <w:rPr>
          <w:rStyle w:val="None"/>
          <w:rFonts w:cs="Times New Roman"/>
          <w:sz w:val="24"/>
          <w:szCs w:val="24"/>
          <w:rtl/>
          <w:lang w:val="ar-SA"/>
        </w:rPr>
        <w:t>الآية ٢٩</w:t>
      </w:r>
      <w:r>
        <w:rPr>
          <w:rStyle w:val="None"/>
          <w:rFonts w:ascii="Times New Roman" w:hAnsi="Times New Roman"/>
          <w:sz w:val="24"/>
          <w:szCs w:val="24"/>
          <w:rtl/>
          <w:lang w:val="ar-SA"/>
        </w:rPr>
        <w:t>]</w:t>
      </w:r>
      <w:r>
        <w:rPr>
          <w:rStyle w:val="None"/>
          <w:rFonts w:cs="Times New Roman"/>
          <w:sz w:val="24"/>
          <w:szCs w:val="24"/>
          <w:rtl/>
          <w:lang w:val="ar-SA"/>
        </w:rPr>
        <w:t xml:space="preserve">، وورد عن النبي محمد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xml:space="preserve">- </w:t>
      </w:r>
      <w:r>
        <w:rPr>
          <w:rStyle w:val="None"/>
          <w:rFonts w:cs="Times New Roman"/>
          <w:sz w:val="24"/>
          <w:szCs w:val="24"/>
          <w:rtl/>
          <w:lang w:val="ar-SA"/>
        </w:rPr>
        <w:t>قوله</w:t>
      </w:r>
      <w:r>
        <w:rPr>
          <w:rStyle w:val="None"/>
          <w:rFonts w:ascii="Times New Roman" w:hAnsi="Times New Roman"/>
          <w:sz w:val="24"/>
          <w:szCs w:val="24"/>
          <w:rtl/>
          <w:lang w:val="ar-SA"/>
        </w:rPr>
        <w:t>: "</w:t>
      </w:r>
      <w:r>
        <w:rPr>
          <w:rStyle w:val="None"/>
          <w:rFonts w:cs="Times New Roman"/>
          <w:sz w:val="24"/>
          <w:szCs w:val="24"/>
          <w:rtl/>
          <w:lang w:val="ar-SA"/>
        </w:rPr>
        <w:t>لا يحل مال امرئ مسلم إلا بطيب نفس منه</w:t>
      </w:r>
      <w:r>
        <w:rPr>
          <w:rStyle w:val="None"/>
          <w:rFonts w:ascii="Times New Roman" w:hAnsi="Times New Roman"/>
          <w:sz w:val="24"/>
          <w:szCs w:val="24"/>
          <w:rtl/>
          <w:lang w:val="ar-SA"/>
        </w:rPr>
        <w:t>" (</w:t>
      </w:r>
      <w:r>
        <w:rPr>
          <w:rStyle w:val="None"/>
          <w:rFonts w:cs="Times New Roman"/>
          <w:sz w:val="24"/>
          <w:szCs w:val="24"/>
          <w:rtl/>
          <w:lang w:val="ar-SA"/>
        </w:rPr>
        <w:t>ابن حنبل،</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21082)</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81"/>
      </w:r>
      <w:r>
        <w:rPr>
          <w:rStyle w:val="None"/>
          <w:rFonts w:ascii="Times New Roman" w:hAnsi="Times New Roman"/>
          <w:vertAlign w:val="superscript"/>
          <w:rtl/>
          <w:lang w:val="ar-SA"/>
        </w:rPr>
        <w:t>)</w:t>
      </w:r>
      <w:r>
        <w:rPr>
          <w:rStyle w:val="None"/>
          <w:rFonts w:cs="Times New Roman"/>
          <w:rtl/>
          <w:lang w:val="ar-SA"/>
        </w:rPr>
        <w:t xml:space="preserve">، </w:t>
      </w:r>
      <w:r>
        <w:rPr>
          <w:rStyle w:val="None"/>
          <w:rFonts w:cs="Times New Roman"/>
          <w:sz w:val="24"/>
          <w:szCs w:val="24"/>
          <w:rtl/>
          <w:lang w:val="ar-SA"/>
        </w:rPr>
        <w:t xml:space="preserve"> كما قال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من غشنا فليس منا</w:t>
      </w:r>
      <w:r>
        <w:rPr>
          <w:rStyle w:val="None"/>
          <w:rFonts w:ascii="Times New Roman" w:hAnsi="Times New Roman"/>
          <w:sz w:val="24"/>
          <w:szCs w:val="24"/>
          <w:rtl/>
          <w:lang w:val="ar-SA"/>
        </w:rPr>
        <w:t>" (</w:t>
      </w:r>
      <w:r>
        <w:rPr>
          <w:rStyle w:val="None"/>
          <w:rFonts w:cs="Times New Roman"/>
          <w:sz w:val="24"/>
          <w:szCs w:val="24"/>
          <w:rtl/>
          <w:lang w:val="ar-SA"/>
        </w:rPr>
        <w:t xml:space="preserve">مسلم، </w:t>
      </w:r>
      <w:r>
        <w:rPr>
          <w:rStyle w:val="None"/>
          <w:rFonts w:ascii="Times New Roman" w:hAnsi="Times New Roman"/>
          <w:sz w:val="24"/>
          <w:szCs w:val="24"/>
          <w:rtl/>
          <w:lang w:val="ar-SA"/>
        </w:rPr>
        <w:t>1955</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102)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6FA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lang w:val="ar-SA"/>
        </w:rPr>
      </w:pPr>
      <w:r>
        <w:rPr>
          <w:rStyle w:val="None"/>
          <w:rFonts w:cs="Times New Roman"/>
          <w:sz w:val="24"/>
          <w:szCs w:val="24"/>
          <w:rtl/>
          <w:lang w:val="ar-SA"/>
        </w:rPr>
        <w:t xml:space="preserve">فقد نصت الشريعة الإسلامية على القواعد الصحيحة لتحمل الأحاديث النبوية وأدائها، وحددت الشروط الواجب توافرها في الراوي؛ لضمان صحة النقل ودقته، كما حذرت من السرقة عمومًا والانتحال خصوصًا؛ باعتباره اعتداء على الحقوق الفكرية والمعنوية، وقد كان المسلمون من أوائل من أسس لنظام يشبه الإيداع أو التخليد؛ وذلك بهدف صون مؤلفات العلماء والرواة من التحريف أو التغيير سواء بالزيادة أو النقص، وكان ذلك انطلاقًا من مبدأ العدل ووجوب الأمانة في النقل؛ ممَّا يعكس وعيًا مبكرًا بأهمية حماية الإنتاج العلمي والفكري وصونه من العبث أو التزوير، وقد قال رسول الله </w:t>
      </w:r>
      <w:r>
        <w:rPr>
          <w:rStyle w:val="None"/>
          <w:rFonts w:ascii="Times New Roman" w:hAnsi="Times New Roman"/>
          <w:sz w:val="24"/>
          <w:szCs w:val="24"/>
          <w:rtl/>
          <w:lang w:val="ar-SA"/>
        </w:rPr>
        <w:lastRenderedPageBreak/>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نضَّر الله امرأً سمع منا حديثًا، فبلغه كما سمعه؛ فرُبَّ مُبلَّغٍ أوعى له من سامع</w:t>
      </w:r>
      <w:r>
        <w:rPr>
          <w:rStyle w:val="None"/>
          <w:rFonts w:ascii="Times New Roman" w:hAnsi="Times New Roman"/>
          <w:sz w:val="24"/>
          <w:szCs w:val="24"/>
          <w:rtl/>
          <w:lang w:val="ar-SA"/>
        </w:rPr>
        <w:t>" (</w:t>
      </w:r>
      <w:r>
        <w:rPr>
          <w:rStyle w:val="None"/>
          <w:rFonts w:cs="Times New Roman"/>
          <w:sz w:val="24"/>
          <w:szCs w:val="24"/>
          <w:rtl/>
          <w:lang w:val="ar-SA"/>
        </w:rPr>
        <w:t xml:space="preserve">ابن حنبل، </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4157</w:t>
      </w:r>
      <w:r>
        <w:rPr>
          <w:rStyle w:val="None"/>
          <w:rFonts w:cs="Times New Roman"/>
          <w:sz w:val="24"/>
          <w:szCs w:val="24"/>
          <w:rtl/>
          <w:lang w:val="ar-SA"/>
        </w:rPr>
        <w:t xml:space="preserve">؛ الترمذي، </w:t>
      </w:r>
      <w:r>
        <w:rPr>
          <w:rStyle w:val="None"/>
          <w:rFonts w:ascii="Times New Roman" w:hAnsi="Times New Roman"/>
          <w:sz w:val="24"/>
          <w:szCs w:val="24"/>
          <w:rtl/>
          <w:lang w:val="ar-SA"/>
        </w:rPr>
        <w:t>1996</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2657)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83"/>
      </w:r>
      <w:r>
        <w:rPr>
          <w:rStyle w:val="None"/>
          <w:rFonts w:ascii="Times New Roman" w:hAnsi="Times New Roman"/>
          <w:sz w:val="20"/>
          <w:szCs w:val="20"/>
          <w:vertAlign w:val="superscript"/>
          <w:rtl/>
          <w:lang w:val="ar-SA"/>
        </w:rPr>
        <w:t>)</w:t>
      </w:r>
      <w:r>
        <w:rPr>
          <w:rStyle w:val="None"/>
          <w:rFonts w:ascii="Times New Roman" w:hAnsi="Times New Roman"/>
          <w:rtl/>
          <w:lang w:val="ar-SA"/>
        </w:rPr>
        <w:t>.</w:t>
      </w:r>
    </w:p>
    <w:p w14:paraId="0F8A570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أولى العرب منذ القدم أهمية بالغة لحماية الإنتاج الفكري والأدبي، فكانوا ينسبون الأشعار إلى أصحابها ويقدسون حق الشاعر أو الأديب في نتاجه الأدبي، كما كانوا يذمُّون كل من يقوم بسرقة الشعر أو نقل الأفكار من دون نسبتها إلى مصدرها، ويظهر هذا جليًا في قول الشاعر طَرَفَة بن العبد حين قال</w:t>
      </w:r>
      <w:r>
        <w:rPr>
          <w:rStyle w:val="None"/>
          <w:rFonts w:ascii="Times New Roman" w:hAnsi="Times New Roman"/>
          <w:sz w:val="24"/>
          <w:szCs w:val="24"/>
          <w:rtl/>
          <w:lang w:val="ar-SA"/>
        </w:rPr>
        <w:t xml:space="preserve">: </w:t>
      </w:r>
    </w:p>
    <w:p w14:paraId="493A93B2" w14:textId="77777777" w:rsidR="00454428" w:rsidRDefault="00000000"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r>
        <w:rPr>
          <w:rStyle w:val="None"/>
          <w:rFonts w:cs="Times New Roman"/>
          <w:b/>
          <w:bCs/>
          <w:sz w:val="24"/>
          <w:szCs w:val="24"/>
          <w:rtl/>
          <w:lang w:val="ar-SA"/>
        </w:rPr>
        <w:t xml:space="preserve">ولا أُغِيرُ على الأشعارِ فأسرقُها </w:t>
      </w:r>
      <w:r>
        <w:rPr>
          <w:rStyle w:val="None"/>
          <w:rFonts w:ascii="Times New Roman" w:hAnsi="Times New Roman"/>
          <w:b/>
          <w:bCs/>
          <w:sz w:val="24"/>
          <w:szCs w:val="24"/>
          <w:rtl/>
          <w:lang w:val="ar-SA"/>
        </w:rPr>
        <w:t xml:space="preserve">*** </w:t>
      </w:r>
      <w:r>
        <w:rPr>
          <w:rStyle w:val="None"/>
          <w:rFonts w:cs="Times New Roman"/>
          <w:b/>
          <w:bCs/>
          <w:sz w:val="24"/>
          <w:szCs w:val="24"/>
          <w:rtl/>
          <w:lang w:val="ar-SA"/>
        </w:rPr>
        <w:t>عنها غَنِيتُ وشرُّ الناسِ مَن سرقَا</w:t>
      </w:r>
    </w:p>
    <w:p w14:paraId="6740E4C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وهو بيت يعبر عن امتعاضه من السطو على نتاج الآخرين الفكري، ويؤكد أنَّ هذا الفعل من أسوأ الأفعال، وقد انعكس هذا الوعي أيضًا في الفقه الإسلامي؛ حيث اعتنى العلماء بنسبة الأقوال، والفتاوى، والأعمال إلى أصحابها عبر ما يعرف بالإسناد، والذي لم يكن مقتصرًا على الأحاديث النبوية، بل شمل كل ما يُروى أو يُقال في مختلف العلوم والمجالات، ويُعَدُّ الإسناد تجسيدًا لمبادئ الشريعة في الصدق والأمانة ورد الحقوق إلى أصحابها، كما أنَّ قواعد الفقه الإسلامي في المعاملات</w:t>
      </w:r>
      <w:r>
        <w:rPr>
          <w:rStyle w:val="None"/>
          <w:rFonts w:ascii="Times New Roman" w:hAnsi="Times New Roman"/>
          <w:sz w:val="24"/>
          <w:szCs w:val="24"/>
          <w:rtl/>
          <w:lang w:val="ar-SA"/>
        </w:rPr>
        <w:t xml:space="preserve">: </w:t>
      </w:r>
      <w:r>
        <w:rPr>
          <w:rStyle w:val="None"/>
          <w:rFonts w:cs="Times New Roman"/>
          <w:sz w:val="24"/>
          <w:szCs w:val="24"/>
          <w:rtl/>
          <w:lang w:val="ar-SA"/>
        </w:rPr>
        <w:t>كالبيع، والإجارة، والشركة، والحقوق، والأموال، إضافةً إلى اعتبار العرف والمصالح المرسلة، تؤسس جميعها لحماية ملكية الأفراد، سواء كانت مادية أو معنوية، وبِناءً عليه</w:t>
      </w:r>
      <w:r>
        <w:rPr>
          <w:rStyle w:val="None"/>
          <w:rFonts w:ascii="Times New Roman" w:hAnsi="Times New Roman"/>
          <w:sz w:val="24"/>
          <w:szCs w:val="24"/>
          <w:rtl/>
          <w:lang w:val="ar-SA"/>
        </w:rPr>
        <w:t xml:space="preserve">: </w:t>
      </w:r>
      <w:r>
        <w:rPr>
          <w:rStyle w:val="None"/>
          <w:rFonts w:cs="Times New Roman"/>
          <w:sz w:val="24"/>
          <w:szCs w:val="24"/>
          <w:rtl/>
          <w:lang w:val="ar-SA"/>
        </w:rPr>
        <w:t>فإنَّ إعمال هذه القواعد يُعَدُّ أساسًا مهمًا يجب أنْ يُراعى عند صياغة أي تشريع ينظم حقوق الملكية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4"/>
      </w:r>
      <w:r>
        <w:rPr>
          <w:rStyle w:val="None"/>
          <w:rFonts w:ascii="Times New Roman" w:hAnsi="Times New Roman"/>
          <w:sz w:val="24"/>
          <w:szCs w:val="24"/>
          <w:vertAlign w:val="superscript"/>
          <w:rtl/>
          <w:lang w:val="ar-SA"/>
        </w:rPr>
        <w:t>)</w:t>
      </w:r>
    </w:p>
    <w:p w14:paraId="3F96CE8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ظلت الأفكار والإبداعات لفترات طويلة دون إطار قانوني يحميها من التعدي أو الاستغلال غير المشروع، إلى أنْ شهد القرن الثامن عشر تحوُّلًا جذريًا في النظرة إلى الفرد وحقوقه؛ حيث بدأ الاعتراف بحقوق الأفراد في نتاجهم الفكري والإبداعي، وقد ارتبط هذا التحوُّل ارتباطًا وثيقًا بتطوُّر تقنيات الطباعة وانتشارها؛ إذْ ساهمت الطباعة في تسهيل نشر الأفكار وتوسيع نطاق تداول الكتب؛ ممَّا أدى إلى زيادة الطلب على المصنفات المطبوعة، ونتج عن ذلك تصاعد الحاجة إلى تنظيم قانوني يحمي حقوق المؤلفين من عمليات النسخ غير المصرح بها، وهو ما دفع عددًا من الدول إلى سن تشريعات تهدف إلى صون هذه الحقوق، وكانت إنجلترا من أوائل الدول التي بادرت إلى ذلك؛ حيث أصدرت في عام </w:t>
      </w:r>
      <w:r>
        <w:rPr>
          <w:rStyle w:val="None"/>
          <w:rFonts w:ascii="Times New Roman" w:hAnsi="Times New Roman"/>
          <w:sz w:val="24"/>
          <w:szCs w:val="24"/>
          <w:rtl/>
          <w:lang w:val="ar-SA"/>
        </w:rPr>
        <w:t xml:space="preserve">1709 </w:t>
      </w:r>
      <w:r>
        <w:rPr>
          <w:rStyle w:val="None"/>
          <w:rFonts w:cs="Times New Roman"/>
          <w:sz w:val="24"/>
          <w:szCs w:val="24"/>
          <w:rtl/>
          <w:lang w:val="ar-SA"/>
        </w:rPr>
        <w:t xml:space="preserve">قانون </w:t>
      </w:r>
      <w:r>
        <w:rPr>
          <w:rStyle w:val="None"/>
          <w:rFonts w:ascii="Times New Roman" w:hAnsi="Times New Roman"/>
          <w:sz w:val="24"/>
          <w:szCs w:val="24"/>
          <w:rtl/>
          <w:lang w:val="ar-SA"/>
        </w:rPr>
        <w:t>"</w:t>
      </w:r>
      <w:r>
        <w:rPr>
          <w:rStyle w:val="None"/>
          <w:rFonts w:cs="Times New Roman"/>
          <w:sz w:val="24"/>
          <w:szCs w:val="24"/>
          <w:rtl/>
          <w:lang w:val="ar-SA"/>
        </w:rPr>
        <w:t>آن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5"/>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الذي شكل نقطةَ انطلاقٍ مهمة في تاريخ حماية حقوق المؤلف؛ إذْ منح هذا القانون المؤلفين أنفسهم حقوقًا حصرية في التأليف، بعد أنْ كانت هذه الحقوق تقتصر في السابق على الناشرين، واستمر التطوُّر التشريعي في هذا المجال، فصدر في عام </w:t>
      </w:r>
      <w:r>
        <w:rPr>
          <w:rStyle w:val="None"/>
          <w:rFonts w:ascii="Times New Roman" w:hAnsi="Times New Roman"/>
          <w:sz w:val="24"/>
          <w:szCs w:val="24"/>
          <w:rtl/>
          <w:lang w:val="ar-SA"/>
        </w:rPr>
        <w:t xml:space="preserve">1911 </w:t>
      </w:r>
      <w:r>
        <w:rPr>
          <w:rStyle w:val="None"/>
          <w:rFonts w:cs="Times New Roman"/>
          <w:sz w:val="24"/>
          <w:szCs w:val="24"/>
          <w:rtl/>
          <w:lang w:val="ar-SA"/>
        </w:rPr>
        <w:t>قانون حقوق المؤلف في إنجلترا، الذي توسع نطاق حمايته ليشمل المؤلفات الأدبية والفنية، وأعمال الرسم والنحت، بالإضافة إلى الصور الفوتوغرافية والهندسية؛ ممَّا عزّز الإطار القانوني لحماية الملكية الفكرية، وكرس مبدأ الاعتراف بالحقوق المعنوية والمادية لأصحاب المصنفات، وأسهم في توفير بيئة تشريعية داعمة للإبداع والابتكار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6"/>
      </w:r>
      <w:r>
        <w:rPr>
          <w:rStyle w:val="None"/>
          <w:rFonts w:ascii="Times New Roman" w:hAnsi="Times New Roman"/>
          <w:sz w:val="24"/>
          <w:szCs w:val="24"/>
          <w:vertAlign w:val="superscript"/>
          <w:rtl/>
          <w:lang w:val="ar-SA"/>
        </w:rPr>
        <w:t>)</w:t>
      </w:r>
    </w:p>
    <w:p w14:paraId="177E48D8"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تأخرت فرنسا عن إنجلترا في إصدار تشريعات تنظم حماية حقوق المؤلف بما يقارب ثمانين عامًا؛ إذْ صدر أول قانون فرنسي في هذا المجال عام </w:t>
      </w:r>
      <w:r>
        <w:rPr>
          <w:rStyle w:val="None"/>
          <w:rFonts w:ascii="Times New Roman" w:hAnsi="Times New Roman"/>
          <w:sz w:val="24"/>
          <w:szCs w:val="24"/>
          <w:rtl/>
          <w:lang w:val="ar-SA"/>
        </w:rPr>
        <w:t>1791</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7"/>
      </w:r>
      <w:r>
        <w:rPr>
          <w:rStyle w:val="None"/>
          <w:rFonts w:ascii="Times New Roman" w:hAnsi="Times New Roman"/>
          <w:sz w:val="24"/>
          <w:szCs w:val="24"/>
          <w:vertAlign w:val="superscript"/>
          <w:rtl/>
          <w:lang w:val="ar-SA"/>
        </w:rPr>
        <w:t>)</w:t>
      </w:r>
      <w:r>
        <w:rPr>
          <w:rStyle w:val="None"/>
          <w:rFonts w:cs="Times New Roman"/>
          <w:sz w:val="24"/>
          <w:szCs w:val="24"/>
          <w:rtl/>
          <w:lang w:val="ar-SA"/>
        </w:rPr>
        <w:t>، وكان مخصصًا لحماية حقوق مؤلفي المسرحيات؛ حيث منحهم الحق في نشر واستغلال أعمالهم طيلة حياتهم، ثم امتدت هذه الحماية إلى ورثتهم لمدة خمس سنوات بعد وفاة المؤلف، وقد شكل هذا القانون بداية الاعتراف الرسمي بالحقوق الفكرية في فرنسا، وفي مراحل لاحقة تم توسيع نطاق الحماية ليشمل مختلف أنواع المصنفات الأدبية والفنية، وهو ما يعكس تطوُّرًا تدريجيًا في وعي المشرع بأهمية حماية الإبداع الأدبي والفني،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لم تبادر الولايات المتحدة الأمريكية بإصدار قوانين لحماية حقوق المؤلف إلا في عام </w:t>
      </w:r>
      <w:r>
        <w:rPr>
          <w:rStyle w:val="None"/>
          <w:rFonts w:ascii="Times New Roman" w:hAnsi="Times New Roman"/>
          <w:sz w:val="24"/>
          <w:szCs w:val="24"/>
          <w:rtl/>
          <w:lang w:val="ar-SA"/>
        </w:rPr>
        <w:t xml:space="preserve">1836 </w:t>
      </w:r>
      <w:r>
        <w:rPr>
          <w:rStyle w:val="None"/>
          <w:rFonts w:cs="Times New Roman"/>
          <w:sz w:val="24"/>
          <w:szCs w:val="24"/>
          <w:rtl/>
          <w:lang w:val="ar-SA"/>
        </w:rPr>
        <w:t xml:space="preserve">من خلال قانون براءات الاختراع، إلا أنَّ هذا القانون كان مقتصرًا على حماية الاختراعات، ويشترط إجراءات إدارية معقدة؛ ممَّا قيد الوصول إلى الحماية القانونية، ولم يصدر قانون خاص بحقوق المؤلف إلا في عام </w:t>
      </w:r>
      <w:r>
        <w:rPr>
          <w:rStyle w:val="None"/>
          <w:rFonts w:ascii="Times New Roman" w:hAnsi="Times New Roman"/>
          <w:sz w:val="24"/>
          <w:szCs w:val="24"/>
          <w:rtl/>
          <w:lang w:val="ar-SA"/>
        </w:rPr>
        <w:t>1891</w:t>
      </w:r>
      <w:r>
        <w:rPr>
          <w:rStyle w:val="None"/>
          <w:rFonts w:cs="Times New Roman"/>
          <w:sz w:val="24"/>
          <w:szCs w:val="24"/>
          <w:rtl/>
          <w:lang w:val="ar-SA"/>
        </w:rPr>
        <w:t>، وقد قصر هذا القانون الحماية على المصنفات التي أنشأها مؤلفون أمريكيون، أو تلك التي تمت طباعتها داخل الولايات المتحدة، وهو ما عكس توجُّهًا وطنيًا في منح الحماية، أما ألمانيا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فقد واكبت هذا التطوُّر التشريعي؛ حيث صدر فيها قانون الاختراعات في عام </w:t>
      </w:r>
      <w:r>
        <w:rPr>
          <w:rStyle w:val="None"/>
          <w:rFonts w:ascii="Times New Roman" w:hAnsi="Times New Roman"/>
          <w:sz w:val="24"/>
          <w:szCs w:val="24"/>
          <w:rtl/>
          <w:lang w:val="ar-SA"/>
        </w:rPr>
        <w:t>1873</w:t>
      </w:r>
      <w:r>
        <w:rPr>
          <w:rStyle w:val="None"/>
          <w:rFonts w:cs="Times New Roman"/>
          <w:sz w:val="24"/>
          <w:szCs w:val="24"/>
          <w:rtl/>
          <w:lang w:val="ar-SA"/>
        </w:rPr>
        <w:t>؛ ليشكل إطارًا قانونيًا لحماية الابتكارات، ويعكس إدراكًا متزايدًا بأهمية تنظيم الحقوق الفكرية في ظل التحولات الصناعية والعلمية المتسارعة في أوروبا خلال تلك الفترة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8"/>
      </w:r>
      <w:r>
        <w:rPr>
          <w:rStyle w:val="None"/>
          <w:rFonts w:ascii="Times New Roman" w:hAnsi="Times New Roman"/>
          <w:sz w:val="24"/>
          <w:szCs w:val="24"/>
          <w:vertAlign w:val="superscript"/>
          <w:rtl/>
          <w:lang w:val="ar-SA"/>
        </w:rPr>
        <w:t>)</w:t>
      </w:r>
    </w:p>
    <w:p w14:paraId="62BD4F9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تنظيم الحماية الدولية لحقوق المؤلف، شكلت اتفاقية بيرن لحماية المصنفات الأدبية والفنية التي تم توقيعها في مدينة بيرن السويسرية عام </w:t>
      </w:r>
      <w:r>
        <w:rPr>
          <w:rStyle w:val="None"/>
          <w:rFonts w:ascii="Times New Roman" w:hAnsi="Times New Roman"/>
          <w:sz w:val="24"/>
          <w:szCs w:val="24"/>
          <w:rtl/>
          <w:lang w:val="ar-SA"/>
        </w:rPr>
        <w:t xml:space="preserve">1886 </w:t>
      </w:r>
      <w:r>
        <w:rPr>
          <w:rStyle w:val="None"/>
          <w:rFonts w:cs="Times New Roman"/>
          <w:sz w:val="24"/>
          <w:szCs w:val="24"/>
          <w:rtl/>
          <w:lang w:val="ar-SA"/>
        </w:rPr>
        <w:t xml:space="preserve">نقطةَ الانطلاق نحو تأسيس نظام قانوني دولي يعنى بحماية المصنفات الإبداعية من الاعتداء أو الاستغلال غير المشروع، وقد اعتبرت هذه الاتفاقية آنذاك خطوةً رائدةً لتوحيد الجهود الدولية في حماية حقوق المؤلفين، وفي السادس من سبتمبر عام </w:t>
      </w:r>
      <w:r>
        <w:rPr>
          <w:rStyle w:val="None"/>
          <w:rFonts w:ascii="Times New Roman" w:hAnsi="Times New Roman"/>
          <w:sz w:val="24"/>
          <w:szCs w:val="24"/>
          <w:rtl/>
          <w:lang w:val="ar-SA"/>
        </w:rPr>
        <w:t>1952</w:t>
      </w:r>
      <w:r>
        <w:rPr>
          <w:rStyle w:val="None"/>
          <w:rFonts w:cs="Times New Roman"/>
          <w:sz w:val="24"/>
          <w:szCs w:val="24"/>
          <w:rtl/>
          <w:lang w:val="ar-SA"/>
        </w:rPr>
        <w:t xml:space="preserve">، تم إبرام اتفاقية دولية جديدة في مدينة جنيف، عرفت باتفاقية جنيف لحماية حقوق المؤلف، وجاءت هذه الاتفاقية مكملة للدور الذي اضطلعت به اتفاقية بيرن؛ حيث سعت إلى تعزيز مستوى الحماية الدولية للمصنفات الفكرية، وفي 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شهدت الملكية الفكرية تطوُّرًا مؤسسيًا نوعيًا بإنشاء المنظمة العالمية للملكية الفكرية، المعروفة اختصارًا باسم الويبو، وهي إحدى وكالات منظمة الأمم المتحدة المتخصصة، وتضم حاليًا </w:t>
      </w:r>
      <w:r>
        <w:rPr>
          <w:rStyle w:val="None"/>
          <w:rFonts w:ascii="Times New Roman" w:hAnsi="Times New Roman"/>
          <w:sz w:val="24"/>
          <w:szCs w:val="24"/>
          <w:rtl/>
          <w:lang w:val="ar-SA"/>
        </w:rPr>
        <w:t xml:space="preserve">193 </w:t>
      </w:r>
      <w:r>
        <w:rPr>
          <w:rStyle w:val="None"/>
          <w:rFonts w:cs="Times New Roman"/>
          <w:sz w:val="24"/>
          <w:szCs w:val="24"/>
          <w:rtl/>
          <w:lang w:val="ar-SA"/>
        </w:rPr>
        <w:t>دولةً عضوًا، وتتمثل مهمتها الأساسية في إقامة نظام عالمي متوازن وفعَّال للملكية الفكرية، يسهم في دعم الابتكار، وتشجيع الإبداع والمساهمة في تحقيق التنمية الاقتصادية والاجتماعية المستدامة، وقد تأسست هذه المنظمة بموجب اتفاقية دولية أبرمت في ذات العام؛ لتصبح المرجعية الدولية الأولى في ميدان حماية حقوق الملكية الفكرية ومتابعة تنفيذ الاتفاقيات ذات الصلة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9"/>
      </w:r>
      <w:r>
        <w:rPr>
          <w:rStyle w:val="None"/>
          <w:rFonts w:ascii="Times New Roman" w:hAnsi="Times New Roman"/>
          <w:sz w:val="24"/>
          <w:szCs w:val="24"/>
          <w:vertAlign w:val="superscript"/>
          <w:rtl/>
          <w:lang w:val="ar-SA"/>
        </w:rPr>
        <w:t>)</w:t>
      </w:r>
    </w:p>
    <w:p w14:paraId="13A385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تتابعت الاتفاقيات الدولية إلى أنْ تأسست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عام ١٩٧٤؛ لتصبح إحدى الوكالات المتخصصة التابعة للأمم المتحدة، تولت هذه المنظمة مسئولية إدارة الاتفاقيات الدولية الرئيسية المتعلقة بحماية الملكية الفكرية، تم إبرام اتفاقية دولية تعرف باسم </w:t>
      </w:r>
      <w:r>
        <w:rPr>
          <w:rStyle w:val="None"/>
          <w:rFonts w:ascii="Times New Roman" w:hAnsi="Times New Roman"/>
          <w:sz w:val="24"/>
          <w:szCs w:val="24"/>
          <w:rtl/>
          <w:lang w:val="ar-SA"/>
        </w:rPr>
        <w:t>(</w:t>
      </w:r>
      <w:r>
        <w:rPr>
          <w:rStyle w:val="None"/>
          <w:rFonts w:cs="Times New Roman"/>
          <w:sz w:val="24"/>
          <w:szCs w:val="24"/>
          <w:rtl/>
          <w:lang w:val="ar-SA"/>
        </w:rPr>
        <w:t>تريبس</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لتنظيم حقوق الملكية الفكرية المرتبطة بالتجارة، اقترحتها كبريات الشركات لربطها باتفاقية منظمة التجارة العالمية، التي تأسست عام ١٩٩٤ وباشرت عملها مطلع عام ١٩٩٥، شكلت هذه الاتفاقية ضمانةً لأصحاب رؤوس الأموال عالميًا؛ لحماية مصالحهم الأدبية والفنية إلى جانب براءات الاختراع والعلامات التجارية، أُدرجت براءات اختراع الأدوية ضمن هذا الإطار، كما حظيت السلع بعلامات تجارية، وأصبحت </w:t>
      </w:r>
      <w:r>
        <w:rPr>
          <w:rStyle w:val="None"/>
          <w:rFonts w:cs="Times New Roman"/>
          <w:sz w:val="24"/>
          <w:szCs w:val="24"/>
          <w:rtl/>
          <w:lang w:val="ar-SA"/>
        </w:rPr>
        <w:lastRenderedPageBreak/>
        <w:t>منتجات التكنولوجيا وبرمجيات الحاسوب والإنترنت محميةً بموجب أحكام الملكية الفكرية، نتج عن ذلك ارتفاع ملحوظ في تسجيل براءات الاختراع عالميا؛ إذْ زادت بأكثر من سبعين ضعفًا بين عامي ١٩٧٨ و٢٠٠٢، سجلت اليابان زيادةً في براءات الاختراع بنسبة ٦٠٠</w:t>
      </w:r>
      <w:r>
        <w:rPr>
          <w:rStyle w:val="None"/>
          <w:rFonts w:ascii="Times New Roman" w:hAnsi="Times New Roman"/>
          <w:sz w:val="24"/>
          <w:szCs w:val="24"/>
          <w:rtl/>
          <w:lang w:val="ar-SA"/>
        </w:rPr>
        <w:t xml:space="preserve">% </w:t>
      </w:r>
      <w:r>
        <w:rPr>
          <w:rStyle w:val="None"/>
          <w:rFonts w:cs="Times New Roman"/>
          <w:sz w:val="24"/>
          <w:szCs w:val="24"/>
          <w:rtl/>
          <w:lang w:val="ar-SA"/>
        </w:rPr>
        <w:t xml:space="preserve">خلال الفترة من ١٩٨٨ إلى ٢٠٠٣ مقارنة بالفترة من ١٩٧٨ إلى ١٩٩٣، شهدت صادرات الخدمات القائمة على الملكية الفكرية </w:t>
      </w:r>
      <w:r>
        <w:rPr>
          <w:rStyle w:val="None"/>
          <w:rFonts w:ascii="Times New Roman" w:hAnsi="Times New Roman"/>
          <w:sz w:val="24"/>
          <w:szCs w:val="24"/>
          <w:rtl/>
          <w:lang w:val="ar-SA"/>
        </w:rPr>
        <w:t>-</w:t>
      </w:r>
      <w:r>
        <w:rPr>
          <w:rStyle w:val="None"/>
          <w:rFonts w:cs="Times New Roman"/>
          <w:sz w:val="24"/>
          <w:szCs w:val="24"/>
          <w:rtl/>
          <w:lang w:val="ar-SA"/>
        </w:rPr>
        <w:t>كالتعليم، والصحة، والإعلانات</w:t>
      </w:r>
      <w:r>
        <w:rPr>
          <w:rStyle w:val="None"/>
          <w:rFonts w:ascii="Times New Roman" w:hAnsi="Times New Roman"/>
          <w:sz w:val="24"/>
          <w:szCs w:val="24"/>
          <w:rtl/>
          <w:lang w:val="ar-SA"/>
        </w:rPr>
        <w:t xml:space="preserve">- </w:t>
      </w:r>
      <w:r>
        <w:rPr>
          <w:rStyle w:val="None"/>
          <w:rFonts w:cs="Times New Roman"/>
          <w:sz w:val="24"/>
          <w:szCs w:val="24"/>
          <w:rtl/>
          <w:lang w:val="ar-SA"/>
        </w:rPr>
        <w:t>نموًا عالميًا؛ لتشكل نحو ٢٥</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من إجمالي التجارة العالمية، تصدرت الدول المتقدمة اقتصاديًا </w:t>
      </w:r>
      <w:r>
        <w:rPr>
          <w:rStyle w:val="None"/>
          <w:rFonts w:ascii="Times New Roman" w:hAnsi="Times New Roman"/>
          <w:sz w:val="24"/>
          <w:szCs w:val="24"/>
          <w:rtl/>
          <w:lang w:val="ar-SA"/>
        </w:rPr>
        <w:t>-</w:t>
      </w:r>
      <w:r>
        <w:rPr>
          <w:rStyle w:val="None"/>
          <w:rFonts w:cs="Times New Roman"/>
          <w:sz w:val="24"/>
          <w:szCs w:val="24"/>
          <w:rtl/>
          <w:lang w:val="ar-SA"/>
        </w:rPr>
        <w:t>كأوروبا والولايات المتحدة</w:t>
      </w:r>
      <w:r>
        <w:rPr>
          <w:rStyle w:val="None"/>
          <w:rFonts w:ascii="Times New Roman" w:hAnsi="Times New Roman"/>
          <w:sz w:val="24"/>
          <w:szCs w:val="24"/>
          <w:rtl/>
          <w:lang w:val="ar-SA"/>
        </w:rPr>
        <w:t xml:space="preserve">- </w:t>
      </w:r>
      <w:r>
        <w:rPr>
          <w:rStyle w:val="None"/>
          <w:rFonts w:cs="Times New Roman"/>
          <w:sz w:val="24"/>
          <w:szCs w:val="24"/>
          <w:rtl/>
          <w:lang w:val="ar-SA"/>
        </w:rPr>
        <w:t>المشهد الاستثماري في مجال الملكية الفكرية؛ ممَّا عزّز مكانتها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0"/>
      </w:r>
      <w:r>
        <w:rPr>
          <w:rStyle w:val="None"/>
          <w:rFonts w:ascii="Times New Roman" w:hAnsi="Times New Roman"/>
          <w:sz w:val="24"/>
          <w:szCs w:val="24"/>
          <w:vertAlign w:val="superscript"/>
          <w:rtl/>
          <w:lang w:val="ar-SA"/>
        </w:rPr>
        <w:t>)</w:t>
      </w:r>
    </w:p>
    <w:p w14:paraId="033A404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تشكل الملكية الفكرية في العصر الراهن ركيزةً أساسيةً ضمن المفاهيم القانونية والاقتصادية؛ نظرًا لما تكتسبه من أهمية متصاعدة على المستويين الوطني والدولي يحتفي المجتمع الدولي باليوم العالمي للملكية الفكرية في السادس والعشرين من أبريل سنويًا، وهو التاريخ الذي بدأت فيه اتفاقية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بالنفاذ عام ٢٠٠٠، يرمي هذا الاحتفال إلى تعزيز الوعي العام بضرورة صون الإبداع، وتحفيز الابتكار عبر مختلف القطاعات، أدركت العديد من الدول العربية هذا البُعد الاستراتيجي، فسارعت إلى سن تشريعات وطنية متخصصة لحماية حقوق الملكية الفكرية، برزت في هذا السياق دول، مثل</w:t>
      </w:r>
      <w:r>
        <w:rPr>
          <w:rStyle w:val="None"/>
          <w:rFonts w:ascii="Times New Roman" w:hAnsi="Times New Roman"/>
          <w:sz w:val="24"/>
          <w:szCs w:val="24"/>
          <w:rtl/>
          <w:lang w:val="ar-SA"/>
        </w:rPr>
        <w:t xml:space="preserve">: </w:t>
      </w:r>
      <w:r>
        <w:rPr>
          <w:rStyle w:val="None"/>
          <w:rFonts w:cs="Times New Roman"/>
          <w:sz w:val="24"/>
          <w:szCs w:val="24"/>
          <w:rtl/>
          <w:lang w:val="ar-SA"/>
        </w:rPr>
        <w:t>جمهورية مصر العربية، ودولة الإمارات العربية المتحدة، والمملكة العربية السعودية؛ حيث عملت على تحديث أطرها القانونية؛ لتتماشى مع المعايير الدولية، شملت هذه الجهود تنظيم حقوق المؤلف والحقوق المجاورة، إلى جانب العلامات التجارية وبراءات الاختراع، وغيرها من أشكال الحقوق الفكرية، تعكس هذه التشريعات وعيًا متزايدًا بأهمية حماية المنتجات الفكرية للعقل البشري، بما يسهم في تعزيز الابتكار والتنمية المستدامة، تبرز هذه الجهود كجزء من التزام إقليمي ودولي بصون الإبداع؛ ممَّا يعزّز مكانة الدول العربية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1"/>
      </w:r>
      <w:r>
        <w:rPr>
          <w:rStyle w:val="None"/>
          <w:rFonts w:ascii="Times New Roman" w:hAnsi="Times New Roman"/>
          <w:sz w:val="24"/>
          <w:szCs w:val="24"/>
          <w:vertAlign w:val="superscript"/>
          <w:rtl/>
          <w:lang w:val="ar-SA"/>
        </w:rPr>
        <w:t>)</w:t>
      </w:r>
    </w:p>
    <w:p w14:paraId="6CC0F7E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bookmarkStart w:id="120" w:name="_Hlk193487046"/>
      <w:r>
        <w:rPr>
          <w:rStyle w:val="None"/>
          <w:rFonts w:cs="Times New Roman"/>
          <w:sz w:val="24"/>
          <w:szCs w:val="24"/>
          <w:rtl/>
          <w:lang w:val="ar-SA"/>
        </w:rPr>
        <w:t>بعدما استعرضنا تاريخ تطوُّر الملكية الفكرية، نتوجه لاستقصاء نشأة حقوق المؤلف في الدول العربية بالفرع التالي؛ حيث تنعكس المسارات التاريخية والقانونية في صياغة هذا المفهوم ضمن التجربة الثقافية العربية</w:t>
      </w:r>
      <w:r>
        <w:rPr>
          <w:rStyle w:val="None"/>
          <w:rFonts w:ascii="Times New Roman" w:hAnsi="Times New Roman"/>
          <w:sz w:val="24"/>
          <w:szCs w:val="24"/>
          <w:rtl/>
          <w:lang w:val="ar-SA"/>
        </w:rPr>
        <w:t>.</w:t>
      </w:r>
      <w:bookmarkEnd w:id="120"/>
    </w:p>
    <w:p w14:paraId="41F41CE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4D05F0E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7F8D5F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0346594"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529AF5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B377403"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96AA32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B011590"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41DD3C06" w14:textId="77777777" w:rsidR="00454428" w:rsidRDefault="00000000" w:rsidP="00C72BA8">
      <w:pPr>
        <w:pStyle w:val="a4"/>
        <w:rPr>
          <w:rStyle w:val="None"/>
          <w:b w:val="0"/>
          <w:bCs w:val="0"/>
          <w:lang w:val="ar-SA"/>
        </w:rPr>
      </w:pPr>
      <w:bookmarkStart w:id="121" w:name="_Toc227251092"/>
      <w:bookmarkStart w:id="122" w:name="_Toc227251402"/>
      <w:r>
        <w:rPr>
          <w:rStyle w:val="None"/>
          <w:rFonts w:ascii="Arial Unicode MS" w:eastAsia="Arial Unicode MS" w:hAnsi="Arial Unicode MS" w:hint="cs"/>
          <w:rtl/>
          <w:lang w:val="ar-SA"/>
        </w:rPr>
        <w:lastRenderedPageBreak/>
        <w:t>الفرع الثاني</w:t>
      </w:r>
      <w:bookmarkStart w:id="123" w:name="_Hlk193487052"/>
      <w:bookmarkEnd w:id="121"/>
      <w:bookmarkEnd w:id="122"/>
    </w:p>
    <w:p w14:paraId="5F5499F4" w14:textId="77777777" w:rsidR="00454428" w:rsidRDefault="00000000" w:rsidP="00C72BA8">
      <w:pPr>
        <w:pStyle w:val="a4"/>
        <w:rPr>
          <w:rStyle w:val="None"/>
          <w:b w:val="0"/>
          <w:bCs w:val="0"/>
          <w:lang w:val="ar-SA"/>
        </w:rPr>
      </w:pPr>
      <w:bookmarkStart w:id="124" w:name="_Toc227251093"/>
      <w:bookmarkStart w:id="125" w:name="_Toc227251403"/>
      <w:r>
        <w:rPr>
          <w:rStyle w:val="None"/>
          <w:rFonts w:ascii="Arial Unicode MS" w:eastAsia="Arial Unicode MS" w:hAnsi="Arial Unicode MS" w:hint="cs"/>
          <w:rtl/>
          <w:lang w:val="ar-SA"/>
        </w:rPr>
        <w:t>نشأة حقوق المؤلف في الدول العربية</w:t>
      </w:r>
      <w:bookmarkEnd w:id="124"/>
      <w:bookmarkEnd w:id="125"/>
    </w:p>
    <w:bookmarkEnd w:id="123"/>
    <w:p w14:paraId="4BA3156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يعتبر قانون حق التأليف العثماني الذي صدر عام </w:t>
      </w:r>
      <w:r>
        <w:rPr>
          <w:rStyle w:val="None"/>
          <w:rFonts w:ascii="Times New Roman" w:hAnsi="Times New Roman"/>
          <w:sz w:val="24"/>
          <w:szCs w:val="24"/>
          <w:rtl/>
          <w:lang w:val="ar-SA"/>
        </w:rPr>
        <w:t>1910</w:t>
      </w:r>
      <w:r>
        <w:rPr>
          <w:rStyle w:val="None"/>
          <w:rFonts w:cs="Times New Roman"/>
          <w:sz w:val="24"/>
          <w:szCs w:val="24"/>
          <w:rtl/>
          <w:lang w:val="ar-SA"/>
        </w:rPr>
        <w:t xml:space="preserve">م أول تشريع لحماية حقوق المؤلف في الدول العربية؛ حيث استمر العمل به في بعض الدول العربية حتى وقت قريب، خاصةً في العراق والأردن، وتُعَدُّ الأردن من أوائل الدول العربية التي وضعت نصوصًا قانونيةً محددةً لحماية حق المؤلف؛ حيث كانت تطبق إلى جانب قانون حق التأليف العثماني بعض الأحكام الخاصة بحماية حقوق المؤلف ضمن القوانين المدنية وقوانين العقوبات، أما القانون التونسي الذي صدر عام </w:t>
      </w:r>
      <w:r>
        <w:rPr>
          <w:rStyle w:val="None"/>
          <w:rFonts w:ascii="Times New Roman" w:hAnsi="Times New Roman"/>
          <w:sz w:val="24"/>
          <w:szCs w:val="24"/>
          <w:rtl/>
          <w:lang w:val="ar-SA"/>
        </w:rPr>
        <w:t>1889</w:t>
      </w:r>
      <w:r>
        <w:rPr>
          <w:rStyle w:val="None"/>
          <w:rFonts w:cs="Times New Roman"/>
          <w:sz w:val="24"/>
          <w:szCs w:val="24"/>
          <w:rtl/>
          <w:lang w:val="ar-SA"/>
        </w:rPr>
        <w:t>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فيعتبر أول تشريع عربي لحماية حقوق المؤلف، تلاه القانون المغربي الذي صدر عام </w:t>
      </w:r>
      <w:r>
        <w:rPr>
          <w:rStyle w:val="None"/>
          <w:rFonts w:ascii="Times New Roman" w:hAnsi="Times New Roman"/>
          <w:sz w:val="24"/>
          <w:szCs w:val="24"/>
          <w:rtl/>
          <w:lang w:val="ar-SA"/>
        </w:rPr>
        <w:t>1916</w:t>
      </w:r>
      <w:r>
        <w:rPr>
          <w:rStyle w:val="None"/>
          <w:rFonts w:cs="Times New Roman"/>
          <w:sz w:val="24"/>
          <w:szCs w:val="24"/>
          <w:rtl/>
          <w:lang w:val="ar-SA"/>
        </w:rPr>
        <w:t xml:space="preserve">م لحماية المؤلفات الأدبية والفنية، ثم أصدر لبنان قانونًا لحماية حق المؤلف عام </w:t>
      </w:r>
      <w:r>
        <w:rPr>
          <w:rStyle w:val="None"/>
          <w:rFonts w:ascii="Times New Roman" w:hAnsi="Times New Roman"/>
          <w:sz w:val="24"/>
          <w:szCs w:val="24"/>
          <w:rtl/>
          <w:lang w:val="ar-SA"/>
        </w:rPr>
        <w:t>1924</w:t>
      </w:r>
      <w:r>
        <w:rPr>
          <w:rStyle w:val="None"/>
          <w:rFonts w:cs="Times New Roman"/>
          <w:sz w:val="24"/>
          <w:szCs w:val="24"/>
          <w:rtl/>
          <w:lang w:val="ar-SA"/>
        </w:rPr>
        <w:t>م، وباستثناء هذه القوانين لم يشهد النصف الأول من القرن التاسع عشر أي تطوُّرات تشريعية في مجال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2"/>
      </w:r>
      <w:r>
        <w:rPr>
          <w:rStyle w:val="None"/>
          <w:rFonts w:ascii="Times New Roman" w:hAnsi="Times New Roman"/>
          <w:sz w:val="24"/>
          <w:szCs w:val="24"/>
          <w:vertAlign w:val="superscript"/>
          <w:rtl/>
          <w:lang w:val="ar-SA"/>
        </w:rPr>
        <w:t>)</w:t>
      </w:r>
    </w:p>
    <w:p w14:paraId="4A7A1D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بدأ اهتمام الدول العربية بقضايا الملكية الفكرية منذ القرن التاسع عشر؛ حيث كانت العديد من هذه الدول من الأوائل التي انضمت إلى اتفاقيات الملكية الفكرية الدولية، تقريبًا جميع الدول العربية لديها قوانين تتعلق بحماية حقوق المؤلف والحقوق المجاورة</w:t>
      </w:r>
      <w:r>
        <w:rPr>
          <w:rStyle w:val="None"/>
          <w:rFonts w:ascii="Times New Roman" w:hAnsi="Times New Roman"/>
          <w:sz w:val="24"/>
          <w:szCs w:val="24"/>
          <w:rtl/>
          <w:lang w:val="ar-SA"/>
        </w:rPr>
        <w:t>.</w:t>
      </w:r>
    </w:p>
    <w:p w14:paraId="49C9256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التطوُّر التشريعي الذي شهدته الدول العربية في بداية النصف الثاني من القرن الماضي، صدر قانون حماية حق المؤلف المصري رقم </w:t>
      </w:r>
      <w:r>
        <w:rPr>
          <w:rStyle w:val="None"/>
          <w:rFonts w:ascii="Times New Roman" w:hAnsi="Times New Roman"/>
          <w:sz w:val="24"/>
          <w:szCs w:val="24"/>
          <w:rtl/>
          <w:lang w:val="ar-SA"/>
        </w:rPr>
        <w:t xml:space="preserve">354 </w:t>
      </w:r>
      <w:r>
        <w:rPr>
          <w:rStyle w:val="None"/>
          <w:rFonts w:cs="Times New Roman"/>
          <w:sz w:val="24"/>
          <w:szCs w:val="24"/>
          <w:rtl/>
          <w:lang w:val="ar-SA"/>
        </w:rPr>
        <w:t xml:space="preserve">لسنة </w:t>
      </w:r>
      <w:r>
        <w:rPr>
          <w:rStyle w:val="None"/>
          <w:rFonts w:ascii="Times New Roman" w:hAnsi="Times New Roman"/>
          <w:sz w:val="24"/>
          <w:szCs w:val="24"/>
          <w:rtl/>
          <w:lang w:val="ar-SA"/>
        </w:rPr>
        <w:t>1954</w:t>
      </w:r>
      <w:r>
        <w:rPr>
          <w:rStyle w:val="None"/>
          <w:rFonts w:cs="Times New Roman"/>
          <w:sz w:val="24"/>
          <w:szCs w:val="24"/>
          <w:rtl/>
          <w:lang w:val="ar-SA"/>
        </w:rPr>
        <w:t>م؛ ممَّا جعل مصر تتصدر الدول العربية في هذا المجال من الناحية التشريعية، والفقهية، والقضائية، وقد قامت معظم الدول العربية بسن تشريعات لحماية حقوق المؤلف، إلا أنَّ هذه التشريعات كانت متشابهةً؛ نظرًا لاعتمادها على القانون المصري الذي استمد أحكامه من القانون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3"/>
      </w:r>
      <w:r>
        <w:rPr>
          <w:rStyle w:val="None"/>
          <w:rFonts w:ascii="Times New Roman" w:hAnsi="Times New Roman"/>
          <w:sz w:val="24"/>
          <w:szCs w:val="24"/>
          <w:vertAlign w:val="superscript"/>
          <w:rtl/>
          <w:lang w:val="ar-SA"/>
        </w:rPr>
        <w:t>)</w:t>
      </w:r>
    </w:p>
    <w:p w14:paraId="44AD1C6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أما في الجزائر فقد كانت الحماية المقررة لحقوق المؤلف قبل الاستقلال تعتمد على القوانين الفرنسية، وبعد الاستقلال في ٥ يوليو ١٩٦٢م، ظل حق المؤلف في الجزائر محددًا وفقًا للقوانين الفرنسية، وذلك بموجب الأمر رقم ٦٢</w:t>
      </w:r>
      <w:r>
        <w:rPr>
          <w:rStyle w:val="None"/>
          <w:rFonts w:ascii="Times New Roman" w:hAnsi="Times New Roman"/>
          <w:sz w:val="24"/>
          <w:szCs w:val="24"/>
          <w:rtl/>
          <w:lang w:val="ar-SA"/>
        </w:rPr>
        <w:t>/</w:t>
      </w:r>
      <w:r>
        <w:rPr>
          <w:rStyle w:val="None"/>
          <w:rFonts w:cs="Times New Roman"/>
          <w:sz w:val="24"/>
          <w:szCs w:val="24"/>
          <w:rtl/>
          <w:lang w:val="ar-SA"/>
        </w:rPr>
        <w:t>١٥٧ المؤرخ في ٣١ ديسمبر ١٩٦٢م، الذي أتاح تطبيق النصوص القانونية الفرنسية السارية حتى ٣ يوليو ١٩٦٢م، بشرط عدم المساس بالسيادة الوطنية، وبالرجوع إلى القانون الفرنسي فإنَّ القانون المعمول به آنذاك هو قانون حماية الملكية الأدبية والفنية الصادر في ١١ مارس ١٩٥٧م، والذي تم تطبيقه في الجزائر مباشرة بعد الاستقلال حتى عام ١٩٧٣م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4"/>
      </w:r>
      <w:r>
        <w:rPr>
          <w:rStyle w:val="None"/>
          <w:rFonts w:ascii="Times New Roman" w:hAnsi="Times New Roman"/>
          <w:sz w:val="24"/>
          <w:szCs w:val="24"/>
          <w:vertAlign w:val="superscript"/>
          <w:rtl/>
          <w:lang w:val="ar-SA"/>
        </w:rPr>
        <w:t>)</w:t>
      </w:r>
    </w:p>
    <w:p w14:paraId="4027DE3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خلال تلك الفترة صدر قانون العقوبات بتاريخ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يونيو </w:t>
      </w:r>
      <w:r>
        <w:rPr>
          <w:rStyle w:val="None"/>
          <w:rFonts w:ascii="Times New Roman" w:hAnsi="Times New Roman"/>
          <w:sz w:val="24"/>
          <w:szCs w:val="24"/>
          <w:rtl/>
          <w:lang w:val="ar-SA"/>
        </w:rPr>
        <w:t>1966</w:t>
      </w:r>
      <w:r>
        <w:rPr>
          <w:rStyle w:val="None"/>
          <w:rFonts w:cs="Times New Roman"/>
          <w:sz w:val="24"/>
          <w:szCs w:val="24"/>
          <w:rtl/>
          <w:lang w:val="ar-SA"/>
        </w:rPr>
        <w:t xml:space="preserve">م بموجب الأمر </w:t>
      </w:r>
      <w:r>
        <w:rPr>
          <w:rStyle w:val="None"/>
          <w:rFonts w:ascii="Times New Roman" w:hAnsi="Times New Roman"/>
          <w:sz w:val="24"/>
          <w:szCs w:val="24"/>
          <w:rtl/>
          <w:lang w:val="ar-SA"/>
        </w:rPr>
        <w:t>156/66</w:t>
      </w:r>
      <w:r>
        <w:rPr>
          <w:rStyle w:val="None"/>
          <w:rFonts w:cs="Times New Roman"/>
          <w:sz w:val="24"/>
          <w:szCs w:val="24"/>
          <w:rtl/>
          <w:lang w:val="ar-SA"/>
        </w:rPr>
        <w:t xml:space="preserve">، الذي نصت مواده من </w:t>
      </w:r>
      <w:r>
        <w:rPr>
          <w:rStyle w:val="None"/>
          <w:rFonts w:ascii="Times New Roman" w:hAnsi="Times New Roman"/>
          <w:sz w:val="24"/>
          <w:szCs w:val="24"/>
          <w:rtl/>
          <w:lang w:val="ar-SA"/>
        </w:rPr>
        <w:t xml:space="preserve">390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394 </w:t>
      </w:r>
      <w:r>
        <w:rPr>
          <w:rStyle w:val="None"/>
          <w:rFonts w:cs="Times New Roman"/>
          <w:sz w:val="24"/>
          <w:szCs w:val="24"/>
          <w:rtl/>
          <w:lang w:val="ar-SA"/>
        </w:rPr>
        <w:t xml:space="preserve">على أحكام وعقوبات ضد المعتدين على الملكية الأدبية والفنية، وفي أبريل </w:t>
      </w:r>
      <w:r>
        <w:rPr>
          <w:rStyle w:val="None"/>
          <w:rFonts w:ascii="Times New Roman" w:hAnsi="Times New Roman"/>
          <w:sz w:val="24"/>
          <w:szCs w:val="24"/>
          <w:rtl/>
          <w:lang w:val="ar-SA"/>
        </w:rPr>
        <w:t xml:space="preserve">1973 </w:t>
      </w:r>
      <w:r>
        <w:rPr>
          <w:rStyle w:val="None"/>
          <w:rFonts w:cs="Times New Roman"/>
          <w:sz w:val="24"/>
          <w:szCs w:val="24"/>
          <w:rtl/>
          <w:lang w:val="ar-SA"/>
        </w:rPr>
        <w:t xml:space="preserve">صدر الأمر </w:t>
      </w:r>
      <w:r>
        <w:rPr>
          <w:rStyle w:val="None"/>
          <w:rFonts w:ascii="Times New Roman" w:hAnsi="Times New Roman"/>
          <w:sz w:val="24"/>
          <w:szCs w:val="24"/>
          <w:rtl/>
          <w:lang w:val="ar-SA"/>
        </w:rPr>
        <w:t xml:space="preserve">73/14 </w:t>
      </w:r>
      <w:r>
        <w:rPr>
          <w:rStyle w:val="None"/>
          <w:rFonts w:cs="Times New Roman"/>
          <w:sz w:val="24"/>
          <w:szCs w:val="24"/>
          <w:rtl/>
          <w:lang w:val="ar-SA"/>
        </w:rPr>
        <w:t xml:space="preserve">المتعلق بحق المؤلف، وفي نفس السياق صدر الأمر </w:t>
      </w:r>
      <w:r>
        <w:rPr>
          <w:rStyle w:val="None"/>
          <w:rFonts w:ascii="Times New Roman" w:hAnsi="Times New Roman"/>
          <w:sz w:val="24"/>
          <w:szCs w:val="24"/>
          <w:rtl/>
          <w:lang w:val="ar-SA"/>
        </w:rPr>
        <w:t xml:space="preserve">4673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يوليو </w:t>
      </w:r>
      <w:r>
        <w:rPr>
          <w:rStyle w:val="None"/>
          <w:rFonts w:ascii="Times New Roman" w:hAnsi="Times New Roman"/>
          <w:sz w:val="24"/>
          <w:szCs w:val="24"/>
          <w:rtl/>
          <w:lang w:val="ar-SA"/>
        </w:rPr>
        <w:t>1973</w:t>
      </w:r>
      <w:r>
        <w:rPr>
          <w:rStyle w:val="None"/>
          <w:rFonts w:cs="Times New Roman"/>
          <w:sz w:val="24"/>
          <w:szCs w:val="24"/>
          <w:rtl/>
          <w:lang w:val="ar-SA"/>
        </w:rPr>
        <w:t xml:space="preserve">م الذي أنشأ الديوان الوطني لحق </w:t>
      </w:r>
      <w:r>
        <w:rPr>
          <w:rStyle w:val="None"/>
          <w:rFonts w:cs="Times New Roman"/>
          <w:sz w:val="24"/>
          <w:szCs w:val="24"/>
          <w:rtl/>
          <w:lang w:val="ar-SA"/>
        </w:rPr>
        <w:lastRenderedPageBreak/>
        <w:t xml:space="preserve">المؤلف، بعد ذلك صدر الأمر </w:t>
      </w:r>
      <w:r>
        <w:rPr>
          <w:rStyle w:val="None"/>
          <w:rFonts w:ascii="Times New Roman" w:hAnsi="Times New Roman"/>
          <w:sz w:val="24"/>
          <w:szCs w:val="24"/>
          <w:rtl/>
          <w:lang w:val="ar-SA"/>
        </w:rPr>
        <w:t xml:space="preserve">10/97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6 </w:t>
      </w:r>
      <w:r>
        <w:rPr>
          <w:rStyle w:val="None"/>
          <w:rFonts w:cs="Times New Roman"/>
          <w:sz w:val="24"/>
          <w:szCs w:val="24"/>
          <w:rtl/>
          <w:lang w:val="ar-SA"/>
        </w:rPr>
        <w:t xml:space="preserve">مارس </w:t>
      </w:r>
      <w:r>
        <w:rPr>
          <w:rStyle w:val="None"/>
          <w:rFonts w:ascii="Times New Roman" w:hAnsi="Times New Roman"/>
          <w:sz w:val="24"/>
          <w:szCs w:val="24"/>
          <w:rtl/>
          <w:lang w:val="ar-SA"/>
        </w:rPr>
        <w:t>1997</w:t>
      </w:r>
      <w:r>
        <w:rPr>
          <w:rStyle w:val="None"/>
          <w:rFonts w:cs="Times New Roman"/>
          <w:sz w:val="24"/>
          <w:szCs w:val="24"/>
          <w:rtl/>
          <w:lang w:val="ar-SA"/>
        </w:rPr>
        <w:t xml:space="preserve">م، المتعلق بحق المؤلف والحقوق المجاورة، الذي ألغى الأمر </w:t>
      </w:r>
      <w:r>
        <w:rPr>
          <w:rStyle w:val="None"/>
          <w:rFonts w:ascii="Times New Roman" w:hAnsi="Times New Roman"/>
          <w:sz w:val="24"/>
          <w:szCs w:val="24"/>
          <w:rtl/>
          <w:lang w:val="ar-SA"/>
        </w:rPr>
        <w:t>14/73</w:t>
      </w:r>
      <w:r>
        <w:rPr>
          <w:rStyle w:val="None"/>
          <w:rFonts w:cs="Times New Roman"/>
          <w:sz w:val="24"/>
          <w:szCs w:val="24"/>
          <w:rtl/>
          <w:lang w:val="ar-SA"/>
        </w:rPr>
        <w:t xml:space="preserve">، لكن تم إدراج محتواه مع بعض التعديلات في المواد من </w:t>
      </w:r>
      <w:r>
        <w:rPr>
          <w:rStyle w:val="None"/>
          <w:rFonts w:ascii="Times New Roman" w:hAnsi="Times New Roman"/>
          <w:sz w:val="24"/>
          <w:szCs w:val="24"/>
          <w:rtl/>
          <w:lang w:val="ar-SA"/>
        </w:rPr>
        <w:t xml:space="preserve">149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158 </w:t>
      </w:r>
      <w:r>
        <w:rPr>
          <w:rStyle w:val="None"/>
          <w:rFonts w:cs="Times New Roman"/>
          <w:sz w:val="24"/>
          <w:szCs w:val="24"/>
          <w:rtl/>
          <w:lang w:val="ar-SA"/>
        </w:rPr>
        <w:t>من هذا الأمر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5"/>
      </w:r>
      <w:r>
        <w:rPr>
          <w:rStyle w:val="None"/>
          <w:rFonts w:ascii="Times New Roman" w:hAnsi="Times New Roman"/>
          <w:sz w:val="24"/>
          <w:szCs w:val="24"/>
          <w:vertAlign w:val="superscript"/>
          <w:rtl/>
          <w:lang w:val="ar-SA"/>
        </w:rPr>
        <w:t>)</w:t>
      </w:r>
    </w:p>
    <w:p w14:paraId="548561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تدخل المشرع الجزائري مرة أخرى؛ حيث صدر الأمر </w:t>
      </w:r>
      <w:r>
        <w:rPr>
          <w:rStyle w:val="None"/>
          <w:rFonts w:ascii="Times New Roman" w:hAnsi="Times New Roman"/>
          <w:sz w:val="24"/>
          <w:szCs w:val="24"/>
          <w:rtl/>
          <w:lang w:val="ar-SA"/>
        </w:rPr>
        <w:t xml:space="preserve">5/3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يوليو المتعلق بحقوق المؤلف والحقوق المجاورة، ورغم عدم احتوائه على تعديلات جذرية، إلا أنَّه أشار </w:t>
      </w:r>
      <w:r>
        <w:rPr>
          <w:rStyle w:val="None"/>
          <w:rFonts w:ascii="Times New Roman" w:hAnsi="Times New Roman"/>
          <w:sz w:val="24"/>
          <w:szCs w:val="24"/>
          <w:rtl/>
          <w:lang w:val="ar-SA"/>
        </w:rPr>
        <w:t>-</w:t>
      </w:r>
      <w:r>
        <w:rPr>
          <w:rStyle w:val="None"/>
          <w:rFonts w:cs="Times New Roman"/>
          <w:sz w:val="24"/>
          <w:szCs w:val="24"/>
          <w:rtl/>
          <w:lang w:val="ar-SA"/>
        </w:rPr>
        <w:t>على عكس الأمر السابق</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إلى برامج الكمبيوتر وقواعد البيانات باعتبارها مصنفاتٍ أدبيةً؛ ممَّا يتماشى مع التعديلات الواردة في اتفاقية برن، وهذا يدل على بدء المشرع الجزائري في سن قوانين تهدف إلى حماية هذا النوع من المصنفات الرقمية التي ظهرت مع تطوُّر التقنيات الرقمية وانتشار الإنترنت، كما صدر في </w:t>
      </w:r>
      <w:r>
        <w:rPr>
          <w:rStyle w:val="None"/>
          <w:rFonts w:ascii="Times New Roman" w:hAnsi="Times New Roman"/>
          <w:sz w:val="24"/>
          <w:szCs w:val="24"/>
          <w:rtl/>
          <w:lang w:val="ar-SA"/>
        </w:rPr>
        <w:t xml:space="preserve">21 </w:t>
      </w:r>
      <w:r>
        <w:rPr>
          <w:rStyle w:val="None"/>
          <w:rFonts w:cs="Times New Roman"/>
          <w:sz w:val="24"/>
          <w:szCs w:val="24"/>
          <w:rtl/>
          <w:lang w:val="ar-SA"/>
        </w:rPr>
        <w:t xml:space="preserve">سبتمبر </w:t>
      </w:r>
      <w:r>
        <w:rPr>
          <w:rStyle w:val="None"/>
          <w:rFonts w:ascii="Times New Roman" w:hAnsi="Times New Roman"/>
          <w:sz w:val="24"/>
          <w:szCs w:val="24"/>
          <w:rtl/>
          <w:lang w:val="ar-SA"/>
        </w:rPr>
        <w:t>2005</w:t>
      </w:r>
      <w:r>
        <w:rPr>
          <w:rStyle w:val="None"/>
          <w:rFonts w:cs="Times New Roman"/>
          <w:sz w:val="24"/>
          <w:szCs w:val="24"/>
          <w:rtl/>
          <w:lang w:val="ar-SA"/>
        </w:rPr>
        <w:t xml:space="preserve">م المرسوم التنفيذي </w:t>
      </w:r>
      <w:r>
        <w:rPr>
          <w:rStyle w:val="None"/>
          <w:rFonts w:ascii="Times New Roman" w:hAnsi="Times New Roman"/>
          <w:sz w:val="24"/>
          <w:szCs w:val="24"/>
          <w:rtl/>
          <w:lang w:val="ar-SA"/>
        </w:rPr>
        <w:t xml:space="preserve">356/5 </w:t>
      </w:r>
      <w:r>
        <w:rPr>
          <w:rStyle w:val="None"/>
          <w:rFonts w:cs="Times New Roman"/>
          <w:sz w:val="24"/>
          <w:szCs w:val="24"/>
          <w:rtl/>
          <w:lang w:val="ar-SA"/>
        </w:rPr>
        <w:t>الذي يتضمن القانون الأساسي للديوان الوطني لحقوق المؤلف والحقوق المجاورة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6"/>
      </w:r>
      <w:r>
        <w:rPr>
          <w:rStyle w:val="None"/>
          <w:rFonts w:ascii="Times New Roman" w:hAnsi="Times New Roman"/>
          <w:sz w:val="24"/>
          <w:szCs w:val="24"/>
          <w:vertAlign w:val="superscript"/>
          <w:rtl/>
          <w:lang w:val="ar-SA"/>
        </w:rPr>
        <w:t>)</w:t>
      </w:r>
    </w:p>
    <w:p w14:paraId="1BF8D884"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سوريا، تم إصدار قانون حماية الملكية التجارية والصناعية رقم </w:t>
      </w:r>
      <w:r>
        <w:rPr>
          <w:rStyle w:val="None"/>
          <w:rFonts w:ascii="Times New Roman" w:hAnsi="Times New Roman"/>
          <w:sz w:val="24"/>
          <w:szCs w:val="24"/>
          <w:rtl/>
          <w:lang w:val="ar-SA"/>
        </w:rPr>
        <w:t xml:space="preserve">47 </w:t>
      </w:r>
      <w:r>
        <w:rPr>
          <w:rStyle w:val="None"/>
          <w:rFonts w:cs="Times New Roman"/>
          <w:sz w:val="24"/>
          <w:szCs w:val="24"/>
          <w:rtl/>
          <w:lang w:val="ar-SA"/>
        </w:rPr>
        <w:t xml:space="preserve">لعام </w:t>
      </w:r>
      <w:r>
        <w:rPr>
          <w:rStyle w:val="None"/>
          <w:rFonts w:ascii="Times New Roman" w:hAnsi="Times New Roman"/>
          <w:sz w:val="24"/>
          <w:szCs w:val="24"/>
          <w:rtl/>
          <w:lang w:val="ar-SA"/>
        </w:rPr>
        <w:t>1946</w:t>
      </w:r>
      <w:r>
        <w:rPr>
          <w:rStyle w:val="None"/>
          <w:rFonts w:cs="Times New Roman"/>
          <w:sz w:val="24"/>
          <w:szCs w:val="24"/>
          <w:rtl/>
          <w:lang w:val="ar-SA"/>
        </w:rPr>
        <w:t xml:space="preserve">، والذي تم تعديله بالقانون رقم </w:t>
      </w:r>
      <w:r>
        <w:rPr>
          <w:rStyle w:val="None"/>
          <w:rFonts w:ascii="Times New Roman" w:hAnsi="Times New Roman"/>
          <w:sz w:val="24"/>
          <w:szCs w:val="24"/>
          <w:rtl/>
          <w:lang w:val="ar-SA"/>
        </w:rPr>
        <w:t xml:space="preserve">28 </w:t>
      </w:r>
      <w:r>
        <w:rPr>
          <w:rStyle w:val="None"/>
          <w:rFonts w:cs="Times New Roman"/>
          <w:sz w:val="24"/>
          <w:szCs w:val="24"/>
          <w:rtl/>
          <w:lang w:val="ar-SA"/>
        </w:rPr>
        <w:t xml:space="preserve">لعام </w:t>
      </w:r>
      <w:r>
        <w:rPr>
          <w:rStyle w:val="None"/>
          <w:rFonts w:ascii="Times New Roman" w:hAnsi="Times New Roman"/>
          <w:sz w:val="24"/>
          <w:szCs w:val="24"/>
          <w:rtl/>
          <w:lang w:val="ar-SA"/>
        </w:rPr>
        <w:t>1980</w:t>
      </w:r>
      <w:r>
        <w:rPr>
          <w:rStyle w:val="None"/>
          <w:rFonts w:cs="Times New Roman"/>
          <w:sz w:val="24"/>
          <w:szCs w:val="24"/>
          <w:rtl/>
          <w:lang w:val="ar-SA"/>
        </w:rPr>
        <w:t xml:space="preserve">م، كما نص القانون المدني السوري رقم </w:t>
      </w:r>
      <w:r>
        <w:rPr>
          <w:rStyle w:val="None"/>
          <w:rFonts w:ascii="Times New Roman" w:hAnsi="Times New Roman"/>
          <w:sz w:val="24"/>
          <w:szCs w:val="24"/>
          <w:rtl/>
          <w:lang w:val="ar-SA"/>
        </w:rPr>
        <w:t xml:space="preserve">84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1948 </w:t>
      </w:r>
      <w:r>
        <w:rPr>
          <w:rStyle w:val="None"/>
          <w:rFonts w:cs="Times New Roman"/>
          <w:sz w:val="24"/>
          <w:szCs w:val="24"/>
          <w:rtl/>
          <w:lang w:val="ar-SA"/>
        </w:rPr>
        <w:t xml:space="preserve">في المادة </w:t>
      </w:r>
      <w:r>
        <w:rPr>
          <w:rStyle w:val="None"/>
          <w:rFonts w:ascii="Times New Roman" w:hAnsi="Times New Roman"/>
          <w:sz w:val="24"/>
          <w:szCs w:val="24"/>
          <w:rtl/>
          <w:lang w:val="ar-SA"/>
        </w:rPr>
        <w:t xml:space="preserve">89 </w:t>
      </w:r>
      <w:r>
        <w:rPr>
          <w:rStyle w:val="None"/>
          <w:rFonts w:cs="Times New Roman"/>
          <w:sz w:val="24"/>
          <w:szCs w:val="24"/>
          <w:rtl/>
          <w:lang w:val="ar-SA"/>
        </w:rPr>
        <w:t xml:space="preserve">على أنَّ </w:t>
      </w:r>
      <w:r>
        <w:rPr>
          <w:rStyle w:val="None"/>
          <w:rFonts w:ascii="Times New Roman" w:hAnsi="Times New Roman"/>
          <w:sz w:val="24"/>
          <w:szCs w:val="24"/>
          <w:rtl/>
          <w:lang w:val="ar-SA"/>
        </w:rPr>
        <w:t>"</w:t>
      </w:r>
      <w:r>
        <w:rPr>
          <w:rStyle w:val="None"/>
          <w:rFonts w:cs="Times New Roman"/>
          <w:sz w:val="24"/>
          <w:szCs w:val="24"/>
          <w:rtl/>
          <w:lang w:val="ar-SA"/>
        </w:rPr>
        <w:t>الحقوق المتعلقة بالأشياء غير المادية تنظمها قوانين خاصة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9701F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أولت وزارة الاقتصاد والتجارة اهتمامًا خاصًا بالانضمام إلى المعاهدات الدولية والمنظمة العالمية للملكية الفكرية، وقد تم الانضمام إلى وثيقة استوكهولم لعام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المعدلة لاتفاقية باريس لحماية الملكية الصناعية في </w:t>
      </w:r>
      <w:r>
        <w:rPr>
          <w:rStyle w:val="None"/>
          <w:rFonts w:ascii="Times New Roman" w:hAnsi="Times New Roman"/>
          <w:sz w:val="24"/>
          <w:szCs w:val="24"/>
          <w:rtl/>
          <w:lang w:val="ar-SA"/>
        </w:rPr>
        <w:t xml:space="preserve">13 </w:t>
      </w:r>
      <w:r>
        <w:rPr>
          <w:rStyle w:val="None"/>
          <w:rFonts w:cs="Times New Roman"/>
          <w:sz w:val="24"/>
          <w:szCs w:val="24"/>
          <w:rtl/>
          <w:lang w:val="ar-SA"/>
        </w:rPr>
        <w:t xml:space="preserve">ديسمبر </w:t>
      </w:r>
      <w:r>
        <w:rPr>
          <w:rStyle w:val="None"/>
          <w:rFonts w:ascii="Times New Roman" w:hAnsi="Times New Roman"/>
          <w:sz w:val="24"/>
          <w:szCs w:val="24"/>
          <w:rtl/>
          <w:lang w:val="ar-SA"/>
        </w:rPr>
        <w:t>2002</w:t>
      </w:r>
      <w:r>
        <w:rPr>
          <w:rStyle w:val="None"/>
          <w:rFonts w:cs="Times New Roman"/>
          <w:sz w:val="24"/>
          <w:szCs w:val="24"/>
          <w:rtl/>
          <w:lang w:val="ar-SA"/>
        </w:rPr>
        <w:t>؛ ممَّا مهد الطريق للانضمام إلى بقية المعاهدات،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الوايبو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1967</w:t>
      </w:r>
      <w:r>
        <w:rPr>
          <w:rStyle w:val="None"/>
          <w:rFonts w:cs="Times New Roman"/>
          <w:sz w:val="24"/>
          <w:szCs w:val="24"/>
          <w:rtl/>
          <w:lang w:val="ar-SA"/>
        </w:rPr>
        <w:t xml:space="preserve">، التي تم الانضمام إليها في </w:t>
      </w:r>
      <w:r>
        <w:rPr>
          <w:rStyle w:val="None"/>
          <w:rFonts w:ascii="Times New Roman" w:hAnsi="Times New Roman"/>
          <w:sz w:val="24"/>
          <w:szCs w:val="24"/>
          <w:rtl/>
          <w:lang w:val="ar-SA"/>
        </w:rPr>
        <w:t xml:space="preserve">18 </w:t>
      </w:r>
      <w:r>
        <w:rPr>
          <w:rStyle w:val="None"/>
          <w:rFonts w:cs="Times New Roman"/>
          <w:sz w:val="24"/>
          <w:szCs w:val="24"/>
          <w:rtl/>
          <w:lang w:val="ar-SA"/>
        </w:rPr>
        <w:t xml:space="preserve">نوفمبر </w:t>
      </w:r>
      <w:r>
        <w:rPr>
          <w:rStyle w:val="None"/>
          <w:rFonts w:ascii="Times New Roman" w:hAnsi="Times New Roman"/>
          <w:sz w:val="24"/>
          <w:szCs w:val="24"/>
          <w:rtl/>
          <w:lang w:val="ar-SA"/>
        </w:rPr>
        <w:t>2004.</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8"/>
      </w:r>
      <w:r>
        <w:rPr>
          <w:rStyle w:val="None"/>
          <w:rFonts w:ascii="Times New Roman" w:hAnsi="Times New Roman"/>
          <w:sz w:val="24"/>
          <w:szCs w:val="24"/>
          <w:vertAlign w:val="superscript"/>
          <w:rtl/>
          <w:lang w:val="ar-SA"/>
        </w:rPr>
        <w:t>)</w:t>
      </w:r>
    </w:p>
    <w:p w14:paraId="20333B8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انضمت سوريا إلى المعاهدات الدولية المتعلقة بالتسجيل الدولي،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التعاون بشأن البراءات لعام </w:t>
      </w:r>
      <w:r>
        <w:rPr>
          <w:rStyle w:val="None"/>
          <w:rFonts w:ascii="Times New Roman" w:hAnsi="Times New Roman"/>
          <w:sz w:val="24"/>
          <w:szCs w:val="24"/>
          <w:rtl/>
          <w:lang w:val="ar-SA"/>
        </w:rPr>
        <w:t xml:space="preserve">1970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26 </w:t>
      </w:r>
      <w:r>
        <w:rPr>
          <w:rStyle w:val="None"/>
          <w:rFonts w:cs="Times New Roman"/>
          <w:sz w:val="24"/>
          <w:szCs w:val="24"/>
          <w:rtl/>
          <w:lang w:val="ar-SA"/>
        </w:rPr>
        <w:t xml:space="preserve">يونيو </w:t>
      </w:r>
      <w:r>
        <w:rPr>
          <w:rStyle w:val="None"/>
          <w:rFonts w:ascii="Times New Roman" w:hAnsi="Times New Roman"/>
          <w:sz w:val="24"/>
          <w:szCs w:val="24"/>
          <w:rtl/>
          <w:lang w:val="ar-SA"/>
        </w:rPr>
        <w:t>2003</w:t>
      </w:r>
      <w:r>
        <w:rPr>
          <w:rStyle w:val="None"/>
          <w:rFonts w:cs="Times New Roman"/>
          <w:sz w:val="24"/>
          <w:szCs w:val="24"/>
          <w:rtl/>
          <w:lang w:val="ar-SA"/>
        </w:rPr>
        <w:t xml:space="preserve">، تتيح هذه المعاهدة للمخترعين السوريين تسجيل طلباتهم عالميًا، مع تخفيضات كبيرة تصل إلى </w:t>
      </w:r>
      <w:r>
        <w:rPr>
          <w:rStyle w:val="None"/>
          <w:rFonts w:ascii="Times New Roman" w:hAnsi="Times New Roman"/>
          <w:sz w:val="24"/>
          <w:szCs w:val="24"/>
          <w:rtl/>
          <w:lang w:val="ar-SA"/>
        </w:rPr>
        <w:t xml:space="preserve">90% </w:t>
      </w:r>
      <w:r>
        <w:rPr>
          <w:rStyle w:val="None"/>
          <w:rFonts w:cs="Times New Roman"/>
          <w:sz w:val="24"/>
          <w:szCs w:val="24"/>
          <w:rtl/>
          <w:lang w:val="ar-SA"/>
        </w:rPr>
        <w:t xml:space="preserve">على الرسوم المعتمدة، وهو تخفيض ينطبق على جميع مواطني الدول النامية يسهم الانضمام إلى هذه المعاهدة في زيادة الطلبات الدولية الراغبة في حماية حقوقها في سوريا؛ ممَّا ينعكس إيجابيًا على المستوى المحلي، من خلال جذب المزيد من الاستثمارات الخارجية، انضمت سوريا إلى اتفاق مدريد بشأن التسجيل الدولي للعلامات لعام </w:t>
      </w:r>
      <w:r>
        <w:rPr>
          <w:rStyle w:val="None"/>
          <w:rFonts w:ascii="Times New Roman" w:hAnsi="Times New Roman"/>
          <w:sz w:val="24"/>
          <w:szCs w:val="24"/>
          <w:rtl/>
          <w:lang w:val="ar-SA"/>
        </w:rPr>
        <w:t xml:space="preserve">1891 </w:t>
      </w:r>
      <w:r>
        <w:rPr>
          <w:rStyle w:val="None"/>
          <w:rFonts w:cs="Times New Roman"/>
          <w:sz w:val="24"/>
          <w:szCs w:val="24"/>
          <w:rtl/>
          <w:lang w:val="ar-SA"/>
        </w:rPr>
        <w:t xml:space="preserve">واتفاق مدريد لعام </w:t>
      </w:r>
      <w:r>
        <w:rPr>
          <w:rStyle w:val="None"/>
          <w:rFonts w:ascii="Times New Roman" w:hAnsi="Times New Roman"/>
          <w:sz w:val="24"/>
          <w:szCs w:val="24"/>
          <w:rtl/>
          <w:lang w:val="ar-SA"/>
        </w:rPr>
        <w:t xml:space="preserve">1989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أغسطس </w:t>
      </w:r>
      <w:r>
        <w:rPr>
          <w:rStyle w:val="None"/>
          <w:rFonts w:ascii="Times New Roman" w:hAnsi="Times New Roman"/>
          <w:sz w:val="24"/>
          <w:szCs w:val="24"/>
          <w:rtl/>
          <w:lang w:val="ar-SA"/>
        </w:rPr>
        <w:t>2004</w:t>
      </w:r>
      <w:r>
        <w:rPr>
          <w:rStyle w:val="None"/>
          <w:rFonts w:cs="Times New Roman"/>
          <w:sz w:val="24"/>
          <w:szCs w:val="24"/>
          <w:rtl/>
          <w:lang w:val="ar-SA"/>
        </w:rPr>
        <w:t xml:space="preserve">، يتيح هذا الانضمام للمواطنين السوريين إمكانية تسجيل علاماتهم لدى الدول الأعضاء برسوم أقل، مقارنةً بتقديم طلبات متعددة لكل دولة؛ حيث يتطلب ذلك دفع رسوم فحص وتسجيل في كل بلد، كما يسهل الانضمام إلى الاتفاقية عملية تسجيل الطلبات الواردة من الخارج في سوريا عبر المكتب الدولي في منظمة الوايبو؛ ممَّا يحقق عائدات تسجيل للبلاد، ويعزّز فرص الاستثمارات الأجنبية وفي </w:t>
      </w:r>
      <w:r>
        <w:rPr>
          <w:rStyle w:val="None"/>
          <w:rFonts w:ascii="Times New Roman" w:hAnsi="Times New Roman"/>
          <w:sz w:val="24"/>
          <w:szCs w:val="24"/>
          <w:rtl/>
          <w:lang w:val="ar-SA"/>
        </w:rPr>
        <w:t xml:space="preserve">7 </w:t>
      </w:r>
      <w:r>
        <w:rPr>
          <w:rStyle w:val="None"/>
          <w:rFonts w:cs="Times New Roman"/>
          <w:sz w:val="24"/>
          <w:szCs w:val="24"/>
          <w:rtl/>
          <w:lang w:val="ar-SA"/>
        </w:rPr>
        <w:t xml:space="preserve">فبراير </w:t>
      </w:r>
      <w:r>
        <w:rPr>
          <w:rStyle w:val="None"/>
          <w:rFonts w:ascii="Times New Roman" w:hAnsi="Times New Roman"/>
          <w:sz w:val="24"/>
          <w:szCs w:val="24"/>
          <w:rtl/>
          <w:lang w:val="ar-SA"/>
        </w:rPr>
        <w:t xml:space="preserve">2008 </w:t>
      </w:r>
      <w:r>
        <w:rPr>
          <w:rStyle w:val="None"/>
          <w:rFonts w:cs="Times New Roman"/>
          <w:sz w:val="24"/>
          <w:szCs w:val="24"/>
          <w:rtl/>
          <w:lang w:val="ar-SA"/>
        </w:rPr>
        <w:t xml:space="preserve">انضمت سوريا أيضًا إلى اتفاق لاهاي </w:t>
      </w:r>
      <w:r>
        <w:rPr>
          <w:rStyle w:val="None"/>
          <w:rFonts w:ascii="Times New Roman" w:hAnsi="Times New Roman"/>
          <w:sz w:val="24"/>
          <w:szCs w:val="24"/>
          <w:rtl/>
          <w:lang w:val="ar-SA"/>
        </w:rPr>
        <w:t>(</w:t>
      </w:r>
      <w:r>
        <w:rPr>
          <w:rStyle w:val="None"/>
          <w:rFonts w:cs="Times New Roman"/>
          <w:sz w:val="24"/>
          <w:szCs w:val="24"/>
          <w:rtl/>
          <w:lang w:val="ar-SA"/>
        </w:rPr>
        <w:t>جنيف</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بشأن التسجيل الدولي للرسوم والنماذج الصناعية لعام </w:t>
      </w:r>
      <w:r>
        <w:rPr>
          <w:rStyle w:val="None"/>
          <w:rFonts w:ascii="Times New Roman" w:hAnsi="Times New Roman"/>
          <w:sz w:val="24"/>
          <w:szCs w:val="24"/>
          <w:rtl/>
          <w:lang w:val="ar-SA"/>
        </w:rPr>
        <w:t>1999</w:t>
      </w:r>
      <w:r>
        <w:rPr>
          <w:rStyle w:val="None"/>
          <w:rFonts w:cs="Times New Roman"/>
          <w:sz w:val="24"/>
          <w:szCs w:val="24"/>
          <w:rtl/>
          <w:lang w:val="ar-SA"/>
        </w:rPr>
        <w:t xml:space="preserve">، وقد صدر القانون رقم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2007 </w:t>
      </w:r>
      <w:r>
        <w:rPr>
          <w:rStyle w:val="None"/>
          <w:rFonts w:cs="Times New Roman"/>
          <w:sz w:val="24"/>
          <w:szCs w:val="24"/>
          <w:rtl/>
          <w:lang w:val="ar-SA"/>
        </w:rPr>
        <w:t>المتعلق بحماية العلامات الفارقة، والرسوم والنماذج الصناعية، والمؤشرات الجغرافية، والمنافسة غير المشروعة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9"/>
      </w:r>
      <w:r>
        <w:rPr>
          <w:rStyle w:val="None"/>
          <w:rFonts w:ascii="Times New Roman" w:hAnsi="Times New Roman"/>
          <w:sz w:val="24"/>
          <w:szCs w:val="24"/>
          <w:vertAlign w:val="superscript"/>
          <w:rtl/>
          <w:lang w:val="ar-SA"/>
        </w:rPr>
        <w:t>)</w:t>
      </w:r>
    </w:p>
    <w:p w14:paraId="6880230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فقد صدر أول قانون لحماية حق المؤلف في سوريا بتاريخ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فبراير عام </w:t>
      </w:r>
      <w:r>
        <w:rPr>
          <w:rStyle w:val="None"/>
          <w:rFonts w:ascii="Times New Roman" w:hAnsi="Times New Roman"/>
          <w:sz w:val="24"/>
          <w:szCs w:val="24"/>
          <w:rtl/>
          <w:lang w:val="ar-SA"/>
        </w:rPr>
        <w:t xml:space="preserve">2001 </w:t>
      </w:r>
      <w:r>
        <w:rPr>
          <w:rStyle w:val="None"/>
          <w:rFonts w:cs="Times New Roman"/>
          <w:sz w:val="24"/>
          <w:szCs w:val="24"/>
          <w:rtl/>
          <w:lang w:val="ar-SA"/>
        </w:rPr>
        <w:t xml:space="preserve">رقم </w:t>
      </w:r>
      <w:r>
        <w:rPr>
          <w:rStyle w:val="None"/>
          <w:rFonts w:ascii="Times New Roman" w:hAnsi="Times New Roman"/>
          <w:sz w:val="24"/>
          <w:szCs w:val="24"/>
          <w:rtl/>
          <w:lang w:val="ar-SA"/>
        </w:rPr>
        <w:t>12</w:t>
      </w:r>
      <w:r>
        <w:rPr>
          <w:rStyle w:val="None"/>
          <w:rFonts w:cs="Times New Roman"/>
          <w:sz w:val="24"/>
          <w:szCs w:val="24"/>
          <w:rtl/>
          <w:lang w:val="ar-SA"/>
        </w:rPr>
        <w:t xml:space="preserve">، ولكن هذا القانون لم يواكب </w:t>
      </w:r>
      <w:r>
        <w:rPr>
          <w:rStyle w:val="None"/>
          <w:rFonts w:ascii="Times New Roman" w:hAnsi="Times New Roman"/>
          <w:sz w:val="24"/>
          <w:szCs w:val="24"/>
          <w:rtl/>
          <w:lang w:val="ar-SA"/>
        </w:rPr>
        <w:t>-</w:t>
      </w:r>
      <w:r>
        <w:rPr>
          <w:rStyle w:val="None"/>
          <w:rFonts w:cs="Times New Roman"/>
          <w:sz w:val="24"/>
          <w:szCs w:val="24"/>
          <w:rtl/>
          <w:lang w:val="ar-SA"/>
        </w:rPr>
        <w:t>إلى حدٍّ ما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الإبداعات والابتكارات المتطوِّرة وحاجة الإبداع الفكري المتجدد إلى قواعد متطوِّرة لحماية الإبداعات ومعاقبة مَن يتعدى عليها، الأمر الذي دفع المشرع السوري إلى تعديل القانون رقم </w:t>
      </w:r>
      <w:r>
        <w:rPr>
          <w:rStyle w:val="None"/>
          <w:rFonts w:ascii="Times New Roman" w:hAnsi="Times New Roman"/>
          <w:sz w:val="24"/>
          <w:szCs w:val="24"/>
          <w:rtl/>
          <w:lang w:val="ar-SA"/>
        </w:rPr>
        <w:t xml:space="preserve">12 </w:t>
      </w:r>
      <w:r>
        <w:rPr>
          <w:rStyle w:val="None"/>
          <w:rFonts w:cs="Times New Roman"/>
          <w:sz w:val="24"/>
          <w:szCs w:val="24"/>
          <w:rtl/>
          <w:lang w:val="ar-SA"/>
        </w:rPr>
        <w:t xml:space="preserve">بقانون جديد لحماية حقوق المؤلف والحقوق المجاورة، وتمثل ذلك بالمرسوم التشريعي رقم </w:t>
      </w:r>
      <w:r>
        <w:rPr>
          <w:rStyle w:val="None"/>
          <w:rFonts w:ascii="Times New Roman" w:hAnsi="Times New Roman"/>
          <w:sz w:val="24"/>
          <w:szCs w:val="24"/>
          <w:rtl/>
          <w:lang w:val="ar-SA"/>
        </w:rPr>
        <w:t xml:space="preserve">62 </w:t>
      </w:r>
      <w:r>
        <w:rPr>
          <w:rStyle w:val="None"/>
          <w:rFonts w:cs="Times New Roman"/>
          <w:sz w:val="24"/>
          <w:szCs w:val="24"/>
          <w:rtl/>
          <w:lang w:val="ar-SA"/>
        </w:rPr>
        <w:t xml:space="preserve">عام </w:t>
      </w:r>
      <w:r>
        <w:rPr>
          <w:rStyle w:val="None"/>
          <w:rFonts w:ascii="Times New Roman" w:hAnsi="Times New Roman"/>
          <w:sz w:val="24"/>
          <w:szCs w:val="24"/>
          <w:rtl/>
          <w:lang w:val="ar-SA"/>
        </w:rPr>
        <w:t xml:space="preserve">2013.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0"/>
      </w:r>
      <w:r>
        <w:rPr>
          <w:rStyle w:val="None"/>
          <w:rFonts w:ascii="Times New Roman" w:hAnsi="Times New Roman"/>
          <w:sz w:val="24"/>
          <w:szCs w:val="24"/>
          <w:vertAlign w:val="superscript"/>
          <w:rtl/>
          <w:lang w:val="ar-SA"/>
        </w:rPr>
        <w:t>)</w:t>
      </w:r>
    </w:p>
    <w:p w14:paraId="16CCB41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 xml:space="preserve">1947 </w:t>
      </w:r>
      <w:r>
        <w:rPr>
          <w:rStyle w:val="None"/>
          <w:rFonts w:cs="Times New Roman"/>
          <w:sz w:val="24"/>
          <w:szCs w:val="24"/>
          <w:rtl/>
          <w:lang w:val="ar-SA"/>
        </w:rPr>
        <w:t xml:space="preserve">ناقشت اللجنة القانونية الدائمة التابعة لجامعة الدول العربية في اجتماعاتها توحيد القوانين المتعلقة بحماية حقوق المؤلف في الدول العربية، وقد وافق مجلس جامعة الدول العربية على مشروع قانون أعدته اللجنة لحماية حقوق المؤلف، وتم إصدار القرار في </w:t>
      </w:r>
      <w:r>
        <w:rPr>
          <w:rStyle w:val="None"/>
          <w:rFonts w:ascii="Times New Roman" w:hAnsi="Times New Roman"/>
          <w:sz w:val="24"/>
          <w:szCs w:val="24"/>
          <w:rtl/>
          <w:lang w:val="ar-SA"/>
        </w:rPr>
        <w:t xml:space="preserve">17 </w:t>
      </w:r>
      <w:r>
        <w:rPr>
          <w:rStyle w:val="None"/>
          <w:rFonts w:cs="Times New Roman"/>
          <w:sz w:val="24"/>
          <w:szCs w:val="24"/>
          <w:rtl/>
          <w:lang w:val="ar-SA"/>
        </w:rPr>
        <w:t xml:space="preserve">فبراير </w:t>
      </w:r>
      <w:r>
        <w:rPr>
          <w:rStyle w:val="None"/>
          <w:rFonts w:ascii="Times New Roman" w:hAnsi="Times New Roman"/>
          <w:sz w:val="24"/>
          <w:szCs w:val="24"/>
          <w:rtl/>
          <w:lang w:val="ar-SA"/>
        </w:rPr>
        <w:t>1948</w:t>
      </w:r>
      <w:r>
        <w:rPr>
          <w:rStyle w:val="None"/>
          <w:rFonts w:cs="Times New Roman"/>
          <w:sz w:val="24"/>
          <w:szCs w:val="24"/>
          <w:rtl/>
          <w:lang w:val="ar-SA"/>
        </w:rPr>
        <w:t xml:space="preserve">؛ حيث أوصى الدول العربية بإصدار تشريعات تتماشى مع هذا المشروع الذي يتضمن </w:t>
      </w:r>
      <w:r>
        <w:rPr>
          <w:rStyle w:val="None"/>
          <w:rFonts w:ascii="Times New Roman" w:hAnsi="Times New Roman"/>
          <w:sz w:val="24"/>
          <w:szCs w:val="24"/>
          <w:rtl/>
          <w:lang w:val="ar-SA"/>
        </w:rPr>
        <w:t xml:space="preserve">59 </w:t>
      </w:r>
      <w:r>
        <w:rPr>
          <w:rStyle w:val="None"/>
          <w:rFonts w:cs="Times New Roman"/>
          <w:sz w:val="24"/>
          <w:szCs w:val="24"/>
          <w:rtl/>
          <w:lang w:val="ar-SA"/>
        </w:rPr>
        <w:t xml:space="preserve">مادةً، وفقًا للمادة الأولى يتمتع بالحماية </w:t>
      </w:r>
      <w:r>
        <w:rPr>
          <w:rStyle w:val="None"/>
          <w:rFonts w:ascii="Times New Roman" w:hAnsi="Times New Roman"/>
          <w:sz w:val="24"/>
          <w:szCs w:val="24"/>
          <w:rtl/>
          <w:lang w:val="ar-SA"/>
        </w:rPr>
        <w:t>"</w:t>
      </w:r>
      <w:r>
        <w:rPr>
          <w:rStyle w:val="None"/>
          <w:rFonts w:cs="Times New Roman"/>
          <w:sz w:val="24"/>
          <w:szCs w:val="24"/>
          <w:rtl/>
          <w:lang w:val="ar-SA"/>
        </w:rPr>
        <w:t>مؤلفو المصنفات المبتكرة في الآداب والفنون والعلوم، بغض النظر عن نوع المصنف أو الغرض من تصنيفه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1"/>
      </w:r>
      <w:r>
        <w:rPr>
          <w:rStyle w:val="None"/>
          <w:rFonts w:ascii="Times New Roman" w:hAnsi="Times New Roman"/>
          <w:sz w:val="24"/>
          <w:szCs w:val="24"/>
          <w:vertAlign w:val="superscript"/>
          <w:rtl/>
          <w:lang w:val="ar-SA"/>
        </w:rPr>
        <w:t>)</w:t>
      </w:r>
    </w:p>
    <w:p w14:paraId="4625831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عقد مؤتمر وزراء الثقافة العرب في بغداد من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أكتوبر إلى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نوفمبر </w:t>
      </w:r>
      <w:r>
        <w:rPr>
          <w:rStyle w:val="None"/>
          <w:rFonts w:ascii="Times New Roman" w:hAnsi="Times New Roman"/>
          <w:sz w:val="24"/>
          <w:szCs w:val="24"/>
          <w:rtl/>
          <w:lang w:val="ar-SA"/>
        </w:rPr>
        <w:t>1981</w:t>
      </w:r>
      <w:r>
        <w:rPr>
          <w:rStyle w:val="None"/>
          <w:rFonts w:cs="Times New Roman"/>
          <w:sz w:val="24"/>
          <w:szCs w:val="24"/>
          <w:rtl/>
          <w:lang w:val="ar-SA"/>
        </w:rPr>
        <w:t>؛ حيث تم توقيع اتفاقية لحماية حقوق المؤلف من قبل جميع الدول العربية باستثناء مصر ولبنان، إنَّ وضع تشريع يتعلق بحق المؤلف يُعَدُّ أمرًا بالغ الأهمية؛ حيث يرتبط بعدة اعتبارات قد تكون متعارضةً، ويتوجب على التشريع التوفيق بينها، وبما أنَّ التشريع يتأثر بالظروف السياسية، والاقتصادية، والاجتماعية لكل دولة، ومع الحاجة الملحة للمؤلفين إلى تشريعات وطنية لحماية حقوقهم، كان من الطبيعي أنْ تسعى الدول العربية إلى إصدار تشريعات في هذا المجال؛ ممَّا يسهم في خلق بيئة مناسبة لنشر المصنفات الأدبية والفنية والعلمية، ويتيح للمؤلفين الحصول على عائد عادل من أعمالهم؛ ممَّا يساعدهم على التركيز على الإبداع وتحقيق المكانة الأدبية التي يستحقونها، ومع ذلك لا تزال أكثر من ثلث الدول النامية في العالم تفتقر إلى تشريعات لحماية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2"/>
      </w:r>
      <w:r>
        <w:rPr>
          <w:rStyle w:val="None"/>
          <w:rFonts w:ascii="Times New Roman" w:hAnsi="Times New Roman"/>
          <w:sz w:val="24"/>
          <w:szCs w:val="24"/>
          <w:vertAlign w:val="superscript"/>
          <w:rtl/>
          <w:lang w:val="ar-SA"/>
        </w:rPr>
        <w:t>)</w:t>
      </w:r>
    </w:p>
    <w:p w14:paraId="2822CDB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في السياق ذاته</w:t>
      </w:r>
      <w:r>
        <w:rPr>
          <w:rStyle w:val="None"/>
          <w:rFonts w:ascii="Times New Roman" w:hAnsi="Times New Roman"/>
          <w:sz w:val="24"/>
          <w:szCs w:val="24"/>
          <w:rtl/>
          <w:lang w:val="ar-SA"/>
        </w:rPr>
        <w:t xml:space="preserve">: </w:t>
      </w:r>
      <w:r>
        <w:rPr>
          <w:rStyle w:val="None"/>
          <w:rFonts w:cs="Times New Roman"/>
          <w:sz w:val="24"/>
          <w:szCs w:val="24"/>
          <w:rtl/>
          <w:lang w:val="ar-SA"/>
        </w:rPr>
        <w:t>أبرمت الدول العربية المعاهدة الثقافية التي وافق عليها مجلس جامعة الدول العربية في ٢٧ نوفمبر ١٩٤٥؛ حيث تنص المادة الثامنة على التزام الدول بوضع تشريعات لحماية الملكية الأدبية والعلمية والفنية لما يُنشر في كل دولة من دول الجامعة، كما وافق المجلس في مايو ١٩٦٤ على دستور المنظمة العربية للتربية والثقافة والعلوم، وأقر ميثاق الوحدة الثقافية العربية الذي ينص في مادته ٢١ على ضرورة أنْ تعمل الدول الأعضاء على وضع تشريعات لحماية الملكية الأدبية والعلمية والفنية في كل دولة من دول الجامعة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3"/>
      </w:r>
      <w:r>
        <w:rPr>
          <w:rStyle w:val="None"/>
          <w:rFonts w:ascii="Times New Roman" w:hAnsi="Times New Roman"/>
          <w:sz w:val="24"/>
          <w:szCs w:val="24"/>
          <w:vertAlign w:val="superscript"/>
          <w:rtl/>
          <w:lang w:val="ar-SA"/>
        </w:rPr>
        <w:t>)</w:t>
      </w:r>
    </w:p>
    <w:p w14:paraId="5A39CBF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 xml:space="preserve">في المملكة العربية السعودية وتحديدًا في عام ١٩٣٩م صدر القانون الأول للعلامات التجارية، وهو خطوة مبكرة لضمان حقوق المبدعين وفي ١٩٨٢م، كما انضمت السعودية إلى </w:t>
      </w:r>
      <w:r>
        <w:rPr>
          <w:rStyle w:val="None"/>
          <w:rFonts w:ascii="Times New Roman" w:hAnsi="Times New Roman"/>
          <w:sz w:val="24"/>
          <w:szCs w:val="24"/>
        </w:rPr>
        <w:t>WIPO</w:t>
      </w:r>
      <w:r>
        <w:rPr>
          <w:rStyle w:val="None"/>
          <w:rFonts w:cs="Times New Roman"/>
          <w:sz w:val="24"/>
          <w:szCs w:val="24"/>
          <w:rtl/>
          <w:lang w:val="ar-SA"/>
        </w:rPr>
        <w:t>؛ ممَّا عزّز من مكانتها دوليًا وفي عام ٢٠١٨ أسست الهيئة السعودية للملكية الفكرية لتعزيز الحماية والتنظيم</w:t>
      </w:r>
      <w:r>
        <w:rPr>
          <w:rStyle w:val="None"/>
          <w:rFonts w:ascii="Times New Roman" w:hAnsi="Times New Roman"/>
          <w:sz w:val="24"/>
          <w:szCs w:val="24"/>
          <w:rtl/>
          <w:lang w:val="ar-SA"/>
        </w:rPr>
        <w:t>.</w:t>
      </w:r>
    </w:p>
    <w:p w14:paraId="2F2775B1" w14:textId="77777777" w:rsidR="00454428" w:rsidRPr="00CC3E5F"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17DAE005" w14:textId="77777777" w:rsidR="00454428" w:rsidRDefault="00000000" w:rsidP="00C72BA8">
      <w:pPr>
        <w:pStyle w:val="a4"/>
        <w:rPr>
          <w:rStyle w:val="None"/>
          <w:b w:val="0"/>
          <w:bCs w:val="0"/>
          <w:lang w:val="ar-SA"/>
        </w:rPr>
      </w:pPr>
      <w:bookmarkStart w:id="126" w:name="_Toc227251094"/>
      <w:bookmarkStart w:id="127" w:name="_Toc227251404"/>
      <w:r>
        <w:rPr>
          <w:rStyle w:val="None"/>
          <w:rFonts w:ascii="Arial Unicode MS" w:eastAsia="Arial Unicode MS" w:hAnsi="Arial Unicode MS" w:hint="cs"/>
          <w:rtl/>
          <w:lang w:val="ar-SA"/>
        </w:rPr>
        <w:lastRenderedPageBreak/>
        <w:t>المطلب الثاني</w:t>
      </w:r>
      <w:bookmarkEnd w:id="126"/>
      <w:bookmarkEnd w:id="127"/>
    </w:p>
    <w:p w14:paraId="42D0D5B1" w14:textId="77777777" w:rsidR="00454428" w:rsidRDefault="00000000" w:rsidP="00C72BA8">
      <w:pPr>
        <w:pStyle w:val="a4"/>
        <w:rPr>
          <w:rStyle w:val="None"/>
          <w:b w:val="0"/>
          <w:bCs w:val="0"/>
          <w:lang w:val="ar-SA"/>
        </w:rPr>
      </w:pPr>
      <w:bookmarkStart w:id="128" w:name="_Hlk201742915"/>
      <w:bookmarkStart w:id="129" w:name="_Toc227251095"/>
      <w:bookmarkStart w:id="130" w:name="_Toc227251405"/>
      <w:r>
        <w:rPr>
          <w:rStyle w:val="None"/>
          <w:rFonts w:ascii="Arial Unicode MS" w:eastAsia="Arial Unicode MS" w:hAnsi="Arial Unicode MS" w:hint="cs"/>
          <w:rtl/>
          <w:lang w:val="ar-SA"/>
        </w:rPr>
        <w:t>تطوُّر الأطر القانونية والمؤسسية لحماية حقوق الملكية الفكرية</w:t>
      </w:r>
      <w:bookmarkEnd w:id="128"/>
      <w:bookmarkEnd w:id="129"/>
      <w:bookmarkEnd w:id="130"/>
    </w:p>
    <w:p w14:paraId="60A2B1C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أصبحت حقوق الملكية الفكرية من بين الركائز الأساسية التي تعتمد عليها الدول في بناء اقتصادات المعرفة</w:t>
      </w:r>
      <w:r>
        <w:rPr>
          <w:rStyle w:val="None"/>
          <w:rFonts w:ascii="Times New Roman" w:hAnsi="Times New Roman"/>
          <w:sz w:val="24"/>
          <w:szCs w:val="24"/>
        </w:rPr>
        <w:t xml:space="preserve"> </w:t>
      </w:r>
      <w:r>
        <w:rPr>
          <w:rStyle w:val="None"/>
          <w:rFonts w:cs="Times New Roman"/>
          <w:sz w:val="24"/>
          <w:szCs w:val="24"/>
          <w:rtl/>
          <w:lang w:val="ar-SA"/>
        </w:rPr>
        <w:t>والابتكار؛ حيث تُمثل حافزًا للمبدعين والمخترعين، وتشكل ضمانةً لحماية أعمالهم من الاستغلال غير المشروع، ومع هذا التحول العالمي، برزت الحاجة إلى تطوير أطر قانونية ومؤسسية متكاملة تواكب التغيرات التكنولوجية والتجارية، وتوفر بيئة حاضنة لحماية الحقوق الفكرية، ويتناول هذا المطلب تطوُّر هذه الأطر من خلال فرعين رئيسيين</w:t>
      </w:r>
      <w:r>
        <w:rPr>
          <w:rStyle w:val="None"/>
          <w:rFonts w:ascii="Times New Roman" w:hAnsi="Times New Roman"/>
          <w:sz w:val="24"/>
          <w:szCs w:val="24"/>
          <w:rtl/>
          <w:lang w:val="ar-SA"/>
        </w:rPr>
        <w:t>:</w:t>
      </w:r>
    </w:p>
    <w:p w14:paraId="5C8B0E43" w14:textId="77777777" w:rsidR="00454428" w:rsidRDefault="00000000">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التشريعية لحماية حقوق الملكية الفكرية</w:t>
      </w:r>
      <w:r>
        <w:rPr>
          <w:rStyle w:val="None"/>
          <w:rFonts w:ascii="Times New Roman" w:hAnsi="Times New Roman"/>
          <w:sz w:val="24"/>
          <w:szCs w:val="24"/>
          <w:rtl/>
          <w:lang w:val="ar-SA"/>
        </w:rPr>
        <w:t>.</w:t>
      </w:r>
    </w:p>
    <w:p w14:paraId="5DAEFA8D" w14:textId="77777777" w:rsidR="00454428" w:rsidRDefault="00000000">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دور المؤسسات الوطنية والدولية في دعم الحماية</w:t>
      </w:r>
      <w:r>
        <w:rPr>
          <w:rStyle w:val="None"/>
          <w:rFonts w:ascii="Times New Roman" w:hAnsi="Times New Roman"/>
          <w:sz w:val="24"/>
          <w:szCs w:val="24"/>
          <w:rtl/>
          <w:lang w:val="ar-SA"/>
        </w:rPr>
        <w:t>.</w:t>
      </w:r>
    </w:p>
    <w:p w14:paraId="1CCEE7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89D0272"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A739F83"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0BB451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3B56A820"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67C97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4CD45CB"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1FB685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4DECB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324E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F037397"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9551CA" w14:textId="77777777" w:rsidR="00CC3E5F" w:rsidRDefault="00CC3E5F" w:rsidP="00C72BA8">
      <w:pPr>
        <w:pStyle w:val="Default"/>
        <w:spacing w:before="120" w:after="120" w:line="360" w:lineRule="auto"/>
        <w:rPr>
          <w:rStyle w:val="None"/>
          <w:rFonts w:ascii="Times New Roman" w:eastAsia="Times New Roman" w:hAnsi="Times New Roman" w:cs="Times New Roman"/>
        </w:rPr>
      </w:pPr>
    </w:p>
    <w:p w14:paraId="327633E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BB23321"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E606FBF"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4ABEED7" w14:textId="77777777" w:rsidR="00454428" w:rsidRDefault="00454428" w:rsidP="00C72BA8">
      <w:pPr>
        <w:pStyle w:val="Default"/>
        <w:spacing w:before="120" w:after="120" w:line="360" w:lineRule="auto"/>
        <w:rPr>
          <w:rStyle w:val="None"/>
          <w:rFonts w:ascii="Times New Roman" w:eastAsia="Times New Roman" w:hAnsi="Times New Roman" w:cs="Times New Roman"/>
          <w:lang w:val="ar-SA"/>
        </w:rPr>
      </w:pPr>
    </w:p>
    <w:p w14:paraId="22E2B04E"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B93C954" w14:textId="77777777" w:rsidR="0048398C" w:rsidRDefault="0048398C" w:rsidP="00C72BA8">
      <w:pPr>
        <w:pStyle w:val="a4"/>
        <w:rPr>
          <w:rStyle w:val="None"/>
          <w:rFonts w:ascii="Arial Unicode MS" w:eastAsia="Arial Unicode MS" w:hAnsi="Arial Unicode MS"/>
        </w:rPr>
      </w:pPr>
      <w:bookmarkStart w:id="131" w:name="_Hlk201758121"/>
    </w:p>
    <w:p w14:paraId="6D925CBA" w14:textId="630395B9" w:rsidR="00454428" w:rsidRDefault="00000000" w:rsidP="00C72BA8">
      <w:pPr>
        <w:pStyle w:val="a4"/>
        <w:rPr>
          <w:rStyle w:val="None"/>
          <w:b w:val="0"/>
          <w:bCs w:val="0"/>
          <w:lang w:val="ar-SA"/>
        </w:rPr>
      </w:pPr>
      <w:bookmarkStart w:id="132" w:name="_Toc227251096"/>
      <w:bookmarkStart w:id="133" w:name="_Toc227251406"/>
      <w:r>
        <w:rPr>
          <w:rStyle w:val="None"/>
          <w:rFonts w:ascii="Arial Unicode MS" w:eastAsia="Arial Unicode MS" w:hAnsi="Arial Unicode MS" w:hint="cs"/>
          <w:rtl/>
          <w:lang w:val="ar-SA"/>
        </w:rPr>
        <w:lastRenderedPageBreak/>
        <w:t>الفرع الأول</w:t>
      </w:r>
      <w:bookmarkEnd w:id="132"/>
      <w:bookmarkEnd w:id="133"/>
    </w:p>
    <w:p w14:paraId="22FC34D9" w14:textId="77777777" w:rsidR="00454428" w:rsidRDefault="00000000" w:rsidP="00C72BA8">
      <w:pPr>
        <w:pStyle w:val="a4"/>
        <w:rPr>
          <w:rStyle w:val="None"/>
          <w:b w:val="0"/>
          <w:bCs w:val="0"/>
          <w:lang w:val="ar-SA"/>
        </w:rPr>
      </w:pPr>
      <w:bookmarkStart w:id="134" w:name="_Toc227251097"/>
      <w:bookmarkStart w:id="135" w:name="_Toc227251407"/>
      <w:r>
        <w:rPr>
          <w:rStyle w:val="None"/>
          <w:rFonts w:ascii="Arial Unicode MS" w:eastAsia="Arial Unicode MS" w:hAnsi="Arial Unicode MS" w:hint="cs"/>
          <w:rtl/>
          <w:lang w:val="ar-SA"/>
        </w:rPr>
        <w:t>تطوُّر الأطر التشريعية لحماية حقوق الملكية الفكرية</w:t>
      </w:r>
      <w:bookmarkEnd w:id="134"/>
      <w:bookmarkEnd w:id="135"/>
    </w:p>
    <w:p w14:paraId="4084244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تُعَدُّ الأطر التشريعية الأساس القانوني لحماية حقوق الملكية الفكرية، وقد مرت هذه الأطر بمراحل متعددة، ففي بريطانيا</w:t>
      </w:r>
      <w:r>
        <w:rPr>
          <w:rStyle w:val="None"/>
          <w:rFonts w:ascii="Times New Roman" w:hAnsi="Times New Roman"/>
          <w:rtl/>
          <w:lang w:val="ar-SA"/>
        </w:rPr>
        <w:t xml:space="preserve">: </w:t>
      </w:r>
      <w:r>
        <w:rPr>
          <w:rStyle w:val="None"/>
          <w:rFonts w:cs="Times New Roman" w:hint="cs"/>
          <w:rtl/>
          <w:lang w:val="ar-SA"/>
        </w:rPr>
        <w:t xml:space="preserve">صدر أول قانون لحماية حقوق المؤلف عام ١٧١٠، والمعروف بـ </w:t>
      </w:r>
      <w:r>
        <w:rPr>
          <w:rStyle w:val="None"/>
          <w:rFonts w:ascii="Times New Roman" w:hAnsi="Times New Roman"/>
          <w:rtl/>
          <w:lang w:val="ar-SA"/>
        </w:rPr>
        <w:t>"</w:t>
      </w:r>
      <w:r>
        <w:rPr>
          <w:rStyle w:val="None"/>
          <w:rFonts w:cs="Times New Roman" w:hint="cs"/>
          <w:rtl/>
          <w:lang w:val="ar-SA"/>
        </w:rPr>
        <w:t>قانون آن</w:t>
      </w:r>
      <w:r>
        <w:rPr>
          <w:rStyle w:val="None"/>
          <w:rFonts w:ascii="Times New Roman" w:hAnsi="Times New Roman"/>
          <w:rtl/>
          <w:lang w:val="ar-SA"/>
        </w:rPr>
        <w:t>"</w:t>
      </w:r>
      <w:r>
        <w:rPr>
          <w:rStyle w:val="None"/>
          <w:rFonts w:cs="Times New Roman" w:hint="cs"/>
          <w:rtl/>
          <w:lang w:val="ar-SA"/>
        </w:rPr>
        <w:t>، وقد منح المؤلفين حقوق النشر الحصرية ومصنفاتهم لمدة محددة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4"/>
      </w:r>
      <w:r>
        <w:rPr>
          <w:rStyle w:val="None"/>
          <w:rFonts w:ascii="Times New Roman" w:hAnsi="Times New Roman"/>
          <w:vertAlign w:val="superscript"/>
          <w:rtl/>
          <w:lang w:val="ar-SA"/>
        </w:rPr>
        <w:t xml:space="preserve">) </w:t>
      </w:r>
    </w:p>
    <w:p w14:paraId="286F86A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وجاء في مقدمة التشريع أنَّه </w:t>
      </w:r>
      <w:r>
        <w:rPr>
          <w:rStyle w:val="None"/>
          <w:rFonts w:ascii="Times New Roman" w:hAnsi="Times New Roman"/>
          <w:rtl/>
          <w:lang w:val="ar-SA"/>
        </w:rPr>
        <w:t>"</w:t>
      </w:r>
      <w:r>
        <w:rPr>
          <w:rStyle w:val="None"/>
          <w:rFonts w:cs="Times New Roman" w:hint="cs"/>
          <w:rtl/>
          <w:lang w:val="ar-SA"/>
        </w:rPr>
        <w:t xml:space="preserve">لأنَّ الطابعين وبائعي الكتب انتهكوا مؤخرًا حرية طباعة الكتب وإعادة طبعها ونشرها، دون موافقة مؤلفيها أو مالكيها؛ ممَّا ألحق بهم ضررًا بالغًا، تم سنُّ هذا القانون الذي يمنع هذه الممارسات مستقبلًا، ويشجع العلماء على تأليف وكتابة كتب مفيدة، وحماية حقوق التأليف والملكية الخاصة بهم، كما تم إصدار قانون حقوق الطبع والنشر والتصاميم وبراءات الاختراع في المملكة المتحدة لعام </w:t>
      </w:r>
      <w:r>
        <w:rPr>
          <w:rStyle w:val="None"/>
          <w:rFonts w:ascii="Times New Roman" w:hAnsi="Times New Roman"/>
          <w:rtl/>
          <w:lang w:val="ar-SA"/>
        </w:rPr>
        <w:t>1988</w:t>
      </w:r>
      <w:r>
        <w:rPr>
          <w:rStyle w:val="None"/>
          <w:rFonts w:cs="Times New Roman" w:hint="cs"/>
          <w:rtl/>
          <w:lang w:val="ar-SA"/>
        </w:rPr>
        <w:t xml:space="preserve">، وهو التشريع الحالي الذي يحدد الإطار القانوني الذي يحكم حقوق الطبع والنشر والتصاميم وبراءات الاختراع في المملكة المتحدة وإنفاذها، علاوةً على قانون العلامات التجارية لعام </w:t>
      </w:r>
      <w:r>
        <w:rPr>
          <w:rStyle w:val="None"/>
          <w:rFonts w:ascii="Times New Roman" w:hAnsi="Times New Roman"/>
          <w:rtl/>
          <w:lang w:val="ar-SA"/>
        </w:rPr>
        <w:t>1994</w:t>
      </w:r>
      <w:r>
        <w:rPr>
          <w:rStyle w:val="None"/>
          <w:rFonts w:cs="Times New Roman" w:hint="cs"/>
          <w:rtl/>
          <w:lang w:val="ar-SA"/>
        </w:rPr>
        <w:t xml:space="preserve">، وهو القانون الحالي الذي يحكم العلامات التجارية داخل المملكة المتحدة، وهو ينفذ توجيه الاتحاد الأوروبي رقم </w:t>
      </w:r>
      <w:r>
        <w:rPr>
          <w:rStyle w:val="None"/>
          <w:rFonts w:ascii="Times New Roman" w:hAnsi="Times New Roman"/>
          <w:rtl/>
          <w:lang w:val="ar-SA"/>
        </w:rPr>
        <w:t>89/104/EEC (</w:t>
      </w:r>
      <w:r>
        <w:rPr>
          <w:rStyle w:val="None"/>
          <w:rFonts w:cs="Times New Roman" w:hint="cs"/>
          <w:rtl/>
          <w:lang w:val="ar-SA"/>
        </w:rPr>
        <w:t>توجيه العلامات التجارية</w:t>
      </w:r>
      <w:r>
        <w:rPr>
          <w:rStyle w:val="None"/>
          <w:rFonts w:ascii="Times New Roman" w:hAnsi="Times New Roman"/>
          <w:rtl/>
          <w:lang w:val="ar-SA"/>
        </w:rPr>
        <w:t>)</w:t>
      </w:r>
      <w:r>
        <w:rPr>
          <w:rStyle w:val="None"/>
          <w:rFonts w:cs="Times New Roman" w:hint="cs"/>
          <w:rtl/>
          <w:lang w:val="ar-SA"/>
        </w:rPr>
        <w:t>، الذي يشكل الإطار لقوانين العلامات التجارية لجميع الدول الأعضاء في الاتحاد الأوروبي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5"/>
      </w:r>
      <w:r>
        <w:rPr>
          <w:rStyle w:val="None"/>
          <w:rFonts w:ascii="Times New Roman" w:hAnsi="Times New Roman"/>
          <w:vertAlign w:val="superscript"/>
          <w:rtl/>
          <w:lang w:val="ar-SA"/>
        </w:rPr>
        <w:t>)</w:t>
      </w:r>
    </w:p>
    <w:p w14:paraId="598DF24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أقرت </w:t>
      </w:r>
      <w:r>
        <w:rPr>
          <w:rStyle w:val="None"/>
          <w:rFonts w:ascii="Times New Roman" w:hAnsi="Times New Roman"/>
          <w:rtl/>
          <w:lang w:val="ar-SA"/>
        </w:rPr>
        <w:t>"</w:t>
      </w:r>
      <w:r>
        <w:rPr>
          <w:rStyle w:val="None"/>
          <w:rFonts w:cs="Times New Roman" w:hint="cs"/>
          <w:rtl/>
          <w:lang w:val="ar-SA"/>
        </w:rPr>
        <w:t>قانونًا لتشجيع التعلم</w:t>
      </w:r>
      <w:r>
        <w:rPr>
          <w:rStyle w:val="None"/>
          <w:rFonts w:ascii="Times New Roman" w:hAnsi="Times New Roman"/>
          <w:rtl/>
          <w:lang w:val="ar-SA"/>
        </w:rPr>
        <w:t>"</w:t>
      </w:r>
      <w:r>
        <w:rPr>
          <w:rStyle w:val="None"/>
          <w:rFonts w:cs="Times New Roman" w:hint="cs"/>
          <w:rtl/>
          <w:lang w:val="ar-SA"/>
        </w:rPr>
        <w:t xml:space="preserve">، من خلال منح نسخ الكتب المطبوعة لمؤلفيها أو مُشتريها، والمعروف اليوم باسم قانون آن، ثم أُعيد النظر في قانون حقوق الطبع والنشر عام </w:t>
      </w:r>
      <w:r>
        <w:rPr>
          <w:rStyle w:val="None"/>
          <w:rFonts w:ascii="Times New Roman" w:hAnsi="Times New Roman"/>
          <w:rtl/>
          <w:lang w:val="ar-SA"/>
        </w:rPr>
        <w:t>1842</w:t>
      </w:r>
      <w:r>
        <w:rPr>
          <w:rStyle w:val="None"/>
          <w:rFonts w:cs="Times New Roman" w:hint="cs"/>
          <w:rtl/>
          <w:lang w:val="ar-SA"/>
        </w:rPr>
        <w:t xml:space="preserve">، عندما قدّم الرقيب توماس تالفورد </w:t>
      </w:r>
      <w:r>
        <w:rPr>
          <w:rStyle w:val="None"/>
          <w:rFonts w:ascii="Times New Roman" w:hAnsi="Times New Roman"/>
          <w:rtl/>
          <w:lang w:val="ar-SA"/>
        </w:rPr>
        <w:t>(</w:t>
      </w:r>
      <w:r>
        <w:rPr>
          <w:rStyle w:val="None"/>
          <w:rFonts w:cs="Times New Roman" w:hint="cs"/>
          <w:rtl/>
          <w:lang w:val="ar-SA"/>
        </w:rPr>
        <w:t>عضو البرلمان عن حزب اليمين عن ريدينغ</w:t>
      </w:r>
      <w:r>
        <w:rPr>
          <w:rStyle w:val="None"/>
          <w:rFonts w:ascii="Times New Roman" w:hAnsi="Times New Roman"/>
          <w:rtl/>
          <w:lang w:val="ar-SA"/>
        </w:rPr>
        <w:t xml:space="preserve">) </w:t>
      </w:r>
      <w:r>
        <w:rPr>
          <w:rStyle w:val="None"/>
          <w:rFonts w:cs="Times New Roman" w:hint="cs"/>
          <w:rtl/>
          <w:lang w:val="ar-SA"/>
        </w:rPr>
        <w:t>مشروع قانون جديد لحقوق الطبع والنشر، وقد صدر بالفعل القانون، كما مُددت حقوق الطبع والنشر لتشمل مجموعة أوسع من المواد، بما في ذلك</w:t>
      </w:r>
      <w:r>
        <w:rPr>
          <w:rStyle w:val="None"/>
          <w:rFonts w:ascii="Times New Roman" w:hAnsi="Times New Roman"/>
          <w:rtl/>
          <w:lang w:val="ar-SA"/>
        </w:rPr>
        <w:t xml:space="preserve">: </w:t>
      </w:r>
      <w:r>
        <w:rPr>
          <w:rStyle w:val="None"/>
          <w:rFonts w:cs="Times New Roman" w:hint="cs"/>
          <w:rtl/>
          <w:lang w:val="ar-SA"/>
        </w:rPr>
        <w:t>النوتات الموسيقية، والخرائط، والرسوم البيانية، والمخططات، وغيرها، وبحلول أوائل القرن العشرين، ظهرت تقنيات جديدة لم تستطع التشريعات القائمة التعامل معها؛ حيث قد أوجدت صناعات السينما والإذاعة والتلفزيون المزدهرة أشكالًا وأساليب جديدة للتعبير الإبداعي، وبالتالي</w:t>
      </w:r>
      <w:r>
        <w:rPr>
          <w:rStyle w:val="None"/>
          <w:rFonts w:ascii="Times New Roman" w:hAnsi="Times New Roman"/>
          <w:rtl/>
          <w:lang w:val="ar-SA"/>
        </w:rPr>
        <w:t xml:space="preserve">: </w:t>
      </w:r>
      <w:r>
        <w:rPr>
          <w:rStyle w:val="None"/>
          <w:rFonts w:cs="Times New Roman" w:hint="cs"/>
          <w:rtl/>
          <w:lang w:val="ar-SA"/>
        </w:rPr>
        <w:t xml:space="preserve">أصدرت المملكة المتحدة تشريعات في عامي </w:t>
      </w:r>
      <w:r>
        <w:rPr>
          <w:rStyle w:val="None"/>
          <w:rFonts w:ascii="Times New Roman" w:hAnsi="Times New Roman"/>
          <w:rtl/>
          <w:lang w:val="ar-SA"/>
        </w:rPr>
        <w:t xml:space="preserve">1911 </w:t>
      </w:r>
      <w:r>
        <w:rPr>
          <w:rStyle w:val="None"/>
          <w:rFonts w:cs="Times New Roman" w:hint="cs"/>
          <w:rtl/>
          <w:lang w:val="ar-SA"/>
        </w:rPr>
        <w:t>و</w:t>
      </w:r>
      <w:r>
        <w:rPr>
          <w:rStyle w:val="None"/>
          <w:rFonts w:ascii="Times New Roman" w:hAnsi="Times New Roman"/>
          <w:rtl/>
          <w:lang w:val="ar-SA"/>
        </w:rPr>
        <w:t xml:space="preserve">1956 </w:t>
      </w:r>
      <w:r>
        <w:rPr>
          <w:rStyle w:val="None"/>
          <w:rFonts w:cs="Times New Roman" w:hint="cs"/>
          <w:rtl/>
          <w:lang w:val="ar-SA"/>
        </w:rPr>
        <w:t xml:space="preserve">للتكيف مع احتياجات حقوق الطبع والنشر المتغيرة، ثم جاء الإصلاح الرئيسي التالي في عام </w:t>
      </w:r>
      <w:r>
        <w:rPr>
          <w:rStyle w:val="None"/>
          <w:rFonts w:ascii="Times New Roman" w:hAnsi="Times New Roman"/>
          <w:rtl/>
          <w:lang w:val="ar-SA"/>
        </w:rPr>
        <w:t>1988</w:t>
      </w:r>
      <w:r>
        <w:rPr>
          <w:rStyle w:val="None"/>
          <w:rFonts w:cs="Times New Roman" w:hint="cs"/>
          <w:rtl/>
          <w:lang w:val="ar-SA"/>
        </w:rPr>
        <w:t>، والذي لا يزال يُعمل به في الوقت الحالي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6"/>
      </w:r>
      <w:r>
        <w:rPr>
          <w:rStyle w:val="None"/>
          <w:rFonts w:ascii="Times New Roman" w:hAnsi="Times New Roman"/>
          <w:vertAlign w:val="superscript"/>
          <w:rtl/>
          <w:lang w:val="ar-SA"/>
        </w:rPr>
        <w:t>)</w:t>
      </w:r>
    </w:p>
    <w:p w14:paraId="3595B6A3"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أما في فرنسا</w:t>
      </w:r>
      <w:r>
        <w:rPr>
          <w:rStyle w:val="None"/>
          <w:rFonts w:ascii="Times New Roman" w:hAnsi="Times New Roman"/>
          <w:rtl/>
          <w:lang w:val="ar-SA"/>
        </w:rPr>
        <w:t xml:space="preserve">: </w:t>
      </w:r>
      <w:r>
        <w:rPr>
          <w:rStyle w:val="None"/>
          <w:rFonts w:cs="Times New Roman" w:hint="cs"/>
          <w:rtl/>
          <w:lang w:val="ar-SA"/>
        </w:rPr>
        <w:t>فقد وضعت قوانين خاصة، مثل</w:t>
      </w:r>
      <w:r>
        <w:rPr>
          <w:rStyle w:val="None"/>
          <w:rFonts w:ascii="Times New Roman" w:hAnsi="Times New Roman"/>
          <w:rtl/>
          <w:lang w:val="ar-SA"/>
        </w:rPr>
        <w:t>: "</w:t>
      </w:r>
      <w:r>
        <w:rPr>
          <w:rStyle w:val="None"/>
          <w:rFonts w:cs="Times New Roman" w:hint="cs"/>
          <w:rtl/>
          <w:lang w:val="ar-SA"/>
        </w:rPr>
        <w:t xml:space="preserve">القانون الفرنسي لعام </w:t>
      </w:r>
      <w:r>
        <w:rPr>
          <w:rStyle w:val="None"/>
          <w:rFonts w:ascii="Times New Roman" w:hAnsi="Times New Roman"/>
          <w:rtl/>
          <w:lang w:val="ar-SA"/>
        </w:rPr>
        <w:t>1791"</w:t>
      </w:r>
      <w:r>
        <w:rPr>
          <w:rStyle w:val="None"/>
          <w:rFonts w:cs="Times New Roman" w:hint="cs"/>
          <w:rtl/>
          <w:lang w:val="ar-SA"/>
        </w:rPr>
        <w:t xml:space="preserve">؛ لحماية فئات معينة تحت مسمى الملكية الفكرية، وينص قانون </w:t>
      </w:r>
      <w:r>
        <w:rPr>
          <w:rStyle w:val="None"/>
          <w:rFonts w:ascii="Times New Roman" w:hAnsi="Times New Roman"/>
          <w:rtl/>
          <w:lang w:val="ar-SA"/>
        </w:rPr>
        <w:t xml:space="preserve">11 </w:t>
      </w:r>
      <w:r>
        <w:rPr>
          <w:rStyle w:val="None"/>
          <w:rFonts w:cs="Times New Roman" w:hint="cs"/>
          <w:rtl/>
          <w:lang w:val="ar-SA"/>
        </w:rPr>
        <w:t xml:space="preserve">مارس </w:t>
      </w:r>
      <w:r>
        <w:rPr>
          <w:rStyle w:val="None"/>
          <w:rFonts w:ascii="Times New Roman" w:hAnsi="Times New Roman"/>
          <w:rtl/>
          <w:lang w:val="ar-SA"/>
        </w:rPr>
        <w:t xml:space="preserve">1957 </w:t>
      </w:r>
      <w:r>
        <w:rPr>
          <w:rStyle w:val="None"/>
          <w:rFonts w:cs="Times New Roman" w:hint="cs"/>
          <w:rtl/>
          <w:lang w:val="ar-SA"/>
        </w:rPr>
        <w:t xml:space="preserve">على أنَّ الملكية الفكرية تتمثل في </w:t>
      </w:r>
      <w:r>
        <w:rPr>
          <w:rStyle w:val="None"/>
          <w:rFonts w:ascii="Times New Roman" w:hAnsi="Times New Roman"/>
          <w:rtl/>
          <w:lang w:val="ar-SA"/>
        </w:rPr>
        <w:t>"</w:t>
      </w:r>
      <w:r>
        <w:rPr>
          <w:rStyle w:val="None"/>
          <w:rFonts w:cs="Times New Roman" w:hint="cs"/>
          <w:rtl/>
          <w:lang w:val="ar-SA"/>
        </w:rPr>
        <w:t>حق ممارسة احتكار، يُمنح على ابتكار جديد، أو اختراع، أو علامة ، بأية طريقة قانونية، مقابل حماية القانون</w:t>
      </w:r>
      <w:r>
        <w:rPr>
          <w:rStyle w:val="None"/>
          <w:rFonts w:ascii="Times New Roman" w:hAnsi="Times New Roman"/>
          <w:rtl/>
          <w:lang w:val="ar-SA"/>
        </w:rPr>
        <w:t>"</w:t>
      </w:r>
      <w:r>
        <w:rPr>
          <w:rStyle w:val="None"/>
          <w:rFonts w:cs="Times New Roman" w:hint="cs"/>
          <w:rtl/>
          <w:lang w:val="ar-SA"/>
        </w:rPr>
        <w:t xml:space="preserve">، والهدف من حقوق الملكية الفكرية هو حماية </w:t>
      </w:r>
      <w:r>
        <w:rPr>
          <w:rStyle w:val="None"/>
          <w:rFonts w:ascii="Times New Roman" w:hAnsi="Times New Roman"/>
          <w:rtl/>
          <w:lang w:val="ar-SA"/>
        </w:rPr>
        <w:t>"</w:t>
      </w:r>
      <w:r>
        <w:rPr>
          <w:rStyle w:val="None"/>
          <w:rFonts w:cs="Times New Roman" w:hint="cs"/>
          <w:rtl/>
          <w:lang w:val="ar-SA"/>
        </w:rPr>
        <w:t>الإبداع</w:t>
      </w:r>
      <w:r>
        <w:rPr>
          <w:rStyle w:val="None"/>
          <w:rFonts w:ascii="Times New Roman" w:hAnsi="Times New Roman"/>
          <w:rtl/>
          <w:lang w:val="ar-SA"/>
        </w:rPr>
        <w:t xml:space="preserve">" </w:t>
      </w:r>
      <w:r>
        <w:rPr>
          <w:rStyle w:val="None"/>
          <w:rFonts w:cs="Times New Roman" w:hint="cs"/>
          <w:rtl/>
          <w:lang w:val="ar-SA"/>
        </w:rPr>
        <w:t>الذي قد يتخذ أشكالًا مختلفةً، مثل</w:t>
      </w:r>
      <w:r>
        <w:rPr>
          <w:rStyle w:val="None"/>
          <w:rFonts w:ascii="Times New Roman" w:hAnsi="Times New Roman"/>
          <w:rtl/>
          <w:lang w:val="ar-SA"/>
        </w:rPr>
        <w:t xml:space="preserve">: </w:t>
      </w:r>
      <w:r>
        <w:rPr>
          <w:rStyle w:val="None"/>
          <w:rFonts w:cs="Times New Roman" w:hint="cs"/>
          <w:rtl/>
          <w:lang w:val="ar-SA"/>
        </w:rPr>
        <w:t xml:space="preserve">الأعمال الأدبية، والرسوم، والنقوش، والمصنوعات، والموسيقى، </w:t>
      </w:r>
      <w:r>
        <w:rPr>
          <w:rStyle w:val="None"/>
          <w:rFonts w:cs="Times New Roman" w:hint="cs"/>
          <w:rtl/>
          <w:lang w:val="ar-SA"/>
        </w:rPr>
        <w:lastRenderedPageBreak/>
        <w:t>والنحت؛ واختراع الصناعة أو الحرف، كبراءات الاختراع، وقد تطوَّرت التشريعات التي تحكم الملكية الفكرية في القانون الفرنسي كما يلي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7"/>
      </w:r>
      <w:r>
        <w:rPr>
          <w:rStyle w:val="None"/>
          <w:rFonts w:ascii="Times New Roman" w:hAnsi="Times New Roman"/>
          <w:vertAlign w:val="superscript"/>
          <w:rtl/>
          <w:lang w:val="ar-SA"/>
        </w:rPr>
        <w:t>)</w:t>
      </w:r>
    </w:p>
    <w:p w14:paraId="4B8C614F"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بالملكية الأدبية والفنية عام </w:t>
      </w:r>
      <w:r>
        <w:rPr>
          <w:rStyle w:val="None"/>
          <w:rFonts w:ascii="Times New Roman" w:hAnsi="Times New Roman"/>
          <w:rtl/>
          <w:lang w:val="ar-SA"/>
        </w:rPr>
        <w:t>(1836).</w:t>
      </w:r>
    </w:p>
    <w:p w14:paraId="637DE239"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قانون إنشاء وتنظيم تدريب الموظفين القانونيين عام </w:t>
      </w:r>
      <w:r>
        <w:rPr>
          <w:rStyle w:val="None"/>
          <w:rFonts w:ascii="Times New Roman" w:hAnsi="Times New Roman"/>
          <w:rtl/>
          <w:lang w:val="ar-SA"/>
        </w:rPr>
        <w:t>1843.</w:t>
      </w:r>
    </w:p>
    <w:p w14:paraId="6F5C8C55"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قانون براءات الاختراع عام </w:t>
      </w:r>
      <w:r>
        <w:rPr>
          <w:rStyle w:val="None"/>
          <w:rFonts w:ascii="Times New Roman" w:hAnsi="Times New Roman"/>
          <w:rtl/>
          <w:lang w:val="ar-SA"/>
        </w:rPr>
        <w:t>(1844).</w:t>
      </w:r>
    </w:p>
    <w:p w14:paraId="4C807ABC"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إصدار مرسوم بشأن وضع مؤسسة الملكية في مملكة فرنسا وما يتبعها عام</w:t>
      </w:r>
      <w:r>
        <w:rPr>
          <w:rStyle w:val="None"/>
          <w:rFonts w:ascii="Times New Roman" w:hAnsi="Times New Roman"/>
          <w:rtl/>
          <w:lang w:val="ar-SA"/>
        </w:rPr>
        <w:t>1911.</w:t>
      </w:r>
    </w:p>
    <w:p w14:paraId="77F160AD"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التشريعات المتعلقة بحماية حق المؤلف عام </w:t>
      </w:r>
      <w:r>
        <w:rPr>
          <w:rStyle w:val="None"/>
          <w:rFonts w:ascii="Times New Roman" w:hAnsi="Times New Roman"/>
          <w:rtl/>
          <w:lang w:val="ar-SA"/>
        </w:rPr>
        <w:t>(1957)</w:t>
      </w:r>
      <w:r>
        <w:rPr>
          <w:rStyle w:val="None"/>
          <w:rFonts w:cs="Times New Roman" w:hint="cs"/>
          <w:rtl/>
          <w:lang w:val="ar-SA"/>
        </w:rPr>
        <w:t xml:space="preserve">، والمكمل بقانون صدر عام </w:t>
      </w:r>
      <w:r>
        <w:rPr>
          <w:rStyle w:val="None"/>
          <w:rFonts w:ascii="Times New Roman" w:hAnsi="Times New Roman"/>
          <w:rtl/>
          <w:lang w:val="ar-SA"/>
        </w:rPr>
        <w:t>(1985).</w:t>
      </w:r>
    </w:p>
    <w:p w14:paraId="0216B9A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العلامات التجارية وعلامات الخدمة عام </w:t>
      </w:r>
      <w:r>
        <w:rPr>
          <w:rStyle w:val="None"/>
          <w:rFonts w:ascii="Times New Roman" w:hAnsi="Times New Roman"/>
          <w:rtl/>
          <w:lang w:val="ar-SA"/>
        </w:rPr>
        <w:t>(1971).</w:t>
      </w:r>
    </w:p>
    <w:p w14:paraId="3CDCBEE4"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بالميداليات والجوائز وأشكال التكريم المختلفة كشكل من أشكال الملكية الفكرية عام </w:t>
      </w:r>
      <w:r>
        <w:rPr>
          <w:rStyle w:val="None"/>
          <w:rFonts w:ascii="Times New Roman" w:hAnsi="Times New Roman"/>
          <w:rtl/>
          <w:lang w:val="ar-SA"/>
        </w:rPr>
        <w:t>1981.</w:t>
      </w:r>
    </w:p>
    <w:p w14:paraId="7B94036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وإصدار قانون حماية المؤلفين وأعمال التصميم المُطوّرة من برامج الكمبيوتر عام </w:t>
      </w:r>
      <w:r>
        <w:rPr>
          <w:rStyle w:val="None"/>
          <w:rFonts w:ascii="Times New Roman" w:hAnsi="Times New Roman"/>
          <w:rtl/>
          <w:lang w:val="ar-SA"/>
        </w:rPr>
        <w:t>1983.</w:t>
      </w:r>
    </w:p>
    <w:p w14:paraId="7853575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الاتصالات السمعية والبصرية عام </w:t>
      </w:r>
      <w:r>
        <w:rPr>
          <w:rStyle w:val="None"/>
          <w:rFonts w:ascii="Times New Roman" w:hAnsi="Times New Roman"/>
          <w:rtl/>
          <w:lang w:val="ar-SA"/>
        </w:rPr>
        <w:t>(1986).</w:t>
      </w:r>
    </w:p>
    <w:p w14:paraId="304A850A"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بمواقع الويب عام </w:t>
      </w:r>
      <w:r>
        <w:rPr>
          <w:rStyle w:val="None"/>
          <w:rFonts w:ascii="Times New Roman" w:hAnsi="Times New Roman"/>
          <w:rtl/>
          <w:lang w:val="ar-SA"/>
        </w:rPr>
        <w:t>(2004).</w:t>
      </w:r>
    </w:p>
    <w:p w14:paraId="35DEA1C8"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المرسوم المتعلق بالقانون المدني المتعلق بالملكية الأدبية والفنية وبعض الجوانب القانونية للحوسبة عام </w:t>
      </w:r>
      <w:r>
        <w:rPr>
          <w:rStyle w:val="None"/>
          <w:rFonts w:ascii="Times New Roman" w:hAnsi="Times New Roman"/>
          <w:rtl/>
          <w:lang w:val="ar-SA"/>
        </w:rPr>
        <w:t>(2006).</w:t>
      </w:r>
    </w:p>
    <w:p w14:paraId="38F144A2"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بالاعتراف بالملكية الصناعية وحمايتها في مملكة فرنسا عام </w:t>
      </w:r>
      <w:r>
        <w:rPr>
          <w:rStyle w:val="None"/>
          <w:rFonts w:ascii="Times New Roman" w:hAnsi="Times New Roman"/>
          <w:rtl/>
          <w:lang w:val="ar-SA"/>
        </w:rPr>
        <w:t>(2007).</w:t>
      </w:r>
    </w:p>
    <w:p w14:paraId="1AE2BF90"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المواقع الإلكترونية عام </w:t>
      </w:r>
      <w:r>
        <w:rPr>
          <w:rStyle w:val="None"/>
          <w:rFonts w:ascii="Times New Roman" w:hAnsi="Times New Roman"/>
          <w:rtl/>
          <w:lang w:val="ar-SA"/>
        </w:rPr>
        <w:t>(2007).</w:t>
      </w:r>
    </w:p>
    <w:p w14:paraId="07DBC072"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حماية حق المؤلف عام </w:t>
      </w:r>
      <w:r>
        <w:rPr>
          <w:rStyle w:val="None"/>
          <w:rFonts w:ascii="Times New Roman" w:hAnsi="Times New Roman"/>
          <w:rtl/>
          <w:lang w:val="ar-SA"/>
        </w:rPr>
        <w:t>(2008).</w:t>
      </w:r>
    </w:p>
    <w:p w14:paraId="147293AF"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المعلوماتية والتنظيم العام عام </w:t>
      </w:r>
      <w:r>
        <w:rPr>
          <w:rStyle w:val="None"/>
          <w:rFonts w:ascii="Times New Roman" w:hAnsi="Times New Roman"/>
          <w:rtl/>
          <w:lang w:val="ar-SA"/>
        </w:rPr>
        <w:t>(2008).</w:t>
      </w:r>
    </w:p>
    <w:p w14:paraId="0A9851E1"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أنَّ فرنسا ليست بمعزل في نهجها القانوني تجاه الملكية الفكرية عن غيرها من الدول، فهي تشارك بفاعلية في العديد من الاتفاقيات الدولية الرئيسية التي تُشكل قانون الملكية الفكرية العالمي، ومن بين هذه الاتفاقيات</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مدريد </w:t>
      </w:r>
      <w:r>
        <w:rPr>
          <w:rStyle w:val="None"/>
          <w:rFonts w:ascii="Times New Roman" w:hAnsi="Times New Roman"/>
          <w:rtl/>
          <w:lang w:val="ar-SA"/>
        </w:rPr>
        <w:t>(1892)</w:t>
      </w:r>
      <w:r>
        <w:rPr>
          <w:rStyle w:val="None"/>
          <w:rFonts w:cs="Times New Roman" w:hint="cs"/>
          <w:rtl/>
          <w:lang w:val="ar-SA"/>
        </w:rPr>
        <w:t>، إضافةً إلى ذلك</w:t>
      </w:r>
      <w:r>
        <w:rPr>
          <w:rStyle w:val="None"/>
          <w:rFonts w:ascii="Times New Roman" w:hAnsi="Times New Roman"/>
          <w:rtl/>
          <w:lang w:val="ar-SA"/>
        </w:rPr>
        <w:t xml:space="preserve">: </w:t>
      </w:r>
      <w:r>
        <w:rPr>
          <w:rStyle w:val="None"/>
          <w:rFonts w:cs="Times New Roman" w:hint="cs"/>
          <w:rtl/>
          <w:lang w:val="ar-SA"/>
        </w:rPr>
        <w:t xml:space="preserve">فإنَّ توقيع فرنسا على اتفاقية الجوانب المتصلة بالتجارة من حقوق الملكية الفكرية </w:t>
      </w:r>
      <w:r>
        <w:rPr>
          <w:rStyle w:val="None"/>
          <w:rFonts w:ascii="Times New Roman" w:hAnsi="Times New Roman"/>
          <w:rtl/>
          <w:lang w:val="ar-SA"/>
        </w:rPr>
        <w:t xml:space="preserve">(TRIPS) (1994) </w:t>
      </w:r>
      <w:r>
        <w:rPr>
          <w:rStyle w:val="None"/>
          <w:rFonts w:cs="Times New Roman" w:hint="cs"/>
          <w:rtl/>
          <w:lang w:val="ar-SA"/>
        </w:rPr>
        <w:t xml:space="preserve">يجعلها متسقةً مع التزامات التجارة الدولية، في حين تضمن اتفاقيات مثل اتفاقية نيس </w:t>
      </w:r>
      <w:r>
        <w:rPr>
          <w:rStyle w:val="None"/>
          <w:rFonts w:ascii="Times New Roman" w:hAnsi="Times New Roman"/>
          <w:rtl/>
          <w:lang w:val="ar-SA"/>
        </w:rPr>
        <w:t xml:space="preserve">(1957) </w:t>
      </w:r>
      <w:r>
        <w:rPr>
          <w:rStyle w:val="None"/>
          <w:rFonts w:cs="Times New Roman" w:hint="cs"/>
          <w:rtl/>
          <w:lang w:val="ar-SA"/>
        </w:rPr>
        <w:t>تصنيفًا موحدًا للسلع والخدمات على الصعيد العالمي، وتُسهّل هذه المعاهدات التسجيل الدولي للعلامات التجارية، وتُنشئ إطارًا متماسكًا يسمح للشركات الفرنسية بالمنافسة عالميًا مع حماية ملكيتها الفكرية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8"/>
      </w:r>
      <w:r>
        <w:rPr>
          <w:rStyle w:val="None"/>
          <w:rFonts w:ascii="Times New Roman" w:hAnsi="Times New Roman"/>
          <w:vertAlign w:val="superscript"/>
          <w:rtl/>
          <w:lang w:val="ar-SA"/>
        </w:rPr>
        <w:t>)</w:t>
      </w:r>
    </w:p>
    <w:p w14:paraId="1089EC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lastRenderedPageBreak/>
        <w:t>وبالنظر إلى قانون الملكية الفكرية في الولايات المتحدة، فإنَّ تطوُّر قانون الملكية الفكرية على مدار السنوات، وسيتم عرض أبرز التطوُّرات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9"/>
      </w:r>
      <w:r>
        <w:rPr>
          <w:rStyle w:val="None"/>
          <w:rFonts w:ascii="Times New Roman" w:hAnsi="Times New Roman"/>
          <w:vertAlign w:val="superscript"/>
          <w:rtl/>
          <w:lang w:val="ar-SA"/>
        </w:rPr>
        <w:t>)</w:t>
      </w:r>
    </w:p>
    <w:p w14:paraId="16352541"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 xml:space="preserve">1790: </w:t>
      </w:r>
      <w:r>
        <w:rPr>
          <w:rStyle w:val="None"/>
          <w:rFonts w:cs="Times New Roman" w:hint="cs"/>
          <w:rtl/>
          <w:lang w:val="ar-SA"/>
        </w:rPr>
        <w:t>والذي كان حجر الأساس لبراءات الاختراع، والذي منح المخترعين حقوقًا حصرية في إبداعاتهم؛ ممَّا عزّز الابتكار</w:t>
      </w:r>
      <w:r>
        <w:rPr>
          <w:rStyle w:val="None"/>
          <w:rFonts w:ascii="Times New Roman" w:hAnsi="Times New Roman"/>
          <w:rtl/>
          <w:lang w:val="ar-SA"/>
        </w:rPr>
        <w:t>.</w:t>
      </w:r>
    </w:p>
    <w:p w14:paraId="0FE2F1F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1790: </w:t>
      </w:r>
      <w:r>
        <w:rPr>
          <w:rStyle w:val="None"/>
          <w:rFonts w:cs="Times New Roman" w:hint="cs"/>
          <w:rtl/>
          <w:lang w:val="ar-SA"/>
        </w:rPr>
        <w:t>والذي أدخل حماية حقوق الطبع والنشر للأعمال الإبداعية</w:t>
      </w:r>
      <w:r>
        <w:rPr>
          <w:rStyle w:val="None"/>
          <w:rFonts w:ascii="Times New Roman" w:hAnsi="Times New Roman"/>
          <w:rtl/>
          <w:lang w:val="ar-SA"/>
        </w:rPr>
        <w:t>.</w:t>
      </w:r>
    </w:p>
    <w:p w14:paraId="1069C29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1836</w:t>
      </w:r>
      <w:r>
        <w:rPr>
          <w:rStyle w:val="None"/>
          <w:rFonts w:cs="Times New Roman" w:hint="cs"/>
          <w:rtl/>
          <w:lang w:val="ar-SA"/>
        </w:rPr>
        <w:t>، كما أنَّه في نفس العام تم إنشاء مكتب براءات الاختراع الأمريكي</w:t>
      </w:r>
      <w:r>
        <w:rPr>
          <w:rStyle w:val="None"/>
          <w:rFonts w:ascii="Times New Roman" w:hAnsi="Times New Roman"/>
          <w:rtl/>
          <w:lang w:val="ar-SA"/>
        </w:rPr>
        <w:t>.</w:t>
      </w:r>
    </w:p>
    <w:p w14:paraId="445BBCC1"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لانهام لعام </w:t>
      </w:r>
      <w:r>
        <w:rPr>
          <w:rStyle w:val="None"/>
          <w:rFonts w:ascii="Times New Roman" w:hAnsi="Times New Roman"/>
          <w:rtl/>
          <w:lang w:val="ar-SA"/>
        </w:rPr>
        <w:t xml:space="preserve">1946: </w:t>
      </w:r>
      <w:r>
        <w:rPr>
          <w:rStyle w:val="None"/>
          <w:rFonts w:cs="Times New Roman" w:hint="cs"/>
          <w:rtl/>
          <w:lang w:val="ar-SA"/>
        </w:rPr>
        <w:t>والذي وفر حماية شاملة للعلامات التجارية</w:t>
      </w:r>
      <w:r>
        <w:rPr>
          <w:rStyle w:val="None"/>
          <w:rFonts w:ascii="Times New Roman" w:hAnsi="Times New Roman"/>
          <w:rtl/>
          <w:lang w:val="ar-SA"/>
        </w:rPr>
        <w:t>.</w:t>
      </w:r>
    </w:p>
    <w:p w14:paraId="0E65090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1976: </w:t>
      </w:r>
      <w:r>
        <w:rPr>
          <w:rStyle w:val="None"/>
          <w:rFonts w:cs="Times New Roman" w:hint="cs"/>
          <w:rtl/>
          <w:lang w:val="ar-SA"/>
        </w:rPr>
        <w:t>والذي حدّث قانون حقوق الطبع والنشر ليشمل الوسائط الرقمية</w:t>
      </w:r>
      <w:r>
        <w:rPr>
          <w:rStyle w:val="None"/>
          <w:rFonts w:ascii="Times New Roman" w:hAnsi="Times New Roman"/>
          <w:rtl/>
          <w:lang w:val="ar-SA"/>
        </w:rPr>
        <w:t>.</w:t>
      </w:r>
    </w:p>
    <w:p w14:paraId="55187EB4"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الاختراعات الأمريكية </w:t>
      </w:r>
      <w:r>
        <w:rPr>
          <w:rStyle w:val="None"/>
          <w:rFonts w:ascii="Times New Roman" w:hAnsi="Times New Roman"/>
          <w:rtl/>
          <w:lang w:val="ar-SA"/>
        </w:rPr>
        <w:t xml:space="preserve">(AIA) </w:t>
      </w:r>
      <w:r>
        <w:rPr>
          <w:rStyle w:val="None"/>
          <w:rFonts w:cs="Times New Roman" w:hint="cs"/>
          <w:rtl/>
          <w:lang w:val="ar-SA"/>
        </w:rPr>
        <w:t xml:space="preserve">لعام </w:t>
      </w:r>
      <w:r>
        <w:rPr>
          <w:rStyle w:val="None"/>
          <w:rFonts w:ascii="Times New Roman" w:hAnsi="Times New Roman"/>
          <w:rtl/>
          <w:lang w:val="ar-SA"/>
        </w:rPr>
        <w:t xml:space="preserve">2011: </w:t>
      </w:r>
      <w:r>
        <w:rPr>
          <w:rStyle w:val="None"/>
          <w:rFonts w:cs="Times New Roman" w:hint="cs"/>
          <w:rtl/>
          <w:lang w:val="ar-SA"/>
        </w:rPr>
        <w:t xml:space="preserve">والانتقال إلى نظام </w:t>
      </w:r>
      <w:r>
        <w:rPr>
          <w:rStyle w:val="None"/>
          <w:rFonts w:ascii="Times New Roman" w:hAnsi="Times New Roman"/>
          <w:rtl/>
          <w:lang w:val="ar-SA"/>
        </w:rPr>
        <w:t>"</w:t>
      </w:r>
      <w:r>
        <w:rPr>
          <w:rStyle w:val="None"/>
          <w:rFonts w:cs="Times New Roman" w:hint="cs"/>
          <w:rtl/>
          <w:lang w:val="ar-SA"/>
        </w:rPr>
        <w:t>أول من يقدم</w:t>
      </w:r>
      <w:r>
        <w:rPr>
          <w:rStyle w:val="None"/>
          <w:rFonts w:ascii="Times New Roman" w:hAnsi="Times New Roman"/>
          <w:rtl/>
          <w:lang w:val="ar-SA"/>
        </w:rPr>
        <w:t xml:space="preserve">" </w:t>
      </w:r>
      <w:r>
        <w:rPr>
          <w:rStyle w:val="None"/>
          <w:rFonts w:cs="Times New Roman" w:hint="cs"/>
          <w:rtl/>
          <w:lang w:val="ar-SA"/>
        </w:rPr>
        <w:t>لبراءات الاختراع، وتأسيس مراجعات ما بعد المنح</w:t>
      </w:r>
      <w:r>
        <w:rPr>
          <w:rStyle w:val="None"/>
          <w:rFonts w:ascii="Times New Roman" w:hAnsi="Times New Roman"/>
          <w:rtl/>
          <w:lang w:val="ar-SA"/>
        </w:rPr>
        <w:t>.</w:t>
      </w:r>
    </w:p>
    <w:p w14:paraId="27C1907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نصت المادة الأولى، القسم </w:t>
      </w:r>
      <w:r>
        <w:rPr>
          <w:rStyle w:val="None"/>
          <w:rFonts w:ascii="Times New Roman" w:hAnsi="Times New Roman"/>
          <w:rtl/>
          <w:lang w:val="ar-SA"/>
        </w:rPr>
        <w:t>8</w:t>
      </w:r>
      <w:r>
        <w:rPr>
          <w:rStyle w:val="None"/>
          <w:rFonts w:cs="Times New Roman" w:hint="cs"/>
          <w:rtl/>
          <w:lang w:val="ar-SA"/>
        </w:rPr>
        <w:t xml:space="preserve">، البند </w:t>
      </w:r>
      <w:r>
        <w:rPr>
          <w:rStyle w:val="None"/>
          <w:rFonts w:ascii="Times New Roman" w:hAnsi="Times New Roman"/>
          <w:rtl/>
          <w:lang w:val="ar-SA"/>
        </w:rPr>
        <w:t xml:space="preserve">8 </w:t>
      </w:r>
      <w:r>
        <w:rPr>
          <w:rStyle w:val="None"/>
          <w:rFonts w:cs="Times New Roman" w:hint="cs"/>
          <w:rtl/>
          <w:lang w:val="ar-SA"/>
        </w:rPr>
        <w:t xml:space="preserve">من دستور الولايات المتحدة، المُصدّق عليه عام </w:t>
      </w:r>
      <w:r>
        <w:rPr>
          <w:rStyle w:val="None"/>
          <w:rFonts w:ascii="Times New Roman" w:hAnsi="Times New Roman"/>
          <w:rtl/>
          <w:lang w:val="ar-SA"/>
        </w:rPr>
        <w:t>1787</w:t>
      </w:r>
      <w:r>
        <w:rPr>
          <w:rStyle w:val="None"/>
          <w:rFonts w:cs="Times New Roman" w:hint="cs"/>
          <w:rtl/>
          <w:lang w:val="ar-SA"/>
        </w:rPr>
        <w:t>، الكونغرس على أنَّه</w:t>
      </w:r>
      <w:r>
        <w:rPr>
          <w:rStyle w:val="None"/>
          <w:rFonts w:ascii="Times New Roman" w:hAnsi="Times New Roman"/>
          <w:rtl/>
          <w:lang w:val="ar-SA"/>
        </w:rPr>
        <w:t>: "</w:t>
      </w:r>
      <w:r>
        <w:rPr>
          <w:rStyle w:val="None"/>
          <w:rFonts w:cs="Times New Roman" w:hint="cs"/>
          <w:rtl/>
          <w:lang w:val="ar-SA"/>
        </w:rPr>
        <w:t xml:space="preserve">بتعزيز تقدم العلوم والفنون المفيدة، من خلال ضمان الحق الحصري للمؤلفين والمخترعين في كتاباتهم واكتشافاتهم لفترات محدودة، كما منح قانون حقوق الطبع والنشر لعام </w:t>
      </w:r>
      <w:r>
        <w:rPr>
          <w:rStyle w:val="None"/>
          <w:rFonts w:ascii="Times New Roman" w:hAnsi="Times New Roman"/>
          <w:rtl/>
          <w:lang w:val="ar-SA"/>
        </w:rPr>
        <w:t xml:space="preserve">1790 </w:t>
      </w:r>
      <w:r>
        <w:rPr>
          <w:rStyle w:val="None"/>
          <w:rFonts w:cs="Times New Roman" w:hint="cs"/>
          <w:rtl/>
          <w:lang w:val="ar-SA"/>
        </w:rPr>
        <w:t>مؤلفي الخرائط والكتب والمخططات الحقَّ الحصري، وحرية طباعة، وإعادة طباعة ونشر وبيع أعمالهم لمدة أربعة عشر عامًا قابلة للتجديد لمدة أربعة عشر عامًا إضافية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0"/>
      </w:r>
      <w:r>
        <w:rPr>
          <w:rStyle w:val="None"/>
          <w:rFonts w:ascii="Times New Roman" w:hAnsi="Times New Roman"/>
          <w:vertAlign w:val="superscript"/>
          <w:rtl/>
          <w:lang w:val="ar-SA"/>
        </w:rPr>
        <w:t>)</w:t>
      </w:r>
    </w:p>
    <w:p w14:paraId="47CFED3D"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يوفر النظام القانوني في المملكة المتحدة مستوى رفيعًا من حماية حقوق الملكية الفكرية وآليات إنفاذها، تُضاهي تلك المتوفرة في الولايات المتحدة، كما أنَّ المملكة المتحدة عضو في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w:t>
      </w:r>
      <w:r>
        <w:rPr>
          <w:rStyle w:val="None"/>
          <w:rFonts w:cs="Times New Roman" w:hint="cs"/>
          <w:rtl/>
          <w:lang w:val="ar-SA"/>
        </w:rPr>
        <w:t>، وعضو في أهم اتفاقيات حماية الملكية الفكرية، مثل</w:t>
      </w:r>
      <w:r>
        <w:rPr>
          <w:rStyle w:val="None"/>
          <w:rFonts w:ascii="Times New Roman" w:hAnsi="Times New Roman"/>
          <w:rtl/>
          <w:lang w:val="ar-SA"/>
        </w:rPr>
        <w:t xml:space="preserve">: </w:t>
      </w:r>
      <w:r>
        <w:rPr>
          <w:rStyle w:val="None"/>
          <w:rFonts w:cs="Times New Roman" w:hint="cs"/>
          <w:rtl/>
          <w:lang w:val="ar-SA"/>
        </w:rPr>
        <w:t xml:space="preserve">اتفاقية برن لحماية المصنفات الأدبية والفنية، واتفاقية باريس لحماية الملكية الصناعية، والاتفاقية العالمية لحقوق التأليف والنشر، واتفاقية جنيف للتسجيلات الصوتية، ومعاهدة التعاون بشأن البراءات، وقّعت المملكة المتحدة على معاهدة الويبو بشأن حقوق التأليف والنشر </w:t>
      </w:r>
      <w:r>
        <w:rPr>
          <w:rStyle w:val="None"/>
          <w:rFonts w:ascii="Times New Roman" w:hAnsi="Times New Roman"/>
          <w:rtl/>
          <w:lang w:val="ar-SA"/>
        </w:rPr>
        <w:t xml:space="preserve">(WCT) </w:t>
      </w:r>
      <w:r>
        <w:rPr>
          <w:rStyle w:val="None"/>
          <w:rFonts w:cs="Times New Roman" w:hint="cs"/>
          <w:rtl/>
          <w:lang w:val="ar-SA"/>
        </w:rPr>
        <w:t xml:space="preserve">ومعاهدة الويبو بشأن الأداء والتسجيلات الصوتية </w:t>
      </w:r>
      <w:r>
        <w:rPr>
          <w:rStyle w:val="None"/>
          <w:rFonts w:ascii="Times New Roman" w:hAnsi="Times New Roman"/>
          <w:rtl/>
          <w:lang w:val="ar-SA"/>
        </w:rPr>
        <w:t>(WPPT)</w:t>
      </w:r>
      <w:r>
        <w:rPr>
          <w:rStyle w:val="None"/>
          <w:rFonts w:cs="Times New Roman" w:hint="cs"/>
          <w:rtl/>
          <w:lang w:val="ar-SA"/>
        </w:rPr>
        <w:t>، المعروفتين باسم معاهدتي الإنترنت، وأدرجتهما في قانونها، ويُعَدُّ مكتب الملكية الفكرية هو الهيئة الحكومية الرسمية في المملكة المتحدة المسئولة عن حقوق الملكية الفكرية، بما في ذلك</w:t>
      </w:r>
      <w:r>
        <w:rPr>
          <w:rStyle w:val="None"/>
          <w:rFonts w:ascii="Times New Roman" w:hAnsi="Times New Roman"/>
          <w:rtl/>
          <w:lang w:val="ar-SA"/>
        </w:rPr>
        <w:t xml:space="preserve">: </w:t>
      </w:r>
      <w:r>
        <w:rPr>
          <w:rStyle w:val="None"/>
          <w:rFonts w:cs="Times New Roman" w:hint="cs"/>
          <w:rtl/>
          <w:lang w:val="ar-SA"/>
        </w:rPr>
        <w:t>براءات الاختراع، والتصاميم، والعلامات التجارية، وحقوق التأليف والنشر</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1"/>
      </w:r>
      <w:r>
        <w:rPr>
          <w:rStyle w:val="None"/>
          <w:rFonts w:ascii="Times New Roman" w:hAnsi="Times New Roman"/>
          <w:vertAlign w:val="superscript"/>
          <w:rtl/>
          <w:lang w:val="ar-SA"/>
        </w:rPr>
        <w:t>)</w:t>
      </w:r>
    </w:p>
    <w:p w14:paraId="0ECD05F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وفي إيطاليا تتمثل القوانين الرئيسية المتعلقة بحماية حقوق الملكية الفكرية في القانون المدني وقانون الملكية الصناعية، اللذيْنِ يتضمنان العناصر التشريعية الرئيسية من التشريعات الأوروبية والدولية، كما يتضمن القانون الإيطالي </w:t>
      </w:r>
      <w:r>
        <w:rPr>
          <w:rStyle w:val="None"/>
          <w:rFonts w:cs="Times New Roman" w:hint="cs"/>
          <w:rtl/>
          <w:lang w:val="ar-SA"/>
        </w:rPr>
        <w:lastRenderedPageBreak/>
        <w:t>لوائح تتعلق بالعلامات التجارية وبراءات الاختراع والاختراعات والنماذج والتصميمات، وغيرها، وكيفية استخدامها أو بيعها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2"/>
      </w:r>
      <w:r>
        <w:rPr>
          <w:rStyle w:val="None"/>
          <w:rFonts w:ascii="Times New Roman" w:hAnsi="Times New Roman"/>
          <w:vertAlign w:val="superscript"/>
          <w:rtl/>
          <w:lang w:val="ar-SA"/>
        </w:rPr>
        <w:t>)</w:t>
      </w:r>
    </w:p>
    <w:p w14:paraId="6A6BAA0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يُمثل قانون براءات الاختراع </w:t>
      </w:r>
      <w:r>
        <w:rPr>
          <w:rStyle w:val="None"/>
          <w:rFonts w:ascii="Times New Roman" w:hAnsi="Times New Roman"/>
          <w:rtl/>
          <w:lang w:val="ar-SA"/>
        </w:rPr>
        <w:t>-</w:t>
      </w:r>
      <w:r>
        <w:rPr>
          <w:rStyle w:val="None"/>
          <w:rFonts w:cs="Times New Roman" w:hint="cs"/>
          <w:rtl/>
          <w:lang w:val="ar-SA"/>
        </w:rPr>
        <w:t xml:space="preserve">الذي أصدرته جمهورية البندقية عام </w:t>
      </w:r>
      <w:r>
        <w:rPr>
          <w:rStyle w:val="None"/>
          <w:rFonts w:ascii="Times New Roman" w:hAnsi="Times New Roman"/>
          <w:rtl/>
          <w:lang w:val="ar-SA"/>
        </w:rPr>
        <w:t xml:space="preserve">1474- </w:t>
      </w:r>
      <w:r>
        <w:rPr>
          <w:rStyle w:val="None"/>
          <w:rFonts w:cs="Times New Roman" w:hint="cs"/>
          <w:rtl/>
          <w:lang w:val="ar-SA"/>
        </w:rPr>
        <w:t xml:space="preserve">أحد أوائل أشكال الحماية الرسمية للأعمال الإبداعية، يصف هذا القانون </w:t>
      </w:r>
      <w:r>
        <w:rPr>
          <w:rStyle w:val="None"/>
          <w:rFonts w:ascii="Times New Roman" w:hAnsi="Times New Roman"/>
          <w:rtl/>
          <w:lang w:val="ar-SA"/>
        </w:rPr>
        <w:t>-</w:t>
      </w:r>
      <w:r>
        <w:rPr>
          <w:rStyle w:val="None"/>
          <w:rFonts w:cs="Times New Roman" w:hint="cs"/>
          <w:rtl/>
          <w:lang w:val="ar-SA"/>
        </w:rPr>
        <w:t>بأسلوبٍ مُلفت</w:t>
      </w:r>
      <w:r>
        <w:rPr>
          <w:rStyle w:val="None"/>
          <w:rFonts w:ascii="Times New Roman" w:hAnsi="Times New Roman"/>
          <w:rtl/>
          <w:lang w:val="ar-SA"/>
        </w:rPr>
        <w:t xml:space="preserve">- </w:t>
      </w:r>
      <w:r>
        <w:rPr>
          <w:rStyle w:val="None"/>
          <w:rFonts w:cs="Times New Roman" w:hint="cs"/>
          <w:rtl/>
          <w:lang w:val="ar-SA"/>
        </w:rPr>
        <w:t xml:space="preserve">المبادئ الأساسية التي تحكم حقوق الملكية الفكرية، وقد وُضع هذا القانون لحماية المخترعين؛ إذْ إنَّه يُحدد في بضعة أسطرٍ جميعَ المعايير التي يجب أنْ يستوفيها حق الملكية الفكرية، وخاصةً براءة الاختراع، وينص في الواقع على شروط الجدة </w:t>
      </w:r>
      <w:r>
        <w:rPr>
          <w:rStyle w:val="None"/>
          <w:rFonts w:ascii="Times New Roman" w:hAnsi="Times New Roman"/>
          <w:rtl/>
          <w:lang w:val="ar-SA"/>
        </w:rPr>
        <w:t>(</w:t>
      </w:r>
      <w:r>
        <w:rPr>
          <w:rStyle w:val="None"/>
          <w:rFonts w:cs="Times New Roman" w:hint="cs"/>
          <w:rtl/>
          <w:lang w:val="ar-SA"/>
        </w:rPr>
        <w:t>أي جهاز جديد ومبتكر</w:t>
      </w:r>
      <w:r>
        <w:rPr>
          <w:rStyle w:val="None"/>
          <w:rFonts w:ascii="Times New Roman" w:hAnsi="Times New Roman"/>
          <w:rtl/>
          <w:lang w:val="ar-SA"/>
        </w:rPr>
        <w:t>)</w:t>
      </w:r>
      <w:r>
        <w:rPr>
          <w:rStyle w:val="None"/>
          <w:rFonts w:cs="Times New Roman" w:hint="cs"/>
          <w:rtl/>
          <w:lang w:val="ar-SA"/>
        </w:rPr>
        <w:t xml:space="preserve">، والأصالة </w:t>
      </w:r>
      <w:r>
        <w:rPr>
          <w:rStyle w:val="None"/>
          <w:rFonts w:ascii="Times New Roman" w:hAnsi="Times New Roman"/>
          <w:rtl/>
          <w:lang w:val="ar-SA"/>
        </w:rPr>
        <w:t>(</w:t>
      </w:r>
      <w:r>
        <w:rPr>
          <w:rStyle w:val="None"/>
          <w:rFonts w:cs="Times New Roman" w:hint="cs"/>
          <w:rtl/>
          <w:lang w:val="ar-SA"/>
        </w:rPr>
        <w:t>لم يُصنع سابقًا في مملكتنا</w:t>
      </w:r>
      <w:r>
        <w:rPr>
          <w:rStyle w:val="None"/>
          <w:rFonts w:ascii="Times New Roman" w:hAnsi="Times New Roman"/>
          <w:rtl/>
          <w:lang w:val="ar-SA"/>
        </w:rPr>
        <w:t>)</w:t>
      </w:r>
      <w:r>
        <w:rPr>
          <w:rStyle w:val="None"/>
          <w:rFonts w:cs="Times New Roman" w:hint="cs"/>
          <w:rtl/>
          <w:lang w:val="ar-SA"/>
        </w:rPr>
        <w:t xml:space="preserve">، وقابلية التطبيق الصناعي </w:t>
      </w:r>
      <w:r>
        <w:rPr>
          <w:rStyle w:val="None"/>
          <w:rFonts w:ascii="Times New Roman" w:hAnsi="Times New Roman"/>
          <w:rtl/>
          <w:lang w:val="ar-SA"/>
        </w:rPr>
        <w:t>(</w:t>
      </w:r>
      <w:r>
        <w:rPr>
          <w:rStyle w:val="None"/>
          <w:rFonts w:cs="Times New Roman" w:hint="cs"/>
          <w:rtl/>
          <w:lang w:val="ar-SA"/>
        </w:rPr>
        <w:t>ذات الفائدة والفائدة الكبيرة</w:t>
      </w:r>
      <w:r>
        <w:rPr>
          <w:rStyle w:val="None"/>
          <w:rFonts w:ascii="Times New Roman" w:hAnsi="Times New Roman"/>
          <w:rtl/>
          <w:lang w:val="ar-SA"/>
        </w:rPr>
        <w:t xml:space="preserve">) </w:t>
      </w:r>
      <w:r>
        <w:rPr>
          <w:rStyle w:val="None"/>
          <w:rFonts w:cs="Times New Roman" w:hint="cs"/>
          <w:rtl/>
          <w:lang w:val="ar-SA"/>
        </w:rPr>
        <w:t xml:space="preserve">للاختراع، وفي القرن التاسع عشر، بدأت دول أخرى عديدة في وضع قوانين وطنية مُحدّدة لحماية الملكية الفكرية، بما في ذلك إيطاليا </w:t>
      </w:r>
      <w:r>
        <w:rPr>
          <w:rStyle w:val="None"/>
          <w:rFonts w:ascii="Times New Roman" w:hAnsi="Times New Roman"/>
          <w:rtl/>
          <w:lang w:val="ar-SA"/>
        </w:rPr>
        <w:t>-</w:t>
      </w:r>
      <w:r>
        <w:rPr>
          <w:rStyle w:val="None"/>
          <w:rFonts w:cs="Times New Roman" w:hint="cs"/>
          <w:rtl/>
          <w:lang w:val="ar-SA"/>
        </w:rPr>
        <w:t xml:space="preserve">التي أصدرت من خلال الملك فيتوريو إيمانويل الثاني عام </w:t>
      </w:r>
      <w:r>
        <w:rPr>
          <w:rStyle w:val="None"/>
          <w:rFonts w:ascii="Times New Roman" w:hAnsi="Times New Roman"/>
          <w:rtl/>
          <w:lang w:val="ar-SA"/>
        </w:rPr>
        <w:t xml:space="preserve">1885- </w:t>
      </w:r>
      <w:r>
        <w:rPr>
          <w:rStyle w:val="None"/>
          <w:rFonts w:cs="Times New Roman" w:hint="cs"/>
          <w:rtl/>
          <w:lang w:val="ar-SA"/>
        </w:rPr>
        <w:t xml:space="preserve">أول قانون بشأن </w:t>
      </w:r>
      <w:r>
        <w:rPr>
          <w:rStyle w:val="None"/>
          <w:rFonts w:ascii="Times New Roman" w:hAnsi="Times New Roman"/>
          <w:rtl/>
          <w:lang w:val="ar-SA"/>
        </w:rPr>
        <w:t>"</w:t>
      </w:r>
      <w:r>
        <w:rPr>
          <w:rStyle w:val="None"/>
          <w:rFonts w:cs="Times New Roman" w:hint="cs"/>
          <w:rtl/>
          <w:lang w:val="ar-SA"/>
        </w:rPr>
        <w:t>حقوق الاكتشافات أو الاختراعات الصناعية</w:t>
      </w:r>
      <w:r>
        <w:rPr>
          <w:rStyle w:val="None"/>
          <w:rFonts w:ascii="Times New Roman" w:hAnsi="Times New Roman"/>
          <w:rtl/>
          <w:lang w:val="ar-SA"/>
        </w:rPr>
        <w:t>"</w:t>
      </w:r>
      <w:r>
        <w:rPr>
          <w:rStyle w:val="None"/>
          <w:rFonts w:cs="Times New Roman" w:hint="cs"/>
          <w:rtl/>
          <w:lang w:val="ar-SA"/>
        </w:rPr>
        <w:t>، ومع الثورة الصناعية وزيادة حجم التجارة، برزت الحاجة إلى التوفيق بين مختلف القوانين المحلية، ومِنْ ثَمَّ وقّعت إيطاليا معاهدتين دوليتين مهمتين</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برن للأعمال الأدبية والفنية </w:t>
      </w:r>
      <w:r>
        <w:rPr>
          <w:rStyle w:val="None"/>
          <w:rFonts w:ascii="Times New Roman" w:hAnsi="Times New Roman"/>
          <w:rtl/>
          <w:lang w:val="ar-SA"/>
        </w:rPr>
        <w:t xml:space="preserve">(1886).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3"/>
      </w:r>
      <w:r>
        <w:rPr>
          <w:rStyle w:val="None"/>
          <w:rFonts w:ascii="Times New Roman" w:hAnsi="Times New Roman"/>
          <w:vertAlign w:val="superscript"/>
          <w:rtl/>
          <w:lang w:val="ar-SA"/>
        </w:rPr>
        <w:t>)</w:t>
      </w:r>
    </w:p>
    <w:p w14:paraId="3F66B6B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rPr>
      </w:pPr>
      <w:r>
        <w:rPr>
          <w:rStyle w:val="None"/>
          <w:rFonts w:cs="Times New Roman" w:hint="cs"/>
          <w:rtl/>
          <w:lang w:val="ar-SA"/>
        </w:rPr>
        <w:t>ويشمل قانون حماية حقوق الملكية الفكرية الإيطالي ما يلي، وذلك وفقًا للمادة الثانية منه</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4"/>
      </w:r>
      <w:r>
        <w:rPr>
          <w:rStyle w:val="None"/>
          <w:rFonts w:ascii="Times New Roman" w:hAnsi="Times New Roman"/>
          <w:vertAlign w:val="superscript"/>
          <w:rtl/>
          <w:lang w:val="ar-SA"/>
        </w:rPr>
        <w:t xml:space="preserve">) </w:t>
      </w:r>
      <w:r>
        <w:rPr>
          <w:rStyle w:val="None"/>
          <w:rFonts w:ascii="Times New Roman" w:hAnsi="Times New Roman"/>
          <w:vertAlign w:val="superscript"/>
        </w:rPr>
        <w:t xml:space="preserve">  </w:t>
      </w:r>
      <w:r>
        <w:rPr>
          <w:rStyle w:val="None"/>
          <w:rFonts w:ascii="Times New Roman" w:hAnsi="Times New Roman"/>
          <w:rtl/>
          <w:lang w:val="ar-SA"/>
        </w:rPr>
        <w:t xml:space="preserve"> </w:t>
      </w:r>
    </w:p>
    <w:p w14:paraId="627B909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الأدبية، والدرامية، والعلمية، والتعليمية، والدينية، سواءً أكانت مكتوبة أم شفهية</w:t>
      </w:r>
      <w:r>
        <w:rPr>
          <w:rStyle w:val="None"/>
          <w:rFonts w:ascii="Times New Roman" w:hAnsi="Times New Roman"/>
          <w:rtl/>
          <w:lang w:val="ar-SA"/>
        </w:rPr>
        <w:t>.</w:t>
      </w:r>
    </w:p>
    <w:p w14:paraId="39661CF0"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الموسيقية والمؤلفات، سواءً كانت مكتوبة أم لا، والأعمال الدرامية الموسيقية، والتنويعات الموسيقية التي تُشكِّل في حد ذاتها أعمالًا أصليةً</w:t>
      </w:r>
      <w:r>
        <w:rPr>
          <w:rStyle w:val="None"/>
          <w:rFonts w:ascii="Times New Roman" w:hAnsi="Times New Roman"/>
          <w:rtl/>
          <w:lang w:val="ar-SA"/>
        </w:rPr>
        <w:t>.</w:t>
      </w:r>
    </w:p>
    <w:p w14:paraId="1D70EC3F"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النحت، والرسم، والنقش، والفنون التصويرية المماثلة، بما في ذلك</w:t>
      </w:r>
      <w:r>
        <w:rPr>
          <w:rStyle w:val="None"/>
          <w:rFonts w:ascii="Times New Roman" w:hAnsi="Times New Roman"/>
          <w:rtl/>
          <w:lang w:val="ar-SA"/>
        </w:rPr>
        <w:t xml:space="preserve">: </w:t>
      </w:r>
      <w:r>
        <w:rPr>
          <w:rStyle w:val="None"/>
          <w:rFonts w:cs="Times New Roman" w:hint="cs"/>
          <w:rtl/>
          <w:lang w:val="ar-SA"/>
        </w:rPr>
        <w:t>فن المناظر الطبيعية</w:t>
      </w:r>
      <w:r>
        <w:rPr>
          <w:rStyle w:val="None"/>
          <w:rFonts w:ascii="Times New Roman" w:hAnsi="Times New Roman"/>
        </w:rPr>
        <w:t>.</w:t>
      </w:r>
    </w:p>
    <w:p w14:paraId="1023E430"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المخططات والأعمال المعمارية</w:t>
      </w:r>
      <w:r>
        <w:rPr>
          <w:rStyle w:val="None"/>
          <w:rFonts w:ascii="Times New Roman" w:hAnsi="Times New Roman"/>
          <w:rtl/>
          <w:lang w:val="ar-SA"/>
        </w:rPr>
        <w:t>.</w:t>
      </w:r>
    </w:p>
    <w:p w14:paraId="4BF5BADC"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السينمائي، سواءً أكانت صامتةً أم صوتيةً، شريطة ألا تكون مجرد أفلام وثائقية، محميةً وفقًا لأحكام الفصل الخامس من الجزء الثاني</w:t>
      </w:r>
      <w:r>
        <w:rPr>
          <w:rStyle w:val="None"/>
          <w:rFonts w:ascii="Times New Roman" w:hAnsi="Times New Roman"/>
          <w:rtl/>
          <w:lang w:val="ar-SA"/>
        </w:rPr>
        <w:t>.</w:t>
      </w:r>
    </w:p>
    <w:p w14:paraId="2D0E775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الفوتوغرافي والأعمال المعبر عنها بتقنيات مماثلة للصورة الفوتوغرافية، شريطة ألا تكون صورًا فوتوغرافيةً بسيطةً، محميةً وفقًا لأحكام الفصل الخامس من الجزء الثاني</w:t>
      </w:r>
      <w:r>
        <w:rPr>
          <w:rStyle w:val="None"/>
          <w:rFonts w:ascii="Times New Roman" w:hAnsi="Times New Roman"/>
          <w:rtl/>
          <w:lang w:val="ar-SA"/>
        </w:rPr>
        <w:t xml:space="preserve">. </w:t>
      </w:r>
    </w:p>
    <w:p w14:paraId="1F043FC3"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برامج الحاسوب، أيًا كان شكلها، شريطة أنْ تكون أصليةً، ونتاجًا للإبداع الفكري للمؤلف</w:t>
      </w:r>
      <w:r>
        <w:rPr>
          <w:rStyle w:val="None"/>
          <w:rFonts w:ascii="Times New Roman" w:hAnsi="Times New Roman"/>
          <w:rtl/>
          <w:lang w:val="ar-SA"/>
        </w:rPr>
        <w:t xml:space="preserve">. </w:t>
      </w:r>
    </w:p>
    <w:p w14:paraId="010ECD7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 xml:space="preserve">قواعد البيانات، المنصوص عليها في البند الثاني من المادة </w:t>
      </w:r>
      <w:r>
        <w:rPr>
          <w:rStyle w:val="None"/>
          <w:rFonts w:ascii="Times New Roman" w:hAnsi="Times New Roman"/>
          <w:rtl/>
          <w:lang w:val="ar-SA"/>
        </w:rPr>
        <w:t>1</w:t>
      </w:r>
      <w:r>
        <w:rPr>
          <w:rStyle w:val="None"/>
          <w:rFonts w:cs="Times New Roman" w:hint="cs"/>
          <w:rtl/>
          <w:lang w:val="ar-SA"/>
        </w:rPr>
        <w:t xml:space="preserve">، والمقصود بها مجموعات من الأعمال أو البيانات أو غيرها من المواد المستقلة، المرتبة بشكل منهجي أو منظم، والتي يمكن الوصول إليها بشكل فردي إلكترونيًا </w:t>
      </w:r>
      <w:r>
        <w:rPr>
          <w:rStyle w:val="None"/>
          <w:rFonts w:cs="Times New Roman" w:hint="cs"/>
          <w:rtl/>
          <w:lang w:val="ar-SA"/>
        </w:rPr>
        <w:lastRenderedPageBreak/>
        <w:t>أو بوسائل أخرى، ولا تمتد حماية حقوق الطبع والنشر لقواعد البيانات إلى محتوياتها، ولا تُخل بأي حقوق قائمة على هذه المحتويات</w:t>
      </w:r>
      <w:r>
        <w:rPr>
          <w:rStyle w:val="None"/>
          <w:rFonts w:ascii="Times New Roman" w:hAnsi="Times New Roman"/>
          <w:rtl/>
          <w:lang w:val="ar-SA"/>
        </w:rPr>
        <w:t>.</w:t>
      </w:r>
    </w:p>
    <w:p w14:paraId="2FEC4B55"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التصاميم الصناعية التي لها في حد ذاتها قيمة إبداعية وفنية</w:t>
      </w:r>
      <w:r>
        <w:rPr>
          <w:rStyle w:val="None"/>
          <w:rFonts w:ascii="Times New Roman" w:hAnsi="Times New Roman"/>
          <w:rtl/>
          <w:lang w:val="ar-SA"/>
        </w:rPr>
        <w:t>.</w:t>
      </w:r>
    </w:p>
    <w:p w14:paraId="1712C935"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وأنَّ تطوُّر قانون الملكية الفكرية الألماني في سياق التغيرات التكنولوجية، والاجتماعية، والسياسية التي شكّلت قوانين الملكية الفكرية، ونستعرض هذا التطوُّر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5"/>
      </w:r>
      <w:r>
        <w:rPr>
          <w:rStyle w:val="None"/>
          <w:rFonts w:ascii="Times New Roman" w:hAnsi="Times New Roman"/>
          <w:vertAlign w:val="superscript"/>
          <w:rtl/>
          <w:lang w:val="ar-SA"/>
        </w:rPr>
        <w:t>)</w:t>
      </w:r>
    </w:p>
    <w:p w14:paraId="46BDC69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أثارَ التقدمُ التكنولوجي في العصر الحديث المبكر </w:t>
      </w:r>
      <w:r>
        <w:rPr>
          <w:rStyle w:val="None"/>
          <w:rFonts w:ascii="Times New Roman" w:hAnsi="Times New Roman"/>
          <w:rtl/>
          <w:lang w:val="ar-SA"/>
        </w:rPr>
        <w:t>-</w:t>
      </w:r>
      <w:r>
        <w:rPr>
          <w:rStyle w:val="None"/>
          <w:rFonts w:cs="Times New Roman" w:hint="cs"/>
          <w:rtl/>
          <w:lang w:val="ar-SA"/>
        </w:rPr>
        <w:t>ولا سيما اختراع يوهانس غوتنبرغ من ماينز للمطبعة</w:t>
      </w:r>
      <w:r>
        <w:rPr>
          <w:rStyle w:val="None"/>
          <w:rFonts w:ascii="Times New Roman" w:hAnsi="Times New Roman"/>
          <w:rtl/>
          <w:lang w:val="ar-SA"/>
        </w:rPr>
        <w:t xml:space="preserve">- </w:t>
      </w:r>
      <w:r>
        <w:rPr>
          <w:rStyle w:val="None"/>
          <w:rFonts w:cs="Times New Roman" w:hint="cs"/>
          <w:rtl/>
          <w:lang w:val="ar-SA"/>
        </w:rPr>
        <w:t>تساؤلًا حول مَن يحق له تصنيع هذه الآلات واستخدامها، وكان الجواب على هذا التحدي التنظيمي هو صدور ما سُمي بالامتياز الحصري، الممنوح لفترة زمنية محددة من قِبل ملوك أراضي الإمبراطورية الرومانية المقدسة في العديد من الحالات الموثقة منذ القرن الرابع عشر</w:t>
      </w:r>
      <w:r>
        <w:rPr>
          <w:rStyle w:val="None"/>
          <w:rFonts w:ascii="Times New Roman" w:hAnsi="Times New Roman"/>
          <w:rtl/>
          <w:lang w:val="ar-SA"/>
        </w:rPr>
        <w:t>.</w:t>
      </w:r>
    </w:p>
    <w:p w14:paraId="79795ABF"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وقد استغرق الانتقال من الامتياز إلى الملكية مئات السنين، ففي حين كانت بريطانيا وفرنسا بؤرتين للثورات السياسية التي أدت إلى صدور أول قوانين حديثة لحقوق التأليف والنشر وبراءات الاختراع في القرن الثامن عشر</w:t>
      </w:r>
      <w:r>
        <w:rPr>
          <w:rStyle w:val="None"/>
          <w:rFonts w:ascii="Times New Roman" w:hAnsi="Times New Roman"/>
          <w:rtl/>
          <w:lang w:val="ar-SA"/>
        </w:rPr>
        <w:t>.</w:t>
      </w:r>
    </w:p>
    <w:p w14:paraId="3F9B5496"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ويعود أول تدوين ألماني لقوانين الملكية الفكرية الحديثة في الأراضي الألمانية الغربية الخاضعة للحكم أو النفوذ الفرنسي إلى العصر النابليوني</w:t>
      </w:r>
      <w:r>
        <w:rPr>
          <w:rStyle w:val="None"/>
          <w:rFonts w:ascii="Times New Roman" w:hAnsi="Times New Roman"/>
          <w:rtl/>
          <w:lang w:val="ar-SA"/>
        </w:rPr>
        <w:t>.</w:t>
      </w:r>
    </w:p>
    <w:p w14:paraId="4508DA6E"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أدى تأسيس الإمبراطورية الألمانية عام </w:t>
      </w:r>
      <w:r>
        <w:rPr>
          <w:rStyle w:val="None"/>
          <w:rFonts w:ascii="Times New Roman" w:hAnsi="Times New Roman"/>
          <w:rtl/>
          <w:lang w:val="ar-SA"/>
        </w:rPr>
        <w:t xml:space="preserve">1871 </w:t>
      </w:r>
      <w:r>
        <w:rPr>
          <w:rStyle w:val="None"/>
          <w:rFonts w:cs="Times New Roman" w:hint="cs"/>
          <w:rtl/>
          <w:lang w:val="ar-SA"/>
        </w:rPr>
        <w:t>إلى إنشاء ولاية قضائية موحدة للملكية الفكرية</w:t>
      </w:r>
      <w:r>
        <w:rPr>
          <w:rStyle w:val="None"/>
          <w:rFonts w:ascii="Times New Roman" w:hAnsi="Times New Roman"/>
          <w:rtl/>
          <w:lang w:val="ar-SA"/>
        </w:rPr>
        <w:t>.</w:t>
      </w:r>
    </w:p>
    <w:p w14:paraId="7FB082E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وفي غضون بضع سنوات، سُنّت قوانين حقوق الطبع والنشر في الأعوام </w:t>
      </w:r>
      <w:r>
        <w:rPr>
          <w:rStyle w:val="None"/>
          <w:rFonts w:ascii="Times New Roman" w:hAnsi="Times New Roman"/>
          <w:rtl/>
          <w:lang w:val="ar-SA"/>
        </w:rPr>
        <w:t>(1870/1876/1876)</w:t>
      </w:r>
      <w:r>
        <w:rPr>
          <w:rStyle w:val="None"/>
          <w:rFonts w:cs="Times New Roman" w:hint="cs"/>
          <w:rtl/>
          <w:lang w:val="ar-SA"/>
        </w:rPr>
        <w:t xml:space="preserve">، والعلامات التجارية </w:t>
      </w:r>
      <w:r>
        <w:rPr>
          <w:rStyle w:val="None"/>
          <w:rFonts w:ascii="Times New Roman" w:hAnsi="Times New Roman"/>
          <w:rtl/>
          <w:lang w:val="ar-SA"/>
        </w:rPr>
        <w:t>(1874)</w:t>
      </w:r>
      <w:r>
        <w:rPr>
          <w:rStyle w:val="None"/>
          <w:rFonts w:cs="Times New Roman" w:hint="cs"/>
          <w:rtl/>
          <w:lang w:val="ar-SA"/>
        </w:rPr>
        <w:t xml:space="preserve">، والتصميم </w:t>
      </w:r>
      <w:r>
        <w:rPr>
          <w:rStyle w:val="None"/>
          <w:rFonts w:ascii="Times New Roman" w:hAnsi="Times New Roman"/>
          <w:rtl/>
          <w:lang w:val="ar-SA"/>
        </w:rPr>
        <w:t>(1876)</w:t>
      </w:r>
      <w:r>
        <w:rPr>
          <w:rStyle w:val="None"/>
          <w:rFonts w:cs="Times New Roman" w:hint="cs"/>
          <w:rtl/>
          <w:lang w:val="ar-SA"/>
        </w:rPr>
        <w:t xml:space="preserve">، وبراءات الاختراع </w:t>
      </w:r>
      <w:r>
        <w:rPr>
          <w:rStyle w:val="None"/>
          <w:rFonts w:ascii="Times New Roman" w:hAnsi="Times New Roman"/>
          <w:rtl/>
          <w:lang w:val="ar-SA"/>
        </w:rPr>
        <w:t>(1877)</w:t>
      </w:r>
      <w:r>
        <w:rPr>
          <w:rStyle w:val="None"/>
          <w:rFonts w:cs="Times New Roman" w:hint="cs"/>
          <w:rtl/>
          <w:lang w:val="ar-SA"/>
        </w:rPr>
        <w:t>، والتي عكست إلى حد كبير المعيار الأوروبي لحماية الملكية الفكرية في ذلك الوقت</w:t>
      </w:r>
      <w:r>
        <w:rPr>
          <w:rStyle w:val="None"/>
          <w:rFonts w:ascii="Times New Roman" w:hAnsi="Times New Roman"/>
          <w:rtl/>
          <w:lang w:val="ar-SA"/>
        </w:rPr>
        <w:t>.</w:t>
      </w:r>
    </w:p>
    <w:p w14:paraId="319BBD8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شاركت ألمانيا بفاعلية في وضع معاهدات الملكية الفكرية، وكانت من بين الأعضاء المؤسسين لاتفاقية برن، وانضمت إلى اتفاقية باريس عام </w:t>
      </w:r>
      <w:r>
        <w:rPr>
          <w:rStyle w:val="None"/>
          <w:rFonts w:ascii="Times New Roman" w:hAnsi="Times New Roman"/>
          <w:rtl/>
          <w:lang w:val="ar-SA"/>
        </w:rPr>
        <w:t>1903.</w:t>
      </w:r>
    </w:p>
    <w:p w14:paraId="3EC3A303"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تُعَدُّ ألمانيا طرفًا متعاقدًا في جميع المعاهدات التي تديرها المنظمة العالمية للملكية الفكرية، وفي الاتفاقية الأوروبية لبراءات الاختراع، والاتحاد الدولي لحماية الأصناف النباتية، واتفاقية الجوانب المتصلة بالتجارة من حقوق الملكية الفكرية </w:t>
      </w:r>
      <w:r>
        <w:rPr>
          <w:rStyle w:val="None"/>
          <w:rFonts w:ascii="Times New Roman" w:hAnsi="Times New Roman"/>
          <w:rtl/>
          <w:lang w:val="ar-SA"/>
        </w:rPr>
        <w:t xml:space="preserve">(TRIPS) </w:t>
      </w:r>
      <w:r>
        <w:rPr>
          <w:rStyle w:val="None"/>
          <w:rFonts w:cs="Times New Roman" w:hint="cs"/>
          <w:rtl/>
          <w:lang w:val="ar-SA"/>
        </w:rPr>
        <w:t>التابعة لمنظمة التجارة العالمية</w:t>
      </w:r>
      <w:r>
        <w:rPr>
          <w:rStyle w:val="None"/>
          <w:rFonts w:ascii="Times New Roman" w:hAnsi="Times New Roman"/>
          <w:rtl/>
          <w:lang w:val="ar-SA"/>
        </w:rPr>
        <w:t>.</w:t>
      </w:r>
    </w:p>
    <w:p w14:paraId="72518D4B"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وفي الصين عام </w:t>
      </w:r>
      <w:r>
        <w:rPr>
          <w:rStyle w:val="None"/>
          <w:rFonts w:ascii="Times New Roman" w:hAnsi="Times New Roman"/>
          <w:rtl/>
          <w:lang w:val="ar-SA"/>
        </w:rPr>
        <w:t>1978</w:t>
      </w:r>
      <w:r>
        <w:rPr>
          <w:rStyle w:val="None"/>
          <w:rFonts w:cs="Times New Roman" w:hint="cs"/>
          <w:rtl/>
          <w:lang w:val="ar-SA"/>
        </w:rPr>
        <w:t xml:space="preserve">، تبنت الصين سياسة </w:t>
      </w:r>
      <w:r>
        <w:rPr>
          <w:rStyle w:val="None"/>
          <w:rFonts w:ascii="Times New Roman" w:hAnsi="Times New Roman"/>
          <w:rtl/>
          <w:lang w:val="ar-SA"/>
        </w:rPr>
        <w:t>"</w:t>
      </w:r>
      <w:r>
        <w:rPr>
          <w:rStyle w:val="None"/>
          <w:rFonts w:cs="Times New Roman" w:hint="cs"/>
          <w:rtl/>
          <w:lang w:val="ar-SA"/>
        </w:rPr>
        <w:t>الباب المفتوح</w:t>
      </w:r>
      <w:r>
        <w:rPr>
          <w:rStyle w:val="None"/>
          <w:rFonts w:ascii="Times New Roman" w:hAnsi="Times New Roman"/>
          <w:rtl/>
          <w:lang w:val="ar-SA"/>
        </w:rPr>
        <w:t>"</w:t>
      </w:r>
      <w:r>
        <w:rPr>
          <w:rStyle w:val="None"/>
          <w:rFonts w:cs="Times New Roman" w:hint="cs"/>
          <w:rtl/>
          <w:lang w:val="ar-SA"/>
        </w:rPr>
        <w:t xml:space="preserve">، التي حوّلت تدريجيًا نظام الاقتصاد المخطط الذي كان قائمًا في الصين لمدة </w:t>
      </w:r>
      <w:r>
        <w:rPr>
          <w:rStyle w:val="None"/>
          <w:rFonts w:ascii="Times New Roman" w:hAnsi="Times New Roman"/>
          <w:rtl/>
          <w:lang w:val="ar-SA"/>
        </w:rPr>
        <w:t xml:space="preserve">30 </w:t>
      </w:r>
      <w:r>
        <w:rPr>
          <w:rStyle w:val="None"/>
          <w:rFonts w:cs="Times New Roman" w:hint="cs"/>
          <w:rtl/>
          <w:lang w:val="ar-SA"/>
        </w:rPr>
        <w:t xml:space="preserve">عامًا إلى نظام اقتصاد السوق، ولدعم هذا التحول في النظام الاقتصادي، انضمت الصين إلى سلسلة من الاتفاقيات والمعاهدات الدولية لحماية حقوق الملكية الفكرية، وأنشأت نظامها القانوني الخاص بها، وقد وقّعت الصين على اتفاقية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 xml:space="preserve">) </w:t>
      </w:r>
      <w:r>
        <w:rPr>
          <w:rStyle w:val="None"/>
          <w:rFonts w:cs="Times New Roman" w:hint="cs"/>
          <w:rtl/>
          <w:lang w:val="ar-SA"/>
        </w:rPr>
        <w:t xml:space="preserve">في عام </w:t>
      </w:r>
      <w:r>
        <w:rPr>
          <w:rStyle w:val="None"/>
          <w:rFonts w:ascii="Times New Roman" w:hAnsi="Times New Roman"/>
          <w:rtl/>
          <w:lang w:val="ar-SA"/>
        </w:rPr>
        <w:t>1980</w:t>
      </w:r>
      <w:r>
        <w:rPr>
          <w:rStyle w:val="None"/>
          <w:rFonts w:cs="Times New Roman" w:hint="cs"/>
          <w:rtl/>
          <w:lang w:val="ar-SA"/>
        </w:rPr>
        <w:t xml:space="preserve">، وفي </w:t>
      </w:r>
      <w:r>
        <w:rPr>
          <w:rStyle w:val="None"/>
          <w:rFonts w:ascii="Times New Roman" w:hAnsi="Times New Roman"/>
          <w:rtl/>
          <w:lang w:val="ar-SA"/>
        </w:rPr>
        <w:t xml:space="preserve">11 </w:t>
      </w:r>
      <w:r>
        <w:rPr>
          <w:rStyle w:val="None"/>
          <w:rFonts w:cs="Times New Roman" w:hint="cs"/>
          <w:rtl/>
          <w:lang w:val="ar-SA"/>
        </w:rPr>
        <w:t xml:space="preserve">ديسمبر </w:t>
      </w:r>
      <w:r>
        <w:rPr>
          <w:rStyle w:val="None"/>
          <w:rFonts w:ascii="Times New Roman" w:hAnsi="Times New Roman"/>
          <w:rtl/>
          <w:lang w:val="ar-SA"/>
        </w:rPr>
        <w:t>2001</w:t>
      </w:r>
      <w:r>
        <w:rPr>
          <w:rStyle w:val="None"/>
          <w:rFonts w:cs="Times New Roman" w:hint="cs"/>
          <w:rtl/>
          <w:lang w:val="ar-SA"/>
        </w:rPr>
        <w:t xml:space="preserve">، قُبلت الصين عضوًا في منظمة التجارة العالمية </w:t>
      </w:r>
      <w:r>
        <w:rPr>
          <w:rStyle w:val="None"/>
          <w:rFonts w:ascii="Times New Roman" w:hAnsi="Times New Roman"/>
          <w:rtl/>
          <w:lang w:val="ar-SA"/>
        </w:rPr>
        <w:t>(WTO)</w:t>
      </w:r>
      <w:r>
        <w:rPr>
          <w:rStyle w:val="None"/>
          <w:rFonts w:cs="Times New Roman" w:hint="cs"/>
          <w:rtl/>
          <w:lang w:val="ar-SA"/>
        </w:rPr>
        <w:t xml:space="preserve">، وكشرط إلزامي للانضمام إلى منظمة التجارة العالمية، اضطرت الصين إلى تحسين نظام حقوق الملكية الفكرية لديها للامتثال للحد الأدنى من معايير اتفاقية الجوانب المتصلة بالتجارة </w:t>
      </w:r>
      <w:r>
        <w:rPr>
          <w:rStyle w:val="None"/>
          <w:rFonts w:cs="Times New Roman" w:hint="cs"/>
          <w:rtl/>
          <w:lang w:val="ar-SA"/>
        </w:rPr>
        <w:lastRenderedPageBreak/>
        <w:t xml:space="preserve">لحقوق الملكية الفكرية </w:t>
      </w:r>
      <w:r>
        <w:rPr>
          <w:rStyle w:val="None"/>
          <w:rFonts w:ascii="Times New Roman" w:hAnsi="Times New Roman"/>
          <w:rtl/>
          <w:lang w:val="ar-SA"/>
        </w:rPr>
        <w:t>(TRIPS)</w:t>
      </w:r>
      <w:r>
        <w:rPr>
          <w:rStyle w:val="None"/>
          <w:rFonts w:cs="Times New Roman" w:hint="cs"/>
          <w:rtl/>
          <w:lang w:val="ar-SA"/>
        </w:rPr>
        <w:t>، وبالتالي</w:t>
      </w:r>
      <w:r>
        <w:rPr>
          <w:rStyle w:val="None"/>
          <w:rFonts w:ascii="Times New Roman" w:hAnsi="Times New Roman"/>
          <w:rtl/>
          <w:lang w:val="ar-SA"/>
        </w:rPr>
        <w:t xml:space="preserve">: </w:t>
      </w:r>
      <w:r>
        <w:rPr>
          <w:rStyle w:val="None"/>
          <w:rFonts w:cs="Times New Roman" w:hint="cs"/>
          <w:rtl/>
          <w:lang w:val="ar-SA"/>
        </w:rPr>
        <w:t>خضعت قوانين براءات الاختراع والعلامات التجارية وحقوق التأليف والنشر للمراجعة، كما صدرت العديد من القوانين واللوائح الأخرى المتعلقة بحقوق الملكية الفكرية خلال هذه الفترة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6"/>
      </w:r>
      <w:r>
        <w:rPr>
          <w:rStyle w:val="None"/>
          <w:rFonts w:ascii="Times New Roman" w:hAnsi="Times New Roman"/>
          <w:vertAlign w:val="superscript"/>
          <w:rtl/>
          <w:lang w:val="ar-SA"/>
        </w:rPr>
        <w:t>)</w:t>
      </w:r>
    </w:p>
    <w:p w14:paraId="3DA662F8"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وتتبع مراحل تطوُّر قانون الملكية الفكرية في الصين من خلال النقاط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cs="Times New Roman"/>
          <w:vertAlign w:val="superscript"/>
          <w:lang w:val="ar-SA"/>
        </w:rPr>
        <w:footnoteReference w:id="117"/>
      </w:r>
      <w:r>
        <w:rPr>
          <w:rStyle w:val="None"/>
          <w:rFonts w:ascii="Times New Roman" w:hAnsi="Times New Roman"/>
          <w:vertAlign w:val="superscript"/>
          <w:rtl/>
          <w:lang w:val="ar-SA"/>
        </w:rPr>
        <w:t>)</w:t>
      </w:r>
    </w:p>
    <w:p w14:paraId="332F8D26"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في عام </w:t>
      </w:r>
      <w:r>
        <w:rPr>
          <w:rStyle w:val="None"/>
          <w:rFonts w:ascii="Times New Roman" w:hAnsi="Times New Roman"/>
          <w:rtl/>
          <w:lang w:val="ar-SA"/>
        </w:rPr>
        <w:t>1973</w:t>
      </w:r>
      <w:r>
        <w:rPr>
          <w:rStyle w:val="None"/>
          <w:rFonts w:cs="Times New Roman" w:hint="cs"/>
          <w:rtl/>
          <w:lang w:val="ar-SA"/>
        </w:rPr>
        <w:t xml:space="preserve">، زار رئيسُ الوزراء </w:t>
      </w:r>
      <w:r>
        <w:rPr>
          <w:rStyle w:val="None"/>
          <w:rFonts w:ascii="Times New Roman" w:hAnsi="Times New Roman"/>
          <w:rtl/>
          <w:lang w:val="ar-SA"/>
        </w:rPr>
        <w:t>(</w:t>
      </w:r>
      <w:r>
        <w:rPr>
          <w:rStyle w:val="None"/>
          <w:rFonts w:cs="Times New Roman" w:hint="cs"/>
          <w:rtl/>
          <w:lang w:val="ar-SA"/>
        </w:rPr>
        <w:t>تشو إن لاي</w:t>
      </w:r>
      <w:r>
        <w:rPr>
          <w:rStyle w:val="None"/>
          <w:rFonts w:ascii="Times New Roman" w:hAnsi="Times New Roman"/>
          <w:rtl/>
          <w:lang w:val="ar-SA"/>
        </w:rPr>
        <w:t>)</w:t>
      </w:r>
      <w:r>
        <w:rPr>
          <w:rStyle w:val="None"/>
          <w:rFonts w:cs="Times New Roman" w:hint="cs"/>
          <w:rtl/>
          <w:lang w:val="ar-SA"/>
        </w:rPr>
        <w:t xml:space="preserve">، ومديرُ الشؤون القانونية في المجلس الصيني لتعزيز التجارة الدولية </w:t>
      </w:r>
      <w:r>
        <w:rPr>
          <w:rStyle w:val="None"/>
          <w:rFonts w:ascii="Times New Roman" w:hAnsi="Times New Roman"/>
          <w:rtl/>
          <w:lang w:val="ar-SA"/>
        </w:rPr>
        <w:t xml:space="preserve">(CCPIT) </w:t>
      </w:r>
      <w:r>
        <w:rPr>
          <w:rStyle w:val="None"/>
          <w:rFonts w:cs="Times New Roman" w:hint="cs"/>
          <w:rtl/>
          <w:lang w:val="ar-SA"/>
        </w:rPr>
        <w:t>المنظمةَ العالميةَ للملكية الفكرية</w:t>
      </w:r>
      <w:r>
        <w:rPr>
          <w:rStyle w:val="None"/>
          <w:rFonts w:ascii="Times New Roman" w:hAnsi="Times New Roman"/>
          <w:rtl/>
          <w:lang w:val="ar-SA"/>
        </w:rPr>
        <w:t xml:space="preserve">. </w:t>
      </w:r>
    </w:p>
    <w:p w14:paraId="4246C877"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حدث أول نشاط رسمي للملكية الفكرية الدولية في الصين في عام </w:t>
      </w:r>
      <w:r>
        <w:rPr>
          <w:rStyle w:val="None"/>
          <w:rFonts w:ascii="Times New Roman" w:hAnsi="Times New Roman"/>
          <w:rtl/>
          <w:lang w:val="ar-SA"/>
        </w:rPr>
        <w:t xml:space="preserve">1974 </w:t>
      </w:r>
      <w:r>
        <w:rPr>
          <w:rStyle w:val="None"/>
          <w:rFonts w:cs="Times New Roman" w:hint="cs"/>
          <w:rtl/>
          <w:lang w:val="ar-SA"/>
        </w:rPr>
        <w:t>عندما وقّعت حكومتا الصين وأستراليا تبادلًا لمذكرات بشأن تسجيل العلامات التجارية بين البلدين</w:t>
      </w:r>
      <w:r>
        <w:rPr>
          <w:rStyle w:val="None"/>
          <w:rFonts w:ascii="Times New Roman" w:hAnsi="Times New Roman"/>
          <w:rtl/>
          <w:lang w:val="ar-SA"/>
        </w:rPr>
        <w:t>.</w:t>
      </w:r>
    </w:p>
    <w:p w14:paraId="30855905"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ثم تم الاعتراف بحقوق الملكية الفكرية وحمايتها في جمهورية الصين الشعبية منذ عام </w:t>
      </w:r>
      <w:r>
        <w:rPr>
          <w:rStyle w:val="None"/>
          <w:rFonts w:ascii="Times New Roman" w:hAnsi="Times New Roman"/>
          <w:rtl/>
          <w:lang w:val="ar-SA"/>
        </w:rPr>
        <w:t>1979.</w:t>
      </w:r>
    </w:p>
    <w:p w14:paraId="06B4DBD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انضمت الصين إلى الويبو كعضوها التسعين في عام </w:t>
      </w:r>
      <w:r>
        <w:rPr>
          <w:rStyle w:val="None"/>
          <w:rFonts w:ascii="Times New Roman" w:hAnsi="Times New Roman"/>
          <w:rtl/>
          <w:lang w:val="ar-SA"/>
        </w:rPr>
        <w:t>1980</w:t>
      </w:r>
      <w:r>
        <w:rPr>
          <w:rStyle w:val="None"/>
          <w:rFonts w:cs="Times New Roman" w:hint="cs"/>
          <w:rtl/>
          <w:lang w:val="ar-SA"/>
        </w:rPr>
        <w:t>، وبعد عام واحد فقط من انضمامها إلى الويبو</w:t>
      </w:r>
      <w:r>
        <w:rPr>
          <w:rStyle w:val="None"/>
          <w:rFonts w:ascii="Times New Roman" w:hAnsi="Times New Roman"/>
          <w:rtl/>
          <w:lang w:val="ar-SA"/>
        </w:rPr>
        <w:t>.</w:t>
      </w:r>
    </w:p>
    <w:p w14:paraId="6362F529"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مارس </w:t>
      </w:r>
      <w:r>
        <w:rPr>
          <w:rStyle w:val="None"/>
          <w:rFonts w:ascii="Times New Roman" w:hAnsi="Times New Roman"/>
          <w:rtl/>
          <w:lang w:val="ar-SA"/>
        </w:rPr>
        <w:t>1984</w:t>
      </w:r>
      <w:r>
        <w:rPr>
          <w:rStyle w:val="None"/>
          <w:rFonts w:cs="Times New Roman" w:hint="cs"/>
          <w:rtl/>
          <w:lang w:val="ar-SA"/>
        </w:rPr>
        <w:t>، أصدر المجلس الوطني لنواب الشعب الصيني أول قانون صيني لبراءات الاختراع، وهو حدث تاريخي فتح صفحة جديدة في حماية حقوق الملكية الفكرية</w:t>
      </w:r>
      <w:r>
        <w:rPr>
          <w:rStyle w:val="None"/>
          <w:rFonts w:ascii="Times New Roman" w:hAnsi="Times New Roman"/>
          <w:rtl/>
          <w:lang w:val="ar-SA"/>
        </w:rPr>
        <w:t>.</w:t>
      </w:r>
    </w:p>
    <w:p w14:paraId="66642439"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1980 </w:t>
      </w:r>
      <w:r>
        <w:rPr>
          <w:rStyle w:val="None"/>
          <w:rFonts w:cs="Times New Roman" w:hint="cs"/>
          <w:rtl/>
          <w:lang w:val="ar-SA"/>
        </w:rPr>
        <w:t xml:space="preserve">تأسس مكتب الدولة للملكية الفكرية لجمهورية الصين الشعبية </w:t>
      </w:r>
      <w:r>
        <w:rPr>
          <w:rStyle w:val="None"/>
          <w:rFonts w:ascii="Times New Roman" w:hAnsi="Times New Roman"/>
          <w:rtl/>
          <w:lang w:val="ar-SA"/>
        </w:rPr>
        <w:t>(SIPO)</w:t>
      </w:r>
      <w:r>
        <w:rPr>
          <w:rStyle w:val="None"/>
          <w:rFonts w:cs="Times New Roman" w:hint="cs"/>
          <w:rtl/>
          <w:lang w:val="ar-SA"/>
        </w:rPr>
        <w:t>، المعروف أيضًا باسم مكتب براءات الاختراع الصيني</w:t>
      </w:r>
      <w:r>
        <w:rPr>
          <w:rStyle w:val="None"/>
          <w:rFonts w:ascii="Times New Roman" w:hAnsi="Times New Roman"/>
          <w:rtl/>
          <w:lang w:val="ar-SA"/>
        </w:rPr>
        <w:t>.</w:t>
      </w:r>
    </w:p>
    <w:p w14:paraId="2ACE81F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انضمت الصين إلى اتفاقية مدريد بشأن التسجيل الدولي للعلامات التجارية عام </w:t>
      </w:r>
      <w:r>
        <w:rPr>
          <w:rStyle w:val="None"/>
          <w:rFonts w:ascii="Times New Roman" w:hAnsi="Times New Roman"/>
          <w:rtl/>
          <w:lang w:val="ar-SA"/>
        </w:rPr>
        <w:t xml:space="preserve">1989. </w:t>
      </w:r>
    </w:p>
    <w:p w14:paraId="4F5D943C"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أصدرت الصين قانونًا جديدًا لحقوق الطبع والنشر وأصدرت لوائح تنفيذية جديدة في عام </w:t>
      </w:r>
      <w:r>
        <w:rPr>
          <w:rStyle w:val="None"/>
          <w:rFonts w:ascii="Times New Roman" w:hAnsi="Times New Roman"/>
          <w:rtl/>
          <w:lang w:val="ar-SA"/>
        </w:rPr>
        <w:t>1990</w:t>
      </w:r>
      <w:r>
        <w:rPr>
          <w:rStyle w:val="None"/>
          <w:rFonts w:cs="Times New Roman" w:hint="cs"/>
          <w:rtl/>
          <w:lang w:val="ar-SA"/>
        </w:rPr>
        <w:t xml:space="preserve">، وتبع ذلك مجموعة منفصلة من لوائح تحدد الملكية الفكرية لبرمجيات الحاسوب في عام </w:t>
      </w:r>
      <w:r>
        <w:rPr>
          <w:rStyle w:val="None"/>
          <w:rFonts w:ascii="Times New Roman" w:hAnsi="Times New Roman"/>
          <w:rtl/>
          <w:lang w:val="ar-SA"/>
        </w:rPr>
        <w:t>1991.</w:t>
      </w:r>
    </w:p>
    <w:p w14:paraId="540CAD05"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2001 </w:t>
      </w:r>
      <w:r>
        <w:rPr>
          <w:rStyle w:val="None"/>
          <w:rFonts w:cs="Times New Roman" w:hint="cs"/>
          <w:rtl/>
          <w:lang w:val="ar-SA"/>
        </w:rPr>
        <w:t xml:space="preserve">انضمت الصين إلى منظمة التجارة العالمية بعد </w:t>
      </w:r>
      <w:r>
        <w:rPr>
          <w:rStyle w:val="None"/>
          <w:rFonts w:ascii="Times New Roman" w:hAnsi="Times New Roman"/>
          <w:rtl/>
          <w:lang w:val="ar-SA"/>
        </w:rPr>
        <w:t xml:space="preserve">15 </w:t>
      </w:r>
      <w:r>
        <w:rPr>
          <w:rStyle w:val="None"/>
          <w:rFonts w:cs="Times New Roman" w:hint="cs"/>
          <w:rtl/>
          <w:lang w:val="ar-SA"/>
        </w:rPr>
        <w:t xml:space="preserve">عامًا من المشاورات، ومن أجل الحصول على عضوية منظمة التجارة العالمية، عزّزت الصين حماية حقوق الملكية الفكرية من خلال تصميم عدد من الاستراتيجيات ملتزمةً بالمعايير الدنيا لاتفاقية الجوانب المتصلة بالتجارة من حقوق الملكية الفكرية </w:t>
      </w:r>
      <w:r>
        <w:rPr>
          <w:rStyle w:val="None"/>
          <w:rFonts w:ascii="Times New Roman" w:hAnsi="Times New Roman"/>
          <w:rtl/>
          <w:lang w:val="ar-SA"/>
        </w:rPr>
        <w:t>(TRIPs).</w:t>
      </w:r>
    </w:p>
    <w:p w14:paraId="05566FE3"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2004</w:t>
      </w:r>
      <w:r>
        <w:rPr>
          <w:rStyle w:val="None"/>
          <w:rFonts w:cs="Times New Roman" w:hint="cs"/>
          <w:rtl/>
          <w:lang w:val="ar-SA"/>
        </w:rPr>
        <w:t>، أصبحت الصين رابع أكبر مكتب براءات اختراع في العالم، من حيث عدد طلبات براءات الاختراع</w:t>
      </w:r>
      <w:r>
        <w:rPr>
          <w:rStyle w:val="None"/>
          <w:rFonts w:ascii="Times New Roman" w:hAnsi="Times New Roman"/>
          <w:rtl/>
          <w:lang w:val="ar-SA"/>
        </w:rPr>
        <w:t>.</w:t>
      </w:r>
    </w:p>
    <w:p w14:paraId="600F0D7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2014 </w:t>
      </w:r>
      <w:r>
        <w:rPr>
          <w:rStyle w:val="None"/>
          <w:rFonts w:cs="Times New Roman" w:hint="cs"/>
          <w:rtl/>
          <w:lang w:val="ar-SA"/>
        </w:rPr>
        <w:t>نُشرت خطة الترويج لتنفيذ الاستراتيجية الوطنية للملكية الفكرية؛ تنفيذًا لمتطلبات المؤتمر الوطني الثامن عشر للحزب الشيوعي الصيني، والدورة الكاملة الثالثة للجنة المركزية الثامنة عشرة للحزب الشيوعي الصيني، وتنفيذًا لمتطلبات المؤتمر الوطني التلفزيوني والهاتفي بشأن تنفيذ استراتيجية الملكية الفكرية، وتعزيز التنفيذ العميق والفعَّال للاستراتيجية الوطنية للملكية الفكرية</w:t>
      </w:r>
      <w:r>
        <w:rPr>
          <w:rStyle w:val="None"/>
          <w:rFonts w:ascii="Times New Roman" w:hAnsi="Times New Roman"/>
          <w:rtl/>
          <w:lang w:val="ar-SA"/>
        </w:rPr>
        <w:t>.</w:t>
      </w:r>
      <w:bookmarkEnd w:id="131"/>
    </w:p>
    <w:p w14:paraId="3C854CD3"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16C1BB24" w14:textId="77777777" w:rsidR="00454428" w:rsidRDefault="00000000" w:rsidP="00C72BA8">
      <w:pPr>
        <w:pStyle w:val="a4"/>
        <w:rPr>
          <w:rStyle w:val="None"/>
          <w:b w:val="0"/>
          <w:bCs w:val="0"/>
          <w:lang w:val="ar-SA"/>
        </w:rPr>
      </w:pPr>
      <w:bookmarkStart w:id="136" w:name="_Toc227251098"/>
      <w:bookmarkStart w:id="137" w:name="_Toc227251408"/>
      <w:r>
        <w:rPr>
          <w:rStyle w:val="None"/>
          <w:rFonts w:ascii="Arial Unicode MS" w:eastAsia="Arial Unicode MS" w:hAnsi="Arial Unicode MS" w:hint="cs"/>
          <w:rtl/>
          <w:lang w:val="ar-SA"/>
        </w:rPr>
        <w:lastRenderedPageBreak/>
        <w:t>الفرع الثاني</w:t>
      </w:r>
      <w:bookmarkEnd w:id="136"/>
      <w:bookmarkEnd w:id="137"/>
    </w:p>
    <w:p w14:paraId="2134FF17" w14:textId="77777777" w:rsidR="00454428" w:rsidRDefault="00000000" w:rsidP="00C72BA8">
      <w:pPr>
        <w:pStyle w:val="a4"/>
        <w:rPr>
          <w:rStyle w:val="None"/>
          <w:b w:val="0"/>
          <w:bCs w:val="0"/>
          <w:lang w:val="ar-SA"/>
        </w:rPr>
      </w:pPr>
      <w:bookmarkStart w:id="138" w:name="_Toc227251099"/>
      <w:bookmarkStart w:id="139" w:name="_Toc227251409"/>
      <w:r>
        <w:rPr>
          <w:rStyle w:val="None"/>
          <w:rFonts w:ascii="Arial Unicode MS" w:eastAsia="Arial Unicode MS" w:hAnsi="Arial Unicode MS" w:hint="cs"/>
          <w:rtl/>
          <w:lang w:val="ar-SA"/>
        </w:rPr>
        <w:t>دور المؤسسات الوطنية والدولية في دعم الحماية</w:t>
      </w:r>
      <w:bookmarkEnd w:id="138"/>
      <w:bookmarkEnd w:id="139"/>
    </w:p>
    <w:p w14:paraId="092AD2E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تلعب المؤسسات دورًا محوريًا في تنفيذ التشريعات وتطوير منظومة الحماية، ففي المملكة العربية السعودية، تضطلع الهيئة السعودية للملكية الفكرية </w:t>
      </w:r>
      <w:r>
        <w:rPr>
          <w:rStyle w:val="None"/>
          <w:rFonts w:ascii="Times New Roman" w:hAnsi="Times New Roman"/>
          <w:rtl/>
          <w:lang w:val="ar-SA"/>
        </w:rPr>
        <w:t xml:space="preserve">SAIP </w:t>
      </w:r>
      <w:r>
        <w:rPr>
          <w:rStyle w:val="None"/>
          <w:rFonts w:cs="Times New Roman" w:hint="cs"/>
          <w:rtl/>
          <w:lang w:val="ar-SA"/>
        </w:rPr>
        <w:t xml:space="preserve">بمسئولية تسجيل الحقوق ومراقبة الامتثال، وتقديم خدمات توعوية وتنظيمية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8"/>
      </w:r>
      <w:r>
        <w:rPr>
          <w:rStyle w:val="None"/>
          <w:rFonts w:ascii="Times New Roman" w:hAnsi="Times New Roman"/>
          <w:vertAlign w:val="superscript"/>
          <w:rtl/>
          <w:lang w:val="ar-SA"/>
        </w:rPr>
        <w:t>)</w:t>
      </w:r>
      <w:r>
        <w:rPr>
          <w:rStyle w:val="None"/>
          <w:rFonts w:cs="Times New Roman" w:hint="cs"/>
          <w:rtl/>
          <w:lang w:val="ar-SA"/>
        </w:rPr>
        <w:t>، كما تسهم وزارة التجارة في متابعة قضايا الغش والتقليد، وتشارك وزارة الإعلام في حماية المصنفات السمعية والبصرية، وتتكامل هذه الجهود مع دور القضاء في الفصل في المنازعات، سواء عبر المحاكم أو اللجان المختصة</w:t>
      </w:r>
      <w:r>
        <w:rPr>
          <w:rStyle w:val="None"/>
          <w:rFonts w:ascii="Times New Roman" w:hAnsi="Times New Roman"/>
          <w:rtl/>
          <w:lang w:val="ar-SA"/>
        </w:rPr>
        <w:t>.</w:t>
      </w:r>
    </w:p>
    <w:p w14:paraId="4AE893B9"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فقد أنشأت المملكة هيئةً مختصةً بحقوق الملكية الفكرية اعتمدت بقرار مجلس الوزراء عام </w:t>
      </w:r>
      <w:r>
        <w:rPr>
          <w:rStyle w:val="None"/>
          <w:rFonts w:ascii="Times New Roman" w:hAnsi="Times New Roman"/>
          <w:rtl/>
          <w:lang w:val="ar-SA"/>
        </w:rPr>
        <w:t>1437</w:t>
      </w:r>
      <w:r>
        <w:rPr>
          <w:rStyle w:val="None"/>
          <w:rFonts w:cs="Times New Roman" w:hint="cs"/>
          <w:rtl/>
          <w:lang w:val="ar-SA"/>
        </w:rPr>
        <w:t xml:space="preserve">هـ الموافق </w:t>
      </w:r>
      <w:r>
        <w:rPr>
          <w:rStyle w:val="None"/>
          <w:rFonts w:ascii="Times New Roman" w:hAnsi="Times New Roman"/>
          <w:rtl/>
          <w:lang w:val="ar-SA"/>
        </w:rPr>
        <w:t>2015</w:t>
      </w:r>
      <w:r>
        <w:rPr>
          <w:rStyle w:val="None"/>
          <w:rFonts w:cs="Times New Roman" w:hint="cs"/>
          <w:rtl/>
          <w:lang w:val="ar-SA"/>
        </w:rPr>
        <w:t xml:space="preserve">، ومن مبادرات التحول الوطني </w:t>
      </w:r>
      <w:r>
        <w:rPr>
          <w:rStyle w:val="None"/>
          <w:rFonts w:ascii="Times New Roman" w:hAnsi="Times New Roman"/>
          <w:rtl/>
          <w:lang w:val="ar-SA"/>
        </w:rPr>
        <w:t>2020</w:t>
      </w:r>
      <w:r>
        <w:rPr>
          <w:rStyle w:val="None"/>
          <w:rFonts w:cs="Times New Roman" w:hint="cs"/>
          <w:rtl/>
          <w:lang w:val="ar-SA"/>
        </w:rPr>
        <w:t xml:space="preserve">، وأنشئت الهيئة في منتصف عام </w:t>
      </w:r>
      <w:r>
        <w:rPr>
          <w:rStyle w:val="None"/>
          <w:rFonts w:ascii="Times New Roman" w:hAnsi="Times New Roman"/>
          <w:rtl/>
          <w:lang w:val="ar-SA"/>
        </w:rPr>
        <w:t>1438</w:t>
      </w:r>
      <w:r>
        <w:rPr>
          <w:rStyle w:val="None"/>
          <w:rFonts w:cs="Times New Roman" w:hint="cs"/>
          <w:rtl/>
          <w:lang w:val="ar-SA"/>
        </w:rPr>
        <w:t xml:space="preserve">هـ بقرار مجلس الوزراء القاضي بالموافقة على الترتيبات التنظيمية لها، وفي عام </w:t>
      </w:r>
      <w:r>
        <w:rPr>
          <w:rStyle w:val="None"/>
          <w:rFonts w:ascii="Times New Roman" w:hAnsi="Times New Roman"/>
          <w:rtl/>
          <w:lang w:val="ar-SA"/>
        </w:rPr>
        <w:t>1439</w:t>
      </w:r>
      <w:r>
        <w:rPr>
          <w:rStyle w:val="None"/>
          <w:rFonts w:cs="Times New Roman" w:hint="cs"/>
          <w:rtl/>
          <w:lang w:val="ar-SA"/>
        </w:rPr>
        <w:t>هـ صدر تنظيم الهيئة؛ حيث إنَّها تهدف إلى تنظيم مجالات الملكية الفكرية في المملكة، ودعمها، وتنميتها، ورعايتها، وحمايتها، وإنفاذها، والارتقاء بها وفق أفضل الممارسات العالمية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9"/>
      </w:r>
      <w:r>
        <w:rPr>
          <w:rStyle w:val="None"/>
          <w:rFonts w:ascii="Times New Roman" w:hAnsi="Times New Roman"/>
          <w:vertAlign w:val="superscript"/>
          <w:rtl/>
          <w:lang w:val="ar-SA"/>
        </w:rPr>
        <w:t>)</w:t>
      </w:r>
    </w:p>
    <w:p w14:paraId="5777EA7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تتولَّى الهيئة السعودية للملكية الفكرية مسئولية تنفيذ النظام والإشراف على حماية حقوق المؤلف في المملكة، كما تقدم الهيئة خدمات متعددة، بما في ذلك</w:t>
      </w:r>
      <w:r>
        <w:rPr>
          <w:rStyle w:val="None"/>
          <w:rFonts w:ascii="Times New Roman" w:hAnsi="Times New Roman"/>
          <w:rtl/>
          <w:lang w:val="ar-SA"/>
        </w:rPr>
        <w:t xml:space="preserve">: </w:t>
      </w:r>
      <w:r>
        <w:rPr>
          <w:rStyle w:val="None"/>
          <w:rFonts w:cs="Times New Roman" w:hint="cs"/>
          <w:rtl/>
          <w:lang w:val="ar-SA"/>
        </w:rPr>
        <w:t>تسجيل المصنفات، وإصدار التراخيص، ومتابعة التعديات على حقوق المؤلفين</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0"/>
      </w:r>
      <w:r>
        <w:rPr>
          <w:rStyle w:val="None"/>
          <w:rFonts w:ascii="Times New Roman" w:hAnsi="Times New Roman"/>
          <w:vertAlign w:val="superscript"/>
          <w:rtl/>
          <w:lang w:val="ar-SA"/>
        </w:rPr>
        <w:t>)</w:t>
      </w:r>
      <w:r>
        <w:rPr>
          <w:rStyle w:val="None"/>
          <w:rFonts w:ascii="Times New Roman" w:hAnsi="Times New Roman"/>
          <w:rtl/>
          <w:lang w:val="ar-SA"/>
        </w:rPr>
        <w:t xml:space="preserve"> </w:t>
      </w:r>
    </w:p>
    <w:p w14:paraId="2E6A8AE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حيث نصت المادة الثالثة من تنظيم الهيئة السعودية للملكية الفكرية على العديد من الأهداف، وهي</w:t>
      </w:r>
      <w:r>
        <w:rPr>
          <w:rStyle w:val="None"/>
          <w:rFonts w:ascii="Times New Roman" w:hAnsi="Times New Roman"/>
          <w:rtl/>
          <w:lang w:val="ar-SA"/>
        </w:rPr>
        <w:t>:</w:t>
      </w:r>
    </w:p>
    <w:p w14:paraId="4860B30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هدف الهيئة إلى تنظيم مجالات الملكية الفكرية في المملكة، ودعمها، وتنميتها، ورعايتها، وحمايتها، وإنفاذه،ا والارتقاء بها، وفقًا لأفضل الممارسات العالمية، ولها في سبيل تحقيق أهدافها المهمات والاختصاصات الآتية</w:t>
      </w:r>
      <w:r>
        <w:rPr>
          <w:rStyle w:val="None"/>
          <w:rFonts w:ascii="Times New Roman" w:hAnsi="Times New Roman"/>
          <w:rtl/>
          <w:lang w:val="ar-SA"/>
        </w:rPr>
        <w:t>:</w:t>
      </w:r>
    </w:p>
    <w:p w14:paraId="40C153A9"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إعداد الاستراتيجية الوطنية للملكية الفكرية ومتابعة تنفيذها بعد اعتمادها، ووضع خطط عمل وبرامج زمنية لها بالتنسيق والتعاون مع الجهات ذات العلاقة</w:t>
      </w:r>
      <w:r>
        <w:rPr>
          <w:rStyle w:val="None"/>
          <w:rFonts w:ascii="Times New Roman" w:hAnsi="Times New Roman"/>
          <w:rtl/>
          <w:lang w:val="ar-SA"/>
        </w:rPr>
        <w:t>.</w:t>
      </w:r>
    </w:p>
    <w:p w14:paraId="53B349BE"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اقتراح الأنظمة واللوائح المتعلقة بحقوق الملكية الفكرية</w:t>
      </w:r>
      <w:r>
        <w:rPr>
          <w:rStyle w:val="None"/>
          <w:rFonts w:ascii="Times New Roman" w:hAnsi="Times New Roman"/>
          <w:rtl/>
          <w:lang w:val="ar-SA"/>
        </w:rPr>
        <w:t>.</w:t>
      </w:r>
    </w:p>
    <w:p w14:paraId="2020E59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تسجيل حقوق الملكية الفكرية، ومنحها وثائق الحماية وإنفاذها</w:t>
      </w:r>
      <w:r>
        <w:rPr>
          <w:rStyle w:val="None"/>
          <w:rFonts w:ascii="Times New Roman" w:hAnsi="Times New Roman"/>
          <w:rtl/>
          <w:lang w:val="ar-SA"/>
        </w:rPr>
        <w:t>.</w:t>
      </w:r>
    </w:p>
    <w:p w14:paraId="2914134B"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توفير المعلومات المتعلقة بحقوق الملكية الفكرية، وإتاحتها للجمهور</w:t>
      </w:r>
      <w:r>
        <w:rPr>
          <w:rStyle w:val="None"/>
          <w:rFonts w:ascii="Times New Roman" w:hAnsi="Times New Roman"/>
          <w:rtl/>
          <w:lang w:val="ar-SA"/>
        </w:rPr>
        <w:t>.</w:t>
      </w:r>
    </w:p>
    <w:p w14:paraId="0234E46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التوعية بأهمية الملكية الفكرية وحماية حقوقها</w:t>
      </w:r>
      <w:r>
        <w:rPr>
          <w:rStyle w:val="None"/>
          <w:rFonts w:ascii="Times New Roman" w:hAnsi="Times New Roman"/>
          <w:rtl/>
          <w:lang w:val="ar-SA"/>
        </w:rPr>
        <w:t>.</w:t>
      </w:r>
    </w:p>
    <w:p w14:paraId="422A7006"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تمثيل المملكة في المنظمات الدولية والإقليمية ذات العلاقة بحقوق الملكية الفكرية، والدفاع عن مصالحها</w:t>
      </w:r>
      <w:r>
        <w:rPr>
          <w:rStyle w:val="None"/>
          <w:rFonts w:ascii="Times New Roman" w:hAnsi="Times New Roman"/>
          <w:rtl/>
          <w:lang w:val="ar-SA"/>
        </w:rPr>
        <w:t>.</w:t>
      </w:r>
    </w:p>
    <w:p w14:paraId="711869A6"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إبداء الرأي في شأن الاتفاقيات الدولية المتعلقة بحقوق الملكية الفكرية</w:t>
      </w:r>
      <w:r>
        <w:rPr>
          <w:rStyle w:val="None"/>
          <w:rFonts w:ascii="Times New Roman" w:hAnsi="Times New Roman"/>
          <w:rtl/>
          <w:lang w:val="ar-SA"/>
        </w:rPr>
        <w:t>.</w:t>
      </w:r>
    </w:p>
    <w:p w14:paraId="509A037C"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lastRenderedPageBreak/>
        <w:t>متابعة تنفيذ الالتزامات المترتبة على انضمام المملكة إلى الاتفاقيات الدولية المتعلقة بالملكية الفكرية</w:t>
      </w:r>
      <w:r>
        <w:rPr>
          <w:rStyle w:val="None"/>
          <w:rFonts w:ascii="Times New Roman" w:hAnsi="Times New Roman"/>
          <w:rtl/>
          <w:lang w:val="ar-SA"/>
        </w:rPr>
        <w:t>.</w:t>
      </w:r>
    </w:p>
    <w:p w14:paraId="3F84816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تعزيز الاستفادة من الملكية الفكرية؛ لبناء اقتصاد متقدم قائم على المعرفة</w:t>
      </w:r>
      <w:r>
        <w:rPr>
          <w:rStyle w:val="None"/>
          <w:rFonts w:ascii="Times New Roman" w:hAnsi="Times New Roman"/>
          <w:rtl/>
          <w:lang w:val="ar-SA"/>
        </w:rPr>
        <w:t>.</w:t>
      </w:r>
    </w:p>
    <w:p w14:paraId="5964AEE5"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rtl/>
          <w:lang w:val="ar-SA"/>
        </w:rPr>
        <w:t>.</w:t>
      </w:r>
    </w:p>
    <w:p w14:paraId="069671AB"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الترخيص للأنشطة ذات العلاقة بمجال عمل الهيئة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1"/>
      </w:r>
      <w:r>
        <w:rPr>
          <w:rStyle w:val="None"/>
          <w:rFonts w:ascii="Times New Roman" w:hAnsi="Times New Roman"/>
          <w:vertAlign w:val="superscript"/>
          <w:rtl/>
          <w:lang w:val="ar-SA"/>
        </w:rPr>
        <w:t>)</w:t>
      </w:r>
    </w:p>
    <w:p w14:paraId="549364D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نظرًا للأهمية البالغة للملكية الفكرية في تقدم المجتمعات وتطوُّرها؛ تُولِي المملكة العربية السعودية اهتمامًا كبيرًا لحماية وتعزيز إنفاذ الملكية الفكرية؛ لما لها من تأثير على الاقتصاد المحلي والعالمي، وحرصًا من الهيئة السعودية للملكية الفكرية ممثلة بالأمانة العامة للجان الفصل في منازعات الملكية الفكرية على مواكبة هذا التطوُّر والعمل وفق رؤية المملكة </w:t>
      </w:r>
      <w:r>
        <w:rPr>
          <w:rStyle w:val="None"/>
          <w:rFonts w:ascii="Times New Roman" w:hAnsi="Times New Roman"/>
          <w:rtl/>
          <w:lang w:val="ar-SA"/>
        </w:rPr>
        <w:t>2030</w:t>
      </w:r>
      <w:r>
        <w:rPr>
          <w:rStyle w:val="None"/>
          <w:rFonts w:cs="Times New Roman" w:hint="cs"/>
          <w:rtl/>
          <w:lang w:val="ar-SA"/>
        </w:rPr>
        <w:t>، فقد سعت لرفع الكفاءة التشغيلية بمختلف جوانبها من خلال دعم لجان الملكية الفكرية من خلال تأسيس أمانة العامة للجان؛ لغرض الوصول إلى أعلى درجة من الكفاءة وجودة الخدمات المتعلقة بقضايا الملكية الفكرية، التي تختص بها اللجان المنصوص عليها في أنظمة الملكية الفكرية، بما يضمن الشفافية، والعدالة، وسرعة الإنجاز</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2"/>
      </w:r>
      <w:r>
        <w:rPr>
          <w:rStyle w:val="None"/>
          <w:rFonts w:ascii="Times New Roman" w:hAnsi="Times New Roman"/>
          <w:vertAlign w:val="superscript"/>
          <w:rtl/>
          <w:lang w:val="ar-SA"/>
        </w:rPr>
        <w:t>)</w:t>
      </w:r>
    </w:p>
    <w:p w14:paraId="359177E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حيث تم تشكيل لجنة النظر في تظلمات العلامات التجارية، فقد شكلت اللجنة بموجب قرار مجلس إدارة الهيئة السعودية للملكية الفكرية رقم </w:t>
      </w:r>
      <w:r>
        <w:rPr>
          <w:rStyle w:val="None"/>
          <w:rFonts w:ascii="Times New Roman" w:hAnsi="Times New Roman"/>
          <w:rtl/>
          <w:lang w:val="ar-SA"/>
        </w:rPr>
        <w:t xml:space="preserve">(2/17/2021) </w:t>
      </w:r>
      <w:r>
        <w:rPr>
          <w:rStyle w:val="None"/>
          <w:rFonts w:cs="Times New Roman" w:hint="cs"/>
          <w:rtl/>
          <w:lang w:val="ar-SA"/>
        </w:rPr>
        <w:t xml:space="preserve">وتاريخ </w:t>
      </w:r>
      <w:r>
        <w:rPr>
          <w:rStyle w:val="None"/>
          <w:rFonts w:ascii="Times New Roman" w:hAnsi="Times New Roman"/>
          <w:rtl/>
          <w:lang w:val="ar-SA"/>
        </w:rPr>
        <w:t>20/11/1442</w:t>
      </w:r>
      <w:r>
        <w:rPr>
          <w:rStyle w:val="None"/>
          <w:rFonts w:cs="Times New Roman" w:hint="cs"/>
          <w:rtl/>
          <w:lang w:val="ar-SA"/>
        </w:rPr>
        <w:t xml:space="preserve">ه الموافق </w:t>
      </w:r>
      <w:r>
        <w:rPr>
          <w:rStyle w:val="None"/>
          <w:rFonts w:ascii="Times New Roman" w:hAnsi="Times New Roman"/>
          <w:rtl/>
          <w:lang w:val="ar-SA"/>
        </w:rPr>
        <w:t>30/06/2021</w:t>
      </w:r>
      <w:r>
        <w:rPr>
          <w:rStyle w:val="None"/>
          <w:rFonts w:cs="Times New Roman" w:hint="cs"/>
          <w:rtl/>
          <w:lang w:val="ar-SA"/>
        </w:rPr>
        <w:t>م، وتختص اللجنة بالنظر في تظلمات العلامات التجارية، وتظلم من قرار رفض تسجيل العلامة التجارية، أو تعليقها على شرط، وتظلم من قرار رفض الإضافة، أو التعديل على علامة مسجلة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3"/>
      </w:r>
      <w:r>
        <w:rPr>
          <w:rStyle w:val="None"/>
          <w:rFonts w:ascii="Times New Roman" w:hAnsi="Times New Roman"/>
          <w:vertAlign w:val="superscript"/>
          <w:rtl/>
          <w:lang w:val="ar-SA"/>
        </w:rPr>
        <w:t>)</w:t>
      </w:r>
    </w:p>
    <w:p w14:paraId="28B0EDC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بالإضافة إلى لجنة النظر في مخالفات نظام حماية حقوق المؤلف؛ حيث شكلت اللجنة بموجب قرار مجلس إدارة الهيئة السعودية للملكية الفكرية رقم </w:t>
      </w:r>
      <w:r>
        <w:rPr>
          <w:rStyle w:val="None"/>
          <w:rFonts w:ascii="Times New Roman" w:hAnsi="Times New Roman"/>
          <w:rtl/>
          <w:lang w:val="ar-SA"/>
        </w:rPr>
        <w:t>(2020/2/7)</w:t>
      </w:r>
      <w:r>
        <w:rPr>
          <w:rStyle w:val="None"/>
          <w:rFonts w:cs="Times New Roman" w:hint="cs"/>
          <w:rtl/>
          <w:lang w:val="ar-SA"/>
        </w:rPr>
        <w:t xml:space="preserve">، وتاريخ </w:t>
      </w:r>
      <w:r>
        <w:rPr>
          <w:rStyle w:val="None"/>
          <w:rFonts w:ascii="Times New Roman" w:hAnsi="Times New Roman"/>
          <w:rtl/>
          <w:lang w:val="ar-SA"/>
        </w:rPr>
        <w:t>1441/07/03</w:t>
      </w:r>
      <w:r>
        <w:rPr>
          <w:rStyle w:val="None"/>
          <w:rFonts w:cs="Times New Roman" w:hint="cs"/>
          <w:rtl/>
          <w:lang w:val="ar-SA"/>
        </w:rPr>
        <w:t xml:space="preserve">ه الموافق </w:t>
      </w:r>
      <w:r>
        <w:rPr>
          <w:rStyle w:val="None"/>
          <w:rFonts w:ascii="Times New Roman" w:hAnsi="Times New Roman"/>
          <w:rtl/>
          <w:lang w:val="ar-SA"/>
        </w:rPr>
        <w:t>2020/02/27</w:t>
      </w:r>
      <w:r>
        <w:rPr>
          <w:rStyle w:val="None"/>
          <w:rFonts w:cs="Times New Roman" w:hint="cs"/>
          <w:rtl/>
          <w:lang w:val="ar-SA"/>
        </w:rPr>
        <w:t>م، وتختص اللجنة بالنظر في المخالفات الإدارية المتعلقة بمخالفة أحكام نظام حماية حقوق المؤلف، وإيقاع العقوبات النظامية المنصوص عليها في النظام</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4"/>
      </w:r>
      <w:r>
        <w:rPr>
          <w:rStyle w:val="None"/>
          <w:rFonts w:ascii="Times New Roman" w:hAnsi="Times New Roman"/>
          <w:vertAlign w:val="superscript"/>
          <w:rtl/>
          <w:lang w:val="ar-SA"/>
        </w:rPr>
        <w:t>)</w:t>
      </w:r>
    </w:p>
    <w:p w14:paraId="269E82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تم تشكيل لجنة النظر في دعاوى براءات الاختراع، شُكلت اللجنة بموجب قرار مجلس الوزراء رقم </w:t>
      </w:r>
      <w:r>
        <w:rPr>
          <w:rStyle w:val="None"/>
          <w:rFonts w:ascii="Times New Roman" w:hAnsi="Times New Roman"/>
          <w:rtl/>
          <w:lang w:val="ar-SA"/>
        </w:rPr>
        <w:t xml:space="preserve">(60) </w:t>
      </w:r>
      <w:r>
        <w:rPr>
          <w:rStyle w:val="None"/>
          <w:rFonts w:cs="Times New Roman" w:hint="cs"/>
          <w:rtl/>
          <w:lang w:val="ar-SA"/>
        </w:rPr>
        <w:t xml:space="preserve">وتاريخ </w:t>
      </w:r>
      <w:r>
        <w:rPr>
          <w:rStyle w:val="None"/>
          <w:rFonts w:ascii="Times New Roman" w:hAnsi="Times New Roman"/>
          <w:rtl/>
          <w:lang w:val="ar-SA"/>
        </w:rPr>
        <w:t>1444/01/18</w:t>
      </w:r>
      <w:r>
        <w:rPr>
          <w:rStyle w:val="None"/>
          <w:rFonts w:cs="Times New Roman" w:hint="cs"/>
          <w:rtl/>
          <w:lang w:val="ar-SA"/>
        </w:rPr>
        <w:t>هـ من خمسة أعضاءٍ، وثلاثة من النظاميين، وعضوين من الفنيين، تختص اللجنة بالنظر في جميع المنازعات والطعون في القرارات الصادرة بشأن وثائق الحماية، وتشمل الآتي التظلم من قرار رفض منح وثيقة حماية، وإبطال وثائق الحماية، وتحويل ملكية طلب الحماية أو وثيقة الحماية، والطعن في قرارات إسقاط وثائق الحماية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5"/>
      </w:r>
      <w:r>
        <w:rPr>
          <w:rStyle w:val="None"/>
          <w:rFonts w:ascii="Times New Roman" w:hAnsi="Times New Roman"/>
          <w:vertAlign w:val="superscript"/>
          <w:rtl/>
          <w:lang w:val="ar-SA"/>
        </w:rPr>
        <w:t>)</w:t>
      </w:r>
    </w:p>
    <w:p w14:paraId="29F3AEA4"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lastRenderedPageBreak/>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6"/>
      </w:r>
      <w:r>
        <w:rPr>
          <w:rStyle w:val="None"/>
          <w:rFonts w:ascii="Times New Roman" w:hAnsi="Times New Roman"/>
          <w:vertAlign w:val="superscript"/>
          <w:rtl/>
          <w:lang w:val="ar-SA"/>
        </w:rPr>
        <w:t>)</w:t>
      </w:r>
      <w:r>
        <w:rPr>
          <w:rStyle w:val="None"/>
          <w:rFonts w:cs="Times New Roman" w:hint="cs"/>
          <w:rtl/>
          <w:lang w:val="ar-SA"/>
        </w:rPr>
        <w:t>؛ 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7"/>
      </w:r>
      <w:r>
        <w:rPr>
          <w:rStyle w:val="None"/>
          <w:rFonts w:ascii="Times New Roman" w:hAnsi="Times New Roman"/>
          <w:vertAlign w:val="superscript"/>
          <w:rtl/>
          <w:lang w:val="ar-SA"/>
        </w:rPr>
        <w:t>)</w:t>
      </w:r>
    </w:p>
    <w:p w14:paraId="047FA45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vertAlign w:val="superscript"/>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 xml:space="preserve">أنَّ جهود حقوق الملكية الفكرية قد بدأت منذ أكثر من قرن، ونشأت العديد من المنظمات؛ لهذا الغرض آخرها المنظمة العالمية للملكية الفكرية </w:t>
      </w:r>
      <w:r>
        <w:rPr>
          <w:rStyle w:val="None"/>
          <w:rFonts w:ascii="Times New Roman" w:hAnsi="Times New Roman"/>
          <w:rtl/>
          <w:lang w:val="ar-SA"/>
        </w:rPr>
        <w:t>"WIPO"</w:t>
      </w:r>
      <w:r>
        <w:rPr>
          <w:rStyle w:val="None"/>
          <w:rFonts w:cs="Times New Roman" w:hint="cs"/>
          <w:rtl/>
          <w:lang w:val="ar-SA"/>
        </w:rPr>
        <w:t>، وقد تم إبرام العديد من الاتفاقيات لتحديد الالتزامات الدولية لحماية حقوق أصحاب الملكية الفكرية، أهمها</w:t>
      </w:r>
      <w:r>
        <w:rPr>
          <w:rStyle w:val="None"/>
          <w:rFonts w:ascii="Times New Roman" w:hAnsi="Times New Roman"/>
          <w:rtl/>
          <w:lang w:val="ar-SA"/>
        </w:rPr>
        <w:t xml:space="preserve">: </w:t>
      </w:r>
      <w:r>
        <w:rPr>
          <w:rStyle w:val="None"/>
          <w:rFonts w:cs="Times New Roman" w:hint="cs"/>
          <w:rtl/>
          <w:lang w:val="ar-SA"/>
        </w:rPr>
        <w:t xml:space="preserve">اتفاقية برن عام </w:t>
      </w:r>
      <w:r>
        <w:rPr>
          <w:rStyle w:val="None"/>
          <w:rFonts w:ascii="Times New Roman" w:hAnsi="Times New Roman"/>
          <w:rtl/>
          <w:lang w:val="ar-SA"/>
        </w:rPr>
        <w:t>1886</w:t>
      </w:r>
      <w:r>
        <w:rPr>
          <w:rStyle w:val="None"/>
          <w:rFonts w:cs="Times New Roman" w:hint="cs"/>
          <w:rtl/>
          <w:lang w:val="ar-SA"/>
        </w:rPr>
        <w:t xml:space="preserve">م لحماية المصنفات الأدبية، واتفاقية باريس عام </w:t>
      </w:r>
      <w:r>
        <w:rPr>
          <w:rStyle w:val="None"/>
          <w:rFonts w:ascii="Times New Roman" w:hAnsi="Times New Roman"/>
          <w:rtl/>
          <w:lang w:val="ar-SA"/>
        </w:rPr>
        <w:t>1883</w:t>
      </w:r>
      <w:r>
        <w:rPr>
          <w:rStyle w:val="None"/>
          <w:rFonts w:cs="Times New Roman" w:hint="cs"/>
          <w:rtl/>
          <w:lang w:val="ar-SA"/>
        </w:rPr>
        <w:t xml:space="preserve">م؛ لحماية الملكية الصناعية في مجال براءات الاختراع والمعلومات التجارية، واتفاقية روما عام </w:t>
      </w:r>
      <w:r>
        <w:rPr>
          <w:rStyle w:val="None"/>
          <w:rFonts w:ascii="Times New Roman" w:hAnsi="Times New Roman"/>
          <w:rtl/>
          <w:lang w:val="ar-SA"/>
        </w:rPr>
        <w:t>1961</w:t>
      </w:r>
      <w:r>
        <w:rPr>
          <w:rStyle w:val="None"/>
          <w:rFonts w:cs="Times New Roman" w:hint="cs"/>
          <w:rtl/>
          <w:lang w:val="ar-SA"/>
        </w:rPr>
        <w:t>م لحماية الأداء والإنتاج الفني والإذاعة، بالإضافة إلى</w:t>
      </w:r>
      <w:r>
        <w:rPr>
          <w:rStyle w:val="None"/>
          <w:rFonts w:ascii="Times New Roman" w:hAnsi="Times New Roman"/>
          <w:rtl/>
          <w:lang w:val="ar-SA"/>
        </w:rPr>
        <w:t xml:space="preserve">: </w:t>
      </w:r>
      <w:r>
        <w:rPr>
          <w:rStyle w:val="None"/>
          <w:rFonts w:cs="Times New Roman" w:hint="cs"/>
          <w:rtl/>
          <w:lang w:val="ar-SA"/>
        </w:rPr>
        <w:t>تأسيس الاتحادات الدولية التي تنظم التعامل في مجال الملكية الفكرية كاتحاد باريس واتحاد لاهاي وغيرها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8"/>
      </w:r>
      <w:r>
        <w:rPr>
          <w:rStyle w:val="None"/>
          <w:rFonts w:ascii="Times New Roman" w:hAnsi="Times New Roman"/>
          <w:vertAlign w:val="superscript"/>
          <w:rtl/>
          <w:lang w:val="ar-SA"/>
        </w:rPr>
        <w:t>)</w:t>
      </w:r>
    </w:p>
    <w:p w14:paraId="451E8FEE" w14:textId="77777777" w:rsidR="00464D24" w:rsidRDefault="00464D24" w:rsidP="00D61DE9">
      <w:pPr>
        <w:pStyle w:val="Body"/>
        <w:spacing w:before="120" w:after="120" w:line="360" w:lineRule="auto"/>
        <w:rPr>
          <w:rStyle w:val="None"/>
          <w:rFonts w:ascii="Arial Unicode MS" w:hAnsi="Arial Unicode MS" w:cs="Times New Roman"/>
          <w:b/>
          <w:bCs/>
          <w:sz w:val="36"/>
          <w:szCs w:val="36"/>
          <w:rtl/>
          <w:lang w:val="ar-SA"/>
        </w:rPr>
        <w:sectPr w:rsidR="00464D24">
          <w:headerReference w:type="default" r:id="rId12"/>
          <w:footerReference w:type="default" r:id="rId13"/>
          <w:footnotePr>
            <w:numRestart w:val="eachPage"/>
          </w:footnotePr>
          <w:pgSz w:w="11900" w:h="16840"/>
          <w:pgMar w:top="1418" w:right="1701" w:bottom="1418" w:left="1418" w:header="709" w:footer="709" w:gutter="0"/>
          <w:pgNumType w:start="1"/>
          <w:cols w:space="720"/>
          <w:bidi/>
        </w:sectPr>
      </w:pPr>
    </w:p>
    <w:p w14:paraId="42B624CA" w14:textId="0804496A" w:rsidR="00454428" w:rsidRDefault="00000000" w:rsidP="00464D24">
      <w:pPr>
        <w:pStyle w:val="a4"/>
        <w:rPr>
          <w:rStyle w:val="None"/>
          <w:lang w:val="ar-SA"/>
        </w:rPr>
      </w:pPr>
      <w:bookmarkStart w:id="140" w:name="_Toc227251100"/>
      <w:bookmarkStart w:id="141" w:name="_Toc227251410"/>
      <w:r>
        <w:rPr>
          <w:rStyle w:val="None"/>
          <w:rFonts w:ascii="Arial Unicode MS" w:eastAsia="Arial Unicode MS" w:hAnsi="Arial Unicode MS" w:hint="cs"/>
          <w:rtl/>
          <w:lang w:val="ar-SA"/>
        </w:rPr>
        <w:lastRenderedPageBreak/>
        <w:t>الفصل الأول</w:t>
      </w:r>
      <w:bookmarkEnd w:id="140"/>
      <w:bookmarkEnd w:id="141"/>
    </w:p>
    <w:p w14:paraId="60AE2AAE" w14:textId="77777777" w:rsidR="00454428" w:rsidRDefault="00000000" w:rsidP="00C72BA8">
      <w:pPr>
        <w:pStyle w:val="a4"/>
        <w:rPr>
          <w:rStyle w:val="None"/>
          <w:lang w:val="ar-SA"/>
        </w:rPr>
      </w:pPr>
      <w:bookmarkStart w:id="142" w:name="_Toc227251101"/>
      <w:bookmarkStart w:id="143" w:name="_Toc227251411"/>
      <w:r>
        <w:rPr>
          <w:rStyle w:val="None"/>
          <w:rFonts w:ascii="Arial Unicode MS" w:eastAsia="Arial Unicode MS" w:hAnsi="Arial Unicode MS" w:hint="cs"/>
          <w:rtl/>
          <w:lang w:val="ar-SA"/>
        </w:rPr>
        <w:t>التعريف بالبيئة الرقمية وخصائصها</w:t>
      </w:r>
      <w:bookmarkEnd w:id="142"/>
      <w:bookmarkEnd w:id="143"/>
    </w:p>
    <w:p w14:paraId="14A8322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يعيش العالم اليوم في عصر رقمي متطوِّر؛ حيث تلعب التكنولوجيا الرقمية دورًا حيويًا في شتى جوانب الحياة، ومع تزايد حجم البيانات وتعقيداتها، أصبح استرجاع المعلومات أمرًا أساسيًا للوصول إلى المعرفة والتقدم في مختلف المجالات العلمية والتقنية، وتمثل البيئة الرقمية المساحة الافتراضية، التي تتواجد فيها المعلومات والمحتوى الرقمي، وتتميز هذه البيئة بتنوع واسع في المصادر، والأشكال، والتقنيات، ومن خلال فهم مفهوم البيئة الرقمية وخصائصها، يمكننا الاستفادة القصوى من المعلومات المتاحة بها</w:t>
      </w:r>
      <w:r>
        <w:rPr>
          <w:rStyle w:val="None"/>
          <w:rFonts w:ascii="Times New Roman" w:hAnsi="Times New Roman"/>
          <w:sz w:val="24"/>
          <w:szCs w:val="24"/>
          <w:rtl/>
          <w:lang w:val="ar-SA"/>
        </w:rPr>
        <w:t>.</w:t>
      </w:r>
    </w:p>
    <w:p w14:paraId="1397B2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ظل هذا التحول الرقمي السريع، أصبحت الحاجة ملحةً؛ لفهم البيئة الرقمية بمفهومها الدقيق والتعرُّف على أبرز خصائصها التي تميزها عن البيئة التقليدية، فهذه البيئة ليست مجرد فضاء إلكتروني لتبادل البيانات، بل تمثل منظومةً تفاعليةً معقدةً تعتمد على أدوات وتقنيات 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الذكاء الاصطناعي، والحوسبة السحابية، وشبكات الاتصال المتقدمة، من خلال هذا الفصل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سيتم تسليط الضوء على تعريف البيئة الرقمية، وبيان خصائصها الجوهرية التي تشكل أساس استخدامها في مختلف المجالات؛ بهدف الإلمام بأبعادها المتنوعة وفهم تأثيرها المتزايد في تشكيل واقعنا المعاصر، وذلك على النحو التالي</w:t>
      </w:r>
      <w:r>
        <w:rPr>
          <w:rStyle w:val="None"/>
          <w:rFonts w:ascii="Times New Roman" w:hAnsi="Times New Roman"/>
          <w:sz w:val="24"/>
          <w:szCs w:val="24"/>
          <w:rtl/>
          <w:lang w:val="ar-SA"/>
        </w:rPr>
        <w:t>:</w:t>
      </w:r>
    </w:p>
    <w:p w14:paraId="3D980C99" w14:textId="77777777" w:rsidR="00454428" w:rsidRDefault="00000000">
      <w:pPr>
        <w:pStyle w:val="a7"/>
        <w:numPr>
          <w:ilvl w:val="0"/>
          <w:numId w:val="6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البيئة الرقمية ومكوناتها</w:t>
      </w:r>
      <w:r>
        <w:rPr>
          <w:rStyle w:val="None"/>
          <w:rFonts w:ascii="Times New Roman" w:hAnsi="Times New Roman"/>
          <w:sz w:val="24"/>
          <w:szCs w:val="24"/>
          <w:rtl/>
          <w:lang w:val="ar-SA"/>
        </w:rPr>
        <w:t>.</w:t>
      </w:r>
    </w:p>
    <w:p w14:paraId="0D28272C"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إشكاليات حماية حقوق الملكية الفكرية في البيئة الرقمية</w:t>
      </w:r>
      <w:r>
        <w:rPr>
          <w:rStyle w:val="None"/>
          <w:rFonts w:ascii="Times New Roman" w:hAnsi="Times New Roman"/>
          <w:sz w:val="24"/>
          <w:szCs w:val="24"/>
          <w:rtl/>
          <w:lang w:val="ar-SA"/>
        </w:rPr>
        <w:t>.</w:t>
      </w:r>
    </w:p>
    <w:p w14:paraId="5873717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FD3C73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A8DF6D9"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43BE53"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28E921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2AFC585"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7C392F6B"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8DD0D3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51B042"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FE398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95701B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9E99C5A"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521FFE7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072DA6D" w14:textId="77777777" w:rsidR="00454428" w:rsidRDefault="00000000" w:rsidP="00C72BA8">
      <w:pPr>
        <w:pStyle w:val="a4"/>
        <w:rPr>
          <w:rStyle w:val="None"/>
          <w:lang w:val="ar-SA"/>
        </w:rPr>
      </w:pPr>
      <w:bookmarkStart w:id="144" w:name="_Toc227251102"/>
      <w:bookmarkStart w:id="145" w:name="_Toc227251412"/>
      <w:r>
        <w:rPr>
          <w:rStyle w:val="None"/>
          <w:rFonts w:ascii="Arial Unicode MS" w:eastAsia="Arial Unicode MS" w:hAnsi="Arial Unicode MS" w:hint="cs"/>
          <w:rtl/>
          <w:lang w:val="ar-SA"/>
        </w:rPr>
        <w:lastRenderedPageBreak/>
        <w:t>المبحث الأول</w:t>
      </w:r>
      <w:bookmarkEnd w:id="144"/>
      <w:bookmarkEnd w:id="145"/>
    </w:p>
    <w:p w14:paraId="41325958" w14:textId="77777777" w:rsidR="00454428" w:rsidRDefault="00000000" w:rsidP="00C72BA8">
      <w:pPr>
        <w:pStyle w:val="a4"/>
        <w:rPr>
          <w:rStyle w:val="None"/>
          <w:lang w:val="ar-SA"/>
        </w:rPr>
      </w:pPr>
      <w:bookmarkStart w:id="146" w:name="_Toc227251103"/>
      <w:bookmarkStart w:id="147" w:name="_Toc227251413"/>
      <w:r>
        <w:rPr>
          <w:rStyle w:val="None"/>
          <w:rFonts w:ascii="Arial Unicode MS" w:eastAsia="Arial Unicode MS" w:hAnsi="Arial Unicode MS" w:hint="cs"/>
          <w:rtl/>
          <w:lang w:val="ar-SA"/>
        </w:rPr>
        <w:t>البيئة الرقمية ومكوناتها</w:t>
      </w:r>
      <w:bookmarkEnd w:id="146"/>
      <w:bookmarkEnd w:id="147"/>
    </w:p>
    <w:p w14:paraId="439A65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التكنولوجية الحالية، أصبحت البيئة الرقمية الإطار العام الذي تُمارس فيه معظم الأنشطة الإنسانية، سواء في المجالات العلمية، أو الاقتصادية، أو الثقافية، كما أدى الاعتماد المتزايد على تقنيات المعلومات والاتصالات إلى ظهور فضاء رقمي واسع، يشكل البنية التحتية للعالم الحديث؛ حيث تُنتج المعلومات وتُخزن وتتداول بشكل لحظي وعابر للحدود، كما لم تَعُدْ البيئة الرقمية مقتصرةً على المؤسسات المتخصصة، بل أصبحت جزءًا أساسيًا من الحياة اليومية للأفراد والمجتمعات، ومرتكزًا حيويًا لتطوُّر مختلف القطاعات</w:t>
      </w:r>
      <w:r>
        <w:rPr>
          <w:rStyle w:val="None"/>
          <w:rFonts w:ascii="Times New Roman" w:hAnsi="Times New Roman"/>
          <w:sz w:val="24"/>
          <w:szCs w:val="24"/>
          <w:rtl/>
          <w:lang w:val="ar-SA"/>
        </w:rPr>
        <w:t>.</w:t>
      </w:r>
    </w:p>
    <w:p w14:paraId="152E11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تبرز أهمية دراسة البيئة الرقمية كظاهرة متعددة الأبعاد، تجمع بين الجوانب التقنية والوظيفية والمعرفية، وتشكل أرضية خصبة لفهم التحولات التي يشهدها العصر الحديث، فمع الانتشار الواسع للمجال الرقمي، أصبح من الضروري التعمق في مفهوم البيئة الرقمية وتحديد خصائصها الجوهرية التي تميزها عن الأطر التقليدية، وذلك على النحو التالي</w:t>
      </w:r>
      <w:r>
        <w:rPr>
          <w:rStyle w:val="None"/>
          <w:rFonts w:ascii="Times New Roman" w:hAnsi="Times New Roman"/>
          <w:sz w:val="24"/>
          <w:szCs w:val="24"/>
          <w:rtl/>
          <w:lang w:val="ar-SA"/>
        </w:rPr>
        <w:t>:</w:t>
      </w:r>
    </w:p>
    <w:p w14:paraId="2366CCE4"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مفهوم البيئة الرقمية وأبرز خصائصها</w:t>
      </w:r>
      <w:r>
        <w:rPr>
          <w:rStyle w:val="None"/>
          <w:rFonts w:ascii="Times New Roman" w:hAnsi="Times New Roman"/>
          <w:sz w:val="24"/>
          <w:szCs w:val="24"/>
          <w:rtl/>
          <w:lang w:val="ar-SA"/>
        </w:rPr>
        <w:t>.</w:t>
      </w:r>
    </w:p>
    <w:p w14:paraId="39CF0F49"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أثر البيئة الرقمية على تطوُّر الملكية الفكرية</w:t>
      </w:r>
      <w:r>
        <w:rPr>
          <w:rStyle w:val="None"/>
          <w:rFonts w:ascii="Times New Roman" w:hAnsi="Times New Roman"/>
          <w:sz w:val="24"/>
          <w:szCs w:val="24"/>
          <w:rtl/>
          <w:lang w:val="ar-SA"/>
        </w:rPr>
        <w:t>.</w:t>
      </w:r>
    </w:p>
    <w:p w14:paraId="578A2FC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B587B80"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C86C7E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19AF99B3"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0A8250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4DA1051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54DEA4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921625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0C64E1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2AEA1D2"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7082CA7B"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49EBEA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244A2AD"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b/>
          <w:bCs/>
          <w:sz w:val="24"/>
          <w:szCs w:val="24"/>
        </w:rPr>
      </w:pPr>
    </w:p>
    <w:p w14:paraId="7B09E4AC" w14:textId="77777777" w:rsidR="00464D24" w:rsidRDefault="00464D24" w:rsidP="00C72BA8">
      <w:pPr>
        <w:pStyle w:val="a4"/>
        <w:rPr>
          <w:rStyle w:val="None"/>
          <w:rFonts w:ascii="Arial Unicode MS" w:eastAsia="Arial Unicode MS" w:hAnsi="Arial Unicode MS"/>
        </w:rPr>
      </w:pPr>
    </w:p>
    <w:p w14:paraId="0E2186C4" w14:textId="12E8762A" w:rsidR="00454428" w:rsidRDefault="00000000" w:rsidP="00C72BA8">
      <w:pPr>
        <w:pStyle w:val="a4"/>
        <w:rPr>
          <w:rStyle w:val="None"/>
          <w:lang w:val="ar-SA"/>
        </w:rPr>
      </w:pPr>
      <w:bookmarkStart w:id="148" w:name="_Toc227251104"/>
      <w:bookmarkStart w:id="149" w:name="_Toc227251414"/>
      <w:r>
        <w:rPr>
          <w:rStyle w:val="None"/>
          <w:rFonts w:ascii="Arial Unicode MS" w:eastAsia="Arial Unicode MS" w:hAnsi="Arial Unicode MS" w:hint="cs"/>
          <w:rtl/>
          <w:lang w:val="ar-SA"/>
        </w:rPr>
        <w:lastRenderedPageBreak/>
        <w:t>المطلب الأول</w:t>
      </w:r>
      <w:bookmarkEnd w:id="148"/>
      <w:bookmarkEnd w:id="149"/>
    </w:p>
    <w:p w14:paraId="373BBE5B" w14:textId="77777777" w:rsidR="00454428" w:rsidRDefault="00000000" w:rsidP="00C72BA8">
      <w:pPr>
        <w:pStyle w:val="a4"/>
        <w:rPr>
          <w:rStyle w:val="None"/>
          <w:lang w:val="ar-SA"/>
        </w:rPr>
      </w:pPr>
      <w:bookmarkStart w:id="150" w:name="_Toc227251105"/>
      <w:bookmarkStart w:id="151" w:name="_Toc227251415"/>
      <w:r>
        <w:rPr>
          <w:rStyle w:val="None"/>
          <w:rFonts w:ascii="Arial Unicode MS" w:eastAsia="Arial Unicode MS" w:hAnsi="Arial Unicode MS" w:hint="cs"/>
          <w:rtl/>
          <w:lang w:val="ar-SA"/>
        </w:rPr>
        <w:t>مفهوم البيئة الرقمية وأبرز خصائصها</w:t>
      </w:r>
      <w:bookmarkEnd w:id="150"/>
      <w:bookmarkEnd w:id="151"/>
    </w:p>
    <w:p w14:paraId="0A0288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 مفهوم البيئة الرقمية مركزيًا في عصرنا الحالي؛ لما تمثله من إطار شامل للتفاعلات التي تتم عبر الوسائط الإلكترونية والتقنيات الحديثة، فتعبر هذه البيئة عن الفضاء الذي تُنجز فيه الأنشطة الفكرية والمعلوماتية بشكل إلكتروني، سواء من خلال الإنترنت أو عبر الشبكات والأنظمة الرقمية المتنوعة، وقد أدى اتساع نطاق استخدام هذه البيئة إلى ظهور أنماط جديدة من التواصل والعمل والإنتاج المعرفي؛ ممَّا يستدعي الاهتمام بتحديد ملامحها، وتعريفها بدقة؛ لفهم خصائصها وتأثيراتها المتزايدة في مختلف جوانب الحياة</w:t>
      </w:r>
      <w:r>
        <w:rPr>
          <w:rStyle w:val="None"/>
          <w:rFonts w:ascii="Times New Roman" w:hAnsi="Times New Roman"/>
          <w:sz w:val="24"/>
          <w:szCs w:val="24"/>
          <w:rtl/>
          <w:lang w:val="ar-SA"/>
        </w:rPr>
        <w:t>.</w:t>
      </w:r>
    </w:p>
    <w:p w14:paraId="1E4A78E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البيئة الرقمية منظومةً متكاملةً تشمل البنية التحتية التكنولوجية، والمحتوى الرقمي، ووسائل الاتصال التفاعلي؛ ممَّا يتيح للمستخدمين إنتاج وتخزين وتبادل المعلومات والمعارف بشكل فوري وعبر حدود الزمان والمكان، ولا تقتصر أهمية هذه البيئة على الجانب التقني فحسب، بل تمتد لتشمل أبعادًا اجتماعيةً، واقتصاديةً، وثقافيةً؛ حيث ساهمت في إعادة تشكيل أنماط السلوك، والتفكير، وأساليب العمل، كما فرضت تحديات قانونية وتنظيمية تتطلب مراجعة الأطر التقليدية التي لم تَعُدْ قادرةً على مواكبة هذا التحول الرقمي الشامل</w:t>
      </w:r>
      <w:r>
        <w:rPr>
          <w:rStyle w:val="None"/>
          <w:rFonts w:ascii="Times New Roman" w:hAnsi="Times New Roman"/>
          <w:sz w:val="24"/>
          <w:szCs w:val="24"/>
          <w:rtl/>
          <w:lang w:val="ar-SA"/>
        </w:rPr>
        <w:t>.</w:t>
      </w:r>
    </w:p>
    <w:p w14:paraId="2A0C38B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البيئة الرقمية</w:t>
      </w:r>
      <w:r>
        <w:rPr>
          <w:rStyle w:val="None"/>
          <w:rFonts w:ascii="Times New Roman" w:hAnsi="Times New Roman"/>
          <w:b/>
          <w:bCs/>
          <w:sz w:val="28"/>
          <w:szCs w:val="28"/>
          <w:rtl/>
          <w:lang w:val="ar-SA"/>
        </w:rPr>
        <w:t>:</w:t>
      </w:r>
    </w:p>
    <w:p w14:paraId="31E88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عرَّف جانب من الفقه البيئة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فيها إلى استخدام استراتيجيات وطرق معينة لاسترجاع المراجع والمصادر التي يبحث عنها، ومن هنا نلاحظ أنَّها بيئة الإنترنت فلا يحتاج الباحث سوى شبكة وحاسب للاتصال بها، إذًا يمكن أنْ نطلق على شبكة الإنترنت مسمى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29"/>
      </w:r>
      <w:r>
        <w:rPr>
          <w:rStyle w:val="None"/>
          <w:rFonts w:ascii="Times New Roman" w:hAnsi="Times New Roman"/>
          <w:sz w:val="24"/>
          <w:szCs w:val="24"/>
          <w:vertAlign w:val="superscript"/>
          <w:rtl/>
          <w:lang w:val="ar-SA"/>
        </w:rPr>
        <w:t>)</w:t>
      </w:r>
    </w:p>
    <w:p w14:paraId="410F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وضح جانب من الفقه أنَّ البيئة الرقمية يمكن اعتبارها مزيجًا من الأنشطة والخدمات، التي تكتسب طابعًا رقميًا؛ تبعًا للوسائل والإمكانات المتاحة، وتتفاعل فيها العديد من التقنيات التي تساهم في تغيير ملامح الخدمات المقدمة، وأنَّها ترتكز على شبكات المعلومات وعلى رأسها شبكة الإنترنت، وكذا مختلف مخرجات تكنولوجيا المعلومات من أدوات وتقنيات تجهيزية وبرمجية، والتي تظهر نتيجة للتطوُّرات الحاصلة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18F4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66BD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عرَّف جانب من الفقه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إلى استخدام استراتيجيات وطرق معينة لاسترجاع المراجع والمصادر التي يبحث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6FEE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تلك المعلومات والخدمات ممثلة في صفحات الويب، والبرمجيات، والنصوص، والصور، ومقاطع الفيديو، والتسجيلات الصوتية، سواء كانت متاحةً في شبكة محلية، أو في حاسوبٍ شخصيٍّ، أو على شبكة الويب، والتي يمكن الولوج إليها، وتصفحها، وإثرائها، وتخزينها، واستغلال تلك الخدمات عبر وسائل إلكترونية، ممثلةً في التجهيزات الحاسوبية، والأجهزة الذكية، والشبكات، والأقمار الصناعية؛ بهدف القيام بمهام أو نشاطات 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11D6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 جانب من الفقه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6BFE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ويمكننا تعريف البيئة الرقمية بأنَّها 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إطارًا متكاملًا يعتمد على تقنيات المعلومات والاتصال الحديثة، ويضم مجموعةً من الأنشطة، والخدمات، والمحتويات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والفهارس الآلية، وصفحات الويب، والبرمجيات، والوسائط المتعددة</w:t>
      </w:r>
      <w:r>
        <w:rPr>
          <w:rStyle w:val="None"/>
          <w:rFonts w:ascii="Times New Roman" w:hAnsi="Times New Roman"/>
          <w:sz w:val="24"/>
          <w:szCs w:val="24"/>
          <w:rtl/>
          <w:lang w:val="ar-SA"/>
        </w:rPr>
        <w:t>".</w:t>
      </w:r>
    </w:p>
    <w:p w14:paraId="2E19D7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البيئة الرقمية من أبرز سمات العصر الحديث؛ حيث نشأت نتيجةً للتطوُّر الكبير في تقنيات المعلومات والاتصالات، وقد شكلت إطارًا جديدًا؛ لإنتاج وتخزين وتبادل المعلومات والمعرفة، من خلال وسائل إلكترونية متطوِّرة، كما ساهمت هذه البيئة في إحداث تغيير جذري في طرق التفاعل البشري، سواء على المستوى الفردي أو المؤسسي؛ إذْ أصبحت العمليات تُجرَى في فضاء افتراضي يعتمد على النظم الرقمية، بدلًا من الوسائل التقليدية؛ لذا يتطلب فهم البيئة الرقمية التعرُّف على مفهومها ومكوناتها؛ لما لها من أهمية في إدراك طبيعة التحولات التي أحدثها العصر الرقمي</w:t>
      </w:r>
      <w:r>
        <w:rPr>
          <w:rStyle w:val="None"/>
          <w:rFonts w:ascii="Times New Roman" w:hAnsi="Times New Roman"/>
          <w:sz w:val="24"/>
          <w:szCs w:val="24"/>
          <w:rtl/>
          <w:lang w:val="ar-SA"/>
        </w:rPr>
        <w:t>.</w:t>
      </w:r>
    </w:p>
    <w:p w14:paraId="307701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أصبح التطوُّر والنمو الاقتصادي يرتكز بصورة أساسية على التطوُّر، والتقدم التقني والعلمي، والاستخدام المكثف لتكنولوجيا الاتصالات والمعلومات؛ ممَّا أدى إلى ظهور مفهوم جديد عُرف بالبيئة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حيث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 وشبكات المعلومات فائقة السرعة متمثلة في شبكة الإنترنت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832A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الملكية الفكرية رقميًا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المعلومات، ومعارف، وعلاقات، وخبرات الشركة الخاصة،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مكونات نشاطها وحضورها الرقمي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هو الحال في قواعد بياناتها، وشبكات أعمالها، وسلاسل القيمة </w:t>
      </w:r>
      <w:r>
        <w:rPr>
          <w:rStyle w:val="None"/>
          <w:rFonts w:ascii="Arial Unicode MS" w:hAnsi="Arial Unicode MS" w:cs="Times New Roman" w:hint="cs"/>
          <w:sz w:val="24"/>
          <w:szCs w:val="24"/>
          <w:rtl/>
          <w:lang w:val="ar-SA"/>
        </w:rPr>
        <w:lastRenderedPageBreak/>
        <w:t>القائمة على المعلومات، وموقع الويب، وبرمجيات التطبيق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إلخ</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التي تساهم في قدرة الشركة الداخلية والخارجية، والتي يمكن تحويلها إلى رأس المالي الفكري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2F13E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من هذا التعريف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يشتمل على المكوِّنات الرقمية الجديدة للملكية الفكرية، بما يوسع من مفهومها لتغطي آلياتٍ وعواملَ إنشاء الثروة في العصر الرقمي، ولعل في الحضور الرقمي للشركة ومكوِّنات الملكية الفكرية والتعامل بها على أساس الإنترنت ما يجعل هذا التعريف يشتمل على دلالة مضافة، تتمثل في أنَّ الملكية الفكرية تستخدم أو تعتمد على الإنترنت وشبكات الأعمال على الأقل في جانبيين أساسيين 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38"/>
      </w:r>
      <w:r>
        <w:rPr>
          <w:rStyle w:val="None"/>
          <w:rFonts w:ascii="Times New Roman" w:hAnsi="Times New Roman"/>
          <w:sz w:val="24"/>
          <w:szCs w:val="24"/>
          <w:vertAlign w:val="superscript"/>
          <w:rtl/>
          <w:lang w:val="ar-SA"/>
        </w:rPr>
        <w:t>)</w:t>
      </w:r>
    </w:p>
    <w:p w14:paraId="1C068892" w14:textId="77777777" w:rsidR="00454428" w:rsidRDefault="00000000">
      <w:pPr>
        <w:pStyle w:val="a7"/>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 الإنترنت، وشبكات الأعمال، وقواعد، ومستودعات البيانات، وبرمجيات التطبيق، وغيرها ممَّا يمكن أنْ يدخل ضمن حق النشر الرقمي أو الإلكتروني </w:t>
      </w:r>
      <w:r>
        <w:rPr>
          <w:rStyle w:val="None"/>
          <w:rFonts w:ascii="Times New Roman" w:hAnsi="Times New Roman"/>
          <w:sz w:val="24"/>
          <w:szCs w:val="24"/>
          <w:rtl/>
          <w:lang w:val="ar-SA"/>
        </w:rPr>
        <w:t>(</w:t>
      </w:r>
      <w:r>
        <w:rPr>
          <w:rStyle w:val="None"/>
          <w:rFonts w:cs="Times New Roman"/>
          <w:sz w:val="24"/>
          <w:szCs w:val="24"/>
          <w:rtl/>
          <w:lang w:val="ar-SA"/>
        </w:rPr>
        <w:t>كما في كتاب الويب والبرمجيات وموقع الويب الخاص بالشركة</w:t>
      </w:r>
      <w:r>
        <w:rPr>
          <w:rStyle w:val="None"/>
          <w:rFonts w:ascii="Times New Roman" w:hAnsi="Times New Roman"/>
          <w:sz w:val="24"/>
          <w:szCs w:val="24"/>
          <w:rtl/>
          <w:lang w:val="ar-SA"/>
        </w:rPr>
        <w:t>)</w:t>
      </w:r>
      <w:r>
        <w:rPr>
          <w:rStyle w:val="None"/>
          <w:rFonts w:cs="Times New Roman"/>
          <w:sz w:val="24"/>
          <w:szCs w:val="24"/>
          <w:rtl/>
          <w:lang w:val="ar-SA"/>
        </w:rPr>
        <w:t>، تصبح هي موضوع الملكية الفكرية إلى جانب المكونات التقليدية للملكية الفكرية</w:t>
      </w:r>
      <w:r>
        <w:rPr>
          <w:rStyle w:val="None"/>
          <w:rFonts w:ascii="Times New Roman" w:hAnsi="Times New Roman"/>
          <w:sz w:val="24"/>
          <w:szCs w:val="24"/>
          <w:rtl/>
          <w:lang w:val="ar-SA"/>
        </w:rPr>
        <w:t xml:space="preserve">. </w:t>
      </w:r>
    </w:p>
    <w:p w14:paraId="41B2176A" w14:textId="77777777" w:rsidR="00454428" w:rsidRDefault="00000000">
      <w:pPr>
        <w:pStyle w:val="a7"/>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أنَّ الإنترنت وشبكات الأعمال يمكن أنْ تكون مجالًا لتبادل، ونقل، وتقاسم المعلومات، وعقد الصفقات، والحصول على التراخيص المتعلقة بمكوِّنات الملكية الفكرية</w:t>
      </w:r>
      <w:r>
        <w:rPr>
          <w:rStyle w:val="None"/>
          <w:rFonts w:ascii="Times New Roman" w:hAnsi="Times New Roman"/>
          <w:sz w:val="24"/>
          <w:szCs w:val="24"/>
          <w:rtl/>
          <w:lang w:val="ar-SA"/>
        </w:rPr>
        <w:t>.</w:t>
      </w:r>
    </w:p>
    <w:p w14:paraId="683917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وتتيح هذه البيئة للمستخدمين الوصول إلى المعلومات وتداولها من أي مكان وفي أي وقت، من خلال الأجهزة الإلكترونية والشبكات، وعلى رأسها شبكة الإنترنت؛ ممَّا يجعلها فضاءً مفتوحًا للإنتاج المعرفي والتواصل الرقمي؛ حيث يعيد تشكيل أنماط الاستفادة من المعلومات والخدمات في مختلف المجالات</w:t>
      </w:r>
      <w:r>
        <w:rPr>
          <w:rStyle w:val="None"/>
          <w:rFonts w:ascii="Times New Roman" w:hAnsi="Times New Roman"/>
          <w:sz w:val="24"/>
          <w:szCs w:val="24"/>
          <w:rtl/>
          <w:lang w:val="ar-SA"/>
        </w:rPr>
        <w:t xml:space="preserve">. </w:t>
      </w:r>
    </w:p>
    <w:p w14:paraId="713BC34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تطوُّر البيئة الرقمية</w:t>
      </w:r>
      <w:r>
        <w:rPr>
          <w:rStyle w:val="None"/>
          <w:rFonts w:ascii="Times New Roman" w:hAnsi="Times New Roman"/>
          <w:b/>
          <w:bCs/>
          <w:sz w:val="28"/>
          <w:szCs w:val="28"/>
          <w:rtl/>
          <w:lang w:val="ar-SA"/>
        </w:rPr>
        <w:t>:</w:t>
      </w:r>
    </w:p>
    <w:p w14:paraId="1CBEC2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البيئة الرقمية تطوُّرًا سريعًا في العقود الأخيرة؛ ممَّا أثر بشكل عميق على مجالات الحياة الإنسانية، خاصةً في مجالَيْ المعلومات والاتصالات، كما أدَّى التقدم التكنولوجي السريع، وظهور الإنترنت، وانتشار الأجهزة الذكية إلى خلق فضاء رقمي واسع، يشكل بيئةً جديدةً لتخزين، وتبادل المعلومات، وإنتاج المحتوى بأنواعه المختلفة، فلم يَعُدْ العالم يعتمد على الوسائط التقليدية فحسب، بل أصبح التفاعل والتواصل وتبادل المعرفة يتم عبر منصات رقمية متطوِّرة؛ ممَّا أوجد واقعًا جديدًا يحمل تحدياتٍ وفرصًا غير مسبوقة، وجعل من البيئة الرقمية محورًا أساسيًا في التحول نحو مجتمع المعرفة</w:t>
      </w:r>
      <w:r>
        <w:rPr>
          <w:rStyle w:val="None"/>
          <w:rFonts w:ascii="Times New Roman" w:hAnsi="Times New Roman"/>
          <w:sz w:val="24"/>
          <w:szCs w:val="24"/>
          <w:rtl/>
          <w:lang w:val="ar-SA"/>
        </w:rPr>
        <w:t>.</w:t>
      </w:r>
    </w:p>
    <w:p w14:paraId="5D4A98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قطاع تكنولوجيا المعلومات والاتصال مصدرًا مهمًّا لنمو اقتصاديات الدول، وعاملًا مؤثرًا على جميع القطاعات الأخرى، وهو إحدى الركائز الأساسية لاقتصاد المعرفة القائم على صناعة المعلومات، بدلًا من الإنتاجات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كالموارد الطبيعية واليد العاملة، فالتطوُّر الاقتصادي العالمي قد ارتكز على التطوُّر التقني والعلني أكثر من اعتماده على التطوُّر الكمي في الإنتاج، واستخدام تكنولوجيا المعلومات قد صاحبها تغير واضح في طرق ممارسة الأعمال، وفي أساليب تخطيط ومراقبة الإنتاج؛ حيث أعطت إمكانيات مهمة للدول المتقدمة للدخول في دورة اقتصادية جديدة، وتحقيق التراكم الرأسمالي، ورفع الكفاءة والمنافسة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B65E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شهد العالم في السنوات القليلة الماضية عصرًا جديدًا من التقدم العلمي وما صاحبه من تطوُّر ونهضة غير مسبوقة في كافة المجالات الحياتية، وكان من أبرزها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التقدم الحاصل في مجال تقنية المعلومات والاتصالات، وما ترتب عليه من إحداث ثورة تنموية بشرية على جميع المستويات والأصعدة المحلية والعالمية، فمن خلالها استطاع الإنسان أنْ يرصد ويتابع كل ما يدور ويجري حوله في جميع أنحاء العالم بالصوت والصورة منذ اللحظة الأولى، وأصبحت عملية تبادل المعلومات والمعارف تتم بسهولة ويسر، كما أدى الانتشار السريع للمعلومات عبر وسائل الاتصال المختلفة إلى تدفق المعلومات، والأخبار، والمعارف، والأبحاث، والرسائل الثقافية بحُرية وسلاسة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53D2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فمع ظهور شبكة الإنترنت في العقود الأخيرة للقرن العشرين، واتساع نطاق ثورة النشر الإلكتروني برزت المصنفات الرقمية الإبداعية كأحد مفرزات التكنولوجيا الحديثة، فهي لا تختلف في المحتوى والتسمية عن المصنفات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كالكتاب، والقطعة الموسيقية، واللوحة الزيتية، لكن تختلف فقط في الحامل، فأصبح الحامل رقميًا، ويتم التعامل معها بشكل رقمي، وتشمل المصنفات الرقمية برامج الحاسب الآلي وقواعد البيانات، إضافةً إلى الملفات الرقمية من كتب، ودوريات، وموسوعات رقمية متاحة عبر الشبكة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BE6FD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أنَّ الرقمنة ظاهرة حديثة طغت على كافة جوانب حياتنا، فقد أصبحت البيانات والمعلومات تتدفق بشكل هائل في عالمنا الرقمي المتقدم، من خلال تحويل المعلومات من صورة تناظرية إلى صورة رقمية، وتمتلك الرقمنة القدرة على تمكين الابتكار، وتحسين الكفاءة في مختلف المجالات؛ حيث يتجلَّى تأثير الرقمنة في التطوُّرات السريعة في مجالات 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الذكاء الاصطناعي، وتحليل البيانات، والواقع الافتراضي؛ ممَّا ينتج أبوابًا لا حصر لها من الفرص والتحديات، ومع انتشار الأجهزة الذكية وتوسع الإنترنت، أصبحت الرقمنة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ليست مجرد تطوُّر تقني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جزءًا لا يتجزأ من حياتنا اليومية، مؤثرة بذلك في كيفية تفاعلنا مع العالم وتبادلنا للمعلومات والخدمات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50C3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التطوُّرات المتسارعة التي شهدها العالم في السنوات الأخيرة، أدت إلى تحوُّلٍ جذريٍّ في مختلف اتجاهات الحياة؛ حيث أدى التقدم في تقنيات المعلومات والاتصالات إلى إنشاء ثورة رقمية، وقد ساهم الإنترنت في انتشار النشر الإلكتروني؛ ممَّا أدى إلى بروز المصنفات الرقمية بدلًا من المصنفات التقليدية، ولم تقتصر آثار البيئة الرقمية على المجال الثقافي فحسب، بل شملت كافة القطاعات عن طريق تقنيات الذكاء الاصطناعي وتحليل البيانات والواقع الافتراضي؛ لتصبح الرقمنة ظاهرةً معاصرةً تؤثر في طريقة معيشتنا وتفاعلنا مع المجتمع الدولي</w:t>
      </w:r>
      <w:r>
        <w:rPr>
          <w:rStyle w:val="None"/>
          <w:rFonts w:ascii="Times New Roman" w:hAnsi="Times New Roman"/>
          <w:sz w:val="24"/>
          <w:szCs w:val="24"/>
          <w:rtl/>
          <w:lang w:val="ar-SA"/>
        </w:rPr>
        <w:t>.</w:t>
      </w:r>
    </w:p>
    <w:p w14:paraId="224302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ثورة المعلومات لعبت دورًا بارزًا ومهمًّا في تطوير وتنمية تكنولوجيا الاتصالات وتوصيل المعلومات وخاصة في مجال النشر الإلكتروني للمصنفات، وهو الأمر الذي أثر بشكل كبير وواضح على إمكان الوصول للمعلومات، وجمع المصنفات على مستوى القرية الكونية، وقد عزّز من هذه الفاعلية في الوصول للمعلومات والمصنفات ما تم ابتكاره من وسائل ووسائط حديثة توصف بالرقمية يتم بواسطتها، أو من خلالها نشر المصنفات الرقمية؛ </w:t>
      </w:r>
      <w:r>
        <w:rPr>
          <w:rStyle w:val="None"/>
          <w:rFonts w:ascii="Arial Unicode MS" w:hAnsi="Arial Unicode MS" w:cs="Times New Roman" w:hint="cs"/>
          <w:sz w:val="24"/>
          <w:szCs w:val="24"/>
          <w:rtl/>
          <w:lang w:val="ar-SA"/>
        </w:rPr>
        <w:lastRenderedPageBreak/>
        <w:t xml:space="preserve">لتصل هذه المصنفات إلى كافة أرجاء العالم، وقد ساهمت هذه الوسائط والدعامات الرقمية بأنواعها المتعددة في تطوُّر حركة النشر بشكل كبير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CBBA5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حقق الإنسان على مدى العصور تطوُّرًا هائلًا في مجال تقنية المعلومات والاتصالات خاصة في وجود شبكة الإنترنت التي ساهمت مساهمة فعَّالة في زيادة حجم المعلومات المتاحة وتعدد أشكالها، أي أنَّ شبكة الإنترنت ساهمت في التغلب على أغلب المشاكل والتحديات؛ بحيث تتيح للمستفيد الاطلاع والحصول على هذه الأوعية من خلال نهايات طرفية مرتبطة بقواعد المعلومات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B854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وكأثر طبيعي للثورة التقنية الهائلة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تطوَّرت تقنيات نشر ونسخ المصنفات بفضل البيئة الرقمية الحديثة، التي مكنت من نشر المصنفات وبثها رقميًا، وجعلتها تصبح متداولةً على نطاق واسع يكاد يبلغ العالم أجمع وبثوانٍ معدودة، ومثل هذا التطوُّر للنشر جعل من الصعوبة بمكان للمؤلف وللناشر أنْ يتحكم ويراقب في جميع عمليات نسخ مصنفاته وتداولها،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ضياع عدم تقاضيه المقابل المالي لاستغلال مصنفه عن كل مرة يتم فيها نسخة؛ ممَّا يجعل قوانين حق المؤلف تقف عاجزةً عن التصدي لهذه المشاكل الاقتصادية، التي تواجه مالكي حقوق المؤلف، وعدم قدرتها على الحفاظ على حقوقهم في مصنفاتهم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8501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ساهمت ثورة المعلومات والاتصالات في إحداث تغير نوعي في مجال النشر الإلكتروني؛ حيث أصبح الوصول إلى المصنفات الرقمية، وتداولها أكثر سهولةً وانتشارًا على مستوى العالم، وذلك عن طريق الوسائط الرقمية الحديثة وشبكة الإنترنت، وقد أدى هذا التطوُّر إلى تسهيل الوصول إلى المعلومات، وتجاوز العديد من التحديات التقليدية، كما أنَّ البيئة الرقمية أظهرت تحدياتٍ جديدةً،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صعوبة السيطرة على نسخ المصنفات وتداولها دون إذن أصحاب الحقوق؛ ممَّا أدى إلى تهديد الحقوق المالية للمؤلفين، وعجز القوانين التقليدية عن توفير الحماية الكافية للمصنفات الرقمية</w:t>
      </w:r>
      <w:r>
        <w:rPr>
          <w:rStyle w:val="None"/>
          <w:rFonts w:ascii="Times New Roman" w:hAnsi="Times New Roman"/>
          <w:sz w:val="24"/>
          <w:szCs w:val="24"/>
          <w:rtl/>
          <w:lang w:val="ar-SA"/>
        </w:rPr>
        <w:t>.</w:t>
      </w:r>
    </w:p>
    <w:p w14:paraId="4892AFD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وكنتيجة حتمية لظهور تقنيات رقمية حديثة ومعقدة لنشر المصنفات، فقد تعددت خيارات المؤلف في وسائل وأساليب ممارسته لحقه في إتاحة مصنفه للجمهور لأول مرة، فمن وسائل النشر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كالدعامات الورقية أصبح بإمكان المؤلف إتاحة مصنفه للجمهور عبر دعامات ووسائط رقمية باستخدام أجهزة الحاسب الآلي، أو عبر شبكات الإنترنت، أو شبكات الاتصالات، أو شبكات المعلومات، وغيرها من وسائل النشر الرقمي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6FCD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من خلال تطوُّر البيئة الرقمية فقد سمحت للأفراد بإنتاج مصنفات بصرية وصوتية ونصية بشكل رقمي تأخذ صيغةً أدبيةً وفنيةً، إلا أنَّ هذا الأمر تسبب بانتشار ظاهرة نسخ هذه المصنفات على دعامات إلكترونية وبيعها بدون ترخيص صاحبها</w:t>
      </w:r>
      <w:r>
        <w:rPr>
          <w:rStyle w:val="None"/>
          <w:rFonts w:ascii="Times New Roman" w:hAnsi="Times New Roman"/>
          <w:sz w:val="24"/>
          <w:szCs w:val="24"/>
          <w:rtl/>
          <w:lang w:val="ar-SA"/>
        </w:rPr>
        <w:t>.</w:t>
      </w:r>
    </w:p>
    <w:p w14:paraId="62185E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وفي ضوء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تطوُّر البيئة الرقمية لم يكن مجرد تطوُّر تقني محدود، بل كان تحوُّلًا شاملًا أعاد تشكيل المشهد المعرفي، والثقافي، والاقتصادي في العالم المعاصر، وقد أدى هذا التطوُّر إلى تسهيل غير مسبق في إنتاج، وتبادل المصنفات الرقمية، وساهم في تعميم المعرفة وتوسيع نطاق الوصول إلى المعلومات على مستوى عالمي</w:t>
      </w:r>
      <w:r>
        <w:rPr>
          <w:rStyle w:val="None"/>
          <w:rFonts w:ascii="Times New Roman" w:hAnsi="Times New Roman"/>
          <w:sz w:val="24"/>
          <w:szCs w:val="24"/>
          <w:rtl/>
          <w:lang w:val="ar-SA"/>
        </w:rPr>
        <w:t>.</w:t>
      </w:r>
    </w:p>
    <w:p w14:paraId="5BE69F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وبالرغم من الفرص التي يقدمها هذا التحول الرقمي، فإنَّه قد أوجد تحدياتٍ قانونيةً، واقتصاديةً مُعقدةً، خاصةً في مجال حماية حقوق المؤلف؛ حيث أصبحت المصنفات الرقمية عُرضةً للنسخ غير المشروع والتداول العشوائي؛ ممَّا أضعف قدرة القوانين التقليدية على حماية الحقوق الفكرية؛ لذلك تتطلب البيئة الرقمية إطارًا قانونيًا وتقنيًا متجددًا يوازن بين حرية الوصول إلى المعلومات وحماية حقوق أصحاب المصنفات، بما يحقق العدالة، ويحفز الإبداع في ظل الثورة الرقمية المتواصلة</w:t>
      </w:r>
      <w:r>
        <w:rPr>
          <w:rStyle w:val="None"/>
          <w:rFonts w:ascii="Times New Roman" w:hAnsi="Times New Roman"/>
          <w:sz w:val="24"/>
          <w:szCs w:val="24"/>
          <w:rtl/>
          <w:lang w:val="ar-SA"/>
        </w:rPr>
        <w:t>.</w:t>
      </w:r>
    </w:p>
    <w:p w14:paraId="39949BF4" w14:textId="77777777" w:rsidR="00454428" w:rsidRDefault="00000000">
      <w:pPr>
        <w:pStyle w:val="a7"/>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الذكاء الاصطناعي والملكية الفكرية</w:t>
      </w:r>
    </w:p>
    <w:p w14:paraId="152FC0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هي نتيجة ما يبدعه الإنسان من اختراعات وابتكارات وآلات صناعية وأغاني وكتب وينطبق مصطلح الملكية الفكرية على أي ابتكار إنساني وعليه فقد أثرت تطبيقات الذكاء الاصطناعي على حقوق الملكية الفكرية، وفي الآونة الحديثة تعتبر الملكية الفكرية هي حجز الزاوية لحضارة الدول الذي يدعم نهضة الإنسان في شتى المجالات، فقد أثرت تطبيقات الذكاء الاصطناعي على نظام الملكية الفكرية إذ أن التقنية الحديثة قد أقرت لنا أنواع جديدة من الابداع الفكري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7"/>
      </w:r>
      <w:r>
        <w:rPr>
          <w:rStyle w:val="None"/>
          <w:rFonts w:ascii="Times New Roman" w:hAnsi="Times New Roman"/>
          <w:sz w:val="24"/>
          <w:szCs w:val="24"/>
          <w:vertAlign w:val="superscript"/>
          <w:rtl/>
          <w:lang w:val="ar-SA"/>
        </w:rPr>
        <w:t>)</w:t>
      </w:r>
    </w:p>
    <w:p w14:paraId="640528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من أبرز قواعد الملكية الفكرية التي تؤثر مباشرة في تحقيق التنمية في مجال الذكاء الاصطناعي هي براءات الاختراع، المتعلقة بأي فكرة إبداعية يتوصل إليها المخترعون في هذا المجال التقني، وتتعلق بمنتج أو آلة، أو طريقة صنع تؤدي عمليًا إلى حل مشكلة ميعنة في أي من المجالات، إذ تعد أهم وسائل حماية الاختراعات وأكثرها انتشارًا؛ لأنها تساهم في تشجيع الابتكار وتجديد وتطوير التكنولوجيا، فضلًا عن أن نشرها يسهم في زيادة المعارف المتعلقة بالابتكار والقدرة على توليد أفكار جديدة تسهم في ابتكارات مستقبلية ويساعد في عملية نقل التكنولوجيا المستخدمة في المشروعات الصناعية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8"/>
      </w:r>
      <w:r>
        <w:rPr>
          <w:rStyle w:val="None"/>
          <w:rFonts w:ascii="Times New Roman" w:hAnsi="Times New Roman"/>
          <w:sz w:val="24"/>
          <w:szCs w:val="24"/>
          <w:vertAlign w:val="superscript"/>
          <w:rtl/>
          <w:lang w:val="ar-SA"/>
        </w:rPr>
        <w:t>)</w:t>
      </w:r>
    </w:p>
    <w:p w14:paraId="34F686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 xml:space="preserve">من نظام براءات الاختراع والتصميمات التخطيطية للدارات المتكاملة والأصناف النباتية والنماذج الصناعية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الاختراع قابلًا للحصول على البراءة طبقًا لأحكام هذا النظام متى كان جديدًا، ومنطويًا على خطوة ابتكارية، وقابلًا للتطبيق الصناعي، ويمكن أن يكون الاختراع منتجًا، أو عملية صناعية، أو متعلقًا بأي منهما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9"/>
      </w:r>
      <w:r>
        <w:rPr>
          <w:rStyle w:val="None"/>
          <w:rFonts w:ascii="Times New Roman" w:hAnsi="Times New Roman"/>
          <w:sz w:val="24"/>
          <w:szCs w:val="24"/>
          <w:vertAlign w:val="superscript"/>
          <w:rtl/>
          <w:lang w:val="ar-SA"/>
        </w:rPr>
        <w:t>)</w:t>
      </w:r>
    </w:p>
    <w:p w14:paraId="709BA6D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تحديد الجهة التي تنسب إليها المصنفات الناتجة عن الذكاء الاصطناعي من أبرز الإشكاليات القانونية في هذا المجال، إذ لا يمكن تطبيق القواعد التقليدية للملكية الفكرية دون تكييف؛ لأن النظام الذكي لا يتمتع بالشخصية القانونية ولا بالإرادة المستقلة بمفهومها القانوني، ويعتبر هذا تحديًا مزدوجًا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0"/>
      </w:r>
      <w:r>
        <w:rPr>
          <w:rStyle w:val="None"/>
          <w:rFonts w:ascii="Times New Roman" w:hAnsi="Times New Roman"/>
          <w:sz w:val="24"/>
          <w:szCs w:val="24"/>
          <w:vertAlign w:val="superscript"/>
          <w:rtl/>
          <w:lang w:val="ar-SA"/>
        </w:rPr>
        <w:t>)</w:t>
      </w:r>
    </w:p>
    <w:p w14:paraId="1E5DAB48" w14:textId="77777777" w:rsidR="00454428" w:rsidRDefault="00000000">
      <w:pPr>
        <w:pStyle w:val="a7"/>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من ناحية تشريعية</w:t>
      </w:r>
      <w:r>
        <w:rPr>
          <w:rStyle w:val="None"/>
          <w:rFonts w:ascii="Times New Roman" w:hAnsi="Times New Roman"/>
          <w:sz w:val="24"/>
          <w:szCs w:val="24"/>
          <w:rtl/>
          <w:lang w:val="ar-SA"/>
        </w:rPr>
        <w:t xml:space="preserve">: </w:t>
      </w:r>
      <w:r>
        <w:rPr>
          <w:rStyle w:val="None"/>
          <w:rFonts w:cs="Times New Roman"/>
          <w:sz w:val="24"/>
          <w:szCs w:val="24"/>
          <w:rtl/>
          <w:lang w:val="ar-SA"/>
        </w:rPr>
        <w:t>تحتاج القوانين إلى نصوص تنظم مصنفات الذكاء الاصطناعي وتحدد بشكل دقيق من يستحق الحقوق المالية والمعنوية</w:t>
      </w:r>
      <w:r>
        <w:rPr>
          <w:rStyle w:val="None"/>
          <w:rFonts w:ascii="Times New Roman" w:hAnsi="Times New Roman"/>
          <w:sz w:val="24"/>
          <w:szCs w:val="24"/>
          <w:rtl/>
          <w:lang w:val="ar-SA"/>
        </w:rPr>
        <w:t>.</w:t>
      </w:r>
    </w:p>
    <w:p w14:paraId="0A809CC9" w14:textId="77777777" w:rsidR="00454428" w:rsidRDefault="00000000">
      <w:pPr>
        <w:pStyle w:val="a7"/>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ومن ناحية فقهية</w:t>
      </w:r>
      <w:r>
        <w:rPr>
          <w:rStyle w:val="None"/>
          <w:rFonts w:ascii="Times New Roman" w:hAnsi="Times New Roman"/>
          <w:sz w:val="24"/>
          <w:szCs w:val="24"/>
          <w:rtl/>
          <w:lang w:val="ar-SA"/>
        </w:rPr>
        <w:t xml:space="preserve">: </w:t>
      </w:r>
      <w:r>
        <w:rPr>
          <w:rStyle w:val="None"/>
          <w:rFonts w:cs="Times New Roman"/>
          <w:sz w:val="24"/>
          <w:szCs w:val="24"/>
          <w:rtl/>
          <w:lang w:val="ar-SA"/>
        </w:rPr>
        <w:t>يجب تطوير نظريات قانونية جديدة تعترف بالدور المركزي للذكاء الاصطناعي في عملية الابداع دون أن تصطدم بالمبادئ الأساسية للقانون المدني</w:t>
      </w:r>
      <w:r>
        <w:rPr>
          <w:rStyle w:val="None"/>
          <w:rFonts w:ascii="Times New Roman" w:hAnsi="Times New Roman"/>
          <w:sz w:val="24"/>
          <w:szCs w:val="24"/>
          <w:rtl/>
          <w:lang w:val="ar-SA"/>
        </w:rPr>
        <w:t>.</w:t>
      </w:r>
    </w:p>
    <w:p w14:paraId="030B84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فإذا توافرت هذه الشروط في الاختراع يجوز للمخترع أن يتقدم إلى مكتب براءات الاختراع بطلب للحصول على البراءة ويقوم المكتب بدوره في فحص الاختراع والتأكد من استيفاء جميع الشروط، كما يلتزم المخترع بالإفصاح عن كافة المعلومات المتعلقة بالاختراع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1"/>
      </w:r>
      <w:r>
        <w:rPr>
          <w:rStyle w:val="None"/>
          <w:rFonts w:ascii="Times New Roman" w:hAnsi="Times New Roman"/>
          <w:sz w:val="24"/>
          <w:szCs w:val="24"/>
          <w:vertAlign w:val="superscript"/>
          <w:rtl/>
          <w:lang w:val="ar-SA"/>
        </w:rPr>
        <w:t>)</w:t>
      </w:r>
    </w:p>
    <w:p w14:paraId="6BDDF5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على الرغم من الإنجازات التي تحققها أنظمة الذكاء الاصطناعي إلا أنها تفتقر إلى البصمة الشخصية، إذ يتم تنفيذ هذه الأنظمة بالكامل من خلال الوسائل الإلكترونية، وتعتمد بشكل أساسي على البيانات والمعلومات التي يوفرها العنصر البشري؛ وبالتالي لا يمكن لأجهزة الذكاء الاصطناعي أن تتمتع بالقدرة على الابداع بشكل مستقل وقياسًا على ذلك لا ينطبق مفهوم الابداع والاصالة على ما تنتجه أنظمة الذكاء الاصطناعي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2"/>
      </w:r>
      <w:r>
        <w:rPr>
          <w:rStyle w:val="None"/>
          <w:rFonts w:ascii="Times New Roman" w:hAnsi="Times New Roman"/>
          <w:sz w:val="24"/>
          <w:szCs w:val="24"/>
          <w:vertAlign w:val="superscript"/>
          <w:rtl/>
          <w:lang w:val="ar-SA"/>
        </w:rPr>
        <w:t>)</w:t>
      </w:r>
    </w:p>
    <w:p w14:paraId="3D2D7B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إن استخدام الذكاء الاصطناعي يضع إشكاليات قانونية في مجال حماية براءة الاختراع، فالتشريعات التقليدية تشترط أن يكون المخترع شخص طبيعي، فهنا يتضح الإشكالية القانونية هل يتم منع براءة الاختراع لأنظمة الذكاء الاصطناعي؟ على الرغم أنه ليس شخص طبيعي، فيمكن القول أن أنظمة الذكاء الاصطناعي في الأصل هي من اختراع البشر أساسًا، فأي تطبيق ينشأ من خلال أنظمة الذكاء الاصطناعي يكون في الأصل هي من صنع الإنسان، في هذه الحالة لا يمكن أن يتم منح تطبيقات الذكاء الاصطناعي براءة الاختراع</w:t>
      </w:r>
      <w:r>
        <w:rPr>
          <w:rStyle w:val="None"/>
          <w:rFonts w:ascii="Times New Roman" w:hAnsi="Times New Roman"/>
          <w:sz w:val="24"/>
          <w:szCs w:val="24"/>
          <w:rtl/>
          <w:lang w:val="ar-SA"/>
        </w:rPr>
        <w:t>.</w:t>
      </w:r>
    </w:p>
    <w:p w14:paraId="14DB22A0"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البيئة الرقمية</w:t>
      </w:r>
      <w:r>
        <w:rPr>
          <w:rStyle w:val="None"/>
          <w:rFonts w:ascii="Times New Roman" w:hAnsi="Times New Roman"/>
          <w:b/>
          <w:bCs/>
          <w:sz w:val="28"/>
          <w:szCs w:val="28"/>
          <w:rtl/>
          <w:lang w:val="ar-SA"/>
        </w:rPr>
        <w:t>:</w:t>
      </w:r>
    </w:p>
    <w:p w14:paraId="35CC0D3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التوجه السريع نحو الرقمنة، أصبحت البيئة الرقمية عنصرًا أساسيًا يؤثر في جميع جوانب الحياة الحديثة، بدءًا من التعليم والتواصل وصولًا إلى الاقتصاد والإدارة، وقد نتج عن هذا التحوُّل بيئةً مختلفةً عن البيئات التقليدية؛ حيث تتميز بمجموعة من الخصائص، التي ساهمت في إعادة تشكيل طرق إنتاج المعلومات وتبادلها، وحددت آليات التفاعل بين الأفراد في العصر الرقمي</w:t>
      </w:r>
      <w:r>
        <w:rPr>
          <w:rStyle w:val="None"/>
          <w:rFonts w:ascii="Times New Roman" w:hAnsi="Times New Roman"/>
          <w:sz w:val="24"/>
          <w:szCs w:val="24"/>
          <w:rtl/>
          <w:lang w:val="ar-SA"/>
        </w:rPr>
        <w:t>.</w:t>
      </w:r>
    </w:p>
    <w:p w14:paraId="702406EA"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2A3C9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C6330D1" w14:textId="77777777"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الوجود الافتراضي</w:t>
      </w:r>
      <w:r>
        <w:rPr>
          <w:rStyle w:val="None"/>
          <w:rFonts w:ascii="Times New Roman" w:hAnsi="Times New Roman"/>
          <w:b/>
          <w:bCs/>
          <w:sz w:val="24"/>
          <w:szCs w:val="24"/>
          <w:rtl/>
          <w:lang w:val="ar-SA"/>
        </w:rPr>
        <w:t xml:space="preserve">: </w:t>
      </w:r>
    </w:p>
    <w:p w14:paraId="445492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أهم ميزات البيئة الرقمية قدرتها على تخطي الحدود المادية، وخلق فضاء بديل يُعرف بالوجود الافتراضي؛ حيث يمكن للأفراد والمؤسسات التفاعل والعمل والتعبير عن أنفسهم ضمن عوالم رقمية ليست مرتبطةً بمكان أو زمان محدد، ويعتبر هذا الوجود الافتراضي سمةً أساسيةً للبيئة الرقمية؛ لما يتيحه من فرص واسعة لتشكيل هُوِيَّات رقمية، وبناء علاقات، وممارسة أنشطة متنوعة في بيئة رقمية تختلف عن الواقع الملموس</w:t>
      </w:r>
      <w:r>
        <w:rPr>
          <w:rStyle w:val="None"/>
          <w:rFonts w:ascii="Times New Roman" w:hAnsi="Times New Roman"/>
          <w:sz w:val="24"/>
          <w:szCs w:val="24"/>
          <w:rtl/>
          <w:lang w:val="ar-SA"/>
        </w:rPr>
        <w:t>.</w:t>
      </w:r>
    </w:p>
    <w:p w14:paraId="7B75B0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عمل المواقع الإلكترونية على مدار اليوم والساعة يُجنب الأفراد عناء ووقت التنقل لشراء مصنف أو معاينة مصنف معين؛ إذْ يتم له ذلك بمجرد دخوله على المواقع الخاصة بتداول المصنفات الرقمية، أو عن طريق البريد الإلكتروني، أو المكتبات الرقمية التي تُمكن من الاطلاع على العديد من المؤلفات، أو غيرها من أدوات تداول المصنفات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33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تأثيرات المنشورات الإلكترونية التي تتم من خلال البيئة الرقمية، هو زيادة وتحسين الوصول إلى المعلومات واسترجاعها، وحتى يمكننا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هذه المنشورات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سوف تقلل من الحاجة إلى استخدام المكتبة، أو الاستفادة من المهارات المكتبية؛ لأنَّ القارئ سوف يتمكن من الوصول إلى المعلومات وهو جالس في بيته أو مكتبه أو مختبره عن طريق منفذه الخاص للحاسوب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9CFC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قد وفرت للأفراد إمكانياتٍ واسعةً للوصول إلى المصنفات الفكرية وتداولها دون الحاجة إلى التنقل أو زيارة أماكن محددة، فيمكن تصفح المؤلفات وشراؤها أو الاطلاع عليها بسهولة عبر المواقع الإلكترونية، أو البريد الإلكتروني أو المكتبات الرقمية المتاحة على مدار الساعة، فقد ساهم هذا التحول في تحسين سرعة الوصول إلى المعلومات واسترجاعها؛ ممَّا جعل المنشورات الإلكترونية بديلًا فعَّالًا للوسائل التقليدية، وعلى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أنْ يؤدي هذا الاتجاه إلى تقليص الاعتماد على المكتبات التقليدية والمهارات المكتبية؛ نظرًا لتوفر المعلومات للقارئ في أي وقت ومن أي مكان عبر جهازه الشخصي</w:t>
      </w:r>
      <w:r>
        <w:rPr>
          <w:rStyle w:val="None"/>
          <w:rFonts w:ascii="Times New Roman" w:hAnsi="Times New Roman"/>
          <w:sz w:val="24"/>
          <w:szCs w:val="24"/>
          <w:rtl/>
          <w:lang w:val="ar-SA"/>
        </w:rPr>
        <w:t>.</w:t>
      </w:r>
    </w:p>
    <w:p w14:paraId="5786CF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يحتاج المستخدم إلى أنْ يبحث عن كتاب معين في المكتبات ولا يحتاج إلى مراسلة الناشر كي يحصل على المؤلف، ويتم كل ذلك في دقائق عبر الإنترنت، عن طريق زيارة موقع موزع الكتب الإلكترونية، أو عن طريق زيارة موقع باحث معين على الإنترنت؛ حيث يمكن أنْ يتم العرض والتحميل عبر الشبكات الحاسوبية؛ ممَّا يتيح نقلها ووصولها إلى القارئ بسرعة،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متابعة مستجدات العلم والمعرفة في مجال الزمن الحقيقي تقريبًا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9C742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أدى النشر الإلكتروني إلى إزالة الحواجز المكانية، فقد أصبح العالم مساحةً رقميةً موحدةً تتجاوز الجغرافيا التقليدية؛ حيث أصبح جهاز الحاسوب هو الحيز الجديد الذي يتحرك فيه المستخدم، ففي هذا الفضاء الرقمي لم تَعُدْ المفاهيم المرتبطة بالمكان المادي،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التجاوز والتباعد قائمة، بل تم استبدالها بالعنوان الرقمي الذي أصبح هُوِيَّة للمكان الجديد، </w:t>
      </w:r>
      <w:r>
        <w:rPr>
          <w:rStyle w:val="None"/>
          <w:rFonts w:ascii="Arial Unicode MS" w:hAnsi="Arial Unicode MS" w:cs="Times New Roman" w:hint="cs"/>
          <w:sz w:val="24"/>
          <w:szCs w:val="24"/>
          <w:rtl/>
          <w:lang w:val="ar-SA"/>
        </w:rPr>
        <w:lastRenderedPageBreak/>
        <w:t>وهكذا غابت الهُوِيَّة الجغرافية المألوفة لصالح هُوِيَّة رقمية تتكوَّن من أحرف وأرقام تشكل مدخلًا لهذا الحيز؛ ممَّا أدى إلى تقليص المسافة الفاصلة بين المستخدمين، وتحويلها إلى نوع من القرب أو البُعد النفسي بحسب طبيعة التفاعل الرقمي</w:t>
      </w:r>
      <w:r>
        <w:rPr>
          <w:rStyle w:val="None"/>
          <w:rFonts w:ascii="Times New Roman" w:hAnsi="Times New Roman"/>
          <w:sz w:val="24"/>
          <w:szCs w:val="24"/>
          <w:rtl/>
          <w:lang w:val="ar-SA"/>
        </w:rPr>
        <w:t>.</w:t>
      </w:r>
    </w:p>
    <w:p w14:paraId="1C4B14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ففي هذا الفضاء الجديد لا يلغي المكان تمامًا، بل يعيد تشكيله بطريقة مختلفة؛ حيث يصبح المكان الافتراضي مزيجًا من المحتوى والعلاقات الرقمية التي ينسجها الفرد مع البيئة الإلكترونية، فتم إلغاء الأبعاد الزمنية والمكانية التقليدية، فيختزل الزمن في اللحظة الرقمية، ويتراكم المكان في طبقات من البيانات والمعرفة المعروضة على الشاشة، وإذا اعتبر هذا الفضاء حيزًا جديدًا، فإنَّ له مفاهيمه الخاصة التي لا تنتمي إلى المكان الواقعي، بل إلى طبيعة التفاعل والتمثيل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7589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النشر الإلكتروني قد ساهم في تسهيل الوصول إلى المصنفات الفكرية، فلم يَعُدْ القارئ مضطرًا لزيارة المكتبات أو التواصل مع الناشرين، بل يمكنه الحصول على المؤلفات خلال دقائق عبر الإنترنت، فقد ساعد ذلك في تسريع تداول المعرفة ومواكبة المستجدات العلمية بشكل لحظي، كما ألغت البيئة الرقمية الحواجز المكانية؛ حيث أصبح التفاعل يتم داخل فضاء رقمي جديد تحكمه العناوين الإلكترونية، بدلًا من الجغرافيا التقليدية؛ ممَّا أعاد تشكيل مفهوم المكان والزمن ضمن إطار افتراضي يتيح تراكم المحتوى وتداوله بسهولة ومرونة</w:t>
      </w:r>
      <w:r>
        <w:rPr>
          <w:rStyle w:val="None"/>
          <w:rFonts w:ascii="Times New Roman" w:hAnsi="Times New Roman"/>
          <w:sz w:val="24"/>
          <w:szCs w:val="24"/>
          <w:rtl/>
          <w:lang w:val="ar-SA"/>
        </w:rPr>
        <w:t>.</w:t>
      </w:r>
    </w:p>
    <w:p w14:paraId="6DA32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فالبيئة الإلكترونية هي المجال الذي يتم من خلاله نشر الإنتاج الفكري، وكذلك تداول هذا الإنتاج، وتلك البيئة بدورها مشمولة بالحماية القانونية مثلها مثل البيئة الحقيقية، فهي ميدان للمعاملات المالية، التي يجب أنْ تتم وفقًا للقانون، أي أنَّ اختلاف البيئة الافتراضية لا يمنع من بسط سلطان القانون على أية معاملات تتم خلال تلك البيئة</w:t>
      </w:r>
      <w:r>
        <w:rPr>
          <w:rStyle w:val="None"/>
          <w:rFonts w:ascii="Times New Roman" w:hAnsi="Times New Roman"/>
          <w:sz w:val="24"/>
          <w:szCs w:val="24"/>
          <w:rtl/>
          <w:lang w:val="ar-SA"/>
        </w:rPr>
        <w:t xml:space="preserve">. </w:t>
      </w:r>
    </w:p>
    <w:p w14:paraId="26FAFC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يفرق النظام السعودي بين تداول المنتجات الفكرية في البيئة الرقمية عنه في البيئة الحقيقية، وهذا ما يتضح من نص المادة </w:t>
      </w:r>
      <w:r>
        <w:rPr>
          <w:rStyle w:val="None"/>
          <w:rFonts w:ascii="Times New Roman" w:hAnsi="Times New Roman"/>
          <w:sz w:val="24"/>
          <w:szCs w:val="24"/>
          <w:rtl/>
          <w:lang w:val="ar-SA"/>
        </w:rPr>
        <w:t xml:space="preserve">(9/ 3) </w:t>
      </w:r>
      <w:r>
        <w:rPr>
          <w:rStyle w:val="None"/>
          <w:rFonts w:ascii="Arial Unicode MS" w:hAnsi="Arial Unicode MS" w:cs="Times New Roman" w:hint="cs"/>
          <w:sz w:val="24"/>
          <w:szCs w:val="24"/>
          <w:rtl/>
          <w:lang w:val="ar-SA"/>
        </w:rPr>
        <w:t xml:space="preserve">من نظام حماية حقوق المؤلف، والتي تنص على أنَّ من 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نقل المصنف إلى الجمهور بأي وسيلة ممكنة،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العرض، أو التمثيل، أو البث الإذاعي، أو عبر شبكات المعلومات</w:t>
      </w:r>
      <w:r>
        <w:rPr>
          <w:rStyle w:val="None"/>
          <w:rFonts w:ascii="Times New Roman" w:hAnsi="Times New Roman"/>
          <w:sz w:val="24"/>
          <w:szCs w:val="24"/>
          <w:rtl/>
          <w:lang w:val="ar-SA"/>
        </w:rPr>
        <w:t>".</w:t>
      </w:r>
    </w:p>
    <w:p w14:paraId="05C720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التصرف من المؤلف مكفول له بقوة النظام، ولا يمنح غيره الحق في ذلك إلا وفقًا للمبادئ والقوانين التي يخضع لها الحق محل الحماية، والخلاصة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محل حماية قانونية،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الحقيقية، والإنتاج الفكري، الذي يتم إنتاجه وتداوله فيها محل حماية كما هو الحال في البيئة الحقيقية</w:t>
      </w:r>
      <w:r>
        <w:rPr>
          <w:rStyle w:val="None"/>
          <w:rFonts w:ascii="Times New Roman" w:hAnsi="Times New Roman"/>
          <w:sz w:val="24"/>
          <w:szCs w:val="24"/>
          <w:rtl/>
          <w:lang w:val="ar-SA"/>
        </w:rPr>
        <w:t xml:space="preserve">. </w:t>
      </w:r>
    </w:p>
    <w:p w14:paraId="433A15AD" w14:textId="77777777"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التحول الرقمي</w:t>
      </w:r>
      <w:r>
        <w:rPr>
          <w:rStyle w:val="None"/>
          <w:rFonts w:ascii="Times New Roman" w:hAnsi="Times New Roman"/>
          <w:b/>
          <w:bCs/>
          <w:sz w:val="24"/>
          <w:szCs w:val="24"/>
          <w:rtl/>
          <w:lang w:val="ar-SA"/>
        </w:rPr>
        <w:t>:</w:t>
      </w:r>
    </w:p>
    <w:p w14:paraId="265E59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التحول الرقمي من أبرز سمات البيئة الرقمية؛ حيث يشير إلى الانتقال إلى استخدام التكنولوجيا الرقمية بدلًا من الأساليب التقليدية في مختلف مجالات الحياة، وقد نتج عن هذا التحوُّل تغييراتٍ جوهريةً في أساليب إنتاج المعلومات وتبادلها واتخاذ القرارات؛ ممَّا جعل البيئة الرقمية أكثر فاعليةً وكفاءةً، كما عملت على فتح آفاق جديدة للابتكار والتطوُّر</w:t>
      </w:r>
      <w:r>
        <w:rPr>
          <w:rStyle w:val="None"/>
          <w:rFonts w:ascii="Times New Roman" w:hAnsi="Times New Roman"/>
          <w:sz w:val="24"/>
          <w:szCs w:val="24"/>
          <w:rtl/>
          <w:lang w:val="ar-SA"/>
        </w:rPr>
        <w:t>.</w:t>
      </w:r>
    </w:p>
    <w:p w14:paraId="0C8935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ثورة التكنولوجيا القائمة خلال هذا العصر مكنت من إحداث تغيير جذري في نمط وطبيعة العمل في كافة الميادين، خاصةً مجال الملكية الفكرية، الذي يُعَدُّ أكثرهم تماشيًا مع التطوُّر التكنولوجيا عن طريق استخدامها للتقنيات </w:t>
      </w:r>
      <w:r>
        <w:rPr>
          <w:rStyle w:val="None"/>
          <w:rFonts w:ascii="Arial Unicode MS" w:hAnsi="Arial Unicode MS" w:cs="Times New Roman" w:hint="cs"/>
          <w:sz w:val="24"/>
          <w:szCs w:val="24"/>
          <w:rtl/>
          <w:lang w:val="ar-SA"/>
        </w:rPr>
        <w:lastRenderedPageBreak/>
        <w:t xml:space="preserve">الحديثة، والمتطوِّرة التي نتج عنها تغيير عميق في طبيعة التفكير في سلوك المؤلفين والأفراد؛ ممَّا أدى إلى ظهور نوع حديث من المؤلفات، وهي المصنفات الرقمية، التي ألغت الحدود والقيود المادية والجغرافية نهائيًا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E7D3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غير أنَّ ما شهده العالم من ثورة المعلومات والتي ترتبط ارتباطًا وثيقًا بتكنولوجيا المعلومات التي فجَّرها اختراع الحاسب الآلي والتطوُّر الكبير الذي لحقه؛ أدى إلى تغيير جذري في عملية الإبداع التقليدي للمصنفات، وذلك من خلال ما أتاحته الشبكة العنكبوتية من أدوات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A95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F9E1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الثورة التكنولوجية قد أدت إلى تغيير جذري في أشكال الإنتاج الفكري؛ حيث تأثرت بشكل مباشر بتطوُّر تقنيات المعلومات والاتصالات، بالإضافة إلى مساهمة تلك الثورة في ظهور المصنفات الرقمية، التي تجاوزت القيود المادية والجغرافية، كما أعادت تشكيل أساليب الإبداع والنشر، من خلال الاعتماد على الحاسبات الآلية وبرامج الشبكات الإلكترونية؛ ممَّا جعل الوصول إلى المصنفات واستغلالها بوسائل رقمية حديثة أكثر سهولةً</w:t>
      </w:r>
      <w:r>
        <w:rPr>
          <w:rStyle w:val="None"/>
          <w:rFonts w:ascii="Times New Roman" w:hAnsi="Times New Roman"/>
          <w:sz w:val="24"/>
          <w:szCs w:val="24"/>
          <w:rtl/>
          <w:lang w:val="ar-SA"/>
        </w:rPr>
        <w:t>.</w:t>
      </w:r>
    </w:p>
    <w:p w14:paraId="723BF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والتحول الرقمي في البيئة الإلكترونية هو مجرد وسيلة لتخزين الإنتاج الفكري، ولا يغير من الطبيعة القانونية للحقوق الناشئة عنه، وهي لا تختلف كثيرًا في تكييفها القانوني عن أية حقوق ملكية فكرية أخرى، خصوصًا فيما يتعلق بالإبداع الفكري، فالتسجيلات الفنية التي تتمتع بالحماية القانونية هي في الحقيقة مواد مسموعة، كانت قديمًا تخزن على أسطوانات أو شرائط، فأصبحت تخزن بطريقة رقمية، فالاختلاف الوحيد في طريقة التخزين، ومِنْ ثَمَّ فإنَّ صفة الافتراضية في حقوق الملكية في البيئة الرقمية لا تنفي تمتع المنتجات الفكرية الرقمية بالحماية القانونية</w:t>
      </w:r>
      <w:r>
        <w:rPr>
          <w:rStyle w:val="None"/>
          <w:rFonts w:ascii="Times New Roman" w:hAnsi="Times New Roman"/>
          <w:sz w:val="24"/>
          <w:szCs w:val="24"/>
          <w:rtl/>
          <w:lang w:val="ar-SA"/>
        </w:rPr>
        <w:t>.</w:t>
      </w:r>
    </w:p>
    <w:p w14:paraId="01D70A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ولذلك فقد نصت المادة </w:t>
      </w:r>
      <w:r>
        <w:rPr>
          <w:rStyle w:val="None"/>
          <w:rFonts w:ascii="Times New Roman" w:hAnsi="Times New Roman"/>
          <w:sz w:val="24"/>
          <w:szCs w:val="24"/>
          <w:rtl/>
          <w:lang w:val="ar-SA"/>
        </w:rPr>
        <w:t xml:space="preserve">(9/ 1) </w:t>
      </w:r>
      <w:r>
        <w:rPr>
          <w:rStyle w:val="None"/>
          <w:rFonts w:ascii="Arial Unicode MS" w:hAnsi="Arial Unicode MS" w:cs="Times New Roman" w:hint="cs"/>
          <w:sz w:val="24"/>
          <w:szCs w:val="24"/>
          <w:rtl/>
          <w:lang w:val="ar-SA"/>
        </w:rPr>
        <w:t>من نظام حماية حقوق المؤلف على أنَّ من حقوق المؤلف</w:t>
      </w:r>
      <w:r>
        <w:rPr>
          <w:rStyle w:val="None"/>
          <w:rFonts w:ascii="Times New Roman" w:hAnsi="Times New Roman"/>
          <w:sz w:val="24"/>
          <w:szCs w:val="24"/>
        </w:rPr>
        <w:t>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طبع المصنف ونشره على شكل مقروء، أو تسجيله على أشرطة مسموعة، أو مرئية، أو أسطوانات مدمجة، أو ذاكرة إلكترونية، أو غير ذلك من وسائل النشر</w:t>
      </w:r>
      <w:r>
        <w:rPr>
          <w:rStyle w:val="None"/>
          <w:rFonts w:ascii="Times New Roman" w:hAnsi="Times New Roman"/>
          <w:sz w:val="24"/>
          <w:szCs w:val="24"/>
          <w:rtl/>
          <w:lang w:val="ar-SA"/>
        </w:rPr>
        <w:t>".</w:t>
      </w:r>
    </w:p>
    <w:p w14:paraId="31AD99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فيشير هذا إلى أنَّ القانون يشمل المصنف بالحماية بصرف النظر عن طريقة تخزينه؛ حيث منح الحق للمؤلف بتخزينه على أية وسيلة مسموعة، أو مرئية، أو أسطوانات مدمجة، أو ذاكرة إلكترونية، والأسطوانات المدمجة والذاكرة الإلكترونية هي وسائل تخزين رقمية</w:t>
      </w:r>
      <w:r>
        <w:rPr>
          <w:rStyle w:val="None"/>
          <w:rFonts w:ascii="Times New Roman" w:hAnsi="Times New Roman"/>
          <w:sz w:val="24"/>
          <w:szCs w:val="24"/>
          <w:rtl/>
          <w:lang w:val="ar-SA"/>
        </w:rPr>
        <w:t>.</w:t>
      </w:r>
    </w:p>
    <w:p w14:paraId="1E52CB0F" w14:textId="77777777" w:rsidR="0023579A" w:rsidRDefault="0023579A">
      <w:pPr>
        <w:rPr>
          <w:rStyle w:val="None"/>
          <w:rFonts w:ascii="Arial Unicode MS" w:hAnsi="Arial Unicode MS"/>
          <w:b/>
          <w:bCs/>
          <w:color w:val="000000"/>
          <w:u w:color="000000"/>
          <w:rtl/>
          <w:lang w:val="ar-SA"/>
        </w:rPr>
      </w:pPr>
      <w:r>
        <w:rPr>
          <w:rStyle w:val="None"/>
          <w:b/>
          <w:bCs/>
          <w:rtl/>
          <w:lang w:val="ar-SA"/>
        </w:rPr>
        <w:br w:type="page"/>
      </w:r>
    </w:p>
    <w:p w14:paraId="6BF9699C" w14:textId="71492664"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lastRenderedPageBreak/>
        <w:t>سهولة الوصول والتخزين</w:t>
      </w:r>
      <w:r>
        <w:rPr>
          <w:rStyle w:val="None"/>
          <w:rFonts w:ascii="Times New Roman" w:hAnsi="Times New Roman"/>
          <w:b/>
          <w:bCs/>
          <w:sz w:val="24"/>
          <w:szCs w:val="24"/>
          <w:rtl/>
          <w:lang w:val="ar-SA"/>
        </w:rPr>
        <w:t>:</w:t>
      </w:r>
    </w:p>
    <w:p w14:paraId="5A5569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التحول الرقمي الذي شهده المجتمع الدولي، أصبحت سهولة الوصول والتخزين من أبرز سمات البيئة الرقمية، فقد وفر هذا التحول الرقمي سهولةَ الوصول إلى المعلومات والبيانات من أي مكان وفي أي وقت، دون الاعتماد على الوسائط المادية التقليدية، بالإضافة إلى إمكانية تخزين كميات ضخمة من المحتوى الرقمي في مساحات افتراضية؛ ممَّا سهَّل عملية حفظ البيانات، وتنظيمها، واسترجاعها بسرعة، فتُعَدُّ تلك الخاصية من العوامل الأساسية التي أعادت تشكيل طرق تداول المعرفة</w:t>
      </w:r>
      <w:r>
        <w:rPr>
          <w:rStyle w:val="None"/>
          <w:rFonts w:ascii="Times New Roman" w:hAnsi="Times New Roman"/>
          <w:sz w:val="24"/>
          <w:szCs w:val="24"/>
          <w:rtl/>
          <w:lang w:val="ar-SA"/>
        </w:rPr>
        <w:t>.</w:t>
      </w:r>
    </w:p>
    <w:p w14:paraId="597C7BB8" w14:textId="6750FE70" w:rsidR="00454428" w:rsidRDefault="00000000" w:rsidP="0023579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البيئة الرقمية للأفراد آلياتٍ متعددةً تساعدهم في سهولة البحث عن معلومات معينة، فبدلًا من تصفح كل صفحات الكتاب أو البحث المطبوع يمكن لجهاز الكمبيوتر أنْ يبحث عن كلمة أو كلمات بشكل آلي؛ ممَّا يوفر الوقت والجهد بشكل كبير، كما تساهم محركات البحث وقواعد البيانات الرقمية في الوصول إلى المعلومة بشكل أدق وأسرع؛ ولذلك أصبحت عملية الوصول إلى مصادر المعرفة أكثر سهولةً ومرونةً؛ ممَّا ساهم في فاعلية البحث العلمي، وساهم في تسريع عملية التعليم والإنتاج الفكري في مختلف المجالات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أتاحت البيئة الرقمية إمكانية توفير الكتب الإلكترونية في وقت واحد وفي مكان واحد،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فإنَّه يُمكن توفير مساحة على رفوف المكتبة، كما توفر البيئة الرقمية إمكانية الوصول السريع للعناوين، وذلك أسرع من الطرق التقليدية لتزويد المكتبات بالعناوين، فهي متاحة لمدة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ساعةً في اليوم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تتميز بسهولة الوصول إلى المعلومات، وسرعة تخزينها واسترجاعها، وذلك بفضل استخدام أدوات بحث ذكية ومحركات بحث متقدمة، فهذا يقلل من الوقت والجهد بشكل كبير مقارنة بالطرق التقليدية، كما تتيح الكتب الإلكترونية وقواعد البيانات الرقمية إمكانية الاطلاع الفوري على المحتوى في أي وقت ومن أي مكان؛ ممَّا يعزّز من كفاءة البحث العلمي، ويُسهم في تطوير العملية التعليمية والإنتاج الفكري</w:t>
      </w:r>
      <w:r>
        <w:rPr>
          <w:rStyle w:val="None"/>
          <w:rFonts w:ascii="Times New Roman" w:hAnsi="Times New Roman"/>
          <w:sz w:val="24"/>
          <w:szCs w:val="24"/>
          <w:rtl/>
          <w:lang w:val="ar-SA"/>
        </w:rPr>
        <w:t>.</w:t>
      </w:r>
    </w:p>
    <w:p w14:paraId="17A332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سهولة الوصول والتخزين في البيئة الرقمية يفتح المجال أمام الاعتداءات على حقوق الملكية الفكرية، وذلك عكس المنتجات في البيئة الحقيقية فالوصول إلى كتاب منشور يحتاج إلى شرائه أولًا ثم القيام بنسخه، ومن السهولة تتبع النسخ الورقية ومصادرتها، وكذلك الحال بالنسبة للمنتجات السمعية والبصرية وغيرها، فصعوبة التخزين والتداول تحد من عمليات الاعتداء على الملكية الفكرية في البيئة الحقيقية، وإنْ كانت لا تمنعها، ولكنها بالتأكيد أكثر صعوبةً من البيئة الإلكترونية، فكل ما عليك هو نسخ المنتج والاحتفاظ به على الجهاز الخاص للمعتدي</w:t>
      </w:r>
      <w:r>
        <w:rPr>
          <w:rStyle w:val="None"/>
          <w:rFonts w:ascii="Times New Roman" w:hAnsi="Times New Roman"/>
          <w:sz w:val="24"/>
          <w:szCs w:val="24"/>
          <w:rtl/>
          <w:lang w:val="ar-SA"/>
        </w:rPr>
        <w:t xml:space="preserve">. </w:t>
      </w:r>
    </w:p>
    <w:p w14:paraId="5A712045" w14:textId="0BC69EA2" w:rsidR="00454428" w:rsidRDefault="00000000" w:rsidP="0023579A">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وبالنسبة لتأثير تلك الخاصة على التكييف القانوني لمحل الحماية فإنَّه ينحصر في احتياج المنتج الفكري في البيئة الافتراضية إلى حماية أكبر وتعاون وتنسيق دولي على نطاق أوسع للحد من عمليات الاعتداء على الملكية الفكرية في البيئة الافتراضية</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وبالنسبة للنظم القانونية فهي تحيط الوصول إلى المنتج الفكري أو تخزينه بالحماية اللازمة؛ لضمان عدم الاعتداء عليه؛ ولذلك تنص المادة </w:t>
      </w:r>
      <w:r>
        <w:rPr>
          <w:rStyle w:val="None"/>
          <w:rFonts w:ascii="Times New Roman" w:hAnsi="Times New Roman"/>
          <w:sz w:val="24"/>
          <w:szCs w:val="24"/>
          <w:rtl/>
          <w:lang w:val="ar-SA"/>
        </w:rPr>
        <w:t xml:space="preserve">(21/ 4 - 5) </w:t>
      </w:r>
      <w:r>
        <w:rPr>
          <w:rStyle w:val="None"/>
          <w:rFonts w:ascii="Arial Unicode MS" w:hAnsi="Arial Unicode MS" w:cs="Times New Roman" w:hint="cs"/>
          <w:sz w:val="24"/>
          <w:szCs w:val="24"/>
          <w:rtl/>
          <w:lang w:val="ar-SA"/>
        </w:rPr>
        <w:t>من نظام حماية حقوق المؤلف على أنَّ</w:t>
      </w:r>
      <w:r>
        <w:rPr>
          <w:rStyle w:val="None"/>
          <w:rFonts w:ascii="Times New Roman" w:hAnsi="Times New Roman"/>
          <w:sz w:val="24"/>
          <w:szCs w:val="24"/>
          <w:rtl/>
          <w:lang w:val="ar-SA"/>
        </w:rPr>
        <w:t>:</w:t>
      </w:r>
    </w:p>
    <w:p w14:paraId="40EFED14" w14:textId="77777777" w:rsidR="00454428" w:rsidRDefault="00000000">
      <w:pPr>
        <w:pStyle w:val="a7"/>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أي معلومة كتابية وإلكترونية قد تتسبب في إسقاط حقوق أصحاب المصنف</w:t>
      </w:r>
      <w:r>
        <w:rPr>
          <w:rStyle w:val="None"/>
          <w:rFonts w:ascii="Times New Roman" w:hAnsi="Times New Roman"/>
          <w:sz w:val="24"/>
          <w:szCs w:val="24"/>
        </w:rPr>
        <w:t>.</w:t>
      </w:r>
      <w:r>
        <w:rPr>
          <w:rStyle w:val="None"/>
          <w:rFonts w:ascii="Times New Roman" w:hAnsi="Times New Roman"/>
          <w:sz w:val="24"/>
          <w:szCs w:val="24"/>
          <w:rtl/>
          <w:lang w:val="ar-SA"/>
        </w:rPr>
        <w:t xml:space="preserve"> </w:t>
      </w:r>
    </w:p>
    <w:p w14:paraId="4F66F553" w14:textId="77777777" w:rsidR="00454428" w:rsidRDefault="00000000">
      <w:pPr>
        <w:pStyle w:val="a7"/>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وفك أي معلومة احترازية إلكترونية تضمن استخدام النسخ الأصلية للمصنف، مثل</w:t>
      </w:r>
      <w:r>
        <w:rPr>
          <w:rStyle w:val="None"/>
          <w:rFonts w:ascii="Times New Roman" w:hAnsi="Times New Roman"/>
          <w:sz w:val="24"/>
          <w:szCs w:val="24"/>
          <w:rtl/>
          <w:lang w:val="ar-SA"/>
        </w:rPr>
        <w:t xml:space="preserve">: </w:t>
      </w:r>
      <w:r>
        <w:rPr>
          <w:rStyle w:val="None"/>
          <w:rFonts w:cs="Times New Roman"/>
          <w:sz w:val="24"/>
          <w:szCs w:val="24"/>
          <w:rtl/>
          <w:lang w:val="ar-SA"/>
        </w:rPr>
        <w:t>التشفير، أو المعلومات المدونة بالليزر، أو غيره</w:t>
      </w:r>
      <w:r>
        <w:rPr>
          <w:rStyle w:val="None"/>
          <w:rFonts w:ascii="Times New Roman" w:hAnsi="Times New Roman"/>
          <w:sz w:val="24"/>
          <w:szCs w:val="24"/>
        </w:rPr>
        <w:t>.</w:t>
      </w:r>
    </w:p>
    <w:p w14:paraId="2E6786D9" w14:textId="77777777" w:rsidR="00454428" w:rsidRDefault="00000000" w:rsidP="00C72BA8">
      <w:pPr>
        <w:pStyle w:val="a4"/>
        <w:rPr>
          <w:rStyle w:val="None"/>
          <w:lang w:val="ar-SA"/>
        </w:rPr>
      </w:pPr>
      <w:bookmarkStart w:id="152" w:name="_Toc227251106"/>
      <w:bookmarkStart w:id="153" w:name="_Toc227251416"/>
      <w:r>
        <w:rPr>
          <w:rStyle w:val="None"/>
          <w:rFonts w:ascii="Arial Unicode MS" w:eastAsia="Arial Unicode MS" w:hAnsi="Arial Unicode MS" w:hint="cs"/>
          <w:rtl/>
          <w:lang w:val="ar-SA"/>
        </w:rPr>
        <w:lastRenderedPageBreak/>
        <w:t>المطلب الثاني</w:t>
      </w:r>
      <w:bookmarkEnd w:id="152"/>
      <w:bookmarkEnd w:id="153"/>
    </w:p>
    <w:p w14:paraId="54AD009B" w14:textId="77777777" w:rsidR="00454428" w:rsidRDefault="00000000" w:rsidP="00C72BA8">
      <w:pPr>
        <w:pStyle w:val="a4"/>
        <w:rPr>
          <w:rStyle w:val="None"/>
          <w:lang w:val="ar-SA"/>
        </w:rPr>
      </w:pPr>
      <w:bookmarkStart w:id="154" w:name="_Toc227251107"/>
      <w:bookmarkStart w:id="155" w:name="_Toc227251417"/>
      <w:r>
        <w:rPr>
          <w:rStyle w:val="None"/>
          <w:rFonts w:ascii="Arial Unicode MS" w:eastAsia="Arial Unicode MS" w:hAnsi="Arial Unicode MS" w:hint="cs"/>
          <w:rtl/>
          <w:lang w:val="ar-SA"/>
        </w:rPr>
        <w:t>أثر البيئة الرقمية على تطوُّر الملكية الفكرية</w:t>
      </w:r>
      <w:bookmarkEnd w:id="154"/>
      <w:bookmarkEnd w:id="155"/>
    </w:p>
    <w:p w14:paraId="0BFD28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العقود الأخيرة تحوُّلًا نوعيًا؛ نتيجة الثورة الرقمية التي غيرت طريقة التعامل مع المعلومات والمصنفات الفكرية؛ حيث لم تَعُدْ حدود الإبداع، والتوزيع، والنشر مقيدة بالأطر التقليدية، بل أصبحت البيئة الرقمية مجتمعًا افتراضيًّا لإنتاج وتداول المحتوى بسرعة واسعة، دون قيود للزمان أو المكان، وقد أتاح هذا الواقع الجديد فرصًا جديدةً للأفراد للمشاركة في عملية الإنتاج المعرفي بشكل لم يكن ممكنًا في ظل الوسائط التقليدية</w:t>
      </w:r>
      <w:r>
        <w:rPr>
          <w:rStyle w:val="None"/>
          <w:rFonts w:ascii="Times New Roman" w:hAnsi="Times New Roman"/>
          <w:sz w:val="24"/>
          <w:szCs w:val="24"/>
          <w:rtl/>
          <w:lang w:val="ar-SA"/>
        </w:rPr>
        <w:t>.</w:t>
      </w:r>
    </w:p>
    <w:p w14:paraId="0A19E3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أثر هذا التحول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تأثرت منظومة الملكية الفكرية بشكل ملحوظ؛ حيث أصبح تداول الإنتاج الفكري وانتشاره يحدث بشكل فوري وعبر جمهور عالمي؛ ممَّا زاد من قيمة المعرفة الرقمية ومكانتها في المجتمع المعاصر، وقد أثر هذا التطوُّر في طبيعة الملكية الفكرية ذاتها، من حيث تنوع أشكالها وتداخل حدودها وتغير طرق تداولها واستعمالها؛ ممَّا يستدعي فهمًا أعمق لهذه الظاهرة في سياقها الجديد</w:t>
      </w:r>
      <w:r>
        <w:rPr>
          <w:rStyle w:val="None"/>
          <w:rFonts w:ascii="Times New Roman" w:hAnsi="Times New Roman"/>
          <w:sz w:val="24"/>
          <w:szCs w:val="24"/>
          <w:rtl/>
          <w:lang w:val="ar-SA"/>
        </w:rPr>
        <w:t>.</w:t>
      </w:r>
    </w:p>
    <w:p w14:paraId="1E3A6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شك أنَّ للبيئة الرقمية العديد من الآثار التي تسهم في تطوير الملكية الفكرية؛ حيث تتمثل في التطوُّر التكنولوجي على الملكية الفكرية، وانتشار المصنفات الفكرية، وظهور أشكال جديدة من الملكية الفكرية، ودمج التكنولوجيا في حماية المصنفات، وذلك على النحو التالي</w:t>
      </w:r>
      <w:r>
        <w:rPr>
          <w:rStyle w:val="None"/>
          <w:rFonts w:ascii="Times New Roman" w:hAnsi="Times New Roman"/>
          <w:sz w:val="24"/>
          <w:szCs w:val="24"/>
          <w:rtl/>
          <w:lang w:val="ar-SA"/>
        </w:rPr>
        <w:t>:</w:t>
      </w:r>
    </w:p>
    <w:p w14:paraId="420D68B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التطوُّر التكنولوجي على الملكية الفكرية</w:t>
      </w:r>
      <w:r>
        <w:rPr>
          <w:rStyle w:val="None"/>
          <w:rFonts w:ascii="Times New Roman" w:hAnsi="Times New Roman"/>
          <w:b/>
          <w:bCs/>
          <w:sz w:val="28"/>
          <w:szCs w:val="28"/>
          <w:rtl/>
          <w:lang w:val="ar-SA"/>
        </w:rPr>
        <w:t>:</w:t>
      </w:r>
    </w:p>
    <w:p w14:paraId="1776EC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التطوُّر التكنولوجي المتسارع عنصرًا أساسيًّا في ظهور البيئة الرقمية؛ حيث أثر بشكل مباشر على كيفية إنتاج وتوزيع واستخدام المصنفات الفكرية، ولم يَعُدْ الإبداع مقتصرًا على المؤسسات أو المتخصصين، بل أصبح متاحًا لفئات واسعة من الأفراد بفضل الأدوات الرقمية المتطوِّرة، فقد وفرت التكنولوجيا الحديثة إمكانيات جديدة لإنشاء المحتوى، وتعديله، ومشاركته بطرق مرنة وسريعة؛ ممَّا أدى إلى توسيع نطاق الإبداع وتنوع أشكاله، كما أدى هذا التغير التقني الواسع إلى التأثير على مفاهيم الملكية الفكرية؛ حيث أصبحت أكثر ترابطًا مع الواقع الرقمي الذي يتميز بالسرعة والتداخل وسهولة التداول</w:t>
      </w:r>
      <w:r>
        <w:rPr>
          <w:rStyle w:val="None"/>
          <w:rFonts w:ascii="Times New Roman" w:hAnsi="Times New Roman"/>
          <w:sz w:val="24"/>
          <w:szCs w:val="24"/>
          <w:rtl/>
          <w:lang w:val="ar-SA"/>
        </w:rPr>
        <w:t xml:space="preserve">. </w:t>
      </w:r>
    </w:p>
    <w:p w14:paraId="48542C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تطوُّر التطوُّر التكنولوجي في مختلف جوانب الحياة ساهم بشكل كبير في ظهور حقوق جديدة لم تكن مألوفةً في الماضي، وتشمل هذه الحقوق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الرسم، أو الحركة، أو الشكل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2F8A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المعرفة الفكرية نتاجًا لفكر الإنسان، والتي تتحول بعد ذلك إلى موارد معرفية يستفيد منها الأشخاص لتسهيل حياتهم؛ ونظرًا لأهمية الوعي الفكري، والتقدم التكنولوجي في الصعيد العلمي؛ استوجب الاعتراف بالملكية الفكرية للأشياء المبتكرة، وتأتي أهمية تلك الأفكار على الأنظمة الاقتصادية، وعلى رفع المستوى الثقافي والحضاري للشعوب </w:t>
      </w:r>
      <w:r>
        <w:rPr>
          <w:rStyle w:val="None"/>
          <w:rFonts w:ascii="Arial Unicode MS" w:hAnsi="Arial Unicode MS" w:cs="Times New Roman" w:hint="cs"/>
          <w:sz w:val="24"/>
          <w:szCs w:val="24"/>
          <w:rtl/>
          <w:lang w:val="ar-SA"/>
        </w:rPr>
        <w:lastRenderedPageBreak/>
        <w:t xml:space="preserve">والدول، فهذا ما جعل الدول تسعى إلى حماية حقوق الملكية الفكرية وردها إلى أصحابها بحكم أنَّ قوة الأمم تقاس بحكم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F057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 التكنولوجي المتسارع قد أسهم في بروز حقوق فكرية جديدة لم تكن معروفةً من قبل،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 المخترع وحق المؤلف، وحق المصمم، وغيرها من الحقوق المرتبطة بالإبداع في مجالات العلوم، والآداب، والفنون؛ حيث أصبحت الملكية الفكرية تمثل انعكاسًا مباشرًا لفكر الإنسان وإبداعه، وتحولت إلى مورد معرفي أساسي يسهم في تقدم المجتمعات ورفع مستواها الثقافي والاقتصادي،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أدركت المجتمع الدولي أهمية حماية هذه الحقوق كعنصر أساسي في بناء الحضارات الحديثة، ومقياس لقوة الأمم وتقدمها في عصر يعتمد على المعرفة والابتكار</w:t>
      </w:r>
      <w:r>
        <w:rPr>
          <w:rStyle w:val="None"/>
          <w:rFonts w:ascii="Times New Roman" w:hAnsi="Times New Roman"/>
          <w:sz w:val="24"/>
          <w:szCs w:val="24"/>
          <w:rtl/>
          <w:lang w:val="ar-SA"/>
        </w:rPr>
        <w:t>.</w:t>
      </w:r>
    </w:p>
    <w:p w14:paraId="114C0C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النشاط الإبداعي لدى الإنسان وإطلاق طاقاته الإبداعية تتطلب ضمان حماية ورعاية تلك الإبداعات، ويتمثل ذلك في مجموعة من التشريعات الوطنية والدولية، وهذا ما يعرف بحماية الملكية الفكرية؛ حيث إنَّ الملكية الفكرية هي إبداعات ذهن الإنسان، ولا يجوز لأي شخص آخر أنْ ينتفع بها انتفاعًا مشروعًا دون تصريح من صاحبها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9C7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وأصبحت الملكية الفكرية تمثل إحدى أهم الثروات التي تصدرها الدول المتقدمة تكنولوجيًا في هذا العصر، وأداة من أدوات التنمية التي تعتمد عليها الحكومات في سياساتها الاقتصادية؛ لما تحدثه من تغيرات تكنولوجية، واقتصادية، وآثار سياسية، وثقافية، وعلمية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E348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التقرير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 xml:space="preserve">تسخير سياسات الابتكار لأغراض النمو والتنمية، يستقصي تقرير جديد للويبو نقاط التقاطع بين الابتكار البشري، والتنويع الاقتصادي، والسياسة الصناعية، ويخلص إلى أنَّ مفتاح النمو المستدام للبلدان هو التركيز على تطوير قدرات الابتكار المحلية عند وضع السياسات، وتوثق التقارير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يصدر كل سنتين بعنوان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جعل سياسة الابتكار تعمل من أجل التنمية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عودة ظهور السياسات الصناعية في الآونة الأخيرة،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العديد من البلدان النامية وأقل البلدان نموًا؛ بهدف ضمان قاعدة هيكلية اقتصادية واسعة ومتنامية، وكذلك الابتكار، والإبداع، والتكنولوجيا اللازمة لتحقيقها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6"/>
      </w:r>
      <w:r>
        <w:rPr>
          <w:rStyle w:val="None"/>
          <w:rFonts w:ascii="Times New Roman" w:hAnsi="Times New Roman"/>
          <w:sz w:val="24"/>
          <w:szCs w:val="24"/>
          <w:vertAlign w:val="superscript"/>
          <w:rtl/>
          <w:lang w:val="ar-SA"/>
        </w:rPr>
        <w:t>)</w:t>
      </w:r>
    </w:p>
    <w:p w14:paraId="3152FD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فإنَّ ظهور الملكية الفكرية في المجال الدولي أدى إلى إحداث نوع من الصراع السياسي والتنافس فيما بينها؛ حيث إنَّ هذا الصراع أدى إلى الانقسام فيما بين الدول، ورغبة في استثمار الثروات التي تمتلكها كل دولة،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الابتكارات الذهنية والاختراعات، الأمر الذي دفع الدول الأوروبية مثلًا إلى الازدهار أكثر، بينما أطاح بالدول التي تعرضت للاستعمار، وذلك أنَّ استغلال واحتكار حقوق الابتكار؛ أدى إلى ازدهار بعض الدول أكثر من غيرها،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انقسام العالم إلى مجموعات متفاوتة؛ نظرًا للتقدم والتخلف الذي ميز كل من دولة عن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7"/>
      </w:r>
      <w:r>
        <w:rPr>
          <w:rStyle w:val="None"/>
          <w:rFonts w:ascii="Times New Roman" w:hAnsi="Times New Roman"/>
          <w:sz w:val="24"/>
          <w:szCs w:val="24"/>
          <w:vertAlign w:val="superscript"/>
          <w:rtl/>
          <w:lang w:val="ar-SA"/>
        </w:rPr>
        <w:t>)</w:t>
      </w:r>
    </w:p>
    <w:p w14:paraId="57C26DC7" w14:textId="77777777" w:rsidR="00454428" w:rsidRDefault="00000000" w:rsidP="006B1B4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النشاط الإبداعي يُعَدُّ من أهم مظاهر التميز الإنساني، ويتطلب بالضرورة توفير الحماية والرعاية القانونية الكافية؛ لضمان استمراره وتطوُّره، وتتمثل هذه الحماية فيما يعرف بحقوق الملكية الفكرية، والتي تشتمل على إبداعات العقل البشري في مختلف المجالات، ولا يجوز الانتفاع بها دون إذن صاحبها، فمع تطوُّر العصر الرقمي، أصبحت الملكية الفكرية من أبرز الموارد الاقتصادية للدول المتقدمة، وأداةً فعَّالةً في تعزيز التنمية؛ لما لها من تأثيرات مباشرة على النمو التكنولوجي والثقافي والعلمي، فضلًا عن دورها في تشكيل السياسات الاقتصادية الحديثة</w:t>
      </w:r>
      <w:r>
        <w:rPr>
          <w:rStyle w:val="None"/>
          <w:rFonts w:ascii="Times New Roman" w:hAnsi="Times New Roman"/>
          <w:sz w:val="24"/>
          <w:szCs w:val="24"/>
          <w:rtl/>
          <w:lang w:val="ar-SA"/>
        </w:rPr>
        <w:t>.</w:t>
      </w:r>
    </w:p>
    <w:p w14:paraId="58FA62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ولقد أبرزت التطوُّرات في مجالات الحوسبة، والإنترنت، والتقنيات الرقمية أهمية الملكية الفكرية في إطار المجتمع الإنساني، فتعتبر الملكية الفكرية العنصر الرئيسي في حماية الفكر، والاجتهاد، والابتكار، وفي الوقت نفسه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تُعَدُّ نهجًا يعبر عن حماية واحترام الإبداع في المجتمع؛ بحيث يجب تفسير العبارة الأخيرة، في ضوء أنَّ كل عدوان على الابتكار، والإبداع، والاجتهاد، والتجديد الذي يقوم به العقل البشري هو تحقير للتطوُّر، واعتداء على منهجية التجديد، وعدم احترام المجتمع والفرد في دولة معينة، وهو ما يؤدي إلى ضرورة حماية حقوق الملكية الفكرية لأفكار الأفراد، وتحويلها إلى اقتصاديات يمكن الاستفادة منها، ويحقق من ورائها نشاطًا تجاريًّا يصلح لتقوية موقفه المالي ومعيشته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8B027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 الملكية الفكرية لها أهمية كبيرة من حيث تعلقها بمسألة التطوُّرات الهائلة الحاصلة في مجالات تكنولوجيا المعلومات والابتكارات، الشيء الذي ينجم عنه ظهور وسائل جديدة ومتطوِّرة لتبادل المعرفة بطرق سهله وفعَّالة، وتزداد الأهمية التي توليها الدول حاليًا لمجال الملكية الفكرية؛ انطلاقًا من الدور الذي يلعبه في تنشيط حركة الاقتصاد العالمي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EF25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نجد أنَّ التطوُّرات التكنولوجية في مجالات،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الحوسبة، والإنترنت، والتقنيات الرقمية، قد سلطت الضوء على الأهمية المتزايدة للملكية الفكرية في المجتمع المعاصر؛ حيث أصبحت أداةً أساسيةً لحماية الإبداع، والابتكار، والاجتهاد الفكري، فيُعَدُّ أي انتهاك لهذه الحقوق تعديًا على مسار التقدم العلمي والتكنولوجي، وعلى احترام المجتمع لطاقات أفراده</w:t>
      </w:r>
      <w:r>
        <w:rPr>
          <w:rStyle w:val="None"/>
          <w:rFonts w:ascii="Times New Roman" w:hAnsi="Times New Roman"/>
          <w:sz w:val="24"/>
          <w:szCs w:val="24"/>
          <w:rtl/>
          <w:lang w:val="ar-SA"/>
        </w:rPr>
        <w:t>.</w:t>
      </w:r>
    </w:p>
    <w:p w14:paraId="497185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الضروري تحويل الأفكار المبتكرة إلى أصول معرفية ذات قيمة اقتصادية تساهم في تحسين مستوى الفرد وتنشيط الحركة التجارية، كما أدى التوسع الكبير في أدوات إنتاج المعرفة وتبادلها إلى منح الدول أهمية متزايدة للملكية الفكرية، باعتبارها ركنًا أساسيًّا لدعم الاقتصاد الوطني، وتعزيز موقعها في المجتمع الدولي</w:t>
      </w:r>
      <w:r>
        <w:rPr>
          <w:rStyle w:val="None"/>
          <w:rFonts w:ascii="Times New Roman" w:hAnsi="Times New Roman"/>
          <w:sz w:val="24"/>
          <w:szCs w:val="24"/>
          <w:rtl/>
          <w:lang w:val="ar-SA"/>
        </w:rPr>
        <w:t xml:space="preserve">. </w:t>
      </w:r>
    </w:p>
    <w:p w14:paraId="23256A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البيئة الرقمية على الملكية الفكرية</w:t>
      </w:r>
      <w:r>
        <w:rPr>
          <w:rStyle w:val="None"/>
          <w:rFonts w:ascii="Times New Roman" w:hAnsi="Times New Roman"/>
          <w:b/>
          <w:bCs/>
          <w:sz w:val="28"/>
          <w:szCs w:val="28"/>
          <w:rtl/>
          <w:lang w:val="ar-SA"/>
        </w:rPr>
        <w:t>:</w:t>
      </w:r>
    </w:p>
    <w:p w14:paraId="6D84AF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في التعامل مع الإنتاج الفكري؛ حيث ساهمت في تغيير طبيعة المصنفات وحدود تداولها بشكل جذري، بفضل البنية التفاعلية للفضاء الرقمي، فأصبح من الممكن إنتاج المحتوى، وتعديله، ونقله، ومشاركته بسرعة، وانتشار غير مسبوقين؛ ممَّا جعل البيئة الرقمية تؤثر بشكل مباشر في مفاهيم الملكية الفكرية ومجالات تطبيقها، فلم يَعُدْ التعامل مع المصنفات محصورًا في إطار مادي أو محلي، بل أصبح يتم عبر وسائط رقمية مفتوحة</w:t>
      </w:r>
      <w:r>
        <w:rPr>
          <w:rStyle w:val="None"/>
          <w:rFonts w:ascii="Times New Roman" w:hAnsi="Times New Roman"/>
          <w:sz w:val="24"/>
          <w:szCs w:val="24"/>
          <w:rtl/>
          <w:lang w:val="ar-SA"/>
        </w:rPr>
        <w:t>.</w:t>
      </w:r>
    </w:p>
    <w:p w14:paraId="16476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ساهمت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 ومِنْ ثَمَّ انكفأت الوسائط الإلكترونية المتعددة، الأمر الذي تزامن مع الترميز الرقمي للمصنفات؛ ليتسنَّى تداولها إلكترونيًا، الأمر الذي يعكس إشكالية حماية حق المؤلف في ظل تسيير نواتج الملكية الفكرية، رغم التداول الفلكي لها في الفضاء الكوني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0"/>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p>
    <w:p w14:paraId="4C1C81AB" w14:textId="77777777" w:rsidR="00454428" w:rsidRDefault="00000000">
      <w:pPr>
        <w:pStyle w:val="a7"/>
        <w:numPr>
          <w:ilvl w:val="0"/>
          <w:numId w:val="7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 الفكرية</w:t>
      </w:r>
      <w:r>
        <w:rPr>
          <w:rStyle w:val="None"/>
          <w:rFonts w:ascii="Times New Roman" w:hAnsi="Times New Roman"/>
          <w:b/>
          <w:bCs/>
          <w:sz w:val="24"/>
          <w:szCs w:val="24"/>
          <w:rtl/>
          <w:lang w:val="ar-SA"/>
        </w:rPr>
        <w:t>:</w:t>
      </w:r>
    </w:p>
    <w:p w14:paraId="7CA74C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الانتشار الواسع للبيئة الرقمية إلى تسهيل تداول المصنفات الفكرية وانتشارها على نطاق غير مسبوق؛ حيث أصبح من الممكن نشر المحتوى وتبادله بسرعة فائقة عبر الوسائط الإلكترونية، دون الحاجة إلى الوسائط التقليدية، وقد ساهم هذا التحول في توسيع دائرة جمهور المصنفات وزيادة فرص الاطلاع عليها والاستفادة منها؛ ممَّا أثر بشكل مباشر على مفهوم الانتشار في الملكية الفكرية، كما جعلت البيئة الرقمية من نفسها أداةً فعَّالةً في تسريع حركة الإبداع وتعميمه على المستوى العالمي</w:t>
      </w:r>
      <w:r>
        <w:rPr>
          <w:rStyle w:val="None"/>
          <w:rFonts w:ascii="Times New Roman" w:hAnsi="Times New Roman"/>
          <w:sz w:val="24"/>
          <w:szCs w:val="24"/>
          <w:rtl/>
          <w:lang w:val="ar-SA"/>
        </w:rPr>
        <w:t>.</w:t>
      </w:r>
    </w:p>
    <w:p w14:paraId="39305F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أدى التقدم الذي شهده العالم على أثر التطوُّر التكنولوجي إلى تدفق المعلومات؛ حيث أصبح الوصول إليها سهل دون أنْ تقف الحدود الجغرافية عائق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أصبح من السهل نشر المصنفات في إي مكان، فعلى إثر ظهور شبكة الإنترنت، تغير مفهوم النشر، فبعد أنْ كان تقليديًا أصبح إلكترونيًا عبر تقنيات متعددة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FB9F3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المؤلِّف مفهوم بوسعه أنْ يستوعب طائفة المبدعين والمبتكرين الحاليين منهم والمحتملين، فنجد أنَّ أنماط المؤلفين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تبعًا لارتباطهم بمصنفاتهم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تتنوع وفقًا لما يلي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2"/>
      </w:r>
      <w:r>
        <w:rPr>
          <w:rStyle w:val="None"/>
          <w:rFonts w:ascii="Times New Roman" w:hAnsi="Times New Roman"/>
          <w:sz w:val="24"/>
          <w:szCs w:val="24"/>
          <w:vertAlign w:val="superscript"/>
          <w:rtl/>
          <w:lang w:val="ar-SA"/>
        </w:rPr>
        <w:t>)</w:t>
      </w:r>
    </w:p>
    <w:p w14:paraId="6BB77217"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الفردي</w:t>
      </w:r>
      <w:r>
        <w:rPr>
          <w:rStyle w:val="None"/>
          <w:rFonts w:ascii="Times New Roman" w:hAnsi="Times New Roman"/>
          <w:b/>
          <w:bCs/>
          <w:sz w:val="24"/>
          <w:szCs w:val="24"/>
          <w:rtl/>
          <w:lang w:val="ar-SA"/>
        </w:rPr>
        <w:t xml:space="preserve">: </w:t>
      </w:r>
      <w:r>
        <w:rPr>
          <w:rStyle w:val="None"/>
          <w:rFonts w:cs="Times New Roman"/>
          <w:sz w:val="24"/>
          <w:szCs w:val="24"/>
          <w:rtl/>
          <w:lang w:val="ar-SA"/>
        </w:rPr>
        <w:t>هو أكثر المصنفات شيوعًا، فغالبًا ما يقوم شخص واحد بإنتاج المصنف، وينسب إلى مؤلفه عن طريق ذكر اسمه الحقيقي عليه، أو بطريقة الاسم المستعار، أو أي علامة تقطع أواصر الشك في التعرف على حقيقة المؤلف</w:t>
      </w:r>
      <w:r>
        <w:rPr>
          <w:rStyle w:val="None"/>
          <w:rFonts w:ascii="Times New Roman" w:hAnsi="Times New Roman"/>
          <w:sz w:val="24"/>
          <w:szCs w:val="24"/>
          <w:rtl/>
          <w:lang w:val="ar-SA"/>
        </w:rPr>
        <w:t>.</w:t>
      </w:r>
    </w:p>
    <w:p w14:paraId="77A0C122"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المشترك</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وتضمن اشتراكهم مساهمةَ كل فرد منهم في ابتكارية المصنف، مع اشتراك فكرهم واتجاه جهودهم إلى إخراج هذا المصنف</w:t>
      </w:r>
      <w:r>
        <w:rPr>
          <w:rStyle w:val="None"/>
          <w:rFonts w:ascii="Times New Roman" w:hAnsi="Times New Roman"/>
          <w:sz w:val="24"/>
          <w:szCs w:val="24"/>
          <w:rtl/>
          <w:lang w:val="ar-SA"/>
        </w:rPr>
        <w:t>.</w:t>
      </w:r>
    </w:p>
    <w:p w14:paraId="6D1E1B07"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الجماعي</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بتوجيه من شخصية اعتبارية أو معنوية تتكفل بنشر المصنف تحت إدارتها وباسمها، وفي هذا النوع من المصنفات يكون للشخص المعنوي الذي وجه بإخراج المصنف حق مباشرة سلطات المؤلف</w:t>
      </w:r>
      <w:r>
        <w:rPr>
          <w:rStyle w:val="None"/>
          <w:rFonts w:ascii="Times New Roman" w:hAnsi="Times New Roman"/>
          <w:sz w:val="24"/>
          <w:szCs w:val="24"/>
          <w:rtl/>
          <w:lang w:val="ar-SA"/>
        </w:rPr>
        <w:t>.</w:t>
      </w:r>
    </w:p>
    <w:p w14:paraId="36FFC81D"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المشتق</w:t>
      </w:r>
      <w:r>
        <w:rPr>
          <w:rStyle w:val="None"/>
          <w:rFonts w:ascii="Times New Roman" w:hAnsi="Times New Roman"/>
          <w:b/>
          <w:bCs/>
          <w:sz w:val="24"/>
          <w:szCs w:val="24"/>
          <w:rtl/>
          <w:lang w:val="ar-SA"/>
        </w:rPr>
        <w:t>:</w:t>
      </w:r>
      <w:r>
        <w:rPr>
          <w:rStyle w:val="None"/>
          <w:rFonts w:cs="Times New Roman"/>
          <w:sz w:val="24"/>
          <w:szCs w:val="24"/>
          <w:rtl/>
          <w:lang w:val="ar-SA"/>
        </w:rPr>
        <w:t xml:space="preserve"> المصنفات المشتقة هي المصنفات التي تكون مستمدة من مصنفات أخرى؛ ولكنها تتميز عنها في الشكل أو المضمون</w:t>
      </w:r>
      <w:r>
        <w:rPr>
          <w:rStyle w:val="None"/>
          <w:rFonts w:ascii="Times New Roman" w:hAnsi="Times New Roman"/>
          <w:sz w:val="24"/>
          <w:szCs w:val="24"/>
          <w:rtl/>
          <w:lang w:val="ar-SA"/>
        </w:rPr>
        <w:t xml:space="preserve">: </w:t>
      </w:r>
      <w:r>
        <w:rPr>
          <w:rStyle w:val="None"/>
          <w:rFonts w:cs="Times New Roman"/>
          <w:sz w:val="24"/>
          <w:szCs w:val="24"/>
          <w:rtl/>
          <w:lang w:val="ar-SA"/>
        </w:rPr>
        <w:t>كالترجمة والتلخيص شريطة أنْ تكون مبتكرةً</w:t>
      </w:r>
      <w:r>
        <w:rPr>
          <w:rStyle w:val="None"/>
          <w:rFonts w:ascii="Times New Roman" w:hAnsi="Times New Roman"/>
          <w:sz w:val="24"/>
          <w:szCs w:val="24"/>
          <w:rtl/>
          <w:lang w:val="ar-SA"/>
        </w:rPr>
        <w:t>.</w:t>
      </w:r>
    </w:p>
    <w:p w14:paraId="0DACE2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الحديثة ساهمت في إحداث ثورة نوعية في تداول المصنفات؛ ممَّا جعل الوصول إليها أكثر سهولةً وسرعةً دون قيود جغرافية، وقد انعكس ذلك على أساليب نشر المصنفات وتوزيعها، بالإضافة إلى تنوع المصنفات وفقًا لطبية العلاقة بين المؤلفين ومصنفاتهم، ويترتب على هذا التنوع ضرورة تحديث التشريعات التي تحمي حقوق المؤلف سواء الحقوق المادية أو المعنوية، من استغلال المصنف ماديًا، أو نشره، أو توزيعه بدون الحصول على إذن من صاحب الحق</w:t>
      </w:r>
      <w:r>
        <w:rPr>
          <w:rStyle w:val="None"/>
          <w:rFonts w:ascii="Times New Roman" w:hAnsi="Times New Roman"/>
          <w:sz w:val="24"/>
          <w:szCs w:val="24"/>
          <w:rtl/>
          <w:lang w:val="ar-SA"/>
        </w:rPr>
        <w:t>.</w:t>
      </w:r>
    </w:p>
    <w:p w14:paraId="3C67995B" w14:textId="77777777" w:rsidR="00454428" w:rsidRDefault="00000000">
      <w:pPr>
        <w:pStyle w:val="a7"/>
        <w:numPr>
          <w:ilvl w:val="0"/>
          <w:numId w:val="8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ظهور أشكال جديدة من الملكية الفكرية</w:t>
      </w:r>
      <w:r>
        <w:rPr>
          <w:rStyle w:val="None"/>
          <w:rFonts w:ascii="Times New Roman" w:hAnsi="Times New Roman"/>
          <w:b/>
          <w:bCs/>
          <w:sz w:val="24"/>
          <w:szCs w:val="24"/>
          <w:rtl/>
          <w:lang w:val="ar-SA"/>
        </w:rPr>
        <w:t>:</w:t>
      </w:r>
    </w:p>
    <w:p w14:paraId="6D7313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في استخدام البيئة الرقمية إلى تحول جذري في طبيعة الإنتاج الفكري؛ حيث لم يَعُدْ محصورًا في الأشكال التقليدية، بل نشأت صور جديدة من الملكية الفكرية تعكس التفاعل المتزايد بين الإنسان والتقنية، وقد ساهم هذا التحول في إعادة صياغة مفاهيم الإبداع</w:t>
      </w:r>
      <w:r>
        <w:rPr>
          <w:rStyle w:val="None"/>
          <w:rFonts w:ascii="Times New Roman" w:hAnsi="Times New Roman"/>
          <w:sz w:val="24"/>
          <w:szCs w:val="24"/>
          <w:rtl/>
          <w:lang w:val="ar-SA"/>
        </w:rPr>
        <w:t xml:space="preserve">. </w:t>
      </w:r>
    </w:p>
    <w:p w14:paraId="72B0742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الملكية الفكرية هي تلك التي تدرك بالفكر فهي نتاج فكري خالص للمبدع، فله حق على نتاج ذهنه وثمرة فكره أي كان مظهره، فلمالك الحق الفكري الحق في التصرف فيه، على النحو الذي يريده وفق ضوابط الفقه والقانون، كما أنَّ الملكية الفكرية عامل أساسي في نمو الاقتصاد الوطني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6506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اتفاقية تريبس في المادة السابعة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تسهم حماية وإنفاذ حقوق الملكية الفكرية في تشجيع روح الابتكار التكنولوجي، ونقل، وتعميم التكنولوجيا، بما يحقق المنفعة المشتركة لمنتجي المعرفة التكنولوجية ومستخدميها، بالأسلوب الذي يحقق الرفاهية الاجتماعية، والاقتصادية، والتوزان بين الحقوق والواجبات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BF48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التكنولوجيا الحديثة أدت إلى تغيير العديد من الأساليب، فبعد أنْ كان النشر التقليدي يمر بعدة مراحل حتى يصل المصنف إلى الجمهور، أصبح النشر الإلكتروني مختزلًا بدوره جميع العقبات التي تحول دون ذلك، كذلك الأمر بالنسبة للمصنفات العلمية، كذا مال الملكية الصناعية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49CB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أدى التطوُّر التكنولوجي الذي شهده المجتمع الدولي في وسائل التواصل، والاتصال، والوسائل التي تنقل الإنتاج الفكري بكافة أشكاله وصوره إلى ظهور مصنفات جديدة، وهذه المصنفات كانت موضع اهتمام من قِبل المختصين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09E7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تجسيد للعقل والإبداع؛ حيث يحق لصاحبها التصرف فيما أبدعه، وفقًا للضوابط القانونية والفقهية، وقد ساهمت التطوُّرات التكنولوجية الحديثة في إحداث تحول كبير في طرق إنتاج وتوزيع هذه المصنفات؛ حيث اختصرت الوسائط الرقمية العديد من المراحل التي كانت تعيق النشر التقليدي، وهذا ما زاد من أهمية الملكية الفكرية كعنصر فعَّال في دعم الابتكار</w:t>
      </w:r>
      <w:r>
        <w:rPr>
          <w:rStyle w:val="None"/>
          <w:rFonts w:ascii="Times New Roman" w:hAnsi="Times New Roman"/>
          <w:sz w:val="24"/>
          <w:szCs w:val="24"/>
          <w:rtl/>
          <w:lang w:val="ar-SA"/>
        </w:rPr>
        <w:t>.</w:t>
      </w:r>
    </w:p>
    <w:p w14:paraId="5ACE959D"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24E8D1D" w14:textId="77777777" w:rsidR="00454428" w:rsidRDefault="00000000">
      <w:pPr>
        <w:pStyle w:val="a7"/>
        <w:numPr>
          <w:ilvl w:val="0"/>
          <w:numId w:val="82"/>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lastRenderedPageBreak/>
        <w:t xml:space="preserve">الاقتصاد الرقمي </w:t>
      </w:r>
    </w:p>
    <w:p w14:paraId="5A886CA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التوجهات الاقتصادية العالمية الحديثة التي تستهدفها الدول لتعزيز أنماط النشاط الاقتصادي في جميع المجالات، فالاقتصاد الرقمي أداة قوية تساهم بشكل كبير في تعزيز النشاط الاقتصادي وتحسين الإنتاجية والأداء الاقتصادي، كما يعتمد الاقتصادي الرقمي على التكنولوجيا الرقمية والإنترنت التي تؤدي إلى تحسين العمليات التجارية، فالاقتصاد الرقمي يشجع على زيادة الاستثمارات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7"/>
      </w:r>
      <w:r>
        <w:rPr>
          <w:rStyle w:val="None"/>
          <w:rFonts w:ascii="Times New Roman" w:hAnsi="Times New Roman"/>
          <w:sz w:val="24"/>
          <w:szCs w:val="24"/>
          <w:vertAlign w:val="superscript"/>
          <w:rtl/>
          <w:lang w:val="ar-SA"/>
        </w:rPr>
        <w:t>)</w:t>
      </w:r>
    </w:p>
    <w:p w14:paraId="3EBCF1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الابتكار الرقمي يعبر عن مدى النمو الاقتصادي بشكل عام والاقتصاد الرقمي بشكل خاص، إذ أن الأخير يقوم بدور على البحث والتطوير، كما تسعى الدول جاهدة إلى زيادة معدلات الانفاق على البحث والتطوير وخاصة فيما يتعلق بالسلع والخدمات التي يتم تقديمها لأفراد المجتمع لتحقيق مستويات عليا من الرفاه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8"/>
      </w:r>
      <w:r>
        <w:rPr>
          <w:rStyle w:val="None"/>
          <w:rFonts w:ascii="Times New Roman" w:hAnsi="Times New Roman"/>
          <w:sz w:val="24"/>
          <w:szCs w:val="24"/>
          <w:vertAlign w:val="superscript"/>
          <w:rtl/>
          <w:lang w:val="ar-SA"/>
        </w:rPr>
        <w:t>)</w:t>
      </w:r>
    </w:p>
    <w:p w14:paraId="7183C3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بالاقتصاد الرقمي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ممارسة الأنشطة الاقتصادية من خلال استخدام تكنولوجيا المعلومات ووسائل الاتصالات، وذلك بإيجاد روابط فعالة فيما بين أطراف النشاط الاقتصادي، وذلك بفتح الحدود والحواجز أمام تدفق المعلومات والسلع والخدمات وحركة رؤوس الأموال من أجل الوصول إلى الأسواق بغض النظر عن أماكن تواجدها وزمنها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9"/>
      </w:r>
      <w:r>
        <w:rPr>
          <w:rStyle w:val="None"/>
          <w:rFonts w:ascii="Times New Roman" w:hAnsi="Times New Roman"/>
          <w:sz w:val="24"/>
          <w:szCs w:val="24"/>
          <w:vertAlign w:val="superscript"/>
          <w:rtl/>
          <w:lang w:val="ar-SA"/>
        </w:rPr>
        <w:t>)</w:t>
      </w:r>
    </w:p>
    <w:p w14:paraId="66EBA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مظاهر التحول الاقتصادي في الوقت الحالي؛ لأنه يعتمد على التكنولوجيا، في تبادل السلع والخدمات، فمن خلال الاقتصاد الرقمي يتم عرض الأعمال التي تحتوي على ملكية فكرية، بالإضافة إلى استغلال مصنفاتهم ومنع الاعتداء عليها؛ مما تعمل على تشجيع الاستثمارات</w:t>
      </w:r>
      <w:r>
        <w:rPr>
          <w:rStyle w:val="None"/>
          <w:rFonts w:ascii="Times New Roman" w:hAnsi="Times New Roman"/>
          <w:sz w:val="24"/>
          <w:szCs w:val="24"/>
          <w:rtl/>
          <w:lang w:val="ar-SA"/>
        </w:rPr>
        <w:t>.</w:t>
      </w:r>
    </w:p>
    <w:p w14:paraId="7995E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يتكون الاقتصاد الرقمي من مجموعة من المؤسسات الإلكترونية التي تتشابك مع بعضها البعض من خلال شبكة المعلومات الدولية عن طريق مواقع الإنترنت والبريد الإلكتروني، وذلك لتحقيق التشابكات الاقتصادية بين المؤسسات لتنفيذ التجارة الإلكترونية، أي تبادل السلع والخدمات والأموال عبر الإنترنت أو تحويل الأموال بين البائعين والمشتريين والبنوك باستخدام طرق الدفع عن طريق الإنترنت والأدوات الإلكترونية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0"/>
      </w:r>
      <w:r>
        <w:rPr>
          <w:rStyle w:val="None"/>
          <w:rFonts w:ascii="Times New Roman" w:hAnsi="Times New Roman"/>
          <w:sz w:val="24"/>
          <w:szCs w:val="24"/>
          <w:vertAlign w:val="superscript"/>
          <w:rtl/>
          <w:lang w:val="ar-SA"/>
        </w:rPr>
        <w:t>)</w:t>
      </w:r>
    </w:p>
    <w:p w14:paraId="068F2E2A" w14:textId="77777777" w:rsidR="00454428" w:rsidRDefault="00000000">
      <w:pPr>
        <w:pStyle w:val="a7"/>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الدفع الإلكتروني </w:t>
      </w:r>
    </w:p>
    <w:p w14:paraId="3DEAB1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الدفع الإلكتروني من بين أهم الخدمات التي تتيحها البنوك لعملائها لإجراء عمليات البيع والشراء من خلال شبكة الإنترنت، ولقد عرفت انتشارًا فسيح في الآونة الأخيرة مع ظهور عمليات التجارة الإلكترونية فضلًا عن تطوير البنوك؛ لمواكبة هذه الثورة التكنولوجيا وما نتج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1"/>
      </w:r>
      <w:r>
        <w:rPr>
          <w:rStyle w:val="None"/>
          <w:rFonts w:ascii="Times New Roman" w:hAnsi="Times New Roman"/>
          <w:sz w:val="24"/>
          <w:szCs w:val="24"/>
          <w:vertAlign w:val="superscript"/>
          <w:rtl/>
          <w:lang w:val="ar-SA"/>
        </w:rPr>
        <w:t>)</w:t>
      </w:r>
    </w:p>
    <w:p w14:paraId="6F9A68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جدير بالذكر أن المملكة العربية السعودية امتلكت منذ منتصف الثمانينات شبكة وطنية واحدة للصرف والتحويل الإلكتروني وهي شبكات الحوالات الخارجية التابعة لبنك الراجحي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2"/>
      </w:r>
      <w:r>
        <w:rPr>
          <w:rStyle w:val="None"/>
          <w:rFonts w:ascii="Times New Roman" w:hAnsi="Times New Roman"/>
          <w:sz w:val="24"/>
          <w:szCs w:val="24"/>
          <w:vertAlign w:val="superscript"/>
          <w:rtl/>
          <w:lang w:val="ar-SA"/>
        </w:rPr>
        <w:t>)</w:t>
      </w:r>
    </w:p>
    <w:p w14:paraId="119B65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كشف البنك المركزي السعودي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عن تحقيق حصة المدفوعات الإلكترونية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مستهدفات برنامج تطوير القطاع المالي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نسبة </w:t>
      </w:r>
      <w:r>
        <w:rPr>
          <w:rStyle w:val="None"/>
          <w:rFonts w:ascii="Times New Roman" w:hAnsi="Times New Roman"/>
          <w:sz w:val="24"/>
          <w:szCs w:val="24"/>
          <w:rtl/>
          <w:lang w:val="ar-SA"/>
        </w:rPr>
        <w:t xml:space="preserve">79% </w:t>
      </w:r>
      <w:r>
        <w:rPr>
          <w:rStyle w:val="None"/>
          <w:rFonts w:ascii="Arial Unicode MS" w:hAnsi="Arial Unicode MS" w:cs="Times New Roman" w:hint="cs"/>
          <w:sz w:val="24"/>
          <w:szCs w:val="24"/>
          <w:rtl/>
          <w:lang w:val="ar-SA"/>
        </w:rPr>
        <w:t xml:space="preserve">من إجمالي عمليات الدفع المنفذة في قطاع التجزئة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الأفراد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بنهاية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وذلك مقارنةً بنسبة </w:t>
      </w:r>
      <w:r>
        <w:rPr>
          <w:rStyle w:val="None"/>
          <w:rFonts w:ascii="Times New Roman" w:hAnsi="Times New Roman"/>
          <w:sz w:val="24"/>
          <w:szCs w:val="24"/>
          <w:rtl/>
          <w:lang w:val="ar-SA"/>
        </w:rPr>
        <w:t xml:space="preserve">70% </w:t>
      </w:r>
      <w:r>
        <w:rPr>
          <w:rStyle w:val="None"/>
          <w:rFonts w:ascii="Arial Unicode MS" w:hAnsi="Arial Unicode MS" w:cs="Times New Roman" w:hint="cs"/>
          <w:sz w:val="24"/>
          <w:szCs w:val="24"/>
          <w:rtl/>
          <w:lang w:val="ar-SA"/>
        </w:rPr>
        <w:t xml:space="preserve">المسجلة في العام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ويتزامن هذا الإنجاز مع تحقيق أنظمة المدفوعات في المملكة نموًا كبيرًا خلال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حيث سجل عدد عمليات الدفع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غير النقدية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المنفذة نحو </w:t>
      </w:r>
      <w:r>
        <w:rPr>
          <w:rStyle w:val="None"/>
          <w:rFonts w:ascii="Times New Roman" w:hAnsi="Times New Roman"/>
          <w:sz w:val="24"/>
          <w:szCs w:val="24"/>
          <w:rtl/>
          <w:lang w:val="ar-SA"/>
        </w:rPr>
        <w:t xml:space="preserve">12.6 </w:t>
      </w:r>
      <w:r>
        <w:rPr>
          <w:rStyle w:val="None"/>
          <w:rFonts w:ascii="Arial Unicode MS" w:hAnsi="Arial Unicode MS" w:cs="Times New Roman" w:hint="cs"/>
          <w:sz w:val="24"/>
          <w:szCs w:val="24"/>
          <w:rtl/>
          <w:lang w:val="ar-SA"/>
        </w:rPr>
        <w:t xml:space="preserve">مليار عملية، مقارنة بـ </w:t>
      </w:r>
      <w:r>
        <w:rPr>
          <w:rStyle w:val="None"/>
          <w:rFonts w:ascii="Times New Roman" w:hAnsi="Times New Roman"/>
          <w:sz w:val="24"/>
          <w:szCs w:val="24"/>
          <w:rtl/>
          <w:lang w:val="ar-SA"/>
        </w:rPr>
        <w:t xml:space="preserve">10.8 </w:t>
      </w:r>
      <w:r>
        <w:rPr>
          <w:rStyle w:val="None"/>
          <w:rFonts w:ascii="Arial Unicode MS" w:hAnsi="Arial Unicode MS" w:cs="Times New Roman" w:hint="cs"/>
          <w:sz w:val="24"/>
          <w:szCs w:val="24"/>
          <w:rtl/>
          <w:lang w:val="ar-SA"/>
        </w:rPr>
        <w:t xml:space="preserve">مليارات عملية للعام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وتشهد المملكة تقدمًا ملحوظًا ونموًا متسارعًا لتبني وسائل المدفوعات الإلكترونية، والذي يأتي كنتيجة للجهود والمبادرات الإستراتيجية العديدة التي أطلقها البنك المركزي السعودي بالتعاون مع القطاع المالي؛ لدعم نمو قطاع المدفوعات وتحفيز استخدام خيارات الدفع الإلكترونية المتنوعة في المملكة، التي من شأنها أن تساهم في تحقيق مستهدفات رؤية السعودية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لتقليل الاعتماد على النقد وتعزيز نمو رقمنة المدفوعات</w:t>
      </w:r>
      <w:r>
        <w:rPr>
          <w:rStyle w:val="None"/>
          <w:rFonts w:ascii="Times New Roman" w:hAnsi="Times New Roman"/>
          <w:sz w:val="24"/>
          <w:szCs w:val="24"/>
          <w:rtl/>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3"/>
      </w:r>
      <w:r>
        <w:rPr>
          <w:rStyle w:val="None"/>
          <w:rFonts w:ascii="Times New Roman" w:hAnsi="Times New Roman"/>
          <w:sz w:val="24"/>
          <w:szCs w:val="24"/>
          <w:vertAlign w:val="superscript"/>
          <w:rtl/>
          <w:lang w:val="ar-SA"/>
        </w:rPr>
        <w:t>)</w:t>
      </w:r>
    </w:p>
    <w:p w14:paraId="119A999E" w14:textId="77777777" w:rsidR="00454428" w:rsidRDefault="00000000">
      <w:pPr>
        <w:pStyle w:val="a7"/>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التسوق الإلكتروني</w:t>
      </w:r>
    </w:p>
    <w:p w14:paraId="7303FE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التسويق الإلكتروني عملية تفاعلية تختص بتبادل السلع والخدمات والأفكار بين عدة أطراف مشاركة عبر وسائل إلكترونية، ومع التطور التكنولوجي الهائل الذي نعيش فيه، فقد أوجدت الشبكة العنكبوتية مفهومًا جديدًا للتسوق، وهو الفضاء السوقي الذي يعكس التواجد الإلكتروني الرقمي للسوق، ويعتبر التسوق الإلكتروني شكلًا من أشكال التجارة الإلكترونية بين المنظمة والمستهلك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4"/>
      </w:r>
      <w:r>
        <w:rPr>
          <w:rStyle w:val="None"/>
          <w:rFonts w:ascii="Times New Roman" w:hAnsi="Times New Roman"/>
          <w:sz w:val="24"/>
          <w:szCs w:val="24"/>
          <w:vertAlign w:val="superscript"/>
          <w:rtl/>
          <w:lang w:val="ar-SA"/>
        </w:rPr>
        <w:t>)</w:t>
      </w:r>
    </w:p>
    <w:p w14:paraId="7B4135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يعرف التسوق الإلكتروني بأنه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وسيلة اتصال سريعة وسهلة وقليلة التكلفة وذلك لتنفيذ هذه الأعمال التي تشكل الأنواع الرئيسية لعملية التسويق بشكله التقليدي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5"/>
      </w:r>
      <w:r>
        <w:rPr>
          <w:rStyle w:val="None"/>
          <w:rFonts w:ascii="Times New Roman" w:hAnsi="Times New Roman"/>
          <w:sz w:val="24"/>
          <w:szCs w:val="24"/>
          <w:vertAlign w:val="superscript"/>
          <w:rtl/>
          <w:lang w:val="ar-SA"/>
        </w:rPr>
        <w:t>)</w:t>
      </w:r>
    </w:p>
    <w:p w14:paraId="0FABB7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يقدر حجم سوق التجارة الإلكترونية في المملكة العربية السعودية بمبلغ </w:t>
      </w:r>
      <w:r>
        <w:rPr>
          <w:rStyle w:val="None"/>
          <w:rFonts w:ascii="Times New Roman" w:hAnsi="Times New Roman"/>
          <w:sz w:val="24"/>
          <w:szCs w:val="24"/>
          <w:rtl/>
          <w:lang w:val="ar-SA"/>
        </w:rPr>
        <w:t xml:space="preserve">13.61 </w:t>
      </w:r>
      <w:r>
        <w:rPr>
          <w:rStyle w:val="None"/>
          <w:rFonts w:ascii="Arial Unicode MS" w:hAnsi="Arial Unicode MS" w:cs="Times New Roman" w:hint="cs"/>
          <w:sz w:val="24"/>
          <w:szCs w:val="24"/>
          <w:rtl/>
          <w:lang w:val="ar-SA"/>
        </w:rPr>
        <w:t xml:space="preserve">مليار دولار أمريكي في 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ومن المتوقع أن يصل إلى </w:t>
      </w:r>
      <w:r>
        <w:rPr>
          <w:rStyle w:val="None"/>
          <w:rFonts w:ascii="Times New Roman" w:hAnsi="Times New Roman"/>
          <w:sz w:val="24"/>
          <w:szCs w:val="24"/>
          <w:rtl/>
          <w:lang w:val="ar-SA"/>
        </w:rPr>
        <w:t xml:space="preserve">27.37 </w:t>
      </w:r>
      <w:r>
        <w:rPr>
          <w:rStyle w:val="None"/>
          <w:rFonts w:ascii="Arial Unicode MS" w:hAnsi="Arial Unicode MS" w:cs="Times New Roman" w:hint="cs"/>
          <w:sz w:val="24"/>
          <w:szCs w:val="24"/>
          <w:rtl/>
          <w:lang w:val="ar-SA"/>
        </w:rPr>
        <w:t xml:space="preserve">مليار دولار أمريكي بحلول عام </w:t>
      </w:r>
      <w:r>
        <w:rPr>
          <w:rStyle w:val="None"/>
          <w:rFonts w:ascii="Times New Roman" w:hAnsi="Times New Roman"/>
          <w:sz w:val="24"/>
          <w:szCs w:val="24"/>
          <w:rtl/>
          <w:lang w:val="ar-SA"/>
        </w:rPr>
        <w:t>2029</w:t>
      </w:r>
      <w:r>
        <w:rPr>
          <w:rStyle w:val="None"/>
          <w:rFonts w:ascii="Arial Unicode MS" w:hAnsi="Arial Unicode MS" w:cs="Times New Roman" w:hint="cs"/>
          <w:sz w:val="24"/>
          <w:szCs w:val="24"/>
          <w:rtl/>
          <w:lang w:val="ar-SA"/>
        </w:rPr>
        <w:t xml:space="preserve">، بمعدل نمو سنوي مركب قدره </w:t>
      </w:r>
      <w:r>
        <w:rPr>
          <w:rStyle w:val="None"/>
          <w:rFonts w:ascii="Times New Roman" w:hAnsi="Times New Roman"/>
          <w:sz w:val="24"/>
          <w:szCs w:val="24"/>
          <w:rtl/>
          <w:lang w:val="ar-SA"/>
        </w:rPr>
        <w:t>15.01</w:t>
      </w:r>
      <w:r>
        <w:rPr>
          <w:rStyle w:val="None"/>
          <w:rFonts w:ascii="Arial Unicode MS" w:hAnsi="Arial Unicode MS" w:cs="Times New Roman" w:hint="cs"/>
          <w:sz w:val="24"/>
          <w:szCs w:val="24"/>
          <w:rtl/>
          <w:lang w:val="ar-SA"/>
        </w:rPr>
        <w:t xml:space="preserve">٪ خلال فترة التنبؤ </w:t>
      </w:r>
      <w:r>
        <w:rPr>
          <w:rStyle w:val="None"/>
          <w:rFonts w:ascii="Times New Roman" w:hAnsi="Times New Roman"/>
          <w:sz w:val="24"/>
          <w:szCs w:val="24"/>
          <w:rtl/>
          <w:lang w:val="ar-SA"/>
        </w:rPr>
        <w:t>(2024-2029)</w:t>
      </w:r>
      <w:r>
        <w:rPr>
          <w:rStyle w:val="None"/>
          <w:rFonts w:ascii="Arial Unicode MS" w:hAnsi="Arial Unicode MS" w:cs="Times New Roman" w:hint="cs"/>
          <w:sz w:val="24"/>
          <w:szCs w:val="24"/>
          <w:rtl/>
          <w:lang w:val="ar-SA"/>
        </w:rPr>
        <w:t xml:space="preserve">، تتمتع المملكة العربية السعودية باقتصاد متطور، ويعد انتشار الإنترنت أمرا مهما في البلاد؛ حيث يشير البنك الدولي إلى أن أكثر من </w:t>
      </w:r>
      <w:r>
        <w:rPr>
          <w:rStyle w:val="None"/>
          <w:rFonts w:ascii="Times New Roman" w:hAnsi="Times New Roman"/>
          <w:sz w:val="24"/>
          <w:szCs w:val="24"/>
          <w:rtl/>
          <w:lang w:val="ar-SA"/>
        </w:rPr>
        <w:t>100</w:t>
      </w:r>
      <w:r>
        <w:rPr>
          <w:rStyle w:val="None"/>
          <w:rFonts w:ascii="Arial Unicode MS" w:hAnsi="Arial Unicode MS" w:cs="Times New Roman" w:hint="cs"/>
          <w:sz w:val="24"/>
          <w:szCs w:val="24"/>
          <w:rtl/>
          <w:lang w:val="ar-SA"/>
        </w:rPr>
        <w:t>٪ من السكان يستخدمون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هذا يدل على أن الوعي بالتسوق عبر الإنترنت كبير ويساهم في نمو السوق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عززت التطورات المتزايدة في تقنيات الإنترنت عبر الهاتف المحمول والهواتف الذكية والنطاق العريض اعتماد الخدمات القائمة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6"/>
      </w:r>
      <w:r>
        <w:rPr>
          <w:rStyle w:val="None"/>
          <w:rFonts w:ascii="Times New Roman" w:hAnsi="Times New Roman"/>
          <w:sz w:val="24"/>
          <w:szCs w:val="24"/>
          <w:vertAlign w:val="superscript"/>
          <w:rtl/>
          <w:lang w:val="ar-SA"/>
        </w:rPr>
        <w:t>)</w:t>
      </w:r>
    </w:p>
    <w:p w14:paraId="1A93DB31" w14:textId="77777777" w:rsidR="006B1B4A" w:rsidRDefault="006B1B4A">
      <w:pPr>
        <w:rPr>
          <w:rStyle w:val="None"/>
          <w:rFonts w:ascii="Arial Unicode MS" w:hAnsi="Arial Unicode MS"/>
          <w:b/>
          <w:bCs/>
          <w:color w:val="000000"/>
          <w:sz w:val="28"/>
          <w:szCs w:val="28"/>
          <w:u w:color="000000"/>
          <w:rtl/>
          <w:lang w:val="ar-SA"/>
        </w:rPr>
      </w:pPr>
      <w:r>
        <w:rPr>
          <w:rStyle w:val="None"/>
          <w:b/>
          <w:bCs/>
          <w:sz w:val="28"/>
          <w:szCs w:val="28"/>
          <w:rtl/>
          <w:lang w:val="ar-SA"/>
        </w:rPr>
        <w:br w:type="page"/>
      </w:r>
    </w:p>
    <w:p w14:paraId="49AA4FD5" w14:textId="113ADF44" w:rsidR="00454428" w:rsidRDefault="00000000">
      <w:pPr>
        <w:pStyle w:val="a7"/>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lastRenderedPageBreak/>
        <w:t xml:space="preserve">الاستثمار </w:t>
      </w:r>
    </w:p>
    <w:p w14:paraId="25C585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الاستثمارات فائمة على وجود عنصر الابتكار والتي تضيف لها الميزة التنافسية لتمييز المنتجات عن غيرها في الأسواق، فمعظم الاقتصاديات المتطورة والقائمة على الاقتصاد المعرفي تلعب دورًا في خلق الثورة، وخلق منتجات جديدة تتميز بمواكبتها للتغيرات التكنولوجية والاجتماعي، مع وجود عناصر الابداع والابتكار والجدة؛ لتمييزها عن غيرها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7"/>
      </w:r>
      <w:r>
        <w:rPr>
          <w:rStyle w:val="None"/>
          <w:rFonts w:ascii="Times New Roman" w:hAnsi="Times New Roman"/>
          <w:sz w:val="24"/>
          <w:szCs w:val="24"/>
          <w:vertAlign w:val="superscript"/>
          <w:rtl/>
          <w:lang w:val="ar-SA"/>
        </w:rPr>
        <w:t>)</w:t>
      </w:r>
    </w:p>
    <w:p w14:paraId="258D57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الرابطة بين حماية حقوق الملكية الفكرية والاستثمار رابطة مهمة حيث يوجد رأيان وهما، الرأي الأول في صالح الدول المتقدمة يقول بالعلاقة الطردية بين نظام حماية الملكية الفكرية وتدفق رأس المال زيادة نقل التكنولوجيا من الدول المتقدمة إلى الدول النامية، ويظهر ذلك في أنه إذا كان نظام الحماية ضعيفًا فإن ذلك سيؤدي إلى ارتفاع احتمالية التقليد والتعدي؛ مما يجعل تلك الدول أثل جاذبية للاستثمار خاصة في مجالات الأدوية والمنتجات الصحية والمعدات الإلكترونية، فالحماية القوية تشج الشركات المتعددة الجنسيات على الترخيص بالإنتاج في تلك الدول على أساس انها لا تخش تقليد منتجاتها التي تحمل ملكية فكرية طالما أنها محمية؛ لأن تقوية نظم حماية حقوق الملكية الصناعية من شأنه أن يشجع عمليات نقل التكنولوجيا، سواء من خلال التصاريح أو الإفصاح عن الابتكارات ومن ثمة تزداد قدرة الشركة المحلية إلى الوصول إلى التكنولوجيا الجديدة والمتطورة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8"/>
      </w:r>
      <w:r>
        <w:rPr>
          <w:rStyle w:val="None"/>
          <w:rFonts w:ascii="Times New Roman" w:hAnsi="Times New Roman"/>
          <w:sz w:val="24"/>
          <w:szCs w:val="24"/>
          <w:vertAlign w:val="superscript"/>
          <w:rtl/>
          <w:lang w:val="ar-SA"/>
        </w:rPr>
        <w:t>)</w:t>
      </w:r>
    </w:p>
    <w:p w14:paraId="3A7204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والرأي الثاني في صالح الدول النامية؛ حيث نفي هذا الطرح مثبتًا من خلال الدراسات أن الاستثمار الأجنبي كان ضعيفًا حتى في الدول التي كان فيها نظام حقوق الملكية الصناعية قويًا، أي أن الدول النامية بالرغم مما حققته من تقدم كبير في مجال حقوق الملكية الصناعية إلا أن هذا لم يغري الشركات الأجنبية للاستثمار بها خاصة في الصناعات الحيوية، وبالتالي حرمتها من نصل التكنولوجيا إليها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9"/>
      </w:r>
      <w:r>
        <w:rPr>
          <w:rStyle w:val="None"/>
          <w:rFonts w:ascii="Times New Roman" w:hAnsi="Times New Roman"/>
          <w:sz w:val="24"/>
          <w:szCs w:val="24"/>
          <w:vertAlign w:val="superscript"/>
          <w:rtl/>
          <w:lang w:val="ar-SA"/>
        </w:rPr>
        <w:t>)</w:t>
      </w:r>
    </w:p>
    <w:p w14:paraId="4315E7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والتطرق لأمر الملكية الفكرية في مجال الاستثمار بالمملكة العربية السعودية، فاللائحة التنفيذية لنظام الاستثمار الأجنبي فقط تضمنت حماية الملكية الفكرية في المادة الأولى من اللائحة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حقوق الملكية الفكرية وفقًا للأنظمة ذات العلاقة في المملكة ومنها براءات الاختراع والتصاميم الصناعية والعلامات التجارية، والأسرار التجارية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0"/>
      </w:r>
      <w:r>
        <w:rPr>
          <w:rStyle w:val="None"/>
          <w:rFonts w:ascii="Times New Roman" w:hAnsi="Times New Roman"/>
          <w:sz w:val="24"/>
          <w:szCs w:val="24"/>
          <w:vertAlign w:val="superscript"/>
          <w:rtl/>
          <w:lang w:val="ar-SA"/>
        </w:rPr>
        <w:t>)</w:t>
      </w:r>
    </w:p>
    <w:p w14:paraId="3A59D8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 أن كل القوانين المتعلقة بحقوق الملكية الفكرية تقوم على تشجيع الاستثمارات على اختلاف أنواعها وطنية كانت أم أجنبية وذلك من خلال العلاقة بين أنظمة حماية حقوق الملكية الفكرية والاستثمار ولعل الملاحظ ان أهمية حقوق الملكية الفكرية تبرز في مجالات الاستثمار المختلفة؛ حيث إن الكثير من هذه الاستثمارات تحتوي على شكل أو أكثر من أشكال حقوق الملكية الفكرية والأسرار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1"/>
      </w:r>
      <w:r>
        <w:rPr>
          <w:rStyle w:val="None"/>
          <w:rFonts w:ascii="Times New Roman" w:hAnsi="Times New Roman"/>
          <w:sz w:val="24"/>
          <w:szCs w:val="24"/>
          <w:vertAlign w:val="superscript"/>
          <w:rtl/>
          <w:lang w:val="ar-SA"/>
        </w:rPr>
        <w:t>)</w:t>
      </w:r>
    </w:p>
    <w:p w14:paraId="23D411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 إن الاستثمار وحقوق الملكية الفكرية هي علاقة تكميلية؛ لأن الملكية الفكرية هي عنصر هام في جب الاستثمارات سواء المحلية أو الأجنبية؛ لأنها تمنح المستثمرين الثقة في أن ابتكاراتهم ستكون محمية قانونًا من الاعتداءات أو التقليد، بالإضافة إلى أن حقوق الملكية الفكرية ترفع القيمة الاقتصادية للمشروعات؛ وذلك من خلال حماية العلامات التجارية وبراءات الاختراع؛ مما يدعم القدرة التنافسية في الأسواق</w:t>
      </w:r>
      <w:r>
        <w:rPr>
          <w:rStyle w:val="None"/>
          <w:rFonts w:ascii="Times New Roman" w:hAnsi="Times New Roman"/>
          <w:sz w:val="24"/>
          <w:szCs w:val="24"/>
          <w:rtl/>
          <w:lang w:val="ar-SA"/>
        </w:rPr>
        <w:t>.</w:t>
      </w:r>
    </w:p>
    <w:p w14:paraId="19BDA02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دمج التكنولوجيا في حماية المصنفات</w:t>
      </w:r>
      <w:r>
        <w:rPr>
          <w:rStyle w:val="None"/>
          <w:rFonts w:ascii="Times New Roman" w:hAnsi="Times New Roman"/>
          <w:b/>
          <w:bCs/>
          <w:sz w:val="28"/>
          <w:szCs w:val="28"/>
          <w:rtl/>
          <w:lang w:val="ar-SA"/>
        </w:rPr>
        <w:t>:</w:t>
      </w:r>
    </w:p>
    <w:p w14:paraId="1AB4D3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تصاعد التحديات التي فرضتها البيئة الرقمية على حماية المصنفات الفكرية من الاستخدام غير المشروع؛ برزت الحاجة إلى حلول تقنية مبتكرة تتماشى مع طبيعة هذا الفضاء المتغير، قد أدى ذلك إلى دمج التكنولوجيا بشكل متزايد في آليات حماية المصنفات، من خلال استخدام تقنيات متعددة، تتيح للمبدعين مراقبة أعمالهم الرقمية، والتعرُّف على طرق تداولها، ويعكس هذا الدمج بين التكنولوجيا والإبداع الفكري تطوُّرًا نوعيًا في مفهوم الحماية؛ حيث يتجاوز الأطر التقليدية ليرتبط ارتباطًا وثيقًا ببنية البيئة الرقمية نفسها</w:t>
      </w:r>
      <w:r>
        <w:rPr>
          <w:rStyle w:val="None"/>
          <w:rFonts w:ascii="Times New Roman" w:hAnsi="Times New Roman"/>
          <w:sz w:val="24"/>
          <w:szCs w:val="24"/>
          <w:rtl/>
          <w:lang w:val="ar-SA"/>
        </w:rPr>
        <w:t>.</w:t>
      </w:r>
    </w:p>
    <w:p w14:paraId="26301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عالم التكنولوجيا والاتصالات أصبح في تطوُّر مستمر، وأهم ما أفرزته تطوُّرات في الكمبيوتر وشبكة الإنترنت شملت أيضًا حقوق الملكية الفكرية، وتتضمن المواقع الإلكترونية عناصر خاضعة للحماية، بموجب قوانين الملكية الفكرية، سواء تمثلت في براءة اختراع، أو علامات تجارية، أو حقوق المؤلفين والحقوق المجاورة لها، ويشكل ما يتم نشره في البيئة الرقمية الافتراضية حقوقًا لمالكها، ولا يجوز استغلالها إلا بموافقة مالكها، وتُعَدُّ المصنفات الرقمية من حقوق الملكية الفكرية للمؤلف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F24DD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أشار جانب من الفقه إلى تعريف المصنفات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المصنفات الإبداعية العقلية التي تنتمي إلى بيئة تقنية المعلومات، والتي يتم التعامل معها بشكل رقمي، والتي تظهر في برامج الكمبيوتر، وقواعد البيانات، والدوائر المتكاملة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44B3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خلال الرقابة الإلكترونية تستطيع الجهات الرقابية المسئولة وفق القوانين ممارسة وظيفها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وهذه الرقابة تقوم بها سلطات الضبط في إطار سعيها للمحافظة على الأمن العام، ومنع وقوع الجرائم بشكل عام، وهي من قبيل الضبط الإداري العام، على أنَّه ينبغي أنْ تتم وفق الضوابط التشريعية، وأنْ تخضع لرقابة القضاء حماية للحقوق والحريات العامة من أي انحراف قد يقع من سلطات الضبط، والحقيقة أنَّ الأمر يتوقف على تحقيق التوازن بين حماية الحقوق والحريات كمصلحة خاصة، وحق المجتمع في الأمن، ومنع الجريمة كمصلحة عامة، وتغليب المصلحة العامة على المصالح الخاصة للأفراد عند التعارض بينهما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5DEC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أكد نظام حماية حقوق المؤلف على سلطات الضبط في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يتولى الموظفون المختصون بالوزارة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وتحدد اللائحة التنفيذية الإجراءات، والقواعد التي يلتزم بها هؤلاء الموظفون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4E56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قد شهدت تطوُّرًا كبيرًا؛ نتيجةً للتقدم في تكنولوجيا المعلومات والاتصالات؛ ممَّا أنتج واقعًا جديدًا للملكية الفكرية، فأصبحت المحتويات المنشورة عبر الإنترنت،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المواقع الإلكترونية والتطبيقات والمصنفات الرقمية، تمثل حقوقًا فكريةً محفوظةً لأصحابها، وتشمل براءات الاختراع، والعلامات التجارية، وحقوق المؤلف، وغيرها</w:t>
      </w:r>
      <w:r>
        <w:rPr>
          <w:rStyle w:val="None"/>
          <w:rFonts w:ascii="Times New Roman" w:hAnsi="Times New Roman"/>
          <w:sz w:val="24"/>
          <w:szCs w:val="24"/>
          <w:rtl/>
          <w:lang w:val="ar-SA"/>
        </w:rPr>
        <w:t>.</w:t>
      </w:r>
    </w:p>
    <w:p w14:paraId="624E1E8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ولمواكبة هذا التطوُّر التكنولوجي، ظهرت الحاجة إلى آليات رقابية إلكترونية تمارسها الجهات المختصة؛ لضبط الأنشطة الرقمية، ومتابعة المصنفات والمواقع؛ وذلك بهدف الحفاظ على الأمن المعلوماتي ومنع الجرائم السيبرانية؛ حيث تتم ممارسة تلك الرقابة في إطار الضبط الإداري العام، مع الالتزام بالضوابط القانونية والخضوع لرقابة القضاء؛ لتحقيق التوازن بين حماية الحقوق والحريات الفردية من جهة، وصيانة الأمن العام، والمصلحة العامة من جهة أخرى</w:t>
      </w:r>
      <w:r>
        <w:rPr>
          <w:rStyle w:val="None"/>
          <w:rFonts w:ascii="Times New Roman" w:hAnsi="Times New Roman"/>
          <w:sz w:val="24"/>
          <w:szCs w:val="24"/>
          <w:rtl/>
          <w:lang w:val="ar-SA"/>
        </w:rPr>
        <w:t>.</w:t>
      </w:r>
    </w:p>
    <w:p w14:paraId="69F5CA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البيئة الرقمية قد أحدثت تحوُّلًا جذريًا في مسار تطوُّر الملكية الفكرية، من حيث طبيعة المصنفات وأشكال التعبير عنها، وطرق إنتاجها، ونشرها، وتداولها، وقد أدى التطوُّر التكنولوجي السريع إلى توسيع مفاهيم الملكية الفكرية وظهور صور جديدة للإبداع الفكري؛ ممَّا أثر على مختلف الأصعدة العلمية والثقافية، فلم تَعُدْ المصنفات محصورة في الوسائط التقليدية، بل أصبحت منتشرةً بشكل أكبر في فضاء رقمي واسع يتجاوز الحدود الجغرافية؛ ممَّا أسهم في عموم المعرفة وتسريع حركة الإبداع</w:t>
      </w:r>
      <w:r>
        <w:rPr>
          <w:rStyle w:val="None"/>
          <w:rFonts w:ascii="Times New Roman" w:hAnsi="Times New Roman"/>
          <w:sz w:val="24"/>
          <w:szCs w:val="24"/>
          <w:rtl/>
          <w:lang w:val="ar-SA"/>
        </w:rPr>
        <w:t>.</w:t>
      </w:r>
    </w:p>
    <w:p w14:paraId="1562B57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6D7C31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E62FED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6D6BF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7C17C5"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A8846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1EB76B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135755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AE43D7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115C48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B2277B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4278A62" w14:textId="77777777" w:rsidR="00454428" w:rsidRDefault="00000000" w:rsidP="00C72BA8">
      <w:pPr>
        <w:pStyle w:val="a4"/>
        <w:rPr>
          <w:rStyle w:val="None"/>
          <w:lang w:val="ar-SA"/>
        </w:rPr>
      </w:pPr>
      <w:bookmarkStart w:id="156" w:name="_Toc227251108"/>
      <w:bookmarkStart w:id="157" w:name="_Toc227251418"/>
      <w:r>
        <w:rPr>
          <w:rStyle w:val="None"/>
          <w:rFonts w:ascii="Arial Unicode MS" w:eastAsia="Arial Unicode MS" w:hAnsi="Arial Unicode MS" w:hint="cs"/>
          <w:rtl/>
          <w:lang w:val="ar-SA"/>
        </w:rPr>
        <w:lastRenderedPageBreak/>
        <w:t>المبحث الثاني</w:t>
      </w:r>
      <w:bookmarkEnd w:id="156"/>
      <w:bookmarkEnd w:id="157"/>
    </w:p>
    <w:p w14:paraId="7BF48BAB" w14:textId="77777777" w:rsidR="00454428" w:rsidRDefault="00000000" w:rsidP="00C72BA8">
      <w:pPr>
        <w:pStyle w:val="a4"/>
        <w:rPr>
          <w:rStyle w:val="None"/>
          <w:lang w:val="ar-SA"/>
        </w:rPr>
      </w:pPr>
      <w:bookmarkStart w:id="158" w:name="_Toc227251109"/>
      <w:bookmarkStart w:id="159" w:name="_Toc227251419"/>
      <w:r>
        <w:rPr>
          <w:rStyle w:val="None"/>
          <w:rFonts w:ascii="Arial Unicode MS" w:eastAsia="Arial Unicode MS" w:hAnsi="Arial Unicode MS" w:hint="cs"/>
          <w:rtl/>
          <w:lang w:val="ar-SA"/>
        </w:rPr>
        <w:t>إشكاليات حماية حقوق الملكية الفكرية في البيئة الرقمية</w:t>
      </w:r>
      <w:bookmarkEnd w:id="158"/>
      <w:bookmarkEnd w:id="159"/>
    </w:p>
    <w:p w14:paraId="6F9F16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السنوات الأخيرة اهتمامًا واسعًا بموضوع الملكية الفكرية، خاصةً مع تزايد عملية التطوُّر التكنولوجي الهائل، الأمر الذي أدى إلى ظهور مشكلات عديدة، ولم يعرفها العالم لولا الانفجار الكبير لتكنولوجيا المعلومات والاتصالات، ومن بين هذه المشكلات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استغلال الملكية الفكرية دون إذا صاحب الحق فيها عبر الوسائل الإلكترونية المتاحة، وبالاعتماد على شبكة الإنترنت الموجودة في كل مكان؛ ممَّا شكل انتهاكًا صريحًا لحقوق أصحاب الملكيات الفكرية سواء من الناحية المادية أو المعنوية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6"/>
      </w:r>
      <w:r>
        <w:rPr>
          <w:rStyle w:val="None"/>
          <w:rFonts w:ascii="Times New Roman" w:hAnsi="Times New Roman"/>
          <w:sz w:val="24"/>
          <w:szCs w:val="24"/>
          <w:vertAlign w:val="superscript"/>
          <w:rtl/>
          <w:lang w:val="ar-SA"/>
        </w:rPr>
        <w:t>)</w:t>
      </w:r>
    </w:p>
    <w:p w14:paraId="453133F5" w14:textId="77777777" w:rsidR="00454428" w:rsidRDefault="00000000" w:rsidP="006B1B4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سوف نتناول في هذا المبحث مطلبين، فيما يلي</w:t>
      </w:r>
      <w:r>
        <w:rPr>
          <w:rStyle w:val="None"/>
          <w:rFonts w:ascii="Times New Roman" w:hAnsi="Times New Roman"/>
          <w:sz w:val="24"/>
          <w:szCs w:val="24"/>
          <w:rtl/>
          <w:lang w:val="ar-SA"/>
        </w:rPr>
        <w:t>:</w:t>
      </w:r>
    </w:p>
    <w:p w14:paraId="0BA306EA" w14:textId="77777777" w:rsidR="00454428" w:rsidRDefault="00000000">
      <w:pPr>
        <w:pStyle w:val="a7"/>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أدوات تداول الإنتاج الفكري الرقمي وتحدياتها التقنية</w:t>
      </w:r>
      <w:r>
        <w:rPr>
          <w:rStyle w:val="None"/>
          <w:rFonts w:ascii="Times New Roman" w:hAnsi="Times New Roman"/>
          <w:sz w:val="24"/>
          <w:szCs w:val="24"/>
          <w:rtl/>
          <w:lang w:val="ar-SA"/>
        </w:rPr>
        <w:t>.</w:t>
      </w:r>
    </w:p>
    <w:p w14:paraId="084CE85F" w14:textId="77777777" w:rsidR="00454428" w:rsidRDefault="00000000">
      <w:pPr>
        <w:pStyle w:val="a7"/>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خصائص الإنتاج الفكري الرقمي وحدود الحماية القانونية</w:t>
      </w:r>
      <w:r>
        <w:rPr>
          <w:rStyle w:val="None"/>
          <w:rFonts w:ascii="Times New Roman" w:hAnsi="Times New Roman"/>
          <w:sz w:val="24"/>
          <w:szCs w:val="24"/>
          <w:rtl/>
          <w:lang w:val="ar-SA"/>
        </w:rPr>
        <w:t>.</w:t>
      </w:r>
    </w:p>
    <w:p w14:paraId="097B422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58A6A4F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C148CA7"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64971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D06396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2D6218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4BD024F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26B5B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715870A"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3FEA83D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2D1B172"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191151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19FD8418" w14:textId="77777777" w:rsidR="00454428" w:rsidRPr="00CC3E5F" w:rsidRDefault="00454428" w:rsidP="00C72BA8">
      <w:pPr>
        <w:pStyle w:val="Body"/>
        <w:spacing w:before="120" w:after="120" w:line="360" w:lineRule="auto"/>
        <w:jc w:val="right"/>
        <w:rPr>
          <w:rStyle w:val="None"/>
          <w:rFonts w:ascii="Times New Roman" w:eastAsia="Times New Roman" w:hAnsi="Times New Roman" w:cs="Times New Roman"/>
          <w:b/>
          <w:bCs/>
          <w:sz w:val="24"/>
          <w:szCs w:val="24"/>
        </w:rPr>
      </w:pPr>
    </w:p>
    <w:p w14:paraId="5AF1D77C" w14:textId="77777777" w:rsidR="006B1B4A" w:rsidRDefault="006B1B4A" w:rsidP="00C72BA8">
      <w:pPr>
        <w:pStyle w:val="a4"/>
        <w:rPr>
          <w:rStyle w:val="None"/>
          <w:rFonts w:ascii="Arial Unicode MS" w:eastAsia="Arial Unicode MS" w:hAnsi="Arial Unicode MS"/>
          <w:rtl/>
          <w:lang w:val="ar-SA"/>
        </w:rPr>
      </w:pPr>
    </w:p>
    <w:p w14:paraId="2DC156D3" w14:textId="354CB613" w:rsidR="00454428" w:rsidRDefault="00000000" w:rsidP="00C72BA8">
      <w:pPr>
        <w:pStyle w:val="a4"/>
        <w:rPr>
          <w:rStyle w:val="None"/>
          <w:lang w:val="ar-SA"/>
        </w:rPr>
      </w:pPr>
      <w:bookmarkStart w:id="160" w:name="_Toc227251110"/>
      <w:bookmarkStart w:id="161" w:name="_Toc227251420"/>
      <w:r>
        <w:rPr>
          <w:rStyle w:val="None"/>
          <w:rFonts w:ascii="Arial Unicode MS" w:eastAsia="Arial Unicode MS" w:hAnsi="Arial Unicode MS" w:hint="cs"/>
          <w:rtl/>
          <w:lang w:val="ar-SA"/>
        </w:rPr>
        <w:lastRenderedPageBreak/>
        <w:t>المطلب الأول</w:t>
      </w:r>
      <w:bookmarkEnd w:id="160"/>
      <w:bookmarkEnd w:id="161"/>
    </w:p>
    <w:p w14:paraId="6D2CA8C7" w14:textId="77777777" w:rsidR="00454428" w:rsidRDefault="00000000" w:rsidP="00C72BA8">
      <w:pPr>
        <w:pStyle w:val="a4"/>
        <w:rPr>
          <w:rStyle w:val="None"/>
          <w:lang w:val="ar-SA"/>
        </w:rPr>
      </w:pPr>
      <w:bookmarkStart w:id="162" w:name="_Toc227251111"/>
      <w:bookmarkStart w:id="163" w:name="_Toc227251421"/>
      <w:r>
        <w:rPr>
          <w:rStyle w:val="None"/>
          <w:rFonts w:ascii="Arial Unicode MS" w:eastAsia="Arial Unicode MS" w:hAnsi="Arial Unicode MS" w:hint="cs"/>
          <w:rtl/>
          <w:lang w:val="ar-SA"/>
        </w:rPr>
        <w:t>أدوات تداول الإنتاج الفكري الرقمي وتحدياتها التقنية</w:t>
      </w:r>
      <w:bookmarkEnd w:id="162"/>
      <w:bookmarkEnd w:id="163"/>
    </w:p>
    <w:p w14:paraId="6553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تعيش الإنسانية اليومَ في منافسة مذهلة نحو عالم الفكر والمعرفة، ولقد تغيرت معايير قياس تقدم الأمم وتطوُّرها من حيث حكم المعلومات المتاحة الأفكار المبتكرة التي تنتجها، بدلًا من القوة المالية، والعسكرية؛ ممَّا أدى إلى تقدم كبير ومتزايد في الإنتاج الفكري والإبداعي؛ لذلك يعتبر موضوع حماية الملكية الفكرية من الموضوعات الصعبة والشائكة التي تشغل رجال السياسة؛ وذلك لأنَّ نتاج الفكر والإبداع، وحمايته عن طريق الملكية الفكرية يُعَدُّ من أهم ركائز الاقتصاد المعاصر، فلا يقوم الاقتصاد بدون هذه الركيزة المهمة، والاستثمارات الأجنبية لا تنجذب إلى بلد لا تمتلك حقوق الملكية الفكرية؛ لذا سعت معظم الدول إلى إدراج الملكية الفكرية ضمن السياسات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5729E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أدوات تداول الإنتاج الفكري الرقمي</w:t>
      </w:r>
      <w:r>
        <w:rPr>
          <w:rStyle w:val="None"/>
          <w:rFonts w:ascii="Times New Roman" w:hAnsi="Times New Roman"/>
          <w:b/>
          <w:bCs/>
          <w:sz w:val="28"/>
          <w:szCs w:val="28"/>
          <w:rtl/>
          <w:lang w:val="ar-SA"/>
        </w:rPr>
        <w:t>:</w:t>
      </w:r>
    </w:p>
    <w:p w14:paraId="5CEEC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كان يتم نشره سابقًا عبر الوسائل التقليدية، أما حاليًا في العصر الحديث فقد اختلف تمامًا؛ حيث أصبحت المصنفات تنشر وتوزع عبر وسائل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المنصات الرقمية، وهي المواقع الإلكترونية، ومنصات التواصل الاجتماعي، والمكتبات الرقمية، والبريد الإلكتروني، وهذه الأدوات قد وفرت قدرًا كبيرًا من السرعة والانتشار على مستوى العالم وليس على مستوى المحلي، والسهولة في الوصول إلى أي محتوى</w:t>
      </w:r>
      <w:r>
        <w:rPr>
          <w:rStyle w:val="None"/>
          <w:rFonts w:ascii="Times New Roman" w:hAnsi="Times New Roman"/>
          <w:sz w:val="24"/>
          <w:szCs w:val="24"/>
          <w:rtl/>
          <w:lang w:val="ar-SA"/>
        </w:rPr>
        <w:t>.</w:t>
      </w:r>
    </w:p>
    <w:p w14:paraId="4F4E72EE"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المنصات الرقمية للنشر والتوزيع</w:t>
      </w:r>
      <w:r>
        <w:rPr>
          <w:rStyle w:val="None"/>
          <w:rFonts w:ascii="Times New Roman" w:hAnsi="Times New Roman"/>
          <w:b/>
          <w:bCs/>
          <w:sz w:val="24"/>
          <w:szCs w:val="24"/>
          <w:rtl/>
          <w:lang w:val="ar-SA"/>
        </w:rPr>
        <w:t>:</w:t>
      </w:r>
    </w:p>
    <w:p w14:paraId="0F9BE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ارتفاع نسبة مستهلكي الإنترنت تؤدي إلى إنماء وتطوُّر محتوى المواقع المنتشرة فيه،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شيوع مواقع التجارة الإلكترونية من أجل التسويق والخدمات، فلا يكاد يخلو موقع من نشاط استثماري ومالي؛ حيث يعتبر البث الرقمي، وصيغ الاتصالات الرقمية مستحدثاتٍ جديدةً لاستعمالات المصنفات المحمية بحقوق الملكية الفكرية، وبالنظر إليها من الناحية الاقتصادية، فهي تمثل مجموعة من الخدمات جلها تجارية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B8B5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يحتوي الفضاء الرقمي عدة مصنفات رقمية، منها المحمية قانونًا وأخرى لم تصدر بعد قوانين لأجل حمايتها، وهذه الأخيرة تُعَدُّ عرضةً للاعتداء عليها؛ لأنَّها لا تتطلب ذكاءً بشريًا كبيرًا، وذلك نظرًا لطبيعتها الرقمية وتعدد أشكال عرضه على شاشات الحواسيب وصفحات الإنترنت، وتعرَّف المؤلفات المتعددة الوسائط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ناقل معلوماتي جديد يجمع في الوقت ذاته الصوت، والنص، والصورة، والبيانات القادمة بدورها من وسائط مختلفة، إذًا هي أعمال فكرية معروضة بطريقة رقمية حديثة في شكل صورة، ونص، وصوت، سواء أكانت الصورة متحركةً أم ثابتةً فيه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1DAD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فموقع الويب هو توصيف للمعلومات التي تعرض على صفحات الويب الخاصة بالشركة، وموقع الويب هو من نتاجات الإنترنت بعد استخدامها لأغراض تجارية؛ حيث أصبح ممثلًا لقدرات الشركة في التصميم، والعرض، والإعلان، والإقناع، وتقديم الخدمات، والتفاعل، والبيع، والشراء، وغيرها؛ ممَّا يمكن تلخيصه بكونه طريقةً متميزةً خاصةً بالشركة </w:t>
      </w:r>
      <w:r>
        <w:rPr>
          <w:rStyle w:val="None"/>
          <w:rFonts w:ascii="Arial Unicode MS" w:hAnsi="Arial Unicode MS" w:cs="Times New Roman" w:hint="cs"/>
          <w:sz w:val="24"/>
          <w:szCs w:val="24"/>
          <w:rtl/>
          <w:lang w:val="ar-SA"/>
        </w:rPr>
        <w:lastRenderedPageBreak/>
        <w:t>في تقديم الأعمال؛ ولأنَّه طريقة خاصة بتقديم الأعمال، فإنَّه يمكن أنْ يتمتع بالحماية القانونية، كما أنَّ موقع الويب يحمل اسم الشركة؛ ممَّا يجعله يتمتع بالحماية القانونية الخاصة بالعلامة التجارية؛ ولأنَّه يمكن أنْ يعرض منتجات 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كالألعاب، والكتب، والبرمجيات، فإنَّه يمكن أنْ يحظى بالحماية القانونية الخاصة بحق النشر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9E54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وتتوفر في الويب مجموعة من الأدوات التي تمكن الباحث من الإبحار في محتوياتها، وتشكل هذه الأدوات وساطةً بين الباحث ومحتوى الويب، ومن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نجد محركات البحث التي تُعَدُّ كأدوات بحث تعمل من خلال استراتيجيات محددة أو استراتيجيات مفتوحة، وذلك للبحث في حقول أو وثائق نصية، والأكثر من ذلك أنَّها يمكن أنْ تبحث عن أشياء، في بيئة محددة هي بيئة شبكة الإنترنت، وذلك يعني أنَّها تبحث في ملايين المواقع ومليارات الكلمات في وقت محدد، وتتميز بسرعة الاستجابة، وعادةً ما تكون إجابتها مواقع على الإنترنت تتوافر فيها كل المصطلحات التي تم البحث عنها أو بعضها، أو مواقع محددة سلفًا من خلال ما يعرف بقائمة أو دليل البحث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28C2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وبالإضافة إلى أنَّ النشر الإلكتروني قد تخطى كافة القيود النوعية للمحتوى المنشور من نصوص وصوت وفيديو، هذا فضلًا عن كسر الحواجز المكانية المعروفة في سياق النشر التقليدي، فأصبح بالإمكان تحميل مكتبة رقمية كاملة، إما على جهاز الحاسب الشخصي، أو القارئ الإلكتروني، أو حتى الهاتف المحمول الذكي، وأحيانًا تكون بعض المنشورات الإلكترونية نسخًا إلكترونيةً من منشورات مطبوعة، وهناك فئة أخرى ولدت رقميًا أو إلكترونيًا، كما تندرج تحت هذه الفئة الدوريات العلمية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AC04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والإنترنت بوصفه طريقة اتصال سهلة وسريعة يتيح تبادل المعلومات ونقلها بكافة صورها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مكتوبة، ومرئية، ومسموعة، وباعتباره ليس مجرد صفحات للمعلومات، بل مكانًا للتسوق، وموضعًا للأعمال والخدمات، وفضاءً غير متناهٍ من الصفحات؛ لنشر الأخبار، والمعالجات، والمؤلفات، والأبحاث، والمواد، فإنَّ محتوى مواقعه يتضمن الإعلان التجاري، والمادة المؤلفة، والبث المرئي، والتسجيل الصوتي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2999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نظام خدمة الويب يرتكز على فكرة تخزين معلومات، مع القدرة على إقامة صلات وعلاقات ترابطية مباشرة بين مستخدميها؛ وبغرض تفادي كل الإشكالات التي من شأنها إعاقة التعامل عبر مواقع الويب لجأت بعض التشريعات الحديثة لاستخدام ما يسمى بجهات التصديق والتوثيق الإلكتروني، والتي تتكفل بتخزين وإثبات المعاملات الإلكترونية المبرمة بين الأطراف، مع إخبار المتعاملين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الزبائن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بكل ما يحيط أو يخدش مصداقية المواقع المستعملة؛ ممَّا يزيد ذلك في منسوب الاستقرار القانوني والمعلوماتي للمعاملات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E16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المنصات الرقمية هي الوسيط الأساسي لتداول الإنتاج الفكري بجميع أشكاله؛ إذ تتيح المنصات الرقمية النشر الفوري والتوزيع للإنتاج الفكري الأدبي والفني، فقد تحولت هذه المنصات لوسائل النشر بديل الوسائل التقليدية، كما فتحت المنصات الرقمية المجال للنشر والتوزيع على مستوى العالم</w:t>
      </w:r>
      <w:r>
        <w:rPr>
          <w:rStyle w:val="None"/>
          <w:rFonts w:ascii="Times New Roman" w:hAnsi="Times New Roman"/>
          <w:sz w:val="24"/>
          <w:szCs w:val="24"/>
          <w:rtl/>
          <w:lang w:val="ar-SA"/>
        </w:rPr>
        <w:t>.</w:t>
      </w:r>
    </w:p>
    <w:p w14:paraId="76F83101"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المكتبات الرقمية</w:t>
      </w:r>
      <w:r>
        <w:rPr>
          <w:rStyle w:val="None"/>
          <w:rFonts w:ascii="Times New Roman" w:hAnsi="Times New Roman"/>
          <w:b/>
          <w:bCs/>
          <w:sz w:val="24"/>
          <w:szCs w:val="24"/>
          <w:rtl/>
          <w:lang w:val="ar-SA"/>
        </w:rPr>
        <w:t>:</w:t>
      </w:r>
    </w:p>
    <w:p w14:paraId="2A7CF5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المكتبات الرقمية مؤسساتٍ تقدم المصادر،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العاملون المتخصصون للقيام بعمليات الاختيار، والبناء، وإتاحة الوصول الفكري، والتفسير، والتوزيع، وصون سلامة وكمال مجموعات من الأعمال الرقمية، وضمان استمرارها مع الزمن؛ وذلك بهدف إتاحتها للاستخدام من جانب مجتمع أو أكثر من المستفيدين بالأساليب والطرق السريعة والاقتصادية أيضًا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EC2F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المكتبات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أوعية المعلومات المحسوبة رقميًا، والمرتبة بطريقة خاصة تناسب طريقة الاستخدام من خلال شبكات المعلومات التي تمكن من الوصول إلى المعلومات مهما بعدت المسافات، وتؤكد تجهيزات المكتبات الرقمية على تيسير، وتزويد المعلومات وبثها واستخدامها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6"/>
      </w:r>
      <w:r>
        <w:rPr>
          <w:rStyle w:val="None"/>
          <w:rFonts w:ascii="Times New Roman" w:hAnsi="Times New Roman"/>
          <w:sz w:val="24"/>
          <w:szCs w:val="24"/>
          <w:vertAlign w:val="superscript"/>
          <w:rtl/>
          <w:lang w:val="ar-SA"/>
        </w:rPr>
        <w:t>)</w:t>
      </w:r>
    </w:p>
    <w:p w14:paraId="7DEAD5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بداية ظهور المكتبات الرقمية جاءت نتيجةَ تعدد استخدام تطبيقات التكنولوجيات الحديثة في مجال المكتبات والمعلومات، وأبرزها تكنولوجيا الاتصال، التي تأتي في مقدمتها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التي أحدثت تغييرات وتطوُّرات في إجراءات العمل الفني في المكتبات، وفي نوعية الخدمات التي تقدمها للمستفيدين، ولعل الطفرة التي أحدثتها هذه الشبكة في مجال النشر والإعلان قد جعلتها أحد الموارد المهمة التي توفر كميات هائلة من مصادر المعلومات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7"/>
      </w:r>
      <w:r>
        <w:rPr>
          <w:rStyle w:val="None"/>
          <w:rFonts w:ascii="Times New Roman" w:hAnsi="Times New Roman"/>
          <w:sz w:val="24"/>
          <w:szCs w:val="24"/>
          <w:vertAlign w:val="superscript"/>
          <w:rtl/>
          <w:lang w:val="ar-SA"/>
        </w:rPr>
        <w:t>)</w:t>
      </w:r>
    </w:p>
    <w:p w14:paraId="350F5B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فتم الاتجاه إلى المكتبة الرقمية أو الإلكترونية؛ نتيجةً لارتفاع أسعار المصنفات التقليدية، وما يلي يبيّن أهمية المكتبة الرقمية</w:t>
      </w:r>
      <w:r>
        <w:rPr>
          <w:rStyle w:val="None"/>
          <w:rFonts w:ascii="Times New Roman" w:hAnsi="Times New Roman"/>
          <w:sz w:val="24"/>
          <w:szCs w:val="24"/>
          <w:rtl/>
          <w:lang w:val="ar-SA"/>
        </w:rPr>
        <w:t xml:space="preserve">: </w:t>
      </w:r>
    </w:p>
    <w:p w14:paraId="292EE4DB"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الحصول على الكتب القديمة من حيث التاريخ، والتي لم تَعُدْ تنتج في دور النشر</w:t>
      </w:r>
      <w:r>
        <w:rPr>
          <w:rStyle w:val="None"/>
          <w:rFonts w:ascii="Times New Roman" w:hAnsi="Times New Roman"/>
          <w:sz w:val="24"/>
          <w:szCs w:val="24"/>
          <w:rtl/>
          <w:lang w:val="ar-SA"/>
        </w:rPr>
        <w:t>.</w:t>
      </w:r>
    </w:p>
    <w:p w14:paraId="070E6267"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البحث والحصول على المعلومات بسهولة</w:t>
      </w:r>
      <w:r>
        <w:rPr>
          <w:rStyle w:val="None"/>
          <w:rFonts w:ascii="Times New Roman" w:hAnsi="Times New Roman"/>
          <w:sz w:val="24"/>
          <w:szCs w:val="24"/>
          <w:rtl/>
          <w:lang w:val="ar-SA"/>
        </w:rPr>
        <w:t>.</w:t>
      </w:r>
    </w:p>
    <w:p w14:paraId="4DE1CFC6"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توافر المعلومات</w:t>
      </w:r>
      <w:r>
        <w:rPr>
          <w:rStyle w:val="None"/>
          <w:rFonts w:ascii="Times New Roman" w:hAnsi="Times New Roman"/>
          <w:sz w:val="24"/>
          <w:szCs w:val="24"/>
          <w:rtl/>
          <w:lang w:val="ar-SA"/>
        </w:rPr>
        <w:t>.</w:t>
      </w:r>
    </w:p>
    <w:p w14:paraId="6AECCE45"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تقصير المسافات، واختزالها، وإلغاء الحاجز الزمني والمكاني</w:t>
      </w:r>
      <w:r>
        <w:rPr>
          <w:rStyle w:val="None"/>
          <w:rFonts w:ascii="Times New Roman" w:hAnsi="Times New Roman"/>
          <w:sz w:val="24"/>
          <w:szCs w:val="24"/>
          <w:rtl/>
          <w:lang w:val="ar-SA"/>
        </w:rPr>
        <w:t>.</w:t>
      </w:r>
    </w:p>
    <w:p w14:paraId="19B22A20"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تقليل التكلفة المالية بالإضافة للجهد والوقت</w:t>
      </w:r>
      <w:r>
        <w:rPr>
          <w:rStyle w:val="None"/>
          <w:rFonts w:ascii="Times New Roman" w:hAnsi="Times New Roman"/>
          <w:sz w:val="24"/>
          <w:szCs w:val="24"/>
          <w:rtl/>
          <w:lang w:val="ar-SA"/>
        </w:rPr>
        <w:t>.</w:t>
      </w:r>
    </w:p>
    <w:p w14:paraId="6306C73E"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الاطلاع على المعلومات المختلفة من قبل أكثر من شخص، وفي وقت واحد دون أنْ يؤدي ذلك إلى حدوث تضارب</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8"/>
      </w:r>
      <w:r>
        <w:rPr>
          <w:rStyle w:val="None"/>
          <w:rFonts w:ascii="Times New Roman" w:hAnsi="Times New Roman"/>
          <w:sz w:val="24"/>
          <w:szCs w:val="24"/>
          <w:vertAlign w:val="superscript"/>
          <w:rtl/>
          <w:lang w:val="ar-SA"/>
        </w:rPr>
        <w:t>)</w:t>
      </w:r>
    </w:p>
    <w:p w14:paraId="161689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تعتبر المكتبات الرقمية وسيلةً حديثةً للنشر والتوزيع للمصنفات الفكرية؛ لأنَّ هذه المكتبات الرقمية يتيح الوصول إلى المحتوى العلمي، من خلال المكتبات الرقمية المفتوحة، كما ساهمت في التوسيع من نشر الكثير من الإنتاج الفكري، بالإضافة إلى أنَّها أصبحت أداةً رئيسيةً في نشر وتوزيع الناتج الفكري، كما توجد شروط قانونية للنشر في المكتبات الرقمية؛ لحماية حقوق المؤلفين</w:t>
      </w:r>
      <w:r>
        <w:rPr>
          <w:rStyle w:val="None"/>
          <w:rFonts w:ascii="Times New Roman" w:hAnsi="Times New Roman"/>
          <w:sz w:val="24"/>
          <w:szCs w:val="24"/>
          <w:rtl/>
          <w:lang w:val="ar-SA"/>
        </w:rPr>
        <w:t>.</w:t>
      </w:r>
    </w:p>
    <w:p w14:paraId="79A647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فالمكتبات الرقمية تحمي المصنفات الرقمية، من خلال الاتفاقيات الدولية الخاصة بحقوق المؤلف، فالاتفاقيات أكدت على حماية المصنفات عبر الوسائل الإلكترونية، ومنع نسخها أو تداولها دون إذن من صاحب الحق، وهذا ما نصت عليه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اتفاقية الويبو بشأن حق المؤلف</w:t>
      </w:r>
      <w:r>
        <w:rPr>
          <w:rStyle w:val="None"/>
          <w:rFonts w:ascii="Times New Roman" w:hAnsi="Times New Roman"/>
          <w:sz w:val="24"/>
          <w:szCs w:val="24"/>
          <w:rtl/>
          <w:lang w:val="ar-SA"/>
        </w:rPr>
        <w:t>.</w:t>
      </w:r>
    </w:p>
    <w:p w14:paraId="7B0B0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يتم ضبط عملية الاتاحة من خلال اتفاقيات التراخيص، التي تؤدي دورًا رئيسًا في تحقيق حماية حق المؤلف ضد الانتهاكات التي قد تحدث عند استخدام مصادر المعلومات الرقمية، ويذكر أنَّ هناك ثلاث فئاتٍ من التراخيص التي تحدد استخدام قواعد البيانات، وهي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9"/>
      </w:r>
      <w:r>
        <w:rPr>
          <w:rStyle w:val="None"/>
          <w:rFonts w:ascii="Times New Roman" w:hAnsi="Times New Roman"/>
          <w:sz w:val="24"/>
          <w:szCs w:val="24"/>
          <w:vertAlign w:val="superscript"/>
          <w:rtl/>
          <w:lang w:val="ar-SA"/>
        </w:rPr>
        <w:t>)</w:t>
      </w:r>
    </w:p>
    <w:p w14:paraId="704E672E"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المستخدم الواحد</w:t>
      </w:r>
      <w:r>
        <w:rPr>
          <w:rStyle w:val="None"/>
          <w:rFonts w:ascii="Times New Roman" w:hAnsi="Times New Roman"/>
          <w:b/>
          <w:bCs/>
          <w:sz w:val="24"/>
          <w:szCs w:val="24"/>
          <w:rtl/>
          <w:lang w:val="ar-SA"/>
        </w:rPr>
        <w:t>:</w:t>
      </w:r>
      <w:r>
        <w:rPr>
          <w:rStyle w:val="None"/>
          <w:rFonts w:cs="Times New Roman"/>
          <w:sz w:val="24"/>
          <w:szCs w:val="24"/>
          <w:rtl/>
          <w:lang w:val="ar-SA"/>
        </w:rPr>
        <w:t xml:space="preserve"> لا يسمح هذا النوع من التراخيص بربط قاعدة البيانات بشبكة لتستخدم من قبل أشخاص متعددين في الوقت نفسه، فهو ترخيص للاستخدام على جهاز واحد فقط</w:t>
      </w:r>
      <w:r>
        <w:rPr>
          <w:rStyle w:val="None"/>
          <w:rFonts w:ascii="Times New Roman" w:hAnsi="Times New Roman"/>
          <w:sz w:val="24"/>
          <w:szCs w:val="24"/>
          <w:rtl/>
          <w:lang w:val="ar-SA"/>
        </w:rPr>
        <w:t>.</w:t>
      </w:r>
    </w:p>
    <w:p w14:paraId="0AD9407B"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الموقع</w:t>
      </w:r>
      <w:r>
        <w:rPr>
          <w:rStyle w:val="None"/>
          <w:rFonts w:ascii="Times New Roman" w:hAnsi="Times New Roman"/>
          <w:b/>
          <w:bCs/>
          <w:sz w:val="24"/>
          <w:szCs w:val="24"/>
          <w:rtl/>
          <w:lang w:val="ar-SA"/>
        </w:rPr>
        <w:t>:</w:t>
      </w:r>
      <w:r>
        <w:rPr>
          <w:rStyle w:val="None"/>
          <w:rFonts w:cs="Times New Roman"/>
          <w:sz w:val="24"/>
          <w:szCs w:val="24"/>
          <w:rtl/>
          <w:lang w:val="ar-SA"/>
        </w:rPr>
        <w:t xml:space="preserve"> يضع هذا النوع من التراخيص قيودًا جغرافيةً على الاستخدام، فلا يسمح باستخدام قاعدة البيانات إلا في المرخص بالاستخدام فيه</w:t>
      </w:r>
      <w:r>
        <w:rPr>
          <w:rStyle w:val="None"/>
          <w:rFonts w:ascii="Times New Roman" w:hAnsi="Times New Roman"/>
          <w:sz w:val="24"/>
          <w:szCs w:val="24"/>
          <w:rtl/>
          <w:lang w:val="ar-SA"/>
        </w:rPr>
        <w:t>.</w:t>
      </w:r>
    </w:p>
    <w:p w14:paraId="4B8B70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إنَّ تراخيص المحتويات الرقمية أصبحت جزءًا متوقعًا من إدارة المجموعات، وخصوصًا أنَّ هناك ميزانياتٍ للمجموعات أصبحت تخصص باطراد، لدوريات لم تَعُدْ متاحةً إلا في شكل رقمي، ولقد أصبح كثير من أمناء المكتبات منهمكين فعلًا في ترخيص معلومات إلكترونية رقمية، إنَّ ترخيص المحتويات الإلكترونية بدلًا من اقتناء النسخ المطبوعة، فإنَّ ترخيص معلومات رقمية غالبًا ما يتضمن التفاوض على اتفاقية ترخيص أو عقد مع مالك المعلومات الرقمية لاستخدامها في المكتبة، وعلى الأقل فهو يتضمن فهم وتفسير،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هذه الاتفاقيات سواء كان التفاوض عليها من قبل اتحاد أو هيئة بالنيابة عن المكتبات المنضوية تحتها أو كانت غير قابلة للتفاوض، أو تم التفاوض عليها من قبل المكتبة منفردة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0"/>
      </w:r>
      <w:r>
        <w:rPr>
          <w:rStyle w:val="None"/>
          <w:rFonts w:ascii="Times New Roman" w:hAnsi="Times New Roman"/>
          <w:sz w:val="24"/>
          <w:szCs w:val="24"/>
          <w:vertAlign w:val="superscript"/>
          <w:rtl/>
          <w:lang w:val="ar-SA"/>
        </w:rPr>
        <w:t>)</w:t>
      </w:r>
    </w:p>
    <w:p w14:paraId="3F63B7FF" w14:textId="77777777" w:rsidR="00454428" w:rsidRDefault="00000000">
      <w:pPr>
        <w:pStyle w:val="a7"/>
        <w:numPr>
          <w:ilvl w:val="0"/>
          <w:numId w:val="9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وسائل الاتصال الاجتماعي</w:t>
      </w:r>
      <w:r>
        <w:rPr>
          <w:rStyle w:val="None"/>
          <w:rFonts w:ascii="Times New Roman" w:hAnsi="Times New Roman"/>
          <w:b/>
          <w:bCs/>
          <w:sz w:val="24"/>
          <w:szCs w:val="24"/>
          <w:rtl/>
          <w:lang w:val="ar-SA"/>
        </w:rPr>
        <w:t>:</w:t>
      </w:r>
    </w:p>
    <w:p w14:paraId="6F967B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تشكل مواقع التواصل الاجتماعي في وقتنا الحالي الميدان الأوسع لتبادل ونشر المعلومات سواء العامة أو المتخصصة؛ لما تمتاز به من سهولة وسرعة في الكتابة، والنقل، والنشر، فأصبح العديد من الأشخاص سواء العامة أو المتخصصين يلجؤون إلى فتح حساب في هذه المواقع، وينشرون مؤلفاتهم أو أعمالهم الفنية</w:t>
      </w:r>
      <w:r>
        <w:rPr>
          <w:rStyle w:val="None"/>
          <w:rFonts w:ascii="Times New Roman" w:hAnsi="Times New Roman"/>
          <w:sz w:val="24"/>
          <w:szCs w:val="24"/>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211"/>
      </w:r>
      <w:r>
        <w:rPr>
          <w:rStyle w:val="None"/>
          <w:rFonts w:ascii="Times New Roman" w:hAnsi="Times New Roman"/>
          <w:vertAlign w:val="superscript"/>
          <w:rtl/>
          <w:lang w:val="ar-SA"/>
        </w:rPr>
        <w:t>)</w:t>
      </w:r>
    </w:p>
    <w:p w14:paraId="7B04B4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حيث انتشرت بشكل كبير وسائل التواصل الاجتماعي، وأصبحت هي الوسيلة الوحيدة التي فرضت سيطرتها على جميع المجتمعات، وأصبح مستخدموها يتجاوزن المليارات، وأصبحت وسيلةً شديدةَ التأثير في المجتمع بشكل كبير وخطير؛ وذلك لأنَّها أصحبت تستخدم أساليب جذب لا حصر لها، فهي تستوعب متابعيها من جميع الفئات ومن جميع الأعمار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2"/>
      </w:r>
      <w:r>
        <w:rPr>
          <w:rStyle w:val="None"/>
          <w:rFonts w:ascii="Times New Roman" w:hAnsi="Times New Roman"/>
          <w:sz w:val="24"/>
          <w:szCs w:val="24"/>
          <w:vertAlign w:val="superscript"/>
          <w:rtl/>
          <w:lang w:val="ar-SA"/>
        </w:rPr>
        <w:t>)</w:t>
      </w:r>
    </w:p>
    <w:p w14:paraId="7E9DC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بالتواصل الاجتماعي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منصات عبر الإنترنت تسمح للأفراد بالتواصل مع بعضهم البعض، ومشاركة المحتوى، والأفكار، والصور، ومقاطع الفيديو، وتشمل هذه المواقع،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فيسبوك، وتويتر، وانستغرام، ويوتيوب، بالإضافة إلى منصات أخرى تتنوع في الغرض والجمهور المستهدف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F994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وسائل التواصل الاجتماعي من أهم الوسائل الحديثة التي يستخدمها الكثير في نشر المصنفات الفكرية، سواء من قبل المؤلفين أو آخرين، كما ساهمت وسائل التواصل الاجتماعي في تسهيل نشر الأعمال الأدبية والفنية على مستوى واسع، فهذا يتيح للمؤلفين من نشر مصنفاتهم على نطاق واسع بعكس النشر التقليدي</w:t>
      </w:r>
      <w:r>
        <w:rPr>
          <w:rStyle w:val="None"/>
          <w:rFonts w:ascii="Times New Roman" w:hAnsi="Times New Roman"/>
          <w:sz w:val="24"/>
          <w:szCs w:val="24"/>
          <w:rtl/>
          <w:lang w:val="ar-SA"/>
        </w:rPr>
        <w:t>.</w:t>
      </w:r>
    </w:p>
    <w:p w14:paraId="50E76B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بالرغم من كل مزايا وسائل التواصل الاجتماعي من نشر المصنفات الفكرية عبر الإنترنت، فإنَّه يثير بعض التحديات القانونية التي تتعلق بحماية حقوق الملكية الفكرية؛ لأنَّ من الممكن أنْ يقوم أحد الأشخاص بنشر أحد المصنفات وينسبها لنفسه، فهذا يعتبر انتهاكًا للحقوق المليكة الفكرية، فلا بُدَّ من مواكبة التشريعات لهذه التحديات</w:t>
      </w:r>
      <w:r>
        <w:rPr>
          <w:rStyle w:val="None"/>
          <w:rFonts w:ascii="Times New Roman" w:hAnsi="Times New Roman"/>
          <w:sz w:val="24"/>
          <w:szCs w:val="24"/>
          <w:rtl/>
          <w:lang w:val="ar-SA"/>
        </w:rPr>
        <w:t>.</w:t>
      </w:r>
    </w:p>
    <w:p w14:paraId="591582EB"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البريد الإلكتروني</w:t>
      </w:r>
      <w:r>
        <w:rPr>
          <w:rStyle w:val="None"/>
          <w:rFonts w:ascii="Times New Roman" w:hAnsi="Times New Roman"/>
          <w:b/>
          <w:bCs/>
          <w:sz w:val="24"/>
          <w:szCs w:val="24"/>
          <w:rtl/>
          <w:lang w:val="ar-SA"/>
        </w:rPr>
        <w:t>:</w:t>
      </w:r>
    </w:p>
    <w:p w14:paraId="294C5F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البريد الإلكتروني أحد أهم الوسائل المستحدثة في تكنولوجيا الاتصالات؛ إذ إنَّه من أهم تطبيقات الإنترنت وأكثرها استخدامًا، وقد فرض نفسه إلى جانب الوسائل التقليدية للاتصال بفضل سرعته الفائقة وتكلفته البسيطة وسهولة استخدامه ومرونته، فالبريد الإلكتروني يحتل مكانًا ضروريًا في الحياة اليومية لكل مستخدم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2078498"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البريد الإلكتروني أهم وسائل تكنولوجيا المعلومات، والتي تمتاز بأنَّها وسيلة صامتة سريعة ودقيقة في نقل المعلومات والملفات كما هي موجودة، ولا اعتبار لعنصر الزمان والمكان، فلا تحتاج لتسريب المعلومات من الشركة أنْ تسرق الأوراق الأصلية إنما مجرد صورة عنها وترسل من مكان العمل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0B817F" w14:textId="3C735F03"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البريد الإلكتروني أداة فعَّالة، ويستخدم في مجالات الحياة اليومية من استقبال وإرسال الرسائل عبر البريد الإلكتروني، كما يمكن إرسال ملفات أو صور، أو أي مستندات، فالبريد الإلكتروني أداة أساسية في التعاملات،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تسجيل الحسابات، وتلقي الإشعارات عند تسجيل في الخدمات</w:t>
      </w:r>
      <w:r w:rsidR="0068187D">
        <w:rPr>
          <w:rStyle w:val="None"/>
          <w:rFonts w:ascii="Times New Roman" w:hAnsi="Times New Roman" w:hint="cs"/>
          <w:sz w:val="24"/>
          <w:szCs w:val="24"/>
          <w:rtl/>
          <w:lang w:val="ar-SA"/>
        </w:rPr>
        <w:t xml:space="preserve">.  </w:t>
      </w:r>
      <w:r>
        <w:rPr>
          <w:rStyle w:val="None"/>
          <w:rFonts w:ascii="Arial Unicode MS" w:hAnsi="Arial Unicode MS" w:cs="Times New Roman" w:hint="cs"/>
          <w:sz w:val="24"/>
          <w:szCs w:val="24"/>
          <w:rtl/>
          <w:lang w:val="ar-SA"/>
        </w:rPr>
        <w:t>يعرَّف البريد الإلكتروني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اختصار للمصطلح </w:t>
      </w:r>
      <w:r>
        <w:rPr>
          <w:rStyle w:val="None"/>
          <w:rFonts w:ascii="Times New Roman" w:hAnsi="Times New Roman"/>
          <w:sz w:val="24"/>
          <w:szCs w:val="24"/>
        </w:rPr>
        <w:t>Electronic mail</w:t>
      </w:r>
      <w:r>
        <w:rPr>
          <w:rStyle w:val="None"/>
          <w:rFonts w:ascii="Arial Unicode MS" w:hAnsi="Arial Unicode MS" w:cs="Times New Roman" w:hint="cs"/>
          <w:sz w:val="24"/>
          <w:szCs w:val="24"/>
          <w:rtl/>
          <w:lang w:val="ar-SA"/>
        </w:rPr>
        <w:t xml:space="preserve"> ويقوم على إرسال الصور والبرامج والملفات من شخص إلى آخر عن طريق بريده الإلكتروني بدلًا </w:t>
      </w:r>
      <w:r>
        <w:rPr>
          <w:rStyle w:val="None"/>
          <w:rFonts w:ascii="Arial Unicode MS" w:hAnsi="Arial Unicode MS" w:cs="Times New Roman" w:hint="cs"/>
          <w:sz w:val="24"/>
          <w:szCs w:val="24"/>
          <w:rtl/>
          <w:lang w:val="ar-SA"/>
        </w:rPr>
        <w:lastRenderedPageBreak/>
        <w:t>من البريد العادي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6"/>
      </w:r>
      <w:r>
        <w:rPr>
          <w:rStyle w:val="None"/>
          <w:rFonts w:ascii="Times New Roman" w:hAnsi="Times New Roman"/>
          <w:sz w:val="24"/>
          <w:szCs w:val="24"/>
          <w:vertAlign w:val="superscript"/>
          <w:rtl/>
          <w:lang w:val="ar-SA"/>
        </w:rPr>
        <w:t>)</w:t>
      </w:r>
      <w:r w:rsidR="0068187D">
        <w:rPr>
          <w:rStyle w:val="None"/>
          <w:rFonts w:ascii="Times New Roman" w:hAnsi="Times New Roman" w:hint="cs"/>
          <w:sz w:val="24"/>
          <w:szCs w:val="24"/>
          <w:vertAlign w:val="superscript"/>
          <w:rtl/>
          <w:lang w:val="ar-SA"/>
        </w:rPr>
        <w:t xml:space="preserve"> </w:t>
      </w:r>
      <w:r>
        <w:rPr>
          <w:rStyle w:val="None"/>
          <w:rFonts w:ascii="Arial Unicode MS" w:hAnsi="Arial Unicode MS" w:cs="Times New Roman" w:hint="cs"/>
          <w:sz w:val="24"/>
          <w:szCs w:val="24"/>
          <w:rtl/>
          <w:lang w:val="ar-SA"/>
        </w:rPr>
        <w:t xml:space="preserve">كما يُعَدُّ البريد الإلكتروني وسيلةً للإرسال، والاستقبال، والتبادل عبر نظم الاتصالات الإلكترونية، أهمها شبكة الإنترنت، وهي وسيلة سريعة لتبادل الرسائل تغني عن استخدام البريد التقليدي، وتخزن الرسائل الإلكترونية في الحاسب الخادم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3CA10"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البريد الإلكتروني يمكن أنْ يستخدم في تبادل المصنفات الفكرية ونشرها من خلاله؛ حيث يقوم المؤلفون بإرسال مؤلفاتهم إلى جهات متعددة لنشرها؛ ممَّا أدى إلى سهولة عملية النشر والتوزيع الرقمي، فالبريد الإلكتروني أفضل وسيلة من وسائل النشر عكس الوسائل التقليدية</w:t>
      </w:r>
      <w:r>
        <w:rPr>
          <w:rStyle w:val="None"/>
          <w:rFonts w:ascii="Times New Roman" w:hAnsi="Times New Roman"/>
          <w:sz w:val="24"/>
          <w:szCs w:val="24"/>
          <w:rtl/>
          <w:lang w:val="ar-SA"/>
        </w:rPr>
        <w:t>.</w:t>
      </w:r>
    </w:p>
    <w:p w14:paraId="021BBB5B"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خدمة البريد الإلكتروني هي أهم الخدمات المتاحة على شبكات الإنترنت، كما أنَّها تتسم بالسرعة في إرسال الملفات بين الأفراد، فتتيح هذه الخدمة نقل الملفات،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الصور، أو ملفات الصوت والفيديو، من الممكن يتم الاعتداء على الملفات التي يتم إرسالها عبر البريد الإلكتروني الخاصة بالمصنفات الفكرية، فالنظام يحمي هذه المصنفات التي يتم إرسالها عبر البريد الإلكتروني</w:t>
      </w:r>
      <w:r>
        <w:rPr>
          <w:rStyle w:val="None"/>
          <w:rFonts w:ascii="Times New Roman" w:hAnsi="Times New Roman"/>
          <w:sz w:val="24"/>
          <w:szCs w:val="24"/>
          <w:rtl/>
          <w:lang w:val="ar-SA"/>
        </w:rPr>
        <w:t>.</w:t>
      </w:r>
    </w:p>
    <w:p w14:paraId="7CEF48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حدد النظام في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بالغرامة المالية لا تزيد على مائتين وخمسين ألف ريالٍ، أو إغلاق المنشأة المتعدية على الاعتداء على حق المؤلف، ومصادرة جميع نسخ المصنف، والمواد المستخدمة في هذا الاعتداء، أو السجن لمدة لا تزيد على ستة أشهر، ومن الممكن أنْ تكون العقوبة السجن والغرامة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8"/>
      </w:r>
      <w:r>
        <w:rPr>
          <w:rStyle w:val="None"/>
          <w:rFonts w:ascii="Times New Roman" w:hAnsi="Times New Roman"/>
          <w:sz w:val="24"/>
          <w:szCs w:val="24"/>
          <w:vertAlign w:val="superscript"/>
          <w:rtl/>
          <w:lang w:val="ar-SA"/>
        </w:rPr>
        <w:t>)</w:t>
      </w:r>
    </w:p>
    <w:p w14:paraId="02CFA4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الرسائل الإلكترونية من وسائل الإثبات التي أقرها المشرع، فالرسائل الإلكترونية لها حجية قانونية في مجال حماية حقوق المؤلف؛ إذ يمكن استخدامها لإثبات مليكة المصنفات الأدبية، أو الفنية عند تداولها عبر الوسائل الإلكترونية، فهذا يضمن الحقوق الفكرية لأصاحبها ويمنع الاعتداء عليها أو نسبها إلى الغير</w:t>
      </w:r>
      <w:r>
        <w:rPr>
          <w:rStyle w:val="None"/>
          <w:rFonts w:ascii="Times New Roman" w:hAnsi="Times New Roman"/>
          <w:sz w:val="24"/>
          <w:szCs w:val="24"/>
          <w:rtl/>
          <w:lang w:val="ar-SA"/>
        </w:rPr>
        <w:t>.</w:t>
      </w:r>
    </w:p>
    <w:p w14:paraId="72E668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أقر المنظم السعودي أنَّ للدليل الإلكتروني الحجية القانونية في المعاملات الإلكترونية، وفقًا لما جاء به نظام الإثبات السعودي في المادة </w:t>
      </w:r>
      <w:r>
        <w:rPr>
          <w:rStyle w:val="None"/>
          <w:rFonts w:ascii="Times New Roman" w:hAnsi="Times New Roman"/>
          <w:sz w:val="24"/>
          <w:szCs w:val="24"/>
          <w:rtl/>
          <w:lang w:val="ar-SA"/>
        </w:rPr>
        <w:t>55 "</w:t>
      </w:r>
      <w:r>
        <w:rPr>
          <w:rStyle w:val="None"/>
          <w:rFonts w:ascii="Arial Unicode MS" w:hAnsi="Arial Unicode MS" w:cs="Times New Roman" w:hint="cs"/>
          <w:sz w:val="24"/>
          <w:szCs w:val="24"/>
          <w:rtl/>
          <w:lang w:val="ar-SA"/>
        </w:rPr>
        <w:t>يكون للإثبات بالدليل الرقمي حكم الإثبات بالكتابة الوارد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3DA109"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 xml:space="preserve">: </w:t>
      </w:r>
    </w:p>
    <w:p w14:paraId="33578EFE"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البيانات من بين المصنفات ذات الصلة بالحاسوب، وهي إحدى صور الإنتاج الفكري التي لها علاقة بالتطوُّر التكنولوجي الحديث؛ إذْ تحتل مكانةً مهمةً في صناعة المعلومات، وهي ثاني مصنف رقمي بعد برامج الحاسوب؛ حيث ترتبط به وجودًا؛ كونها الآلية التي من خلالها يتم تنظيم معلومات الحاسوب؛ لأنَّ ظهورها ارتبط بظهور برامج الحاسوب، وهي منتجات ذات طبيعة 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0"/>
      </w:r>
      <w:r>
        <w:rPr>
          <w:rStyle w:val="None"/>
          <w:rFonts w:ascii="Times New Roman" w:hAnsi="Times New Roman"/>
          <w:sz w:val="24"/>
          <w:szCs w:val="24"/>
          <w:vertAlign w:val="superscript"/>
          <w:rtl/>
          <w:lang w:val="ar-SA"/>
        </w:rPr>
        <w:t>)</w:t>
      </w:r>
    </w:p>
    <w:p w14:paraId="41156D02"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بقاعدة البيانات أنَّها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تجمُّع للبيانات يتميز بالابتكار في الترتيب والعرض، ويعكس مجهودًا شخصيًا جديرًا بالحماية، سواء كان هذا التجميع بلغة أو رمز أو بأي شكل آخر على أنْ يكون مخزنًا بواسطة الحاسب الآلي، وقابلًا </w:t>
      </w:r>
      <w:r>
        <w:rPr>
          <w:rStyle w:val="None"/>
          <w:rFonts w:ascii="Arial Unicode MS" w:hAnsi="Arial Unicode MS" w:cs="Times New Roman" w:hint="cs"/>
          <w:sz w:val="24"/>
          <w:szCs w:val="24"/>
          <w:rtl/>
          <w:lang w:val="ar-SA"/>
        </w:rPr>
        <w:lastRenderedPageBreak/>
        <w:t>للاسترجاع بواسطته أو بأية وسيلة إلكترونية 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03AB2F"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 العلماء في التعريف القانوني لقواعد البيانات كونها مصنفًا معلوماتيًا من الأشكال المستحدثة في بيئة حق المؤلف، التي تطوَّرت تطوُّرًا مطردًا مع الثورة المعلوماتية الهائلة التي يشهدها التقدم التكنولوجي، واختلاف العناصر التي تم الاعتماد عليها من أجل تعريفها، وسوف نوضح تعريف قواعد البيانات طبقًا للاتفاقيات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2"/>
      </w:r>
      <w:r>
        <w:rPr>
          <w:rStyle w:val="None"/>
          <w:rFonts w:ascii="Times New Roman" w:hAnsi="Times New Roman"/>
          <w:sz w:val="24"/>
          <w:szCs w:val="24"/>
          <w:vertAlign w:val="superscript"/>
          <w:rtl/>
          <w:lang w:val="ar-SA"/>
        </w:rPr>
        <w:t>)</w:t>
      </w:r>
    </w:p>
    <w:p w14:paraId="1DCB12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تعرَّف قاعدة البيانات من معاهدة الويبو المادة الخامسة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مجموعات البيانات أو المواد الأخرى بالحماية بصفتها هذه، أيًا كان شكلها، إذا كانت تعتبر ابتكاراتٍ فكريةً؛ بسبب اختيار محتوياتها أو ترتيبها، ولا تشمل هذه الحماية البيانات أو المواد في حد ذاتها، ولا تخل بأي حق للمؤلف قائم في البيانات أو المواد الواردة في المجموعة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92807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الفقرة الخامسة من اتفاقية برن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تتمتع مجموعات المصنفات الأدبية أو الفنية لدوائر المعارف والمختارات الأدبية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تعتبر ابتكارًا فكريًا؛ بسبب اختيار وترتيب محتوياتها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بهذه الصفة، وذلك دون المساس بحقوق المؤلفين فيما يختص بكل مصنف يشكل جزءًا من هذه المجموعات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9570A4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بُدَّ من التأكيد على أنَّه في عصر الإنترنت وشبكات الأعمال، فإنَّ قواعد البيانات الإلكترونية أصبحت من الأصول ذات القيمة العالية، فإنَّ الرقابة على الأصول أصبحت تتضمن التدقيق والمراجعة على هذه القواعد وسلامتها وحمايتها؛ لأنَّ الخسارة في هذه الأصول الإلكترونية لا تقل أهميةً في عالم الأعمال الإلكترونية عن الخسارة في الأصول المادية، وإذا كانت القرصنة أو الاستخدام غير المرخص لقواعد البيانات يحمل أخطارًا في كون بعض الشركات مجال عملها هو إدخال قواعد البيانات الجديدة، أو تطوير قواعد البيانات الحالية؛ ممَّا يجعل مثل الاستخدام غير المرخص مصدرًا للمخاطرة في عدم قدرة الشركة المطورة على استرداد ما استثمرت في تطوير قواعد البيانات،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قواعد البيانات قد تحصل على فرص أفضل في استمرار تطويرها بمساهمة أعداد كبيرة من المستخدمين في حالة عدم المبالغة والتشدد في التأكيد على الحماية القانونية، فإنَّ الموازنة في الحقوق والفرص ضرورية؛ من أجل الاستفادة المتبادلة، ومن أجل الابتكار لقواعد البيانات والتحسينات اللاحقة عليها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3236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قواعد البيانات من المصنفات التي أفرزها التطوُّر التكنولوجي الحديث بظهور المعلوماتية والإنترنت، خصوصًا مع التقدم الملحوظ في شتى مجالات الحياة الذي أدى لكثرة المعلومات وتنوعها، فباتت البيانات الوسيلة الوحيدة المثالية لاحتواء هذه المعلومات وما يطرأ عليها من تعديلات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6"/>
      </w:r>
      <w:r>
        <w:rPr>
          <w:rStyle w:val="None"/>
          <w:rFonts w:ascii="Times New Roman" w:hAnsi="Times New Roman"/>
          <w:sz w:val="24"/>
          <w:szCs w:val="24"/>
          <w:vertAlign w:val="superscript"/>
          <w:rtl/>
          <w:lang w:val="ar-SA"/>
        </w:rPr>
        <w:t>)</w:t>
      </w:r>
    </w:p>
    <w:p w14:paraId="1069B3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أنَّ قاعد البيانات تتمتع بالحماية طبقًا لنص المادة العاشرة من اللائحة التنفيذية لنظام حقوق المؤلف، التي تنص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بالحماية قواعد البيانات الأصلية بفضل انتقاء وترتيب محتوياتها كإبداعات ذهنية، ولا تمتد هذه الحماية للبيانات أو المواد ذاتها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1F636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التحديات التقنية في تداول الإنتاج الفكري الرقمي</w:t>
      </w:r>
      <w:r>
        <w:rPr>
          <w:rStyle w:val="None"/>
          <w:rFonts w:ascii="Times New Roman" w:hAnsi="Times New Roman"/>
          <w:b/>
          <w:bCs/>
          <w:sz w:val="28"/>
          <w:szCs w:val="28"/>
          <w:rtl/>
          <w:lang w:val="ar-SA"/>
        </w:rPr>
        <w:t>:</w:t>
      </w:r>
    </w:p>
    <w:p w14:paraId="4934E8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عصر الرقمنة المتسارع أصبحت البيئة الرقمية محط اهتمام العديد من الأفراد والمؤسسات؛ حيث تعتبر مصدرًا رئيسيًا لتبادل المعلومات والتفاعل الاجتماعي، ومع ذلك يرتبط هذا العصر بتحديات متزايدة تتعلق بحماية الخصوصية والبيانات الشخصية في البيئة الرقمية، فمع تزايد حجم البيانات وتنوعها، يتزايد أيضًا التهديد للخصوصية الفردية وسرية المعلومات، وتتطلب حماية البيانات الشخصية في البيئة الرقمية اهتمامًا مستمرًا وجهودًا مشتركة من الأفراد، والمؤسسات، والجهات التشريعية، فالتحول الرقمي يفتح الباب أمام تبادل المعلومات بشكل واسع؛ ممَّا يجعل الحاجة إلى آليات فعَّالة لحماية الخصوصية أمرًا ضروريًا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BD6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تشهد نظم المعلومات ثورةً هائلةً أدت إلى تغييرات جذرية متسارعة؛ حيث ظهرت تطبيقات جديدة، أبرزها ما يعرف بتقنيات الذكاء الاصطناعي، الذي يُعَدُّ حقلًا جديدًا؛ إذْ يشير الواقع إلى أنَّ استخدامات الذكاء الاصطناعي تمتد لتتدخل في تكنولوجيا وصناعة المواد الطبية والأدوية، والصناعات المتقدمة، وتكنولوجيا المعلومات والإدارة، وصناعة الأسلحة ووسائل الدفاع، وغيرها من المجالات التي لا يمكن حصرها أو عدها، ويمثل الذكاء الاصطناعي تحديًا جديدًا للقانون في مستويات عدة، وهذا من حيث إمكانية تطبيق القواعد القانونية الموجودة على جميع المسائل القانونية التي يمكن أنْ يثيرها الذكاء الاصطناعي كنظام الملكية الفكرية، ونظام المسئولية العقدية أو التقصيرية إلى جانب المسئولية الجزائية، وحماية المعطيات الشخصية، والمنافسة وغيرها من المسائل التي عالجها النظام بحكم كون الإنسان فاعلًا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22B52A" w14:textId="77777777" w:rsidR="00454428" w:rsidRDefault="00000000">
      <w:pPr>
        <w:pStyle w:val="a7"/>
        <w:numPr>
          <w:ilvl w:val="0"/>
          <w:numId w:val="9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الاعتداء على حقوق الملكية الفكرية الرقمية</w:t>
      </w:r>
      <w:r>
        <w:rPr>
          <w:rStyle w:val="None"/>
          <w:rFonts w:ascii="Times New Roman" w:hAnsi="Times New Roman"/>
          <w:sz w:val="24"/>
          <w:szCs w:val="24"/>
          <w:rtl/>
          <w:lang w:val="ar-SA"/>
        </w:rPr>
        <w:t>:</w:t>
      </w:r>
    </w:p>
    <w:p w14:paraId="498CEE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نظرًا لضخامة الإنتاج الفكري المنشور عبر الإنترنت، فإنَّه من الصعوبة التحقق من الملكية الفكرية لأي محتوى إلكتروني على المواقع المختلفة،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اكتشاف التعديات على حقوق الملكية الفكرية في البيئة الرقمية يواجه صعوبة إلا في الأعمال التي تلقى قبولًا كبيرًا، وانتشارًا واسعًا، فيسهل اكتشاف الانتهاكات على حقوق الملكية الفكرية</w:t>
      </w:r>
      <w:r>
        <w:rPr>
          <w:rStyle w:val="None"/>
          <w:rFonts w:ascii="Times New Roman" w:hAnsi="Times New Roman"/>
          <w:sz w:val="24"/>
          <w:szCs w:val="24"/>
          <w:rtl/>
          <w:lang w:val="ar-SA"/>
        </w:rPr>
        <w:t>.</w:t>
      </w:r>
    </w:p>
    <w:p w14:paraId="3EABD0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تطوُّر تكنولوجيا المعلومات والاتصالات أثر على ابتكار المصنفات الأدبية والفنية والانتفاع بها، وتحويل الملفات التقليدية وإنتاج الأفكار لتوضع في فضاء الإنترنت؛ ممَّا يؤثر على الحماية الممنوحة بموجب حق المؤلف، هذا أدى إلى ظهور مشكلات قانونية مختلفة؛ نتيجة استخدام شبكة الإنترنت التي تحتوي على مواقع متعددة؛ حيث إنَّ لها كثيرًا من محركات للبحث عن المصنفات الرقمية؛ ممَّا يسهل عملية التنزيل أو النسخ غير المرخص به؛ حيث يتم نشر المصنف </w:t>
      </w:r>
      <w:r>
        <w:rPr>
          <w:rStyle w:val="None"/>
          <w:rFonts w:ascii="Arial Unicode MS" w:hAnsi="Arial Unicode MS" w:cs="Times New Roman" w:hint="cs"/>
          <w:sz w:val="24"/>
          <w:szCs w:val="24"/>
          <w:rtl/>
          <w:lang w:val="ar-SA"/>
        </w:rPr>
        <w:lastRenderedPageBreak/>
        <w:t>بطريقة غير مشروعة وبأقل تكلفة وأقل جهد؛ ممَّا يجعل ذلك اعتداءً على حقوق الناشر،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اعتداء على حقوق المؤلف 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0"/>
      </w:r>
      <w:r>
        <w:rPr>
          <w:rStyle w:val="None"/>
          <w:rFonts w:ascii="Times New Roman" w:hAnsi="Times New Roman"/>
          <w:sz w:val="24"/>
          <w:szCs w:val="24"/>
          <w:vertAlign w:val="superscript"/>
          <w:rtl/>
          <w:lang w:val="ar-SA"/>
        </w:rPr>
        <w:t>)</w:t>
      </w:r>
    </w:p>
    <w:p w14:paraId="6057D3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الاعتداء هو تجاوز الحدود المسموح بها، كما يُعَدُّ انتهاك شيء محمي قانونًا أو الاستعمال بدون وجه حق لشيء ما دون استئذان صاحبه أو مالكه، والاعتداء على حقوق المؤلف هي الاستغلال أو الاستعمال غير المشروع لحق من حقوق المؤلف دون إذن من صاحبها أي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1"/>
      </w:r>
      <w:r>
        <w:rPr>
          <w:rStyle w:val="None"/>
          <w:rFonts w:ascii="Times New Roman" w:hAnsi="Times New Roman"/>
          <w:sz w:val="24"/>
          <w:szCs w:val="24"/>
          <w:vertAlign w:val="superscript"/>
          <w:rtl/>
          <w:lang w:val="ar-SA"/>
        </w:rPr>
        <w:t>)</w:t>
      </w:r>
    </w:p>
    <w:p w14:paraId="2447F93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فمن أشكال التعدي على الملكية الفكرية في البيئة الرقمية نشر المصنفات الرقمية، دون الحصول على إذن والنسخ واللصق، وإعادة النسخ، وتعديل المصنف، ومِنْ ثَمَّ توزيعه أو إعادة توزيعه التحميل على أجهزة الحاسوب للتعديل، أي تعدي غير قانوني على المصنفات، أو أي استخدام أو تداول غير قانوني والاستفادة من الاستخدامات المتعددة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2"/>
      </w:r>
      <w:r>
        <w:rPr>
          <w:rStyle w:val="None"/>
          <w:rFonts w:ascii="Times New Roman" w:hAnsi="Times New Roman"/>
          <w:sz w:val="24"/>
          <w:szCs w:val="24"/>
          <w:vertAlign w:val="superscript"/>
          <w:rtl/>
          <w:lang w:val="ar-SA"/>
        </w:rPr>
        <w:t>)</w:t>
      </w:r>
    </w:p>
    <w:p w14:paraId="783020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الاعتداء على حقوق الملكية الفكرية في عصر البيئة الرقمية من أهم التحديات التي تواجه المؤلفين؛ حيث أصبح في متناول الجميع الاطلاع، والنسخ، وإعادة النشر، والتوزيع عبر الشبكات الرقمية، يتم هذا دون إذن من صاحبها، كما يشمل هذا الاعتداء صورًا متعددة،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قرصنة البرامج، وتحميل الكتب أو أي محتوى آخر دون ترخيص، فهذه الاعتداءات تجد صعوبةً في الرقابة عليها خلال الشبكات الرقمية</w:t>
      </w:r>
      <w:r>
        <w:rPr>
          <w:rStyle w:val="None"/>
          <w:rFonts w:ascii="Times New Roman" w:hAnsi="Times New Roman"/>
          <w:sz w:val="24"/>
          <w:szCs w:val="24"/>
          <w:rtl/>
          <w:lang w:val="ar-SA"/>
        </w:rPr>
        <w:t>.</w:t>
      </w:r>
    </w:p>
    <w:p w14:paraId="694F217B" w14:textId="77777777" w:rsidR="00454428" w:rsidRDefault="00000000">
      <w:pPr>
        <w:pStyle w:val="a7"/>
        <w:numPr>
          <w:ilvl w:val="0"/>
          <w:numId w:val="9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ضعف الحماية ضد القرصنة والانتهاك</w:t>
      </w:r>
      <w:r>
        <w:rPr>
          <w:rStyle w:val="None"/>
          <w:rFonts w:ascii="Times New Roman" w:hAnsi="Times New Roman"/>
          <w:b/>
          <w:bCs/>
          <w:sz w:val="24"/>
          <w:szCs w:val="24"/>
          <w:rtl/>
          <w:lang w:val="ar-SA"/>
        </w:rPr>
        <w:t>:</w:t>
      </w:r>
    </w:p>
    <w:p w14:paraId="1BC462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مصطلح القرصنة انتشارًا كبيرًا في لغة العصر الحديث؛ ليعبر عن الاعتداء الصارخ، والذي يقع على الدعامات المادية للمصنف الفكري، أو على وعائه،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التسجيلات السمعية والبصرية، ويُستخدم هذا التعبير في مجال البرمجيات؛ ليشمل الاختراقات التي يقوم بها البعض للأنظمة المعلوماتية؛ بهدف الاستيلاء على المعلومات أو البيانات السرية، أو زرع فيروسات في أنظمة الكمبيوتر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3"/>
      </w:r>
      <w:r>
        <w:rPr>
          <w:rStyle w:val="None"/>
          <w:rFonts w:ascii="Times New Roman" w:hAnsi="Times New Roman"/>
          <w:sz w:val="24"/>
          <w:szCs w:val="24"/>
          <w:vertAlign w:val="superscript"/>
          <w:rtl/>
          <w:lang w:val="ar-SA"/>
        </w:rPr>
        <w:t>)</w:t>
      </w:r>
    </w:p>
    <w:p w14:paraId="57FBC5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جعلت التطوُّرات التكنولوجية والتقنية المتسارعة حق النسخ مثار جدل في ظل تقنيات النشر الرقمي للمصنفات عبر الوسائط الرقمية المتعددة كشبكة الإنترنت؛ حتى بتنا أمام وصف النسخ الرقمي لجميع المصنفات التي تتواجب في البيئة الرقمية، ونتيجةً للتقنيات الرقمية في مجال المعلومات وسبل الاتصالات وُجدت الوسائط الإلكترونية لتجوب بالمصنفات المحمية الفضاء الكوني، عبر مواقع الشبكة العنكبوتية العالمية التي تتيح لمستخدميها تصفح المصنفات والاستفادة منها، غير أنَّ المستخدمين يتجاوزون هذا الغرض، ويقومون بنسخ أية مصنفات منشورة إلكترونيًا، وذلك لاستغلالها بشكل أو بآخر دون الحصول على موافقة مسبقة من مؤلفي هذه المصنفات بوصفهم أصحاب الحقوق الأدبية والمالية؛ ممَّا يشكل اعتداءً على حقوقهم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4"/>
      </w:r>
      <w:r>
        <w:rPr>
          <w:rStyle w:val="None"/>
          <w:rFonts w:ascii="Times New Roman" w:hAnsi="Times New Roman"/>
          <w:sz w:val="24"/>
          <w:szCs w:val="24"/>
          <w:vertAlign w:val="superscript"/>
          <w:rtl/>
          <w:lang w:val="ar-SA"/>
        </w:rPr>
        <w:t>)</w:t>
      </w:r>
    </w:p>
    <w:p w14:paraId="70DBE7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فالقرصنة تعني الاستخدام أو النسخ غير القانوني لأنظمة التشغيل أو برامج الحاسوب المختلفة دون وجه حق، وقد تكون للقرصنة طبيعة تجسسية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سياسية، أو عسكرية، أو اقتصادية، أو إدارية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تهدف إلى الاستيلاء على بعض حقوق الملكية الأدبية والصناعية، ومن أشكال القرصنة تقليد البرامج، وسرقة البرامج الأصلية، بالإضافة إلى نسخ البرامج وبيعها دون دفع أموال للحصول على ترخيص بذلك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5"/>
      </w:r>
      <w:r>
        <w:rPr>
          <w:rStyle w:val="None"/>
          <w:rFonts w:ascii="Times New Roman" w:hAnsi="Times New Roman"/>
          <w:sz w:val="24"/>
          <w:szCs w:val="24"/>
          <w:vertAlign w:val="superscript"/>
          <w:rtl/>
          <w:lang w:val="ar-SA"/>
        </w:rPr>
        <w:t>)</w:t>
      </w:r>
    </w:p>
    <w:p w14:paraId="3F3D95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ظاهرة القرصنة الإلكترونية أصبحت تشكل خطرًا كبيرًا على حقوق الملكية الأدبية والفنية، بالإضافة إلى عرقلة الإبداع الفكري والابتكار؛ بسبب التعدي على حقوق الملكية الفكرية والنظام المعلوماتي، وهذا يؤثر سلبًا على النمو والاستثمار في العديد من المجالات الاقتصادية والاجتماعية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6"/>
      </w:r>
      <w:r>
        <w:rPr>
          <w:rStyle w:val="None"/>
          <w:rFonts w:ascii="Times New Roman" w:hAnsi="Times New Roman"/>
          <w:sz w:val="24"/>
          <w:szCs w:val="24"/>
          <w:vertAlign w:val="superscript"/>
          <w:rtl/>
          <w:lang w:val="ar-SA"/>
        </w:rPr>
        <w:t>)</w:t>
      </w:r>
    </w:p>
    <w:p w14:paraId="388D08C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القرصنة من أخطر أشكال الانتهاكات على حقوق الملكية الفكرية في البيئة الرقمية، فهي تشمل انتهاكات على البرامج، والتطبيقات، والكتب الإلكترونية، والإنتاج الفكري، وغيرها من المحتويات، تتم هذه الانتهاكات دون موافقة صاحب المصنف، كما يتم نسب هذا المصنف أو الإبداع الفكري لنفسه، فتمثل القرصنة من أهم التحديات التي تواجه المؤلفين والمبتكرين في البيئة الرقمية</w:t>
      </w:r>
      <w:r>
        <w:rPr>
          <w:rStyle w:val="None"/>
          <w:rFonts w:ascii="Times New Roman" w:hAnsi="Times New Roman"/>
          <w:sz w:val="24"/>
          <w:szCs w:val="24"/>
          <w:rtl/>
          <w:lang w:val="ar-SA"/>
        </w:rPr>
        <w:t>.</w:t>
      </w:r>
    </w:p>
    <w:p w14:paraId="07308DAB" w14:textId="180897FD" w:rsidR="00454428" w:rsidRPr="00C72BA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الأمن السيبراني أحد عناصر الأمن القومي غير التقليدية؛ لأنَّ أحد مستخدمي الفضاء الإلكتروني بإمكانه أنْ يوقع خسائرَ فادحةً بالطرف الآخر، وأنْ يتسبب في شل البينة المعلوماتية والاتصالية الخاصة به، وهو ما يسبب خسائر عسكرية واقتصادية فادحة، من خلال قطع أنظمة الاتصال بين الوحدات العسكرية وبعضها البعض، أو تضليل معلوماتها، أو سرقة معلومات سرية عنها، أو من خلال التلاعب بالبيانات الاقتصادية والمالية وتزييفها أو مسحها من أجهزة الحواسب، أو سرقة البيانات الشخصية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7"/>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القرصنة لها أشكال عديدة من الاعتداءات، يوجد قرصنة على حقوق الملكية الفكرية تتمثل في الاستيلاء أو النسخ، أو التوزيع غير المشروع للمصنفات المحمية بحقوق المؤلف سواء المادية أو الأدبية؛ بسبب تحقيق مكاسب مالية أو تجارية غير مشروعة، أما القرصنة المرتبطة بالتجسس والأمن السيبراني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اختراق لأنظمة الحاسب الآلي أو اختراق برامج؛ بهدف تجسس عسكري، أو سياسي، أو سرقة بيانات حكومية ومؤسسات</w:t>
      </w:r>
      <w:r>
        <w:rPr>
          <w:rStyle w:val="None"/>
          <w:rFonts w:ascii="Times New Roman" w:hAnsi="Times New Roman"/>
          <w:sz w:val="24"/>
          <w:szCs w:val="24"/>
          <w:rtl/>
          <w:lang w:val="ar-SA"/>
        </w:rPr>
        <w:t>.</w:t>
      </w:r>
    </w:p>
    <w:p w14:paraId="5A9F03F9" w14:textId="279F5453" w:rsidR="00454428" w:rsidRPr="00D66164" w:rsidRDefault="00000000">
      <w:pPr>
        <w:pStyle w:val="a7"/>
        <w:numPr>
          <w:ilvl w:val="0"/>
          <w:numId w:val="93"/>
        </w:numPr>
        <w:spacing w:before="120" w:after="120" w:line="360" w:lineRule="auto"/>
        <w:jc w:val="both"/>
        <w:rPr>
          <w:rStyle w:val="None"/>
          <w:rFonts w:cs="Times New Roman"/>
          <w:b/>
          <w:bCs/>
          <w:sz w:val="28"/>
          <w:szCs w:val="28"/>
          <w:lang w:val="ar-SA"/>
        </w:rPr>
      </w:pPr>
      <w:r>
        <w:rPr>
          <w:rStyle w:val="None"/>
          <w:rFonts w:cs="Times New Roman"/>
          <w:b/>
          <w:bCs/>
          <w:sz w:val="28"/>
          <w:szCs w:val="28"/>
          <w:rtl/>
          <w:lang w:val="ar-SA"/>
        </w:rPr>
        <w:t>التورنت</w:t>
      </w:r>
      <w:r>
        <w:rPr>
          <w:rStyle w:val="None"/>
          <w:rFonts w:ascii="Times New Roman" w:hAnsi="Times New Roman"/>
          <w:b/>
          <w:bCs/>
          <w:sz w:val="28"/>
          <w:szCs w:val="28"/>
          <w:rtl/>
          <w:lang w:val="ar-SA"/>
        </w:rPr>
        <w:t xml:space="preserve">: </w:t>
      </w:r>
      <w:r w:rsidR="00D66164">
        <w:rPr>
          <w:rStyle w:val="None"/>
          <w:rFonts w:ascii="Times New Roman" w:hAnsi="Times New Roman"/>
          <w:b/>
          <w:bCs/>
          <w:sz w:val="28"/>
          <w:szCs w:val="28"/>
          <w:rtl/>
          <w:lang w:val="ar-SA"/>
        </w:rPr>
        <w:t xml:space="preserve"> </w:t>
      </w:r>
      <w:r w:rsidRPr="00D66164">
        <w:rPr>
          <w:rStyle w:val="None"/>
          <w:rFonts w:cs="Times New Roman"/>
          <w:sz w:val="24"/>
          <w:szCs w:val="24"/>
          <w:rtl/>
          <w:lang w:val="ar-SA"/>
        </w:rPr>
        <w:t>تعتبر القرصنة عبر التورنت من أبرز صور القرصنة الرقمية في العصر الحديث، فتوفر منصات المشاركة اللامركزية تداول الملفات المحمية بحقوق الملكية الفكرية بسهولة وسرعة بين المستخدمين دون رقابة مباشرة، وقد ساعد هذا النمط في إلحاق أضرار ملحوظة بالمبدعين والشركات المنتجة من خلال تقليل الإيرادات المتوقعة للأعمال الفنية والبرمجية، والتأثير بالسلب على فرص العمل وحوافز الابتكار في هذه القطاعات، كما تزداد صعوبة مواجهة هذه الظاهرة بسبب طبيعتها العابرة للحدود واعتمادها على تقنيات يصعب تتبعها أو التحكم فيها قانونيًا</w:t>
      </w:r>
      <w:r w:rsidRPr="00D66164">
        <w:rPr>
          <w:rStyle w:val="None"/>
          <w:rFonts w:ascii="Times New Roman" w:hAnsi="Times New Roman"/>
          <w:sz w:val="24"/>
          <w:szCs w:val="24"/>
          <w:rtl/>
          <w:lang w:val="ar-SA"/>
        </w:rPr>
        <w:t xml:space="preserve">. </w:t>
      </w:r>
      <w:r w:rsidRPr="00D66164">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8"/>
      </w:r>
      <w:r w:rsidRPr="00D66164">
        <w:rPr>
          <w:rStyle w:val="None"/>
          <w:rFonts w:ascii="Times New Roman" w:hAnsi="Times New Roman"/>
          <w:sz w:val="24"/>
          <w:szCs w:val="24"/>
          <w:vertAlign w:val="superscript"/>
          <w:rtl/>
          <w:lang w:val="ar-SA"/>
        </w:rPr>
        <w:t>)</w:t>
      </w:r>
    </w:p>
    <w:p w14:paraId="21685A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تظهر القرصنة عبر التورنت كأحد الصور الواضحة لهذه الجرائم الرقمية؛ حيث يتجه بعض المستخدمين إلى شبكات مشاركة الملفات غير القانونية للحصول على محتوى محمي بحقوق النشر بدون تصريح، وفي البيئات التي تتسم بصرامة في تطبيق قوانين الملكية الفكرية، من الممكن أن تزداد القيود على الوصول إلى المحتوى الرقمي نتيجة إلزام المنصات بحذف المواد المخالفة وتحميلها مسؤوليات قانونية، وهو ما قد يدفع بعض الناس إلى اللجوء لبدائل غير مشروعة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منصات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B5DE7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فيعتمد نظام تورنت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على توزيع الملفات عبر شبكة نظير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نظير؛ بحيث يتم تقسيم الملفات إلى أجزاء صغيرة يمكن تنزيلها من عدة مستخدمين في الوقت نفسه، والذي يسرع عملية التحميل ويقلل الاعتماد على خادم مركزي، ويظل الأشخاص الذين يملكون الملف كاملًا المعروفون بـ </w:t>
      </w:r>
      <w:r>
        <w:rPr>
          <w:rStyle w:val="None"/>
          <w:rFonts w:ascii="Times New Roman" w:hAnsi="Times New Roman"/>
          <w:sz w:val="24"/>
          <w:szCs w:val="24"/>
          <w:lang w:val="nl-NL"/>
        </w:rPr>
        <w:t>(Seeders)</w:t>
      </w:r>
      <w:r>
        <w:rPr>
          <w:rStyle w:val="None"/>
          <w:rFonts w:ascii="Arial Unicode MS" w:hAnsi="Arial Unicode MS" w:cs="Times New Roman" w:hint="cs"/>
          <w:sz w:val="24"/>
          <w:szCs w:val="24"/>
          <w:rtl/>
          <w:lang w:val="ar-SA"/>
        </w:rPr>
        <w:t>، مسؤولين عن نشره للآخرين، بينما يقوم المستخدمون الجدد بتنزيل أجزاء الملف من عدة مصادر في نفس الوقت، وتجعل هذه الآلية من الصعب تتبع وتحديد المصدر الأصلي للملف، وهو ما يزيد من تعقيد مكافحة الانتهاكات الرقمية للملكية الفكرية عبر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C771508" w14:textId="77777777" w:rsidR="00454428" w:rsidRDefault="00000000">
      <w:pPr>
        <w:pStyle w:val="a7"/>
        <w:numPr>
          <w:ilvl w:val="0"/>
          <w:numId w:val="93"/>
        </w:numPr>
        <w:spacing w:line="360" w:lineRule="auto"/>
        <w:jc w:val="both"/>
        <w:rPr>
          <w:rFonts w:ascii="Times New Roman" w:hAnsi="Times New Roman" w:hint="default"/>
          <w:b/>
          <w:bCs/>
          <w:sz w:val="28"/>
          <w:szCs w:val="28"/>
          <w:rtl/>
        </w:rPr>
      </w:pPr>
      <w:r>
        <w:rPr>
          <w:rStyle w:val="NoneA"/>
          <w:rFonts w:ascii="Times New Roman" w:hAnsi="Times New Roman"/>
          <w:b/>
          <w:bCs/>
          <w:sz w:val="28"/>
          <w:szCs w:val="28"/>
        </w:rPr>
        <w:t>IPTV piracy</w:t>
      </w:r>
    </w:p>
    <w:p w14:paraId="1F6E85D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w:t>
      </w:r>
      <w:r>
        <w:rPr>
          <w:rStyle w:val="None"/>
          <w:rFonts w:ascii="Times New Roman" w:hAnsi="Times New Roman"/>
          <w:sz w:val="24"/>
          <w:szCs w:val="24"/>
        </w:rPr>
        <w:t xml:space="preserve">IPTV </w:t>
      </w:r>
      <w:r>
        <w:rPr>
          <w:rStyle w:val="None"/>
          <w:rFonts w:ascii="Arial Unicode MS" w:hAnsi="Arial Unicode MS" w:cs="Times New Roman" w:hint="cs"/>
          <w:sz w:val="24"/>
          <w:szCs w:val="24"/>
          <w:rtl/>
          <w:lang w:val="ar-SA"/>
        </w:rPr>
        <w:t xml:space="preserve"> هو نظام بث تلفزيوني عبر الإنترنت يتيح نقل المحتوى مباشرة إلى المستخدمين عبر الشبكة بدلاً من البث التقليدي عبر الأقمار الصناعية أو الكابل، ويُستخدم أحيانًا بشكل غير قانوني لبث محتوى محمي بحقوق النشر؛ مما يؤدي إلى زيادة حالات قرصنة البث المباشر، ويستخدم المنتهكون شبكات افتراضية خاصة</w:t>
      </w:r>
      <w:r>
        <w:rPr>
          <w:rStyle w:val="None"/>
          <w:rFonts w:ascii="Times New Roman" w:hAnsi="Times New Roman"/>
          <w:sz w:val="24"/>
          <w:szCs w:val="24"/>
          <w:lang w:val="pt-PT"/>
        </w:rPr>
        <w:t xml:space="preserve"> (VPN) </w:t>
      </w:r>
      <w:r>
        <w:rPr>
          <w:rStyle w:val="None"/>
          <w:rFonts w:ascii="Arial Unicode MS" w:hAnsi="Arial Unicode MS" w:cs="Times New Roman" w:hint="cs"/>
          <w:sz w:val="24"/>
          <w:szCs w:val="24"/>
          <w:rtl/>
          <w:lang w:val="ar-SA"/>
        </w:rPr>
        <w:t>وخوادم بروكسي للالتفاف على القيود التي تفرضها المواقع الإلكترونية وأصحاب حقوق النشر، والذي يجعل تتبعهم وملاحقتهم القانونية أكثر صعوبة، كما أن استخدام شبكات</w:t>
      </w:r>
      <w:r>
        <w:rPr>
          <w:rStyle w:val="None"/>
          <w:rFonts w:ascii="Times New Roman" w:hAnsi="Times New Roman"/>
          <w:sz w:val="24"/>
          <w:szCs w:val="24"/>
        </w:rPr>
        <w:t xml:space="preserve">P2P </w:t>
      </w:r>
      <w:r>
        <w:rPr>
          <w:rStyle w:val="None"/>
          <w:rFonts w:ascii="Arial Unicode MS" w:hAnsi="Arial Unicode MS" w:cs="Times New Roman" w:hint="cs"/>
          <w:sz w:val="24"/>
          <w:szCs w:val="24"/>
          <w:rtl/>
          <w:lang w:val="ar-SA"/>
        </w:rPr>
        <w:t xml:space="preserve"> المشفرة وتقنيات التحايل على حماية الحقوق الرقمية يسهل مشاركة وإعادة إنتاج المحتوى المحمي دون إذن؛ ما يزيد من تعقيد إنفاذ قوانين الملكية الفكرية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6E102E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فتتيح خدمات </w:t>
      </w:r>
      <w:r>
        <w:rPr>
          <w:rStyle w:val="None"/>
          <w:rFonts w:ascii="Times New Roman" w:hAnsi="Times New Roman"/>
          <w:sz w:val="24"/>
          <w:szCs w:val="24"/>
        </w:rPr>
        <w:t>IPTV</w:t>
      </w:r>
      <w:r>
        <w:rPr>
          <w:rStyle w:val="None"/>
          <w:rFonts w:ascii="Arial Unicode MS" w:hAnsi="Arial Unicode MS" w:cs="Times New Roman" w:hint="cs"/>
          <w:sz w:val="24"/>
          <w:szCs w:val="24"/>
          <w:rtl/>
          <w:lang w:val="ar-SA"/>
        </w:rPr>
        <w:t xml:space="preserve"> غير القانونية للمستخدمين الوصول إلى البث المباشر لمباريات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كأس العالم عبر خوادم غير مرخصة، وفي الغالب تقدم هذه الخدمات كباقات اشتراك بسعر أقل من الخدمات الرسمية؛ ما يجذب المستخدمين الذين يريدون متابعة المباريات دون دفع التكلفة الكاملة، فتتوفر أجهزة استقبال تلفزيوني معدلة على نطاق واسع، والذي يسمح بالوصول إلى القنوات المميزة دون الاشتراك الرسمي، ويصعب مكافحة هذا النوع من القرصنة لأن توزيع البرامج والأجهزة واسع الانتشار ويجعل تتبع المستخدمين من قبل جهات إنفاذ القانون أمر معقد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59DDC42" w14:textId="0EFB66CF" w:rsidR="00454428" w:rsidRPr="00D66164" w:rsidRDefault="00000000">
      <w:pPr>
        <w:pStyle w:val="a7"/>
        <w:numPr>
          <w:ilvl w:val="0"/>
          <w:numId w:val="93"/>
        </w:numPr>
        <w:spacing w:before="120" w:after="120" w:line="360" w:lineRule="auto"/>
        <w:jc w:val="both"/>
        <w:rPr>
          <w:rStyle w:val="None"/>
          <w:rFonts w:ascii="Times New Roman" w:hAnsi="Times New Roman"/>
          <w:b/>
          <w:bCs/>
          <w:sz w:val="28"/>
          <w:szCs w:val="28"/>
        </w:rPr>
      </w:pPr>
      <w:r>
        <w:rPr>
          <w:rStyle w:val="None"/>
          <w:rFonts w:ascii="Times New Roman" w:hAnsi="Times New Roman"/>
          <w:b/>
          <w:bCs/>
          <w:sz w:val="28"/>
          <w:szCs w:val="28"/>
        </w:rPr>
        <w:t>NFTS</w:t>
      </w:r>
      <w:r>
        <w:rPr>
          <w:rStyle w:val="None"/>
          <w:rFonts w:ascii="Times New Roman" w:hAnsi="Times New Roman"/>
          <w:b/>
          <w:bCs/>
          <w:sz w:val="28"/>
          <w:szCs w:val="28"/>
          <w:rtl/>
          <w:lang w:val="ar-SA"/>
        </w:rPr>
        <w:t xml:space="preserve">: </w:t>
      </w:r>
      <w:r w:rsidR="00D66164">
        <w:rPr>
          <w:rStyle w:val="None"/>
          <w:rFonts w:ascii="Times New Roman" w:hAnsi="Times New Roman"/>
          <w:b/>
          <w:bCs/>
          <w:sz w:val="28"/>
          <w:szCs w:val="28"/>
          <w:rtl/>
          <w:lang w:val="ar-SA"/>
        </w:rPr>
        <w:t xml:space="preserve"> </w:t>
      </w:r>
      <w:r w:rsidRPr="00D66164">
        <w:rPr>
          <w:rStyle w:val="None"/>
          <w:rFonts w:cs="Times New Roman"/>
          <w:sz w:val="24"/>
          <w:szCs w:val="24"/>
          <w:rtl/>
          <w:lang w:val="ar-SA"/>
        </w:rPr>
        <w:t xml:space="preserve">تُعد الرموز غير القابلة للاستبدال </w:t>
      </w:r>
      <w:r w:rsidRPr="00D66164">
        <w:rPr>
          <w:rStyle w:val="None"/>
          <w:rFonts w:ascii="Times New Roman" w:hAnsi="Times New Roman"/>
          <w:sz w:val="24"/>
          <w:szCs w:val="24"/>
          <w:rtl/>
          <w:lang w:val="ar-SA"/>
        </w:rPr>
        <w:t>(</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 xml:space="preserve">أحد الابتكارات الرقمية المرتبطة بالملكية الفكرية في الفضاء الرقمي، فهي تمثل أصول رقمية مميزة يمكن مبادلاتها على منصات البلوك تشين؛ مما يوفر ملكية </w:t>
      </w:r>
      <w:r w:rsidRPr="00D66164">
        <w:rPr>
          <w:rStyle w:val="None"/>
          <w:rFonts w:cs="Times New Roman"/>
          <w:sz w:val="24"/>
          <w:szCs w:val="24"/>
          <w:rtl/>
          <w:lang w:val="ar-SA"/>
        </w:rPr>
        <w:lastRenderedPageBreak/>
        <w:t>رقمية واضحة للمبدعين، لكنه في الوقت نفسه يفتح الباب أمام الانتهاكات مثل</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 xml:space="preserve">نسخ أو تداول الأعمال المحمية بحقوق الطبع والنشر دون إذن، ويصعب رصد مثل هذه الانتهاكات بسبب الطبيعة اللامركزية للبلوك تشين، الذي يجعل حماية الحقوق القانونية للمبدعين تحدي متزايد في عالم الـ </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3"/>
      </w:r>
      <w:r w:rsidRPr="00D66164">
        <w:rPr>
          <w:rStyle w:val="None"/>
          <w:rFonts w:ascii="Times New Roman" w:hAnsi="Times New Roman"/>
          <w:sz w:val="24"/>
          <w:szCs w:val="24"/>
          <w:vertAlign w:val="superscript"/>
          <w:rtl/>
          <w:lang w:val="ar-SA"/>
        </w:rPr>
        <w:t>)</w:t>
      </w:r>
      <w:r w:rsidRPr="00D66164">
        <w:rPr>
          <w:rStyle w:val="None"/>
          <w:rFonts w:ascii="Times New Roman" w:hAnsi="Times New Roman"/>
          <w:sz w:val="24"/>
          <w:szCs w:val="24"/>
          <w:rtl/>
          <w:lang w:val="ar-SA"/>
        </w:rPr>
        <w:t xml:space="preserve"> </w:t>
      </w:r>
    </w:p>
    <w:p w14:paraId="04179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أدى ظهور الرموز غير القابلة للاستبدال</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كفئة أصول رقمية تطرح أسئلة جوهرية حول طبيعة الملكية الرقمية وحماية حقوق النشر وإمكانية إنفاذ حقوق الملكية الفكرية في الأنظمة اللامركزية، فالقوانين التقليدية المصممة للأعمال المادية وأنظمة التوزيع المركزية تواجه صعوبة في التعامل مع هذه الأصول، ومع الطبيعة غير القابلة للتغيير لهذه التقنية تصبح الآليات التقليدية لتنفيذ حقوق التأليف والنشر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إزالة المحتوى أو إشعارات الإزالة محدودة الفاعلية؛ مما يزيد من تحديات حماية حقوق المبدعين في بيئة الـ</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الرقمية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4"/>
      </w:r>
      <w:r>
        <w:rPr>
          <w:rStyle w:val="None"/>
          <w:rFonts w:ascii="Times New Roman" w:hAnsi="Times New Roman"/>
          <w:sz w:val="24"/>
          <w:szCs w:val="24"/>
          <w:vertAlign w:val="superscript"/>
          <w:rtl/>
          <w:lang w:val="ar-SA"/>
        </w:rPr>
        <w:t>)</w:t>
      </w:r>
    </w:p>
    <w:p w14:paraId="1856A592" w14:textId="77777777" w:rsidR="00454428" w:rsidRDefault="00000000">
      <w:pPr>
        <w:pStyle w:val="a7"/>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قصور القوانين التقليدية عن مواكبة البيئة الرقمية</w:t>
      </w:r>
      <w:r>
        <w:rPr>
          <w:rStyle w:val="None"/>
          <w:rFonts w:ascii="Times New Roman" w:hAnsi="Times New Roman"/>
          <w:b/>
          <w:bCs/>
          <w:sz w:val="24"/>
          <w:szCs w:val="24"/>
          <w:rtl/>
          <w:lang w:val="ar-SA"/>
        </w:rPr>
        <w:t>:</w:t>
      </w:r>
    </w:p>
    <w:p w14:paraId="4F1A87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المؤلفين في البيئة الرقمية المتشابكة يوجههم العديد من المشاكل؛ بسبب سهولة الوصول إلى هذه المؤلفات واستنساخها، في ظل تأخر وانعدام القوانين وعدم مواكبتها للسرعة التي تتطوَّر بها التكنولوجيا في البيئة الرقمية، وعدم قدرتها على التكيف مع الوضع الحالي، بل ويرى عدد من الخبراء أنَّ القوانين الحالية لحقوق التأليف والحقوق المجاورة لم تَعُدْ قابلة للتطبيق في بيئة الإنترنت؛ لذا أصبح حتمًا على جميع الهيئات الفاعلة، التفكير في حلول ومعالجات قانونية تتماشى مع روح عصر الثورة الصناعية، والتحول إلى الرقمية من أجل حماية الملكية الفكرية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CBA743"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فقد جرمت القوانين التقليدية بعض الأفعال التي تمثل اعتداء على حقوق الملكية الفكرية، ومن أمثلة الجرائم التي تتم عبر شبكة الإنترنت:</w:t>
      </w:r>
    </w:p>
    <w:p w14:paraId="6ADC96AB"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تقليد المصنف المنشور في الخارج، أو في داخل البلاد، أو تصديره إلى الخارج؛ للحصول على ربح مالي نتيجة هذا الاستغلال.</w:t>
      </w:r>
    </w:p>
    <w:p w14:paraId="2B8D1C74"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تضيع أو تجميع أو استيراد؛ بغرض البيع أو تأجير أدوات معدة للتحايل على أية حماية تقنية يستخدمها صاحب حقوق المؤلف، وقد ازدادت أهمية الحماية بعد انتشار القنوات الفضائية، والأقمار الصناعية وما صاحبها من تطوُّر في وسائل القرصنة.</w:t>
      </w:r>
    </w:p>
    <w:p w14:paraId="5F894B0E"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الاعتداء على محتوى المصنف عن طريق الاقباس غير المشروع الذي يُعَدُّ أحد أهم أشكال الاعتداء على محتوى المصنف، ويتحقق بنقل جزء من مصنف مشمول بالحماية دون الإشارة إلى هذا المصنف وإلى اسم مؤلفه، ويلاحظ كذلك أنَّ الاقتباس يظهر دائمًا في أحوال النقل الجزئي، ذلك أنَّ نقل المصنف بأكمله لا يعتبر اقتباسًا، وإنما يشكل جريمةً تقليد للمصنف الأصلي.</w:t>
      </w:r>
    </w:p>
    <w:p w14:paraId="31114BC7"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lastRenderedPageBreak/>
        <w:t>إلى جانب الاقتباسات غير المشروعة يظهر الاعتداء على محتوى المصنف في ترجمة المصنفات دون الحصول على إذن من مؤلفها؛ حيث يتم ترجمة أصول الكتب الأجنبية دون الحصول على ترخيص أصحابها عن طريق نقل محتويات هذه الكتب وترجمتها إلى لغة أخرى بما يترتب على ذلك من منافسة غير مشروعة للكتب الأصلية.</w:t>
      </w:r>
    </w:p>
    <w:p w14:paraId="7F94D626"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 xml:space="preserve">الاعتداء على العنوان من أبرز أشكال الاعتداء المباشر الذي يقع على المصنف الرقمي، ويتحقق ذلك عند ظهور مصنف جديد يشمل ذات العنوان لمصنف سبق عليه، وهذا معناه أنَّ المعتدي سلك سبلًا غير مشروعة حتى يستفيد ممَّا حظي به المصنف المعتدَى عليه من ذيوع وانتشار، بالإضافة إلى بيع المصنفات المقلدة، أو عرضها للبيع، أو التداول والإيجار مع العلم بكونها مقلدة </w:t>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eastAsia="Times New Roman" w:hAnsi="Times New Roman" w:cs="Times New Roman" w:hint="default"/>
          <w:sz w:val="24"/>
          <w:szCs w:val="24"/>
          <w:vertAlign w:val="superscript"/>
          <w:lang w:val="ar-SA"/>
        </w:rPr>
        <w:footnoteReference w:id="246"/>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hAnsi="Times New Roman" w:cs="Times New Roman" w:hint="default"/>
          <w:sz w:val="24"/>
          <w:szCs w:val="24"/>
          <w:rtl/>
          <w:lang w:val="ar-SA"/>
        </w:rPr>
        <w:t>.</w:t>
      </w:r>
    </w:p>
    <w:p w14:paraId="0BE86D3D"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وبالنظر للجرائم السابقة فرغم أنَّها نفس الجرائم التي تقع على حقوق الملكية الفكرية في البيئة الرقمية إلا أنَّ وسائل وأشكال الاعتداء عليها تختلف، وبالتالي: فإنَّ ارتكابها في البيئة الرقمية لا يتوافق مع نموذج التجريم الوارد في القاعدة القانونية في القانون، وهذا يعني وجود حاجة إلى إصدار قوانين لحماية الملكية الفكرية تتناسب مع طبيعة وخصائص البيئة الرقمية.</w:t>
      </w:r>
    </w:p>
    <w:p w14:paraId="6EB3732E"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بِناءً على ما سبق: تعتبر شبكة الإنترنت أحدثت نقلة مهمة في مجال النشر، والتوزيع، وعرض المصنفات الرقمية؛ لأنَّ عملية النشر على منصات الواقع الافتراضي تتم بسرعة ودقة، وبتكاليف منخفضة عكس نشر في الوسائل التقليدية، ولكن من الضروري تحديث التشريعات الوطنية؛ لكي توائم مع الواقع الافتراضي الحديث؛ بهدف حماية حقوق الملكية الفكرية الرقمية.</w:t>
      </w:r>
    </w:p>
    <w:p w14:paraId="7556AA7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8D7642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A296DC1"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4264533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DD83C9E"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436D9A8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091A1014"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16956FF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Pr>
      </w:pPr>
    </w:p>
    <w:p w14:paraId="0B9A4D9F"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7A6E18B9" w14:textId="77777777" w:rsidR="00D66164" w:rsidRDefault="00D6616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9A08688" w14:textId="296A9F4D" w:rsidR="00454428" w:rsidRDefault="00000000" w:rsidP="00C72BA8">
      <w:pPr>
        <w:pStyle w:val="a4"/>
        <w:rPr>
          <w:rStyle w:val="None"/>
          <w:lang w:val="ar-SA"/>
        </w:rPr>
      </w:pPr>
      <w:bookmarkStart w:id="164" w:name="_Toc227251112"/>
      <w:bookmarkStart w:id="165" w:name="_Toc227251422"/>
      <w:r>
        <w:rPr>
          <w:rStyle w:val="None"/>
          <w:rFonts w:ascii="Arial Unicode MS" w:eastAsia="Arial Unicode MS" w:hAnsi="Arial Unicode MS" w:hint="cs"/>
          <w:rtl/>
          <w:lang w:val="ar-SA"/>
        </w:rPr>
        <w:lastRenderedPageBreak/>
        <w:t>المطلب الثاني</w:t>
      </w:r>
      <w:bookmarkEnd w:id="164"/>
      <w:bookmarkEnd w:id="165"/>
    </w:p>
    <w:p w14:paraId="5E55EAF8" w14:textId="77777777" w:rsidR="00454428" w:rsidRDefault="00000000" w:rsidP="00C72BA8">
      <w:pPr>
        <w:pStyle w:val="a4"/>
        <w:rPr>
          <w:rStyle w:val="None"/>
          <w:lang w:val="ar-SA"/>
        </w:rPr>
      </w:pPr>
      <w:bookmarkStart w:id="166" w:name="_Toc227251113"/>
      <w:bookmarkStart w:id="167" w:name="_Toc227251423"/>
      <w:r>
        <w:rPr>
          <w:rStyle w:val="None"/>
          <w:rFonts w:ascii="Arial Unicode MS" w:eastAsia="Arial Unicode MS" w:hAnsi="Arial Unicode MS" w:hint="cs"/>
          <w:rtl/>
          <w:lang w:val="ar-SA"/>
        </w:rPr>
        <w:t>خصائص الإنتاج الفكري الرقمي وحدود الحماية القانونية</w:t>
      </w:r>
      <w:bookmarkEnd w:id="166"/>
      <w:bookmarkEnd w:id="167"/>
    </w:p>
    <w:p w14:paraId="21240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المتغيرات الرقمية في تقنيات المعرفة قد أثرت بشكل فاعل في مختلف قواعد النظام الإبداعي والفكري، وفي العلاقات القانونية الناتجة من الإبداع الفكري، وكان أثرها الأوضح في حقل الملكية الفكرية، وتحديدًا فيما يتصل بتوفير الحماية للمصنفات الجديدة التي أفرزتها البيئة الرقمية، بالإضافة إلى ما يتصل بتوفير الحماية للمصنفات الفكرية والإبداعية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7"/>
      </w:r>
      <w:r>
        <w:rPr>
          <w:rStyle w:val="None"/>
          <w:rFonts w:ascii="Times New Roman" w:hAnsi="Times New Roman"/>
          <w:sz w:val="24"/>
          <w:szCs w:val="24"/>
          <w:vertAlign w:val="superscript"/>
          <w:rtl/>
          <w:lang w:val="ar-SA"/>
        </w:rPr>
        <w:t>)</w:t>
      </w:r>
    </w:p>
    <w:p w14:paraId="7DD0B5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يتميز بالعديد من الخصائص، ومنها السرعة والانتشار عبر الفضاء الإلكتروني لنشر محتوياتهم، وقلة التكاليف بالنسبة للمؤلف من نشر مؤلفاته مقارنة بالنشر التقليدي، واستخدام الوسائط المتعددة عن طريق الحاسب الآلي عبر المنصات الرقمية، أو التواصل الاجتماعي</w:t>
      </w:r>
      <w:r>
        <w:rPr>
          <w:rStyle w:val="None"/>
          <w:rFonts w:ascii="Times New Roman" w:hAnsi="Times New Roman"/>
          <w:sz w:val="24"/>
          <w:szCs w:val="24"/>
          <w:rtl/>
          <w:lang w:val="ar-SA"/>
        </w:rPr>
        <w:t>.</w:t>
      </w:r>
    </w:p>
    <w:p w14:paraId="4ADC367E"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الإنتاج الفكري الرقمي</w:t>
      </w:r>
      <w:r>
        <w:rPr>
          <w:rStyle w:val="None"/>
          <w:rFonts w:ascii="Times New Roman" w:hAnsi="Times New Roman"/>
          <w:b/>
          <w:bCs/>
          <w:sz w:val="28"/>
          <w:szCs w:val="28"/>
          <w:rtl/>
          <w:lang w:val="ar-SA"/>
        </w:rPr>
        <w:t>:</w:t>
      </w:r>
    </w:p>
    <w:p w14:paraId="7D236DB1"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السرعة والانتشار</w:t>
      </w:r>
      <w:r>
        <w:rPr>
          <w:rStyle w:val="None"/>
          <w:rFonts w:ascii="Times New Roman" w:hAnsi="Times New Roman"/>
          <w:b/>
          <w:bCs/>
          <w:sz w:val="24"/>
          <w:szCs w:val="24"/>
          <w:rtl/>
          <w:lang w:val="ar-SA"/>
        </w:rPr>
        <w:t>:</w:t>
      </w:r>
    </w:p>
    <w:p w14:paraId="53340B0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تطوُّر تقنيات المعلومات والنمو المتزايد لمصادر المعلومات وما أحدثته من تغيير في العالم؛ حيث أصبح النشر الإلكتروني أحد أهم مصادر المعلومات الإلكترونية في العصر الحديث، ووسيلة نشر فعَّالة تتميز بقلة التكلفة والسرعة والانتشار، فهو يوفر خدمات عديدة وكم هائل من المعلومات في شكل كتب ومقالات ومجالات النشر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8"/>
      </w:r>
      <w:r>
        <w:rPr>
          <w:rStyle w:val="None"/>
          <w:rFonts w:ascii="Times New Roman" w:hAnsi="Times New Roman"/>
          <w:sz w:val="24"/>
          <w:szCs w:val="24"/>
          <w:vertAlign w:val="superscript"/>
          <w:rtl/>
          <w:lang w:val="ar-SA"/>
        </w:rPr>
        <w:t>)</w:t>
      </w:r>
    </w:p>
    <w:p w14:paraId="0E98AC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التقدم الذي شهده العالم على أثر التطوُّر التكنولوجي إلى تدفق المعلومات؛ حيث أصبح الوصول إليها سهل دون أنْ تقف الحدود الجغرافية عائف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السهل نشر المصنفات في أي مكان، كما أدت السرعة من أهم خاصية النشر الإلكتروني؛ حيث يتم إنتاج وتوزيع ونشر المصنفات الأدبية والفنية بشكل سريع، بالإضافة إلى يمكن تعديل المحتوى بشكل فوري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9"/>
      </w:r>
      <w:r>
        <w:rPr>
          <w:rStyle w:val="None"/>
          <w:rFonts w:ascii="Times New Roman" w:hAnsi="Times New Roman"/>
          <w:sz w:val="24"/>
          <w:szCs w:val="24"/>
          <w:vertAlign w:val="superscript"/>
          <w:rtl/>
          <w:lang w:val="ar-SA"/>
        </w:rPr>
        <w:t>)</w:t>
      </w:r>
    </w:p>
    <w:p w14:paraId="122B9A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من خصائصه السرعة الفائقة في النشر وإمكانية الحصول عليه في أي مكان في العالم، وذلك بمجرد نشره على المواقع، هذا باختلاف الطرق التقليدية والنشر الورقي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تُعَدُّ تقنية النشر الإلكتروني توظفًا لقدرات الحاسب في سرعته ودقته وجودة مخرجاته، وذلك من خلال التقنيات التكنولوجيا الحديثة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1"/>
      </w:r>
      <w:r>
        <w:rPr>
          <w:rStyle w:val="None"/>
          <w:rFonts w:ascii="Times New Roman" w:hAnsi="Times New Roman"/>
          <w:sz w:val="24"/>
          <w:szCs w:val="24"/>
          <w:vertAlign w:val="superscript"/>
          <w:rtl/>
          <w:lang w:val="ar-SA"/>
        </w:rPr>
        <w:t>)</w:t>
      </w:r>
    </w:p>
    <w:p w14:paraId="2DC019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التطوُّر التكنولوجي في العصر الحديث أدى إلى تحول رهيب في وسائل نشر المعلومات؛ حيث أصبح نشر أي إنتاج فكري أو إبداع عن طريق البيئة الرقمية، فهي تتميز بالسرعة والانتشار على مستوى العالم، بالإضافة إلى إمكانية تعديل المحتوى الفكري، ونشره مرةً أخرى في البيئة الرقمية</w:t>
      </w:r>
      <w:r>
        <w:rPr>
          <w:rStyle w:val="None"/>
          <w:rFonts w:ascii="Times New Roman" w:hAnsi="Times New Roman"/>
          <w:sz w:val="24"/>
          <w:szCs w:val="24"/>
          <w:rtl/>
          <w:lang w:val="ar-SA"/>
        </w:rPr>
        <w:t>.</w:t>
      </w:r>
    </w:p>
    <w:p w14:paraId="3DA94247"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تقليل التكاليف</w:t>
      </w:r>
      <w:r>
        <w:rPr>
          <w:rStyle w:val="None"/>
          <w:rFonts w:ascii="Times New Roman" w:hAnsi="Times New Roman"/>
          <w:b/>
          <w:bCs/>
          <w:sz w:val="24"/>
          <w:szCs w:val="24"/>
          <w:rtl/>
          <w:lang w:val="ar-SA"/>
        </w:rPr>
        <w:t>:</w:t>
      </w:r>
    </w:p>
    <w:p w14:paraId="216081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هذه أهم عناصر التكلفة في صناعة الكتاب ونشره، والتي كانت السبب الأول في ارتفاع سعر الكتب، ففي النشر الإلكتروني عبر البيئة الرقمية لا توجد مثل هذه التكاليف؛ حيث يتم الشحن عبر شبكة الإنترنت، والطباعة تتم من قبل المستخدم إذا أراد طباعته، بدلًا من قراءتها على الشاشة، هذا الأمر يغير المبدأ التقليدي للنشر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2"/>
      </w:r>
      <w:r>
        <w:rPr>
          <w:rStyle w:val="None"/>
          <w:rFonts w:ascii="Times New Roman" w:hAnsi="Times New Roman"/>
          <w:sz w:val="24"/>
          <w:szCs w:val="24"/>
          <w:vertAlign w:val="superscript"/>
          <w:rtl/>
          <w:lang w:val="ar-SA"/>
        </w:rPr>
        <w:t>)</w:t>
      </w:r>
    </w:p>
    <w:p w14:paraId="0E6701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الخصائص الإنتاج الفكري أيضًا تقليل تكلفة بالنسبة للنشر؛ لعدم وجود تكلفة الطباعة على الورق، والتجليد، والتغليف للناشر، مع وجود تكلفة زهيدة جدًا للطباعة لأقراص الليزر، وتكلفتها لا تقارن بتكلفه طباعة الكتب، وخاصةً المجلدات الكبيرة والموسوعات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3"/>
      </w:r>
      <w:r>
        <w:rPr>
          <w:rStyle w:val="None"/>
          <w:rFonts w:ascii="Times New Roman" w:hAnsi="Times New Roman"/>
          <w:sz w:val="24"/>
          <w:szCs w:val="24"/>
          <w:vertAlign w:val="superscript"/>
          <w:rtl/>
          <w:lang w:val="ar-SA"/>
        </w:rPr>
        <w:t>)</w:t>
      </w:r>
    </w:p>
    <w:p w14:paraId="20B829FC" w14:textId="77777777"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توفير تكلفة النشر التقليدي ونفقات الطباعة؛ حيث يمكن إدخال كميات هائلة من المعلومات في شريحة صغيرة، مثل قرص </w:t>
      </w:r>
      <w:r>
        <w:rPr>
          <w:rStyle w:val="None"/>
          <w:rFonts w:ascii="Times New Roman" w:hAnsi="Times New Roman"/>
          <w:sz w:val="24"/>
          <w:szCs w:val="24"/>
          <w:rtl/>
        </w:rPr>
        <w:t>CD</w:t>
      </w:r>
      <w:r>
        <w:rPr>
          <w:rStyle w:val="None"/>
          <w:rFonts w:ascii="Arial Unicode MS" w:hAnsi="Arial Unicode MS" w:cs="Times New Roman" w:hint="cs"/>
          <w:sz w:val="24"/>
          <w:szCs w:val="24"/>
          <w:rtl/>
          <w:lang w:val="ar-SA"/>
        </w:rPr>
        <w:t>، الذي يسع لآلاف الكتب، وقد تكون من أمهات الكتب التي تتكوَّن من أعداد هائلة من الصفحات الورقية، فهذا يعتبر توفير في التكلفة بالنسبة للنشر الإلكتروني في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4"/>
      </w:r>
      <w:r>
        <w:rPr>
          <w:rStyle w:val="None"/>
          <w:rFonts w:ascii="Times New Roman" w:hAnsi="Times New Roman"/>
          <w:sz w:val="24"/>
          <w:szCs w:val="24"/>
          <w:vertAlign w:val="superscript"/>
          <w:rtl/>
          <w:lang w:val="ar-SA"/>
        </w:rPr>
        <w:t>)</w:t>
      </w:r>
    </w:p>
    <w:p w14:paraId="542F5DBF" w14:textId="77777777"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تقليل التكلفة من أهم اهتمامات الإنتاج الفكري في البيئة الرقمية مقارنةً بالوسائل التقليدية؛ لأنَّها تغني عن التكاليف الباهظة للنشر التقليدي من ورق وطباعة، فالمصنفات الرقمية يتم النشر فيها عبر المنصات الإلكترونية؛ ممَّا يتيح للمؤلفين نشر مؤلفاتهم على مستوى واسع في جميع أنحاء العالم، فهذا يسهم في نشر مؤلفاتهم وسهولة الوصول إليها</w:t>
      </w:r>
      <w:r>
        <w:rPr>
          <w:rStyle w:val="None"/>
          <w:rFonts w:ascii="Times New Roman" w:hAnsi="Times New Roman"/>
          <w:sz w:val="24"/>
          <w:szCs w:val="24"/>
          <w:rtl/>
          <w:lang w:val="ar-SA"/>
        </w:rPr>
        <w:t>.</w:t>
      </w:r>
    </w:p>
    <w:p w14:paraId="382C40E1"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استخدام الوسائط المتعددة</w:t>
      </w:r>
      <w:r>
        <w:rPr>
          <w:rStyle w:val="None"/>
          <w:rFonts w:ascii="Times New Roman" w:hAnsi="Times New Roman"/>
          <w:b/>
          <w:bCs/>
          <w:sz w:val="24"/>
          <w:szCs w:val="24"/>
          <w:rtl/>
          <w:lang w:val="ar-SA"/>
        </w:rPr>
        <w:t>:</w:t>
      </w:r>
    </w:p>
    <w:p w14:paraId="14C1B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الوسائط المتعددة لا يمكن لها أنْ تعمل إلا مع جهاز الحاسوب، وقد اتسع انتشار الوسائط المتعددة في التسعينات مع تطوير أجهزة الحاسوب الآلي، والتي تتمتع بواصفات عالية كبرمجيات الصوت والصورة؛ ممَّا شجع العديد من المؤسسات والأفراد؛ لتمضي قدمًا في إنتاج برامج متنوعة وثرية للمستخدمين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5"/>
      </w:r>
      <w:r>
        <w:rPr>
          <w:rStyle w:val="None"/>
          <w:rFonts w:ascii="Times New Roman" w:hAnsi="Times New Roman"/>
          <w:sz w:val="24"/>
          <w:szCs w:val="24"/>
          <w:vertAlign w:val="superscript"/>
          <w:rtl/>
          <w:lang w:val="ar-SA"/>
        </w:rPr>
        <w:t>)</w:t>
      </w:r>
    </w:p>
    <w:p w14:paraId="15383316" w14:textId="218ADBE9" w:rsidR="00454428" w:rsidRDefault="00000000"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تتوفر إمكانية تقديم المحتوى في صورة برنامج تفاعلي بالصوت، والصورة، والرسوم المتحركة، والفيديو، وبذلك ترتفع الفائدة الحقيقة للمحتوى، وتستثمر هذه الميزة في المناهج التعليمية والموسوعات العلمية وغيرها الكثير من المؤلفات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6"/>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فتعرَّف الوسائط المتعددة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نسيج من النص والجرافيك، والصوت، والرسوم المتحركة، والفيديو، وعند إضافة التبادلية إلى المشروع تصبح الوسائط المتعددة التبادلية، وعند إضافة طريقة للتجول داخل المشروع يصبح مشروعًا للوسائط المتعددة الفائقة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7"/>
      </w:r>
      <w:r>
        <w:rPr>
          <w:rStyle w:val="None"/>
          <w:rFonts w:ascii="Times New Roman" w:hAnsi="Times New Roman"/>
          <w:sz w:val="24"/>
          <w:szCs w:val="24"/>
          <w:vertAlign w:val="superscript"/>
          <w:rtl/>
          <w:lang w:val="ar-SA"/>
        </w:rPr>
        <w:t>)</w:t>
      </w:r>
    </w:p>
    <w:p w14:paraId="280C9169" w14:textId="77777777" w:rsidR="00454428" w:rsidRDefault="00000000"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يتميز الإنتاج الفكري في البيئة الرقمية بأنَّه يمكن استخدام العديد من الوسائل المتاحة في عرض مصنفاتهم، فيمكن عرض مصنفاتهم،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النصوص المكتوبة، أو الصور، أو مقاطع فيديو؛ حيث يؤدي هذا إلى وصول المحتوى إلى المستخدم بسهولة، لن يوجد العديد من الوسائط،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وسائل التواصل الاجتماعي، أو عن طريق البريد الإلكتروني، أو نشر المؤلفات في المكاتب الرقمية</w:t>
      </w:r>
      <w:r>
        <w:rPr>
          <w:rStyle w:val="None"/>
          <w:rFonts w:ascii="Times New Roman" w:hAnsi="Times New Roman"/>
          <w:sz w:val="24"/>
          <w:szCs w:val="24"/>
          <w:rtl/>
          <w:lang w:val="ar-SA"/>
        </w:rPr>
        <w:t>.</w:t>
      </w:r>
    </w:p>
    <w:p w14:paraId="0533286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حدود الحماية القانونية</w:t>
      </w:r>
      <w:r>
        <w:rPr>
          <w:rStyle w:val="None"/>
          <w:rFonts w:ascii="Times New Roman" w:hAnsi="Times New Roman"/>
          <w:b/>
          <w:bCs/>
          <w:sz w:val="28"/>
          <w:szCs w:val="28"/>
          <w:rtl/>
          <w:lang w:val="ar-SA"/>
        </w:rPr>
        <w:t>:</w:t>
      </w:r>
    </w:p>
    <w:p w14:paraId="16A11D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يتسم الإبداع الفكري بميزة حضارية فريدة، ومن هنا ينبع الاهتمام بحمايته وتشجيعه لذلك، وقامت الدول بوضع العديد من التشريعات والاتفاقيات الدولية؛ لتوفير الحماية القانونية والقضائية للملكية الفكرية، كما أسست من أجل ذلك المنظمة العالمية لحماية الملكية الفكرية، التي تقود بدور ريادي في هذا المجال، ويدل على ذلك عدد الدول الأعضاء في هذه المنظمة، وكذلك العدد الكبير من المعاهدات الدولية التي تديرها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DE759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الهدف الأساسي في الملكية الفكرية هي الحماية القائمة على أساس مراعاة مصلحة الإنسان في جهده الذهني، وما يترتب عليه من مصالح مادية ومعنوية، مصلحة المجتمع في حماية وتطوير موارد المعلوماتية وإتاحتها للمجتمع، فيجب على قواعد الملكية الفكرية الإلكترونية أنْ تحقق التوازن بين مصطلحَيْ حركة الإبداع والابتكار في العالم التقني، ومصلحة ضرورة النفاذ الحر للمعلومات باعتبار المعرفة ملك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F63328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لا شك أنَّ حماية الملكية الفكرية الرقمية تتطلب تقسيمَ الملكية مادية خبرتها متمثلة في الإنسان، وبين الملكية المستخدمة في الشبكات الرقمية، ويتطلب التطوُّر التكنولوجي في مجال الحوسبة الرقمية في الكشف عن أهمية نظم الملكية الفكرية عامة، والبحث في إمكانية تطبيق التشريعات القائمة على الملكية الفكرية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96BA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7B40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الإنتاج الفكري في البيئة الرقمية خاصًا بالمؤلف، فلا بُدَّ من الحماية والدعم لحقوق المؤلف، وهذ ما دفع الدول إلى تحديث تشريعاتها الوطنية؛ لكي تتلاءم مع التكنولوجيا الحديثة؛ لحماية حقوق المؤلف المادية والمعنوية، فقد أصبح الحاجة لإعادة تنظيم الحماية القانونية مع التطوُّر التكنولوجي</w:t>
      </w:r>
      <w:r>
        <w:rPr>
          <w:rStyle w:val="None"/>
          <w:rFonts w:ascii="Times New Roman" w:hAnsi="Times New Roman"/>
          <w:sz w:val="24"/>
          <w:szCs w:val="24"/>
          <w:rtl/>
          <w:lang w:val="ar-SA"/>
        </w:rPr>
        <w:t>.</w:t>
      </w:r>
    </w:p>
    <w:p w14:paraId="4366DC0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ولا شك أنَّ توفير الحماية الفعَّالة لحقوق الملكية الفكرية يضمن استمرارية الإبداع الفكري، والمساهمة، والابتكار لدى الباحثين، المؤلفين، المبدعين، المبتكرين، ويحثهم على المزيد من الإنتاج وإتاحة المعلومات وتداولها؛ ليؤدي في نهاية المطاف إلى رفع مستوى الإبداع الوطني في شتى المجالات الأدبية والعلمية، والفنية، وإحداث نقلات نوعية في حياة الأمم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C13A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توفير الحماية لحقوق الملكية الفكرية على مستوى العالم له أهمية بالغة في ضمان حقوق المبتكرين، والمبدعين، والمخترعين، وأصحاب الملكية الفكرية بشكل عام، وتلك الحماية تُعَدُّ شرطًا رئيسيًا لتشجعيهم على الابتكار والإبداع وتنمية أفكارهم،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تلعب الحماية الدولية لحقوق الملكية الفكرية دورًا مهمًّا في إنشاء بيئة استثمار رائعة، وإزالة الحواجز والمعوقات أمام تبادل المنتجات الفكرية والعلمية والتكنولوجية عبر دول العالم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95D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زاد الاهتمام بحقوق الملكية الفكرية لحاجة المبدعين لحماية إبداعهم لما يتم بذله من جهود شاقة، وطاقة عقلية شديدة وبحث متواصل، فكل المبدعين الذين يبذلون جهودًا كبيرة يستوجب علينا حمايتهم، ووضع قيود لمصلحتهم ومصلحة المجتمع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F31C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فقوانين الملكية الفكرية في مجملها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تلك المتعلقة بحماية حقوق الملكية الصناعية، أو حماية الملكية الأدبية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تهدف إلى حماية أصحاب حقوق الملكية الفكرية من كل أشكال التعدي والقرصنة، التي قد يتعرضون لها من قِبل الغير، والذي سيؤثر لا محالة فقط على أصحاب الحقوق وإنما على شخص المستهلك، فحقوق الملكية الفكرية تمثل الأساس الذي يجري بموجبه تقاسم الإبداع، وتشجيع القدرة على الإبداع وتعزيز شعور المستهلك بالثقة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A6D204" w14:textId="4FDC5E03"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ومع التطوُّرات التكنولوجية والثورات العلمية التي يشهدها العالم في المجالات الصناعية والعلمية أصبحت الملكية الفكرية أكثر عُرضةً للاختراق؛ لما تتميز به تلك الوسائل التكنولوجية من قدرة فائقة على جمع ومعالجة وسهولة تبادل المعلومات عبر الوسائل الإلكترونية، الأمر الذي دفع المجتمع الدولي على حمايتها سواءً على الصعيد الوطني أو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ولذلك فإنَّ حماية المبدعين والمخترعين تُعَدُّ ضرورةً أساسيةً لاستمرارية عملية الإبداع والابتكار بجميع أشكاله، وتُعَدُّ شرطًا لازمًا لعملية الاختراع والتجديد، كما أنَّها ضرورية لتنظيم عملية المنافسة بشكل عادل، وتعزيز الأداء الاقتصادي الصحي؛ حيث تضمن حماية الحقوق للملكية الفكرية جذب التكنولوجيا، وتشجيع الاستثمارات الوطنية والأجنبية، وتعزيز لقدرة المنتجات على المنافسة؛ لذا يصبح توفير الحماية الفكرية والصناعية أمرًا ضروريًا في عملية التنمية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7"/>
      </w:r>
      <w:r>
        <w:rPr>
          <w:rStyle w:val="None"/>
          <w:rFonts w:ascii="Times New Roman" w:hAnsi="Times New Roman"/>
          <w:sz w:val="24"/>
          <w:szCs w:val="24"/>
          <w:vertAlign w:val="superscript"/>
          <w:rtl/>
          <w:lang w:val="ar-SA"/>
        </w:rPr>
        <w:t>)</w:t>
      </w:r>
    </w:p>
    <w:p w14:paraId="53D3A31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حماية الإنتاج الفكري الرقمي لحقوق المؤلف</w:t>
      </w:r>
      <w:r>
        <w:rPr>
          <w:rStyle w:val="None"/>
          <w:rFonts w:ascii="Times New Roman" w:hAnsi="Times New Roman"/>
          <w:b/>
          <w:bCs/>
          <w:sz w:val="28"/>
          <w:szCs w:val="28"/>
          <w:rtl/>
          <w:lang w:val="ar-SA"/>
        </w:rPr>
        <w:t>:</w:t>
      </w:r>
    </w:p>
    <w:p w14:paraId="7923A52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حقوق المؤلف مصطلحًا قانونيًّا يصف الحقوق الممنوحة للمبدعين في مجال الأعمال الأدبية والفنية، وتشكل تلك الحقوق فرعًا رئيسًا من فروع الملكية الفكرية، ويشمل ذلك حماية المصنفات المبتكرة في الآداب،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القصائد الشعرية، أو برامج الحاسب، وقواعد البيانات، والأعمال الموسيقية،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النوتات الموسيقية، والفنون الجميلة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كالرسم، والنحت، والخرائط، والصور الفوتوغرافية، والأعمال السمعية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الأفلام، وأفلام الفيديو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784C60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المؤلف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إنسان أَعْمَلَ فكره وأحدث ابتكارًا معبرًا، وعليه فالمعيار المتبع لاعتبار الشخص مؤلفًا هو معيار الإبداع والابتكار؛ حيث تتم حماية كافة مظاهر التعبير بغض النظر عن الفكرة ذاتها، سواء أكان شكل التعبير عن هذه الفكرة كتابًا أو رسمًا أو صوتًا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ADDF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فيختلف مفهوم الابتكار في حد ذاته بين مصنف وآخر، فالمصنف الأدبي يكون الابتكار فيه عن طريق دقة العبارات، وتناسقها، وجِدة الأفكار والمفاهيم، مع أنَّه لا يجب بالضرورة أنْ يكون ما ورد بالمصنف الأدبي يعبر عن شيء جديد، وإنما الجدة هنا، هي جدة الصياغة والتعبير عن الفكرة، ويختلف أمر الابتكار في المطبوعات الأدبية عن باقي المصنفات المحمية بحكم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كالتمثيل، والغناء، والموسيقى، التي يعتمد فيها الابتكار على الأداء والإحساس</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5772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فالابتكار هو الطابع الشخصي الذي يعطيه المؤلف لمصنفه، ذلك الطابع الذي يسمح بتمييز المصنف عن سواه من المصنفات المنتمية إلى نفس النوع، ويكون من شأن هذا الطابع أنْ يبرز شخصية المؤلف، إما في مقومات الفكرة التي عرضها، أو في الطريقة التي اتخذها لعرض هذه الفكرة، أي بعبارة أخرى يقصد بالابتكار بصمة المؤلف الشخصية على المصنف الناتج عن مجهوده الذهني، والتي تسمح للجمهور بالنطق باسمه بمجرد مطالعة المصنف إذا كان من المشهورين، أو القول بانتهاء نسبة هذا المصنف إلى مؤلف لديه قدرة ابتكارية على التعبير عن أفكاره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DD638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برزت حقوق النشر والتأليف على أنَّها من أهم الأساليب لتنظيم التدفق الدولي للأفكار والمنتجات المبنية على أساس المعرفة، وستشكل آليةً مركزيةً لصناعات المعرفة في العصر الحديث، والواقع هو أنَّ حقوق النشر والتأليف محفوظة إلى حد بعيد في أيدي الأمم الصناعية الكبرى وفي أيدي مؤسسات الإعلام الكبرى المتعددة الجوانب، فلقد توسع مفهوم حقوق النشر والتأليف الذي كان معدًا لحماية المؤلفين ودور نشر الكتب؛ بحيث يشمل الآن منتجات أخرى من منتجات المعرفة،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برامج الحاسب الآلي، والأفلام، وغيرها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320EB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قوانين حماية حق المؤلف العربية عمومًا تتضمن النص على حماية الكتب وغيرها من المواد المكتوبة، والمصنفات التي تُلقى شفاهةً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كالمحاضرات، والخطب، والمواعظ، والمصنفات المسرحية، والمسرحيات </w:t>
      </w:r>
      <w:r>
        <w:rPr>
          <w:rStyle w:val="None"/>
          <w:rFonts w:ascii="Arial Unicode MS" w:hAnsi="Arial Unicode MS" w:cs="Times New Roman" w:hint="cs"/>
          <w:sz w:val="24"/>
          <w:szCs w:val="24"/>
          <w:rtl/>
          <w:lang w:val="ar-SA"/>
        </w:rPr>
        <w:lastRenderedPageBreak/>
        <w:t>الغنائية والموسيقية، والتمثيل الإيمائي، والمصنفات الموسيقية، والمصنفات السينمائية والإذاعية السمعية والبصرية، وأعمال الرسم، والتصوير، والنحت، والحفر، والعمارة، والفنون التطبيقية، والزخرفية، والصور التوضيحية، والخرائط، والتصميمات، والمخططات، والأعمال المجسمة المتعلقة بالجغرافيا، والخرائط السطحية للأرض، وبرامج الحاسوب</w:t>
      </w:r>
      <w:r>
        <w:rPr>
          <w:rStyle w:val="None"/>
          <w:rFonts w:ascii="Times New Roman" w:hAnsi="Times New Roman"/>
          <w:sz w:val="24"/>
          <w:szCs w:val="24"/>
          <w:rtl/>
          <w:lang w:val="ar-SA"/>
        </w:rPr>
        <w:t>.</w:t>
      </w:r>
    </w:p>
    <w:p w14:paraId="216B45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فالتطوُّر الهائل في المجال التكنولوجي، والذي وصل أوجه بوجود شبكة الإنترنت قد ألقى بظلاله على عملية إبداع المصنفات، وكذلك على المفهوم التقليدي لهذه المصنفات، وهو الأمر الذي تجسد بظهور شكل جديد من المصنفات توصف بالرقمية، وهي عديدة ومتنوعة فمنها ما يتعلق بالجانب الأدبي، أو العلمي، أو الترفيهي، ومتى ما ولدت تلك المصنفات وظهرت، فإنَّها تثبت حقوقًا أدبيةً وماليةً لمؤلفها، وهنا تبرز أهمية حماية الإنتاج الفكري بالنسبة لمؤلفي هذه المصنفات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632E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وهذا ما نصت عليه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من اتفاقية الويبو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27C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حقوق المؤلف فرع من فروع الملكية الفكرية، فلا بُدَّ من حماية حقوقهم في العديد من المجالات، التي تتعلق بالمصنفات المكتوبة، أو الشفوية، أو السمعية، أو البصرية عبر طريق البيئة الرقمية، فقد اتسعت نطاق المصنفات الفكرية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والبرامج، والمحتويات الإلكترونية، كل هذه التطوُّرات الرقمية فرضت تحدياتٍ قانونيةً جديدةً تتعلق بحماية هذه المصنفات من الاعتداءات الرقمية</w:t>
      </w:r>
      <w:r>
        <w:rPr>
          <w:rStyle w:val="None"/>
          <w:rFonts w:ascii="Times New Roman" w:hAnsi="Times New Roman"/>
          <w:sz w:val="24"/>
          <w:szCs w:val="24"/>
          <w:rtl/>
          <w:lang w:val="ar-SA"/>
        </w:rPr>
        <w:t>.</w:t>
      </w:r>
    </w:p>
    <w:p w14:paraId="6F8E1C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بُدَّ من حماية الإنتاج الفكري الرقمي لحقوق المؤلف؛ لأنَّه أحد مظاهر الإبداع في الوقت الحاضر، فقد حرصت الاتفاقيات الدولية، والقوانين الوطنية على حماية حقوق المؤلف؛ لا بُدَّ من تحديث هذه الاتفاقيات والتشريعات الوطنية؛ حتى تواكب التطوُّرات التقنية، ضد الانتهاكات على حقوق المؤلف الرقمي من النسخ، أو نشر، أو توزيعها بطرق غير قانونية عبر الشبكات الإلكترونية</w:t>
      </w:r>
      <w:r>
        <w:rPr>
          <w:rStyle w:val="None"/>
          <w:rFonts w:ascii="Times New Roman" w:hAnsi="Times New Roman"/>
          <w:sz w:val="24"/>
          <w:szCs w:val="24"/>
          <w:rtl/>
          <w:lang w:val="ar-SA"/>
        </w:rPr>
        <w:t>.</w:t>
      </w:r>
    </w:p>
    <w:p w14:paraId="3C9D5DCA" w14:textId="77777777" w:rsidR="00454428" w:rsidRDefault="00454428"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1580FEB"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B681D59"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5AB81A08"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2682727"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300D6E3"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3E3A7002"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C23D317" w14:textId="77777777" w:rsidR="00454428" w:rsidRDefault="00000000" w:rsidP="00C72BA8">
      <w:pPr>
        <w:pStyle w:val="a4"/>
        <w:rPr>
          <w:rStyle w:val="None"/>
          <w:lang w:val="ar-SA"/>
        </w:rPr>
      </w:pPr>
      <w:bookmarkStart w:id="168" w:name="_Toc227251114"/>
      <w:bookmarkStart w:id="169" w:name="_Toc227251424"/>
      <w:r>
        <w:rPr>
          <w:rStyle w:val="None"/>
          <w:rFonts w:ascii="Arial Unicode MS" w:eastAsia="Arial Unicode MS" w:hAnsi="Arial Unicode MS" w:hint="cs"/>
          <w:rtl/>
          <w:lang w:val="ar-SA"/>
        </w:rPr>
        <w:lastRenderedPageBreak/>
        <w:t>الفصل الثاني</w:t>
      </w:r>
      <w:bookmarkEnd w:id="168"/>
      <w:bookmarkEnd w:id="169"/>
    </w:p>
    <w:p w14:paraId="056608DA" w14:textId="77777777" w:rsidR="00454428" w:rsidRDefault="00000000" w:rsidP="00C72BA8">
      <w:pPr>
        <w:pStyle w:val="a4"/>
        <w:rPr>
          <w:rStyle w:val="None"/>
          <w:lang w:val="ar-SA"/>
        </w:rPr>
      </w:pPr>
      <w:bookmarkStart w:id="170" w:name="_Toc227251115"/>
      <w:bookmarkStart w:id="171" w:name="_Toc227251425"/>
      <w:r>
        <w:rPr>
          <w:rStyle w:val="None"/>
          <w:rFonts w:ascii="Arial Unicode MS" w:eastAsia="Arial Unicode MS" w:hAnsi="Arial Unicode MS" w:hint="cs"/>
          <w:rtl/>
          <w:lang w:val="ar-SA"/>
        </w:rPr>
        <w:t>الإطار القانوني لحماية الملكية الفكرية في الاتفاقيات الدولية والقوانين الوطنية</w:t>
      </w:r>
      <w:bookmarkEnd w:id="170"/>
      <w:bookmarkEnd w:id="171"/>
    </w:p>
    <w:p w14:paraId="366E51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موضوع الملكية الفكرية من الموضوعات المهمة التي تسعى معظم الدول إلى إدراجه ضمن السياسات الوطنية، باعتبارها ذات صلة بالتطوُّر الاقتصادي، والثقافي، والاجتماعي، فقامت بسن التشريعات التي تضمن وتصون هذه الحقوق من الضياع والانتهاك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5"/>
      </w:r>
      <w:r>
        <w:rPr>
          <w:rStyle w:val="None"/>
          <w:rFonts w:ascii="Times New Roman" w:hAnsi="Times New Roman"/>
          <w:sz w:val="24"/>
          <w:szCs w:val="24"/>
          <w:vertAlign w:val="superscript"/>
          <w:rtl/>
          <w:lang w:val="ar-SA"/>
        </w:rPr>
        <w:t>)</w:t>
      </w:r>
    </w:p>
    <w:p w14:paraId="4137F3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وسعت الدول العربية كغيرها على غرار بقية دول العالم إلى توفير الحماية الكاملة لجميع جوانب الملكية الفكرية، وقد بذلت جهودًا متواصلةً على المستوى الوطني إما بسَنِّ التشريعات المناسبة لتحقيق الأهداف، أو بتوفير إطار تنظيمي ومؤسسي لتمكين حماية الملكية الفكرية</w:t>
      </w:r>
      <w:r>
        <w:rPr>
          <w:rStyle w:val="None"/>
          <w:rFonts w:ascii="Times New Roman" w:hAnsi="Times New Roman"/>
          <w:sz w:val="24"/>
          <w:szCs w:val="24"/>
          <w:rtl/>
          <w:lang w:val="ar-SA"/>
        </w:rPr>
        <w:t>.</w:t>
      </w:r>
    </w:p>
    <w:p w14:paraId="1A86962E" w14:textId="77777777" w:rsidR="00454428" w:rsidRDefault="00000000">
      <w:pPr>
        <w:pStyle w:val="a7"/>
        <w:numPr>
          <w:ilvl w:val="0"/>
          <w:numId w:val="98"/>
        </w:numPr>
        <w:spacing w:before="120" w:after="120" w:line="360" w:lineRule="auto"/>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الدولية والتعاون العابر للحدود</w:t>
      </w:r>
      <w:r>
        <w:rPr>
          <w:rStyle w:val="None"/>
          <w:rFonts w:ascii="Times New Roman" w:hAnsi="Times New Roman"/>
          <w:sz w:val="24"/>
          <w:szCs w:val="24"/>
          <w:rtl/>
          <w:lang w:val="ar-SA"/>
        </w:rPr>
        <w:t>.</w:t>
      </w:r>
    </w:p>
    <w:p w14:paraId="383C1A29" w14:textId="77777777" w:rsidR="00454428" w:rsidRDefault="00000000">
      <w:pPr>
        <w:pStyle w:val="a7"/>
        <w:numPr>
          <w:ilvl w:val="0"/>
          <w:numId w:val="98"/>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النظام القانونية للمصنف الرقمي</w:t>
      </w:r>
      <w:r>
        <w:rPr>
          <w:rStyle w:val="None"/>
          <w:rFonts w:ascii="Times New Roman" w:hAnsi="Times New Roman"/>
          <w:sz w:val="24"/>
          <w:szCs w:val="24"/>
          <w:rtl/>
          <w:lang w:val="ar-SA"/>
        </w:rPr>
        <w:t>.</w:t>
      </w:r>
    </w:p>
    <w:p w14:paraId="74C45A41"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BC754C5"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90BC54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39C5270" w14:textId="77777777" w:rsidR="00454428" w:rsidRDefault="00454428" w:rsidP="00C72BA8">
      <w:pPr>
        <w:pStyle w:val="Body"/>
        <w:spacing w:before="120" w:after="120" w:line="360" w:lineRule="auto"/>
        <w:rPr>
          <w:rStyle w:val="None"/>
          <w:rFonts w:ascii="Times New Roman" w:eastAsia="Times New Roman" w:hAnsi="Times New Roman" w:cs="Times New Roman"/>
        </w:rPr>
      </w:pPr>
    </w:p>
    <w:p w14:paraId="093D1684"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0A9FD6D0"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7E1FAB1D"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005D6284"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1F651F52"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19455BD1"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73088A43"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6F769193"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631871FE" w14:textId="77777777" w:rsidR="00CC3E5F" w:rsidRPr="00CC3E5F" w:rsidRDefault="00CC3E5F" w:rsidP="00C72BA8">
      <w:pPr>
        <w:pStyle w:val="Body"/>
        <w:spacing w:before="120" w:after="120" w:line="360" w:lineRule="auto"/>
        <w:rPr>
          <w:rStyle w:val="None"/>
          <w:rFonts w:ascii="Times New Roman" w:eastAsia="Times New Roman" w:hAnsi="Times New Roman" w:cs="Times New Roman"/>
        </w:rPr>
      </w:pPr>
    </w:p>
    <w:p w14:paraId="4F13997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0FB5B5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5ED073B" w14:textId="77777777" w:rsidR="00454428" w:rsidRDefault="00000000" w:rsidP="00C72BA8">
      <w:pPr>
        <w:pStyle w:val="a4"/>
        <w:rPr>
          <w:rStyle w:val="None"/>
          <w:lang w:val="ar-SA"/>
        </w:rPr>
      </w:pPr>
      <w:bookmarkStart w:id="172" w:name="_Toc227251116"/>
      <w:bookmarkStart w:id="173" w:name="_Toc227251426"/>
      <w:r>
        <w:rPr>
          <w:rStyle w:val="None"/>
          <w:rFonts w:ascii="Arial Unicode MS" w:eastAsia="Arial Unicode MS" w:hAnsi="Arial Unicode MS" w:hint="cs"/>
          <w:rtl/>
          <w:lang w:val="ar-SA"/>
        </w:rPr>
        <w:lastRenderedPageBreak/>
        <w:t>المبحث الأول</w:t>
      </w:r>
      <w:bookmarkEnd w:id="172"/>
      <w:bookmarkEnd w:id="173"/>
    </w:p>
    <w:p w14:paraId="613B335B" w14:textId="77777777" w:rsidR="00454428" w:rsidRDefault="00000000" w:rsidP="00C72BA8">
      <w:pPr>
        <w:pStyle w:val="a4"/>
        <w:rPr>
          <w:rStyle w:val="None"/>
          <w:lang w:val="ar-SA"/>
        </w:rPr>
      </w:pPr>
      <w:bookmarkStart w:id="174" w:name="_Toc227251117"/>
      <w:bookmarkStart w:id="175" w:name="_Toc227251427"/>
      <w:r>
        <w:rPr>
          <w:rStyle w:val="None"/>
          <w:rFonts w:ascii="Arial Unicode MS" w:eastAsia="Arial Unicode MS" w:hAnsi="Arial Unicode MS" w:hint="cs"/>
          <w:rtl/>
          <w:lang w:val="ar-SA"/>
        </w:rPr>
        <w:t>الحماية الدولية والتعاون العابر للحدود</w:t>
      </w:r>
      <w:bookmarkEnd w:id="174"/>
      <w:bookmarkEnd w:id="175"/>
    </w:p>
    <w:p w14:paraId="372E0A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الأعمال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كانت أدبيةً، أم فنيةً، أم 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حاجة إلى حماية وطنية ودولية لفائدة مؤلفها لا سيما أنَّ وسائل النسخ العصرية تعرِّض المؤلفين إلى ضياع مجهوداتهم، وفقدان حقوقهم وتثبيط معنوياتهم، وجدير بالإشارة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تعتبر ظاهرةً حديثةً، مقارنةً بالموضوعات الأخرى التي عالجها القانون منذ ظهور وبسط نفوذه، كما أنَّ ظاهرة الأدب، والفن، والاكتشافات، والاختراعات سواء نظرنا إليها من حيث الذاتية، أو من حيث الوظائف والاهداف فإنَّها كلها تُعَدُّ واحدةً من التجليات الأساسية للعقل البشري وجب حمايتها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6"/>
      </w:r>
      <w:r>
        <w:rPr>
          <w:rStyle w:val="None"/>
          <w:rFonts w:ascii="Times New Roman" w:hAnsi="Times New Roman"/>
          <w:sz w:val="24"/>
          <w:szCs w:val="24"/>
          <w:vertAlign w:val="superscript"/>
          <w:rtl/>
          <w:lang w:val="ar-SA"/>
        </w:rPr>
        <w:t>)</w:t>
      </w:r>
    </w:p>
    <w:p w14:paraId="7C5554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ظهرت العديد من الاتفاقيات الدولية خاصةً بحماية حقوق الملكية الفكرية، والتي أقرت في نصوص المواد إلى حماية حقوق المؤلف سواء الأدبية أو الفنية، وهذا ما سوف نتناوله في هذا المبحث</w:t>
      </w:r>
      <w:r>
        <w:rPr>
          <w:rStyle w:val="None"/>
          <w:rFonts w:ascii="Times New Roman" w:hAnsi="Times New Roman"/>
          <w:sz w:val="24"/>
          <w:szCs w:val="24"/>
          <w:rtl/>
          <w:lang w:val="ar-SA"/>
        </w:rPr>
        <w:t>.</w:t>
      </w:r>
    </w:p>
    <w:p w14:paraId="70A4D0D6" w14:textId="77777777" w:rsidR="00454428" w:rsidRDefault="00000000">
      <w:pPr>
        <w:pStyle w:val="a7"/>
        <w:numPr>
          <w:ilvl w:val="0"/>
          <w:numId w:val="18"/>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اتفاقية بيرن وتريبس والاتفاقيات الأخرى</w:t>
      </w:r>
      <w:r>
        <w:rPr>
          <w:rStyle w:val="None"/>
          <w:rFonts w:ascii="Times New Roman" w:hAnsi="Times New Roman"/>
          <w:sz w:val="24"/>
          <w:szCs w:val="24"/>
          <w:rtl/>
          <w:lang w:val="ar-SA"/>
        </w:rPr>
        <w:t>.</w:t>
      </w:r>
    </w:p>
    <w:p w14:paraId="7DEC9102" w14:textId="77777777" w:rsidR="00454428" w:rsidRDefault="00000000">
      <w:pPr>
        <w:pStyle w:val="a7"/>
        <w:numPr>
          <w:ilvl w:val="0"/>
          <w:numId w:val="18"/>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التحديات الدولية في تنفيذ الحماية الرقمية</w:t>
      </w:r>
      <w:r>
        <w:rPr>
          <w:rStyle w:val="None"/>
          <w:rFonts w:ascii="Times New Roman" w:hAnsi="Times New Roman"/>
          <w:sz w:val="24"/>
          <w:szCs w:val="24"/>
          <w:rtl/>
          <w:lang w:val="ar-SA"/>
        </w:rPr>
        <w:t>.</w:t>
      </w:r>
    </w:p>
    <w:p w14:paraId="7783EFE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B96C28A"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01B1F158"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845BD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4AC41AA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03F577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90ACE5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E9B9BBB"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B2159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4F35F0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792791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93B915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D437C5D"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106D9BE"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5EDC45AF" w14:textId="77777777" w:rsidR="00454428" w:rsidRDefault="00000000" w:rsidP="00C72BA8">
      <w:pPr>
        <w:pStyle w:val="a4"/>
        <w:rPr>
          <w:rStyle w:val="None"/>
          <w:lang w:val="ar-SA"/>
        </w:rPr>
      </w:pPr>
      <w:bookmarkStart w:id="176" w:name="_Toc227251118"/>
      <w:bookmarkStart w:id="177" w:name="_Toc227251428"/>
      <w:r>
        <w:rPr>
          <w:rStyle w:val="None"/>
          <w:rFonts w:ascii="Arial Unicode MS" w:eastAsia="Arial Unicode MS" w:hAnsi="Arial Unicode MS" w:hint="cs"/>
          <w:rtl/>
          <w:lang w:val="ar-SA"/>
        </w:rPr>
        <w:lastRenderedPageBreak/>
        <w:t>المطلب الأول</w:t>
      </w:r>
      <w:bookmarkEnd w:id="176"/>
      <w:bookmarkEnd w:id="177"/>
    </w:p>
    <w:p w14:paraId="436A277C" w14:textId="77777777" w:rsidR="00454428" w:rsidRDefault="00000000" w:rsidP="00C72BA8">
      <w:pPr>
        <w:pStyle w:val="a4"/>
        <w:rPr>
          <w:rStyle w:val="None"/>
          <w:lang w:val="ar-SA"/>
        </w:rPr>
      </w:pPr>
      <w:bookmarkStart w:id="178" w:name="_Toc227251119"/>
      <w:bookmarkStart w:id="179" w:name="_Toc227251429"/>
      <w:r>
        <w:rPr>
          <w:rStyle w:val="None"/>
          <w:rFonts w:ascii="Arial Unicode MS" w:eastAsia="Arial Unicode MS" w:hAnsi="Arial Unicode MS" w:hint="cs"/>
          <w:rtl/>
          <w:lang w:val="ar-SA"/>
        </w:rPr>
        <w:t>اتفاقية بيرن وتريبس والاتفاقيات الأخرى</w:t>
      </w:r>
      <w:bookmarkEnd w:id="178"/>
      <w:bookmarkEnd w:id="179"/>
    </w:p>
    <w:p w14:paraId="5A79A2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bookmarkStart w:id="180" w:name="_Hlk207458717"/>
      <w:r>
        <w:rPr>
          <w:rStyle w:val="None"/>
          <w:rFonts w:ascii="Arial Unicode MS" w:hAnsi="Arial Unicode MS" w:cs="Times New Roman" w:hint="cs"/>
          <w:sz w:val="24"/>
          <w:szCs w:val="24"/>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27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8"/>
      </w:r>
      <w:r>
        <w:rPr>
          <w:rStyle w:val="None"/>
          <w:rFonts w:ascii="Times New Roman" w:hAnsi="Times New Roman"/>
          <w:sz w:val="24"/>
          <w:szCs w:val="24"/>
          <w:vertAlign w:val="superscript"/>
          <w:rtl/>
          <w:lang w:val="ar-SA"/>
        </w:rPr>
        <w:t>)</w:t>
      </w:r>
    </w:p>
    <w:p w14:paraId="076A5B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الاتفاقيات الدولية تلعب دورًا مهمًّا في حماية الملكية الفكرية، وقد تطوَّر التنظيم الدولي تطوُّرًا بارزًا؛ حيث كان يقتصر على اتفاقيات واتحادات دولية تهدف لحماية حقوق الملكية الفكرية الدولية، تطوَّر الوضع وأدى إلى ظهور منظمات دولية كفيلة بحماية حقوق الملكية الفكرية الدولية؛ حيث جاءت هذه الأخيرة لضمان الحقوق لأصحابها وتحفيزًا لهم، وكذا بغية الحفاظ على الاستمرارية في عملية الإبداع والابتكار، الأمر الذي يؤثر بشكل إيجابي على المردود الاقتصادي للدول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9"/>
      </w:r>
      <w:r>
        <w:rPr>
          <w:rStyle w:val="None"/>
          <w:rFonts w:ascii="Times New Roman" w:hAnsi="Times New Roman"/>
          <w:sz w:val="24"/>
          <w:szCs w:val="24"/>
          <w:vertAlign w:val="superscript"/>
          <w:rtl/>
          <w:lang w:val="ar-SA"/>
        </w:rPr>
        <w:t>)</w:t>
      </w:r>
    </w:p>
    <w:p w14:paraId="164999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وأضحت الحاجة إلى الحماية الدولية لحقوق الملكية الفكرية مسألةً ضروريةً ومعترفًا بها في آن واحد، عليه بدأ التفكير في حمايتها على الصعيد الدولي حوالي منتصف القرن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في شكل اتفاقيات ثنائية تتولى الاعتراف المتبادل هذه الحقوق، ولكنها لم تكن شاملةً بما فيه الكفاية، كما لم تكن من نمط موحد، فأضفت الحاجة إلى نظام موحد إلى إعداد اتفاقيات عديدة أولها اتفاقية برن لحماية الحقوق الملكية الأدبية والفكرية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0"/>
      </w:r>
      <w:r>
        <w:rPr>
          <w:rStyle w:val="None"/>
          <w:rFonts w:ascii="Times New Roman" w:hAnsi="Times New Roman"/>
          <w:sz w:val="24"/>
          <w:szCs w:val="24"/>
          <w:vertAlign w:val="superscript"/>
          <w:rtl/>
          <w:lang w:val="ar-SA"/>
        </w:rPr>
        <w:t>)</w:t>
      </w:r>
    </w:p>
    <w:p w14:paraId="20A52D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إبرام الاتفاقيات الدولية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ذات الصلة بالملكية الفكرية عمومًا وحق المؤلف خصوصًا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تعبيرًا عن الحاجة إلى ضرورة تنظيم حقوق المؤلف وحمايتها على الصعيد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1"/>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وهناك اتفاقيات دولية تعمل على حماية الحقوق المليكة الفكرية، وتتمثل في التالي</w:t>
      </w:r>
      <w:r>
        <w:rPr>
          <w:rStyle w:val="None"/>
          <w:rFonts w:ascii="Times New Roman" w:hAnsi="Times New Roman"/>
          <w:sz w:val="24"/>
          <w:szCs w:val="24"/>
          <w:rtl/>
          <w:lang w:val="ar-SA"/>
        </w:rPr>
        <w:t>:</w:t>
      </w:r>
    </w:p>
    <w:p w14:paraId="7BCA3A4C" w14:textId="77777777" w:rsidR="00454428" w:rsidRDefault="00000000">
      <w:pPr>
        <w:pStyle w:val="a7"/>
        <w:numPr>
          <w:ilvl w:val="0"/>
          <w:numId w:val="100"/>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p>
    <w:p w14:paraId="182B7C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يعود الاهتمام بحماية حقوق المؤلف إلى منتصف القرن الثامن عشر؛ حيث وجدت بعض الاتفاقيات الدولية الثنائية، التي كانت قاصرةً في حماية عناصر حق المؤلف، ولهذا تم إبرام اتفاقية برن في </w:t>
      </w:r>
      <w:r>
        <w:rPr>
          <w:rStyle w:val="None"/>
          <w:rFonts w:ascii="Times New Roman" w:hAnsi="Times New Roman"/>
          <w:sz w:val="24"/>
          <w:szCs w:val="24"/>
          <w:rtl/>
          <w:lang w:val="ar-SA"/>
        </w:rPr>
        <w:t>9/9/1886</w:t>
      </w:r>
      <w:r>
        <w:rPr>
          <w:rStyle w:val="None"/>
          <w:rFonts w:ascii="Arial Unicode MS" w:hAnsi="Arial Unicode MS" w:cs="Times New Roman" w:hint="cs"/>
          <w:sz w:val="24"/>
          <w:szCs w:val="24"/>
          <w:rtl/>
          <w:lang w:val="ar-SA"/>
        </w:rPr>
        <w:t xml:space="preserve">؛ لحماية الأعمال أو المصنفات الأدبية والفنية للمؤلف، ونصت المادة الأولى من الاتفاقية بأنَّه تشكل الدول التي تسري عليها هذه الاتفاقية اتحادًا سُمِّيَ اتحاد برن؛ لحماية حقوق المؤلف على المصنفات الأدبية والفنية، وقد تمت مراجعة هذه الاتفاقية عدة مرات؛ لمواكبة التطوُّرات التكنولوجية المتسارعة في مجال وسائط نقل ونسخ أعمال المؤلف، فتمت مراجعة اتفاقية برن في </w:t>
      </w:r>
      <w:r>
        <w:rPr>
          <w:rStyle w:val="None"/>
          <w:rFonts w:ascii="Arial Unicode MS" w:hAnsi="Arial Unicode MS" w:cs="Times New Roman" w:hint="cs"/>
          <w:sz w:val="24"/>
          <w:szCs w:val="24"/>
          <w:rtl/>
          <w:lang w:val="ar-SA"/>
        </w:rPr>
        <w:lastRenderedPageBreak/>
        <w:t xml:space="preserve">برلين عام </w:t>
      </w:r>
      <w:r>
        <w:rPr>
          <w:rStyle w:val="None"/>
          <w:rFonts w:ascii="Times New Roman" w:hAnsi="Times New Roman"/>
          <w:sz w:val="24"/>
          <w:szCs w:val="24"/>
          <w:rtl/>
          <w:lang w:val="ar-SA"/>
        </w:rPr>
        <w:t>1908</w:t>
      </w:r>
      <w:r>
        <w:rPr>
          <w:rStyle w:val="None"/>
          <w:rFonts w:ascii="Arial Unicode MS" w:hAnsi="Arial Unicode MS" w:cs="Times New Roman" w:hint="cs"/>
          <w:sz w:val="24"/>
          <w:szCs w:val="24"/>
          <w:rtl/>
          <w:lang w:val="ar-SA"/>
        </w:rPr>
        <w:t xml:space="preserve">، ثم في روما </w:t>
      </w:r>
      <w:r>
        <w:rPr>
          <w:rStyle w:val="None"/>
          <w:rFonts w:ascii="Times New Roman" w:hAnsi="Times New Roman"/>
          <w:sz w:val="24"/>
          <w:szCs w:val="24"/>
          <w:rtl/>
          <w:lang w:val="ar-SA"/>
        </w:rPr>
        <w:t>1928</w:t>
      </w:r>
      <w:r>
        <w:rPr>
          <w:rStyle w:val="None"/>
          <w:rFonts w:ascii="Arial Unicode MS" w:hAnsi="Arial Unicode MS" w:cs="Times New Roman" w:hint="cs"/>
          <w:sz w:val="24"/>
          <w:szCs w:val="24"/>
          <w:rtl/>
          <w:lang w:val="ar-SA"/>
        </w:rPr>
        <w:t xml:space="preserve">، ثم في بروكسل عام </w:t>
      </w:r>
      <w:r>
        <w:rPr>
          <w:rStyle w:val="None"/>
          <w:rFonts w:ascii="Times New Roman" w:hAnsi="Times New Roman"/>
          <w:sz w:val="24"/>
          <w:szCs w:val="24"/>
          <w:rtl/>
          <w:lang w:val="ar-SA"/>
        </w:rPr>
        <w:t>1948</w:t>
      </w:r>
      <w:r>
        <w:rPr>
          <w:rStyle w:val="None"/>
          <w:rFonts w:ascii="Arial Unicode MS" w:hAnsi="Arial Unicode MS" w:cs="Times New Roman" w:hint="cs"/>
          <w:sz w:val="24"/>
          <w:szCs w:val="24"/>
          <w:rtl/>
          <w:lang w:val="ar-SA"/>
        </w:rPr>
        <w:t xml:space="preserve">، ثم في ستوكهولم عام </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وآخرها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حيث تم وضع ملحق بالاتفاقية؛ وذلك لمواجهة التطوُّرات التكنولوجية في مجال حق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2"/>
      </w:r>
      <w:r>
        <w:rPr>
          <w:rStyle w:val="None"/>
          <w:rFonts w:ascii="Times New Roman" w:hAnsi="Times New Roman"/>
          <w:sz w:val="24"/>
          <w:szCs w:val="24"/>
          <w:vertAlign w:val="superscript"/>
          <w:rtl/>
          <w:lang w:val="ar-SA"/>
        </w:rPr>
        <w:t>)</w:t>
      </w:r>
    </w:p>
    <w:p w14:paraId="576491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مبادئ حقوق المؤلف في اتفاقية برن</w:t>
      </w:r>
      <w:r>
        <w:rPr>
          <w:rStyle w:val="None"/>
          <w:rFonts w:ascii="Times New Roman" w:hAnsi="Times New Roman"/>
          <w:b/>
          <w:bCs/>
          <w:sz w:val="24"/>
          <w:szCs w:val="24"/>
          <w:rtl/>
          <w:lang w:val="ar-SA"/>
        </w:rPr>
        <w:t>:</w:t>
      </w:r>
    </w:p>
    <w:p w14:paraId="483FE8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تنبني حماية حق المؤلف في اتفاقية برن على عدد من المبادئ الواجب على الدول الأعضاء مراعاتها، وهي مبدأ المعاملة الوطنية، ومبدأ المعاملة بالمثل، ومبدأ الحماية التلقائية واستفلالها، ومبدأ الحماية في بلد المنشأ، ومبدأ تقيد الحماية التلقائية واستقلالها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3"/>
      </w:r>
      <w:r>
        <w:rPr>
          <w:rStyle w:val="None"/>
          <w:rFonts w:ascii="Times New Roman" w:hAnsi="Times New Roman"/>
          <w:sz w:val="24"/>
          <w:szCs w:val="24"/>
          <w:vertAlign w:val="superscript"/>
          <w:rtl/>
          <w:lang w:val="ar-SA"/>
        </w:rPr>
        <w:t>)</w:t>
      </w:r>
    </w:p>
    <w:p w14:paraId="56D2CBED" w14:textId="77777777"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المعاملة الوطنية</w:t>
      </w:r>
      <w:r>
        <w:rPr>
          <w:rStyle w:val="None"/>
          <w:rFonts w:ascii="Times New Roman" w:hAnsi="Times New Roman"/>
          <w:b/>
          <w:bCs/>
          <w:sz w:val="24"/>
          <w:szCs w:val="24"/>
          <w:rtl/>
          <w:lang w:val="ar-SA"/>
        </w:rPr>
        <w:t>:</w:t>
      </w:r>
    </w:p>
    <w:p w14:paraId="6FE619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نصت أغلب الاتفاقيات الدولية المتعلقة بحماية المصنفات كاتفاقية برن على مبدأ المعاملة الوطنية أي أنَّ الدولة العضو في الاتفاقية تلتزم بمعاملة مؤلف المصنفات الأجنبي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والذي ينتمي إلى دولة أخرى عضو في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بذات المعاملة التي يعامل بها المصنفات الوطنية، غير أنَّ هذه المساواة في المعاملة لا تعني المساواة الكاملة الحقيقية في مختلف الدول؛ لأنَّ نطاق الحماية الدولية للمصنفات يختلف من دولة إلى أخرى، فهو مبدأ نسبي أي أنَّ المساواة في المعاملة هي مساواة نسبية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4"/>
      </w:r>
      <w:r>
        <w:rPr>
          <w:rStyle w:val="None"/>
          <w:rFonts w:ascii="Times New Roman" w:hAnsi="Times New Roman"/>
          <w:sz w:val="24"/>
          <w:szCs w:val="24"/>
          <w:vertAlign w:val="superscript"/>
          <w:rtl/>
          <w:lang w:val="ar-SA"/>
        </w:rPr>
        <w:t>)</w:t>
      </w:r>
    </w:p>
    <w:p w14:paraId="696F9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ويطلق عليه أيضًا تسوية الأجانب بالوطنيين؛ إذ يتمتع المؤلفون في دول الاتحاد غير دولة المصنف بالحقوق التي تخولها قوانين تلك الدول حاليًا، أو قد يخولها مستقبلًا لرعاياها بالإضافة إلى الحقوق المقررة بصفة خاصة في هذه الاتفاقية، وذلك بالنسبة للمصنفات التي يتمتعون على أساسها بالحماية بمقتضى هذه الاتفاقية، ومعناه المساواة في الحماية القانونية لمصنف الأجنبي مع المصنف الوطني، وقد أورد دليل اتفاقية برن مثالًا توضيحيًا في ذلك، مفاده أنَّه إذا وقع تزييف لمصنف مؤلف سنغالي نشر لأول مرة في ساحل العاج؛ فإنَّ هذا المؤلَّف أو مَن آلَ إليه حق المؤلف يجب أنْ يعامل في فرنسا كما لو كان الأمر يتعلق بمصنف إبداعه وألفه مواطن فرنسي ونشر هذا المصنف في فرنسا، ومبدأ المعاملة الوطنية مبدأ نسبي التطبيق يختلف أعماله من بلد إلى آخر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5"/>
      </w:r>
      <w:r>
        <w:rPr>
          <w:rStyle w:val="None"/>
          <w:rFonts w:ascii="Times New Roman" w:hAnsi="Times New Roman"/>
          <w:sz w:val="24"/>
          <w:szCs w:val="24"/>
          <w:vertAlign w:val="superscript"/>
          <w:rtl/>
          <w:lang w:val="ar-SA"/>
        </w:rPr>
        <w:t>)</w:t>
      </w:r>
    </w:p>
    <w:p w14:paraId="798DD8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مبدأ المعاملة الوطنية في اتفاقية برن لحماية المصنفات الأدبية والفنية؛ حيث يلتزم هذا المبدأ الدول الأعضاء بمنح مواطنيها الحماية التي تمنحها الدول الأخرى، وبموجب هذا المبدأ يتمتع المؤلف الأجنبي بالحماية التلقائية في الدول المتعاقدة في الاتفاقية، كما يمنح المؤلف الوطني الحقوق والامتيازات على مصنفة، فإنَّ هذا المبدأ يهدف إلى ضمان العادلة والمساواة للمؤلفين داخل نطاق هذه الاتفاقية</w:t>
      </w:r>
      <w:r>
        <w:rPr>
          <w:rStyle w:val="None"/>
          <w:rFonts w:ascii="Times New Roman" w:hAnsi="Times New Roman"/>
          <w:sz w:val="24"/>
          <w:szCs w:val="24"/>
          <w:rtl/>
          <w:lang w:val="ar-SA"/>
        </w:rPr>
        <w:t>.</w:t>
      </w:r>
    </w:p>
    <w:p w14:paraId="72BB4378" w14:textId="77777777" w:rsidR="00D66164" w:rsidRDefault="00D66164">
      <w:pPr>
        <w:rPr>
          <w:rStyle w:val="None"/>
          <w:rFonts w:ascii="Arial Unicode MS" w:hAnsi="Arial Unicode MS"/>
          <w:b/>
          <w:bCs/>
          <w:color w:val="000000"/>
          <w:u w:color="000000"/>
          <w:rtl/>
          <w:lang w:val="ar-SA"/>
        </w:rPr>
      </w:pPr>
      <w:r>
        <w:rPr>
          <w:rStyle w:val="None"/>
          <w:b/>
          <w:bCs/>
          <w:rtl/>
          <w:lang w:val="ar-SA"/>
        </w:rPr>
        <w:br w:type="page"/>
      </w:r>
    </w:p>
    <w:p w14:paraId="6AD70CEB" w14:textId="540F8702"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مبدأ الحماية التلقائية واستقلالها</w:t>
      </w:r>
      <w:r>
        <w:rPr>
          <w:rStyle w:val="None"/>
          <w:rFonts w:ascii="Times New Roman" w:hAnsi="Times New Roman"/>
          <w:b/>
          <w:bCs/>
          <w:sz w:val="24"/>
          <w:szCs w:val="24"/>
          <w:rtl/>
          <w:lang w:val="ar-SA"/>
        </w:rPr>
        <w:t>:</w:t>
      </w:r>
    </w:p>
    <w:p w14:paraId="57178C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تناولت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اتفاقية برن مبدأ آخر من المبادئ التي ترتكز عليها حماية المصنفات الأدبية، والفنية، والعلمية، وهو مبدأ الحماية التلقائية واستقلالها، وقد فرق هذا المبدأ بين مسألتين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6"/>
      </w:r>
      <w:r>
        <w:rPr>
          <w:rStyle w:val="None"/>
          <w:rFonts w:ascii="Times New Roman" w:hAnsi="Times New Roman"/>
          <w:sz w:val="24"/>
          <w:szCs w:val="24"/>
          <w:vertAlign w:val="superscript"/>
          <w:rtl/>
          <w:lang w:val="ar-SA"/>
        </w:rPr>
        <w:t>)</w:t>
      </w:r>
    </w:p>
    <w:p w14:paraId="3D79EC1A" w14:textId="77777777" w:rsidR="00454428" w:rsidRDefault="00000000">
      <w:pPr>
        <w:pStyle w:val="a7"/>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الأولى</w:t>
      </w:r>
      <w:r>
        <w:rPr>
          <w:rStyle w:val="None"/>
          <w:rFonts w:ascii="Times New Roman" w:hAnsi="Times New Roman"/>
          <w:b/>
          <w:bCs/>
          <w:sz w:val="24"/>
          <w:szCs w:val="24"/>
          <w:rtl/>
          <w:lang w:val="ar-SA"/>
        </w:rPr>
        <w:t>:</w:t>
      </w:r>
      <w:r>
        <w:rPr>
          <w:rStyle w:val="None"/>
          <w:rFonts w:cs="Times New Roman"/>
          <w:sz w:val="24"/>
          <w:szCs w:val="24"/>
          <w:rtl/>
          <w:lang w:val="ar-SA"/>
        </w:rPr>
        <w:t xml:space="preserve"> التمتع بالحقوق وممارستها تعني أحقية المؤلف المصنف في أنْ يكون له حق استئثاري على مصنفه، دون النظر إلى القيمة الثقافية، ولا مدى جدارة المصنف بالتمتع بالحماية من عدمها، وكل ذلك لا يحول دون تمتع مؤلف المصنف بحقوقه الكاملة التي تقررها له الاتفاقيات الدولية، وقوانين الملكية الفكرية الوطنية المختلفة، كما أنَّ تقرير حق المؤلف لا يتوقف على مدى التزام المؤلف باستيفاء بنص الإجراءات الشكلية كالتسجيل والإيداع مثلًا</w:t>
      </w:r>
      <w:r>
        <w:rPr>
          <w:rStyle w:val="None"/>
          <w:rFonts w:ascii="Times New Roman" w:hAnsi="Times New Roman"/>
          <w:sz w:val="24"/>
          <w:szCs w:val="24"/>
          <w:rtl/>
          <w:lang w:val="ar-SA"/>
        </w:rPr>
        <w:t>.</w:t>
      </w:r>
    </w:p>
    <w:p w14:paraId="09637A77" w14:textId="77777777" w:rsidR="00454428" w:rsidRDefault="00000000">
      <w:pPr>
        <w:pStyle w:val="a7"/>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الثانية</w:t>
      </w:r>
      <w:r>
        <w:rPr>
          <w:rStyle w:val="None"/>
          <w:rFonts w:ascii="Times New Roman" w:hAnsi="Times New Roman"/>
          <w:b/>
          <w:bCs/>
          <w:sz w:val="24"/>
          <w:szCs w:val="24"/>
          <w:rtl/>
          <w:lang w:val="ar-SA"/>
        </w:rPr>
        <w:t>:</w:t>
      </w:r>
      <w:r>
        <w:rPr>
          <w:rStyle w:val="None"/>
          <w:rFonts w:cs="Times New Roman"/>
          <w:sz w:val="24"/>
          <w:szCs w:val="24"/>
          <w:rtl/>
          <w:lang w:val="ar-SA"/>
        </w:rPr>
        <w:t xml:space="preserve"> تتمثل في أنْ تمتع المؤلف بحقوقه، واستعمالها، واستمرارها أمر مستقل تمامًا عن الحماية ونطاقها في الدول المطولة توفير الحماية فيها،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لأي دولة من دول الاتحاد أنْ تعرض ما تشاء من الإجراءات والشكليات التي تحدد نطاق حماية الحق وكيفية ممارسته</w:t>
      </w:r>
      <w:r>
        <w:rPr>
          <w:rStyle w:val="None"/>
          <w:rFonts w:ascii="Times New Roman" w:hAnsi="Times New Roman"/>
          <w:sz w:val="24"/>
          <w:szCs w:val="24"/>
          <w:rtl/>
          <w:lang w:val="ar-SA"/>
        </w:rPr>
        <w:t>.</w:t>
      </w:r>
    </w:p>
    <w:p w14:paraId="485DD29D" w14:textId="77777777"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الحماية في بلد المنشأ</w:t>
      </w:r>
      <w:r>
        <w:rPr>
          <w:rStyle w:val="None"/>
          <w:rFonts w:ascii="Times New Roman" w:hAnsi="Times New Roman"/>
          <w:b/>
          <w:bCs/>
          <w:sz w:val="24"/>
          <w:szCs w:val="24"/>
          <w:rtl/>
          <w:lang w:val="ar-SA"/>
        </w:rPr>
        <w:t>:</w:t>
      </w:r>
    </w:p>
    <w:p w14:paraId="5265B1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يؤدي هذا المبدأ على ما ورد في المادة الخامسة الفقرة الثانية من اتفاقية برن، التي أعطت للدولة العضو في الاتحاد الحق في أنْ تضع ما تشاء من الإجراءات والشروط؛ لحماية حقوق المؤلف، وتحديد كيفية استعمال ونطاق هذه الحقوق، أما الفقرة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فتؤكد على أنَّ مسألة الحماية في الدولة التي نشأ فيها المصنف بلد المنشأ مسألة يحكمها، وينظمها التشريع الوطني في ذلك البلد، وهو أمر لا غبار عليه متى كان المؤلف أحد رعايا تلك الدولة وصدر مصنفه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7"/>
      </w:r>
      <w:r>
        <w:rPr>
          <w:rStyle w:val="None"/>
          <w:rFonts w:ascii="Times New Roman" w:hAnsi="Times New Roman"/>
          <w:sz w:val="24"/>
          <w:szCs w:val="24"/>
          <w:vertAlign w:val="superscript"/>
          <w:rtl/>
          <w:lang w:val="ar-SA"/>
        </w:rPr>
        <w:t>)</w:t>
      </w:r>
    </w:p>
    <w:p w14:paraId="225339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ذكرت في المادة الخامسة الفقرة الثانية من الاتفاقية أنَّ للدول الأعضاء وضعَ الشروط والإجراءات التي تراها مناسبةً تكفل حماية حقوق المؤلف، كما ذكرت المادة الثالثة من ذات المادة أنَّ المصنف يخضع لتنظيم بلد المنشأ، أما الفقرة الرابعة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ذكرت أنَّ المصنف الذي ينشأ في أي بلد من بلدان الأعضاء يحظى بنفس المعاملة التي يتمتع بها مؤلف المصنفات في بلدانهم الأصلية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FB431C" w14:textId="3BDA0054" w:rsidR="00454428" w:rsidRPr="00CC3E5F" w:rsidRDefault="00000000" w:rsidP="00CC3E5F">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مبدأ حماية في بلد المنشأ من المبادئ الأساسية في اتفاقية برن لحماية الملكية الفكرية، فالمصنف يتمتع بالحماية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 في البلد التي نشر أو أنتج لأول مرة أي بلد المنشأ، وقد أكدت اتفاقية برن لحماية المصنفات هذا المبدأ؛ لأنَّها نصت في موادها القانونية بالاعتراف بالحماية القانونية في خارج البلاد</w:t>
      </w:r>
      <w:r>
        <w:rPr>
          <w:rStyle w:val="None"/>
          <w:rFonts w:ascii="Times New Roman" w:hAnsi="Times New Roman"/>
          <w:sz w:val="24"/>
          <w:szCs w:val="24"/>
          <w:rtl/>
          <w:lang w:val="ar-SA"/>
        </w:rPr>
        <w:t>.</w:t>
      </w:r>
    </w:p>
    <w:p w14:paraId="625260AA" w14:textId="77777777" w:rsidR="00D66164" w:rsidRDefault="00D66164">
      <w:pPr>
        <w:rPr>
          <w:rStyle w:val="None"/>
          <w:rFonts w:ascii="Arial Unicode MS" w:hAnsi="Arial Unicode MS"/>
          <w:b/>
          <w:bCs/>
          <w:color w:val="000000"/>
          <w:u w:color="000000"/>
          <w:rtl/>
          <w:lang w:val="ar-SA"/>
        </w:rPr>
      </w:pPr>
      <w:r>
        <w:rPr>
          <w:rStyle w:val="None"/>
          <w:b/>
          <w:bCs/>
          <w:rtl/>
          <w:lang w:val="ar-SA"/>
        </w:rPr>
        <w:br w:type="page"/>
      </w:r>
    </w:p>
    <w:p w14:paraId="5B4A6F73" w14:textId="15185A71"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مبدأ تقييد الحماية</w:t>
      </w:r>
      <w:r>
        <w:rPr>
          <w:rStyle w:val="None"/>
          <w:rFonts w:ascii="Times New Roman" w:hAnsi="Times New Roman"/>
          <w:b/>
          <w:bCs/>
          <w:sz w:val="24"/>
          <w:szCs w:val="24"/>
          <w:rtl/>
          <w:lang w:val="ar-SA"/>
        </w:rPr>
        <w:t>:</w:t>
      </w:r>
    </w:p>
    <w:p w14:paraId="51A266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مبدأ تقييد الحماية قد نصت عليه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 xml:space="preserve">فقرة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وقد تقرر هذا المبدأ من المفهوم الذي يقضي بأنَّ المؤلفين التابعين لبلاد لا تزال خارج الاتحاد، يسعون للاستفادة من المزايا التي توفرها الاتفاقات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اعتبار الأجنبي كالوطني في المعاملة، مع أنَّ بلدان هؤلاء المؤلفين تقرر حماية أقل لمؤلفي بلدان الاتحاد، وهي أيضًا حماية أقل من تلك التي تكفلها لهم اتفاقية برن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9"/>
      </w:r>
      <w:r>
        <w:rPr>
          <w:rStyle w:val="None"/>
          <w:rFonts w:ascii="Times New Roman" w:hAnsi="Times New Roman"/>
          <w:sz w:val="24"/>
          <w:szCs w:val="24"/>
          <w:vertAlign w:val="superscript"/>
          <w:rtl/>
          <w:lang w:val="ar-SA"/>
        </w:rPr>
        <w:t>)</w:t>
      </w:r>
    </w:p>
    <w:p w14:paraId="5E3E0A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الزمت الاتفاقية في إطار المادة السادسة 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دول الاتحاد، التي تضع قيودًا على حماية حقوق المؤلفين أنْ تقوم بإخطار مدير عام المنظمة العالمية للملكية الفكرية بهذه القيود بموجب إعلان كتابي تحدد فيه الدول، التي ستقيد الحماية في مواجهتها، والقيود التي تخضع لها حقوق المؤلفين من رعايا هذه الدول أو تلك، وبدوره يقوم المدير العام للمنظمة بإبلاغ هذا الإعلان إلى جميع بلدان الاتحاد، وقد جاءت هذه المادة كنتيجة منطقية مترتبة على مبدأ المعاملة بالمثل لما لهذا المبدأ من آثار سلبية على العلاقات الدولية عمومًا، وعلى العلاقات بين دول الاتحاد على وجه الخصوص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0"/>
      </w:r>
      <w:r>
        <w:rPr>
          <w:rStyle w:val="None"/>
          <w:rFonts w:ascii="Times New Roman" w:hAnsi="Times New Roman"/>
          <w:sz w:val="24"/>
          <w:szCs w:val="24"/>
          <w:vertAlign w:val="superscript"/>
          <w:rtl/>
          <w:lang w:val="ar-SA"/>
        </w:rPr>
        <w:t>)</w:t>
      </w:r>
    </w:p>
    <w:p w14:paraId="0D36EE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تُعَدُّ اتفاقية برن لحماية حقوق المؤلف الأدبية والفنية، التي وقعت لأول مرة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كما تعتبر من أهم الاتفاقيات الدولية في مجال حماية حقوق المؤلف؛ حيث تلتزم كل دولة عضو من هذه الاتفاقية بحماية مؤلفي الدول الأخرى، بالإضافة إلى أنَّها تشمل حماية المصنفات الأدبية والفنية بجميع أشكالها، كما خضعت الاتفاقية لتعديلات كثيرة، وكان آخر تعديل عليها عام في باريس عام </w:t>
      </w:r>
      <w:r>
        <w:rPr>
          <w:rStyle w:val="None"/>
          <w:rFonts w:ascii="Times New Roman" w:hAnsi="Times New Roman"/>
          <w:sz w:val="24"/>
          <w:szCs w:val="24"/>
          <w:rtl/>
          <w:lang w:val="ar-SA"/>
        </w:rPr>
        <w:t>1971.</w:t>
      </w:r>
    </w:p>
    <w:p w14:paraId="0F5D50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للمصنفات الأدبية والفنية تواجهها عدة تحديات في ظل البيئة الرقمية؛ حيث إنَّ النصوص القانونية في الاتفاقية لم تذكر موضوع النشر الإلكتروني عبر الوسائط الرقمية، فهذا يؤدي إلى صعوبة في مراقبة النسخ وتوزيعها عبر الإنترنت، بالإضافة إلى غياب نصوص قانونية صريحة تنظم تداول الملفات الرقيمة؛ بسبب الانتهاكات العابرة للحدود</w:t>
      </w:r>
      <w:r>
        <w:rPr>
          <w:rStyle w:val="None"/>
          <w:rFonts w:ascii="Times New Roman" w:hAnsi="Times New Roman"/>
          <w:sz w:val="24"/>
          <w:szCs w:val="24"/>
          <w:rtl/>
          <w:lang w:val="ar-SA"/>
        </w:rPr>
        <w:t>.</w:t>
      </w:r>
    </w:p>
    <w:p w14:paraId="09EA0C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 تم اعتماد الاتفاقية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وآخر تعديل على الاتفاقية كان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فقد شمل التعديل على وضع أطر قانونية لحماية حقوق المؤلف على المستوى الدولي، فقد مر أكثر من </w:t>
      </w:r>
      <w:r>
        <w:rPr>
          <w:rStyle w:val="None"/>
          <w:rFonts w:ascii="Times New Roman" w:hAnsi="Times New Roman"/>
          <w:sz w:val="24"/>
          <w:szCs w:val="24"/>
          <w:rtl/>
          <w:lang w:val="ar-SA"/>
        </w:rPr>
        <w:t xml:space="preserve">50 </w:t>
      </w:r>
      <w:r>
        <w:rPr>
          <w:rStyle w:val="None"/>
          <w:rFonts w:ascii="Arial Unicode MS" w:hAnsi="Arial Unicode MS" w:cs="Times New Roman" w:hint="cs"/>
          <w:sz w:val="24"/>
          <w:szCs w:val="24"/>
          <w:rtl/>
          <w:lang w:val="ar-SA"/>
        </w:rPr>
        <w:t>عامًا على آخر تعديل، إلا أنَّ نصوصها القانونية أصبحت غير شاملة لمواكبة التطوُّرات التكنولوجية الرقمية، فلا بُدَّ من إعادة النظر في تعديل الاتفاقية؛ لكي تتلاءم مع التشريعات الحديثة</w:t>
      </w:r>
      <w:r>
        <w:rPr>
          <w:rStyle w:val="None"/>
          <w:rFonts w:ascii="Times New Roman" w:hAnsi="Times New Roman"/>
          <w:sz w:val="24"/>
          <w:szCs w:val="24"/>
          <w:rtl/>
          <w:lang w:val="ar-SA"/>
        </w:rPr>
        <w:t>.</w:t>
      </w:r>
    </w:p>
    <w:p w14:paraId="72F30015" w14:textId="77777777" w:rsidR="00454428" w:rsidRDefault="00000000">
      <w:pPr>
        <w:pStyle w:val="a7"/>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اتفاقية الجوانب المتصلة بالتجارة من حقوق المليكة الفكرية </w:t>
      </w:r>
      <w:r>
        <w:rPr>
          <w:rStyle w:val="None"/>
          <w:rFonts w:ascii="Times New Roman" w:hAnsi="Times New Roman"/>
          <w:b/>
          <w:bCs/>
          <w:sz w:val="24"/>
          <w:szCs w:val="24"/>
          <w:rtl/>
          <w:lang w:val="ar-SA"/>
        </w:rPr>
        <w:t>(</w:t>
      </w:r>
      <w:r>
        <w:rPr>
          <w:rStyle w:val="None"/>
          <w:rFonts w:cs="Times New Roman"/>
          <w:b/>
          <w:bCs/>
          <w:sz w:val="24"/>
          <w:szCs w:val="24"/>
          <w:rtl/>
          <w:lang w:val="ar-SA"/>
        </w:rPr>
        <w:t>تريبس</w:t>
      </w:r>
      <w:r>
        <w:rPr>
          <w:rStyle w:val="None"/>
          <w:rFonts w:ascii="Times New Roman" w:hAnsi="Times New Roman"/>
          <w:b/>
          <w:bCs/>
          <w:sz w:val="24"/>
          <w:szCs w:val="24"/>
          <w:rtl/>
          <w:lang w:val="ar-SA"/>
        </w:rPr>
        <w:t>):</w:t>
      </w:r>
    </w:p>
    <w:p w14:paraId="6F571B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تضمنت أحكام اتفاقية التربس مجموعةً من القواعد لحماية بعض المصنفات والموضوعات المتعلقة بحقوق التأليف والحقوق المجاورة، والتي تميزت في بعض الأحيان بالحداثة عما سبقها من اتفاقيات مماثلة، ومن ضمن تلك الأمور على سبيل المثال النص على حماية برامج الحاسب الآلي، وقواعد البيانات، فقد تضمنت الاتفاقية حماية برامج الحاسب الآلي سواء كانت بلُغة المصدر أو بلُغة الآلة، باعتبارها من الأعمال الأدبية وفق مفهوم أحكام اتفاقية بيرن لحماية المصنفات الأدبية والفنية لعام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وقد نصت الاتفاقية كذلك على حماية البيانات المجمعة، أو ما يسمى بقواعد البيانات </w:t>
      </w:r>
      <w:r>
        <w:rPr>
          <w:rStyle w:val="None"/>
          <w:rFonts w:ascii="Arial Unicode MS" w:hAnsi="Arial Unicode MS" w:cs="Times New Roman" w:hint="cs"/>
          <w:sz w:val="24"/>
          <w:szCs w:val="24"/>
          <w:rtl/>
          <w:lang w:val="ar-SA"/>
        </w:rPr>
        <w:lastRenderedPageBreak/>
        <w:t>إذا كانت تشكل عملًا مبتكرًا؛ نتيجة انتقاء أو ترتيب محتوياتها، وأنَّ الحماية لا تشمل البيانات أو المواد في حد ذاتها مع عدم الإخلال بحقوق المؤلفين المتعلقة بتلك البيانات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1"/>
      </w:r>
      <w:r>
        <w:rPr>
          <w:rStyle w:val="None"/>
          <w:rFonts w:ascii="Times New Roman" w:hAnsi="Times New Roman"/>
          <w:sz w:val="24"/>
          <w:szCs w:val="24"/>
          <w:vertAlign w:val="superscript"/>
          <w:rtl/>
          <w:lang w:val="ar-SA"/>
        </w:rPr>
        <w:t>)</w:t>
      </w:r>
    </w:p>
    <w:p w14:paraId="7BB540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مثلت اتفاقية التربس تحوُّلًا تقدميًا، وقفزةً فكريةً في تاريخ الملكية الفكرية؛ إذ ربطت الملكية الفكرية ومبادئ التجارة، ووفرت آليةً لمعالجة النزاعات بين الدول حول الملكية الفكرية على أساس متعدد الأطراف، وقد وقعت على هذه الاتفاقية </w:t>
      </w:r>
      <w:r>
        <w:rPr>
          <w:rStyle w:val="None"/>
          <w:rFonts w:ascii="Times New Roman" w:hAnsi="Times New Roman"/>
          <w:sz w:val="24"/>
          <w:szCs w:val="24"/>
          <w:rtl/>
          <w:lang w:val="ar-SA"/>
        </w:rPr>
        <w:t xml:space="preserve">125 </w:t>
      </w:r>
      <w:r>
        <w:rPr>
          <w:rStyle w:val="None"/>
          <w:rFonts w:ascii="Arial Unicode MS" w:hAnsi="Arial Unicode MS" w:cs="Times New Roman" w:hint="cs"/>
          <w:sz w:val="24"/>
          <w:szCs w:val="24"/>
          <w:rtl/>
          <w:lang w:val="ar-SA"/>
        </w:rPr>
        <w:t>دولةً، وبتضمين بنود هذه الاتفاقية البنود الخاصة باتفاقية بيرن، وبعض التعديلات التي أدخلت عليها في اتفاقية روما، وبتضمينها أيضًا بعض التشريعات بخصوص المسائل المتنازع عليها، أتت مستجيبة ومتوافقة مع رأي البعض الذي يرى ضرورة وجود توازن بين مصلحة منتجي ومستهلكي المعلومات، وضرورة الاهتمام بموضوع حقوق المستخدمين في الوصول إلى المعلومات العامة المتاحة على الشبكات والوسائط الإلكترونية الأخرى</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381D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وهكذا جمعت اتفاقية تريبس أحكامَ الاتفاقيات الدولية الرئيسية في شأن الملكية الفكرية في وثيقة واحدة فحققت الترابط فيما بينها بعدما كانت هذه الأحكام متفرقةً ومبعثرةً في هذه الاتفاقيات الدولية، وألزمت جميع الدول الأعضاء في منظمة التجارة العالمية بتطبيق أحكام هذه الاتفاقيات بغض النظر عن انضمامها إلى هذه الاتفاقيات الدولية أو عدم الانضمام إليها، ولقد ترتب على ذلك زيادة عدد الدول التي تلتزم بتطبيق أحكام الاتفاقيات الدولية الرئيسية التي أحالت إليها اتفاقية التريبس؛ إذ ألزمت الاتفاقية جميع الأعضاء في منظمة التجارة العالمية باحترام هذه الأحكام وتطبيقها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EF597E" w14:textId="67D48098" w:rsidR="00454428" w:rsidRDefault="00000000" w:rsidP="00D2174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اتفاقية تريبس هي من أهم الاتفاقيات الدولية لحماية حقوق الملكية الفكرية، وتهدف الاتفاقية إلى وضح حد أدنى من المعايير الدولية لحماية حقوق الملكية الفكرية، بالإضافة إلى حقوق المؤلف والعلامات التجارية والتصاميم الصناعية، كما وردت في نصوص المواد للاتفاقية، كما تلتزم الدول الأعضاء بتوفير هذه الحماية، تعتبر اتفاقية تريبس هي حلقة الوصل بين الملكية الفكرية بالنظام التجاري الدولي</w:t>
      </w:r>
      <w:r>
        <w:rPr>
          <w:rStyle w:val="None"/>
          <w:rFonts w:ascii="Times New Roman" w:hAnsi="Times New Roman"/>
          <w:sz w:val="24"/>
          <w:szCs w:val="24"/>
          <w:rtl/>
          <w:lang w:val="ar-SA"/>
        </w:rPr>
        <w:t>.</w:t>
      </w:r>
      <w:r w:rsidR="00D21748">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اتفاقية تريبس لم تتناول نصوصًا قانونيةً بخصوص البيئة الرقمية لحماية حقوق الملكية الفكرية؛ وذلك بسبب اعتمادها قبل ظهور الإنترنت، ولكنها تضمن نصوص يمكن تطبيقها على البيئة الرقمية، فإنَّ التطوُّرات التكنولوجية قد بينت قصور نصوص اتفاقية تريبس لحماية المصنفات الرقمية</w:t>
      </w:r>
      <w:r>
        <w:rPr>
          <w:rStyle w:val="None"/>
          <w:rFonts w:ascii="Times New Roman" w:hAnsi="Times New Roman"/>
          <w:sz w:val="24"/>
          <w:szCs w:val="24"/>
          <w:rtl/>
          <w:lang w:val="ar-SA"/>
        </w:rPr>
        <w:t>.</w:t>
      </w:r>
    </w:p>
    <w:p w14:paraId="7B4936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اتفاقية تريبس التي تم اعتمادها عام </w:t>
      </w:r>
      <w:r>
        <w:rPr>
          <w:rStyle w:val="None"/>
          <w:rFonts w:ascii="Times New Roman" w:hAnsi="Times New Roman"/>
          <w:sz w:val="24"/>
          <w:szCs w:val="24"/>
          <w:rtl/>
          <w:lang w:val="ar-SA"/>
        </w:rPr>
        <w:t xml:space="preserve">1994 </w:t>
      </w:r>
      <w:r>
        <w:rPr>
          <w:rStyle w:val="None"/>
          <w:rFonts w:ascii="Arial Unicode MS" w:hAnsi="Arial Unicode MS" w:cs="Times New Roman" w:hint="cs"/>
          <w:sz w:val="24"/>
          <w:szCs w:val="24"/>
          <w:rtl/>
          <w:lang w:val="ar-SA"/>
        </w:rPr>
        <w:t xml:space="preserve">ولم يتم أي تعديل على الاتفاقية، ولكن قد وضعت إطارًا قانونيًّا يشمل حماية حقوق الملكية الفكرية على المستوى الدولي، إلا أنَّه بعد مرور أكثر من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عام على اعتمادها وعدم تحديث نصوصها القانونية، خاصة في مجال حماية حقوق المؤلف في البيئة الرقمية، كان لا بُدَّ من إعادة النظر في الاتفاقية مرة أخرى وتعديلها؛ لكي تواكب التطوُّرات الحديثة والتشريعات الحديثة لحماية حقوق الملكية الفكرية في البيئة الرقمية</w:t>
      </w:r>
      <w:r>
        <w:rPr>
          <w:rStyle w:val="None"/>
          <w:rFonts w:ascii="Times New Roman" w:hAnsi="Times New Roman"/>
          <w:sz w:val="24"/>
          <w:szCs w:val="24"/>
          <w:rtl/>
          <w:lang w:val="ar-SA"/>
        </w:rPr>
        <w:t>.</w:t>
      </w:r>
    </w:p>
    <w:p w14:paraId="209440E5" w14:textId="3A85F522" w:rsidR="00454428" w:rsidRPr="00D21748" w:rsidRDefault="00000000">
      <w:pPr>
        <w:pStyle w:val="a7"/>
        <w:numPr>
          <w:ilvl w:val="0"/>
          <w:numId w:val="100"/>
        </w:numPr>
        <w:spacing w:before="120" w:after="120" w:line="360" w:lineRule="auto"/>
        <w:jc w:val="both"/>
        <w:rPr>
          <w:rStyle w:val="None"/>
          <w:rFonts w:cs="Times New Roman"/>
          <w:b/>
          <w:bCs/>
          <w:sz w:val="24"/>
          <w:szCs w:val="24"/>
          <w:lang w:val="ar-SA"/>
        </w:rPr>
      </w:pPr>
      <w:r>
        <w:rPr>
          <w:rStyle w:val="None"/>
          <w:rFonts w:cs="Times New Roman"/>
          <w:b/>
          <w:bCs/>
          <w:sz w:val="24"/>
          <w:szCs w:val="24"/>
          <w:rtl/>
          <w:lang w:val="ar-SA"/>
        </w:rPr>
        <w:t xml:space="preserve">اتفاقية </w:t>
      </w:r>
      <w:r>
        <w:rPr>
          <w:rStyle w:val="None"/>
          <w:rFonts w:ascii="Times New Roman" w:hAnsi="Times New Roman"/>
          <w:b/>
          <w:bCs/>
          <w:sz w:val="24"/>
          <w:szCs w:val="24"/>
          <w:rtl/>
          <w:lang w:val="ar-SA"/>
        </w:rPr>
        <w:t>(</w:t>
      </w:r>
      <w:r>
        <w:rPr>
          <w:rStyle w:val="None"/>
          <w:rFonts w:cs="Times New Roman"/>
          <w:b/>
          <w:bCs/>
          <w:sz w:val="24"/>
          <w:szCs w:val="24"/>
          <w:rtl/>
          <w:lang w:val="ar-SA"/>
        </w:rPr>
        <w:t>روما</w:t>
      </w:r>
      <w:r>
        <w:rPr>
          <w:rStyle w:val="None"/>
          <w:rFonts w:ascii="Times New Roman" w:hAnsi="Times New Roman"/>
          <w:b/>
          <w:bCs/>
          <w:sz w:val="24"/>
          <w:szCs w:val="24"/>
          <w:rtl/>
          <w:lang w:val="ar-SA"/>
        </w:rPr>
        <w:t xml:space="preserve">) </w:t>
      </w:r>
      <w:r>
        <w:rPr>
          <w:rStyle w:val="None"/>
          <w:rFonts w:cs="Times New Roman"/>
          <w:b/>
          <w:bCs/>
          <w:sz w:val="24"/>
          <w:szCs w:val="24"/>
          <w:rtl/>
          <w:lang w:val="ar-SA"/>
        </w:rPr>
        <w:t xml:space="preserve">الخاصة بحماية فناني الأداء ومنتجي التسجيلات الصوتية </w:t>
      </w:r>
      <w:r>
        <w:rPr>
          <w:rStyle w:val="None"/>
          <w:rFonts w:ascii="Times New Roman" w:hAnsi="Times New Roman"/>
          <w:b/>
          <w:bCs/>
          <w:sz w:val="24"/>
          <w:szCs w:val="24"/>
          <w:rtl/>
          <w:lang w:val="ar-SA"/>
        </w:rPr>
        <w:t>(</w:t>
      </w:r>
      <w:r>
        <w:rPr>
          <w:rStyle w:val="None"/>
          <w:rFonts w:cs="Times New Roman"/>
          <w:b/>
          <w:bCs/>
          <w:sz w:val="24"/>
          <w:szCs w:val="24"/>
          <w:rtl/>
          <w:lang w:val="ar-SA"/>
        </w:rPr>
        <w:t>الفونوغرامات</w:t>
      </w:r>
      <w:r>
        <w:rPr>
          <w:rStyle w:val="None"/>
          <w:rFonts w:ascii="Times New Roman" w:hAnsi="Times New Roman"/>
          <w:b/>
          <w:bCs/>
          <w:sz w:val="24"/>
          <w:szCs w:val="24"/>
          <w:rtl/>
          <w:lang w:val="ar-SA"/>
        </w:rPr>
        <w:t xml:space="preserve">) </w:t>
      </w:r>
      <w:r>
        <w:rPr>
          <w:rStyle w:val="None"/>
          <w:rFonts w:cs="Times New Roman"/>
          <w:b/>
          <w:bCs/>
          <w:sz w:val="24"/>
          <w:szCs w:val="24"/>
          <w:rtl/>
          <w:lang w:val="ar-SA"/>
        </w:rPr>
        <w:t>هيئات الإذاعة</w:t>
      </w:r>
      <w:r>
        <w:rPr>
          <w:rStyle w:val="None"/>
          <w:rFonts w:ascii="Times New Roman" w:hAnsi="Times New Roman"/>
          <w:b/>
          <w:bCs/>
          <w:sz w:val="24"/>
          <w:szCs w:val="24"/>
          <w:rtl/>
          <w:lang w:val="ar-SA"/>
        </w:rPr>
        <w:t>:</w:t>
      </w:r>
      <w:r w:rsidRPr="00D21748">
        <w:rPr>
          <w:rStyle w:val="None"/>
          <w:rFonts w:cs="Times New Roman"/>
          <w:sz w:val="24"/>
          <w:szCs w:val="24"/>
          <w:rtl/>
          <w:lang w:val="ar-SA"/>
        </w:rPr>
        <w:t xml:space="preserve">ومن المنظمة العالمية للملكية الفكرية الاتفاقية الخاصة بحماية فناني الأداء ومنتجي التسجيلات الصوتية وهيئات </w:t>
      </w:r>
      <w:r w:rsidRPr="00D21748">
        <w:rPr>
          <w:rStyle w:val="None"/>
          <w:rFonts w:cs="Times New Roman"/>
          <w:sz w:val="24"/>
          <w:szCs w:val="24"/>
          <w:rtl/>
          <w:lang w:val="ar-SA"/>
        </w:rPr>
        <w:lastRenderedPageBreak/>
        <w:t xml:space="preserve">الإذاعة ومقرها روما في عام </w:t>
      </w:r>
      <w:r w:rsidRPr="00D21748">
        <w:rPr>
          <w:rStyle w:val="None"/>
          <w:rFonts w:ascii="Times New Roman" w:hAnsi="Times New Roman"/>
          <w:sz w:val="24"/>
          <w:szCs w:val="24"/>
          <w:rtl/>
          <w:lang w:val="ar-SA"/>
        </w:rPr>
        <w:t>1961</w:t>
      </w:r>
      <w:r w:rsidRPr="00D21748">
        <w:rPr>
          <w:rStyle w:val="None"/>
          <w:rFonts w:cs="Times New Roman"/>
          <w:sz w:val="24"/>
          <w:szCs w:val="24"/>
          <w:rtl/>
          <w:lang w:val="ar-SA"/>
        </w:rPr>
        <w:t xml:space="preserve">م عُقِدَت اتفاقية روما، وبلغ عدد أعضائها حتى عام </w:t>
      </w:r>
      <w:r w:rsidRPr="00D21748">
        <w:rPr>
          <w:rStyle w:val="None"/>
          <w:rFonts w:ascii="Times New Roman" w:hAnsi="Times New Roman"/>
          <w:sz w:val="24"/>
          <w:szCs w:val="24"/>
          <w:rtl/>
          <w:lang w:val="ar-SA"/>
        </w:rPr>
        <w:t>2000</w:t>
      </w:r>
      <w:r w:rsidRPr="00D21748">
        <w:rPr>
          <w:rStyle w:val="None"/>
          <w:rFonts w:cs="Times New Roman"/>
          <w:sz w:val="24"/>
          <w:szCs w:val="24"/>
          <w:rtl/>
          <w:lang w:val="ar-SA"/>
        </w:rPr>
        <w:t xml:space="preserve">م </w:t>
      </w:r>
      <w:r w:rsidRPr="00D21748">
        <w:rPr>
          <w:rStyle w:val="None"/>
          <w:rFonts w:ascii="Times New Roman" w:hAnsi="Times New Roman"/>
          <w:sz w:val="24"/>
          <w:szCs w:val="24"/>
          <w:rtl/>
          <w:lang w:val="ar-SA"/>
        </w:rPr>
        <w:t xml:space="preserve">(87) </w:t>
      </w:r>
      <w:r w:rsidRPr="00D21748">
        <w:rPr>
          <w:rStyle w:val="None"/>
          <w:rFonts w:cs="Times New Roman"/>
          <w:sz w:val="24"/>
          <w:szCs w:val="24"/>
          <w:rtl/>
          <w:lang w:val="ar-SA"/>
        </w:rPr>
        <w:t>دولةً، ومضمون الاتفاقية هو حماية فناني الأداء من استنتاج أو بث أعمالهم دون موافقتهم كما جاء في المادة السابعة</w:t>
      </w:r>
      <w:r w:rsidRPr="00D21748">
        <w:rPr>
          <w:rStyle w:val="None"/>
          <w:rFonts w:ascii="Times New Roman" w:hAnsi="Times New Roman"/>
          <w:sz w:val="24"/>
          <w:szCs w:val="24"/>
          <w:rtl/>
          <w:lang w:val="ar-SA"/>
        </w:rPr>
        <w:t xml:space="preserve">. </w:t>
      </w:r>
      <w:r w:rsidRPr="00D21748">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4"/>
      </w:r>
      <w:r w:rsidRPr="00D21748">
        <w:rPr>
          <w:rStyle w:val="None"/>
          <w:rFonts w:ascii="Times New Roman" w:hAnsi="Times New Roman"/>
          <w:sz w:val="24"/>
          <w:szCs w:val="24"/>
          <w:vertAlign w:val="superscript"/>
          <w:rtl/>
          <w:lang w:val="ar-SA"/>
        </w:rPr>
        <w:t>)</w:t>
      </w:r>
      <w:r w:rsidR="00D21748">
        <w:rPr>
          <w:rStyle w:val="None"/>
          <w:rFonts w:ascii="Times New Roman" w:hAnsi="Times New Roman"/>
          <w:sz w:val="24"/>
          <w:szCs w:val="24"/>
          <w:vertAlign w:val="superscript"/>
          <w:rtl/>
          <w:lang w:val="ar-SA"/>
        </w:rPr>
        <w:t xml:space="preserve"> </w:t>
      </w:r>
      <w:r w:rsidRPr="00D21748">
        <w:rPr>
          <w:rStyle w:val="None"/>
          <w:rFonts w:cs="Times New Roman"/>
          <w:sz w:val="24"/>
          <w:szCs w:val="24"/>
          <w:rtl/>
          <w:lang w:val="ar-SA"/>
        </w:rPr>
        <w:t xml:space="preserve">وقد نصت المادة </w:t>
      </w:r>
      <w:r w:rsidRPr="00D21748">
        <w:rPr>
          <w:rStyle w:val="None"/>
          <w:rFonts w:ascii="Times New Roman" w:hAnsi="Times New Roman"/>
          <w:sz w:val="24"/>
          <w:szCs w:val="24"/>
          <w:rtl/>
          <w:lang w:val="ar-SA"/>
        </w:rPr>
        <w:t xml:space="preserve">(7) </w:t>
      </w:r>
      <w:r w:rsidRPr="00D21748">
        <w:rPr>
          <w:rStyle w:val="None"/>
          <w:rFonts w:cs="Times New Roman"/>
          <w:sz w:val="24"/>
          <w:szCs w:val="24"/>
          <w:rtl/>
          <w:lang w:val="ar-SA"/>
        </w:rPr>
        <w:t>من تلك الاتفاقية على</w:t>
      </w:r>
      <w:r w:rsidRPr="00D21748">
        <w:rPr>
          <w:rStyle w:val="None"/>
          <w:rFonts w:ascii="Times New Roman" w:hAnsi="Times New Roman"/>
          <w:sz w:val="24"/>
          <w:szCs w:val="24"/>
          <w:rtl/>
          <w:lang w:val="ar-SA"/>
        </w:rPr>
        <w:t>:</w:t>
      </w:r>
    </w:p>
    <w:p w14:paraId="728A5CDE"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الحماية المنصوص عليها في هذه الاتفاقية لصالح فناني الأداء لإمكانية منع ما يلي</w:t>
      </w:r>
      <w:r>
        <w:rPr>
          <w:rStyle w:val="None"/>
          <w:rFonts w:ascii="Times New Roman" w:hAnsi="Times New Roman"/>
          <w:sz w:val="24"/>
          <w:szCs w:val="24"/>
          <w:rtl/>
          <w:lang w:val="ar-SA"/>
        </w:rPr>
        <w:t>:</w:t>
      </w:r>
    </w:p>
    <w:p w14:paraId="41199C05"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إذاعة أدائهم غير المثبت دون موافقتهم، إلا إذا كان الأداء المستعجل في الإذاعة أو النقل إلى الجمهور هو نفسه أداء أذيع في السابق أو أجري بالاستناد إلى تثبيت</w:t>
      </w:r>
      <w:r>
        <w:rPr>
          <w:rStyle w:val="None"/>
          <w:rFonts w:ascii="Times New Roman" w:hAnsi="Times New Roman"/>
          <w:sz w:val="24"/>
          <w:szCs w:val="24"/>
          <w:rtl/>
          <w:lang w:val="ar-SA"/>
        </w:rPr>
        <w:t>.</w:t>
      </w:r>
    </w:p>
    <w:p w14:paraId="0E8350E6"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تثبيت أدائهم غير المثبت دون موافقتهم</w:t>
      </w:r>
      <w:r>
        <w:rPr>
          <w:rStyle w:val="None"/>
          <w:rFonts w:ascii="Times New Roman" w:hAnsi="Times New Roman"/>
          <w:sz w:val="24"/>
          <w:szCs w:val="24"/>
          <w:rtl/>
          <w:lang w:val="ar-SA"/>
        </w:rPr>
        <w:t>.</w:t>
      </w:r>
    </w:p>
    <w:p w14:paraId="5EC33C4D"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استنساخ أي تثبيت لأدائهم دون موافقتهم</w:t>
      </w:r>
      <w:r>
        <w:rPr>
          <w:rStyle w:val="None"/>
          <w:rFonts w:ascii="Times New Roman" w:hAnsi="Times New Roman"/>
          <w:sz w:val="24"/>
          <w:szCs w:val="24"/>
          <w:rtl/>
          <w:lang w:val="ar-SA"/>
        </w:rPr>
        <w:t>.</w:t>
      </w:r>
    </w:p>
    <w:p w14:paraId="02ED5162"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التثبيت الأصلي نفسه دون موافقتهم</w:t>
      </w:r>
      <w:r>
        <w:rPr>
          <w:rStyle w:val="None"/>
          <w:rFonts w:ascii="Times New Roman" w:hAnsi="Times New Roman"/>
          <w:sz w:val="24"/>
          <w:szCs w:val="24"/>
          <w:rtl/>
          <w:lang w:val="ar-SA"/>
        </w:rPr>
        <w:t>.</w:t>
      </w:r>
    </w:p>
    <w:p w14:paraId="6557D64B"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الاستنساخ لأغراض تختلف عن الأغراض التي وافقوا عليها</w:t>
      </w:r>
      <w:r>
        <w:rPr>
          <w:rStyle w:val="None"/>
          <w:rFonts w:ascii="Times New Roman" w:hAnsi="Times New Roman"/>
          <w:sz w:val="24"/>
          <w:szCs w:val="24"/>
          <w:rtl/>
          <w:lang w:val="ar-SA"/>
        </w:rPr>
        <w:t>.</w:t>
      </w:r>
    </w:p>
    <w:p w14:paraId="75C4F634"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إذا أجري التثبيت الأصلي وفقًا لأحكام المادة </w:t>
      </w:r>
      <w:r>
        <w:rPr>
          <w:rStyle w:val="None"/>
          <w:rFonts w:ascii="Times New Roman" w:hAnsi="Times New Roman"/>
          <w:sz w:val="24"/>
          <w:szCs w:val="24"/>
          <w:rtl/>
          <w:lang w:val="ar-SA"/>
        </w:rPr>
        <w:t>(15)</w:t>
      </w:r>
      <w:r>
        <w:rPr>
          <w:rStyle w:val="None"/>
          <w:rFonts w:cs="Times New Roman"/>
          <w:sz w:val="24"/>
          <w:szCs w:val="24"/>
          <w:rtl/>
          <w:lang w:val="ar-SA"/>
        </w:rPr>
        <w:t>، وجرى استنساخه لأغراض تختلف عن الأغراض المشار إليها في تلك الأحكام</w:t>
      </w:r>
      <w:r>
        <w:rPr>
          <w:rStyle w:val="None"/>
          <w:rFonts w:ascii="Times New Roman" w:hAnsi="Times New Roman"/>
          <w:sz w:val="24"/>
          <w:szCs w:val="24"/>
          <w:rtl/>
          <w:lang w:val="ar-SA"/>
        </w:rPr>
        <w:t>.</w:t>
      </w:r>
    </w:p>
    <w:p w14:paraId="20261C82" w14:textId="77777777" w:rsidR="00454428" w:rsidRDefault="00000000">
      <w:pPr>
        <w:pStyle w:val="a7"/>
        <w:numPr>
          <w:ilvl w:val="0"/>
          <w:numId w:val="11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يختص القانون الوطني للدولة المتعاقدة التي تطلب الحماية في أراضيها بتنظيم الحماية من إعادة بث أي أداء، وتثبيته بغرض إذاعته واستنساخ التثبيت بغرض إذاعته، شرط موافقة فنان الأداء على إذاعة أداته</w:t>
      </w:r>
      <w:r>
        <w:rPr>
          <w:rStyle w:val="None"/>
          <w:rFonts w:ascii="Times New Roman" w:hAnsi="Times New Roman"/>
          <w:sz w:val="24"/>
          <w:szCs w:val="24"/>
          <w:rtl/>
          <w:lang w:val="ar-SA"/>
        </w:rPr>
        <w:t xml:space="preserve">. </w:t>
      </w:r>
    </w:p>
    <w:p w14:paraId="71206531"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تحدد شروط انتفاع هيئات الإذاعة بالتثبيتات التي تُجرَى لأغراض الإذاعة، وفقًا للقانون الوطني للدولة المتعاقدة التي تطلب الحماية في أراضيها</w:t>
      </w:r>
      <w:r>
        <w:rPr>
          <w:rStyle w:val="None"/>
          <w:rFonts w:ascii="Times New Roman" w:hAnsi="Times New Roman"/>
          <w:sz w:val="24"/>
          <w:szCs w:val="24"/>
          <w:rtl/>
          <w:lang w:val="ar-SA"/>
        </w:rPr>
        <w:t>.</w:t>
      </w:r>
    </w:p>
    <w:p w14:paraId="02D6EAF6"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ذلك لا يجوز حرمان فناني الأداء من إمكانية تنظيم علاقاتهم مع هيئات الإذاعة على أساس تعاقدي نتيجة لتطبيق القانوني الوطني</w:t>
      </w:r>
      <w:r>
        <w:rPr>
          <w:rStyle w:val="None"/>
          <w:rFonts w:ascii="Times New Roman" w:hAnsi="Times New Roman"/>
          <w:sz w:val="24"/>
          <w:szCs w:val="24"/>
          <w:rtl/>
          <w:lang w:val="ar-SA"/>
        </w:rPr>
        <w:t>.</w:t>
      </w:r>
    </w:p>
    <w:p w14:paraId="0A0090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المادة العاشرة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تناولت أمر حماية المنتجين الذين أنتجوا تسجيلاتهم الصوتية مثبتة من استنساخها سواء كان ذلك الاستنساخ مباشر أو غير مباشر، أما المادة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خصت هيئات الإذاعة أو كفلت لها حماية بموجبها تمنح هيئات الإذاعة من بث برامجها أو استنساخها لأغراض تجارية إلا أنَّ هذه الاتفاقية وغيرها من الاتفاقيات المشابهة تخضع للمراقبة بشكل مستمر؛ ذلك لازدياد حالات الفرضية وتطوُّر أساليبها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C37D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تمنح اتفاقية روما الناشئة عن المنظمة العالمية للملكية الفكرية حمايةً قانونيةً لفناني الأداء ومنتجي التسجيلات الصوتية، فقد نصت في نصوص موادها على منع استنساخ مؤلفات الآخرين دون الحصول على موافقتهم، بالإضافة إلى أنَّها تركت الحرية لكل دولة متعاقدة في هذه الاتفاقية على تنظيم الحماية وفقًا لقنونها الوطني</w:t>
      </w:r>
      <w:r>
        <w:rPr>
          <w:rStyle w:val="None"/>
          <w:rFonts w:ascii="Times New Roman" w:hAnsi="Times New Roman"/>
          <w:sz w:val="24"/>
          <w:szCs w:val="24"/>
          <w:rtl/>
          <w:lang w:val="ar-SA"/>
        </w:rPr>
        <w:t>.</w:t>
      </w:r>
    </w:p>
    <w:p w14:paraId="30B2A6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القواعد العامة لاتفاقية روما يمكن تطبيقها على حماية حقوق فناني الأداء ومنتجي التسجيلات الصوتية، من نسخ أو نشر مؤلفات عبر شبكات الإنترنت، ولكن تحتاج الاتفاقية إلى تعديلها؛ لأنَّه تم تحديث التشريعات الوطنية على المستوى الدولي؛ لكي تتم ملاءمتها مع التطوُّرات التكنولوجية الحديثة؛ لحماية فناني الأداء والتسجيلات الصوتية في البيئة الرقمية</w:t>
      </w:r>
      <w:r>
        <w:rPr>
          <w:rStyle w:val="None"/>
          <w:rFonts w:ascii="Times New Roman" w:hAnsi="Times New Roman"/>
          <w:sz w:val="24"/>
          <w:szCs w:val="24"/>
          <w:rtl/>
          <w:lang w:val="ar-SA"/>
        </w:rPr>
        <w:t xml:space="preserve">. </w:t>
      </w:r>
    </w:p>
    <w:p w14:paraId="50A2D0D5" w14:textId="77777777" w:rsidR="00454428" w:rsidRDefault="00000000">
      <w:pPr>
        <w:pStyle w:val="a7"/>
        <w:numPr>
          <w:ilvl w:val="0"/>
          <w:numId w:val="11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منظمة الويبو </w:t>
      </w:r>
      <w:r>
        <w:rPr>
          <w:rStyle w:val="None"/>
          <w:rFonts w:ascii="Times New Roman" w:hAnsi="Times New Roman"/>
          <w:b/>
          <w:bCs/>
          <w:sz w:val="24"/>
          <w:szCs w:val="24"/>
          <w:rtl/>
          <w:lang w:val="ar-SA"/>
        </w:rPr>
        <w:t>(</w:t>
      </w:r>
      <w:r>
        <w:rPr>
          <w:rStyle w:val="None"/>
          <w:rFonts w:cs="Times New Roman"/>
          <w:b/>
          <w:bCs/>
          <w:sz w:val="24"/>
          <w:szCs w:val="24"/>
          <w:rtl/>
          <w:lang w:val="ar-SA"/>
        </w:rPr>
        <w:t>المنظمة العالمية للملكية الفكرية</w:t>
      </w:r>
      <w:r>
        <w:rPr>
          <w:rStyle w:val="None"/>
          <w:rFonts w:ascii="Times New Roman" w:hAnsi="Times New Roman"/>
          <w:b/>
          <w:bCs/>
          <w:sz w:val="24"/>
          <w:szCs w:val="24"/>
          <w:rtl/>
          <w:lang w:val="ar-SA"/>
        </w:rPr>
        <w:t>):</w:t>
      </w:r>
    </w:p>
    <w:p w14:paraId="113254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العصر الذي نعيشه عصر الإنترنت والتكنولوجيا الحديثة الذي أثر بشكل كبير في المنظومة التشريعية للملكية الفكرية عامةً وحقوق المؤلف خاصةً؛ ممَّا جعل المجتمع الدولي يجد قصورًا في حماية المبدعين والمفكرين في ظل التطوُّر السريع والحديث الذي يعتمد على الإنترنت والرقمنة، وحرصًا على استمرار الإبداع الفكري لهم وطمأنتهم؛ حيث سارع إلى إيجاد حل أو إتاحة ضمانات، وفرض قواعد رادعة تمنع المساس بالحقوق الفكرية بشتى أنواعها في ظل المواقع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6"/>
      </w:r>
      <w:r>
        <w:rPr>
          <w:rStyle w:val="None"/>
          <w:rFonts w:ascii="Times New Roman" w:hAnsi="Times New Roman"/>
          <w:sz w:val="24"/>
          <w:szCs w:val="24"/>
          <w:vertAlign w:val="superscript"/>
          <w:rtl/>
          <w:lang w:val="ar-SA"/>
        </w:rPr>
        <w:t>)</w:t>
      </w:r>
    </w:p>
    <w:p w14:paraId="52E7F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المنظمة العالمية للملكية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أهم المنظمات الدولية التي ظهرت في هذا المجال؛ حيث أصبحت هذه الأخيرة الجهة الدولية الوحيدة التي تدير سائر اتفاقيات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7"/>
      </w:r>
      <w:r>
        <w:rPr>
          <w:rStyle w:val="None"/>
          <w:rFonts w:ascii="Times New Roman" w:hAnsi="Times New Roman"/>
          <w:sz w:val="24"/>
          <w:szCs w:val="24"/>
          <w:vertAlign w:val="superscript"/>
          <w:rtl/>
          <w:lang w:val="ar-SA"/>
        </w:rPr>
        <w:t>)</w:t>
      </w:r>
    </w:p>
    <w:p w14:paraId="281EE8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وتأسست هذه المنظمة طبقًا لاتفاقية استوكهولهم عام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ومقرها الرئيسي جنيف بسويسرا، وتهدف هذه المنظمة إلى حماية حقوق الملكية الفكرية في كل دول العالم، وتطوير آليات الحماية للملكية الفكرية، وتقديم الدراسات والمعلومات الخاصة بتقديم خدمات مراجعة وثائق طلب حماية الملكية الفكرية، والمساعدة في تحديث التشريعات الوطنية للدول الأعضاء، ونقل التكنولوجيا المرتبطة بالملكية الصناعية إلى الدول النامية، وإدارة الاتفاقيات المتعددة الأطراف المتعلقة بالأوجه القانونية، والإدارية للمليكة الفكرية في شقيها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الملكية الصناعية، وحق المؤلف، والحقوق المجاورة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8"/>
      </w:r>
      <w:r>
        <w:rPr>
          <w:rStyle w:val="None"/>
          <w:rFonts w:ascii="Times New Roman" w:hAnsi="Times New Roman"/>
          <w:sz w:val="24"/>
          <w:szCs w:val="24"/>
          <w:vertAlign w:val="superscript"/>
          <w:rtl/>
          <w:lang w:val="ar-SA"/>
        </w:rPr>
        <w:t>)</w:t>
      </w:r>
    </w:p>
    <w:p w14:paraId="44CE74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ونشأت المنظمة العالمية للملكية الفكرية، والتي يشار إليها بالاختصار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كتطوُّر للمكتب الدولي للملكية الفكرية؛ إذْ تم نقله إلى جنيف العاصمة السويسرية عام </w:t>
      </w:r>
      <w:r>
        <w:rPr>
          <w:rStyle w:val="None"/>
          <w:rFonts w:ascii="Times New Roman" w:hAnsi="Times New Roman"/>
          <w:sz w:val="24"/>
          <w:szCs w:val="24"/>
          <w:rtl/>
          <w:lang w:val="ar-SA"/>
        </w:rPr>
        <w:t>1960</w:t>
      </w:r>
      <w:r>
        <w:rPr>
          <w:rStyle w:val="None"/>
          <w:rFonts w:ascii="Arial Unicode MS" w:hAnsi="Arial Unicode MS" w:cs="Times New Roman" w:hint="cs"/>
          <w:sz w:val="24"/>
          <w:szCs w:val="24"/>
          <w:rtl/>
          <w:lang w:val="ar-SA"/>
        </w:rPr>
        <w:t xml:space="preserve">م، وفي عام </w:t>
      </w:r>
      <w:r>
        <w:rPr>
          <w:rStyle w:val="None"/>
          <w:rFonts w:ascii="Times New Roman" w:hAnsi="Times New Roman"/>
          <w:sz w:val="24"/>
          <w:szCs w:val="24"/>
          <w:rtl/>
          <w:lang w:val="ar-SA"/>
        </w:rPr>
        <w:t>1974</w:t>
      </w:r>
      <w:r>
        <w:rPr>
          <w:rStyle w:val="None"/>
          <w:rFonts w:ascii="Arial Unicode MS" w:hAnsi="Arial Unicode MS" w:cs="Times New Roman" w:hint="cs"/>
          <w:sz w:val="24"/>
          <w:szCs w:val="24"/>
          <w:rtl/>
          <w:lang w:val="ar-SA"/>
        </w:rPr>
        <w:t>م أصبحت الويبو وكالةً متخصصةً من وكالات الأمم المتحدة، مكلفةً بإدارة شئون الملكية الفكرية، ولقد جاء في اتفاقية إنشاؤها أنَّ هدفها هو دعم وحماية الملكية الفكرية تشجيعًا للابتكار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F4F8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وتعتبر اتفاقية الويبو الأولى بشأن المؤلف من أحدث ما تم وضعه فيما يخص الحماية الدولية لحق المؤلف، بحيث أنَّها قد مدت نطاق الحماية المقررة في ظل الاتفاقيات الدولية السابقة لها لتشمل مصنفات أخرى لم تكن متمتعةً بالحماية، كما عالجت جملةً من الإشكالات المطروحة في مجال حماية حق المؤلف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8CE25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تعتبر المنظمة العالمية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إحدى أكبر منظمات الأمم المتحدة من خلال أنشطة مخاطبة الجمهور على النهوض بفهم أفضل لنظام الملكية الفكرية، ودوره في حفز الإبداع والابتكار، وقد أصبحت أنشطة التوعية بالملكية الفكرية من أولويات العديد من الدول الأعضاء التي تشاطرنا الاقتناع بأنَّ فهم الملكية الفكرية واحترامها إذا ما زاد واتسع ارتفعت فاعلية إسهامها في تحقيق الرخاء الاقتصادي والثقافي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1"/>
      </w:r>
      <w:r>
        <w:rPr>
          <w:rStyle w:val="None"/>
          <w:rFonts w:ascii="Times New Roman" w:hAnsi="Times New Roman"/>
          <w:sz w:val="24"/>
          <w:szCs w:val="24"/>
          <w:vertAlign w:val="superscript"/>
          <w:rtl/>
          <w:lang w:val="ar-SA"/>
        </w:rPr>
        <w:t>)</w:t>
      </w:r>
    </w:p>
    <w:p w14:paraId="478199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المنظمة تدعم حماية الملكية الفكرية في جميع أنحاء العالم عن طريق التعاون بين الدول، وبالتعاون مع أي منظمة دولية أخرى حيثما كان ذلك ملائمًا، وضمان التعاون الإداري بين الاتحادات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EFB8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ويتضح من ذلك أنَّ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تعمل على دعم حماية حقوق الملكية الفكرية في جميع أنحاء العالم، سواء في البلدان المتقدمة النمو أو البلدان النامية، من خلال التعاون بين الدول وعند الاقتضاء بمساعدة المنظمات الدولية، وذلك في سبيل تشجيع النشاط الفكري؛ ممَّا يساعد في التنمية الثقافية والاجتماعية والاقتصادية</w:t>
      </w:r>
      <w:r>
        <w:rPr>
          <w:rStyle w:val="None"/>
          <w:rFonts w:ascii="Times New Roman" w:hAnsi="Times New Roman"/>
          <w:sz w:val="24"/>
          <w:szCs w:val="24"/>
          <w:rtl/>
          <w:lang w:val="ar-SA"/>
        </w:rPr>
        <w:t>.</w:t>
      </w:r>
    </w:p>
    <w:p w14:paraId="748754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لتحقيق الأغراض المبنية في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أنَّ المنظمة عن طريق أجهزتها المختصة، ومع مراعاة اختصاص كل من الاتحادات</w:t>
      </w:r>
      <w:r>
        <w:rPr>
          <w:rStyle w:val="None"/>
          <w:rFonts w:ascii="Times New Roman" w:hAnsi="Times New Roman"/>
          <w:sz w:val="24"/>
          <w:szCs w:val="24"/>
          <w:rtl/>
          <w:lang w:val="ar-SA"/>
        </w:rPr>
        <w:t>:</w:t>
      </w:r>
    </w:p>
    <w:p w14:paraId="06B099B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تعمل على دعم اتخاذ الإجراءات التي تهدف إلى تيسير الحماية الفعَّالة للملكية الفكرية في جميع أنحاء العالم، وإلى تنسيق التشريعات الوطنية في هذا المجال</w:t>
      </w:r>
      <w:r>
        <w:rPr>
          <w:rStyle w:val="None"/>
          <w:rFonts w:ascii="Times New Roman" w:hAnsi="Times New Roman"/>
          <w:sz w:val="24"/>
          <w:szCs w:val="24"/>
          <w:rtl/>
          <w:lang w:val="ar-SA"/>
        </w:rPr>
        <w:t xml:space="preserve">. </w:t>
      </w:r>
    </w:p>
    <w:p w14:paraId="4004F7D6"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تقوم بالمهام الإدارية لاتحاد باريس، وللاتحادات الخاصة المنشأة فيما يتعلق بذلك الاتحاد ولاتحاد برن</w:t>
      </w:r>
      <w:r>
        <w:rPr>
          <w:rStyle w:val="None"/>
          <w:rFonts w:ascii="Times New Roman" w:hAnsi="Times New Roman"/>
          <w:sz w:val="24"/>
          <w:szCs w:val="24"/>
          <w:rtl/>
          <w:lang w:val="ar-SA"/>
        </w:rPr>
        <w:t>.</w:t>
      </w:r>
    </w:p>
    <w:p w14:paraId="19A4B319"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يجوز لها أنْ تقبل تولي المهام الإدارية الناشئة عن تنفيذ أي اتفاق دولي آخر، يهدف إلى دعم حماية الملكية الفكرية أو المشاركة في مثل هذه المهام</w:t>
      </w:r>
      <w:r>
        <w:rPr>
          <w:rStyle w:val="None"/>
          <w:rFonts w:ascii="Times New Roman" w:hAnsi="Times New Roman"/>
          <w:sz w:val="24"/>
          <w:szCs w:val="24"/>
          <w:rtl/>
          <w:lang w:val="ar-SA"/>
        </w:rPr>
        <w:t>.</w:t>
      </w:r>
    </w:p>
    <w:p w14:paraId="5E777E34"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إبرام الاتفاقات الدولية التي تهدف إلى تدعيم حماية الملكية الفكرية</w:t>
      </w:r>
      <w:r>
        <w:rPr>
          <w:rStyle w:val="None"/>
          <w:rFonts w:ascii="Times New Roman" w:hAnsi="Times New Roman"/>
          <w:sz w:val="24"/>
          <w:szCs w:val="24"/>
          <w:rtl/>
          <w:lang w:val="ar-SA"/>
        </w:rPr>
        <w:t>.</w:t>
      </w:r>
    </w:p>
    <w:p w14:paraId="29316C9B"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تعرض تعاونها على الدول التي تطلب المساعدة القانونية الفنية في مجال الملكية الفكرية</w:t>
      </w:r>
      <w:r>
        <w:rPr>
          <w:rStyle w:val="None"/>
          <w:rFonts w:ascii="Times New Roman" w:hAnsi="Times New Roman"/>
          <w:sz w:val="24"/>
          <w:szCs w:val="24"/>
          <w:rtl/>
          <w:lang w:val="ar-SA"/>
        </w:rPr>
        <w:t>.</w:t>
      </w:r>
    </w:p>
    <w:p w14:paraId="6820365F"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تجمع المعلومات الخاصة بحماية الملكية الفكرية وتنشرها، وتجري الدراسات في هذا المجال وتشجعها، وتنشر نتائج تلك الدراسات</w:t>
      </w:r>
      <w:r>
        <w:rPr>
          <w:rStyle w:val="None"/>
          <w:rFonts w:ascii="Times New Roman" w:hAnsi="Times New Roman"/>
          <w:sz w:val="24"/>
          <w:szCs w:val="24"/>
          <w:rtl/>
          <w:lang w:val="ar-SA"/>
        </w:rPr>
        <w:t>.</w:t>
      </w:r>
    </w:p>
    <w:p w14:paraId="36D2BFF7"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توفر الخدمات التي تيسر الحماية الدولية للملكية الفكرية، وتنهض بأعباء التسجيل في هذا المجال، كما تنشر البيانات الخاصة بالتسجيلات حيثما كان ذلك ملائمًا</w:t>
      </w:r>
      <w:r>
        <w:rPr>
          <w:rStyle w:val="None"/>
          <w:rFonts w:ascii="Times New Roman" w:hAnsi="Times New Roman"/>
          <w:sz w:val="24"/>
          <w:szCs w:val="24"/>
          <w:rtl/>
          <w:lang w:val="ar-SA"/>
        </w:rPr>
        <w:t>.</w:t>
      </w:r>
    </w:p>
    <w:p w14:paraId="4E1B3E5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تتخذ كل إجراء ملائم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2B6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أدت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منذ تأسيسها بموجب اتفاقية ستوكهولم لسنة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دورًا مهمًّا في مجال التعاون الدولي لحماية الملكية الفكرية، عبر علاقاتها مع المنظمات الدولية الأخرى التي تخصص بعضًا من أنشطتها لحماية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كمنظمة اليونسكو والمنظمة العالمية للتجارة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وكذلك من خلال علاقاتها مع المكاتب الإقليمية المتخصصة في هذا المجال، وكل ذلك من أجل تنسيق وتوحيد معايير الحماية الدولية، ولتطبيق مضمون الاتفاقيات الدولية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93A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وتصدت معاهدة الويبو لحق المؤلف الأولى لمسألة الجدول الرقمي المقررة لحق المؤلف على تخزين المصنفات ونقلها عبر الأنظمة الرقمية، كما تصدت كذلك للإشكالات التي ظهرت في مدى اعتبار التثبيت على الدعامات الإلكترونية من قبيل النسخ، وما إذا كان التحميل ولو للحظة محددة لأي مصنف، يُعَدُّ من قبيل الاعتداء على المصنفات محل الحماية، وعما إذا كان نسخ أحد هذه المصنفات الإلكترونية يتطلب الحصول على إذن أو ترخيص من صاحب هذا المؤلف أو المصنف، أو صاحب الحق المجاور؛ نظرًا لما يقتضيه النسخ التقليدي من الحصول على إذن مكتوب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8C285E" w14:textId="77777777" w:rsidR="00454428" w:rsidRDefault="00000000">
      <w:pPr>
        <w:pStyle w:val="a7"/>
        <w:numPr>
          <w:ilvl w:val="0"/>
          <w:numId w:val="11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معاهدة الويبو بشأن حق المؤلف عام </w:t>
      </w:r>
      <w:r>
        <w:rPr>
          <w:rStyle w:val="None"/>
          <w:rFonts w:ascii="Times New Roman" w:hAnsi="Times New Roman"/>
          <w:b/>
          <w:bCs/>
          <w:sz w:val="24"/>
          <w:szCs w:val="24"/>
          <w:rtl/>
          <w:lang w:val="ar-SA"/>
        </w:rPr>
        <w:t>1996:</w:t>
      </w:r>
    </w:p>
    <w:p w14:paraId="1FF58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رغم الدور المهم الذي لعبته الويبو في تقديم المشورة في إطار التنمية الموجهة في شأن حماية حقوق المؤلفين وما أسفر عنه هذا الدور، إلا أنَّه اتضح في نهاية الثمانينات عدم كفاية تلك التوجيهات والمشورة، وباتت الحاجة ملحةً لإنشاء معايير دولية ملزمة في هذا المجال، وقد أدت المشكلات الناجمة عن مستحدثات التطوُّر التقني والتكنولوجي وظهور الإنترنت إلى تسارع خطوات التعاون الدولي في مجال تنظيم حق المؤلف وبصفه خاصة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421C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أجل مواجهة المشكلات الناجمة عن التكنولوجيا الرقمية والإنترنت، خاصةً اعتمدت معاهدة الويبو ما يعرف باسم جدول الأعمال الرقمي المنصوص عليه في المادة أولى من الاتفاقية، وذلك عبر قواعد مقررة لحق المؤلف بشأن تخزين المصنفات ونقلها عبر الأنظمة الرقمية</w:t>
      </w:r>
      <w:r>
        <w:rPr>
          <w:rStyle w:val="None"/>
          <w:rFonts w:ascii="Times New Roman" w:hAnsi="Times New Roman"/>
          <w:sz w:val="24"/>
          <w:szCs w:val="24"/>
          <w:rtl/>
          <w:lang w:val="ar-SA"/>
        </w:rPr>
        <w:t xml:space="preserve">. </w:t>
      </w:r>
      <w:r>
        <w:rPr>
          <w:rStyle w:val="None"/>
          <w:rFonts w:ascii="Times New Roman" w:eastAsia="Times New Roman" w:hAnsi="Times New Roman" w:cs="Times New Roman"/>
          <w:sz w:val="24"/>
          <w:szCs w:val="24"/>
          <w:vertAlign w:val="superscript"/>
          <w:lang w:val="ar-SA"/>
        </w:rPr>
        <w:footnoteReference w:id="307"/>
      </w:r>
    </w:p>
    <w:p w14:paraId="685E7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تم اعتماد معاهدة الويبو بشأن حق المؤلف في جنيف في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عام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فقد نصت المادة الأولى 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المعاهدة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هذه المعاهدة اتفاق خاص بمعنى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اتفاقية برن لحماية المصنفات الأدبية والفنية، بالنسبة إلى الأطراف المتعاقدة من بلدان الاتحاد المنشأ بموجب تلك الاتفاقية، وليس لهذه المعاهدة أي صلة بمعاهدات أخرى خلاف اتفاقية برن، ولا تخل بأي حق أو التزام من الحقوق والالتزامات المترتبة على أي معاهدات أخرى</w:t>
      </w:r>
      <w:r>
        <w:rPr>
          <w:rStyle w:val="None"/>
          <w:rFonts w:ascii="Times New Roman" w:hAnsi="Times New Roman"/>
          <w:sz w:val="24"/>
          <w:szCs w:val="24"/>
          <w:rtl/>
          <w:lang w:val="ar-SA"/>
        </w:rPr>
        <w:t>".</w:t>
      </w:r>
    </w:p>
    <w:p w14:paraId="0A4343B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هذا الإطار جاءت اتفاقية الويبو لحق المؤلف لتوجب على الدول الأطراف ضرورةَ النص في قوانينها الداخلية على حماية حقوق التأليف بشكل عام، وحقوق التأليف على شبكة الإنترنت، والتي لم يتم التعبير عنها بشكل </w:t>
      </w:r>
      <w:r>
        <w:rPr>
          <w:rStyle w:val="None"/>
          <w:rFonts w:ascii="Arial Unicode MS" w:hAnsi="Arial Unicode MS" w:cs="Times New Roman" w:hint="cs"/>
          <w:sz w:val="24"/>
          <w:szCs w:val="24"/>
          <w:rtl/>
          <w:lang w:val="ar-SA"/>
        </w:rPr>
        <w:lastRenderedPageBreak/>
        <w:t xml:space="preserve">ملموس في الموقع الإلكتروني وهذا ما أكدته المادة الخامسة على أنَّ نطاق الحماية يشمل قواعد البيانات أيًا كان شكلها إذا كانت تعتبر ابتكاراتٍ فكريةً؛ بسبب اختيار محتوياتها أو ترتيبها في شكل ابتكار معين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88A2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من المعاهدة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تشمل الحماية الممنوحة بموجب حق المؤلف أوجه التعبير وليس الأفكار، أو الإجراءات، أو أساليب العمل، أو مفاهيم الرياضيات في حد ذاتها</w:t>
      </w:r>
      <w:r>
        <w:rPr>
          <w:rStyle w:val="None"/>
          <w:rFonts w:ascii="Times New Roman" w:hAnsi="Times New Roman"/>
          <w:sz w:val="24"/>
          <w:szCs w:val="24"/>
          <w:rtl/>
          <w:lang w:val="ar-SA"/>
        </w:rPr>
        <w:t xml:space="preserve">". </w:t>
      </w:r>
    </w:p>
    <w:p w14:paraId="01C795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معاهدة الويبو بشأن حق المؤلف عام </w:t>
      </w:r>
      <w:r>
        <w:rPr>
          <w:rStyle w:val="None"/>
          <w:rFonts w:ascii="Times New Roman" w:hAnsi="Times New Roman"/>
          <w:sz w:val="24"/>
          <w:szCs w:val="24"/>
          <w:rtl/>
          <w:lang w:val="ar-SA"/>
        </w:rPr>
        <w:t xml:space="preserve">1996 </w:t>
      </w:r>
      <w:r>
        <w:rPr>
          <w:rStyle w:val="None"/>
          <w:rFonts w:ascii="Arial Unicode MS" w:hAnsi="Arial Unicode MS" w:cs="Times New Roman" w:hint="cs"/>
          <w:sz w:val="24"/>
          <w:szCs w:val="24"/>
          <w:rtl/>
          <w:lang w:val="ar-SA"/>
        </w:rPr>
        <w:t>تهدف إلى تعزيز وتطوير حماية حقوق المؤلف في مواجهة التحديات المتعلقة بالبيئة الرقيمة، فقد جاءت هذه المعاهدة مكملةً لاتفاقية برن؛ حيث وسعت نطاق الحماية ليشمل المصنفات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برامج الحاسب الآلي، وقواعد البيانات، وغيرها، كما منحت للمؤلف حق التوزيع، والتأجير، والاستنساخ، كما ألزمت الدول الأطراف في المعاهدة على تحديث التشريعات القانونية؛ لكي تتواكب مع التطوُّر في البيئة الرقمية</w:t>
      </w:r>
      <w:r>
        <w:rPr>
          <w:rStyle w:val="None"/>
          <w:rFonts w:ascii="Times New Roman" w:hAnsi="Times New Roman"/>
          <w:sz w:val="24"/>
          <w:szCs w:val="24"/>
          <w:rtl/>
          <w:lang w:val="ar-SA"/>
        </w:rPr>
        <w:t>.</w:t>
      </w:r>
    </w:p>
    <w:p w14:paraId="60C6EE89" w14:textId="77777777" w:rsidR="00454428" w:rsidRDefault="00000000">
      <w:pPr>
        <w:pStyle w:val="a7"/>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p>
    <w:p w14:paraId="4AB9D6F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نظام التسجيل الدولي ليس بالنظام الحديث على المجتمع الدولي، وإنما يمكن إرجاع بدايته إلى اتفاقية باريس لعام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لحماية عناصر الملكية الصناعية، التي سمحت بتسجيل العلامات الأجنبية في السجلات الوطنية للدول الأعضاء في اتحاد باريس، وجاءت اتفاقية مدريد للتسجيل الدولي للعلامات التجارية 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xml:space="preserve">، والذي يُعَدُّ بمثابة التطوُّر العلمي والإجرائي لاتفاقية باريس كخطوة مهمة لحماية العلامات التجارية دوليًا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77858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هي معاهدة دولية للتسجيل الدولي للعلامات التجارية تتيح لمواطني ومقيمي الدول الأعضاء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الطبيعيين والمعنويين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اتخاذ إجراءات تمكّنهم من حماية علاماتهم التجارية في الدول الأعضاء المستهدفة، من خلال إيداع طلب واحد لدى المكتب الدولي للويبو عبر المكتب الوطني بلغة واحدة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الإنجليزية أو الفرنسية أو الإسبانية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وبتسديد مجموعة واحدة من الرسوم بعملة واحدة، وتكفل المعاهدة مزايا،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المحافظة على التسجيل وتجديده، وقيد نقل ملكية التسجيل الدولي للغير أو تبديل الاسم أو العنوان أو غيرها من البيانات بإجراء واحد يسري أثره في جميع الأطراف المتعاقدة المعينة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0"/>
      </w:r>
      <w:r>
        <w:rPr>
          <w:rStyle w:val="None"/>
          <w:rFonts w:ascii="Times New Roman" w:hAnsi="Times New Roman"/>
          <w:sz w:val="24"/>
          <w:szCs w:val="24"/>
          <w:vertAlign w:val="superscript"/>
          <w:rtl/>
          <w:lang w:val="ar-SA"/>
        </w:rPr>
        <w:t>)</w:t>
      </w:r>
    </w:p>
    <w:p w14:paraId="4249C1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فيما يتعلق بالعلامات التجارية غير التقليدية وموقف اتفاقية مدريد وبروتوكوله من تسجيلها وحمايتها، فيمكن القول 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بأنَّ المادة الثانية من بروتوكول اتفاق مدريد بشأن التسجيل الدولي للعلامات تشترط أنْ تكون العلامات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تلتمس الحماية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بموجب نظام مدريد، أنْ تكون مودعةً لدى مكتب دولة عضو في الاتفاقية، أو مسجلةً في سجل ذلك المكتب، والذي يشار إليه في الاتفاقية بعبارة مكنب المنشأ</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1"/>
      </w:r>
      <w:r>
        <w:rPr>
          <w:rStyle w:val="None"/>
          <w:rFonts w:ascii="Times New Roman" w:hAnsi="Times New Roman"/>
          <w:sz w:val="24"/>
          <w:szCs w:val="24"/>
          <w:vertAlign w:val="superscript"/>
          <w:rtl/>
          <w:lang w:val="ar-SA"/>
        </w:rPr>
        <w:t>)</w:t>
      </w:r>
    </w:p>
    <w:p w14:paraId="22967C4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اتفاقية مدريد تحمي العلامات التجارية غير التقليدية، وذلك بِناءً على نص المادة الثالثة، وذلك من خلال تقديم طلب التسجيل الدولي على النموذج المنصوص عليه في اللائحة التنفيذية للاتفاقية، وعلى الإدارة أنْ تدوِّن التاريخ، ورقم </w:t>
      </w:r>
      <w:r>
        <w:rPr>
          <w:rStyle w:val="None"/>
          <w:rFonts w:ascii="Arial Unicode MS" w:hAnsi="Arial Unicode MS" w:cs="Times New Roman" w:hint="cs"/>
          <w:sz w:val="24"/>
          <w:szCs w:val="24"/>
          <w:rtl/>
          <w:lang w:val="ar-SA"/>
        </w:rPr>
        <w:lastRenderedPageBreak/>
        <w:t>الإيداع، وتسجيل العلامة في بلد المنشأ، وعلى مودع العلامة أنْ يذكر السلع أو الخدمات التي يطلب حماية هذه العلامة، كما تحمي العلامة التجارية غير التقليدية بإعلان العلامة مع بيان ألوان العلامة، ومن حق صاحب العلامة أنْ يأخذ نسخ ملونة من العلامة</w:t>
      </w:r>
      <w:r>
        <w:rPr>
          <w:rStyle w:val="None"/>
          <w:rFonts w:ascii="Times New Roman" w:hAnsi="Times New Roman"/>
          <w:sz w:val="24"/>
          <w:szCs w:val="24"/>
          <w:rtl/>
          <w:lang w:val="ar-SA"/>
        </w:rPr>
        <w:t>.</w:t>
      </w:r>
    </w:p>
    <w:p w14:paraId="0229B4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أي نوع من العلامات التجارية أو الصناعية التي يمكن تسجليها وفقًا للقانون الواجب التطبيق في بلد الطرف المتعاقد في مكتب المنشأ يمكن أنْ يكون موضوعًا للتسجيل الدولي،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تقيد اللائحة التنفيذية المشتركة أنواع العلامات التي يمكن إيداع طلب دولي بشأنها، فهي تتطلب فقط أنْ تدرج إشارة في الطلب الدولي إلى أنواع معينة من العلامات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2"/>
      </w:r>
      <w:r>
        <w:rPr>
          <w:rStyle w:val="None"/>
          <w:rFonts w:ascii="Times New Roman" w:hAnsi="Times New Roman"/>
          <w:sz w:val="24"/>
          <w:szCs w:val="24"/>
          <w:vertAlign w:val="superscript"/>
          <w:rtl/>
          <w:lang w:val="ar-SA"/>
        </w:rPr>
        <w:t>)</w:t>
      </w:r>
    </w:p>
    <w:p w14:paraId="15110C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الهدف من اتفاقية مدريد بشأن التسجيل الدولي للعلامات التجارية توفير حماية أفضل للعلامات التجارية، وتيسيرًا لتسجيلها في جميع الدول الأعضاء في الاتحاد الدولي؛ لحماية حقوق الملكية الصناعية، وضع اتفاق مدريد كنظام للتسجيل الدولي للعلامات التجارية، وبمقتضاه يمكن لكل شخص تابع لإحدى الدول المتعاقدة أنْ يكفل حماية علامته التجارية المسجلة في بلده الأصلي في جميع دول الاتحاد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3"/>
      </w:r>
      <w:r>
        <w:rPr>
          <w:rStyle w:val="None"/>
          <w:rFonts w:ascii="Times New Roman" w:hAnsi="Times New Roman"/>
          <w:sz w:val="24"/>
          <w:szCs w:val="24"/>
          <w:vertAlign w:val="superscript"/>
          <w:rtl/>
          <w:lang w:val="ar-SA"/>
        </w:rPr>
        <w:t>)</w:t>
      </w:r>
    </w:p>
    <w:p w14:paraId="4A1B5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تشمل اتفاقية مدريد بشأن التسجيل الدولي للعلامات حماية العلامات من خلال تسجيلها دوليًا، ولكن يوجد بها قصور قانونية لعدم تناولها مواد قانونية تشمل التسجيل في البيئة الرقمية؛ وذلك بسبب عدم وجود الشبكات الإلكترونية؛ ولذلك لا بُدَّ من تحديث الاتفاقية؛ لكي تواكب التطوُّر الرهيب التكنولوجي في البيئة الرقمية</w:t>
      </w:r>
      <w:r>
        <w:rPr>
          <w:rStyle w:val="None"/>
          <w:rFonts w:ascii="Times New Roman" w:hAnsi="Times New Roman"/>
          <w:sz w:val="24"/>
          <w:szCs w:val="24"/>
          <w:rtl/>
          <w:lang w:val="ar-SA"/>
        </w:rPr>
        <w:t>.</w:t>
      </w:r>
    </w:p>
    <w:p w14:paraId="150D7352" w14:textId="77777777" w:rsidR="00454428" w:rsidRDefault="00000000">
      <w:pPr>
        <w:pStyle w:val="a7"/>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p>
    <w:p w14:paraId="400DC1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تم إبرام معاهدة التعاون بشأن البراءات عام </w:t>
      </w:r>
      <w:r>
        <w:rPr>
          <w:rStyle w:val="None"/>
          <w:rFonts w:ascii="Times New Roman" w:hAnsi="Times New Roman"/>
          <w:sz w:val="24"/>
          <w:szCs w:val="24"/>
          <w:rtl/>
          <w:lang w:val="ar-SA"/>
        </w:rPr>
        <w:t>1970</w:t>
      </w:r>
      <w:r>
        <w:rPr>
          <w:rStyle w:val="None"/>
          <w:rFonts w:ascii="Arial Unicode MS" w:hAnsi="Arial Unicode MS" w:cs="Times New Roman" w:hint="cs"/>
          <w:sz w:val="24"/>
          <w:szCs w:val="24"/>
          <w:rtl/>
          <w:lang w:val="ar-SA"/>
        </w:rPr>
        <w:t xml:space="preserve">، والمعدلة عام </w:t>
      </w:r>
      <w:r>
        <w:rPr>
          <w:rStyle w:val="None"/>
          <w:rFonts w:ascii="Times New Roman" w:hAnsi="Times New Roman"/>
          <w:sz w:val="24"/>
          <w:szCs w:val="24"/>
          <w:rtl/>
          <w:lang w:val="ar-SA"/>
        </w:rPr>
        <w:t>1979</w:t>
      </w:r>
      <w:r>
        <w:rPr>
          <w:rStyle w:val="None"/>
          <w:rFonts w:ascii="Arial Unicode MS" w:hAnsi="Arial Unicode MS" w:cs="Times New Roman" w:hint="cs"/>
          <w:sz w:val="24"/>
          <w:szCs w:val="24"/>
          <w:rtl/>
          <w:lang w:val="ar-SA"/>
        </w:rPr>
        <w:t xml:space="preserve">، ثم تم تعديلها مرة أخرى عام </w:t>
      </w:r>
      <w:r>
        <w:rPr>
          <w:rStyle w:val="None"/>
          <w:rFonts w:ascii="Times New Roman" w:hAnsi="Times New Roman"/>
          <w:sz w:val="24"/>
          <w:szCs w:val="24"/>
          <w:rtl/>
          <w:lang w:val="ar-SA"/>
        </w:rPr>
        <w:t>1984</w:t>
      </w:r>
      <w:r>
        <w:rPr>
          <w:rStyle w:val="None"/>
          <w:rFonts w:ascii="Arial Unicode MS" w:hAnsi="Arial Unicode MS" w:cs="Times New Roman" w:hint="cs"/>
          <w:sz w:val="24"/>
          <w:szCs w:val="24"/>
          <w:rtl/>
          <w:lang w:val="ar-SA"/>
        </w:rPr>
        <w:t xml:space="preserve">، ودخلت حيز التنفيذ عام </w:t>
      </w:r>
      <w:r>
        <w:rPr>
          <w:rStyle w:val="None"/>
          <w:rFonts w:ascii="Times New Roman" w:hAnsi="Times New Roman"/>
          <w:sz w:val="24"/>
          <w:szCs w:val="24"/>
          <w:rtl/>
          <w:lang w:val="ar-SA"/>
        </w:rPr>
        <w:t>1999</w:t>
      </w:r>
      <w:r>
        <w:rPr>
          <w:rStyle w:val="None"/>
          <w:rFonts w:ascii="Arial Unicode MS" w:hAnsi="Arial Unicode MS" w:cs="Times New Roman" w:hint="cs"/>
          <w:sz w:val="24"/>
          <w:szCs w:val="24"/>
          <w:rtl/>
          <w:lang w:val="ar-SA"/>
        </w:rPr>
        <w:t xml:space="preserve">، وتضم حاليًا </w:t>
      </w:r>
      <w:r>
        <w:rPr>
          <w:rStyle w:val="None"/>
          <w:rFonts w:ascii="Times New Roman" w:hAnsi="Times New Roman"/>
          <w:sz w:val="24"/>
          <w:szCs w:val="24"/>
          <w:rtl/>
          <w:lang w:val="ar-SA"/>
        </w:rPr>
        <w:t xml:space="preserve">156 </w:t>
      </w:r>
      <w:r>
        <w:rPr>
          <w:rStyle w:val="None"/>
          <w:rFonts w:ascii="Arial Unicode MS" w:hAnsi="Arial Unicode MS" w:cs="Times New Roman" w:hint="cs"/>
          <w:sz w:val="24"/>
          <w:szCs w:val="24"/>
          <w:rtl/>
          <w:lang w:val="ar-SA"/>
        </w:rPr>
        <w:t>دولةً متعاقدةً، وترجع أهميتها من  كون أي دولة عضو في هذه المعاهدة يحق للمواطن أو المقيم في إحدى دول أطراف المعاهدة تقديم طلب واحد فقط من أجل الحصول على حماية براءات الاختراع في أي من البدان الأعضاء في المعاهدة، وهذا يبسط إلى حد كبير الحماية في العديد من المناطق الأجنبية في وقت واحد؛ ممَّا يساعد مكتب الويبو في جينيف بتطليق العملية الإدارية بشكل أيسر وأدق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4"/>
      </w:r>
      <w:r>
        <w:rPr>
          <w:rStyle w:val="None"/>
          <w:rFonts w:ascii="Times New Roman" w:hAnsi="Times New Roman"/>
          <w:sz w:val="24"/>
          <w:szCs w:val="24"/>
          <w:vertAlign w:val="superscript"/>
          <w:rtl/>
          <w:lang w:val="ar-SA"/>
        </w:rPr>
        <w:t>)</w:t>
      </w:r>
    </w:p>
    <w:p w14:paraId="6AB39B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مزايا معاهدة التعاون بشأن البراءات هو أنَّه بِناءً على طلب وحيد وبلغة واحدة، ومهما كان عدد الدول المعينة فإنَّ المودع يمكنه أنْ يستفيد من بحث دولي يقوم به أحد المكاتب المستقبلة، ويمكنه أنْ يخضع طلبه فيما بعد إلى فحص تمهيدي دولي، وله الخيرة في ذلك؛ لكونه ليس إجباريًا، كما هو الحال في البحث الدولي على أنْ يسري طلبه هذا في كل البلدان المعنية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وهذا ما نصت عليه المادة الثالثة من الاتفاقية</w:t>
      </w:r>
      <w:r>
        <w:rPr>
          <w:rStyle w:val="None"/>
          <w:rFonts w:ascii="Times New Roman" w:hAnsi="Times New Roman"/>
          <w:sz w:val="24"/>
          <w:szCs w:val="24"/>
          <w:rtl/>
          <w:lang w:val="ar-SA"/>
        </w:rPr>
        <w:t>.</w:t>
      </w:r>
    </w:p>
    <w:p w14:paraId="077210F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01B83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 xml:space="preserve">مزايا الطلب الدولي وفقًا للاتفاقية </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16"/>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304B958"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الاستفادة من تاريخ الإيداع الأول أو الأسبقية، والتي تصل إلى </w:t>
      </w:r>
      <w:r>
        <w:rPr>
          <w:rStyle w:val="None"/>
          <w:rFonts w:ascii="Times New Roman" w:hAnsi="Times New Roman"/>
          <w:sz w:val="24"/>
          <w:szCs w:val="24"/>
          <w:rtl/>
          <w:lang w:val="ar-SA"/>
        </w:rPr>
        <w:t xml:space="preserve">30 </w:t>
      </w:r>
      <w:r>
        <w:rPr>
          <w:rStyle w:val="None"/>
          <w:rFonts w:cs="Times New Roman"/>
          <w:sz w:val="24"/>
          <w:szCs w:val="24"/>
          <w:rtl/>
          <w:lang w:val="ar-SA"/>
        </w:rPr>
        <w:t>شهرًا؛ لتحديد الدول المراد إيداع الطلب فيها لاحقًا لطلب الحماية</w:t>
      </w:r>
      <w:r>
        <w:rPr>
          <w:rStyle w:val="None"/>
          <w:rFonts w:ascii="Times New Roman" w:hAnsi="Times New Roman"/>
          <w:sz w:val="24"/>
          <w:szCs w:val="24"/>
        </w:rPr>
        <w:t>.</w:t>
      </w:r>
    </w:p>
    <w:p w14:paraId="47475AFB"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حصول مقدم الطلب على تقرير بحث دولي يحتوي على قائمة بالوثائق المنشورة، وتقرير مكتوب، والذي يوضح مبدئيًا إمكانية حصول الطلب على براءة اختراع من عدمه، وهذا التقرير غير ملزم للدول الأعضاء</w:t>
      </w:r>
      <w:r>
        <w:rPr>
          <w:rStyle w:val="None"/>
          <w:rFonts w:ascii="Times New Roman" w:hAnsi="Times New Roman"/>
          <w:sz w:val="24"/>
          <w:szCs w:val="24"/>
        </w:rPr>
        <w:t>.</w:t>
      </w:r>
    </w:p>
    <w:p w14:paraId="177A2C3F"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يتيح لمقدم الطلب المزيد من الوقت لعمل الدراسات الاقتصادية والتقييم للاختراع أو البحث عن مستثمرين أو فرص تجارية، وكذلك لتعيين وكلاء محليين وتجهيز المتطلبات اللازمة للدخول للمرحلة الوطنية</w:t>
      </w:r>
      <w:r>
        <w:rPr>
          <w:rStyle w:val="None"/>
          <w:rFonts w:ascii="Times New Roman" w:hAnsi="Times New Roman"/>
          <w:sz w:val="24"/>
          <w:szCs w:val="24"/>
        </w:rPr>
        <w:t>.</w:t>
      </w:r>
    </w:p>
    <w:p w14:paraId="4500374A"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يمكن لمقدم الطلب تعديل الطلب حسب الملاحظات الواردة في تقرير البحث والتقدم بطلب فحص تمهيدي دولي</w:t>
      </w:r>
      <w:r>
        <w:rPr>
          <w:rStyle w:val="None"/>
          <w:rFonts w:ascii="Times New Roman" w:hAnsi="Times New Roman"/>
          <w:sz w:val="24"/>
          <w:szCs w:val="24"/>
        </w:rPr>
        <w:t>.</w:t>
      </w:r>
    </w:p>
    <w:p w14:paraId="3455F9E2"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إمكانية حصول مقدم الطلب على تقرير فحص دولي تمهيدي إضافي؛ لتحليل تقرير البحث الدولي، وتقديم رأي مكتوب في احتمال حصول الطلب على براءة اختراع من عدمه؛ ممَّا قد يسرع من عملية فحص الطلب لدى المكاتب الوطنية</w:t>
      </w:r>
      <w:r>
        <w:rPr>
          <w:rStyle w:val="None"/>
          <w:rFonts w:ascii="Times New Roman" w:hAnsi="Times New Roman"/>
          <w:sz w:val="24"/>
          <w:szCs w:val="24"/>
        </w:rPr>
        <w:t>.</w:t>
      </w:r>
    </w:p>
    <w:p w14:paraId="6160316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425563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0D5948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CB0307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E40709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92C3A9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0D024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C252D7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ADFDC32"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091B32C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ED0D1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B570ECC"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87DF07D"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8189871"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E2C2600"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F7BFE0" w14:textId="77777777" w:rsidR="00454428" w:rsidRDefault="00000000" w:rsidP="00C72BA8">
      <w:pPr>
        <w:pStyle w:val="a4"/>
        <w:rPr>
          <w:rStyle w:val="None"/>
          <w:lang w:val="ar-SA"/>
        </w:rPr>
      </w:pPr>
      <w:bookmarkStart w:id="181" w:name="_Toc227251120"/>
      <w:bookmarkStart w:id="182" w:name="_Toc227251430"/>
      <w:r>
        <w:rPr>
          <w:rStyle w:val="None"/>
          <w:rFonts w:ascii="Arial Unicode MS" w:eastAsia="Arial Unicode MS" w:hAnsi="Arial Unicode MS" w:hint="cs"/>
          <w:rtl/>
          <w:lang w:val="ar-SA"/>
        </w:rPr>
        <w:lastRenderedPageBreak/>
        <w:t>المطلب الثاني</w:t>
      </w:r>
      <w:bookmarkEnd w:id="181"/>
      <w:bookmarkEnd w:id="182"/>
    </w:p>
    <w:p w14:paraId="6488BB68" w14:textId="77777777" w:rsidR="00454428" w:rsidRDefault="00000000" w:rsidP="00C72BA8">
      <w:pPr>
        <w:pStyle w:val="a4"/>
        <w:rPr>
          <w:rStyle w:val="None"/>
          <w:lang w:val="ar-SA"/>
        </w:rPr>
      </w:pPr>
      <w:bookmarkStart w:id="183" w:name="_Toc227251121"/>
      <w:bookmarkStart w:id="184" w:name="_Toc227251431"/>
      <w:r>
        <w:rPr>
          <w:rStyle w:val="None"/>
          <w:rFonts w:ascii="Arial Unicode MS" w:eastAsia="Arial Unicode MS" w:hAnsi="Arial Unicode MS" w:hint="cs"/>
          <w:rtl/>
          <w:lang w:val="ar-SA"/>
        </w:rPr>
        <w:t>التحديات الدولية في تنفيذ الحماية الرقمية</w:t>
      </w:r>
      <w:bookmarkEnd w:id="183"/>
      <w:bookmarkEnd w:id="184"/>
    </w:p>
    <w:p w14:paraId="6C8A66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لا بُدَّ من حمايتها دوليًا؛ بسبب الانتهاكات في العصر الرقمي، ففي ظل الانتشار الواسع للإنترنت وتعدد وسائل النشر الإلكتروني، أصبح من السهل نسخ أي محتوى ونشره مرة أخرى دون إذن من صاحب الحق؛ ممَّا يهدد الحقوق الأدبية والمالية للمؤلفين</w:t>
      </w:r>
      <w:r>
        <w:rPr>
          <w:rStyle w:val="None"/>
          <w:rFonts w:ascii="Times New Roman" w:hAnsi="Times New Roman"/>
          <w:sz w:val="24"/>
          <w:szCs w:val="24"/>
          <w:rtl/>
          <w:lang w:val="ar-SA"/>
        </w:rPr>
        <w:t>.</w:t>
      </w:r>
    </w:p>
    <w:p w14:paraId="147C3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الفترة الماضية تسارع كبير في مجال التقدم التكنولوجي والتقني، وظهر ما يسمي بالفضاء الإلكتروني، ووسائل الاتصالات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كالإنترنت، وسائر صور الاتصال الإلكتروني، حتى أصبح العالم قريةً صغيرةً، وشمل هذا الفضاء الإلكتروني جميع مناحي الحياة الاقتصادية والاجتماعية، ووضع أكثر من مئتي دولةٍ في حالة اتصال دائم؛ حتى أصبحت القضية تشغل العالم بأسره، فالمجرم قد يكون بِقارَّة وينفذ جريمته بقارة أخرى عبر هذا الفضاء الإلكتروني، وقد تباينت الصور الإجرامية وتشعبت أنواعها، وهي جرائم مبتكرة ومستحدثة، وقد عاني الكثير من الدول من هذه الجرائم؛ ممَّا استدعى ضرورة تطوير البنية التشريعية الجنائية بطريقة ذكية؛ لضمان الأمن للمواطن والمؤسسة الدولة على حد سواء، عبر سَنِّ القوانين والتعاون الدولي في هذا المجال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D7697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هنا ظهرت المصنفات الرقمية، ولما كانت المصنفات تشكل الهُوِيَّة الوطنية، فالأمر يحتاج إلى وضع نصوص تشريعية واضحة؛ لتوفير الحماية القانونية لها، ومنع تعرضها للإهدار؛ بسبب الاحتفاظ بها في صورتها التقليدية، أو بسبب السطو عن طريق النسخ للمصنف الرقمي بدون إذن صاحبها وتداولها عبر الشبمة العنكبوتية، وهو أحد التحديات التي تواجه التطوُّر الرقمي الحاصل لأصاحب الحقوق على تلك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8"/>
      </w:r>
      <w:r>
        <w:rPr>
          <w:rStyle w:val="None"/>
          <w:rFonts w:ascii="Times New Roman" w:hAnsi="Times New Roman"/>
          <w:sz w:val="24"/>
          <w:szCs w:val="24"/>
          <w:vertAlign w:val="superscript"/>
          <w:rtl/>
          <w:lang w:val="ar-SA"/>
        </w:rPr>
        <w:t>)</w:t>
      </w:r>
    </w:p>
    <w:p w14:paraId="49A9A0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المادة الأولى من نظام حماية حق المؤلف 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يقصد به جميع المصنفات الأدبية، أو الفنية، أو العلمية التي يفترض أنَّها ابتكرت في الأراضي السعودية، وانتقلت من جيل إلى جيل، وتشكل جزءًا من التراث الثقافي أو الفني التقليدي السعودي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فهذه المادة أكدت على أنَّ المصنفات الفكرية تشكل الهُوِيَّة الوطنية، التي أنشأت داخل البلد، وتوريثها من جيل إلى جيل؛ لأنَّها تعبر عن الهُوِيَّة الوطنية للدولة</w:t>
      </w:r>
      <w:r>
        <w:rPr>
          <w:rStyle w:val="None"/>
          <w:rFonts w:ascii="Times New Roman" w:hAnsi="Times New Roman"/>
          <w:sz w:val="24"/>
          <w:szCs w:val="24"/>
          <w:rtl/>
          <w:lang w:val="ar-SA"/>
        </w:rPr>
        <w:t>.</w:t>
      </w:r>
    </w:p>
    <w:p w14:paraId="0B91A8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تواجه حماية الملكية الفكرية في البيئة الرقمية تحدي دولي؛ وذلك بسبب الانتهاكات على هذه الحقوق في البيئة الرقمية، كما اختلفت التشريعات بين الدول من حيث نطاق الحماية، وعلى الرغم من وجود اتفاقيات دولية كاتفاقية برن وتريبس، فلا بُدَّ من تحديث هذه التشريعات والاتفاقيات؛ لمواكبة التطوُّر التكنولوجي وحماية الملكية الفكرية في عصر البيئة الرقمية</w:t>
      </w:r>
      <w:r>
        <w:rPr>
          <w:rStyle w:val="None"/>
          <w:rFonts w:ascii="Times New Roman" w:hAnsi="Times New Roman"/>
          <w:sz w:val="24"/>
          <w:szCs w:val="24"/>
          <w:rtl/>
          <w:lang w:val="ar-SA"/>
        </w:rPr>
        <w:t>.</w:t>
      </w:r>
    </w:p>
    <w:p w14:paraId="6DF674D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ED853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D1C8D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اختلاف التشريعات الوطنية</w:t>
      </w:r>
      <w:r>
        <w:rPr>
          <w:rStyle w:val="None"/>
          <w:rFonts w:ascii="Times New Roman" w:hAnsi="Times New Roman"/>
          <w:b/>
          <w:bCs/>
          <w:sz w:val="24"/>
          <w:szCs w:val="24"/>
          <w:rtl/>
          <w:lang w:val="ar-SA"/>
        </w:rPr>
        <w:t>:</w:t>
      </w:r>
    </w:p>
    <w:p w14:paraId="1B7A1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مسألة الحماية القانونية للمصنفات الرقمية من أبرز التحديات التي تواجهها التشريعات في الوقت الحاضر، والتي تتطلب تطويرًا وتحديثًا مستمرًا يواجب التطوُّر التقني، الذي تُعَدُّ هذه المصنفات نتاجًا له، فهذه المصنفات منها ما هو منشور على الدعامة الإلكترونية، ومنها ما هو موجود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51439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التطوُّرات الرقمية تفرض ضرورة توحيد التشريعات الدولية؛ لتوفير إطار قانوني موحد يتناسب مع التحديات المتزايدة لحماية الجريمة الرقمية، فلا بُدَّ من توحيد التشريعات يُعَدُّ ضرورة حيوية في العديد من السياقات القانونية؛ لتعزيز العدالة وتوفير معايير واضحة للجميع، كما يضمن التوحيد، واستقامة، وتكامل النظام القانوني، بالإضافة إلى توحيد فاعلية القضاء والتنفيذ، عندما تكون التشريعات موحدةً ويصبح من السهل فهمها وتطبيقها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F81B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اختلاف التشريعات الوطنية تحديًا مهمًّا في سبيل حماية حقوق الملكية الفكرية في البيئة الرقمية؛ لأنْ يوجِد العديد من الأنظمة القانونية تعتمد على القانون القديم للحماية، فلا بُدَّ من تحديث التشريعات لمواكبة التطوُّر التكنولوجي في عصر البيئة الرقمية؛ لحماية حقوق الأفراد على مؤلفاتهم ومصنفاتهم؛ حتى تكون رادعةً على منتهكي حقوق الملكية الفكرية</w:t>
      </w:r>
      <w:r>
        <w:rPr>
          <w:rStyle w:val="None"/>
          <w:rFonts w:ascii="Times New Roman" w:hAnsi="Times New Roman"/>
          <w:sz w:val="24"/>
          <w:szCs w:val="24"/>
          <w:rtl/>
          <w:lang w:val="ar-SA"/>
        </w:rPr>
        <w:t>.</w:t>
      </w:r>
    </w:p>
    <w:p w14:paraId="4051F86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ظل التحول الرقمي تواجه المؤسسات العامة تحدياتٍ معقدةً تتعلق بالتنظيم الدولي وإدارة العمليات العابرة للحدود، يُعَدُّ تضارب القوانين بين الدول من أبرز العقبات؛ حيث تختلف تشريعات بشكل كبير؛ ممَّا يجعل الامتثال لمتطلبات متعددة أمرًا صعبًا، فلا بُدَّ من التنظيم الدولي والعابر للحدود في التحول الرقمي يتطلب تعاون دولي، ومرونة في التعامل مع التطوُّرات التكنولوجية السريعة، وإيجاد توزان بين المصالح الوطنية والمصالح العالمية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B453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الانتهاكات العابر للحدود لا تعترف بالحدود الجغرافية للدول ولا حتى للقارات؛ لأنَّه مع انتشار شبكة الاتصالات العالمية الإنترنت أمكن ربط أعداد هائلة من الحواسيب عبر العالم؛ بحيث يمكن أنْ يكون الجاني في بلد والمجني عليه في بلد آخر، فهذه الانتهاكات خلقت العديد من المشاكل حول تحديد الدولة صاحبة الاختصاص القضائي بهذه الجريمة، وكذلك القانون الواجب تطبيقه، بالإضافة إلى إشكاليات تتعلق بإجراءات الملاحقة القضائية، وغير ذلك من المشاكل التي تثيرها الجرائم العابرة للحدود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7E8B1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الانتهاكات الرقمية من الظواهر المستحدثة في العصر الرقمي، وتتميز بخصائص تجعل من عمليه إثباتها تحديًا كبيرًا ومن أبرزها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3"/>
      </w:r>
      <w:r>
        <w:rPr>
          <w:rStyle w:val="None"/>
          <w:rFonts w:ascii="Times New Roman" w:hAnsi="Times New Roman"/>
          <w:sz w:val="24"/>
          <w:szCs w:val="24"/>
          <w:vertAlign w:val="superscript"/>
          <w:rtl/>
          <w:lang w:val="ar-SA"/>
        </w:rPr>
        <w:t>)</w:t>
      </w:r>
    </w:p>
    <w:p w14:paraId="14DD44A6"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الطابع غير المادي</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تكون غير ملموسة؛ إذ ترتكب الجرائم الرقمية في بيئة افتراضية؛ ممَّا يعني غياب الأثر المادي</w:t>
      </w:r>
      <w:r>
        <w:rPr>
          <w:rStyle w:val="None"/>
          <w:rFonts w:ascii="Times New Roman" w:hAnsi="Times New Roman"/>
          <w:sz w:val="24"/>
          <w:szCs w:val="24"/>
          <w:rtl/>
          <w:lang w:val="ar-SA"/>
        </w:rPr>
        <w:t>.</w:t>
      </w:r>
    </w:p>
    <w:p w14:paraId="079F50A0"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العابر للحدود</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ما ترتكب الانتهاكات من خلال شبكة الإنترنت، التي لا تعترف بالحدود الجغرافية ما يصعب من إجراءات التتبع والتحقيق</w:t>
      </w:r>
      <w:r>
        <w:rPr>
          <w:rStyle w:val="None"/>
          <w:rFonts w:ascii="Times New Roman" w:hAnsi="Times New Roman"/>
          <w:sz w:val="24"/>
          <w:szCs w:val="24"/>
          <w:rtl/>
          <w:lang w:val="ar-SA"/>
        </w:rPr>
        <w:t>.</w:t>
      </w:r>
    </w:p>
    <w:p w14:paraId="05E4C61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سهولة طمس الأدلة</w:t>
      </w:r>
      <w:r>
        <w:rPr>
          <w:rStyle w:val="None"/>
          <w:rFonts w:ascii="Times New Roman" w:hAnsi="Times New Roman"/>
          <w:b/>
          <w:bCs/>
          <w:sz w:val="24"/>
          <w:szCs w:val="24"/>
          <w:rtl/>
          <w:lang w:val="ar-SA"/>
        </w:rPr>
        <w:t>:</w:t>
      </w:r>
      <w:r>
        <w:rPr>
          <w:rStyle w:val="None"/>
          <w:rFonts w:cs="Times New Roman"/>
          <w:sz w:val="24"/>
          <w:szCs w:val="24"/>
          <w:rtl/>
          <w:lang w:val="ar-SA"/>
        </w:rPr>
        <w:t xml:space="preserve"> في كثير من الحالات يستطيع الشخص محو آثار الجريمة الرقمية خلال ثوان؛ ممَّا يتطلب سرعةً عاليةً في جمع الأدلة الرقمية، وإزاء تلك الخصائص بات من الضروري إعادة النظر في القواعد التقليدية للإثبات؛ بحيث تتماشى مع الطبيعة التقنية للجرائم الرقمية</w:t>
      </w:r>
      <w:r>
        <w:rPr>
          <w:rStyle w:val="None"/>
          <w:rFonts w:ascii="Times New Roman" w:hAnsi="Times New Roman"/>
          <w:sz w:val="24"/>
          <w:szCs w:val="24"/>
          <w:rtl/>
          <w:lang w:val="ar-SA"/>
        </w:rPr>
        <w:t xml:space="preserve">. </w:t>
      </w:r>
    </w:p>
    <w:p w14:paraId="348F60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طبيعة الانتهاكات العابرة للحدود في مجال الملكية الفكرية أدى إلى سهولة النسخ، وإعادة النشر دون إذن من صاحب الحق، وصار بالإمكان ارتكاب هذه الانتهاكات غير المشروعة في دولة معينة، بينما يتحقق هذا الفعل في دولة أخرى، فتعتبر هذه الانتهاكات عابرةً للحدود؛ لحدوثها في العديد من متخلف الدول</w:t>
      </w:r>
      <w:r>
        <w:rPr>
          <w:rStyle w:val="None"/>
          <w:rFonts w:ascii="Times New Roman" w:hAnsi="Times New Roman"/>
          <w:sz w:val="24"/>
          <w:szCs w:val="24"/>
          <w:rtl/>
          <w:lang w:val="ar-SA"/>
        </w:rPr>
        <w:t>.</w:t>
      </w:r>
    </w:p>
    <w:p w14:paraId="7B62DA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الانتهاكات الرقمية حديثة في العصر الرقمي؛ لذلك يوجد تحدٍّ في إثبات هذه الانتهاكات؛ بسبب عدم وجود أثر مادي، كما يمكن أنْ ترتكب الجريمة في بلد أخرى غير البلد الأصل للمصنف، ومن الممكن إخفاء آثار الجريمة الرقمية في ثوانٍ، فهذا يجعلها صعبة الإثبات، ولكن يمكن أنْ تثبت في حالة إذا تم التعاون بين الدول، وتبادل المعلومات بينهم، وتتبع بيانات الجريمة من خلال الاتصالات بين الدول</w:t>
      </w:r>
      <w:r>
        <w:rPr>
          <w:rStyle w:val="None"/>
          <w:rFonts w:ascii="Times New Roman" w:hAnsi="Times New Roman"/>
          <w:sz w:val="24"/>
          <w:szCs w:val="24"/>
          <w:rtl/>
          <w:lang w:val="ar-SA"/>
        </w:rPr>
        <w:t xml:space="preserve">. </w:t>
      </w:r>
    </w:p>
    <w:p w14:paraId="1A62A68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ضعف التعاون والتنسيق الدولي</w:t>
      </w:r>
      <w:r>
        <w:rPr>
          <w:rStyle w:val="None"/>
          <w:rFonts w:ascii="Times New Roman" w:hAnsi="Times New Roman"/>
          <w:b/>
          <w:bCs/>
          <w:sz w:val="24"/>
          <w:szCs w:val="24"/>
          <w:rtl/>
        </w:rPr>
        <w:t>:</w:t>
      </w:r>
    </w:p>
    <w:p w14:paraId="559B20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يتعين على التشريعات الدولية دعم آليات فاعلية للتعاون بين الدول في مجال مكافحة الجريمة الرقمية، مع تبادل معلومات وخبرات لتحقيق نتائج أفضل، وتشجيع التعاون الدولي يُعَدُّ أمرًا أساسيًا لتحقيق التقدم ومواجهة التحديات العالمية، ويسهم التعاون في تعزيز الفهم المتبادل بين الدول وتقوية العلاقات الدبلوماسية؛ ممَّا يقلل من فرص الصراعات، ويعزّز السلم والاستقرار، ومن خلال التعاون الدولي يمكن تحقيق تبادل المعرفة والخبرات؛ ممَّا يعزّز الابتكار والتقنيات الجديدة، يعتبر التعاون الدولي عاملًا أساسيًا لتحقيق التوازن والاستقرار العالمي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4"/>
      </w:r>
      <w:r>
        <w:rPr>
          <w:rStyle w:val="None"/>
          <w:rFonts w:ascii="Times New Roman" w:hAnsi="Times New Roman"/>
          <w:sz w:val="24"/>
          <w:szCs w:val="24"/>
          <w:vertAlign w:val="superscript"/>
          <w:rtl/>
          <w:lang w:val="ar-SA"/>
        </w:rPr>
        <w:t>)</w:t>
      </w:r>
    </w:p>
    <w:p w14:paraId="3B2EFC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يتعرض المؤلفون في البيئة الرقمية للكثير من التحديات؛ لتوفير الحماية لأعمالهم؛ بسبب سهولة الحصول على هذه المصنفات في البيئة الرقمية، ويسر استنساخها، وهو ما يستوجب ضرورة تسارع خطوات التعاون الدولي في مجال تنظيم تلك الحقوق في محيط البيئة الرقمية، والمحتوى الرقمي؛ لأنَّ الصعوبات العملية المرتبطة بالإنترنت وبالتقنيات الحديثة تحتاج إلى حلول من خلال الاتفاقيات والمعاهدات الدولية والتنسيق بين الدول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5"/>
      </w:r>
      <w:r>
        <w:rPr>
          <w:rStyle w:val="None"/>
          <w:rFonts w:ascii="Times New Roman" w:hAnsi="Times New Roman"/>
          <w:sz w:val="24"/>
          <w:szCs w:val="24"/>
          <w:vertAlign w:val="superscript"/>
          <w:rtl/>
          <w:lang w:val="ar-SA"/>
        </w:rPr>
        <w:t>)</w:t>
      </w:r>
    </w:p>
    <w:p w14:paraId="14A7E7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فالتعاون الدولي يشكل قوةً كبيرةً في الحد من الانتهاكات سواء كانت داخل حدود الدول أخارجها، فالتعاون بين الدول يعمل على تبادل الخبرات والاستفادة من بعضهم البعض، ويعمل على تغذية المعلومات المتبادلة التي تساعد حماية </w:t>
      </w:r>
      <w:r>
        <w:rPr>
          <w:rStyle w:val="None"/>
          <w:rFonts w:ascii="Arial Unicode MS" w:hAnsi="Arial Unicode MS" w:cs="Times New Roman" w:hint="cs"/>
          <w:sz w:val="24"/>
          <w:szCs w:val="24"/>
          <w:rtl/>
          <w:lang w:val="ar-SA"/>
        </w:rPr>
        <w:lastRenderedPageBreak/>
        <w:t>الملكية الفكرية، ويشكل التعاون الدولي هنا دورًا مهمًا في المساعدة في الحد من الانتهاكات، ومساعدة الأجهزة في أداء أدوارها بشكل سريع يقوم على الدقة والمهارة</w:t>
      </w:r>
      <w:r>
        <w:rPr>
          <w:rStyle w:val="None"/>
          <w:rFonts w:ascii="Times New Roman" w:hAnsi="Times New Roman"/>
          <w:sz w:val="24"/>
          <w:szCs w:val="24"/>
          <w:rtl/>
          <w:lang w:val="ar-SA"/>
        </w:rPr>
        <w:t>.</w:t>
      </w:r>
    </w:p>
    <w:p w14:paraId="086DE5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فلا شك أنَّ التعاون الأمني أصبح شرطًا أساسيًّا ومطلبًا ضروريًّا لنجاح السياسة الجنائية في التصدي للجريمة المنظمة العابرة للحدود الوطنية، والتعاون الأمني يحقق غايات وأهداف لا يمكن الوصل إليها دون وجود هذا التعاون، هذا فضًلا عن أنَّ هذا التعاون له مجالاته المتعددة وميادينه المختلفة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6"/>
      </w:r>
      <w:r>
        <w:rPr>
          <w:rStyle w:val="None"/>
          <w:rFonts w:ascii="Times New Roman" w:hAnsi="Times New Roman"/>
          <w:sz w:val="24"/>
          <w:szCs w:val="24"/>
          <w:vertAlign w:val="superscript"/>
          <w:rtl/>
          <w:lang w:val="ar-SA"/>
        </w:rPr>
        <w:t>)</w:t>
      </w:r>
    </w:p>
    <w:p w14:paraId="7B0C38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التعاون الدولي ضرورة ملحة لمكافحة الانتهاكات العابرة للحدود؛ حيث أثبت الواقع العلمي أنَّ أي دولة لا تستطيع بجهودها المنفردة القضاء على الانتهاكات الإلكترونية، خاصةً مع التطوُّر الملموس والمذهل في الاتصالات وتكنولوجيا المعلومات، فإنْ كان من الضروري أنْ تمتلك الدول الإمكانية التشريعية والقضائية والفنية لمكافحة هذه الانتهاكات الإلكترونية؛ فإنَّ الأهم من ذلك أنْ تكون تلك القوانين متوائمةً ومتجانسةً بين مختلف الدول؛ إذْ هي تحمي مصلحةً مشتركةً، والتعاون الدولي في هذا المجال قد يأخذ عدة أوجه،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يتعلق بضرورة التعاون في إنقاذ القانون لملاحقة ومعاقبة المنتهكين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7"/>
      </w:r>
      <w:r>
        <w:rPr>
          <w:rStyle w:val="None"/>
          <w:rFonts w:ascii="Times New Roman" w:hAnsi="Times New Roman"/>
          <w:sz w:val="24"/>
          <w:szCs w:val="24"/>
          <w:vertAlign w:val="superscript"/>
          <w:rtl/>
          <w:lang w:val="ar-SA"/>
        </w:rPr>
        <w:t>)</w:t>
      </w:r>
    </w:p>
    <w:p w14:paraId="1EEBDD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التعاون الدولي هو عنصر مهم في تعزيز حماية الملكية الفكرية في البيئة الرقمية؛ وذلك بسبب سهولة نسخ المصنفات الرقمية، ونشرها، وتداولها مرة أخرى دون موافقة صاحب المصنف، ومن هنا لا بُدَّ التعاون والتنسيق بين الدول وتبادل المعلومات؛ لحماية المصنفات الرقمية، وحماية حقوق المؤلف المادية والأدبية</w:t>
      </w:r>
      <w:r>
        <w:rPr>
          <w:rStyle w:val="None"/>
          <w:rFonts w:ascii="Times New Roman" w:hAnsi="Times New Roman"/>
          <w:sz w:val="24"/>
          <w:szCs w:val="24"/>
          <w:rtl/>
          <w:lang w:val="ar-SA"/>
        </w:rPr>
        <w:t>.</w:t>
      </w:r>
    </w:p>
    <w:p w14:paraId="599D46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يرى الباحث أنَّ اختلاف التشريعات الوطنية، وضعف التعاون والتنسيق الدولي يعتبر عقبةً دوليةً أمام الانتهاكات الدولية أو الوطنية على المصنفات الرقمية، فلا بُدَّ من للدول تحديث تشريعاتها الوطنية، وعقد مؤتمرات دولية؛ بسبب هذه الانتهاكات، وعقد اتفاقيات ثنائية بين الدول؛ لتبادل المعلومات والبيانات بينهم البعض؛ حتى تتم ملاحقة هذه الجرائم قبل طمس الأدلة المستخدمة في الجريمة، وتتبع مرتكبي هذه الجرائم عبر الحدود، ومن الممكن أنْ يتم توحيد تشريعات دولية، من خلال اتفاقية توضح فيها التعاون بين الدول</w:t>
      </w:r>
      <w:r>
        <w:rPr>
          <w:rStyle w:val="None"/>
          <w:rFonts w:ascii="Times New Roman" w:hAnsi="Times New Roman"/>
          <w:sz w:val="24"/>
          <w:szCs w:val="24"/>
          <w:rtl/>
          <w:lang w:val="ar-SA"/>
        </w:rPr>
        <w:t>.</w:t>
      </w:r>
    </w:p>
    <w:p w14:paraId="253FDAF9"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EE8E1EC"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DC03EED" w14:textId="75C9199F" w:rsidR="00454428" w:rsidRDefault="00000000" w:rsidP="00C72BA8">
      <w:pPr>
        <w:pStyle w:val="a4"/>
        <w:rPr>
          <w:rStyle w:val="None"/>
          <w:lang w:val="ar-SA"/>
        </w:rPr>
      </w:pPr>
      <w:bookmarkStart w:id="185" w:name="_Toc227251122"/>
      <w:bookmarkStart w:id="186" w:name="_Toc227251432"/>
      <w:r>
        <w:rPr>
          <w:rStyle w:val="None"/>
          <w:rFonts w:ascii="Arial Unicode MS" w:eastAsia="Arial Unicode MS" w:hAnsi="Arial Unicode MS" w:hint="cs"/>
          <w:rtl/>
          <w:lang w:val="ar-SA"/>
        </w:rPr>
        <w:lastRenderedPageBreak/>
        <w:t>المبحث الثاني</w:t>
      </w:r>
      <w:bookmarkEnd w:id="185"/>
      <w:bookmarkEnd w:id="186"/>
    </w:p>
    <w:p w14:paraId="733AD3F9" w14:textId="77777777" w:rsidR="00454428" w:rsidRDefault="00000000" w:rsidP="00C72BA8">
      <w:pPr>
        <w:pStyle w:val="a4"/>
        <w:rPr>
          <w:rStyle w:val="None"/>
          <w:lang w:val="ar-SA"/>
        </w:rPr>
      </w:pPr>
      <w:bookmarkStart w:id="187" w:name="_Toc227251123"/>
      <w:bookmarkStart w:id="188" w:name="_Toc227251433"/>
      <w:r>
        <w:rPr>
          <w:rStyle w:val="None"/>
          <w:rFonts w:ascii="Arial Unicode MS" w:eastAsia="Arial Unicode MS" w:hAnsi="Arial Unicode MS" w:hint="cs"/>
          <w:rtl/>
          <w:lang w:val="ar-SA"/>
        </w:rPr>
        <w:t>النظام القانونية للمصنف الرقمي</w:t>
      </w:r>
      <w:bookmarkEnd w:id="187"/>
      <w:bookmarkEnd w:id="188"/>
    </w:p>
    <w:p w14:paraId="32E2FB6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قوانين الملكية الفكرية تهدف إلى حماية أصحاب الابتكار من كافة الاعتداءات على مؤلفاتهم وأعمالهم، ولا يمنع ذلك شمول تلك القوانين لأشخاص آخرين جديرين بالحماية وخاصةً المستهلكين، أي أنَّ استخدام حقوق الملكية الفكرية لا يهدف إلى حماية أصحابها فقط، بل يشمل المتضررين من سوء استخدام تلك الحقوق والمتمثل في شخص 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8"/>
      </w:r>
      <w:r>
        <w:rPr>
          <w:rStyle w:val="None"/>
          <w:rFonts w:ascii="Times New Roman" w:hAnsi="Times New Roman"/>
          <w:sz w:val="24"/>
          <w:szCs w:val="24"/>
          <w:vertAlign w:val="superscript"/>
          <w:rtl/>
          <w:lang w:val="ar-SA"/>
        </w:rPr>
        <w:t>)</w:t>
      </w:r>
    </w:p>
    <w:p w14:paraId="48D39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التشريعات القانونية هي الركيزة الرئيسية والمهمة في عملية حقوق المؤلفين، وتوفير الحماية لإبداعاتهم الفكرية من عمليات التخريب، والقرصنة، والاعتداءات، سواءً تعلق هذا بالمصنفات التقليدية، أو المصنفات التي فرضتها البيئة الجديدة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المصنفات الرقيمة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أو مصنفات البيئة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9"/>
      </w:r>
      <w:r>
        <w:rPr>
          <w:rStyle w:val="None"/>
          <w:rFonts w:ascii="Times New Roman" w:hAnsi="Times New Roman"/>
          <w:sz w:val="24"/>
          <w:szCs w:val="24"/>
          <w:vertAlign w:val="superscript"/>
          <w:rtl/>
          <w:lang w:val="ar-SA"/>
        </w:rPr>
        <w:t>)</w:t>
      </w:r>
    </w:p>
    <w:p w14:paraId="78BB53F7"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القانونية في النظام السعودي</w:t>
      </w:r>
      <w:r>
        <w:rPr>
          <w:rStyle w:val="None"/>
          <w:rFonts w:ascii="Times New Roman" w:hAnsi="Times New Roman"/>
          <w:sz w:val="24"/>
          <w:szCs w:val="24"/>
          <w:rtl/>
          <w:lang w:val="ar-SA"/>
        </w:rPr>
        <w:t>.</w:t>
      </w:r>
    </w:p>
    <w:p w14:paraId="45912DEE"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في التشريعين الفرنسي والأمريكي</w:t>
      </w:r>
      <w:r>
        <w:rPr>
          <w:rStyle w:val="None"/>
          <w:rFonts w:ascii="Times New Roman" w:hAnsi="Times New Roman"/>
          <w:sz w:val="24"/>
          <w:szCs w:val="24"/>
          <w:rtl/>
          <w:lang w:val="ar-SA"/>
        </w:rPr>
        <w:t>.</w:t>
      </w:r>
    </w:p>
    <w:p w14:paraId="6D9BDF65" w14:textId="77777777" w:rsidR="00454428" w:rsidRDefault="00000000" w:rsidP="00C72BA8">
      <w:pPr>
        <w:pStyle w:val="Body"/>
        <w:spacing w:before="120" w:after="120" w:line="360" w:lineRule="auto"/>
      </w:pPr>
      <w:r>
        <w:rPr>
          <w:rStyle w:val="None"/>
          <w:rFonts w:ascii="Arial Unicode MS" w:hAnsi="Arial Unicode MS"/>
          <w:sz w:val="24"/>
          <w:szCs w:val="24"/>
        </w:rPr>
        <w:br w:type="page"/>
      </w:r>
    </w:p>
    <w:p w14:paraId="0FD62107" w14:textId="77777777" w:rsidR="00454428" w:rsidRDefault="00000000" w:rsidP="00C72BA8">
      <w:pPr>
        <w:pStyle w:val="a4"/>
        <w:rPr>
          <w:rStyle w:val="None"/>
          <w:lang w:val="ar-SA"/>
        </w:rPr>
      </w:pPr>
      <w:bookmarkStart w:id="189" w:name="_Toc227251124"/>
      <w:bookmarkStart w:id="190" w:name="_Toc227251434"/>
      <w:r>
        <w:rPr>
          <w:rStyle w:val="None"/>
          <w:rFonts w:ascii="Arial Unicode MS" w:eastAsia="Arial Unicode MS" w:hAnsi="Arial Unicode MS" w:hint="cs"/>
          <w:rtl/>
          <w:lang w:val="ar-SA"/>
        </w:rPr>
        <w:lastRenderedPageBreak/>
        <w:t>المطلب الأول</w:t>
      </w:r>
      <w:bookmarkEnd w:id="189"/>
      <w:bookmarkEnd w:id="190"/>
    </w:p>
    <w:p w14:paraId="24BDBC45" w14:textId="77777777" w:rsidR="00454428" w:rsidRDefault="00000000" w:rsidP="00C72BA8">
      <w:pPr>
        <w:pStyle w:val="a4"/>
        <w:rPr>
          <w:rStyle w:val="None"/>
          <w:lang w:val="ar-SA"/>
        </w:rPr>
      </w:pPr>
      <w:bookmarkStart w:id="191" w:name="_Toc227251125"/>
      <w:bookmarkStart w:id="192" w:name="_Toc227251435"/>
      <w:r>
        <w:rPr>
          <w:rStyle w:val="None"/>
          <w:rFonts w:ascii="Arial Unicode MS" w:eastAsia="Arial Unicode MS" w:hAnsi="Arial Unicode MS" w:hint="cs"/>
          <w:rtl/>
          <w:lang w:val="ar-SA"/>
        </w:rPr>
        <w:t>نطاق الحماية القانونية في النظام السعودي</w:t>
      </w:r>
      <w:bookmarkEnd w:id="191"/>
      <w:bookmarkEnd w:id="192"/>
    </w:p>
    <w:p w14:paraId="1DEC7B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التطوُّرات الإلكترونية العديدة جعلت العالم بأكمله مثل 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Style w:val="None"/>
          <w:rFonts w:ascii="Times New Roman" w:hAnsi="Times New Roman"/>
          <w:sz w:val="24"/>
          <w:szCs w:val="24"/>
          <w:rtl/>
          <w:lang w:val="ar-SA"/>
        </w:rPr>
        <w:t>.</w:t>
      </w:r>
    </w:p>
    <w:p w14:paraId="145583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ففي ظل عدم وجود قانون لحفظ الحقوق فإنَّ الوطن أولًا يخسر أبناءه المبدعين، ويهاجرون منه ليس هجرة عمل وإنتاج، بل هجرة لجوء أبدي إلى وطن آخر؛ لأنَّ قانون حفظ الحقوق الفكرية ملازم دائمًا للمبدعين فلا يوجد المبدعون في بيئة لا تحترم حقوق عقول المتميزين فيها، ويشعروا بأنَّ إبداعاتهم ستسجل بأسماء آخرين غيرهم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0"/>
      </w:r>
      <w:r>
        <w:rPr>
          <w:rStyle w:val="None"/>
          <w:rFonts w:ascii="Times New Roman" w:hAnsi="Times New Roman"/>
          <w:sz w:val="24"/>
          <w:szCs w:val="24"/>
          <w:vertAlign w:val="superscript"/>
          <w:rtl/>
          <w:lang w:val="ar-SA"/>
        </w:rPr>
        <w:t>)</w:t>
      </w:r>
    </w:p>
    <w:p w14:paraId="2FB1B2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إقرار حقوق المؤلف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1"/>
      </w:r>
      <w:r>
        <w:rPr>
          <w:rStyle w:val="None"/>
          <w:rFonts w:ascii="Times New Roman" w:hAnsi="Times New Roman"/>
          <w:sz w:val="24"/>
          <w:szCs w:val="24"/>
          <w:vertAlign w:val="superscript"/>
          <w:rtl/>
          <w:lang w:val="ar-SA"/>
        </w:rPr>
        <w:t>)</w:t>
      </w:r>
    </w:p>
    <w:p w14:paraId="4F203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النظام القانوني في المملكة العربية السعودية أَوْلى اهتمامًا بالغًا بحماية حقوق المؤلف، فقد شملت نطاق الحماية القانونية في السعودية بجميع أنواع صور الملكية الفكرية، من حقوق المؤلف والحقوق المجاورة، والعلامات التجارية، وبراءات الاختراع، والتصاميم، كما اهتمت بحماية الملكية الفكرية الرقمية من خلال الأنظمة القانونية</w:t>
      </w:r>
      <w:r>
        <w:rPr>
          <w:rStyle w:val="None"/>
          <w:rFonts w:ascii="Times New Roman" w:hAnsi="Times New Roman"/>
          <w:sz w:val="24"/>
          <w:szCs w:val="24"/>
          <w:rtl/>
          <w:lang w:val="ar-SA"/>
        </w:rPr>
        <w:t>.</w:t>
      </w:r>
    </w:p>
    <w:p w14:paraId="223B0192"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حماية حقوق المؤلف</w:t>
      </w:r>
      <w:r>
        <w:rPr>
          <w:rStyle w:val="None"/>
          <w:rFonts w:ascii="Times New Roman" w:hAnsi="Times New Roman"/>
          <w:b/>
          <w:bCs/>
          <w:sz w:val="28"/>
          <w:szCs w:val="28"/>
          <w:rtl/>
          <w:lang w:val="ar-SA"/>
        </w:rPr>
        <w:t>:</w:t>
      </w:r>
    </w:p>
    <w:p w14:paraId="4CB80C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لقد وضع المنظم السعودي نظامًا قانونيًا خاصًا لحقوق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2/7/1424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30/8/2033</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 والذي حل محل النظام السابق الصادر بالمرسوم الملكي رقم م</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1410</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19/5/140</w:t>
      </w:r>
      <w:r>
        <w:rPr>
          <w:rStyle w:val="None"/>
          <w:rFonts w:ascii="Arial Unicode MS" w:hAnsi="Arial Unicode MS" w:cs="Times New Roman" w:hint="cs"/>
          <w:sz w:val="24"/>
          <w:szCs w:val="24"/>
          <w:rtl/>
          <w:lang w:val="ar-SA"/>
        </w:rPr>
        <w:t>هـ؛ لتحدد نطاق تلك الحقوق، وسبل حمايتها، كما يعترف النظام السعودي لمبدعي المصنفات الفكرية بنوعين من الحقوق الأدبية أو المعنوية والمالية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2"/>
      </w:r>
      <w:r>
        <w:rPr>
          <w:rStyle w:val="None"/>
          <w:rFonts w:ascii="Times New Roman" w:hAnsi="Times New Roman"/>
          <w:sz w:val="24"/>
          <w:szCs w:val="24"/>
          <w:vertAlign w:val="superscript"/>
          <w:rtl/>
          <w:lang w:val="ar-SA"/>
        </w:rPr>
        <w:t>)</w:t>
      </w:r>
    </w:p>
    <w:p w14:paraId="4BB878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يشمل النظام حماية المصنفات المبتكرة في مجالات العلوم، والأدب، والفنون، بغض النظر عن نوعها أو طريقة التعبير عنها أو أهميتها أو الغرض من تأليفها، ومن أمثلة هذه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3"/>
      </w:r>
      <w:r>
        <w:rPr>
          <w:rStyle w:val="None"/>
          <w:rFonts w:ascii="Times New Roman" w:hAnsi="Times New Roman"/>
          <w:sz w:val="24"/>
          <w:szCs w:val="24"/>
          <w:vertAlign w:val="superscript"/>
          <w:rtl/>
          <w:lang w:val="ar-SA"/>
        </w:rPr>
        <w:t>)</w:t>
      </w:r>
    </w:p>
    <w:p w14:paraId="7EF6E296"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الكتب والكتيبات والمواد المكتوبة الأخرى</w:t>
      </w:r>
      <w:r>
        <w:rPr>
          <w:rStyle w:val="None"/>
          <w:rFonts w:ascii="Times New Roman" w:hAnsi="Times New Roman"/>
          <w:sz w:val="24"/>
          <w:szCs w:val="24"/>
          <w:rtl/>
          <w:lang w:val="ar-SA"/>
        </w:rPr>
        <w:t>.</w:t>
      </w:r>
    </w:p>
    <w:p w14:paraId="605F9B5D"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المحاضرات، والخطب، والمواعظ، والأشعار</w:t>
      </w:r>
      <w:r>
        <w:rPr>
          <w:rStyle w:val="None"/>
          <w:rFonts w:ascii="Times New Roman" w:hAnsi="Times New Roman"/>
          <w:sz w:val="24"/>
          <w:szCs w:val="24"/>
          <w:rtl/>
          <w:lang w:val="ar-SA"/>
        </w:rPr>
        <w:t>.</w:t>
      </w:r>
    </w:p>
    <w:p w14:paraId="4ED816D3"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المسرحية والتمثيلية</w:t>
      </w:r>
      <w:r>
        <w:rPr>
          <w:rStyle w:val="None"/>
          <w:rFonts w:ascii="Times New Roman" w:hAnsi="Times New Roman"/>
          <w:sz w:val="24"/>
          <w:szCs w:val="24"/>
          <w:rtl/>
          <w:lang w:val="ar-SA"/>
        </w:rPr>
        <w:t>.</w:t>
      </w:r>
    </w:p>
    <w:p w14:paraId="52F086E6"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الموسيقية</w:t>
      </w:r>
      <w:r>
        <w:rPr>
          <w:rStyle w:val="None"/>
          <w:rFonts w:ascii="Times New Roman" w:hAnsi="Times New Roman"/>
          <w:sz w:val="24"/>
          <w:szCs w:val="24"/>
          <w:rtl/>
          <w:lang w:val="ar-SA"/>
        </w:rPr>
        <w:t>.</w:t>
      </w:r>
    </w:p>
    <w:p w14:paraId="7074151F"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السينمائية والاذاعية</w:t>
      </w:r>
      <w:r>
        <w:rPr>
          <w:rStyle w:val="None"/>
          <w:rFonts w:ascii="Times New Roman" w:hAnsi="Times New Roman"/>
          <w:sz w:val="24"/>
          <w:szCs w:val="24"/>
          <w:rtl/>
          <w:lang w:val="ar-SA"/>
        </w:rPr>
        <w:t>.</w:t>
      </w:r>
    </w:p>
    <w:p w14:paraId="305B31DC"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الرسوم والصور الفوتوغرافية</w:t>
      </w:r>
      <w:r>
        <w:rPr>
          <w:rStyle w:val="None"/>
          <w:rFonts w:ascii="Times New Roman" w:hAnsi="Times New Roman"/>
          <w:sz w:val="24"/>
          <w:szCs w:val="24"/>
          <w:rtl/>
          <w:lang w:val="ar-SA"/>
        </w:rPr>
        <w:t>.</w:t>
      </w:r>
    </w:p>
    <w:p w14:paraId="35949878"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برمجيات الحاسب الآلي</w:t>
      </w:r>
      <w:r>
        <w:rPr>
          <w:rStyle w:val="None"/>
          <w:rFonts w:ascii="Times New Roman" w:hAnsi="Times New Roman"/>
          <w:sz w:val="24"/>
          <w:szCs w:val="24"/>
          <w:rtl/>
          <w:lang w:val="ar-SA"/>
        </w:rPr>
        <w:t>.</w:t>
      </w:r>
    </w:p>
    <w:p w14:paraId="20A9FB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حدد نظام حماية حقوق المؤلف لحماية المصنفات الفكرية لا بُدَّ من التحقق من الشروط والضوابط التي نص عليها النظام، فالنظام يحمي المصنفات المبتكرة في الآداب، والفنون، والعلوم أيًا كان نوع هذه المصنفات، أو الغرض من تأليفها، وأهميتها، كما يحمي النظام مصنفات الترجمة، أو التعديل، أو الشرح، بالإضافة إلى المصنفات الفلكلورية للتراث الشعبي، ولا تخل الحماية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يتمتع بها أصحاب هذه المصنفات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التي يتمتع بها مؤلفو المصنفات الأصلية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4"/>
      </w:r>
      <w:r>
        <w:rPr>
          <w:rStyle w:val="None"/>
          <w:rFonts w:ascii="Times New Roman" w:hAnsi="Times New Roman"/>
          <w:sz w:val="24"/>
          <w:szCs w:val="24"/>
          <w:vertAlign w:val="superscript"/>
          <w:rtl/>
          <w:lang w:val="ar-SA"/>
        </w:rPr>
        <w:t>)</w:t>
      </w:r>
    </w:p>
    <w:p w14:paraId="341D6C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 النظام على مدة حماية حقوق المؤلف؛ حيث تمتد الحماية للمصنفات الفردية إلى خمسين سنةً بعد وفاة المؤلف، وفي حالة المصنفات المشتركة من تاريخ وفاة آخر المؤلفين، أما المصنفات التي تصدر عن شخص اعتباري وتنشر باسم مجهول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مدة الحماية خمسين سنةً من تاريخ أول نشر، وتختلف مدة حماية للمصنفات السمعية والمرئية وبرمجيات الحاسب الآلي مدة خمسين سنةً، أمام المصنفات الفوتوغرافية وأعمال الفنون التطبيقية بعد خمس وعشرين سنةً من تاريخ النشر، كما تشمل الحماية حقوق مجاورة، مثل حقوق البث والإذاعة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5"/>
      </w:r>
      <w:r>
        <w:rPr>
          <w:rStyle w:val="None"/>
          <w:rFonts w:ascii="Times New Roman" w:hAnsi="Times New Roman"/>
          <w:sz w:val="24"/>
          <w:szCs w:val="24"/>
          <w:vertAlign w:val="superscript"/>
          <w:rtl/>
          <w:lang w:val="ar-SA"/>
        </w:rPr>
        <w:t>)</w:t>
      </w:r>
    </w:p>
    <w:p w14:paraId="67CB5C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أتاح المنظم السعودي إمكانية اتخاذ التدابير الوقائية؛ لمنع وقوع الاعتداء أو التخفيف منه في حال وقوعه، أو وقفه، لإجبار المعتدي على الامتناع عن القيام بأعمال العدوان على الحقوق الأدبية والمالية لأصحاب حقوق التأليف، فهذه الوسائل هي معاملة قانونية نص عليها النظام؛ لمواجهة الخطورة التي وقعت أو ستقع جرَّاء المخالفة التي ارتكبت، وتكون بمجموعة من الإجراءات التي يمكن اتخاذها جميعًا أو بعضها لوقف الضرر أو إزالته، وقد يطلق على هذه التدابير بالاحترازية، وتعتبر هذه التدابير الوسيلة الثانية للسياسة الجنائية في مكافحة الجرائم، التي تقع في حالة الاعتداء على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6"/>
      </w:r>
      <w:r>
        <w:rPr>
          <w:rStyle w:val="None"/>
          <w:rFonts w:ascii="Times New Roman" w:hAnsi="Times New Roman"/>
          <w:sz w:val="24"/>
          <w:szCs w:val="24"/>
          <w:vertAlign w:val="superscript"/>
          <w:rtl/>
          <w:lang w:val="ar-SA"/>
        </w:rPr>
        <w:t>)</w:t>
      </w:r>
    </w:p>
    <w:p w14:paraId="7FA3B5E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براءات الاختراع والتصميمات التخطيطية للدارات المتكاملة والأصناف النباتية والنماذج الصناعية</w:t>
      </w:r>
      <w:r>
        <w:rPr>
          <w:rStyle w:val="None"/>
          <w:rFonts w:ascii="Times New Roman" w:hAnsi="Times New Roman"/>
          <w:b/>
          <w:bCs/>
          <w:sz w:val="28"/>
          <w:szCs w:val="28"/>
          <w:rtl/>
          <w:lang w:val="ar-SA"/>
        </w:rPr>
        <w:t>:</w:t>
      </w:r>
    </w:p>
    <w:p w14:paraId="46862F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صدر نظام براءات الاختراع والتصميمات التخطيطية للدارات المتكاملة والأصناف النباتية والنماذج الصناعية المرسوم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24D4EC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تولى نظام براءات الاختراع والتصميمات التخطيطية للدارات المتكاملة والأصناف النباتية والنماذج الصناعية السعودي تعريف كلًا من التصميم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الترتيب الثلاثي الأبعاد لعناصر دارة متكاملة على أنْ يكون أحد تلك العناصر على الأقل نشطًا ولجميع الوصلات أو بعضها، أو الترتيب الثلاثي الأبعاد المعد لدارة متكاملة بغرض التصنيع</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الدارة المتكاملة فتعرَّف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منتج يكون الغرض منه أداء وظيفة إلكترونية تشكل فيه العناصر يكون أحدها على الأقل نشطًا وجميع الوصلات، أو بعضها شكلًا متكاملًا في قطعة من المادة أو عليها، سواء في شكله النهائي أو الوسيط</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7AA2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هذه التعريفات نجد أنَّ المنظم السعودي قد أوضح مفهوم التصميم التخطيطي للدارة المتكاملة من جهة تقنية، كما أشار إلى الوظيفة التي صممت الدارة المتكاملة من أجلها لتقرير موجبات الحماية ولم يوضحها بمعنى قانوني بحت باعتبار أنَّ التصميم التخطيطي للدارة المتكاملة أمرًا تقنيًا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8"/>
      </w:r>
      <w:r>
        <w:rPr>
          <w:rStyle w:val="None"/>
          <w:rFonts w:ascii="Times New Roman" w:hAnsi="Times New Roman"/>
          <w:sz w:val="24"/>
          <w:szCs w:val="24"/>
          <w:vertAlign w:val="superscript"/>
          <w:rtl/>
          <w:lang w:val="ar-SA"/>
        </w:rPr>
        <w:t>)</w:t>
      </w:r>
    </w:p>
    <w:p w14:paraId="56C6BE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وضح النظام السعودي الأحكام في شأن التصميمات التخطيطية للدارات المتكاملة إلى الإدارة العامة لبراءات الاختراع بمدينة الملك عبد العزيز للعلوم والتقنية، وكما بينت اللائحة التنفيذية أنَّ لهذه الإدارة استقبال طلبات الحماية، ومتابعة إجراءاتها، وإعداد وثائق الحماية، واقترح إصدار وتعديل النماذج اللازمة للقيام بأعمالها، وإصدار قرارات منح وثائق الحماية، ونشر معلومات بشأنها، واستخدام تقنية المعلومات، والدخول إلى قواعد المعلومات المحلية والعالمية عند التعامل مع طلبات الحماية ووثائق الحماية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9"/>
      </w:r>
      <w:r>
        <w:rPr>
          <w:rStyle w:val="None"/>
          <w:rFonts w:ascii="Times New Roman" w:hAnsi="Times New Roman"/>
          <w:sz w:val="24"/>
          <w:szCs w:val="24"/>
          <w:vertAlign w:val="superscript"/>
          <w:rtl/>
          <w:lang w:val="ar-SA"/>
        </w:rPr>
        <w:t>)</w:t>
      </w:r>
    </w:p>
    <w:p w14:paraId="217589F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نظام براءات الاختراع والتصميمات الصادر بالمرسوم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أهم الأنظمة القانونية التي تنظم حماية الحقوق الصناعية في المملكة، كما يهدف النظام إلى حماية الابتكارات التقنية والاختراعات، ويشمل النظام حماية براءات الاختراع، والتصميمات التخطيطية للدارات المتكاملة، والأصناف النباتية، والنماذج الصناعية، كما تشرف الهيئة السعودية للملكية الفكرية هذه الحقوق</w:t>
      </w:r>
      <w:r>
        <w:rPr>
          <w:rStyle w:val="None"/>
          <w:rFonts w:ascii="Times New Roman" w:hAnsi="Times New Roman"/>
          <w:sz w:val="24"/>
          <w:szCs w:val="24"/>
          <w:rtl/>
          <w:lang w:val="ar-SA"/>
        </w:rPr>
        <w:t>.</w:t>
      </w:r>
    </w:p>
    <w:p w14:paraId="353A4D4D" w14:textId="77777777" w:rsidR="00454428" w:rsidRDefault="00000000" w:rsidP="008F2357">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حدد المشرع في النظام على شروطًا لمنح براءة التصميم التخطيط في المادة الرابعة، وهي</w:t>
      </w:r>
      <w:r>
        <w:rPr>
          <w:rStyle w:val="None"/>
          <w:rFonts w:ascii="Times New Roman" w:hAnsi="Times New Roman"/>
          <w:sz w:val="24"/>
          <w:szCs w:val="24"/>
          <w:rtl/>
          <w:lang w:val="ar-SA"/>
        </w:rPr>
        <w:t>:</w:t>
      </w:r>
    </w:p>
    <w:p w14:paraId="18B45FE3" w14:textId="77777777" w:rsidR="00454428" w:rsidRDefault="00000000">
      <w:pPr>
        <w:pStyle w:val="a7"/>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مخالفًا للشريعة الإسلامية</w:t>
      </w:r>
      <w:r>
        <w:rPr>
          <w:rStyle w:val="None"/>
          <w:rFonts w:ascii="Times New Roman" w:hAnsi="Times New Roman"/>
          <w:sz w:val="24"/>
          <w:szCs w:val="24"/>
        </w:rPr>
        <w:t>.</w:t>
      </w:r>
    </w:p>
    <w:p w14:paraId="5ACF43EE" w14:textId="77777777" w:rsidR="00454428" w:rsidRDefault="00000000">
      <w:pPr>
        <w:pStyle w:val="a7"/>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مضرًّا بالحياة، أو بالصحة البشرية، أو الحيوانية، أو النباتية، أو مضرًّا إضرارًا كبيرًا بالبيئة</w:t>
      </w:r>
      <w:r>
        <w:rPr>
          <w:rStyle w:val="None"/>
          <w:rFonts w:ascii="Times New Roman" w:hAnsi="Times New Roman"/>
          <w:sz w:val="24"/>
          <w:szCs w:val="24"/>
          <w:rtl/>
          <w:lang w:val="ar-SA"/>
        </w:rPr>
        <w:t>.</w:t>
      </w:r>
    </w:p>
    <w:p w14:paraId="5C6DF1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توضح هذه المادة شروط منح براءة التصميم، فإنَّها تضع قيودًا قانونيةً على منح وثيقة الحماية، إذا كان استغلال التصميم مخالفًا للشريعة الإسلامية، فهذا يعكس التزام النظام السعودي الالتزام بالشريعة، كما لا تمنح وثيقة الحماية إذا كان الاستغلال يضر بالصحة البشرية، أو الحيوانية، أو النباتية</w:t>
      </w:r>
      <w:r>
        <w:rPr>
          <w:rStyle w:val="None"/>
          <w:rFonts w:ascii="Times New Roman" w:hAnsi="Times New Roman"/>
          <w:sz w:val="24"/>
          <w:szCs w:val="24"/>
          <w:rtl/>
          <w:lang w:val="ar-SA"/>
        </w:rPr>
        <w:t>.</w:t>
      </w:r>
    </w:p>
    <w:p w14:paraId="00DE63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النظام على شروط منح براءة التصميم كالتالي</w:t>
      </w:r>
      <w:r>
        <w:rPr>
          <w:rStyle w:val="None"/>
          <w:rFonts w:ascii="Times New Roman" w:hAnsi="Times New Roman"/>
          <w:sz w:val="24"/>
          <w:szCs w:val="24"/>
          <w:rtl/>
          <w:lang w:val="ar-SA"/>
        </w:rPr>
        <w:t>:</w:t>
      </w:r>
    </w:p>
    <w:p w14:paraId="6EAE42A3" w14:textId="77777777" w:rsidR="00454428" w:rsidRDefault="00000000">
      <w:pPr>
        <w:pStyle w:val="a7"/>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t>مدة حماية براءة الاختراع عشرون سنةً من تاريخ إيداع الطلب</w:t>
      </w:r>
      <w:r>
        <w:rPr>
          <w:rStyle w:val="None"/>
          <w:rFonts w:ascii="Times New Roman" w:hAnsi="Times New Roman"/>
          <w:sz w:val="24"/>
          <w:szCs w:val="24"/>
        </w:rPr>
        <w:t>.</w:t>
      </w:r>
    </w:p>
    <w:p w14:paraId="2E3F58BC" w14:textId="77777777" w:rsidR="00454428" w:rsidRDefault="00000000">
      <w:pPr>
        <w:pStyle w:val="a7"/>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مدة حماية شهادة التصميم عشر سنوات من تاريخ إيداع الطلب، أو عشر سنوات من تاريخ بدء استغلاله تجاريًّا في أي مكان في العالم، وفي كل الأحوال لا يجوز أنْ تتعدى مدة الحماية خمس عشرة سنةً من تاريخ التوصل إلى التصميم</w:t>
      </w:r>
      <w:r>
        <w:rPr>
          <w:rStyle w:val="None"/>
          <w:rFonts w:ascii="Times New Roman" w:hAnsi="Times New Roman"/>
          <w:sz w:val="24"/>
          <w:szCs w:val="24"/>
        </w:rPr>
        <w:t>.</w:t>
      </w:r>
    </w:p>
    <w:p w14:paraId="4F3BEA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النظام قد وضع مدة الحماية القانونية للتصاميم، فهذا يعكس حرص المشرع السعودي على الابتكار؛ لذا قررت مدة حماية براءة الاختراع هي عشرون عامًا من تاريخ إيداع الطلب، أما شهادة التصميم التخطيطي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حمايتها مدة عشر سنوات من تاريخ إيداع الطلب، أو من بدء تاريخ استغلالها في أي مكان في العالم ولا تتجاوز مدته خمسة عشر عامًا</w:t>
      </w:r>
      <w:r>
        <w:rPr>
          <w:rStyle w:val="None"/>
          <w:rFonts w:ascii="Times New Roman" w:hAnsi="Times New Roman"/>
          <w:sz w:val="24"/>
          <w:szCs w:val="24"/>
          <w:rtl/>
          <w:lang w:val="ar-SA"/>
        </w:rPr>
        <w:t>.</w:t>
      </w:r>
    </w:p>
    <w:p w14:paraId="489A788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الأسماء التجارية</w:t>
      </w:r>
      <w:r>
        <w:rPr>
          <w:rStyle w:val="None"/>
          <w:rFonts w:ascii="Times New Roman" w:hAnsi="Times New Roman"/>
          <w:b/>
          <w:bCs/>
          <w:sz w:val="28"/>
          <w:szCs w:val="28"/>
          <w:rtl/>
          <w:lang w:val="ar-SA"/>
        </w:rPr>
        <w:t>:</w:t>
      </w:r>
    </w:p>
    <w:p w14:paraId="690EBA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للأسماء التجارية أهمية قانونية واقتصادية من ناحية الآثار المترتبة على الدولة، وعلى الرغم من الدور الفعَّال الذي يلعبه الاسم التجاري إلا أنَّه يختلط عند البعض مفهوم الاسم التجاري والرموز الأخرى المشابه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كالعلامة التجارية، والعنوان التجاري، والاسم التجاري الوطني، وأسماء المواقع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لذلك فقد صدر نظام الأسماء التجارية بالمرسوم الملكي رقم م</w:t>
      </w:r>
      <w:r>
        <w:rPr>
          <w:rStyle w:val="None"/>
          <w:rFonts w:ascii="Times New Roman" w:hAnsi="Times New Roman"/>
          <w:sz w:val="24"/>
          <w:szCs w:val="24"/>
          <w:rtl/>
          <w:lang w:val="ar-SA"/>
        </w:rPr>
        <w:t xml:space="preserve">/83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19/3/1446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50AD4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بُدَّ من توفير الحماية لحقوق الملكية الفكرية أصبح مقياسًا لتقدم الدول ونموها الاقتصادي، خاصةً حقوق الملكية الصناعية، ومنها الأسماء التجارية، والتي لها دور لا يقل أهمية عن العلامات التجارية في تمييز وتفضيل المنتجات أو المنشآت التجارية، وتُعَدُّ هذه الأسماء أحد وسائل المنافسة الفعَّالة؛ ممَّا أدى إلى تزايد الاعتداء عليها بما يؤثر على مصلحة المستهلك، فضلًا عما يلحق بصاحب الاسم من أضرار مادية ومعنوية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1"/>
      </w:r>
      <w:r>
        <w:rPr>
          <w:rStyle w:val="None"/>
          <w:rFonts w:ascii="Times New Roman" w:hAnsi="Times New Roman"/>
          <w:sz w:val="24"/>
          <w:szCs w:val="24"/>
          <w:vertAlign w:val="superscript"/>
          <w:rtl/>
          <w:lang w:val="ar-SA"/>
        </w:rPr>
        <w:t>)</w:t>
      </w:r>
    </w:p>
    <w:p w14:paraId="3B90C4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ويعرَّف الاسم التجاري في المادة الأولى وهو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الاسم الذي يستعمله التاجر في مزاولة أعماله التجارية لتمييزه عن غيره من التجار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كما يهدف النظام إلى تعزيز الثقة في البيئة التجارية من خلال تنظيم إجراءات حجز الأسماء التجارية وقديها في السجل التجاري، وتعزيز قيمتها، وضمان حمايتها والحقوق المتصلة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2"/>
      </w:r>
      <w:r>
        <w:rPr>
          <w:rStyle w:val="None"/>
          <w:rFonts w:ascii="Times New Roman" w:hAnsi="Times New Roman"/>
          <w:sz w:val="24"/>
          <w:szCs w:val="24"/>
          <w:vertAlign w:val="superscript"/>
          <w:rtl/>
          <w:lang w:val="ar-SA"/>
        </w:rPr>
        <w:t>)</w:t>
      </w:r>
    </w:p>
    <w:p w14:paraId="3BDCF02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وضحت المادة الرابعة على شروط وإجراءات حجز وقيد الاسم التجاري من خلال تقديم طلب، ويتعين على الجهة البت في الطب خلال عشرة أيامٍ من تاريخ تقديمه، وفي حالة تعدد الطلبات لذات الاسم التجاري، تمنح الأولوية للطلب الأسبق، وإذا رفض الطلب يجب أنْ يكون الرفض مسببًا ويتم إبلاغ صاحب الطلب، بالإضافة إلى أنَّ له الحق في التظلم من سبب رفض الطلب أمام الوزارة خلال ستين يومًا من تاريخ إبلاغه برفض الطلب</w:t>
      </w:r>
      <w:r>
        <w:rPr>
          <w:rStyle w:val="None"/>
          <w:rFonts w:ascii="Times New Roman" w:hAnsi="Times New Roman"/>
          <w:sz w:val="24"/>
          <w:szCs w:val="24"/>
          <w:rtl/>
          <w:lang w:val="ar-SA"/>
        </w:rPr>
        <w:t>.</w:t>
      </w:r>
    </w:p>
    <w:p w14:paraId="25F700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يحظر النظام السعودي استعمال الاسم التجاري المقيد في السجل التجاري من قبل الغير، ويحق لصاحب الاسم المطالبة بالتعويض في حالة استخدام اسمه التجاري من قبل الغير، كما يمنع حجز أو قيد الأسماء التجارية المخالفة </w:t>
      </w:r>
      <w:r>
        <w:rPr>
          <w:rStyle w:val="None"/>
          <w:rFonts w:ascii="Arial Unicode MS" w:hAnsi="Arial Unicode MS" w:cs="Times New Roman" w:hint="cs"/>
          <w:sz w:val="24"/>
          <w:szCs w:val="24"/>
          <w:rtl/>
          <w:lang w:val="ar-SA"/>
        </w:rPr>
        <w:lastRenderedPageBreak/>
        <w:t>للنظام العام أو الآداب العامة، كما تشمل المحظورات أيضًا الأسماء التي تتعلق بالسياسة، أو بالدين، أو العسكرية، بالإضافة إلى أنْ تلتزم الوزارة بإصدار قائمةٍ محدثةٍ بالأسماء الممنوع حجزها أو قيدها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3"/>
      </w:r>
      <w:r>
        <w:rPr>
          <w:rStyle w:val="None"/>
          <w:rFonts w:ascii="Times New Roman" w:hAnsi="Times New Roman"/>
          <w:sz w:val="24"/>
          <w:szCs w:val="24"/>
          <w:vertAlign w:val="superscript"/>
          <w:rtl/>
          <w:lang w:val="ar-SA"/>
        </w:rPr>
        <w:t>)</w:t>
      </w:r>
    </w:p>
    <w:p w14:paraId="0FE4E979"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مكافحة جرائم المعلوماتية</w:t>
      </w:r>
      <w:r>
        <w:rPr>
          <w:rStyle w:val="None"/>
          <w:rFonts w:ascii="Times New Roman" w:hAnsi="Times New Roman"/>
          <w:b/>
          <w:bCs/>
          <w:sz w:val="28"/>
          <w:szCs w:val="28"/>
          <w:rtl/>
          <w:lang w:val="ar-SA"/>
        </w:rPr>
        <w:t>:</w:t>
      </w:r>
    </w:p>
    <w:p w14:paraId="5BDD76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يشهد العصر الرقمي في العالم المعاصر تطوُّراتٍ متلاحقةً وقد عمدت معظم دول العالم لرسم خطط وبرامج للتحول الرقمي، وقد شغلت التطوُّرات المتسارعة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قطاع تقنية المعلومات والاتصالات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حيزًا لا يستهان به في ذهن الأفراد وأداء المنظمات الحيوية، ونادت معظم الآراء في مجال التقنية الرقمية بضرورة تلبية مجموعة من المقومات؛ لتحسين جودة العمل وتعزيز التنافسية وتحقيق التنمية المستدامة، وأخذت هذه الجرائم المعلوماتية في التوسع والانتشار، وأدى ذلك إلى تزايد خطرها مع انتشارها بشكل كبير؛ حيث أصبحت المملكة العربية أمام تحدي تمثل في ظهور الجرائم المعلوماتية التي تستهدف الجميع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4"/>
      </w:r>
      <w:r>
        <w:rPr>
          <w:rStyle w:val="None"/>
          <w:rFonts w:ascii="Times New Roman" w:hAnsi="Times New Roman"/>
          <w:sz w:val="24"/>
          <w:szCs w:val="24"/>
          <w:vertAlign w:val="superscript"/>
          <w:rtl/>
          <w:lang w:val="ar-SA"/>
        </w:rPr>
        <w:t>)</w:t>
      </w:r>
    </w:p>
    <w:p w14:paraId="5A052D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العديد من الدول على تطوير نظام المكافحة التشريعية لديها بإدخال نصوص تشريعية عقابية وإجرائية تتوافق مع ظاهرة الإجرام المعلوماتي والتقني، ولم تكتفِ بذلك فحسب، بل قامت بسَنِّ تشريعات خاصة مستقلة تتعلق بهذا الشأن خاصة على الجانب السعودي والعربي، ففي المملكة العربية السعودية صدر المرسوم الملكي رقم م</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8/3/1428</w:t>
      </w:r>
      <w:r>
        <w:rPr>
          <w:rStyle w:val="None"/>
          <w:rFonts w:ascii="Arial Unicode MS" w:hAnsi="Arial Unicode MS" w:cs="Times New Roman" w:hint="cs"/>
          <w:sz w:val="24"/>
          <w:szCs w:val="24"/>
          <w:rtl/>
          <w:lang w:val="ar-SA"/>
        </w:rPr>
        <w:t>هـ بشأن نظام مكافحة جرائم المعلوماتية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5"/>
      </w:r>
      <w:r>
        <w:rPr>
          <w:rStyle w:val="None"/>
          <w:rFonts w:ascii="Times New Roman" w:hAnsi="Times New Roman"/>
          <w:sz w:val="24"/>
          <w:szCs w:val="24"/>
          <w:vertAlign w:val="superscript"/>
          <w:rtl/>
          <w:lang w:val="ar-SA"/>
        </w:rPr>
        <w:t>)</w:t>
      </w:r>
    </w:p>
    <w:p w14:paraId="13B439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نظام مكافحة الجرائم المعلوماتية السعودي يجرم عددًا من الأفعال التي ترتكب عن طريق استخدام غير مشروع من خلال التقنية الرقمية، ومن بين هذا الأفعال التصنُّت، أو اعتراض البيانات المرسلة عبر الشبكات، والدخول غير المشروع إلى المواقع الإلكترونية، أو الأجهزة؛ بهدف التعديل، أو الاتلاف، أو التهديد، أو الابتزاز، أو الحصول على معلومات حساسة تخص أمن الدولة واقتصادها</w:t>
      </w:r>
      <w:r>
        <w:rPr>
          <w:rStyle w:val="None"/>
          <w:rFonts w:ascii="Times New Roman" w:hAnsi="Times New Roman"/>
          <w:sz w:val="24"/>
          <w:szCs w:val="24"/>
          <w:rtl/>
          <w:lang w:val="ar-SA"/>
        </w:rPr>
        <w:t>.</w:t>
      </w:r>
    </w:p>
    <w:p w14:paraId="040DDB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يهدف النظام إلى حماية المجتمع من خلال تجريم التحريض، أو المساعدة، أو الاتفاق على ارتكاب الجرائم المعلوماتية، وشدد النظام العقوبات عند اقتران الجريمة بظروف مشددة،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ارتكابها عن طريق عصابات منظمة، أو استغلال الوظيفة العامة، أو استغلال القصر في أفعال غير مشروعة</w:t>
      </w:r>
      <w:r>
        <w:rPr>
          <w:rStyle w:val="None"/>
          <w:rFonts w:ascii="Times New Roman" w:hAnsi="Times New Roman"/>
          <w:sz w:val="24"/>
          <w:szCs w:val="24"/>
          <w:rtl/>
          <w:lang w:val="ar-SA"/>
        </w:rPr>
        <w:t>.</w:t>
      </w:r>
    </w:p>
    <w:p w14:paraId="22B649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وكان الهدف من هذا النظام الحد من ارتكاب الجرائم المتعلقة بالتقنية الرقيمة، كما جاء في المادة الثانية من هذا النظام على</w:t>
      </w:r>
      <w:r>
        <w:rPr>
          <w:rStyle w:val="None"/>
          <w:rFonts w:ascii="Times New Roman" w:hAnsi="Times New Roman"/>
          <w:sz w:val="24"/>
          <w:szCs w:val="24"/>
          <w:rtl/>
          <w:lang w:val="ar-SA"/>
        </w:rPr>
        <w:t xml:space="preserve">: </w:t>
      </w:r>
    </w:p>
    <w:p w14:paraId="46306649" w14:textId="77777777" w:rsidR="00454428" w:rsidRDefault="00000000">
      <w:pPr>
        <w:pStyle w:val="a7"/>
        <w:numPr>
          <w:ilvl w:val="0"/>
          <w:numId w:val="124"/>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المساعدة على تحقيق الأمن المعلوماتي</w:t>
      </w:r>
      <w:r>
        <w:rPr>
          <w:rStyle w:val="None"/>
          <w:rFonts w:ascii="Times New Roman" w:hAnsi="Times New Roman"/>
          <w:sz w:val="24"/>
          <w:szCs w:val="24"/>
          <w:rtl/>
          <w:lang w:val="ar-SA"/>
        </w:rPr>
        <w:t>.</w:t>
      </w:r>
    </w:p>
    <w:p w14:paraId="49D0E3F9" w14:textId="77777777" w:rsidR="00454428" w:rsidRDefault="00000000">
      <w:pPr>
        <w:pStyle w:val="a7"/>
        <w:numPr>
          <w:ilvl w:val="0"/>
          <w:numId w:val="124"/>
        </w:numPr>
        <w:spacing w:before="120" w:after="120" w:line="360" w:lineRule="auto"/>
        <w:jc w:val="both"/>
        <w:rPr>
          <w:rFonts w:cs="Times New Roman" w:hint="default"/>
          <w:sz w:val="24"/>
          <w:szCs w:val="24"/>
          <w:rtl/>
          <w:lang w:val="ar-SA"/>
        </w:rPr>
      </w:pPr>
      <w:r>
        <w:rPr>
          <w:rStyle w:val="None"/>
          <w:rFonts w:cs="Times New Roman"/>
          <w:sz w:val="24"/>
          <w:szCs w:val="24"/>
          <w:rtl/>
          <w:lang w:val="ar-SA"/>
        </w:rPr>
        <w:t>حفظ الحقوق المترتبة على الاستخدام المشروع للحاسبات الآلية والشبكات المعلوماتية</w:t>
      </w:r>
      <w:r>
        <w:rPr>
          <w:rStyle w:val="None"/>
          <w:rFonts w:ascii="Times New Roman" w:hAnsi="Times New Roman"/>
          <w:sz w:val="24"/>
          <w:szCs w:val="24"/>
          <w:rtl/>
          <w:lang w:val="ar-SA"/>
        </w:rPr>
        <w:t xml:space="preserve">. </w:t>
      </w:r>
    </w:p>
    <w:p w14:paraId="6DC69F0C" w14:textId="77777777" w:rsidR="00454428" w:rsidRDefault="00000000">
      <w:pPr>
        <w:pStyle w:val="a7"/>
        <w:numPr>
          <w:ilvl w:val="0"/>
          <w:numId w:val="124"/>
        </w:numPr>
        <w:spacing w:before="120" w:after="120" w:line="360" w:lineRule="auto"/>
        <w:jc w:val="both"/>
        <w:rPr>
          <w:rFonts w:cs="Times New Roman" w:hint="default"/>
          <w:sz w:val="24"/>
          <w:szCs w:val="24"/>
          <w:rtl/>
          <w:lang w:val="ar-SA"/>
        </w:rPr>
      </w:pPr>
      <w:r>
        <w:rPr>
          <w:rStyle w:val="None"/>
          <w:rFonts w:cs="Times New Roman"/>
          <w:sz w:val="24"/>
          <w:szCs w:val="24"/>
          <w:rtl/>
          <w:lang w:val="ar-SA"/>
        </w:rPr>
        <w:t>حماية المصلحة العامة والأخلاق والآداب العامة</w:t>
      </w:r>
      <w:r>
        <w:rPr>
          <w:rStyle w:val="None"/>
          <w:rFonts w:ascii="Times New Roman" w:hAnsi="Times New Roman"/>
          <w:sz w:val="24"/>
          <w:szCs w:val="24"/>
          <w:rtl/>
          <w:lang w:val="ar-SA"/>
        </w:rPr>
        <w:t>.</w:t>
      </w:r>
    </w:p>
    <w:p w14:paraId="77D07628" w14:textId="77777777" w:rsidR="00454428" w:rsidRDefault="00000000">
      <w:pPr>
        <w:pStyle w:val="a7"/>
        <w:numPr>
          <w:ilvl w:val="0"/>
          <w:numId w:val="124"/>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حماية الاقتصاد الوطني</w:t>
      </w:r>
      <w:r>
        <w:rPr>
          <w:rStyle w:val="None"/>
          <w:rFonts w:ascii="Times New Roman" w:hAnsi="Times New Roman"/>
          <w:sz w:val="24"/>
          <w:szCs w:val="24"/>
          <w:rtl/>
          <w:lang w:val="ar-SA"/>
        </w:rPr>
        <w:t>.</w:t>
      </w:r>
    </w:p>
    <w:p w14:paraId="1351E4D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العلامات التجارية</w:t>
      </w:r>
      <w:r>
        <w:rPr>
          <w:rStyle w:val="None"/>
          <w:rFonts w:ascii="Times New Roman" w:hAnsi="Times New Roman"/>
          <w:b/>
          <w:bCs/>
          <w:sz w:val="28"/>
          <w:szCs w:val="28"/>
          <w:rtl/>
          <w:lang w:val="ar-SA"/>
        </w:rPr>
        <w:t>:</w:t>
      </w:r>
    </w:p>
    <w:p w14:paraId="47C45C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الاتقان في الصنع للحفاظ على العملاء، واستمرار جودة المنتجات، وصمودها أمام المنافسين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6"/>
      </w:r>
      <w:r>
        <w:rPr>
          <w:rStyle w:val="None"/>
          <w:rFonts w:ascii="Times New Roman" w:hAnsi="Times New Roman"/>
          <w:sz w:val="24"/>
          <w:szCs w:val="24"/>
          <w:vertAlign w:val="superscript"/>
          <w:rtl/>
          <w:lang w:val="ar-SA"/>
        </w:rPr>
        <w:t>)</w:t>
      </w:r>
    </w:p>
    <w:p w14:paraId="530D34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المملكة العربية السعودية على صدور نظام يخص العلامات التجارية الصادر بالمرسوم الملكي رقم م</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وقد عرفت العلامة التجارية في المادة الأولى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علامةً تجاريةً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 xml:space="preserve">. </w:t>
      </w:r>
    </w:p>
    <w:p w14:paraId="3CA5AB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فأهمية العلامة التجارية في تمييز الصانع أو التاجر عن المنتجات المشابهة لها لصناع أو تجار آخرين؛ حيث أصبحت العلامة التجارية وسيلةً دعائيةً؛ لزيادة الطلب على سلعة معينة، فيعتبر تزايد استهلاك تلك السلعة دليلًا على زيادة شُهرة العلامة التجارية؛ ممَّا يرتب عليه اعتبار العلامة التجارية حقًا لصاحبها ذات قيمة مالية طائلة في بعض الأحيان، وغَنِيٌّ عن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هذا الحق يحتاج إلى حماية في مواجهة التقليد، والتزوير، وشتى صور الاعتداء التي تقع على العلامة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A054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حدد في إجراءات تسجيل العلامات التجارية وشهرها، وتجديد العلامات التجارية وشطبها، وكيفية نقل ملكية العلامات التجارية والحجز عليها، وشروط ترخيص العلامات التجارية، وشروط والرسوم للحصول على العلامات التجارية، بالإضافة إلى الجرائم والعقوبات التي تقع على العلامات التجارية من قبل الغير</w:t>
      </w:r>
      <w:r>
        <w:rPr>
          <w:rStyle w:val="None"/>
          <w:rFonts w:ascii="Times New Roman" w:hAnsi="Times New Roman"/>
          <w:sz w:val="24"/>
          <w:szCs w:val="24"/>
          <w:rtl/>
          <w:lang w:val="ar-SA"/>
        </w:rPr>
        <w:t>.</w:t>
      </w:r>
    </w:p>
    <w:p w14:paraId="33CC70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العلاقة بين العلامة التجارية والملكية الفكرية هي علاقة مرتبطة ببعضهم البعض؛ لأنَّ العلامة التجارية هي إبداع في تصميم علامة تجارية لمنتج معين فتعتبر ملكية فكرية خاصة بالمنتج، ولا يجوز تقليد هذه العلامة لأي منتج آخر، مع التطوُّر التكنولوجي أصبحت العلامة التجارية والملكية الفكرية متداولة في البيئة الرقمية، فمن الممكن تصميم علامة معينة لموقع خاص بشركة، كما يمكن تداول علامة تجارية لمنتج في البيئة الرقمية، من الممكن أنْ تتعرض هذه العلامة للانتهاكات عبر البيئة الرقمية وتقليد العلامة، وتداولها على الإنترنت، في الحالة يمكن المساءلة القانونية لمنتهك هذه العلامة التجارية؛ لأنَّها ناتجة من إبداع فكري وهو صاحب العلامة</w:t>
      </w:r>
      <w:r>
        <w:rPr>
          <w:rStyle w:val="None"/>
          <w:rFonts w:ascii="Times New Roman" w:hAnsi="Times New Roman"/>
          <w:sz w:val="24"/>
          <w:szCs w:val="24"/>
          <w:rtl/>
          <w:lang w:val="ar-SA"/>
        </w:rPr>
        <w:t>.</w:t>
      </w:r>
    </w:p>
    <w:p w14:paraId="527700AD" w14:textId="77777777" w:rsidR="00454428" w:rsidRPr="00CC3E5F" w:rsidRDefault="00454428" w:rsidP="00CC3E5F">
      <w:pPr>
        <w:pStyle w:val="Body"/>
        <w:spacing w:before="120" w:after="120" w:line="360" w:lineRule="auto"/>
        <w:jc w:val="both"/>
        <w:rPr>
          <w:rStyle w:val="None"/>
          <w:rFonts w:ascii="Times New Roman" w:eastAsia="Times New Roman" w:hAnsi="Times New Roman" w:cs="Times New Roman"/>
          <w:sz w:val="24"/>
          <w:szCs w:val="24"/>
        </w:rPr>
      </w:pPr>
    </w:p>
    <w:p w14:paraId="3A61D5B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سادسًا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الهيئة السعودية للملكية الفكرية</w:t>
      </w:r>
      <w:r>
        <w:rPr>
          <w:rStyle w:val="None"/>
          <w:rFonts w:ascii="Times New Roman" w:hAnsi="Times New Roman"/>
          <w:b/>
          <w:bCs/>
          <w:sz w:val="28"/>
          <w:szCs w:val="28"/>
          <w:rtl/>
          <w:lang w:val="ar-SA"/>
        </w:rPr>
        <w:t>:</w:t>
      </w:r>
    </w:p>
    <w:p w14:paraId="5651E59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اهتمت المملكة العربية السعودية مجال حقوق الملكية الفكرية فقد صدر قرار من مجلس الوزراء عام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هـ على إنشاء هذه الهيئة، والتي تقوم على مبادئ معينة تهدف إلى حماية المصنفات الفكرية، فهي هيئة تعزّز الإنتاج الوطني المحلي؛ بحيث تحفز الإنسان على الابتكار والإبداع، وتعطيه الدافع إلى أنْ يبتكر منتجًا معينًا من الممكن أنْ يكون متداولًا في الأسواق، ويكون موضعًا للاستثمار، أو أنْ يكون منتجًا علميًا يطرح في المكتبات العلمية، وعلى ذلك فإنَّ الهيئة السعودية للملكية الفكرية تعمل على حماية هذه الإبداعات الوطنية، وتعطيها حقها القانوني بالحماية؛ حتى يثق الكاتب والمخترع والمبتكر بأنَّ الأنظمة السعودية قادرة على حماية حصيلة هذا التعب والجهد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8"/>
      </w:r>
      <w:r>
        <w:rPr>
          <w:rStyle w:val="None"/>
          <w:rFonts w:ascii="Times New Roman" w:hAnsi="Times New Roman"/>
          <w:sz w:val="24"/>
          <w:szCs w:val="24"/>
          <w:vertAlign w:val="superscript"/>
          <w:rtl/>
          <w:lang w:val="ar-SA"/>
        </w:rPr>
        <w:t>)</w:t>
      </w:r>
    </w:p>
    <w:p w14:paraId="1EE2A1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تهدف الهيئة إلى تنظيم مجالات الملكية الفكرية في المملكة، ودعمها، وتنميتها، ورعايتها، وحمايتها، وإنفاذها، والارتقاء بها وفق أفضل الممارسات العالمية، ولها في سبيل تحقيق أهدافها مهمات واختصاصات من أبرزها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9"/>
      </w:r>
      <w:r>
        <w:rPr>
          <w:rStyle w:val="None"/>
          <w:rFonts w:ascii="Times New Roman" w:hAnsi="Times New Roman"/>
          <w:sz w:val="24"/>
          <w:szCs w:val="24"/>
          <w:vertAlign w:val="superscript"/>
          <w:rtl/>
          <w:lang w:val="ar-SA"/>
        </w:rPr>
        <w:t>)</w:t>
      </w:r>
    </w:p>
    <w:p w14:paraId="774A95CA"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إعداد الاستراتيجية الوطنية للملكية الفكرية</w:t>
      </w:r>
      <w:r>
        <w:rPr>
          <w:rStyle w:val="None"/>
          <w:rFonts w:ascii="Times New Roman" w:hAnsi="Times New Roman"/>
          <w:sz w:val="24"/>
          <w:szCs w:val="24"/>
          <w:rtl/>
          <w:lang w:val="ar-SA"/>
        </w:rPr>
        <w:t>.</w:t>
      </w:r>
    </w:p>
    <w:p w14:paraId="03616D8F"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التوعية بأهمية الملكية الفكرية وحماية حقوقها</w:t>
      </w:r>
      <w:r>
        <w:rPr>
          <w:rStyle w:val="None"/>
          <w:rFonts w:ascii="Times New Roman" w:hAnsi="Times New Roman"/>
          <w:sz w:val="24"/>
          <w:szCs w:val="24"/>
          <w:rtl/>
          <w:lang w:val="ar-SA"/>
        </w:rPr>
        <w:t>.</w:t>
      </w:r>
    </w:p>
    <w:p w14:paraId="4BB4AE23"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إبداء الرأي بشأن الاتفاقيات الدولية المتعلقة بحقوق الملكية الفكرية</w:t>
      </w:r>
      <w:r>
        <w:rPr>
          <w:rStyle w:val="None"/>
          <w:rFonts w:ascii="Times New Roman" w:hAnsi="Times New Roman"/>
          <w:sz w:val="24"/>
          <w:szCs w:val="24"/>
          <w:rtl/>
          <w:lang w:val="ar-SA"/>
        </w:rPr>
        <w:t>.</w:t>
      </w:r>
    </w:p>
    <w:p w14:paraId="6D894E7A"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اقتراح الأنظمة واللوائح المتعلقة بحقوق الملكية الفكرية</w:t>
      </w:r>
      <w:r>
        <w:rPr>
          <w:rStyle w:val="None"/>
          <w:rFonts w:ascii="Times New Roman" w:hAnsi="Times New Roman"/>
          <w:sz w:val="24"/>
          <w:szCs w:val="24"/>
          <w:rtl/>
          <w:lang w:val="ar-SA"/>
        </w:rPr>
        <w:t>.</w:t>
      </w:r>
    </w:p>
    <w:p w14:paraId="47948F63"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الاستفادة من الملكية الفكرية؛ لبناء اقتصاد متقدم قائم على المعرفة</w:t>
      </w:r>
      <w:r>
        <w:rPr>
          <w:rStyle w:val="None"/>
          <w:rFonts w:ascii="Times New Roman" w:hAnsi="Times New Roman"/>
          <w:sz w:val="24"/>
          <w:szCs w:val="24"/>
          <w:rtl/>
          <w:lang w:val="ar-SA"/>
        </w:rPr>
        <w:t>.</w:t>
      </w:r>
    </w:p>
    <w:p w14:paraId="294DA68D"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sz w:val="24"/>
          <w:szCs w:val="24"/>
          <w:rtl/>
          <w:lang w:val="ar-SA"/>
        </w:rPr>
        <w:t>.</w:t>
      </w:r>
    </w:p>
    <w:p w14:paraId="22FB440B"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تسجيل حقوق الملكية الفكرية ومنحها وثائق الحماية وإنفاذها</w:t>
      </w:r>
      <w:r>
        <w:rPr>
          <w:rStyle w:val="None"/>
          <w:rFonts w:ascii="Times New Roman" w:hAnsi="Times New Roman"/>
          <w:sz w:val="24"/>
          <w:szCs w:val="24"/>
          <w:rtl/>
          <w:lang w:val="ar-SA"/>
        </w:rPr>
        <w:t>.</w:t>
      </w:r>
    </w:p>
    <w:p w14:paraId="1C6E2527"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متابعة تنفيذ الالتزامات المترتبة على انضمام المملكة إلى الاتفاقيات الدولية المتعلقة بالمملكة الفكرية</w:t>
      </w:r>
      <w:r>
        <w:rPr>
          <w:rStyle w:val="None"/>
          <w:rFonts w:ascii="Times New Roman" w:hAnsi="Times New Roman"/>
          <w:sz w:val="24"/>
          <w:szCs w:val="24"/>
          <w:rtl/>
          <w:lang w:val="ar-SA"/>
        </w:rPr>
        <w:t>.</w:t>
      </w:r>
    </w:p>
    <w:p w14:paraId="489403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جاء في المادة الرابعة من التنظيم بخصوص تشكيل الهيئة على النحو الآتي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رئيس يعين بأمر من رئيس مجلس الوزراء بِناءً على اقتراح من مجلس الشؤون الاقتصادية والتنمية، والرئيس التنفيذي عضوًا، وأعضاء من عدد لا يقل عن خمسة من ممثلي الجهات الحكومية والقطاع الخاص أو من أي منها، ويرشح رئيس مجلس الشؤون الاقتصادية والتنمية بِناءً على اقتراح من رئيس مجلس إدارة الهيئة الأعضاء الخمسة المشار إليهم، ويصدر بتعيينهم أمر من رئيس مجلس الوزراء وتكون عضويتهم في المجلس لمدة ثلاث سنوات قابلة للتجديد مرة واحدة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0"/>
      </w:r>
      <w:r>
        <w:rPr>
          <w:rStyle w:val="None"/>
          <w:rFonts w:ascii="Times New Roman" w:hAnsi="Times New Roman"/>
          <w:sz w:val="24"/>
          <w:szCs w:val="24"/>
          <w:vertAlign w:val="superscript"/>
          <w:rtl/>
          <w:lang w:val="ar-SA"/>
        </w:rPr>
        <w:t>)</w:t>
      </w:r>
    </w:p>
    <w:p w14:paraId="71612B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نص المادة الرابعة من تنظيم الهيئة يحدد آلية تشكيل مجلس إدارتها، فهو يشمل ممثلين من الجهات الحكومية والقطاع الخاص، بالإضافة إلى أنَّه يتم تعيين رئيس بأمر من رئيس مجلس الوزراء والرئيس التنفيذي </w:t>
      </w:r>
      <w:r>
        <w:rPr>
          <w:rStyle w:val="None"/>
          <w:rFonts w:ascii="Arial Unicode MS" w:hAnsi="Arial Unicode MS" w:cs="Times New Roman" w:hint="cs"/>
          <w:sz w:val="24"/>
          <w:szCs w:val="24"/>
          <w:rtl/>
          <w:lang w:val="ar-SA"/>
        </w:rPr>
        <w:lastRenderedPageBreak/>
        <w:t>كعضو، فهذا التنوع بين الجهات الحكومية والقطاع الخاص يهدف إلى تنوع في الخبرات والاستفادة من الخبرات العملية، كما يهدف إلى اتخاذ القرارات المشتركة بينهم؛ لخدمة المجتمع</w:t>
      </w:r>
      <w:r>
        <w:rPr>
          <w:rStyle w:val="None"/>
          <w:rFonts w:ascii="Times New Roman" w:hAnsi="Times New Roman"/>
          <w:sz w:val="24"/>
          <w:szCs w:val="24"/>
          <w:rtl/>
          <w:lang w:val="ar-SA"/>
        </w:rPr>
        <w:t>.</w:t>
      </w:r>
    </w:p>
    <w:p w14:paraId="37C80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نظام حماية الملكية الفكرية في المملكة العربية السعودية يتسم بإطار قانوني شامل ومتكامل، من خلال الأنظمة القانونية التي تم شرحها، ويهدف النظام إلى حماية حقوق المؤلفين، والمخترعين، والمبدعين في مختلف مجالات، وتوضح هذه الأنظمة مدى التزام المملكة بتعزيز بيئة الابتكار،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نظام حماية حقوق المؤلف، ونظام براءات الاختراع، ونظام العلامات التجارية، بالإضافة إلى الهيئة السعودية للملكية الفكرية التي تقوم بدور محوري في تنفيذ هذه الأنظمة؛ لكي تحافظ على حقوق أصحاب المصنفات وتحفيز الاستثمار</w:t>
      </w:r>
      <w:r>
        <w:rPr>
          <w:rStyle w:val="None"/>
          <w:rFonts w:ascii="Times New Roman" w:hAnsi="Times New Roman"/>
          <w:sz w:val="24"/>
          <w:szCs w:val="24"/>
          <w:rtl/>
          <w:lang w:val="ar-SA"/>
        </w:rPr>
        <w:t>.</w:t>
      </w:r>
    </w:p>
    <w:p w14:paraId="0FC2D617"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409BE076"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6FED9DF"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9F9130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137D76DC"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5422CFF4"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F45A053" w14:textId="072FE9A3" w:rsidR="00454428" w:rsidRDefault="00000000" w:rsidP="00C72BA8">
      <w:pPr>
        <w:pStyle w:val="a4"/>
        <w:rPr>
          <w:lang w:val="ar-SA"/>
        </w:rPr>
      </w:pPr>
      <w:bookmarkStart w:id="193" w:name="_Toc227251126"/>
      <w:bookmarkStart w:id="194" w:name="_Toc227251436"/>
      <w:r>
        <w:rPr>
          <w:rStyle w:val="None"/>
          <w:rFonts w:ascii="Arial Unicode MS" w:eastAsia="Arial Unicode MS" w:hAnsi="Arial Unicode MS" w:hint="cs"/>
          <w:rtl/>
          <w:lang w:val="ar-SA"/>
        </w:rPr>
        <w:lastRenderedPageBreak/>
        <w:t>المطلب الثاني</w:t>
      </w:r>
      <w:bookmarkEnd w:id="193"/>
      <w:bookmarkEnd w:id="194"/>
    </w:p>
    <w:p w14:paraId="3D247827" w14:textId="77777777" w:rsidR="00454428" w:rsidRDefault="00000000" w:rsidP="00C72BA8">
      <w:pPr>
        <w:pStyle w:val="a4"/>
        <w:rPr>
          <w:rStyle w:val="None"/>
          <w:lang w:val="ar-SA"/>
        </w:rPr>
      </w:pPr>
      <w:bookmarkStart w:id="195" w:name="_Toc227251127"/>
      <w:bookmarkStart w:id="196" w:name="_Toc227251437"/>
      <w:r>
        <w:rPr>
          <w:rStyle w:val="None"/>
          <w:rFonts w:ascii="Arial Unicode MS" w:eastAsia="Arial Unicode MS" w:hAnsi="Arial Unicode MS" w:hint="cs"/>
          <w:rtl/>
          <w:lang w:val="ar-SA"/>
        </w:rPr>
        <w:t>نطاق حماية الملكية الفكرية في التشريعيْنِ الفَرنسي والأمريكي</w:t>
      </w:r>
      <w:bookmarkEnd w:id="195"/>
      <w:bookmarkEnd w:id="196"/>
    </w:p>
    <w:p w14:paraId="3B224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تُوفر حقوق الملكية الفكرية حمايةً للمنظمات والأفراد لتطوير واستغلال الفرص التجارية المتعلقة بأصولهم غير الملموسة؛ حيث تمنح براءات الاختراع الحق في منع الآخرين من صنع الاختراع، أو استخدامه، أو عرضه للبيع في جميع أنحاء الولايات المتحدة أو استيراده إليها؛ ممَّا يُتيح لصاحب براءة الاختراع فرصةَ جني ثمار أكبر من الابتكار الأساسي، أما براءات التصميم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فتتمثل في التصميم الزخرفي لقطعة التصنيع؛ ممَّا يسمح للشركات بتمييز منتجاتها بشكل أكبر عن منتجات منافسيها وتحسين فرص نجاحها التجاري، كما تُحفّز حقوق الطبع والنشر إنتاج الأعمال الأدبية والفنية الأخرى، من خلال منح المؤلفين الحق الحصري في تسويق هذه الأعمال وتوزيعها، وتُعزّز العلامات التجارية قيمة الابتكارات، سواءً المحمية ببراءات اختراع أو غير المحمية ببراءات 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2A78A4"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 xml:space="preserve">وتتضمن حماية الملكية الفكرية في الولايات المتحدة تسجيل العلامة التجارية أو براءة الاختراع أو حقوق الطبع والنشر؛ للحصول على أقصى قدر من الحقوق المتاحة لأصول العميل، وفي حالة العلامة التجارية أو براءة الاختراع، تتضمن العملية إعداد وتقديم طلب إلى مكتب الولايات المتحدة لبراءات الاختراع والعلامات التجارية، والرد على الإجراءات التي يتخذها المكتب حتى يتم تسجيل العلامة التجارية أو إصدار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62F3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فقبل الطفرة التكنولوجية وظهور المواد الرقمية والبيئة الافتراضية اقتصرت النظرة إلى حقوق الملكية الفكرية على براءات الاختراعات، وحقوق التأليف للأعمال الأدبية، وحقوق الملكية الفكرية للأعمال الفنية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اللوحات وغيرها من الأعمال، وقد كانت تلك النظرة طبيعيةً في ظل طبيعة العصور السابقة، وهذا ما يظهره تطوُّر القوانين المنظمة لحقوق الملكية الفكرية</w:t>
      </w:r>
      <w:r>
        <w:rPr>
          <w:rStyle w:val="None"/>
          <w:rFonts w:ascii="Times New Roman" w:hAnsi="Times New Roman"/>
          <w:sz w:val="24"/>
          <w:szCs w:val="24"/>
          <w:rtl/>
          <w:lang w:val="ar-SA"/>
        </w:rPr>
        <w:t>.</w:t>
      </w:r>
    </w:p>
    <w:p w14:paraId="253309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أدرجت الولايات المتحدة الملكية الفكرية في دستورها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في المادة الأولى القسم الثامن، الذي خوّل الكونجرس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ويؤكد التركيز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الفنون المفيدة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على القصد التجاري للتشريع والأساس النفعي الكامن وراءه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0C02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إنَّه في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قرر المؤتمر الدستوري وضع قانون اتحادي موحد لحقوق التأليف، والنشر، وبراءات الاختراع، وكانت النتيجة هي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الدستور، التي منحت الكونغرس سلطةَ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تحايل هذا البند بعناية على مشاكل حقوق التأليف والنشر الخاصة ببائعي القرطاسية بموجب قوانين الترخيص، وقوانين </w:t>
      </w:r>
      <w:r>
        <w:rPr>
          <w:rStyle w:val="None"/>
          <w:rFonts w:ascii="Arial Unicode MS" w:hAnsi="Arial Unicode MS" w:cs="Times New Roman" w:hint="cs"/>
          <w:sz w:val="24"/>
          <w:szCs w:val="24"/>
          <w:rtl/>
          <w:lang w:val="ar-SA"/>
        </w:rPr>
        <w:lastRenderedPageBreak/>
        <w:t>حقوق التأليف والنشر للولايات، من خلال تمكين الهيئة التشريعية الوطنية من منح حق الملكية للمؤلفين وليس الناشرين، ولفترة محددة بدلًا من أنْ تكون دائمة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4"/>
      </w:r>
      <w:r>
        <w:rPr>
          <w:rStyle w:val="None"/>
          <w:rFonts w:ascii="Times New Roman" w:hAnsi="Times New Roman"/>
          <w:sz w:val="24"/>
          <w:szCs w:val="24"/>
          <w:vertAlign w:val="superscript"/>
          <w:rtl/>
          <w:lang w:val="ar-SA"/>
        </w:rPr>
        <w:t>)</w:t>
      </w:r>
    </w:p>
    <w:p w14:paraId="11C79F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وقبل سنّ دستور الولايات المتحدة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كان لكل من المستعمرات الثلاث عشرة الأصلية قانونها الخاص ببراءات الاختراع، وقد أدى هذا بطبيعة الحال إلى تراجع حاد في قيمة حقوق الطبع، والنشر، وبراءات الاختراع، ولحل هذه المشكلة وتسهيل التجارة بين الولايات بشكل كبير، رأى واضعو الدستور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قانون الملكية الفكرية يجب أنْ يكون من اختصاص الحكومة الفيدرالية، وليس حكومات الولايات؛ لذلك منح واضعو الدستور الكونجرس صلاحية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34EBB6"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عرض تطوُّر حقوق الملكية الفكرية في الولايات المتحدة عبر النقاط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56"/>
      </w:r>
      <w:r>
        <w:rPr>
          <w:rStyle w:val="None"/>
          <w:rFonts w:ascii="Times New Roman" w:hAnsi="Times New Roman"/>
          <w:sz w:val="24"/>
          <w:szCs w:val="24"/>
          <w:vertAlign w:val="superscript"/>
          <w:rtl/>
          <w:lang w:val="ar-SA"/>
        </w:rPr>
        <w:t>)</w:t>
      </w:r>
    </w:p>
    <w:p w14:paraId="334364F5"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1787:</w:t>
      </w:r>
      <w:r>
        <w:rPr>
          <w:rStyle w:val="None"/>
          <w:rFonts w:cs="Times New Roman"/>
          <w:sz w:val="24"/>
          <w:szCs w:val="24"/>
          <w:rtl/>
          <w:lang w:val="ar-SA"/>
        </w:rPr>
        <w:t xml:space="preserve"> وضع دستور الولايات المتحدة الأساس لمنح حقوق براءات الاختراع للمخترعين في المادة الأولى، القسم </w:t>
      </w:r>
      <w:r>
        <w:rPr>
          <w:rStyle w:val="None"/>
          <w:rFonts w:ascii="Times New Roman" w:hAnsi="Times New Roman"/>
          <w:sz w:val="24"/>
          <w:szCs w:val="24"/>
          <w:rtl/>
          <w:lang w:val="ar-SA"/>
        </w:rPr>
        <w:t>8</w:t>
      </w:r>
      <w:r>
        <w:rPr>
          <w:rStyle w:val="None"/>
          <w:rFonts w:cs="Times New Roman"/>
          <w:sz w:val="24"/>
          <w:szCs w:val="24"/>
          <w:rtl/>
          <w:lang w:val="ar-SA"/>
        </w:rPr>
        <w:t xml:space="preserve">، البند </w:t>
      </w:r>
      <w:r>
        <w:rPr>
          <w:rStyle w:val="None"/>
          <w:rFonts w:ascii="Times New Roman" w:hAnsi="Times New Roman"/>
          <w:sz w:val="24"/>
          <w:szCs w:val="24"/>
          <w:rtl/>
          <w:lang w:val="ar-SA"/>
        </w:rPr>
        <w:t>8.</w:t>
      </w:r>
    </w:p>
    <w:p w14:paraId="3B84DB8D"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1790:</w:t>
      </w:r>
      <w:r>
        <w:rPr>
          <w:rStyle w:val="None"/>
          <w:rFonts w:cs="Times New Roman"/>
          <w:sz w:val="24"/>
          <w:szCs w:val="24"/>
          <w:rtl/>
          <w:lang w:val="ar-SA"/>
        </w:rPr>
        <w:t xml:space="preserve"> بعد عام من التصديق على الدستور، صدر أول قانون لبراءات الاختراع في أمريكا، في </w:t>
      </w:r>
      <w:r>
        <w:rPr>
          <w:rStyle w:val="None"/>
          <w:rFonts w:ascii="Times New Roman" w:hAnsi="Times New Roman"/>
          <w:sz w:val="24"/>
          <w:szCs w:val="24"/>
          <w:rtl/>
          <w:lang w:val="ar-SA"/>
        </w:rPr>
        <w:t xml:space="preserve">10 </w:t>
      </w:r>
      <w:r>
        <w:rPr>
          <w:rStyle w:val="None"/>
          <w:rFonts w:cs="Times New Roman"/>
          <w:sz w:val="24"/>
          <w:szCs w:val="24"/>
          <w:rtl/>
          <w:lang w:val="ar-SA"/>
        </w:rPr>
        <w:t xml:space="preserve">أبريل </w:t>
      </w:r>
      <w:r>
        <w:rPr>
          <w:rStyle w:val="None"/>
          <w:rFonts w:ascii="Times New Roman" w:hAnsi="Times New Roman"/>
          <w:sz w:val="24"/>
          <w:szCs w:val="24"/>
          <w:rtl/>
          <w:lang w:val="ar-SA"/>
        </w:rPr>
        <w:t>1790.</w:t>
      </w:r>
    </w:p>
    <w:p w14:paraId="72E7942D"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في </w:t>
      </w:r>
      <w:r>
        <w:rPr>
          <w:rStyle w:val="None"/>
          <w:rFonts w:ascii="Times New Roman" w:hAnsi="Times New Roman"/>
          <w:b/>
          <w:bCs/>
          <w:sz w:val="24"/>
          <w:szCs w:val="24"/>
          <w:rtl/>
          <w:lang w:val="ar-SA"/>
        </w:rPr>
        <w:t xml:space="preserve">31 </w:t>
      </w:r>
      <w:r>
        <w:rPr>
          <w:rStyle w:val="None"/>
          <w:rFonts w:cs="Times New Roman"/>
          <w:b/>
          <w:bCs/>
          <w:sz w:val="24"/>
          <w:szCs w:val="24"/>
          <w:rtl/>
          <w:lang w:val="ar-SA"/>
        </w:rPr>
        <w:t xml:space="preserve">يوليو </w:t>
      </w:r>
      <w:r>
        <w:rPr>
          <w:rStyle w:val="None"/>
          <w:rFonts w:ascii="Times New Roman" w:hAnsi="Times New Roman"/>
          <w:b/>
          <w:bCs/>
          <w:sz w:val="24"/>
          <w:szCs w:val="24"/>
          <w:rtl/>
          <w:lang w:val="ar-SA"/>
        </w:rPr>
        <w:t>1790:</w:t>
      </w:r>
      <w:r>
        <w:rPr>
          <w:rStyle w:val="None"/>
          <w:rFonts w:cs="Times New Roman"/>
          <w:sz w:val="24"/>
          <w:szCs w:val="24"/>
          <w:rtl/>
          <w:lang w:val="ar-SA"/>
        </w:rPr>
        <w:t xml:space="preserve"> مُنحت أول براءة اختراع أمريكية لصموئيل هوبكنز لتحسين </w:t>
      </w:r>
      <w:r>
        <w:rPr>
          <w:rStyle w:val="None"/>
          <w:rFonts w:ascii="Times New Roman" w:hAnsi="Times New Roman"/>
          <w:sz w:val="24"/>
          <w:szCs w:val="24"/>
          <w:rtl/>
          <w:lang w:val="ar-SA"/>
        </w:rPr>
        <w:t>"</w:t>
      </w:r>
      <w:r>
        <w:rPr>
          <w:rStyle w:val="None"/>
          <w:rFonts w:cs="Times New Roman"/>
          <w:sz w:val="24"/>
          <w:szCs w:val="24"/>
          <w:rtl/>
          <w:lang w:val="ar-SA"/>
        </w:rPr>
        <w:t>صناعة رماد البوتاس ورماد اللؤلؤ باستخدام جهاز وعملية جديدين</w:t>
      </w:r>
      <w:r>
        <w:rPr>
          <w:rStyle w:val="None"/>
          <w:rFonts w:ascii="Times New Roman" w:hAnsi="Times New Roman"/>
          <w:sz w:val="24"/>
          <w:szCs w:val="24"/>
          <w:rtl/>
          <w:lang w:val="ar-SA"/>
        </w:rPr>
        <w:t>".</w:t>
      </w:r>
    </w:p>
    <w:p w14:paraId="392C680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منح قانون حقوق الطبع والنشر لعام </w:t>
      </w:r>
      <w:r>
        <w:rPr>
          <w:rStyle w:val="None"/>
          <w:rFonts w:ascii="Times New Roman" w:hAnsi="Times New Roman"/>
          <w:sz w:val="24"/>
          <w:szCs w:val="24"/>
          <w:rtl/>
          <w:lang w:val="ar-SA"/>
        </w:rPr>
        <w:t xml:space="preserve">1790 </w:t>
      </w:r>
      <w:r>
        <w:rPr>
          <w:rStyle w:val="None"/>
          <w:rFonts w:cs="Times New Roman"/>
          <w:sz w:val="24"/>
          <w:szCs w:val="24"/>
          <w:rtl/>
          <w:lang w:val="ar-SA"/>
        </w:rPr>
        <w:t xml:space="preserve">المؤلفين الأمريكيين الحق في طباعة، أو إعادة طباعة، أو نشر أعمالهم لمدة </w:t>
      </w:r>
      <w:r>
        <w:rPr>
          <w:rStyle w:val="None"/>
          <w:rFonts w:ascii="Times New Roman" w:hAnsi="Times New Roman"/>
          <w:sz w:val="24"/>
          <w:szCs w:val="24"/>
          <w:rtl/>
          <w:lang w:val="ar-SA"/>
        </w:rPr>
        <w:t xml:space="preserve">14 </w:t>
      </w:r>
      <w:r>
        <w:rPr>
          <w:rStyle w:val="None"/>
          <w:rFonts w:cs="Times New Roman"/>
          <w:sz w:val="24"/>
          <w:szCs w:val="24"/>
          <w:rtl/>
          <w:lang w:val="ar-SA"/>
        </w:rPr>
        <w:t>عامًا قابلةً للتجديد لمدة أربعة عشر عامًا أخرى</w:t>
      </w:r>
      <w:r>
        <w:rPr>
          <w:rStyle w:val="None"/>
          <w:rFonts w:ascii="Times New Roman" w:hAnsi="Times New Roman"/>
          <w:sz w:val="24"/>
          <w:szCs w:val="24"/>
          <w:rtl/>
          <w:lang w:val="ar-SA"/>
        </w:rPr>
        <w:t>.</w:t>
      </w:r>
    </w:p>
    <w:p w14:paraId="779F9ABF"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أُنشئ مكتب براءات الاختراع والعلامات التجارية الأمريكي لأول مرة عام </w:t>
      </w:r>
      <w:r>
        <w:rPr>
          <w:rStyle w:val="None"/>
          <w:rFonts w:ascii="Times New Roman" w:hAnsi="Times New Roman"/>
          <w:sz w:val="24"/>
          <w:szCs w:val="24"/>
          <w:rtl/>
          <w:lang w:val="ar-SA"/>
        </w:rPr>
        <w:t>1836</w:t>
      </w:r>
      <w:r>
        <w:rPr>
          <w:rStyle w:val="None"/>
          <w:rFonts w:cs="Times New Roman"/>
          <w:sz w:val="24"/>
          <w:szCs w:val="24"/>
          <w:rtl/>
          <w:lang w:val="ar-SA"/>
        </w:rPr>
        <w:t>، ثم سُمي مكتب براءات الاختراع الأمريكي</w:t>
      </w:r>
      <w:r>
        <w:rPr>
          <w:rStyle w:val="None"/>
          <w:rFonts w:ascii="Times New Roman" w:hAnsi="Times New Roman"/>
          <w:sz w:val="24"/>
          <w:szCs w:val="24"/>
          <w:rtl/>
          <w:lang w:val="ar-SA"/>
        </w:rPr>
        <w:t>.</w:t>
      </w:r>
    </w:p>
    <w:p w14:paraId="41009928"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وفي عام </w:t>
      </w:r>
      <w:r>
        <w:rPr>
          <w:rStyle w:val="None"/>
          <w:rFonts w:ascii="Times New Roman" w:hAnsi="Times New Roman"/>
          <w:b/>
          <w:bCs/>
          <w:sz w:val="24"/>
          <w:szCs w:val="24"/>
          <w:rtl/>
          <w:lang w:val="ar-SA"/>
        </w:rPr>
        <w:t>1881:</w:t>
      </w:r>
      <w:r>
        <w:rPr>
          <w:rStyle w:val="None"/>
          <w:rFonts w:cs="Times New Roman"/>
          <w:sz w:val="24"/>
          <w:szCs w:val="24"/>
          <w:rtl/>
          <w:lang w:val="ar-SA"/>
        </w:rPr>
        <w:t xml:space="preserve"> تم إقرار تشريع العلامات التجارية استنادًا إلى بند التجارة في الدستور؛ حيث وُضعت أحكام لتسجيل العلامات التجارية لاستخدامها في التجارة مع الدول الأجنبية ومع القبائل الهندية</w:t>
      </w:r>
      <w:r>
        <w:rPr>
          <w:rStyle w:val="None"/>
          <w:rFonts w:ascii="Times New Roman" w:hAnsi="Times New Roman"/>
          <w:sz w:val="24"/>
          <w:szCs w:val="24"/>
          <w:rtl/>
          <w:lang w:val="ar-SA"/>
        </w:rPr>
        <w:t>.</w:t>
      </w:r>
    </w:p>
    <w:p w14:paraId="4F00727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1883 </w:t>
      </w:r>
      <w:r>
        <w:rPr>
          <w:rStyle w:val="None"/>
          <w:rFonts w:cs="Times New Roman"/>
          <w:sz w:val="24"/>
          <w:szCs w:val="24"/>
          <w:rtl/>
          <w:lang w:val="ar-SA"/>
        </w:rPr>
        <w:t>تم التوصل إلى أول اتفاقية دولية بشأن العلامات التجارية في اتفاقية باريس؛ لحماية الملكية الصناعية، واتفقت الدول المشاركة في هذه الاتفاقية على توفير نفس الحماية للعلامات التجارية التي توفرها لمواطنيها</w:t>
      </w:r>
      <w:r>
        <w:rPr>
          <w:rStyle w:val="None"/>
          <w:rFonts w:ascii="Times New Roman" w:hAnsi="Times New Roman"/>
          <w:sz w:val="24"/>
          <w:szCs w:val="24"/>
          <w:rtl/>
          <w:lang w:val="ar-SA"/>
        </w:rPr>
        <w:t>.</w:t>
      </w:r>
    </w:p>
    <w:p w14:paraId="5F341E63"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كما أصبحت الولايات المتحدة طرفًا في اتفاقية برن عام </w:t>
      </w:r>
      <w:r>
        <w:rPr>
          <w:rStyle w:val="None"/>
          <w:rFonts w:ascii="Times New Roman" w:hAnsi="Times New Roman"/>
          <w:sz w:val="24"/>
          <w:szCs w:val="24"/>
          <w:rtl/>
          <w:lang w:val="ar-SA"/>
        </w:rPr>
        <w:t>1886</w:t>
      </w:r>
      <w:r>
        <w:rPr>
          <w:rStyle w:val="None"/>
          <w:rFonts w:cs="Times New Roman"/>
          <w:sz w:val="24"/>
          <w:szCs w:val="24"/>
          <w:rtl/>
          <w:lang w:val="ar-SA"/>
        </w:rPr>
        <w:t>، وقد نصت الاتفاقية على الاعتراف الدولي بحقوق الطبع والنشر</w:t>
      </w:r>
      <w:r>
        <w:rPr>
          <w:rStyle w:val="None"/>
          <w:rFonts w:ascii="Times New Roman" w:hAnsi="Times New Roman"/>
          <w:sz w:val="24"/>
          <w:szCs w:val="24"/>
          <w:rtl/>
          <w:lang w:val="ar-SA"/>
        </w:rPr>
        <w:t>.</w:t>
      </w:r>
    </w:p>
    <w:p w14:paraId="6D7EB00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1887 </w:t>
      </w:r>
      <w:r>
        <w:rPr>
          <w:rStyle w:val="None"/>
          <w:rFonts w:cs="Times New Roman"/>
          <w:sz w:val="24"/>
          <w:szCs w:val="24"/>
          <w:rtl/>
          <w:lang w:val="ar-SA"/>
        </w:rPr>
        <w:t>تم تسجيل علامة كوكاكولا التجارية</w:t>
      </w:r>
      <w:r>
        <w:rPr>
          <w:rStyle w:val="None"/>
          <w:rFonts w:ascii="Times New Roman" w:hAnsi="Times New Roman"/>
          <w:sz w:val="24"/>
          <w:szCs w:val="24"/>
          <w:rtl/>
          <w:lang w:val="ar-SA"/>
        </w:rPr>
        <w:t>.</w:t>
      </w:r>
    </w:p>
    <w:p w14:paraId="3033E43F"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1895 </w:t>
      </w:r>
      <w:r>
        <w:rPr>
          <w:rStyle w:val="None"/>
          <w:rFonts w:cs="Times New Roman"/>
          <w:sz w:val="24"/>
          <w:szCs w:val="24"/>
          <w:rtl/>
          <w:lang w:val="ar-SA"/>
        </w:rPr>
        <w:t xml:space="preserve">سُجِّلت علامة كويكر أوتس التجارية، كما سُجِّلت براءة اختراع </w:t>
      </w:r>
      <w:r>
        <w:rPr>
          <w:rStyle w:val="None"/>
          <w:rFonts w:ascii="Times New Roman" w:hAnsi="Times New Roman"/>
          <w:sz w:val="24"/>
          <w:szCs w:val="24"/>
          <w:rtl/>
          <w:lang w:val="ar-SA"/>
        </w:rPr>
        <w:t>"</w:t>
      </w:r>
      <w:r>
        <w:rPr>
          <w:rStyle w:val="None"/>
          <w:rFonts w:cs="Times New Roman"/>
          <w:sz w:val="24"/>
          <w:szCs w:val="24"/>
          <w:rtl/>
          <w:lang w:val="ar-SA"/>
        </w:rPr>
        <w:t>سيارة بمحرك</w:t>
      </w:r>
      <w:r>
        <w:rPr>
          <w:rStyle w:val="None"/>
          <w:rFonts w:ascii="Times New Roman" w:hAnsi="Times New Roman"/>
          <w:sz w:val="24"/>
          <w:szCs w:val="24"/>
          <w:rtl/>
          <w:lang w:val="ar-SA"/>
        </w:rPr>
        <w:t>".</w:t>
      </w:r>
    </w:p>
    <w:p w14:paraId="51C80759"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استعراض نشأة وتطوُّر التشريعات الأمريكية للملكية الفكرية من خلال النقاط التالية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CEBF9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نشأت بذور نظام الملكية الفكرية الأمريكي في قانون الاحتكارات الإنجليزي لعام </w:t>
      </w:r>
      <w:r>
        <w:rPr>
          <w:rStyle w:val="None"/>
          <w:rFonts w:ascii="Times New Roman" w:hAnsi="Times New Roman"/>
          <w:sz w:val="24"/>
          <w:szCs w:val="24"/>
          <w:rtl/>
          <w:lang w:val="ar-SA"/>
        </w:rPr>
        <w:t>1623</w:t>
      </w:r>
      <w:r>
        <w:rPr>
          <w:rStyle w:val="None"/>
          <w:rFonts w:cs="Times New Roman"/>
          <w:sz w:val="24"/>
          <w:szCs w:val="24"/>
          <w:rtl/>
          <w:lang w:val="ar-SA"/>
        </w:rPr>
        <w:t>؛ حيث حظر هذا القانون على الملك منح أي احتكار باستثناء واحد؛ إذ كان بإمكان الملك منح براءات اختراع للاختراعات الجديدة، طالما أنَّ الاحتكار يعود بالنفع على المجتمع، وألا يستمر لأكثر من أربعة عشر عامًا</w:t>
      </w:r>
      <w:r>
        <w:rPr>
          <w:rStyle w:val="None"/>
          <w:rFonts w:ascii="Times New Roman" w:hAnsi="Times New Roman"/>
          <w:sz w:val="24"/>
          <w:szCs w:val="24"/>
          <w:rtl/>
          <w:lang w:val="ar-SA"/>
        </w:rPr>
        <w:t>.</w:t>
      </w:r>
    </w:p>
    <w:p w14:paraId="7398F106"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نقل ناثانيال وارد من ولاية ماساتشوستس هذا القانون فعليًا إلى القارة الأمريكية عام </w:t>
      </w:r>
      <w:r>
        <w:rPr>
          <w:rStyle w:val="None"/>
          <w:rFonts w:ascii="Times New Roman" w:hAnsi="Times New Roman"/>
          <w:sz w:val="24"/>
          <w:szCs w:val="24"/>
          <w:rtl/>
          <w:lang w:val="ar-SA"/>
        </w:rPr>
        <w:t>1641</w:t>
      </w:r>
      <w:r>
        <w:rPr>
          <w:rStyle w:val="None"/>
          <w:rFonts w:cs="Times New Roman"/>
          <w:sz w:val="24"/>
          <w:szCs w:val="24"/>
          <w:rtl/>
          <w:lang w:val="ar-SA"/>
        </w:rPr>
        <w:t>، عندما أدرج بندًا خاصًا بالملكية الفكرية في هيئة ماساتشوستس للحريات، والذي نص على أنَّه</w:t>
      </w:r>
      <w:r>
        <w:rPr>
          <w:rStyle w:val="None"/>
          <w:rFonts w:ascii="Times New Roman" w:hAnsi="Times New Roman"/>
          <w:sz w:val="24"/>
          <w:szCs w:val="24"/>
          <w:rtl/>
          <w:lang w:val="ar-SA"/>
        </w:rPr>
        <w:t>: "</w:t>
      </w:r>
      <w:r>
        <w:rPr>
          <w:rStyle w:val="None"/>
          <w:rFonts w:cs="Times New Roman"/>
          <w:sz w:val="24"/>
          <w:szCs w:val="24"/>
          <w:rtl/>
          <w:lang w:val="ar-SA"/>
        </w:rPr>
        <w:t>لا يجوز منح أو السماح بأي احتكارات، إلا للاختراعات الجديدة التي تعود بالنفع على البلاد، وذلك لفترة قصيرة</w:t>
      </w:r>
      <w:r>
        <w:rPr>
          <w:rStyle w:val="None"/>
          <w:rFonts w:ascii="Times New Roman" w:hAnsi="Times New Roman"/>
          <w:sz w:val="24"/>
          <w:szCs w:val="24"/>
          <w:rtl/>
          <w:lang w:val="ar-SA"/>
        </w:rPr>
        <w:t xml:space="preserve">". </w:t>
      </w:r>
    </w:p>
    <w:p w14:paraId="4D6365F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ومع ذلك لم تكن ماساتشوستس المستعمرة الوحيدة التي سعت لحماية الملكية الفكرية؛ حيث منحت الحكومات الاستعمارية براءات اختراع، وحقوق طبع ونشر طوال القرن الثامن عشر، وكانت هذه المنح تُمنح عادةً من خلال قوانين خاصة، صادرة عن الهيئة التشريعية التي تتطلب التماسًا من المؤلف أو المخترع</w:t>
      </w:r>
      <w:r>
        <w:rPr>
          <w:rStyle w:val="None"/>
          <w:rFonts w:ascii="Times New Roman" w:hAnsi="Times New Roman"/>
          <w:sz w:val="24"/>
          <w:szCs w:val="24"/>
          <w:rtl/>
          <w:lang w:val="ar-SA"/>
        </w:rPr>
        <w:t>.</w:t>
      </w:r>
    </w:p>
    <w:p w14:paraId="794BD65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وبعد الحرب الثورية، حافظت كل من الحكومة الوطنية وحكومات الولايات على اهتمامها الوثيق بالملكية الفكرية؛ حيث كرّس دستور ماساتشوستس حماية الملكية الفكرية فيما بعد الاستعمار، 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واصلت الولايات الأخرى حماية الملكية الفكرية من خلال نظام مُخصّص من القوانين والقرارات التشريعية الخاصة، ومع ذلك</w:t>
      </w:r>
      <w:r>
        <w:rPr>
          <w:rStyle w:val="None"/>
          <w:rFonts w:ascii="Times New Roman" w:hAnsi="Times New Roman"/>
          <w:sz w:val="24"/>
          <w:szCs w:val="24"/>
          <w:rtl/>
          <w:lang w:val="ar-SA"/>
        </w:rPr>
        <w:t xml:space="preserve">: </w:t>
      </w:r>
      <w:r>
        <w:rPr>
          <w:rStyle w:val="None"/>
          <w:rFonts w:cs="Times New Roman"/>
          <w:sz w:val="24"/>
          <w:szCs w:val="24"/>
          <w:rtl/>
          <w:lang w:val="ar-SA"/>
        </w:rPr>
        <w:t>ظلّ الشكل الأساسي للمنح ثابتًا كحقّ حصريّ لفترة محدودة</w:t>
      </w:r>
      <w:r>
        <w:rPr>
          <w:rStyle w:val="None"/>
          <w:rFonts w:ascii="Times New Roman" w:hAnsi="Times New Roman"/>
          <w:sz w:val="24"/>
          <w:szCs w:val="24"/>
          <w:rtl/>
          <w:lang w:val="ar-SA"/>
        </w:rPr>
        <w:t>.</w:t>
      </w:r>
    </w:p>
    <w:p w14:paraId="6D6B0CD0"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ولكن مع تزايد اعتماد الاقتصاد الأمريكي على الولايات، ازدادت الحاجة إلى تشريعات الملكية الفكرية، وعيّن الكونغرس لجنةً خاصةً لتقديم تقارير عن الملكية الأدبية في الولايات المتحدة، وبالفعل أقرّ الكونغرس القرار الذي اقترحته اللجنة في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مايو </w:t>
      </w:r>
      <w:r>
        <w:rPr>
          <w:rStyle w:val="None"/>
          <w:rFonts w:ascii="Times New Roman" w:hAnsi="Times New Roman"/>
          <w:sz w:val="24"/>
          <w:szCs w:val="24"/>
          <w:rtl/>
          <w:lang w:val="ar-SA"/>
        </w:rPr>
        <w:t>1783</w:t>
      </w:r>
      <w:r>
        <w:rPr>
          <w:rStyle w:val="None"/>
          <w:rFonts w:cs="Times New Roman"/>
          <w:sz w:val="24"/>
          <w:szCs w:val="24"/>
          <w:rtl/>
          <w:lang w:val="ar-SA"/>
        </w:rPr>
        <w:t xml:space="preserve">، وأوصى القرار بأنْ تُصدر الولايات قوانين حقوق طبع ونشر تحمي عمل المؤلف </w:t>
      </w:r>
      <w:r>
        <w:rPr>
          <w:rStyle w:val="None"/>
          <w:rFonts w:ascii="Times New Roman" w:hAnsi="Times New Roman"/>
          <w:sz w:val="24"/>
          <w:szCs w:val="24"/>
          <w:rtl/>
          <w:lang w:val="ar-SA"/>
        </w:rPr>
        <w:t>"</w:t>
      </w:r>
      <w:r>
        <w:rPr>
          <w:rStyle w:val="None"/>
          <w:rFonts w:cs="Times New Roman"/>
          <w:sz w:val="24"/>
          <w:szCs w:val="24"/>
          <w:rtl/>
          <w:lang w:val="ar-SA"/>
        </w:rPr>
        <w:t>لفترة زمنية لا تقل عن أربعة عشر عامًا</w:t>
      </w:r>
      <w:r>
        <w:rPr>
          <w:rStyle w:val="None"/>
          <w:rFonts w:ascii="Times New Roman" w:hAnsi="Times New Roman"/>
          <w:sz w:val="24"/>
          <w:szCs w:val="24"/>
          <w:rtl/>
          <w:lang w:val="ar-SA"/>
        </w:rPr>
        <w:t>".</w:t>
      </w:r>
    </w:p>
    <w:p w14:paraId="3ED78AC3"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غضون عامين من هذا القرار، أقرّت اثنتا عشرة ولايةً من أصل ثلاث عشرة تشريعاتٍ للملكية الفكرية، ويُعَدُّ قانون الملكية الفكرية لولاية كارولينا الجنوبية لعام </w:t>
      </w:r>
      <w:r>
        <w:rPr>
          <w:rStyle w:val="None"/>
          <w:rFonts w:ascii="Times New Roman" w:hAnsi="Times New Roman"/>
          <w:sz w:val="24"/>
          <w:szCs w:val="24"/>
          <w:rtl/>
          <w:lang w:val="ar-SA"/>
        </w:rPr>
        <w:t xml:space="preserve">1784 </w:t>
      </w:r>
      <w:r>
        <w:rPr>
          <w:rStyle w:val="None"/>
          <w:rFonts w:cs="Times New Roman"/>
          <w:sz w:val="24"/>
          <w:szCs w:val="24"/>
          <w:rtl/>
          <w:lang w:val="ar-SA"/>
        </w:rPr>
        <w:t>الأكثر تأثيرًا؛ إذْ يُمثّل أول قانون أمريكي يُساوي بين حماية حقوق الطبع والنشر وحماية براءات الاختراع</w:t>
      </w:r>
      <w:r>
        <w:rPr>
          <w:rStyle w:val="None"/>
          <w:rFonts w:ascii="Times New Roman" w:hAnsi="Times New Roman"/>
          <w:sz w:val="24"/>
          <w:szCs w:val="24"/>
          <w:rtl/>
          <w:lang w:val="ar-SA"/>
        </w:rPr>
        <w:t xml:space="preserve">. </w:t>
      </w:r>
    </w:p>
    <w:p w14:paraId="6DF336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تضمن دستور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بندًا لحماية حقوق الملكية الفكرية في المادة الأولى 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والذي نص على أنَّ للكونغرس سلطة تعزيز تقدم العلوم والفنون المفيدة، من خلال ضمان الحق الحصري للمؤلفين والمخترعين في كتاباتهم واكتشافاتهم لفترات محدودة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8945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أشار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إلى أنَّ الولايات المتحدة الأمريكية تُعَدُّ طرفًا في اتفاقيات الملكية الفكرية الدولية التالية</w:t>
      </w:r>
      <w:r>
        <w:rPr>
          <w:rStyle w:val="None"/>
          <w:rFonts w:ascii="Times New Roman" w:hAnsi="Times New Roman"/>
          <w:sz w:val="24"/>
          <w:szCs w:val="24"/>
          <w:rtl/>
          <w:lang w:val="ar-SA"/>
        </w:rPr>
        <w:t>:</w:t>
      </w:r>
    </w:p>
    <w:p w14:paraId="7B32F46D"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يمكن لأي شخص من دولة موقعة التقدم بطلب للحصول على براءة اختراع أو علامة تجارية في أي دولة موقعة أخرى، وسيُمنح نفس حقوق الإنفاذ والوضع الذي يتمتع به مواطن تلك الدولة</w:t>
      </w:r>
      <w:r>
        <w:rPr>
          <w:rStyle w:val="None"/>
          <w:rFonts w:ascii="Times New Roman" w:hAnsi="Times New Roman"/>
          <w:sz w:val="24"/>
          <w:szCs w:val="24"/>
          <w:rtl/>
          <w:lang w:val="ar-SA"/>
        </w:rPr>
        <w:t>.</w:t>
      </w:r>
    </w:p>
    <w:p w14:paraId="6CD7F8AC"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تعترف كل دولة عضو بحقوق الطبع والنشر للمؤلفين من الدول الأعضاء الأخرى، بنفس الطريقة التي تعترف بها بحقوق الطبع والنشر لمواطنيها</w:t>
      </w:r>
      <w:r>
        <w:rPr>
          <w:rStyle w:val="None"/>
          <w:rFonts w:ascii="Times New Roman" w:hAnsi="Times New Roman"/>
          <w:sz w:val="24"/>
          <w:szCs w:val="24"/>
          <w:rtl/>
          <w:lang w:val="ar-SA"/>
        </w:rPr>
        <w:t>.</w:t>
      </w:r>
    </w:p>
    <w:p w14:paraId="346BE116"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بروتوكول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وهو نظام مركزي للحصول على حزمة من تسجيلات العلامات التجارية الوطنية في ولايات قضائية مختلفة، من خلال طلب واحد</w:t>
      </w:r>
      <w:r>
        <w:rPr>
          <w:rStyle w:val="None"/>
          <w:rFonts w:ascii="Times New Roman" w:hAnsi="Times New Roman"/>
          <w:sz w:val="24"/>
          <w:szCs w:val="24"/>
          <w:rtl/>
          <w:lang w:val="ar-SA"/>
        </w:rPr>
        <w:t>.</w:t>
      </w:r>
    </w:p>
    <w:p w14:paraId="29A6D38C"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تعمل هذه المعاهدة بنفس طريقة بروتوكول مدريد، ولكن بالنسبة لطلبات براءات الاختراع</w:t>
      </w:r>
      <w:r>
        <w:rPr>
          <w:rStyle w:val="None"/>
          <w:rFonts w:ascii="Times New Roman" w:hAnsi="Times New Roman"/>
          <w:sz w:val="24"/>
          <w:szCs w:val="24"/>
          <w:rtl/>
          <w:lang w:val="ar-SA"/>
        </w:rPr>
        <w:t>.</w:t>
      </w:r>
    </w:p>
    <w:p w14:paraId="000E71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حقوق الملكية الفكرية في الولايات المتحدة منذ القدم في القانون الإنجليزي عام </w:t>
      </w:r>
      <w:r>
        <w:rPr>
          <w:rStyle w:val="None"/>
          <w:rFonts w:ascii="Times New Roman" w:hAnsi="Times New Roman"/>
          <w:sz w:val="24"/>
          <w:szCs w:val="24"/>
          <w:rtl/>
          <w:lang w:val="ar-SA"/>
        </w:rPr>
        <w:t>1623</w:t>
      </w:r>
      <w:r>
        <w:rPr>
          <w:rStyle w:val="None"/>
          <w:rFonts w:ascii="Arial Unicode MS" w:hAnsi="Arial Unicode MS" w:cs="Times New Roman" w:hint="cs"/>
          <w:sz w:val="24"/>
          <w:szCs w:val="24"/>
          <w:rtl/>
          <w:lang w:val="ar-SA"/>
        </w:rPr>
        <w:t xml:space="preserve">، مرورًا بدستور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الذي كرس حماية حقوق المؤلف والمخترعين، ثم جاءت القوانين الأولى عام </w:t>
      </w:r>
      <w:r>
        <w:rPr>
          <w:rStyle w:val="None"/>
          <w:rFonts w:ascii="Times New Roman" w:hAnsi="Times New Roman"/>
          <w:sz w:val="24"/>
          <w:szCs w:val="24"/>
          <w:rtl/>
          <w:lang w:val="ar-SA"/>
        </w:rPr>
        <w:t xml:space="preserve">1790 </w:t>
      </w:r>
      <w:r>
        <w:rPr>
          <w:rStyle w:val="None"/>
          <w:rFonts w:ascii="Arial Unicode MS" w:hAnsi="Arial Unicode MS" w:cs="Times New Roman" w:hint="cs"/>
          <w:sz w:val="24"/>
          <w:szCs w:val="24"/>
          <w:rtl/>
          <w:lang w:val="ar-SA"/>
        </w:rPr>
        <w:t>نظامًا متكاملًا لبراءات الاختراع وحقوق الطبع والنشر، وفي القرن التاسع عشر توسعت الحماية لتشمل العلامات التجارية والانضمام لاتفاقيات 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اتفاقية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يعتبر هذا التطوُّر التاريخي له دور مهم في حماية الملكية الفكرية، كما امتدت هذه الحماية؛ لكي تشمل البرمجيات وقواعد البيانات والمصنفات الرقمية</w:t>
      </w:r>
      <w:r>
        <w:rPr>
          <w:rStyle w:val="None"/>
          <w:rFonts w:ascii="Times New Roman" w:hAnsi="Times New Roman"/>
          <w:sz w:val="24"/>
          <w:szCs w:val="24"/>
          <w:rtl/>
          <w:lang w:val="ar-SA"/>
        </w:rPr>
        <w:t>.</w:t>
      </w:r>
    </w:p>
    <w:p w14:paraId="4522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قانون الملكية الفكرية حجر الزاوية في تعزيز الابتكار والإبداع في الاقتصادات الحديثة، ويشمل مجموعةً من الحماية القانونية،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براءات الاختراع، والعلامات التجارية، وحقوق التأليف والنشر، والأسرار التجارية، المصممة لحماية الإبداعات الفكرية للأفراد والمنظمات، ويستند تطوُّر قانون الملكية الفكرية في الولايات المتحدة إلى المبادئ الدستورية؛ حيث تُمكّن المادة الأولى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دستور الولايات المتحدة الكونغرس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تعزيز تقدم العلوم والفنون المفيدة من خلال تشريعات الملكية الفكرية، وبمرور الوقت، ساهمت الإصلاحات التشريعية والتفسيرات القضائية في تشكيل قانون الملكية الفكرية لمواجهة التحديات الناشئة،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صعود المنصات الرقمية والذكاء الاصطناعي والعولمة، وقد مثّل قانون الاختراعات الأمريكي، الصادر عام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 تحولًا مهمًا بتحويل نظام براءات الاختراع الأمريكي إلى نظام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أولوية التسجيل</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ممَّا جعله متوافقًا مع المعايير الدولية، وبالمثل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اكتسبت حماية الأسرار التجارية </w:t>
      </w:r>
      <w:r>
        <w:rPr>
          <w:rStyle w:val="None"/>
          <w:rFonts w:ascii="Arial Unicode MS" w:hAnsi="Arial Unicode MS" w:cs="Times New Roman" w:hint="cs"/>
          <w:sz w:val="24"/>
          <w:szCs w:val="24"/>
          <w:rtl/>
          <w:lang w:val="ar-SA"/>
        </w:rPr>
        <w:lastRenderedPageBreak/>
        <w:t xml:space="preserve">أهمية متزايدة مع قانون الدفاع عن الأسرار التجارية لعام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الذي يوفر سبل انتصاف فيدرالية ضد التملك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0"/>
      </w:r>
      <w:r>
        <w:rPr>
          <w:rStyle w:val="None"/>
          <w:rFonts w:ascii="Times New Roman" w:hAnsi="Times New Roman"/>
          <w:sz w:val="24"/>
          <w:szCs w:val="24"/>
          <w:vertAlign w:val="superscript"/>
          <w:rtl/>
          <w:lang w:val="ar-SA"/>
        </w:rPr>
        <w:t>)</w:t>
      </w:r>
    </w:p>
    <w:p w14:paraId="586528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وتتولى ثمانِ وكالاتٍ فيدراليةٍ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مع مكتب التحقيقات الفيدرالي، ومكتب براءات الاختراع والعلامات التجارية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الأنشطة الرئيسية للحكومة الأمريكية؛ لحماية حقوق الملكية الفكرية الأمريكية وإنفاذها في الخارج، وهذه الوكالات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وزارات التجارة، والخارجية، والعدل، والأمن الداخلي، ومكتب الممثل التجاري الأمريكي، ومكتب حقوق الطبع والنشر، والوكالة الأمريكية للتنمية الدولية، ومركز التجارة الدولية الأمريكي، كما تشارك الحكومة الأمريكية في منظمات دولية تُعنى بقضايا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منظمة التجارة العالمية، والمنظمة العالمية للملكية الفكرية، ومنظمة الجمارك العالمية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1"/>
      </w:r>
      <w:r>
        <w:rPr>
          <w:rStyle w:val="None"/>
          <w:rFonts w:ascii="Times New Roman" w:hAnsi="Times New Roman"/>
          <w:sz w:val="24"/>
          <w:szCs w:val="24"/>
          <w:vertAlign w:val="superscript"/>
          <w:rtl/>
          <w:lang w:val="ar-SA"/>
        </w:rPr>
        <w:t>)</w:t>
      </w:r>
    </w:p>
    <w:p w14:paraId="3BCB9F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ويتألف قانون الملكية الفكرية من مجموعة من الحقوق الحصرية التي تمنع الآخرين من صنع بعض إبداعات العقل البشري غير الملموسة؛ حيث يمنح دستورُ الولايات المتحدة الكونغرس سلطتين تتعلقان بحقوق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يُخول الكونغرس بمنح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المؤلفين والمخترعين الحق الحصري في كتاباتهم واكتشافاتهم؛ بهدف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يسمح بند التجارة للكونغرس بتنظيم التجارة بين الولايات المحلية والأجنبية، وعلى المستوى الفيدرالي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الملكية الفكرية أربعة أشكالٍ رئيسيةٍ من 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والأسرار التجارية؛ حيث يحمي كل شكل من أشكال الملكية الفكرية نوعًا مختلفًا من الإبداع الفكري، ويتبع إجراءات مختلفة؛ للحصول على الحقوق، ويمنح مالك الملكية الفكرية حقوقًا تختلف في نطاقها ومدتها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2"/>
      </w:r>
      <w:r>
        <w:rPr>
          <w:rStyle w:val="None"/>
          <w:rFonts w:ascii="Times New Roman" w:hAnsi="Times New Roman"/>
          <w:sz w:val="24"/>
          <w:szCs w:val="24"/>
          <w:vertAlign w:val="superscript"/>
          <w:rtl/>
          <w:lang w:val="ar-SA"/>
        </w:rPr>
        <w:t>)</w:t>
      </w:r>
    </w:p>
    <w:p w14:paraId="0DC437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ويتناول قانون الملكية الفكرية قواعد تأمين وإنفاذ الحقوق القانونية للاختراعات والتصاميم والأعمال الفنية، وكما يحمي القانون ملكية الممتلكات الشخصية والعقارات، فإنَّه يحمي أيضًا السيطرة الحصرية على الأصول غير الملموسة، والغرض من هذه القوانين هو تحفيز الأفراد على تطوير أعمال إبداعية تعود بالنفع على المجتمع، وتمنح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دستور الولايات المتحدة، الكونغرس سلطةً صريحةً لمنح المؤلفين والمخترعين حقوقًا حصريةً على إبداعاتهم، كما يمنح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الكونغرس سلطةَ تنظيم التجارة بين الولايات الداخلية والخارجية؛ ممَّا يوفر دعمًا إضافيًا لحقه في التشريع في هذا المجال، وتُدار قوانين الملكية الفكرية التي يقرها الكونغرس من قبل وكالات حكومية، وهي مكتب براءات الاختراع والعلامات التجارية الأمريكي، ومكتب حقوق الطبع والنشر الأمريكي</w:t>
      </w:r>
      <w:r>
        <w:rPr>
          <w:rStyle w:val="None"/>
          <w:rFonts w:ascii="Times New Roman" w:hAnsi="Times New Roman"/>
          <w:sz w:val="24"/>
          <w:szCs w:val="24"/>
          <w:vertAlign w:val="superscript"/>
        </w:rPr>
        <w:t>)</w:t>
      </w:r>
      <w:r>
        <w:rPr>
          <w:rStyle w:val="None"/>
          <w:rFonts w:ascii="Times New Roman" w:eastAsia="Times New Roman" w:hAnsi="Times New Roman" w:cs="Times New Roman"/>
          <w:sz w:val="24"/>
          <w:szCs w:val="24"/>
          <w:vertAlign w:val="superscript"/>
          <w:lang w:val="ar-SA"/>
        </w:rPr>
        <w:footnoteReference w:id="363"/>
      </w:r>
      <w:r>
        <w:rPr>
          <w:rStyle w:val="None"/>
          <w:rFonts w:ascii="Times New Roman" w:hAnsi="Times New Roman"/>
          <w:sz w:val="24"/>
          <w:szCs w:val="24"/>
          <w:vertAlign w:val="superscript"/>
        </w:rPr>
        <w:t>(</w:t>
      </w:r>
      <w:r>
        <w:rPr>
          <w:rStyle w:val="None"/>
          <w:rFonts w:ascii="Times New Roman" w:hAnsi="Times New Roman"/>
          <w:sz w:val="24"/>
          <w:szCs w:val="24"/>
          <w:rtl/>
          <w:lang w:val="ar-SA"/>
        </w:rPr>
        <w:t>.</w:t>
      </w:r>
    </w:p>
    <w:p w14:paraId="3B9B67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حاليًا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رائدةً في العديد من التقنيات الحيوية التي تعتمد على الإيرادات الناتجة عن ترخيص حقوق الملكية الفكرية في الأسواق العالمية، ومع امتلاك الولايات المتحدة لأجندة الابتكار، يجب أنْ يكون للملكية الفكرية دور بارز، إنَّ وجود نظام قوي لإنفاذ حقوق الملكية الفكرية، مع حدود واضحة لحقوق الملكية الفكرية يساعد المخترعين على الابتكار، ويُعَدُّ هذا ضروريًّا لازدهار منظومة الابتكار، وتستطيع الولايات المتحدة أنْ تستمر في الريادة </w:t>
      </w:r>
      <w:r>
        <w:rPr>
          <w:rStyle w:val="None"/>
          <w:rFonts w:ascii="Arial Unicode MS" w:hAnsi="Arial Unicode MS" w:cs="Times New Roman" w:hint="cs"/>
          <w:sz w:val="24"/>
          <w:szCs w:val="24"/>
          <w:rtl/>
          <w:lang w:val="ar-SA"/>
        </w:rPr>
        <w:lastRenderedPageBreak/>
        <w:t>في الابتكار المكثف في مجال البحث والتطوير، وتطوير المنتجات، والحد من الانتهاكات، وخاصةً خارج حدود الولايات المتحدة، من خلال اتباع إجراءات رئيسية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4"/>
      </w:r>
      <w:r>
        <w:rPr>
          <w:rStyle w:val="None"/>
          <w:rFonts w:ascii="Times New Roman" w:hAnsi="Times New Roman"/>
          <w:sz w:val="24"/>
          <w:szCs w:val="24"/>
          <w:vertAlign w:val="superscript"/>
          <w:rtl/>
          <w:lang w:val="ar-SA"/>
        </w:rPr>
        <w:t>)</w:t>
      </w:r>
    </w:p>
    <w:p w14:paraId="53E3BC78" w14:textId="77777777" w:rsidR="00454428" w:rsidRDefault="00000000">
      <w:pPr>
        <w:pStyle w:val="a7"/>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مكتب براءات الاختراع والعلامات التجارية الأمريكي بالموارد اللازمة؛ لضمان حصول الاختراعات الجيدة فقط على الحماية المناسبة للملكية الفكرية</w:t>
      </w:r>
      <w:r>
        <w:rPr>
          <w:rStyle w:val="None"/>
          <w:rFonts w:ascii="Times New Roman" w:hAnsi="Times New Roman"/>
          <w:sz w:val="24"/>
          <w:szCs w:val="24"/>
          <w:rtl/>
          <w:lang w:val="ar-SA"/>
        </w:rPr>
        <w:t>.</w:t>
      </w:r>
    </w:p>
    <w:p w14:paraId="62C222C8" w14:textId="77777777" w:rsidR="00454428" w:rsidRDefault="00000000">
      <w:pPr>
        <w:pStyle w:val="a7"/>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إحراز تقدم بشأن المقترحات التشريعية لتعزيز قابلية إنفاذ حقوق الملكية الفكرية المشروعة</w:t>
      </w:r>
      <w:r>
        <w:rPr>
          <w:rStyle w:val="None"/>
          <w:rFonts w:ascii="Times New Roman" w:hAnsi="Times New Roman"/>
          <w:sz w:val="24"/>
          <w:szCs w:val="24"/>
          <w:rtl/>
          <w:lang w:val="ar-SA"/>
        </w:rPr>
        <w:t>.</w:t>
      </w:r>
    </w:p>
    <w:p w14:paraId="4CBD2EA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وضع مكتب حقوق الطبع والنشر سياسةَ حقوق الطبع والنشر على مدار ما يقرب من قرن، وذلك بشكل رئيسي من خلال المساعدة في تطوير التشريعات، وإصدار اللوائح والمشاركة في التقاضي، وقد عمل المكتب بشكل وثيق مع لجان الكونغرس بشكل يومي، وشارك بشكل كامل في صياغة قانون حقوق الطبع والنشر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بالإضافة إلى العمل على كل تعديل لاحق،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يحدث التعاون في العديد من القضايا بين مختلف الوكالات في السلطة التنفيذية، وفي أغلب الأحيان وزارة العدل، ومكتب براءات الاختراع، والعلامات التجارية؛ من أجل حماية حقوق الملكية الفكرية في الولايات المتحدة بشكل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B432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المجالات الرئيسية الثلاثة لقانون الملكية الفكرية التي يستخدمها المبتكرون لحماية أفكارهم في العلامات التجارية، وبراءات الاختراع، وحقوق الطبع والنشر، ويُجسّد مكتب إنفاذ حقوق الملكية الفكرية الدولية عبقرية أمريكا للعالم؛ حيث يدافع مكتب إنفاذ حقوق الملكية الفكرية عن حماية حقوق الملكية الفكرية وإنفاذها بفاعلية حول العالم، ويعمل فريق المكتب بشكل وثيق مع سفراء ودبلوماسيِّي الولايات المتحدة العاملين حول العالم؛ لضمان تمثيل مصالح أصحاب الحقوق الأمريكيين في الخارج، ولإبراز الدور الأساسي الذي تلعبه حماية حقوق الملكية الفكرية في دعم الابتكار العالمي والنمو الاقتصادي، ويعمل المكتب على تحقيق الاتي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6"/>
      </w:r>
      <w:r>
        <w:rPr>
          <w:rStyle w:val="None"/>
          <w:rFonts w:ascii="Times New Roman" w:hAnsi="Times New Roman"/>
          <w:sz w:val="24"/>
          <w:szCs w:val="24"/>
          <w:vertAlign w:val="superscript"/>
          <w:rtl/>
          <w:lang w:val="ar-SA"/>
        </w:rPr>
        <w:t>)</w:t>
      </w:r>
    </w:p>
    <w:p w14:paraId="6BF13E6A"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أنظمةً قويةً لحقوق الملكية الفكرية</w:t>
      </w:r>
      <w:r>
        <w:rPr>
          <w:rStyle w:val="None"/>
          <w:rFonts w:ascii="Times New Roman" w:hAnsi="Times New Roman"/>
          <w:sz w:val="24"/>
          <w:szCs w:val="24"/>
          <w:rtl/>
          <w:lang w:val="ar-SA"/>
        </w:rPr>
        <w:t>.</w:t>
      </w:r>
    </w:p>
    <w:p w14:paraId="20F467F7"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ردع الوصول إلى السلع المقلدة والمقرصنة التي قد تضر بالمستهلكين</w:t>
      </w:r>
      <w:r>
        <w:rPr>
          <w:rStyle w:val="None"/>
          <w:rFonts w:ascii="Times New Roman" w:hAnsi="Times New Roman"/>
          <w:sz w:val="24"/>
          <w:szCs w:val="24"/>
          <w:rtl/>
          <w:lang w:val="ar-SA"/>
        </w:rPr>
        <w:t>.</w:t>
      </w:r>
    </w:p>
    <w:p w14:paraId="5B452128"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حماية مصالح أصحاب حقوق الملكية الفكرية الأمريكيين في الخارج</w:t>
      </w:r>
      <w:r>
        <w:rPr>
          <w:rStyle w:val="None"/>
          <w:rFonts w:ascii="Times New Roman" w:hAnsi="Times New Roman"/>
          <w:sz w:val="24"/>
          <w:szCs w:val="24"/>
          <w:rtl/>
          <w:lang w:val="ar-SA"/>
        </w:rPr>
        <w:t>.</w:t>
      </w:r>
    </w:p>
    <w:p w14:paraId="0615DEBD"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الترويج لحماية حقوق الملكية الفكرية وإنفاذها باعتبارها أمرًا حيويًا للتنمية الاقتصادية</w:t>
      </w:r>
      <w:r>
        <w:rPr>
          <w:rStyle w:val="None"/>
          <w:rFonts w:ascii="Times New Roman" w:hAnsi="Times New Roman"/>
          <w:sz w:val="24"/>
          <w:szCs w:val="24"/>
          <w:rtl/>
          <w:lang w:val="ar-SA"/>
        </w:rPr>
        <w:t>.</w:t>
      </w:r>
    </w:p>
    <w:p w14:paraId="100EBF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الملكية الفكرية في الولايات المتحدة يعتبر إطارًا تشريعيًّا لحماية الابتكار والإبداع، كما يشمل براءات الاختراع والعلامات التجارية، وحقوق النشر، بالإضافة إلى التطوُّر القانوني في الولايات المتحدة لمواكبة التحديات في البيئة الرقمية، ومن أهم هذه التطوُّرات قانون الاختراعات الذي صدر عام </w:t>
      </w:r>
      <w:r>
        <w:rPr>
          <w:rStyle w:val="None"/>
          <w:rFonts w:ascii="Times New Roman" w:hAnsi="Times New Roman"/>
          <w:sz w:val="24"/>
          <w:szCs w:val="24"/>
          <w:rtl/>
          <w:lang w:val="ar-SA"/>
        </w:rPr>
        <w:t xml:space="preserve">2011 </w:t>
      </w:r>
      <w:r>
        <w:rPr>
          <w:rStyle w:val="None"/>
          <w:rFonts w:ascii="Arial Unicode MS" w:hAnsi="Arial Unicode MS" w:cs="Times New Roman" w:hint="cs"/>
          <w:sz w:val="24"/>
          <w:szCs w:val="24"/>
          <w:rtl/>
          <w:lang w:val="ar-SA"/>
        </w:rPr>
        <w:t xml:space="preserve">وهو نظام أولوية التسجيل، وقانون </w:t>
      </w:r>
      <w:r>
        <w:rPr>
          <w:rStyle w:val="None"/>
          <w:rFonts w:ascii="Arial Unicode MS" w:hAnsi="Arial Unicode MS" w:cs="Times New Roman" w:hint="cs"/>
          <w:sz w:val="24"/>
          <w:szCs w:val="24"/>
          <w:rtl/>
          <w:lang w:val="ar-SA"/>
        </w:rPr>
        <w:lastRenderedPageBreak/>
        <w:t xml:space="preserve">الدافع عن الأسرار التجارية الذي صدر 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كما اشترك مكتب التحقيقات الفيدرالي ومكتب براءات الاختراع والعلامات التجارية؛ لحماية حقوق الملكية الفكرية محليًا ودوليًا</w:t>
      </w:r>
      <w:r>
        <w:rPr>
          <w:rStyle w:val="None"/>
          <w:rFonts w:ascii="Times New Roman" w:hAnsi="Times New Roman"/>
          <w:sz w:val="24"/>
          <w:szCs w:val="24"/>
          <w:rtl/>
          <w:lang w:val="ar-SA"/>
        </w:rPr>
        <w:t>.</w:t>
      </w:r>
    </w:p>
    <w:p w14:paraId="20C2EBC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نطاق حماية الملكية الفكرية في التشريع الفَرنسي</w:t>
      </w:r>
      <w:r>
        <w:rPr>
          <w:rStyle w:val="None"/>
          <w:rFonts w:ascii="Times New Roman" w:hAnsi="Times New Roman"/>
          <w:b/>
          <w:bCs/>
          <w:sz w:val="28"/>
          <w:szCs w:val="28"/>
          <w:rtl/>
          <w:lang w:val="ar-SA"/>
        </w:rPr>
        <w:t>:</w:t>
      </w:r>
    </w:p>
    <w:p w14:paraId="70DCC7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جاءت نقطة التحول في عام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فيما يتعلق بتحرير التجارة؛ حيث ألغى قانون براءات الاختراع 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نهائيًا الاحتكار، وأعلن أنَّ جميع الاختراعات أو الاكتشافات الجديدة في جميع مجالات الصناعة ملكٌ لمبدعها، وقد كانت تُمنح براءة الاختراع لمدة خمس أو عشر أو خمس عشرة سنةً، وعند انقضائها، ينتقل الاختراع إلى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7"/>
      </w:r>
      <w:r>
        <w:rPr>
          <w:rStyle w:val="None"/>
          <w:rFonts w:ascii="Times New Roman" w:hAnsi="Times New Roman"/>
          <w:sz w:val="24"/>
          <w:szCs w:val="24"/>
          <w:vertAlign w:val="superscript"/>
          <w:rtl/>
          <w:lang w:val="ar-SA"/>
        </w:rPr>
        <w:t>)</w:t>
      </w:r>
    </w:p>
    <w:p w14:paraId="60E9E3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الملكية الفكرية وفق التشريع الفَرنسي إلى حق ملكية مُنشأ قانونًا يمنع الآخرين من استخدام إبداعات غيرهم الفكرية دون تصريح، وتتيح الملكية الفكرية تسويق أفكار الفرد المبتكرة، والإبداعية، واستغلالها تجاريًا، وتتكوَّن حقوق الملكية الفكرية 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8"/>
      </w:r>
      <w:r>
        <w:rPr>
          <w:rStyle w:val="None"/>
          <w:rFonts w:ascii="Times New Roman" w:hAnsi="Times New Roman"/>
          <w:sz w:val="24"/>
          <w:szCs w:val="24"/>
          <w:vertAlign w:val="superscript"/>
          <w:rtl/>
          <w:lang w:val="ar-SA"/>
        </w:rPr>
        <w:t>)</w:t>
      </w:r>
    </w:p>
    <w:p w14:paraId="07C4ED43" w14:textId="77777777" w:rsidR="00454428" w:rsidRDefault="00000000">
      <w:pPr>
        <w:pStyle w:val="a7"/>
        <w:numPr>
          <w:ilvl w:val="0"/>
          <w:numId w:val="13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الحلول التقنية المبتكرة في جميع مجالات الصناعة</w:t>
      </w:r>
      <w:r>
        <w:rPr>
          <w:rStyle w:val="None"/>
          <w:rFonts w:ascii="Times New Roman" w:hAnsi="Times New Roman"/>
          <w:sz w:val="24"/>
          <w:szCs w:val="24"/>
          <w:rtl/>
          <w:lang w:val="ar-SA"/>
        </w:rPr>
        <w:t>.</w:t>
      </w:r>
    </w:p>
    <w:p w14:paraId="28CEE1D5"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والتي تحمي الإبداعات الفكرية الأصلية في الفنون الإبداعية</w:t>
      </w:r>
      <w:r>
        <w:rPr>
          <w:rStyle w:val="None"/>
          <w:rFonts w:ascii="Times New Roman" w:hAnsi="Times New Roman"/>
          <w:sz w:val="24"/>
          <w:szCs w:val="24"/>
          <w:rtl/>
          <w:lang w:val="ar-SA"/>
        </w:rPr>
        <w:t>.</w:t>
      </w:r>
    </w:p>
    <w:p w14:paraId="23BA6E97"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العلامات المميزة التي تُشير إلى أصل المنتج التجاري</w:t>
      </w:r>
      <w:r>
        <w:rPr>
          <w:rStyle w:val="None"/>
          <w:rFonts w:ascii="Times New Roman" w:hAnsi="Times New Roman"/>
          <w:sz w:val="24"/>
          <w:szCs w:val="24"/>
          <w:rtl/>
          <w:lang w:val="ar-SA"/>
        </w:rPr>
        <w:t>.</w:t>
      </w:r>
    </w:p>
    <w:p w14:paraId="423151E6"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التصاميم</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المظهر المرئي للمنتج</w:t>
      </w:r>
      <w:r>
        <w:rPr>
          <w:rStyle w:val="None"/>
          <w:rFonts w:ascii="Times New Roman" w:hAnsi="Times New Roman"/>
          <w:sz w:val="24"/>
          <w:szCs w:val="24"/>
          <w:rtl/>
          <w:lang w:val="ar-SA"/>
        </w:rPr>
        <w:t>.</w:t>
      </w:r>
    </w:p>
    <w:p w14:paraId="791FC37C"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البيانات السرية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يمكن أنْ تلجأ المؤسسة إلى حماية معلوماتها السرية من الاستغلال غير المشروع من خلال الحفاظ عليها كسرٍّ تجاري</w:t>
      </w:r>
      <w:r>
        <w:rPr>
          <w:rStyle w:val="None"/>
          <w:rFonts w:ascii="Times New Roman" w:hAnsi="Times New Roman"/>
          <w:sz w:val="24"/>
          <w:szCs w:val="24"/>
          <w:rtl/>
          <w:lang w:val="ar-SA"/>
        </w:rPr>
        <w:t>.</w:t>
      </w:r>
    </w:p>
    <w:p w14:paraId="529B71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لم يظهر نظام براءات اختراع حديث في فرنسا إلا في نهاية القرن الثامن عشر؛ حيث إنَّه في أعقاب الثورة الفرنسية، تحديًدا في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صوّتت الجمعية الوطنية على أول لائحة لبراءات الاختراع لتصبح قانونًا يمنح المخترعين احتكارًا لمدة خمس أو عشر أو خمس عشرة سنةً على اختراع شيء جديد، وقد حلت براءات الاختراع الجديدة محل امتيازات الاختراع التي كان يمنحها الملك لفترة طويلة خلال النظام القديم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9"/>
      </w:r>
      <w:r>
        <w:rPr>
          <w:rStyle w:val="None"/>
          <w:rFonts w:ascii="Times New Roman" w:hAnsi="Times New Roman"/>
          <w:sz w:val="24"/>
          <w:szCs w:val="24"/>
          <w:vertAlign w:val="superscript"/>
          <w:rtl/>
          <w:lang w:val="ar-SA"/>
        </w:rPr>
        <w:t>)</w:t>
      </w:r>
    </w:p>
    <w:p w14:paraId="0A0F295D" w14:textId="2FCD4CF3" w:rsidR="00454428" w:rsidRDefault="00000000"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كانت فرنسا من أوائل الدول الصناعية الكبرى التي اعتمدت تشريعًا بشأن 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ولعبت دورًا رائدًا في ظهور أولى اللوائح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الاتحاد الدولي لحماية الملكية الصناعية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اتحاد باريس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وعلى عكس النظام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فلسفة وتطبيق الملكية الفكرية في فرنسا، وهيكل أنظمة براءات الاختراع وحقوق التأليف والنشر، وأنماط الاختراع الناتجة عنها، كانت جميعها متسقةً مع الطبيعة الأوليغارشية للمجتمع الأوروبي، </w:t>
      </w:r>
      <w:r>
        <w:rPr>
          <w:rStyle w:val="None"/>
          <w:rFonts w:ascii="Arial Unicode MS" w:hAnsi="Arial Unicode MS" w:cs="Times New Roman" w:hint="cs"/>
          <w:sz w:val="24"/>
          <w:szCs w:val="24"/>
          <w:rtl/>
          <w:lang w:val="ar-SA"/>
        </w:rPr>
        <w:lastRenderedPageBreak/>
        <w:t>فقد ظلت السياسات التجارية الفرنسية قائمةً خلال القرن التاسع عشر على انعدام الثقة بالاختراعات الأجنبية، وتفضيل السرية، وتعزيز الاختراعات المحلية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0"/>
      </w:r>
      <w:r>
        <w:rPr>
          <w:rStyle w:val="None"/>
          <w:rFonts w:ascii="Times New Roman" w:hAnsi="Times New Roman"/>
          <w:sz w:val="24"/>
          <w:szCs w:val="24"/>
          <w:vertAlign w:val="superscript"/>
          <w:rtl/>
          <w:lang w:val="ar-SA"/>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تطوَّرت التشريعات الفرنسية المتعلقة بالملكية الفكرية من خلال التالي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1"/>
      </w:r>
      <w:r>
        <w:rPr>
          <w:rStyle w:val="None"/>
          <w:rFonts w:ascii="Times New Roman" w:hAnsi="Times New Roman"/>
          <w:sz w:val="24"/>
          <w:szCs w:val="24"/>
          <w:vertAlign w:val="superscript"/>
          <w:rtl/>
          <w:lang w:val="ar-SA"/>
        </w:rPr>
        <w:t>)</w:t>
      </w:r>
    </w:p>
    <w:p w14:paraId="02B29740" w14:textId="77777777" w:rsidR="00454428" w:rsidRDefault="00000000">
      <w:pPr>
        <w:pStyle w:val="a7"/>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1791</w:t>
      </w:r>
      <w:r>
        <w:rPr>
          <w:rStyle w:val="None"/>
          <w:rFonts w:cs="Times New Roman"/>
          <w:sz w:val="24"/>
          <w:szCs w:val="24"/>
          <w:rtl/>
          <w:lang w:val="ar-SA"/>
        </w:rPr>
        <w:t xml:space="preserve">، اعتمدت فرنسا </w:t>
      </w:r>
      <w:r>
        <w:rPr>
          <w:rStyle w:val="None"/>
          <w:rFonts w:ascii="Times New Roman" w:hAnsi="Times New Roman"/>
          <w:sz w:val="24"/>
          <w:szCs w:val="24"/>
          <w:rtl/>
          <w:lang w:val="ar-SA"/>
        </w:rPr>
        <w:t>-</w:t>
      </w:r>
      <w:r>
        <w:rPr>
          <w:rStyle w:val="None"/>
          <w:rFonts w:cs="Times New Roman"/>
          <w:sz w:val="24"/>
          <w:szCs w:val="24"/>
          <w:rtl/>
          <w:lang w:val="ar-SA"/>
        </w:rPr>
        <w:t>وهي دولة صناعية كبرى أخرى</w:t>
      </w:r>
      <w:r>
        <w:rPr>
          <w:rStyle w:val="None"/>
          <w:rFonts w:ascii="Times New Roman" w:hAnsi="Times New Roman"/>
          <w:sz w:val="24"/>
          <w:szCs w:val="24"/>
          <w:rtl/>
          <w:lang w:val="ar-SA"/>
        </w:rPr>
        <w:t xml:space="preserve">- </w:t>
      </w:r>
      <w:r>
        <w:rPr>
          <w:rStyle w:val="None"/>
          <w:rFonts w:cs="Times New Roman"/>
          <w:sz w:val="24"/>
          <w:szCs w:val="24"/>
          <w:rtl/>
          <w:lang w:val="ar-SA"/>
        </w:rPr>
        <w:t>تشريعاتٍ بشأن براءات الاختراع، مشابهةً لقانون إنجلترا</w:t>
      </w:r>
      <w:r>
        <w:rPr>
          <w:rStyle w:val="None"/>
          <w:rFonts w:ascii="Times New Roman" w:hAnsi="Times New Roman"/>
          <w:sz w:val="24"/>
          <w:szCs w:val="24"/>
          <w:rtl/>
          <w:lang w:val="ar-SA"/>
        </w:rPr>
        <w:t>.</w:t>
      </w:r>
    </w:p>
    <w:p w14:paraId="18612A26" w14:textId="77777777" w:rsidR="00454428" w:rsidRDefault="00000000">
      <w:pPr>
        <w:pStyle w:val="a7"/>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1857</w:t>
      </w:r>
      <w:r>
        <w:rPr>
          <w:rStyle w:val="None"/>
          <w:rFonts w:cs="Times New Roman"/>
          <w:sz w:val="24"/>
          <w:szCs w:val="24"/>
          <w:rtl/>
          <w:lang w:val="ar-SA"/>
        </w:rPr>
        <w:t>، وسّعت فرنسا رسميًا نطاق قانونها الثوري لحقوق المؤلف ليشمل مستعمراتها؛ حيث اعتُمدت قوانين الملكية الفكرية الفرنسية في مستعمراتها، وانتشرت أيضًا إلى دول أوروبية أخرى، مثل إسبانيا</w:t>
      </w:r>
      <w:r>
        <w:rPr>
          <w:rStyle w:val="None"/>
          <w:rFonts w:ascii="Times New Roman" w:hAnsi="Times New Roman"/>
          <w:sz w:val="24"/>
          <w:szCs w:val="24"/>
          <w:rtl/>
          <w:lang w:val="ar-SA"/>
        </w:rPr>
        <w:t>.</w:t>
      </w:r>
    </w:p>
    <w:p w14:paraId="629ABA9D" w14:textId="77777777" w:rsidR="00454428" w:rsidRDefault="00000000">
      <w:pPr>
        <w:pStyle w:val="a7"/>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1883</w:t>
      </w:r>
      <w:r>
        <w:rPr>
          <w:rStyle w:val="None"/>
          <w:rFonts w:cs="Times New Roman"/>
          <w:sz w:val="24"/>
          <w:szCs w:val="24"/>
          <w:rtl/>
          <w:lang w:val="ar-SA"/>
        </w:rPr>
        <w:t>، وقّعت إحدى عشرة دولةً من بينها فرنسا على اتفاقية باريس، كاتفاقية دولية تُمكّن المخترعين من حماية ابتكاراتهم حتى لو تم استخدامها في دول أخرى</w:t>
      </w:r>
      <w:r>
        <w:rPr>
          <w:rStyle w:val="None"/>
          <w:rFonts w:ascii="Times New Roman" w:hAnsi="Times New Roman"/>
          <w:sz w:val="24"/>
          <w:szCs w:val="24"/>
          <w:rtl/>
          <w:lang w:val="ar-SA"/>
        </w:rPr>
        <w:t>.</w:t>
      </w:r>
    </w:p>
    <w:p w14:paraId="64F5FC77" w14:textId="77777777" w:rsidR="00454428" w:rsidRDefault="00000000">
      <w:pPr>
        <w:pStyle w:val="a7"/>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1886</w:t>
      </w:r>
      <w:r>
        <w:rPr>
          <w:rStyle w:val="None"/>
          <w:rFonts w:cs="Times New Roman"/>
          <w:sz w:val="24"/>
          <w:szCs w:val="24"/>
          <w:rtl/>
          <w:lang w:val="ar-SA"/>
        </w:rPr>
        <w:t>، وعلى خطى اتفاقية باريس، قُبلت اتفاقية برن كاتفاقية دولية تُنظّم حقوق الطبع والنشر، وقد تم التوقيع عليها من قبل بلجيكا، وفرنسا، وألمانيا، وهايتي، وإيطاليا، وليبيريا، وإسبانيا، وسويسرا، وتونس، والمملكة المتحدة، كما شملت أيضًا أراضيها الاستعمارية في جميع أنحاء العالم</w:t>
      </w:r>
      <w:r>
        <w:rPr>
          <w:rStyle w:val="None"/>
          <w:rFonts w:ascii="Times New Roman" w:hAnsi="Times New Roman"/>
          <w:sz w:val="24"/>
          <w:szCs w:val="24"/>
          <w:rtl/>
          <w:lang w:val="ar-SA"/>
        </w:rPr>
        <w:t>.</w:t>
      </w:r>
    </w:p>
    <w:p w14:paraId="4BE33C7E"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القانوني الفرنسي قد شهد تحوُّلًا في مجال الملكية الفكرية، ففي عام صدر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تم إصدار أول قانون لبراءات الاختراع، فقد منح حماية لمدة تتراوح بين خمس إلى خمس عشرة سنةً، كما يشمل هذا القانون للملكية الفكرية براءات الاختراع، وحقوق الطبع والنشر، والعلامات التجارية، والتصاميم، فالقانون يهدف إلى استغلال إبداعاتهم قانونًا، كما لعبت فرنسا دورًا مهمًّا لانضمامها لاتفاقية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لحقوق المؤلف عام </w:t>
      </w:r>
      <w:r>
        <w:rPr>
          <w:rStyle w:val="None"/>
          <w:rFonts w:ascii="Times New Roman" w:hAnsi="Times New Roman"/>
          <w:sz w:val="24"/>
          <w:szCs w:val="24"/>
          <w:rtl/>
          <w:lang w:val="ar-SA"/>
        </w:rPr>
        <w:t>1886.</w:t>
      </w:r>
    </w:p>
    <w:p w14:paraId="679490C0"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أنشأ مؤتمر باريس عام </w:t>
      </w:r>
      <w:r>
        <w:rPr>
          <w:rStyle w:val="None"/>
          <w:rFonts w:ascii="Times New Roman" w:hAnsi="Times New Roman"/>
          <w:sz w:val="24"/>
          <w:szCs w:val="24"/>
          <w:rtl/>
          <w:lang w:val="ar-SA"/>
        </w:rPr>
        <w:t xml:space="preserve">1878 </w:t>
      </w:r>
      <w:r>
        <w:rPr>
          <w:rStyle w:val="None"/>
          <w:rFonts w:ascii="Arial Unicode MS" w:hAnsi="Arial Unicode MS" w:cs="Times New Roman" w:hint="cs"/>
          <w:sz w:val="24"/>
          <w:szCs w:val="24"/>
          <w:rtl/>
          <w:lang w:val="ar-SA"/>
        </w:rPr>
        <w:t>لجنةً، نتج عنها في نهاية المطاف مسودة اتفاقية نوقشت في أول اجتماع رسمي حول النظام الدولي لحقوق الملكية الفكرية، وفي النهاية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صدّقت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دولةً على مسودة الاتفاقية هذه في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في شكل اتفاقية باريس للاتحاد الدولي لحماية الملكية الصناعية، وكانت الدول الموقعة الأصلية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بلجيكا، والبرتغال، وفرنسا، وغواتيمالا، وإيطاليا، وهولندا، وسان سلفادور، وصربيا، وإسبانيا، وسويسرا، ولم تقتصر الاتفاقية على براءات الاختراع فحسب، بل شملت أيضًا قوانين العلامات التجارية التي مكّنت سويسرا وهولندا، اللتين لا تملكان براءات اختراع، من الانضمام إلى الاتفاقية رغم عدم وجود قانون لبراءات الاختراع، وفي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وُقّعت اتفاقية برن بشأن حقوق التأليف والنشر، كما تم تعديل اتفاقية باريس لاحقًا عدة مرات لا سيما في أعوام </w:t>
      </w:r>
      <w:r>
        <w:rPr>
          <w:rStyle w:val="None"/>
          <w:rFonts w:ascii="Times New Roman" w:hAnsi="Times New Roman"/>
          <w:sz w:val="24"/>
          <w:szCs w:val="24"/>
          <w:rtl/>
          <w:lang w:val="ar-SA"/>
        </w:rPr>
        <w:t>1911</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1925</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1934</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1958</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بهدف تعزيز حقوق أصحاب براءات الاختراع، وشكَّلت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 جانب اتفاقية برن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أساس النظام الدولي لحقوق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8213EE"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وعندما وُقِّعت اتفاقية باريس لحماية الملكية الفكرية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لم يكن أحد ليتوقع التأثير العميق الذي أحدثته فرنسا على المشهد العالمي للملكية الفكرية؛ حيث قد مهدت هذه اللحظة التاريخية الطريق لرحلة استثنائية من الابتكار </w:t>
      </w:r>
      <w:r>
        <w:rPr>
          <w:rStyle w:val="None"/>
          <w:rFonts w:ascii="Arial Unicode MS" w:hAnsi="Arial Unicode MS" w:cs="Times New Roman" w:hint="cs"/>
          <w:sz w:val="24"/>
          <w:szCs w:val="24"/>
          <w:rtl/>
          <w:lang w:val="ar-SA"/>
        </w:rPr>
        <w:lastRenderedPageBreak/>
        <w:t xml:space="preserve">والريادة، ومع تأسيس الجمعية الفرنسية لحماية الملكية الفكرية عام </w:t>
      </w:r>
      <w:r>
        <w:rPr>
          <w:rStyle w:val="None"/>
          <w:rFonts w:ascii="Times New Roman" w:hAnsi="Times New Roman"/>
          <w:sz w:val="24"/>
          <w:szCs w:val="24"/>
          <w:rtl/>
          <w:lang w:val="ar-SA"/>
        </w:rPr>
        <w:t>1897</w:t>
      </w:r>
      <w:r>
        <w:rPr>
          <w:rStyle w:val="None"/>
          <w:rFonts w:ascii="Arial Unicode MS" w:hAnsi="Arial Unicode MS" w:cs="Times New Roman" w:hint="cs"/>
          <w:sz w:val="24"/>
          <w:szCs w:val="24"/>
          <w:rtl/>
          <w:lang w:val="ar-SA"/>
        </w:rPr>
        <w:t>، كان الأعضاء الفَرنسيون في طليعة الحركة، ليس فقط كمشاركين، بل كمهندسين لحركةٍ ساهمت في تشكيل وتنسيق الملكية الفكرية عالميًا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3"/>
      </w:r>
      <w:r>
        <w:rPr>
          <w:rStyle w:val="None"/>
          <w:rFonts w:ascii="Times New Roman" w:hAnsi="Times New Roman"/>
          <w:sz w:val="24"/>
          <w:szCs w:val="24"/>
          <w:vertAlign w:val="superscript"/>
          <w:rtl/>
          <w:lang w:val="ar-SA"/>
        </w:rPr>
        <w:t>)</w:t>
      </w:r>
    </w:p>
    <w:p w14:paraId="1E4366CF" w14:textId="77777777" w:rsidR="00454428" w:rsidRDefault="00000000"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النظام الفَرنسي يعترف بحزمتين مترابطتين من الحقوق؛ حيث تحمي حزمة واحدة في المقام الأول المصالح الاقتصادية في العمل الإبداعي، وهي الحقوق التراثية، بينما تحمي حزمة أخرى في المقام الأول القيم الأخرى غير الاقتصادية في العمل، وهي الحقوق الأخلاقية،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القانون الأخلاقي هو جزء من قانون الملكية الفكرية الفَرنسي، الذي يركز بشكل أساسي على الحقوق غير الاقتصادية في العمل الإبداعي، وفي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 xml:space="preserve">1957 </w:t>
      </w:r>
      <w:r>
        <w:rPr>
          <w:rStyle w:val="None"/>
          <w:rFonts w:ascii="Arial Unicode MS" w:hAnsi="Arial Unicode MS" w:cs="Times New Roman" w:hint="cs"/>
          <w:sz w:val="24"/>
          <w:szCs w:val="24"/>
          <w:rtl/>
          <w:lang w:val="ar-SA"/>
        </w:rPr>
        <w:t>سنّ المشرع الفرنسي أول قانون له لحماية المصالح غير الاقتصادية في العمل الإبداعي، وتتكوَّن حزمة الحقوق المعروفة باسم القانون الأخلاقي من أربعة حقوق أساسية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4"/>
      </w:r>
      <w:r>
        <w:rPr>
          <w:rStyle w:val="None"/>
          <w:rFonts w:ascii="Times New Roman" w:hAnsi="Times New Roman"/>
          <w:sz w:val="24"/>
          <w:szCs w:val="24"/>
          <w:vertAlign w:val="superscript"/>
          <w:rtl/>
          <w:lang w:val="ar-SA"/>
        </w:rPr>
        <w:t>)</w:t>
      </w:r>
    </w:p>
    <w:p w14:paraId="1ACBC268"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الإسناد</w:t>
      </w:r>
      <w:r>
        <w:rPr>
          <w:rStyle w:val="None"/>
          <w:rFonts w:ascii="Times New Roman" w:hAnsi="Times New Roman"/>
          <w:b/>
          <w:bCs/>
          <w:sz w:val="24"/>
          <w:szCs w:val="24"/>
          <w:rtl/>
          <w:lang w:val="ar-SA"/>
        </w:rPr>
        <w:t>:</w:t>
      </w:r>
      <w:r>
        <w:rPr>
          <w:rStyle w:val="None"/>
          <w:rFonts w:cs="Times New Roman"/>
          <w:sz w:val="24"/>
          <w:szCs w:val="24"/>
          <w:rtl/>
          <w:lang w:val="ar-SA"/>
        </w:rPr>
        <w:t xml:space="preserve"> حيث يتم ربط اسم المؤلف بشكل صحيح بعمله الإبداعي</w:t>
      </w:r>
      <w:r>
        <w:rPr>
          <w:rStyle w:val="None"/>
          <w:rFonts w:ascii="Times New Roman" w:hAnsi="Times New Roman"/>
          <w:sz w:val="24"/>
          <w:szCs w:val="24"/>
          <w:rtl/>
          <w:lang w:val="ar-SA"/>
        </w:rPr>
        <w:t>.</w:t>
      </w:r>
    </w:p>
    <w:p w14:paraId="15EDD3E5"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النزاهة</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النزاهة للمؤلف بالحفاظ على السيطرة الإبداعية على العمل بعد بيعه؛ بحيث لا يمكن للمالك الجديد تعديل العمل إلا بإذن من الشخص الذي أنشأه</w:t>
      </w:r>
      <w:r>
        <w:rPr>
          <w:rStyle w:val="None"/>
          <w:rFonts w:ascii="Times New Roman" w:hAnsi="Times New Roman"/>
          <w:sz w:val="24"/>
          <w:szCs w:val="24"/>
          <w:rtl/>
          <w:lang w:val="ar-SA"/>
        </w:rPr>
        <w:t>.</w:t>
      </w:r>
    </w:p>
    <w:p w14:paraId="5FE6AFF0"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 حق الإفصاح</w:t>
      </w:r>
      <w:r>
        <w:rPr>
          <w:rStyle w:val="None"/>
          <w:rFonts w:ascii="Times New Roman" w:hAnsi="Times New Roman"/>
          <w:b/>
          <w:bCs/>
          <w:sz w:val="24"/>
          <w:szCs w:val="24"/>
          <w:rtl/>
          <w:lang w:val="ar-SA"/>
        </w:rPr>
        <w:t>:</w:t>
      </w:r>
      <w:r>
        <w:rPr>
          <w:rStyle w:val="None"/>
          <w:rFonts w:cs="Times New Roman"/>
          <w:sz w:val="24"/>
          <w:szCs w:val="24"/>
          <w:rtl/>
          <w:lang w:val="ar-SA"/>
        </w:rPr>
        <w:t xml:space="preserve"> ويمنح حق الإفصاح المؤلف سلطة حصرية لتحديد موعد الانتهاء من العمل وإمكانية الكشف عنه للجمهور</w:t>
      </w:r>
      <w:r>
        <w:rPr>
          <w:rStyle w:val="None"/>
          <w:rFonts w:ascii="Times New Roman" w:hAnsi="Times New Roman"/>
          <w:sz w:val="24"/>
          <w:szCs w:val="24"/>
          <w:rtl/>
          <w:lang w:val="ar-SA"/>
        </w:rPr>
        <w:t>.</w:t>
      </w:r>
    </w:p>
    <w:p w14:paraId="2FF8696C"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السحب</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السحب للمؤلف باستعادة العمل، وسحبه من العالم</w:t>
      </w:r>
      <w:r>
        <w:rPr>
          <w:rStyle w:val="None"/>
          <w:rFonts w:ascii="Times New Roman" w:hAnsi="Times New Roman"/>
          <w:sz w:val="24"/>
          <w:szCs w:val="24"/>
          <w:rtl/>
          <w:lang w:val="ar-SA"/>
        </w:rPr>
        <w:t>.</w:t>
      </w:r>
    </w:p>
    <w:p w14:paraId="67F128E7" w14:textId="77777777" w:rsidR="00454428" w:rsidRDefault="00000000"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حقوق الملكية الفكرية إلى الأقسام التالية وفقًا للقانون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5"/>
      </w:r>
      <w:r>
        <w:rPr>
          <w:rStyle w:val="None"/>
          <w:rFonts w:ascii="Times New Roman" w:hAnsi="Times New Roman"/>
          <w:sz w:val="24"/>
          <w:szCs w:val="24"/>
          <w:vertAlign w:val="superscript"/>
          <w:rtl/>
          <w:lang w:val="ar-SA"/>
        </w:rPr>
        <w:t>)</w:t>
      </w:r>
    </w:p>
    <w:p w14:paraId="29BB0980"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براءة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يُمنح هذا الحق للاختراعات الجديدة وفق المادة </w:t>
      </w:r>
      <w:r>
        <w:rPr>
          <w:rStyle w:val="None"/>
          <w:rFonts w:ascii="Times New Roman" w:hAnsi="Times New Roman"/>
          <w:sz w:val="24"/>
          <w:szCs w:val="24"/>
        </w:rPr>
        <w:t>L. 611-11</w:t>
      </w:r>
      <w:r>
        <w:rPr>
          <w:rStyle w:val="None"/>
          <w:rFonts w:cs="Times New Roman"/>
          <w:sz w:val="24"/>
          <w:szCs w:val="24"/>
          <w:rtl/>
          <w:lang w:val="ar-SA"/>
        </w:rPr>
        <w:t xml:space="preserve"> من قانون الملكية الفكرية؛ حيث يتم منح براءات الاختراع لمدة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عامًا من تاريخ تقديم الطلب وفق المادة </w:t>
      </w:r>
      <w:r>
        <w:rPr>
          <w:rStyle w:val="None"/>
          <w:rFonts w:ascii="Times New Roman" w:hAnsi="Times New Roman"/>
          <w:sz w:val="24"/>
          <w:szCs w:val="24"/>
        </w:rPr>
        <w:t>L. 611-2</w:t>
      </w:r>
      <w:r>
        <w:rPr>
          <w:rStyle w:val="None"/>
          <w:rFonts w:cs="Times New Roman"/>
          <w:sz w:val="24"/>
          <w:szCs w:val="24"/>
          <w:rtl/>
          <w:lang w:val="ar-SA"/>
        </w:rPr>
        <w:t xml:space="preserve"> من قانون الملكية الفكرية، ولا يمكن تجديد أو تمديد براءات الاختراع، باستثناء براءات الاختراع الدوائية والصيدلانية النباتية؛ حيث يمكن تمديد حمايتها لفترة إضافية محددة</w:t>
      </w:r>
      <w:r>
        <w:rPr>
          <w:rStyle w:val="None"/>
          <w:rFonts w:ascii="Times New Roman" w:hAnsi="Times New Roman"/>
          <w:sz w:val="24"/>
          <w:szCs w:val="24"/>
          <w:rtl/>
          <w:lang w:val="ar-SA"/>
        </w:rPr>
        <w:t xml:space="preserve">. </w:t>
      </w:r>
    </w:p>
    <w:p w14:paraId="07683657"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لتسجيل العلامة التجارية، يجب أنْ تُمثَّل بطريقة تُمكِّن الجهات المختصة والجمهور من تحديد موضوع الحماية الممنوحة لمالكها بوضوح ودقة، وأنْ تكون مميزة وغير مضللة، ويتولى المعهد الوطني للملكية الصناعية </w:t>
      </w:r>
      <w:r>
        <w:rPr>
          <w:rStyle w:val="None"/>
          <w:rFonts w:ascii="Times New Roman" w:hAnsi="Times New Roman"/>
          <w:sz w:val="24"/>
          <w:szCs w:val="24"/>
          <w:rtl/>
          <w:lang w:val="ar-SA"/>
        </w:rPr>
        <w:t>(</w:t>
      </w:r>
      <w:r>
        <w:rPr>
          <w:rStyle w:val="None"/>
          <w:rFonts w:ascii="Times New Roman" w:hAnsi="Times New Roman"/>
          <w:sz w:val="24"/>
          <w:szCs w:val="24"/>
        </w:rPr>
        <w:t>INPI</w:t>
      </w:r>
      <w:r>
        <w:rPr>
          <w:rStyle w:val="None"/>
          <w:rFonts w:ascii="Times New Roman" w:hAnsi="Times New Roman"/>
          <w:sz w:val="24"/>
          <w:szCs w:val="24"/>
          <w:rtl/>
          <w:lang w:val="ar-SA"/>
        </w:rPr>
        <w:t xml:space="preserve">) </w:t>
      </w:r>
      <w:r>
        <w:rPr>
          <w:rStyle w:val="None"/>
          <w:rFonts w:cs="Times New Roman"/>
          <w:sz w:val="24"/>
          <w:szCs w:val="24"/>
          <w:rtl/>
          <w:lang w:val="ar-SA"/>
        </w:rPr>
        <w:t>مسئولية تسجيل العلامات التجارية، وبتسجيل العلامة التجارية لدى المعهد، يحصل مقدم الطلب على حق حصري في استخدام العلامة التجارية على الأراضي الفَرنسية لمدة عشر سنواتٍ، قابلة للتجديد لأجل غير مسمى</w:t>
      </w:r>
      <w:r>
        <w:rPr>
          <w:rStyle w:val="None"/>
          <w:rFonts w:ascii="Times New Roman" w:hAnsi="Times New Roman"/>
          <w:sz w:val="24"/>
          <w:szCs w:val="24"/>
          <w:rtl/>
          <w:lang w:val="ar-SA"/>
        </w:rPr>
        <w:t>.</w:t>
      </w:r>
    </w:p>
    <w:p w14:paraId="43F95BFB"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تنص المادة </w:t>
      </w:r>
      <w:r>
        <w:rPr>
          <w:rStyle w:val="None"/>
          <w:rFonts w:ascii="Times New Roman" w:hAnsi="Times New Roman"/>
          <w:sz w:val="24"/>
          <w:szCs w:val="24"/>
        </w:rPr>
        <w:t>L. 112-2</w:t>
      </w:r>
      <w:r>
        <w:rPr>
          <w:rStyle w:val="None"/>
          <w:rFonts w:cs="Times New Roman"/>
          <w:sz w:val="24"/>
          <w:szCs w:val="24"/>
          <w:rtl/>
          <w:lang w:val="ar-SA"/>
        </w:rPr>
        <w:t xml:space="preserve"> من قانون الملكية الفكرية على قائمة من الأعمال، التي تندرج </w:t>
      </w:r>
      <w:r>
        <w:rPr>
          <w:rStyle w:val="None"/>
          <w:rFonts w:cs="Times New Roman"/>
          <w:sz w:val="24"/>
          <w:szCs w:val="24"/>
          <w:rtl/>
          <w:lang w:val="ar-SA"/>
        </w:rPr>
        <w:lastRenderedPageBreak/>
        <w:t>ضمن نطاق الحماية، 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والأعمال الفنية؛ حيث تتمتع جميع أنواع الأعمال بحماية حقوق الطبع والنشر طالما كانت أصلية، أي تحمل اسم وتوقيع المؤلف</w:t>
      </w:r>
      <w:r>
        <w:rPr>
          <w:rStyle w:val="None"/>
          <w:rFonts w:ascii="Times New Roman" w:hAnsi="Times New Roman"/>
          <w:sz w:val="24"/>
          <w:szCs w:val="24"/>
          <w:rtl/>
          <w:lang w:val="ar-SA"/>
        </w:rPr>
        <w:t>.</w:t>
      </w:r>
    </w:p>
    <w:p w14:paraId="504A84C0"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الأسرار التجارية محميةً بموجب القانون رقم </w:t>
      </w:r>
      <w:r>
        <w:rPr>
          <w:rStyle w:val="None"/>
          <w:rFonts w:ascii="Times New Roman" w:hAnsi="Times New Roman"/>
          <w:sz w:val="24"/>
          <w:szCs w:val="24"/>
          <w:rtl/>
          <w:lang w:val="ar-SA"/>
        </w:rPr>
        <w:t xml:space="preserve">2018-670 </w:t>
      </w:r>
      <w:r>
        <w:rPr>
          <w:rStyle w:val="None"/>
          <w:rFonts w:cs="Times New Roman"/>
          <w:sz w:val="24"/>
          <w:szCs w:val="24"/>
          <w:rtl/>
          <w:lang w:val="ar-SA"/>
        </w:rPr>
        <w:t xml:space="preserve">المؤرخ </w:t>
      </w:r>
      <w:r>
        <w:rPr>
          <w:rStyle w:val="None"/>
          <w:rFonts w:ascii="Times New Roman" w:hAnsi="Times New Roman"/>
          <w:sz w:val="24"/>
          <w:szCs w:val="24"/>
          <w:rtl/>
          <w:lang w:val="ar-SA"/>
        </w:rPr>
        <w:t xml:space="preserve">30 </w:t>
      </w:r>
      <w:r>
        <w:rPr>
          <w:rStyle w:val="None"/>
          <w:rFonts w:cs="Times New Roman"/>
          <w:sz w:val="24"/>
          <w:szCs w:val="24"/>
          <w:rtl/>
          <w:lang w:val="ar-SA"/>
        </w:rPr>
        <w:t xml:space="preserve">يوليو </w:t>
      </w:r>
      <w:r>
        <w:rPr>
          <w:rStyle w:val="None"/>
          <w:rFonts w:ascii="Times New Roman" w:hAnsi="Times New Roman"/>
          <w:sz w:val="24"/>
          <w:szCs w:val="24"/>
          <w:rtl/>
          <w:lang w:val="ar-SA"/>
        </w:rPr>
        <w:t>2018</w:t>
      </w:r>
      <w:r>
        <w:rPr>
          <w:rStyle w:val="None"/>
          <w:rFonts w:cs="Times New Roman"/>
          <w:sz w:val="24"/>
          <w:szCs w:val="24"/>
          <w:rtl/>
          <w:lang w:val="ar-SA"/>
        </w:rPr>
        <w:t>، والمتعلق بحماية الأسرار التجارية؛ حيث إنَّ المستفيد من حماية الأسرار التجارية هو المالك الشرعي، أي الشخص الذي يتحكم بها قانونًا،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لا يجوز نشر تلك الأسرار دون إذن من مالكها، وذلك وفق المادة </w:t>
      </w:r>
      <w:r>
        <w:rPr>
          <w:rStyle w:val="None"/>
          <w:rFonts w:ascii="Times New Roman" w:hAnsi="Times New Roman"/>
          <w:sz w:val="24"/>
          <w:szCs w:val="24"/>
        </w:rPr>
        <w:t>L.151-2</w:t>
      </w:r>
      <w:r>
        <w:rPr>
          <w:rStyle w:val="None"/>
          <w:rFonts w:cs="Times New Roman"/>
          <w:sz w:val="24"/>
          <w:szCs w:val="24"/>
          <w:rtl/>
          <w:lang w:val="ar-SA"/>
        </w:rPr>
        <w:t xml:space="preserve"> من القانون التجاري</w:t>
      </w:r>
      <w:r>
        <w:rPr>
          <w:rStyle w:val="None"/>
          <w:rFonts w:ascii="Times New Roman" w:hAnsi="Times New Roman"/>
          <w:sz w:val="24"/>
          <w:szCs w:val="24"/>
          <w:rtl/>
          <w:lang w:val="ar-SA"/>
        </w:rPr>
        <w:t>.</w:t>
      </w:r>
    </w:p>
    <w:p w14:paraId="55D3880D"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w:t>
      </w:r>
      <w:r>
        <w:rPr>
          <w:rStyle w:val="None"/>
          <w:rFonts w:cs="Times New Roman"/>
          <w:sz w:val="24"/>
          <w:szCs w:val="24"/>
          <w:rtl/>
          <w:lang w:val="ar-SA"/>
        </w:rPr>
        <w:t xml:space="preserve"> يمكن حماية قواعد البيانات </w:t>
      </w:r>
      <w:r>
        <w:rPr>
          <w:rStyle w:val="None"/>
          <w:rFonts w:ascii="Times New Roman" w:hAnsi="Times New Roman"/>
          <w:sz w:val="24"/>
          <w:szCs w:val="24"/>
          <w:rtl/>
          <w:lang w:val="ar-SA"/>
        </w:rPr>
        <w:t>-</w:t>
      </w:r>
      <w:r>
        <w:rPr>
          <w:rStyle w:val="None"/>
          <w:rFonts w:cs="Times New Roman"/>
          <w:sz w:val="24"/>
          <w:szCs w:val="24"/>
          <w:rtl/>
          <w:lang w:val="ar-SA"/>
        </w:rPr>
        <w:t xml:space="preserve">كما هو مُعرّف في المادة </w:t>
      </w:r>
      <w:r>
        <w:rPr>
          <w:rStyle w:val="None"/>
          <w:rFonts w:ascii="Times New Roman" w:hAnsi="Times New Roman"/>
          <w:sz w:val="24"/>
          <w:szCs w:val="24"/>
        </w:rPr>
        <w:t>L. 112-3 al.2</w:t>
      </w:r>
      <w:r>
        <w:rPr>
          <w:rStyle w:val="None"/>
          <w:rFonts w:cs="Times New Roman"/>
          <w:sz w:val="24"/>
          <w:szCs w:val="24"/>
          <w:rtl/>
          <w:lang w:val="ar-SA"/>
        </w:rPr>
        <w:t xml:space="preserve"> من قانون البراءات الدولي</w:t>
      </w:r>
      <w:r>
        <w:rPr>
          <w:rStyle w:val="None"/>
          <w:rFonts w:ascii="Times New Roman" w:hAnsi="Times New Roman"/>
          <w:sz w:val="24"/>
          <w:szCs w:val="24"/>
          <w:rtl/>
          <w:lang w:val="ar-SA"/>
        </w:rPr>
        <w:t xml:space="preserve">- </w:t>
      </w:r>
      <w:r>
        <w:rPr>
          <w:rStyle w:val="None"/>
          <w:rFonts w:cs="Times New Roman"/>
          <w:sz w:val="24"/>
          <w:szCs w:val="24"/>
          <w:rtl/>
          <w:lang w:val="ar-SA"/>
        </w:rPr>
        <w:t>بنوعين من حقوق الملكية الفكرية</w:t>
      </w:r>
      <w:r>
        <w:rPr>
          <w:rStyle w:val="None"/>
          <w:rFonts w:ascii="Times New Roman" w:hAnsi="Times New Roman"/>
          <w:sz w:val="24"/>
          <w:szCs w:val="24"/>
          <w:rtl/>
          <w:lang w:val="ar-SA"/>
        </w:rPr>
        <w:t xml:space="preserve">: </w:t>
      </w:r>
      <w:r>
        <w:rPr>
          <w:rStyle w:val="None"/>
          <w:rFonts w:cs="Times New Roman"/>
          <w:sz w:val="24"/>
          <w:szCs w:val="24"/>
          <w:rtl/>
          <w:lang w:val="ar-SA"/>
        </w:rPr>
        <w:t>حقوق الطبع والنشر وحقوق قواعد البيانات الخاصة</w:t>
      </w:r>
      <w:r>
        <w:rPr>
          <w:rStyle w:val="None"/>
          <w:rFonts w:ascii="Times New Roman" w:hAnsi="Times New Roman"/>
          <w:sz w:val="24"/>
          <w:szCs w:val="24"/>
          <w:rtl/>
          <w:lang w:val="ar-SA"/>
        </w:rPr>
        <w:t>.</w:t>
      </w:r>
    </w:p>
    <w:p w14:paraId="2F172D72" w14:textId="77777777" w:rsidR="00454428" w:rsidRDefault="00000000">
      <w:pPr>
        <w:pStyle w:val="a7"/>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أسماء النطاقات</w:t>
      </w:r>
      <w:r>
        <w:rPr>
          <w:rStyle w:val="None"/>
          <w:rFonts w:ascii="Times New Roman" w:hAnsi="Times New Roman"/>
          <w:b/>
          <w:bCs/>
          <w:sz w:val="24"/>
          <w:szCs w:val="24"/>
          <w:rtl/>
          <w:lang w:val="ar-SA"/>
        </w:rPr>
        <w:t>:</w:t>
      </w:r>
      <w:r>
        <w:rPr>
          <w:rStyle w:val="None"/>
          <w:rFonts w:cs="Times New Roman"/>
          <w:sz w:val="24"/>
          <w:szCs w:val="24"/>
          <w:rtl/>
          <w:lang w:val="ar-SA"/>
        </w:rPr>
        <w:t xml:space="preserve"> يمنح تسجيل اسم النطاق حق الاستخدام خلال فترة زمنية محددة، يُمنح هذا الحق للشخص الذي يطلب الحجز أولًا، ولحجز اسم نطاق، يجب التواصل مع الهيئة الفرنسية المسئولة عن إدارته وفقً للقانون الفرنسي</w:t>
      </w:r>
      <w:r>
        <w:rPr>
          <w:rStyle w:val="None"/>
          <w:rFonts w:ascii="Times New Roman" w:hAnsi="Times New Roman"/>
          <w:sz w:val="24"/>
          <w:szCs w:val="24"/>
          <w:rtl/>
          <w:lang w:val="ar-SA"/>
        </w:rPr>
        <w:t>.</w:t>
      </w:r>
    </w:p>
    <w:p w14:paraId="273736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أكدت فرنسا على المضي قدمًا نحو الملكية الفكرية من خلال التوقيع على الاتفاقيات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6"/>
      </w:r>
      <w:r>
        <w:rPr>
          <w:rStyle w:val="None"/>
          <w:rFonts w:ascii="Times New Roman" w:hAnsi="Times New Roman"/>
          <w:sz w:val="24"/>
          <w:szCs w:val="24"/>
          <w:vertAlign w:val="superscript"/>
          <w:rtl/>
          <w:lang w:val="ar-SA"/>
        </w:rPr>
        <w:t>)</w:t>
      </w:r>
    </w:p>
    <w:p w14:paraId="0C29D65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الاتفاقية الدولية لحماية الملكية الفكرية على الأرجح أهم معاهدة متعددة الأطراف في مجال الملكية الفكرية، وتُعرف باسم </w:t>
      </w:r>
      <w:r>
        <w:rPr>
          <w:rStyle w:val="None"/>
          <w:rFonts w:ascii="Times New Roman" w:hAnsi="Times New Roman"/>
          <w:sz w:val="24"/>
          <w:szCs w:val="24"/>
          <w:rtl/>
          <w:lang w:val="ar-SA"/>
        </w:rPr>
        <w:t>"</w:t>
      </w:r>
      <w:r>
        <w:rPr>
          <w:rStyle w:val="None"/>
          <w:rFonts w:cs="Times New Roman"/>
          <w:sz w:val="24"/>
          <w:szCs w:val="24"/>
          <w:rtl/>
          <w:lang w:val="ar-SA"/>
        </w:rPr>
        <w:t>اتفاقية باريس</w:t>
      </w:r>
      <w:r>
        <w:rPr>
          <w:rStyle w:val="None"/>
          <w:rFonts w:ascii="Times New Roman" w:hAnsi="Times New Roman"/>
          <w:sz w:val="24"/>
          <w:szCs w:val="24"/>
          <w:rtl/>
          <w:lang w:val="ar-SA"/>
        </w:rPr>
        <w:t>"</w:t>
      </w:r>
      <w:r>
        <w:rPr>
          <w:rStyle w:val="None"/>
          <w:rFonts w:cs="Times New Roman"/>
          <w:sz w:val="24"/>
          <w:szCs w:val="24"/>
          <w:rtl/>
          <w:lang w:val="ar-SA"/>
        </w:rPr>
        <w:t xml:space="preserve">، والتي صادقت </w:t>
      </w:r>
      <w:r>
        <w:rPr>
          <w:rStyle w:val="None"/>
          <w:rFonts w:ascii="Times New Roman" w:hAnsi="Times New Roman"/>
          <w:sz w:val="24"/>
          <w:szCs w:val="24"/>
          <w:rtl/>
          <w:lang w:val="ar-SA"/>
        </w:rPr>
        <w:t xml:space="preserve">56 </w:t>
      </w:r>
      <w:r>
        <w:rPr>
          <w:rStyle w:val="None"/>
          <w:rFonts w:cs="Times New Roman"/>
          <w:sz w:val="24"/>
          <w:szCs w:val="24"/>
          <w:rtl/>
          <w:lang w:val="ar-SA"/>
        </w:rPr>
        <w:t>دولةً على أحدث نسخة مُعدّلة من نصّها، الذي يغطي مجموعةً واسعةً من حقوق الملكية الفكرية،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والتصاميم الصناعية، والعلامات التجارية، والأسماء التجارية، وعلامات الخدمة، والعلامات الجماعية، والمنافسة غير العادلة</w:t>
      </w:r>
      <w:r>
        <w:rPr>
          <w:rStyle w:val="None"/>
          <w:rFonts w:ascii="Times New Roman" w:hAnsi="Times New Roman"/>
          <w:sz w:val="24"/>
          <w:szCs w:val="24"/>
          <w:rtl/>
          <w:lang w:val="ar-SA"/>
        </w:rPr>
        <w:t xml:space="preserve">. </w:t>
      </w:r>
    </w:p>
    <w:p w14:paraId="3C0FFF27"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تُعَدُّ اتفاقية برن، التي وُضعت عام </w:t>
      </w:r>
      <w:r>
        <w:rPr>
          <w:rStyle w:val="None"/>
          <w:rFonts w:ascii="Times New Roman" w:hAnsi="Times New Roman"/>
          <w:sz w:val="24"/>
          <w:szCs w:val="24"/>
          <w:rtl/>
          <w:lang w:val="ar-SA"/>
        </w:rPr>
        <w:t>1886</w:t>
      </w:r>
      <w:r>
        <w:rPr>
          <w:rStyle w:val="None"/>
          <w:rFonts w:cs="Times New Roman"/>
          <w:sz w:val="24"/>
          <w:szCs w:val="24"/>
          <w:rtl/>
          <w:lang w:val="ar-SA"/>
        </w:rPr>
        <w:t>، الاتفاقية الدولية الرئيسية المتعلقة بحماية حقوق النشر، وتستند اتفاقية برن إلى مبدأ المعاملة الوطنية، وتفرض معايير دنيا لحماية حقوق النشر، وتمنح اتفاقية برن المواطنين الأجانب نفس الحماية والمزايا الممنوحة لمواطني أي دولة عضو دون تمييز</w:t>
      </w:r>
      <w:r>
        <w:rPr>
          <w:rStyle w:val="None"/>
          <w:rFonts w:ascii="Times New Roman" w:hAnsi="Times New Roman"/>
          <w:sz w:val="24"/>
          <w:szCs w:val="24"/>
          <w:rtl/>
          <w:lang w:val="ar-SA"/>
        </w:rPr>
        <w:t>.</w:t>
      </w:r>
    </w:p>
    <w:p w14:paraId="4CBC3C35"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براءات الاختراع الأوروبية</w:t>
      </w:r>
      <w:r>
        <w:rPr>
          <w:rStyle w:val="None"/>
          <w:rFonts w:ascii="Times New Roman" w:hAnsi="Times New Roman"/>
          <w:b/>
          <w:bCs/>
          <w:sz w:val="24"/>
          <w:szCs w:val="24"/>
          <w:rtl/>
          <w:lang w:val="ar-SA"/>
        </w:rPr>
        <w:t>:</w:t>
      </w:r>
      <w:r>
        <w:rPr>
          <w:rStyle w:val="None"/>
          <w:rFonts w:cs="Times New Roman"/>
          <w:sz w:val="24"/>
          <w:szCs w:val="24"/>
          <w:rtl/>
          <w:lang w:val="ar-SA"/>
        </w:rPr>
        <w:t xml:space="preserve"> وقد أُنشأت اتفاقية براءات الاختراع الأوروبية بواسطة مكتب براءات الاختراع الأوروبي، ومقره ألمانيا، وتُطبق الاتفاقية حاليًا على معظم الدول الأعضاء في الجماعة الاقتصادية الأوروبية، وعلى العديد من الدول الأوروبية الأخرى، وتنص اتفاقية براءات الاختراع الأوروبية على تقديم طلب واحد باللغة الإنجليزية، أو الألمانية، أو الفرنسية؛ حيث يُجرى عليه بحث وفحص مركزيان، وبمجرد قبول براءة الاختراع، وتقديم الرسوم والترجمات اللازمة، تتم الموافقة على الطلب</w:t>
      </w:r>
      <w:r>
        <w:rPr>
          <w:rStyle w:val="None"/>
          <w:rFonts w:ascii="Times New Roman" w:hAnsi="Times New Roman"/>
          <w:sz w:val="24"/>
          <w:szCs w:val="24"/>
          <w:rtl/>
          <w:lang w:val="ar-SA"/>
        </w:rPr>
        <w:t>.</w:t>
      </w:r>
    </w:p>
    <w:p w14:paraId="6C5E8A3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ينص هذا النظام على تقديم طلب واحد يُحدد الدول الأعضاء، المطلوبة للحصول على براءات اختراع منها، ويتم فحص الطلب، وتقديم الترجمات اللازمة، ثم يُحوّل الطلب إلى حزمة من الطلبات الوطنية الفردية، والتي تخضع بدورها لفحص من خلال مكاتب براءات الاختراع الوطنية</w:t>
      </w:r>
      <w:r>
        <w:rPr>
          <w:rStyle w:val="None"/>
          <w:rFonts w:ascii="Times New Roman" w:hAnsi="Times New Roman"/>
          <w:sz w:val="24"/>
          <w:szCs w:val="24"/>
          <w:rtl/>
          <w:lang w:val="ar-SA"/>
        </w:rPr>
        <w:t>.</w:t>
      </w:r>
    </w:p>
    <w:p w14:paraId="01E8DBA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اتفاقية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ويهدف بروتوكول مدريد إلى حماية العلامات التجارية، من خلال الاعتراف الدولي، تحت إشراف المنظمة العالمية للملكية الفكرية، وتتعلق اتفاقية مدريد بالإيداع الدولي لطلبات تسجيل العلامات التجارية</w:t>
      </w:r>
      <w:r>
        <w:rPr>
          <w:rStyle w:val="None"/>
          <w:rFonts w:ascii="Times New Roman" w:hAnsi="Times New Roman"/>
          <w:sz w:val="24"/>
          <w:szCs w:val="24"/>
          <w:rtl/>
          <w:lang w:val="ar-SA"/>
        </w:rPr>
        <w:t xml:space="preserve">. </w:t>
      </w:r>
    </w:p>
    <w:p w14:paraId="5D3EC1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التطوُّر الذي شهدته فرنسا في مجال الملكية الفكرية منذ صدور أول قانون لبراءات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xml:space="preserve">، والذي منح حمايةً محدودةً للمخترعين، ثم انضمت فرنسا لاتفاقيتي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وبرن </w:t>
      </w:r>
      <w:r>
        <w:rPr>
          <w:rStyle w:val="None"/>
          <w:rFonts w:ascii="Times New Roman" w:hAnsi="Times New Roman"/>
          <w:sz w:val="24"/>
          <w:szCs w:val="24"/>
          <w:rtl/>
          <w:lang w:val="ar-SA"/>
        </w:rPr>
        <w:t xml:space="preserve">1886 </w:t>
      </w:r>
      <w:r>
        <w:rPr>
          <w:rStyle w:val="None"/>
          <w:rFonts w:ascii="Arial Unicode MS" w:hAnsi="Arial Unicode MS" w:cs="Times New Roman" w:hint="cs"/>
          <w:sz w:val="24"/>
          <w:szCs w:val="24"/>
          <w:rtl/>
          <w:lang w:val="ar-SA"/>
        </w:rPr>
        <w:t xml:space="preserve">فهما أساس النظام الدولي لحماية الملكية الصناعية وحقوق المؤلف، كما عزّز المشرع الفرنسي الملكية الفكرية بقانون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وتطوَّرت القوانين حتى اهتمت فرنسا بحقوق الملكية الفكرية في ظل البيئة الرقمية</w:t>
      </w:r>
      <w:r>
        <w:rPr>
          <w:rStyle w:val="None"/>
          <w:rFonts w:ascii="Times New Roman" w:hAnsi="Times New Roman"/>
          <w:sz w:val="24"/>
          <w:szCs w:val="24"/>
          <w:rtl/>
          <w:lang w:val="ar-SA"/>
        </w:rPr>
        <w:t>.</w:t>
      </w:r>
    </w:p>
    <w:p w14:paraId="4B930C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التشريع الفرنسي في مجال الملكية الفكرية من أكثر التشريعات تطوُّرًا في العالم؛ حيث تُعرّف الملكية الفكرية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مجموعة من الحقوق المُرسّخة قانونًا في المجالات الصناعية، والعلمية، والأدبية، والفنية، وقد أصبح قانون الملكية الفكرية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1992- </w:t>
      </w:r>
      <w:r>
        <w:rPr>
          <w:rStyle w:val="None"/>
          <w:rFonts w:ascii="Arial Unicode MS" w:hAnsi="Arial Unicode MS" w:cs="Times New Roman" w:hint="cs"/>
          <w:sz w:val="24"/>
          <w:szCs w:val="24"/>
          <w:rtl/>
          <w:lang w:val="ar-SA"/>
        </w:rPr>
        <w:t>ظاهرةً فريدةً في الممارسة الأوروبية، ويتألف القانون، من حيث بنيته، من جزأين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الجزء التشريعي، الذي يوُضع موضع التنفيذ بموجب القانون، والجزء التنظيمي، الذي يوُضع موضع التنفيذ بموجب مرسوم، ويتألف قانون الملكية الفكرية الفَرنسي هيكليًا من عدة أقسام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الطبع والنشر والحقوق المرتبطة بها، وحقوق مُصنّعي قواعد البيانات، والحماية القانونية للاختراعات والمعرفة التقنية، والعلامات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0FA9D" w14:textId="5F707800" w:rsidR="00454428" w:rsidRDefault="00000000"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تحديث الاقتصاد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xml:space="preserve">2008 </w:t>
      </w:r>
      <w:r>
        <w:rPr>
          <w:rStyle w:val="None"/>
          <w:rFonts w:ascii="Arial Unicode MS" w:hAnsi="Arial Unicode MS" w:cs="Times New Roman" w:hint="cs"/>
          <w:sz w:val="24"/>
          <w:szCs w:val="24"/>
          <w:rtl/>
          <w:lang w:val="ar-SA"/>
        </w:rPr>
        <w:t xml:space="preserve">بموجب الرقم </w:t>
      </w:r>
      <w:r>
        <w:rPr>
          <w:rStyle w:val="None"/>
          <w:rFonts w:ascii="Times New Roman" w:hAnsi="Times New Roman"/>
          <w:sz w:val="24"/>
          <w:szCs w:val="24"/>
          <w:rtl/>
          <w:lang w:val="ar-SA"/>
        </w:rPr>
        <w:t>2008-776</w:t>
      </w:r>
      <w:r>
        <w:rPr>
          <w:rStyle w:val="None"/>
          <w:rFonts w:ascii="Arial Unicode MS" w:hAnsi="Arial Unicode MS" w:cs="Times New Roman" w:hint="cs"/>
          <w:sz w:val="24"/>
          <w:szCs w:val="24"/>
          <w:rtl/>
          <w:lang w:val="ar-SA"/>
        </w:rPr>
        <w:t xml:space="preserve">، ويتألف هذا القانون من أربعة فصولٍ، تهدف على التوالي إلى تعزيز تنمية الشركات الصغيرة والمتوسطة، وتعزيز المنافسة، وزيادة جاذبية الاقتصاد الفَرنسي، وتحسين التمويل، ويتناول الفصل الثالث من القانون عنصر الابتكار، والذي يتطلب حماية حقوق الملكية الفكرية، ويهدف قانون تحديث الاقتصاد إلى إدراج أحكام مماثلة لأحكام اتفاقية البراءات الأوروبية لعام </w:t>
      </w:r>
      <w:r>
        <w:rPr>
          <w:rStyle w:val="None"/>
          <w:rFonts w:ascii="Times New Roman" w:hAnsi="Times New Roman"/>
          <w:sz w:val="24"/>
          <w:szCs w:val="24"/>
          <w:rtl/>
          <w:lang w:val="ar-SA"/>
        </w:rPr>
        <w:t xml:space="preserve">2000 </w:t>
      </w:r>
      <w:r>
        <w:rPr>
          <w:rStyle w:val="None"/>
          <w:rFonts w:ascii="Arial Unicode MS" w:hAnsi="Arial Unicode MS" w:cs="Times New Roman" w:hint="cs"/>
          <w:sz w:val="24"/>
          <w:szCs w:val="24"/>
          <w:rtl/>
          <w:lang w:val="ar-SA"/>
        </w:rPr>
        <w:t>في القانون الفرنسي لبراءات الاختراع</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8"/>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ويتميز نظام الملكية الفكرية الفرنسي، لا سيما في مجال العلامات التجارية، بالقوة والشمولية والتناغم مع الاتفاقيات الدولية، ويخضع قانون العلامات التجارية الفَرنسي بشكل أساسي للقانون رقم </w:t>
      </w:r>
      <w:r>
        <w:rPr>
          <w:rStyle w:val="None"/>
          <w:rFonts w:ascii="Times New Roman" w:hAnsi="Times New Roman"/>
          <w:sz w:val="24"/>
          <w:szCs w:val="24"/>
          <w:rtl/>
          <w:lang w:val="ar-SA"/>
        </w:rPr>
        <w:t xml:space="preserve">91-7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1991</w:t>
      </w:r>
      <w:r>
        <w:rPr>
          <w:rStyle w:val="None"/>
          <w:rFonts w:ascii="Arial Unicode MS" w:hAnsi="Arial Unicode MS" w:cs="Times New Roman" w:hint="cs"/>
          <w:sz w:val="24"/>
          <w:szCs w:val="24"/>
          <w:rtl/>
          <w:lang w:val="ar-SA"/>
        </w:rPr>
        <w:t xml:space="preserve">، والذي عُدِّل بموجب المرسوم رقم </w:t>
      </w:r>
      <w:r>
        <w:rPr>
          <w:rStyle w:val="None"/>
          <w:rFonts w:ascii="Times New Roman" w:hAnsi="Times New Roman"/>
          <w:sz w:val="24"/>
          <w:szCs w:val="24"/>
          <w:rtl/>
          <w:lang w:val="ar-SA"/>
        </w:rPr>
        <w:t xml:space="preserve">2019-1169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13 </w:t>
      </w:r>
      <w:r>
        <w:rPr>
          <w:rStyle w:val="None"/>
          <w:rFonts w:ascii="Arial Unicode MS" w:hAnsi="Arial Unicode MS" w:cs="Times New Roman" w:hint="cs"/>
          <w:sz w:val="24"/>
          <w:szCs w:val="24"/>
          <w:rtl/>
          <w:lang w:val="ar-SA"/>
        </w:rPr>
        <w:t xml:space="preserve">نوفمبر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وقد أُدرجت هذه القوانين في قانون الملكية الفكرية الفَرنسي، الذي يُشكل أساس اللوائح المحلية</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9"/>
      </w:r>
      <w:r>
        <w:rPr>
          <w:rStyle w:val="None"/>
          <w:rFonts w:ascii="Times New Roman" w:hAnsi="Times New Roman"/>
          <w:sz w:val="24"/>
          <w:szCs w:val="24"/>
          <w:vertAlign w:val="superscript"/>
          <w:rtl/>
          <w:lang w:val="ar-SA"/>
        </w:rPr>
        <w:t>)</w:t>
      </w:r>
    </w:p>
    <w:p w14:paraId="47CB2B75"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التشريع الفَرنسي في مجال الملكية الفكرية من أهم القانونين تطوُّرًا، فقد تم تحديث القانون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فهو يشمل قوانين تتعلق بحقوق المؤلف، والاختراعات، والعلامات التجارية، والتصاميم، وبعد ذلك جاءت تعديلات على قانون الاقتصاد عام </w:t>
      </w:r>
      <w:r>
        <w:rPr>
          <w:rStyle w:val="None"/>
          <w:rFonts w:ascii="Times New Roman" w:hAnsi="Times New Roman"/>
          <w:sz w:val="24"/>
          <w:szCs w:val="24"/>
          <w:rtl/>
          <w:lang w:val="ar-SA"/>
        </w:rPr>
        <w:t>2008</w:t>
      </w:r>
      <w:r>
        <w:rPr>
          <w:rStyle w:val="None"/>
          <w:rFonts w:ascii="Arial Unicode MS" w:hAnsi="Arial Unicode MS" w:cs="Times New Roman" w:hint="cs"/>
          <w:sz w:val="24"/>
          <w:szCs w:val="24"/>
          <w:rtl/>
          <w:lang w:val="ar-SA"/>
        </w:rPr>
        <w:t>؛ لكي يعزّز الابتكار ومواكبة التشريعات الحديثة، ومع التطوُّر التكنولوجي اعتمدت فرنسا تشريعات،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lang w:val="es-ES_tradnl"/>
        </w:rPr>
        <w:t>HADOPI</w:t>
      </w:r>
      <w:r>
        <w:rPr>
          <w:rStyle w:val="None"/>
          <w:rFonts w:ascii="Arial Unicode MS" w:hAnsi="Arial Unicode MS" w:cs="Times New Roman" w:hint="cs"/>
          <w:sz w:val="24"/>
          <w:szCs w:val="24"/>
          <w:rtl/>
          <w:lang w:val="ar-SA"/>
        </w:rPr>
        <w:t>؛ لمكافحة التوزيع غير المشروع للمصنفات الرقية، قد أصبح القانون الفَرنسي من القوانين المهمة الذي يحمي حقوق المؤلف، والتصاميم في البيئة الرقمية</w:t>
      </w:r>
      <w:r>
        <w:rPr>
          <w:rStyle w:val="None"/>
          <w:rFonts w:ascii="Times New Roman" w:hAnsi="Times New Roman"/>
          <w:sz w:val="24"/>
          <w:szCs w:val="24"/>
          <w:rtl/>
          <w:lang w:val="ar-SA"/>
        </w:rPr>
        <w:t>.</w:t>
      </w:r>
      <w:bookmarkEnd w:id="180"/>
    </w:p>
    <w:p w14:paraId="2ECEE00D" w14:textId="77777777" w:rsidR="00454428" w:rsidRDefault="00000000" w:rsidP="00C72BA8">
      <w:pPr>
        <w:pStyle w:val="a4"/>
        <w:rPr>
          <w:rStyle w:val="None"/>
          <w:lang w:val="ar-SA"/>
        </w:rPr>
      </w:pPr>
      <w:bookmarkStart w:id="197" w:name="_Toc227251128"/>
      <w:bookmarkStart w:id="198" w:name="_Toc227251438"/>
      <w:r>
        <w:rPr>
          <w:rStyle w:val="None"/>
          <w:rFonts w:ascii="Arial Unicode MS" w:eastAsia="Arial Unicode MS" w:hAnsi="Arial Unicode MS" w:hint="cs"/>
          <w:rtl/>
          <w:lang w:val="ar-SA"/>
        </w:rPr>
        <w:lastRenderedPageBreak/>
        <w:t>الفصل الثالث</w:t>
      </w:r>
      <w:bookmarkEnd w:id="197"/>
      <w:bookmarkEnd w:id="198"/>
    </w:p>
    <w:p w14:paraId="5176212C" w14:textId="77777777" w:rsidR="00454428" w:rsidRDefault="00000000" w:rsidP="00C72BA8">
      <w:pPr>
        <w:pStyle w:val="a4"/>
        <w:rPr>
          <w:rStyle w:val="None"/>
          <w:lang w:val="ar-SA"/>
        </w:rPr>
      </w:pPr>
      <w:bookmarkStart w:id="199" w:name="_Toc227251129"/>
      <w:bookmarkStart w:id="200" w:name="_Toc227251439"/>
      <w:r>
        <w:rPr>
          <w:rStyle w:val="None"/>
          <w:rFonts w:ascii="Arial Unicode MS" w:eastAsia="Arial Unicode MS" w:hAnsi="Arial Unicode MS" w:hint="cs"/>
          <w:rtl/>
          <w:lang w:val="ar-SA"/>
        </w:rPr>
        <w:t>صور الحماية القانونية للملكية الفكرية في البيئة الرقمية</w:t>
      </w:r>
      <w:bookmarkEnd w:id="199"/>
      <w:bookmarkEnd w:id="200"/>
    </w:p>
    <w:p w14:paraId="3BE375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تحوُّلاتٍ جوهريةً في أنماط الإبداع والنشر نتيجة الثورة الرقمية، التي أنشأت بيئة جديدة تعتمد على الوسائط الإلكترونية في إنتاج وتداول المصنفات الفكرية بمختلف أشكالها، وقد أتاح هذا التطوُّر فرصًا غير مسبوقة للوصول السريع إلى المعلومات وتبادلها عبر الحدود، لكنه أوجد أيضًا تحدياتٍ معقدةً في مجال حماية حقوق المؤلف والحقوق المجاورة والابتكارات التقنية؛ بسبب سهولة نسخ المحتوى الرقمي، وإعادة توزيعه دون إذن أو مقابل؛ لذا أصبح من الضروري البحث عن آليات قانونية أكثر مرونةً، وفعَّالةً لمواجهة أشكال الاعتداء السريعة والمنتشرة في الفضاء الإلكتروني</w:t>
      </w:r>
      <w:r>
        <w:rPr>
          <w:rStyle w:val="None"/>
          <w:rFonts w:ascii="Times New Roman" w:hAnsi="Times New Roman"/>
          <w:sz w:val="24"/>
          <w:szCs w:val="24"/>
          <w:rtl/>
          <w:lang w:val="ar-SA"/>
        </w:rPr>
        <w:t>.</w:t>
      </w:r>
    </w:p>
    <w:p w14:paraId="2024FA8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يتعين على النظم القانونية الوطنية والدولية ابتكار صور متعددة للحماية القانونية، تتناسب مع خصوصية البيئة الرقمية، وتوازن بين مصلحة أصحاب الحقوق، وحق الجمهور في الوصول إلى المعرفة، وتتنوع هذه الصور بين حماية تقليدية مستندة إلى القوانين القائمة، وأخرى مستحدثة تشمل تدابير تقنية خاصة بالنشر الرقمي، بالإضافة إلى الاتفاقيات الدولية التي تسعى لتوحيد المعايير وضبط السلوك في هذا المجال،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تأتي دراسة صور الحماية القانونية للملكية الفكرية في البيئة الرقمية كخطوة لفهم آليات التصدي للأخطار التي تهدد الإبداع في العصر الرقمي، وتقييم مدى كفاية هذه الصور في تحقيق الغاية المنشودة، وسيتم تناول ذلك على النحو التالي</w:t>
      </w:r>
      <w:r>
        <w:rPr>
          <w:rStyle w:val="None"/>
          <w:rFonts w:ascii="Times New Roman" w:hAnsi="Times New Roman"/>
          <w:sz w:val="24"/>
          <w:szCs w:val="24"/>
          <w:rtl/>
          <w:lang w:val="ar-SA"/>
        </w:rPr>
        <w:t>:</w:t>
      </w:r>
    </w:p>
    <w:p w14:paraId="45ACFB98" w14:textId="77777777" w:rsidR="00454428" w:rsidRDefault="00000000">
      <w:pPr>
        <w:pStyle w:val="a7"/>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المدنية للمصنفات الرقمية</w:t>
      </w:r>
      <w:r>
        <w:rPr>
          <w:rStyle w:val="None"/>
          <w:rFonts w:ascii="Times New Roman" w:hAnsi="Times New Roman"/>
          <w:sz w:val="24"/>
          <w:szCs w:val="24"/>
          <w:rtl/>
          <w:lang w:val="ar-SA"/>
        </w:rPr>
        <w:t>.</w:t>
      </w:r>
    </w:p>
    <w:p w14:paraId="183CC02D" w14:textId="77777777" w:rsidR="00454428" w:rsidRDefault="00000000">
      <w:pPr>
        <w:pStyle w:val="a7"/>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والتجريم الرقمي</w:t>
      </w:r>
      <w:r>
        <w:rPr>
          <w:rStyle w:val="None"/>
          <w:rFonts w:ascii="Times New Roman" w:hAnsi="Times New Roman"/>
          <w:sz w:val="24"/>
          <w:szCs w:val="24"/>
          <w:rtl/>
          <w:lang w:val="ar-SA"/>
        </w:rPr>
        <w:t>.</w:t>
      </w:r>
    </w:p>
    <w:p w14:paraId="6DA53C8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104AD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71398F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5E0B9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93F78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FE23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3D38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42612F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B3994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C0C0E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F278CB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5A01F399" w14:textId="77777777" w:rsidR="005E55B5" w:rsidRDefault="005E55B5" w:rsidP="00C72BA8">
      <w:pPr>
        <w:pStyle w:val="a4"/>
        <w:rPr>
          <w:rStyle w:val="None"/>
          <w:rFonts w:ascii="Arial Unicode MS" w:eastAsia="Arial Unicode MS" w:hAnsi="Arial Unicode MS"/>
          <w:rtl/>
          <w:lang w:val="ar-SA"/>
        </w:rPr>
      </w:pPr>
    </w:p>
    <w:p w14:paraId="7B4F0C64" w14:textId="78B88637" w:rsidR="00454428" w:rsidRDefault="00000000" w:rsidP="00C72BA8">
      <w:pPr>
        <w:pStyle w:val="a4"/>
        <w:rPr>
          <w:rStyle w:val="None"/>
          <w:lang w:val="ar-SA"/>
        </w:rPr>
      </w:pPr>
      <w:bookmarkStart w:id="201" w:name="_Toc227251130"/>
      <w:bookmarkStart w:id="202" w:name="_Toc227251440"/>
      <w:r>
        <w:rPr>
          <w:rStyle w:val="None"/>
          <w:rFonts w:ascii="Arial Unicode MS" w:eastAsia="Arial Unicode MS" w:hAnsi="Arial Unicode MS" w:hint="cs"/>
          <w:rtl/>
          <w:lang w:val="ar-SA"/>
        </w:rPr>
        <w:lastRenderedPageBreak/>
        <w:t>المبحث الأول</w:t>
      </w:r>
      <w:bookmarkEnd w:id="201"/>
      <w:bookmarkEnd w:id="202"/>
    </w:p>
    <w:p w14:paraId="229B6173" w14:textId="77777777" w:rsidR="00454428" w:rsidRDefault="00000000" w:rsidP="00C72BA8">
      <w:pPr>
        <w:pStyle w:val="a4"/>
        <w:rPr>
          <w:rStyle w:val="None"/>
          <w:lang w:val="ar-SA"/>
        </w:rPr>
      </w:pPr>
      <w:bookmarkStart w:id="203" w:name="_Toc227251131"/>
      <w:bookmarkStart w:id="204" w:name="_Toc227251441"/>
      <w:r>
        <w:rPr>
          <w:rStyle w:val="None"/>
          <w:rFonts w:ascii="Arial Unicode MS" w:eastAsia="Arial Unicode MS" w:hAnsi="Arial Unicode MS" w:hint="cs"/>
          <w:rtl/>
          <w:lang w:val="ar-SA"/>
        </w:rPr>
        <w:t>الحماية المدنية للمصنفات الرقمية</w:t>
      </w:r>
      <w:bookmarkEnd w:id="203"/>
      <w:bookmarkEnd w:id="204"/>
    </w:p>
    <w:p w14:paraId="3DF63B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للمصنفات الفكرية؛ حيث أصبح من السهل نسخها وتخزينها وتوزيعها على نطاق واسع؛ ممَّا زاد من احتمالات التعدي على حقوق أصحابها بطرق يصعب ضبطها بالوسائل التقليدية؛ لذا برز دور الحماية المدنية كأداة أساسية تُمكن أصحاب الحقوق من المطالبة بالتعويض عن الضرر الناتج عن الاعتداء على مصنفاتهم الرقمية، سواء من خلال تعويض مالي أو إلزام المعتدي بوقف التعدي أو إزالة آثاره، وتستند هذه الحماية إلى القواعد العامة في المسئولية المدنية، مع مراعاة الخصوصيات التي تفرضها طبيعة الوسط الرقمي</w:t>
      </w:r>
      <w:r>
        <w:rPr>
          <w:rStyle w:val="None"/>
          <w:rFonts w:ascii="Times New Roman" w:hAnsi="Times New Roman"/>
          <w:sz w:val="24"/>
          <w:szCs w:val="24"/>
          <w:rtl/>
          <w:lang w:val="ar-SA"/>
        </w:rPr>
        <w:t>.</w:t>
      </w:r>
    </w:p>
    <w:p w14:paraId="2A5CB0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وتتميز الحماية المدنية للمصنفات الرقمية بمرونتها وقدرتها على التكيف مع أشكال الاعتداء المستجدة؛ حيث توفر لأصحاب الحقوق وسيلةً فعَّالةً لمواجهة الانتهاكات، حتى في غياب نصوص جزائية خاصة، كما تتيح إمكانية الجمع بين التعويض عن الأضرار المادية والمعنوية، وإصدار أوامر قضائية تحفظية أو وقتية لتجنب وقوع الضرر؛ لذا تكتسب دراسة الحماية المدنية للمصنفات الرقمية أهميةً خاصةً في ظل التحديات التي تفرضها سرعة الانتشار وصعوبة الرقابة في الفضاء الإلكتروني؛ ممَّا يحقق توازنًا بين حماية المبدع وضمان تدفق المعرفة، وسيتم تناول ذلك على النحو التالي</w:t>
      </w:r>
      <w:r>
        <w:rPr>
          <w:rStyle w:val="None"/>
          <w:rFonts w:ascii="Times New Roman" w:hAnsi="Times New Roman"/>
          <w:sz w:val="24"/>
          <w:szCs w:val="24"/>
          <w:rtl/>
          <w:lang w:val="ar-SA"/>
        </w:rPr>
        <w:t>:</w:t>
      </w:r>
    </w:p>
    <w:p w14:paraId="40F17E63" w14:textId="77777777" w:rsidR="00454428" w:rsidRDefault="00000000">
      <w:pPr>
        <w:pStyle w:val="a7"/>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النظام السعودي</w:t>
      </w:r>
      <w:r>
        <w:rPr>
          <w:rStyle w:val="None"/>
          <w:rFonts w:ascii="Times New Roman" w:hAnsi="Times New Roman"/>
          <w:sz w:val="24"/>
          <w:szCs w:val="24"/>
          <w:rtl/>
          <w:lang w:val="ar-SA"/>
        </w:rPr>
        <w:t>.</w:t>
      </w:r>
    </w:p>
    <w:p w14:paraId="0B8A6AA5" w14:textId="77777777" w:rsidR="00454428" w:rsidRDefault="00000000">
      <w:pPr>
        <w:pStyle w:val="a7"/>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القانون الأمريكي والفَرنسي</w:t>
      </w:r>
      <w:r>
        <w:rPr>
          <w:rStyle w:val="None"/>
          <w:rFonts w:ascii="Times New Roman" w:hAnsi="Times New Roman"/>
          <w:sz w:val="24"/>
          <w:szCs w:val="24"/>
          <w:rtl/>
          <w:lang w:val="ar-SA"/>
        </w:rPr>
        <w:t>.</w:t>
      </w:r>
    </w:p>
    <w:p w14:paraId="5829E4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3A7FE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49CA6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6E703E5"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8D5B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502125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B86C3C3"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C10EB1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018276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9AD586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25AFD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67B0A50"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79477D2B" w14:textId="77777777" w:rsidR="00454428" w:rsidRDefault="00000000" w:rsidP="00C72BA8">
      <w:pPr>
        <w:pStyle w:val="a4"/>
        <w:rPr>
          <w:rStyle w:val="None"/>
          <w:lang w:val="ar-SA"/>
        </w:rPr>
      </w:pPr>
      <w:bookmarkStart w:id="205" w:name="_Toc227251132"/>
      <w:bookmarkStart w:id="206" w:name="_Toc227251442"/>
      <w:r>
        <w:rPr>
          <w:rStyle w:val="None"/>
          <w:rFonts w:ascii="Arial Unicode MS" w:eastAsia="Arial Unicode MS" w:hAnsi="Arial Unicode MS" w:hint="cs"/>
          <w:rtl/>
          <w:lang w:val="ar-SA"/>
        </w:rPr>
        <w:lastRenderedPageBreak/>
        <w:t>المطلب الأول</w:t>
      </w:r>
      <w:bookmarkEnd w:id="205"/>
      <w:bookmarkEnd w:id="206"/>
    </w:p>
    <w:p w14:paraId="4699E038" w14:textId="77777777" w:rsidR="00454428" w:rsidRDefault="00000000" w:rsidP="00C72BA8">
      <w:pPr>
        <w:pStyle w:val="a4"/>
        <w:rPr>
          <w:rStyle w:val="None"/>
          <w:lang w:val="ar-SA"/>
        </w:rPr>
      </w:pPr>
      <w:bookmarkStart w:id="207" w:name="_Toc227251133"/>
      <w:bookmarkStart w:id="208" w:name="_Toc227251443"/>
      <w:r>
        <w:rPr>
          <w:rStyle w:val="None"/>
          <w:rFonts w:ascii="Arial Unicode MS" w:eastAsia="Arial Unicode MS" w:hAnsi="Arial Unicode MS" w:hint="cs"/>
          <w:rtl/>
          <w:lang w:val="ar-SA"/>
        </w:rPr>
        <w:t>التعويض عن الاعتداء على حقوق الملكية الفكرية في البيئة الرقمية في النظام السعودي</w:t>
      </w:r>
      <w:bookmarkEnd w:id="207"/>
      <w:bookmarkEnd w:id="208"/>
    </w:p>
    <w:p w14:paraId="183B9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التطوُّر التقني السريع في البيئة الرقمية إلى زيادة حجم الانتهاكات التي تلحق حقوق الملكية الفكرية، سواء كانت في مجال حقوق المؤلف، أو الحقوق المجاورة، أو حقوق الملكية الصناعية؛ حيث أصبح من السهل نسخ المصنفات الرقمية وتوزيعها على نطاق واسع دون إذن أصحابها، وفي ضوء مواجهة هذه التحديات أولى النظام السعودي اهتمامًا خاصًا بتنظيم سبل التعويض عن هذه الاعتداءات، كوسيلة مدنية أساسية لتعويض الضرر واستعادة الحقوق، وتحقيق الردع العام والخاص في الوقت ذاته، ويأتي هذا التعويض ضمن إطار قواعد المسئولية المدنية، مع مراعاة الخصوصية المتعلقة بالأضرار التي تحدث في الوسط الرقمي، والتي قد تتسم بالاتساع والانتشار السريع</w:t>
      </w:r>
      <w:r>
        <w:rPr>
          <w:rStyle w:val="None"/>
          <w:rFonts w:ascii="Times New Roman" w:hAnsi="Times New Roman"/>
          <w:sz w:val="24"/>
          <w:szCs w:val="24"/>
          <w:rtl/>
          <w:lang w:val="ar-SA"/>
        </w:rPr>
        <w:t>.</w:t>
      </w:r>
    </w:p>
    <w:p w14:paraId="416CCB8A"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الأسس القانونية للحماية المدنية للملكية الفكرية</w:t>
      </w:r>
      <w:r>
        <w:rPr>
          <w:rStyle w:val="None"/>
          <w:rFonts w:ascii="Times New Roman" w:hAnsi="Times New Roman"/>
          <w:b/>
          <w:bCs/>
          <w:sz w:val="28"/>
          <w:szCs w:val="28"/>
          <w:rtl/>
          <w:lang w:val="ar-SA"/>
        </w:rPr>
        <w:t>:</w:t>
      </w:r>
    </w:p>
    <w:p w14:paraId="05C952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المسئولية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بصفة عامة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المحاسبة على فعل أو سلوك معين، وتتمثل المحاسبة في توقيع جزاء على الشخص عند مخالفته لأحد الواجبات التي تفرضها عليه أنظمة الضبط الاجتماعي، وتختلف المسئولية بحسب نوع وطبيعة الواجب الذي تمت مخالفته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63BC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فالمسئولية المدنية هي التي تقوم عند إخلال الشخص بالتزام محدد على نحو يسبب ضررًا لأحد الأفراد في الجسم، أو الشرف، أو المشاعر، أو المال، فهنا يلتزم المسئول بالتعويض عن الضرر الناجم عن الواقعة المنسوبة إليه، وتنصرف المسئولية المدنية للتعبير عن الفعل الضار وما يترتب عليه من الالتزام بتعويض المضرور</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81"/>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84C26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الاعتداء على حقوق المؤلف يتسبب بضرر يصيب المؤلف في شخصيته أو سمعته، ويؤثر على مركزه الاجتماعي أو اعتباره المالي، الأمر الذي يتطلب من المؤلف دفع الاعتداء، والمطالبة بالتعويض جبرًا للضرر الحاصل من فعل الاعتداء، فيلجأ إلى رفع دعوى المسئولية المدنية، وتكون هذه المسئولية إما عقديةً أو تقصيريةً تبعًا للعلاقة التي تجمع بين المؤلف والمتسبب بالضرر، فإذا تحقق الاعتداء من قِبل شخص أجنبي غير مرتبط برابطة عقدية بالمؤلف تطبق قواعد المسئولية التقصيرية، وبخلافه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وجود رابطة تعاقدية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فقواعد المسئولية العقدية هي الواجبة تطبيقًا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C8024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المسئولية المدنية تشكل الإطار القانوني الذي يضمن حماية حقوق المؤلف من أي اعتداء قد يؤثر على إنتاجه الفكري، أو مكانته الأدبية أو المالية، فهي تمكنه من المطالبة بتعويض عادل عن الأضرار التي تعرض لها، سواء كان الضرر ناتجًا عن إخلال تعاقدي أو فعل تقصيري، فيجد المؤلف في قواعد المسئولية المدنية وسيلةً فعَّالةً لدفع الأضرار وجبرها؛ ممَّا يحقق العدالة ويحافظ على مكانته وحقوقه</w:t>
      </w:r>
      <w:r>
        <w:rPr>
          <w:rStyle w:val="None"/>
          <w:rFonts w:ascii="Times New Roman" w:hAnsi="Times New Roman"/>
          <w:sz w:val="24"/>
          <w:szCs w:val="24"/>
          <w:rtl/>
          <w:lang w:val="ar-SA"/>
        </w:rPr>
        <w:t>.</w:t>
      </w:r>
    </w:p>
    <w:p w14:paraId="6B13A05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AFAB97D" w14:textId="77777777" w:rsidR="00454428" w:rsidRDefault="00000000">
      <w:pPr>
        <w:pStyle w:val="a7"/>
        <w:numPr>
          <w:ilvl w:val="0"/>
          <w:numId w:val="154"/>
        </w:numPr>
        <w:spacing w:before="120" w:after="120" w:line="360" w:lineRule="auto"/>
        <w:rPr>
          <w:rFonts w:cs="Times New Roman" w:hint="default"/>
          <w:b/>
          <w:bCs/>
          <w:sz w:val="24"/>
          <w:szCs w:val="24"/>
          <w:rtl/>
          <w:lang w:val="ar-SA"/>
        </w:rPr>
      </w:pPr>
      <w:r>
        <w:rPr>
          <w:rStyle w:val="None"/>
          <w:rFonts w:cs="Times New Roman"/>
          <w:b/>
          <w:bCs/>
          <w:sz w:val="24"/>
          <w:szCs w:val="24"/>
          <w:rtl/>
          <w:lang w:val="ar-SA"/>
        </w:rPr>
        <w:lastRenderedPageBreak/>
        <w:t>المسئولية العقدية والمسئولية التقصيرية</w:t>
      </w:r>
      <w:r>
        <w:rPr>
          <w:rStyle w:val="None"/>
          <w:rFonts w:ascii="Times New Roman" w:hAnsi="Times New Roman"/>
          <w:b/>
          <w:bCs/>
          <w:sz w:val="24"/>
          <w:szCs w:val="24"/>
          <w:rtl/>
          <w:lang w:val="ar-SA"/>
        </w:rPr>
        <w:t>:</w:t>
      </w:r>
    </w:p>
    <w:p w14:paraId="2FAADD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تقوم المسئولية العقدية على الإخلال بالتزام عقدي يختلف باختلاف العقد، فهي تترتب على عدم تنفيذ الالتزام الناشئ عن العقد على النحو المتفق عليه، فالمسئولية العقدية تنشأ جرَّاء الإخلال بالتزام تعاقدي، فالعقد هو الذي يحكم تلك المسئولية بحيث تتحدد أحكامها بما يتفق مع إرادة الطرفين؛ ومِنْ ثَمَّ فهي تتسم بالطابع التعاقدي، وهي تتمثل في مجرد التنفيذ بمقابل للالتزام العقدي الذي تم الإخلال به؛ حيث يحل محله التزام جديد بالتعويض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0929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فتقوم بمناسبة الإخلال بالتزام قانوني، وهي تطبق خارج نطاق المسئولية العقدية، بمعنى أنَّه إذا لم تتوافر شروط تطبيق تلك المسئولية، فإنَّ المسئولية التقصيرية هي التي تطبق؛ لذلك يتعين أنْ نحدد بدقة نطاق المسئولية العقدية، وما يخرج عن هذا النطاق فإنَّه يدخل في حوزة المسئولية التقصيرية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8504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قد ينشأ الاعتداء على حق المؤلف أو صاحب الملكية الفكرية؛ نتيجة إخلال متعاقد بالتزاماته الواردة في عقد الترخيص أو الاستغلال، وهو ما يوجب تطبيق قواعد المسئولية العقدية وإلزامه بالتعويض، أما إذا وقع الاعتداء من طرف أجنبي لا تربطه علاقة تعاقدية بصاحب الحق، فإنَّ المسئولية التقصيرية هي الأساس القانوني للمطالبة بجبر الضرر، ومِنْ ثَمَّ فإنَّ كلا المسئوليتين تهدف إلى ضمان حماية الملكية الفكرية وتعويض أصحابها عن أي ضرر يلحق بهم</w:t>
      </w:r>
      <w:r>
        <w:rPr>
          <w:rStyle w:val="None"/>
          <w:rFonts w:ascii="Times New Roman" w:hAnsi="Times New Roman"/>
          <w:sz w:val="24"/>
          <w:szCs w:val="24"/>
          <w:rtl/>
          <w:lang w:val="ar-SA"/>
        </w:rPr>
        <w:t>.</w:t>
      </w:r>
    </w:p>
    <w:p w14:paraId="2D0D0D76"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الخطأ العقدي</w:t>
      </w:r>
      <w:r>
        <w:rPr>
          <w:rStyle w:val="None"/>
          <w:rFonts w:ascii="Times New Roman" w:hAnsi="Times New Roman"/>
          <w:b/>
          <w:bCs/>
          <w:sz w:val="24"/>
          <w:szCs w:val="24"/>
          <w:rtl/>
          <w:lang w:val="ar-SA"/>
        </w:rPr>
        <w:t>:</w:t>
      </w:r>
    </w:p>
    <w:p w14:paraId="68CA39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الخطأ العقدي هو عدم تنفيذ المدين الالتزام الناشئ عن العقد، ولا يجدي لتخلص المدين من هذه المسئولية العقدية سوى نفي السببية بين الخطأ والضرر الذي أصاب الدائن منه، ويستوي أنْ يكون عدم التنفيذ كليًا أم جزئيًا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ويختلف قياس الخطأ العقدي تبعًا لطبيعة الالتزام، ويكون إما التزام ببذل عناية، أو تحقيق نتيجة، ففي الالتزام ببذل عناية لا تبرأ ذمة المدين إلا ببذل نشاط الرجل المعتاد لتحقيق النتيجة المنشودة، أما الالتزام بتحقيق نتيجة فمحله تحقيق المدين النتيجة المرجوة من العقد، فلا يكتفي ببذل ما يستطيع من عناية، بل يجب تحقيق الغاية وإلا عُدَّ مخلًا بتنفيذ التزامه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FFDD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ويتحقق الخطأ بهذا المعنى أيًا كان السبب في عدم تنفيذ الالتزام، سواء رجع ذلك إلى غش المدين وسوء نيته أو إلى إهماله، أو إلى فعله المجرد من الإهمال، أو حتى إلى سبب أجنبي كقوة قاهرة، غاية الأمر أنَّه في هذه الحالة الأخيرة فإنَّ مسئولية المدين لا تقوم، لا لعدم توافر ركن الخطأ، ولكن لعدم توافر علاقة السببية بين الخطأ والضرر، وعلى هذا فإنَّ عدم قيام المدين بتنفيذ التزامه هو بذاته الخطأ العقدي، وليس فقط مجرد دليل عليه أو سبب لافتراض وجوده، على أنَّ القول بعدم تنفيذ المدين لالتزامه يتوقف على تحديد نوع هذا الالتزام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49D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الخطأ العقدي هو أساس المسئولية العقدية؛ حيث يعتبر عدم تنفيذ المدين لالتزاماته خطأً يستوجب التعويض متى وجدت علاقة سببية بينه وبين الضرر، فتظهر أهمية ذلك بشكل واضح في مجال الملكية الفكرية؛ </w:t>
      </w:r>
      <w:r>
        <w:rPr>
          <w:rStyle w:val="None"/>
          <w:rFonts w:ascii="Arial Unicode MS" w:hAnsi="Arial Unicode MS" w:cs="Times New Roman" w:hint="cs"/>
          <w:sz w:val="24"/>
          <w:szCs w:val="24"/>
          <w:rtl/>
          <w:lang w:val="ar-SA"/>
        </w:rPr>
        <w:lastRenderedPageBreak/>
        <w:t xml:space="preserve">حيث قد يلتزم المتعاقد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النشر، أو المرخص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بتنفيذ التزامات محددة، سواء من خلال بذل العناية اللازمة؛ لحفظ الحقوق أو بتحقيق نتائج معينة مثل النشر وفق الشروط المتفق عليها</w:t>
      </w:r>
      <w:r>
        <w:rPr>
          <w:rStyle w:val="None"/>
          <w:rFonts w:ascii="Times New Roman" w:hAnsi="Times New Roman"/>
          <w:sz w:val="24"/>
          <w:szCs w:val="24"/>
          <w:rtl/>
          <w:lang w:val="ar-SA"/>
        </w:rPr>
        <w:t>.</w:t>
      </w:r>
    </w:p>
    <w:p w14:paraId="11A93506"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الضرر</w:t>
      </w:r>
      <w:r>
        <w:rPr>
          <w:rStyle w:val="None"/>
          <w:rFonts w:ascii="Times New Roman" w:hAnsi="Times New Roman"/>
          <w:b/>
          <w:bCs/>
          <w:sz w:val="24"/>
          <w:szCs w:val="24"/>
          <w:rtl/>
          <w:lang w:val="ar-SA"/>
        </w:rPr>
        <w:t xml:space="preserve">:  </w:t>
      </w:r>
    </w:p>
    <w:p w14:paraId="2363DE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يمكن القول بأنَّ الضرر هو الإخلال بمصلحة مالية للمضرور والمضرور في هذا المجال هو الدائن الذي عاد عليه ضرر جرَّاء عدم تنفيذ المدين لالتزامه أو تأخيره عن تنفيذ هذا الالتزام، ويعتبر الضرر العنصر الثاني من عناصر المسئولية العقدية، ولا يشترط أنْ يكون الضرر قد وقع بالفعل، وإنما يمكن أنْ يكون محقق الوقوع في المستقبل، ومِنْ ثَمَّ يخرج الضرر الاحتمالي عن مجال هذه المسئولية العقدية إلا إذا تحقق بالفعل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57EA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ويكون الضرر معنويًا عند المساس بسمعة، أو شخصية، أو اعتبار وكرامة المدين، ويتحقق عندم عدم تنفيذ المتعاقد التزامه أو التقصير في تنفيذه ما يلحق ضررًا أصاب به إحدى حقوق المؤلف، ويشترط في الضرر أنْ يكون محققًا ومباشرًا، ويكون الضرر محققًا عندما يتخذ شكلًا ملموسًا على حق من حقوق المؤلف بشكل يمكن المحكمة من التثبت من وجوده، ويكون الضرر مباشرًا إذا تحقق نتيجةَ العمل الذي قام به المعتدي، وعن إثبات الضرر فيكون على الدائن لأنَّه هو الذي يدعيه، أما الضرر في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ما يلحق بالشخص من أذى، بمعنى أنَّ الضرر نوعان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مادي ومعنوي، ويكون الضرر ماديًا في ضوء حق المؤلف عند الإخلال في مصالح ذات قيمة مالية لصاحب حق التأليف، ويكون معنويًا عند المساس بعاطفة المؤلف أو كرامته بغيره من الأمور المعنوية من قِبل شخص لا تربطه معه أدنى رابطة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CC1F1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يمكن الحكم بالتعويض دون إثبات وجود عنصر الضرر؛ حيث قد يتعرض المؤلف أو صاحب الحق لضرر 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فقدان العوائد المالية، أو تقليص فرص الاستغلال المشروع لمصنفه، أو لضرر معنوي يؤثر على سمعته واعتباره الأدبي؛ نتيجة الاعتداء على إنتاجه الفكري</w:t>
      </w:r>
      <w:r>
        <w:rPr>
          <w:rStyle w:val="None"/>
          <w:rFonts w:ascii="Times New Roman" w:hAnsi="Times New Roman"/>
          <w:sz w:val="24"/>
          <w:szCs w:val="24"/>
          <w:rtl/>
          <w:lang w:val="ar-SA"/>
        </w:rPr>
        <w:t>.</w:t>
      </w:r>
    </w:p>
    <w:p w14:paraId="47536B05"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علاقة السببية</w:t>
      </w:r>
      <w:r>
        <w:rPr>
          <w:rStyle w:val="None"/>
          <w:rFonts w:ascii="Times New Roman" w:hAnsi="Times New Roman"/>
          <w:b/>
          <w:bCs/>
          <w:sz w:val="24"/>
          <w:szCs w:val="24"/>
          <w:rtl/>
          <w:lang w:val="ar-SA"/>
        </w:rPr>
        <w:t>:</w:t>
      </w:r>
    </w:p>
    <w:p w14:paraId="663D7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بعلاقة السببية أنْ يكون بين الخطأ والضرر ارتباط السبب بالمسبب، أي يكون الضرر ناتجًا منه مباشرةً، وتابعًا عن الخطأ، وتعتبر السببية العنصر الثالث لأركان المسئولية العقدية، فقد يتحقق الخطأ والضرر، ولكن لا قيام للمسئولية العقدية؛ لأنَّه لا ارتباط بين الخطأ بعلاقة السببية، ويقع على عاتق الدائن كقاعدة عامة أنْ يثبت علاقة السببية بين عدم التنفيذ للالتزام والضرر الذي عاد عليه، أما علاقة السببية بين عدم التنفيذ وسلوك المدين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مفتوحة لا يكلف الدائن بإثباتها، بل يجب على المدين للتخلص منها أنْ يقيم الدليل على أنَّ عدم التنفيذ يرجع إلى سبب أجنبي عنه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89D3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المسئولية التقصيرية فلا يكفي لوجود علاقة سببية توافر فعل الإضرار والضرر، بل يجب أنْ يكون الفعل هو ما أفضى إلى ضرر وبدونه لما أحدث الضرر أصلًا، بمعنى آخر لا تقوم المسئولية إذا ما نتج عن فعل الاعتداء ضرر لحق بالغير، فإنَّ عدم توافر العلاقة يجعل من المسئولية غير قائمة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916A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أنَّه لا يكفي إثبات الخطأ أو تحقق الضرر دون إثبات أنَّ هذا الضرر ناتج مباشرة عن ذلك الخطأ، فيتعين على المؤلف أو صاحب الحق إثبات أنَّ الضرر الذي لحقه، سواء كان ماديًا نتيجةَ خسارةٍ ماليةٍ، أو معنويًا؛ بسبب المساس بمكانته الأدبية، قد نتج مباشرة عن فعل الاعتداء على مصنفه؛ لذا فإنَّ اشتراط علاقة السببية في قضايا الملكية الفكرية لا بُدَّ من تحقيق الخطأ والضرر؛ حتى لا يتحمل أي طرف مسئولية تعويض عن ضرر لم يكن نتيجة لسلوكه</w:t>
      </w:r>
      <w:r>
        <w:rPr>
          <w:rStyle w:val="None"/>
          <w:rFonts w:ascii="Times New Roman" w:hAnsi="Times New Roman"/>
          <w:sz w:val="24"/>
          <w:szCs w:val="24"/>
          <w:rtl/>
          <w:lang w:val="ar-SA"/>
        </w:rPr>
        <w:t>.</w:t>
      </w:r>
    </w:p>
    <w:p w14:paraId="76AABB5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دعوى التعويض للمسئولية المدنية في الملكية الفكرية</w:t>
      </w:r>
      <w:r>
        <w:rPr>
          <w:rStyle w:val="None"/>
          <w:rFonts w:ascii="Times New Roman" w:hAnsi="Times New Roman"/>
          <w:b/>
          <w:bCs/>
          <w:sz w:val="28"/>
          <w:szCs w:val="28"/>
          <w:rtl/>
          <w:lang w:val="ar-SA"/>
        </w:rPr>
        <w:t>:</w:t>
      </w:r>
    </w:p>
    <w:p w14:paraId="0EE1E9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يستند الحق في التعويض للمؤلف عن الاعتداء على مصنفه الإلكتروني إلى مبادئ حقوق الملكية الفكرية التي تهدف إلى حماية الإبداعات العقلية من الاستغلال غير المشروع، عندما يتم انتهاك هذه الحقوق، سواء كان ذلك عن طريق النسخ غير المرخص، أو التوزيع غير القانوني، أو أي شكل آخر من أشكال الاستغلال، فيكون المؤلف مؤهلًا لطلب تعويض عن الخسائر المادية والمعنوية التي لحقت به، وهذا التعويض يأخذ في الاعتبار ليس فقط الخسائر المباشرة، ولكن أيضًا التأثيرات الطويلة الأمد على قيمة المصنف والعائدات المستقبلية منه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D9C8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دعوى التعويض هي دعوى شخصية يرفعها المتضرر إلى القضاء مطالبًا تضمين ما أصابه من ضرر سواء كان ماديًا أو معنويًا؛ نتيجة تصرف الإدارة غير المشروع، وتعرف دعوى التعويض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الدعوى التي يطالب فيها صاحب الشأن بحق شخصي تجاه الإدارة، ويرتب القضاء فيها جميع النتائج القانونية على القرار غير المشروع، فيكون له حق الحكم بالتعويض عن الأضرار اللاحقة بما في ذلك تقويم أو تعديل القرار الإداري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CEFB3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ويعمل التعويض على ترضية المضرور، ومحاولة إعادته إلى الوضع الذي كان عليه قبل وقوع الفعل الضار؛ حتى يمكن إعادة التوازن في العلاقات الاجتماعية، الذي اختل بسبب الفعل غير المشروع، ولا بُدَّ لكي يتحقق التعويض أنْ يكون عادلًا وشاملًا لكل عناصر الضرر، ووجود زمة مالية قادرة على الوفاء به؛ لكي يؤدي التعويض وظيفته وهو جبر الضرر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631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ويهدف التعويض إلى تحقيق الردع من خلال منع المخالفين المحتملين من ارتكاب انتهاكات مشابهة في المستقبل، من خلال فرض عقوبات مالية صارمة، وتحقيق العدالة عن طريق تعويض المؤلف عن الأضرار النفسية والمعنوية، التي قد لا تعوض بالكامل من خلال التعويضات العادية، ومعاقبة المخالف على سلوكه غير القانوني، وتأكيد أنَّ انتهاك حقوق الملكية الفكرية يحمل عواقب وخيمة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317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الحق في التعويض عن الاعتداء على المصنفات الإلكترونية يعتبر وسيلة أساسية لحماية حقوق الملكية الفكرية، فهو لا يقتصر على جبر الضرر المادي والمعنوي الذي تعرض له المؤلف، بل يمتد لتحقيق العدالة والردع العام، فالتعويض يضمن لصاحب الحق استعادة مكانته الاقتصادية والاجتماعية</w:t>
      </w:r>
      <w:r>
        <w:rPr>
          <w:rStyle w:val="None"/>
          <w:rFonts w:ascii="Times New Roman" w:hAnsi="Times New Roman"/>
          <w:sz w:val="24"/>
          <w:szCs w:val="24"/>
          <w:rtl/>
          <w:lang w:val="ar-SA"/>
        </w:rPr>
        <w:t xml:space="preserve">. </w:t>
      </w:r>
    </w:p>
    <w:p w14:paraId="4A826889" w14:textId="77777777" w:rsidR="00454428" w:rsidRDefault="00000000" w:rsidP="00C72BA8">
      <w:pPr>
        <w:pStyle w:val="Body"/>
        <w:spacing w:before="120" w:after="120" w:line="360" w:lineRule="auto"/>
        <w:rPr>
          <w:rStyle w:val="None"/>
          <w:rFonts w:ascii="Times New Roman" w:eastAsia="Times New Roman" w:hAnsi="Times New Roman" w:cs="Times New Roman"/>
          <w:sz w:val="28"/>
          <w:szCs w:val="28"/>
        </w:rPr>
      </w:pPr>
      <w:r>
        <w:rPr>
          <w:rStyle w:val="None"/>
          <w:rFonts w:ascii="Arial Unicode MS" w:hAnsi="Arial Unicode MS" w:cs="Times New Roman" w:hint="cs"/>
          <w:b/>
          <w:bCs/>
          <w:sz w:val="28"/>
          <w:szCs w:val="28"/>
          <w:rtl/>
          <w:lang w:val="ar-SA"/>
        </w:rPr>
        <w:lastRenderedPageBreak/>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التي تُقر الحق في التعويض</w:t>
      </w:r>
      <w:r>
        <w:rPr>
          <w:rStyle w:val="None"/>
          <w:rFonts w:ascii="Times New Roman" w:hAnsi="Times New Roman"/>
          <w:b/>
          <w:bCs/>
          <w:sz w:val="28"/>
          <w:szCs w:val="28"/>
          <w:rtl/>
          <w:lang w:val="ar-SA"/>
        </w:rPr>
        <w:t>:</w:t>
      </w:r>
    </w:p>
    <w:p w14:paraId="07F128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الحق في التعويض من الأركان الأساسية لحماية الملكية الفكرية؛ حيث يُعَدُّ وسيلةً قانونيةً لتعويض الأضرار والخسائر التي يتكبدها صاحب الحق نتيجةَ الاعتداء على مصنفه، وقد أولت الاتفاقيات الدولية والأنظمة الوطنية اهتمامًا خاصًا بهذا الحق</w:t>
      </w:r>
      <w:r>
        <w:rPr>
          <w:rStyle w:val="None"/>
          <w:rFonts w:ascii="Times New Roman" w:hAnsi="Times New Roman"/>
          <w:sz w:val="24"/>
          <w:szCs w:val="24"/>
          <w:rtl/>
          <w:lang w:val="ar-SA"/>
        </w:rPr>
        <w:t>.</w:t>
      </w:r>
    </w:p>
    <w:p w14:paraId="49B958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العمل الإبداعي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هو في جانب منه عمل مادي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يمثل المصلحة المادية للمؤلف في نشره وتقديمه وإيصاله للجمهور، وهذا ما يسمى الحق الاقتصادي الذي يحمى بالوسائل القانونية، وفي نفس الوقت هو جزء الملكية الفكرية للمؤلف وشخصيته الإنسانية؛ ممَّا يخرج عن نطاق المصلحة المادية، وكل شيء له قيمة أعلى من الملكية المادية، ويوجد خارج الشخصية يمثل الحق المعنوي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68A41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حرص المنظم السعودي على ضرورة تعويض المتضرر جرَّاء الاعتداء على حقوقه الفكرية والأدبية؛ فقد خوَّل للمتضرر الحق في المطالبة بالتعويض كوسيلة رادعة، وقد أوضح المنظم السعودي في المادة </w:t>
      </w:r>
      <w:r>
        <w:rPr>
          <w:rStyle w:val="None"/>
          <w:rFonts w:ascii="Times New Roman" w:hAnsi="Times New Roman"/>
          <w:sz w:val="24"/>
          <w:szCs w:val="24"/>
          <w:rtl/>
          <w:lang w:val="ar-SA"/>
        </w:rPr>
        <w:t xml:space="preserve">(119) </w:t>
      </w:r>
      <w:r>
        <w:rPr>
          <w:rStyle w:val="None"/>
          <w:rFonts w:ascii="Arial Unicode MS" w:hAnsi="Arial Unicode MS" w:cs="Times New Roman" w:hint="cs"/>
          <w:sz w:val="24"/>
          <w:szCs w:val="24"/>
          <w:rtl/>
          <w:lang w:val="ar-SA"/>
        </w:rPr>
        <w:t>من نظام المعاملات المدنية،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لا تخل المسئولية المدنية بالمسئولية الجزائية، ولا تأثير للعقوبة في تحديد نطاق المسئولية المدنية وتقدير التعويض</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FDC99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تتجلى حماية العمل الإبداعي في النظام السعودي في شمولها للجانبين المادي والمعنوي؛ حيث يمثل المصنف حقًا اقتصاديًا وأدبيًا يعكس شخصية المؤلف، وقد جاء المنظم السعودي بإتاحة الفرصة للمتضرر بالمطالبة بجبر الضرر سواء كان اقتصاديًا أو أدبيًا، دون أنْ يؤثر ذلك على المسئولية الجزائية للمعتدي</w:t>
      </w:r>
      <w:r>
        <w:rPr>
          <w:rStyle w:val="None"/>
          <w:rFonts w:ascii="Times New Roman" w:hAnsi="Times New Roman"/>
          <w:sz w:val="24"/>
          <w:szCs w:val="24"/>
          <w:rtl/>
          <w:lang w:val="ar-SA"/>
        </w:rPr>
        <w:t>.</w:t>
      </w:r>
    </w:p>
    <w:p w14:paraId="032CA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التعويض عن الاعتداء على حقوق الملكية الفكرية عن طريق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8"/>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وتوضح المادة السابقة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أجاز للجنة المختصة للنظر في المخالفات الناشئة عن تطبيق أحكام هذا النظام</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بتقرير تعويضٍ ماليٍّ للمؤلف لما ترتب عليه من ضرر؛ نتيجةَ الاعتداء على حقوقه الفكرية؛ وذلك لما يحققه التعويض من جبرٍ للخاطر المضرور، بالإضافة إلى وسيلة رادعة لكل من تسوِّل له نفسه للاعتداء على حقوق الغير بأي صورة من صور الاعتداء</w:t>
      </w:r>
      <w:r>
        <w:rPr>
          <w:rStyle w:val="None"/>
          <w:rFonts w:ascii="Times New Roman" w:hAnsi="Times New Roman"/>
          <w:sz w:val="24"/>
          <w:szCs w:val="24"/>
          <w:rtl/>
          <w:lang w:val="ar-SA"/>
        </w:rPr>
        <w:t>.</w:t>
      </w:r>
    </w:p>
    <w:p w14:paraId="62376D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النطاق الدولي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جاءت الاتفاقيات العالمية والدولية تقر بضرورة تعويض المؤلف أو صاحب الحق بمبلغ مادي عما أصابه من أضرار نتيجة الاعتداءات على حقوقه الفكرية، فقد جاءت اتفاقية تريبس بتوضيح التعويضات من خلال المادة </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p>
    <w:p w14:paraId="036B56F1" w14:textId="77777777" w:rsidR="00454428" w:rsidRDefault="00000000">
      <w:pPr>
        <w:pStyle w:val="a7"/>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t>للسلطات القضائية صلاحية أنْ تأمر المعتدي بأنْ يدفع لصاحب الحق تعويضات مناسبة عن الضرر الذي لحق به؛ بسبب التعدي على حقه في الملكية الفكرية من جانب متعد يعلم، أو كانت هناك أسباب معقولة تجعله يعلم أنَّه قام بذلك التعدي</w:t>
      </w:r>
      <w:r>
        <w:rPr>
          <w:rStyle w:val="None"/>
          <w:rFonts w:ascii="Times New Roman" w:hAnsi="Times New Roman"/>
          <w:sz w:val="24"/>
          <w:szCs w:val="24"/>
          <w:rtl/>
          <w:lang w:val="ar-SA"/>
        </w:rPr>
        <w:t>.</w:t>
      </w:r>
    </w:p>
    <w:p w14:paraId="47F310F9" w14:textId="77777777" w:rsidR="00454428" w:rsidRDefault="00000000">
      <w:pPr>
        <w:pStyle w:val="a7"/>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وللسلطات القضائية أيضًا صلاحية أنْ تأمر المعتدي بأنْ يدفع لصاحب الحق المصروفات التي تكبدها، والتي يجوز أنْ تشمل أتعاب المحامي المناسبة، وفي الحالات الملائمة، يجوز للبلدان الأعضاء تخويل السلطات القضائية صلاحية أنْ تأمر باسترداد الأرباح، أو دفع تعويضات مقررة سلفًا حتى حين لا يكون المتعدي يعلم أو كانت لديه أسباب معقولة تجعله يعلم أنَّه قام بذلك التعدي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F0D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كلًا من الاتفاقيات الدولية والأنظمة الوطنية قد أعطت الحق في التعويض مكانة مهمة؛ لضمان الحماية الفعَّالة للملكية الفكرية، فقد أرست اتفاقية تريبس إطارًا عامًا يمنح السلطات القضائية صلاحيةَ تقدير التعويض المناسب ومنع الضرر، بالإضافة إلى إلزام المعتدي بتحمل المصروفات واسترداد الأرباح في بعض الحالات، ويتبنى النظام السعودي هذا المبدأ من خلال نصوص واضحة تتيح لصاحب الحق المعتدى عليه الحصول على تعويض عادل يتناسب مع حجم الاعتداء والضرر، وهذا يعكس توافقًا على المستويين الدولي والوطني، في اعتبار التعويض أداة مهمة لحماية المصالح المادية والمعنوية للمؤلف</w:t>
      </w:r>
      <w:r>
        <w:rPr>
          <w:rStyle w:val="None"/>
          <w:rFonts w:ascii="Times New Roman" w:hAnsi="Times New Roman"/>
          <w:sz w:val="24"/>
          <w:szCs w:val="24"/>
          <w:rtl/>
          <w:lang w:val="ar-SA"/>
        </w:rPr>
        <w:t xml:space="preserve">. </w:t>
      </w:r>
    </w:p>
    <w:p w14:paraId="5223458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شروط المطالبة بالتعويض</w:t>
      </w:r>
      <w:r>
        <w:rPr>
          <w:rStyle w:val="None"/>
          <w:rFonts w:ascii="Times New Roman" w:hAnsi="Times New Roman"/>
          <w:b/>
          <w:bCs/>
          <w:sz w:val="28"/>
          <w:szCs w:val="28"/>
          <w:rtl/>
          <w:lang w:val="ar-SA"/>
        </w:rPr>
        <w:t>:</w:t>
      </w:r>
    </w:p>
    <w:p w14:paraId="2E2F24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الابتكار المعيار المميز لحقوق المؤلف والشرط الرئيسي لاستحقاق الحماية القانونية، ولا يلزم الابتكار أنْ يكون العمل جديدًا في جملته وتفصيله، إنما المراد منه أنْ يظهر المصنف الفكري بطابع يبرز شخصية مؤلفه ومعبرًا عنها ومتسمًا بالجدة والتميز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854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حماية حقوق المؤلف يشترط لانعقاد مثل هذه التصرفات أنْ تكون مكتوبةً، وأنْ يحدد فيها صراحةً، وبالتفصيل كل حق على حدة يُعَدُّ محلًا للتصرف، مع ضرورة بيان نطاق هذا الحق، والغرض منه والنطاق الزمني لاستغلاله، وطريقة استغلاله، فإنَّ طرق النشر الإلكتروني الرقمي المتطوِّر، قد تكون سببًا في الحد من مكنات الحق المالي للمؤلف، أو قد تظهر عدم تعادل بين القيم المتبادلة؛ بحيث يحصل عليه المؤلف من حق مالي لا يتناسب مطلقًا مع الأرباح التي يجنيها الناشر الإلكتروني بمناسبة استغلاله للحق المالي للمتنازل عنه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8ECE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أجل الحصول على براءة الاختراع، فإنَّ الابتكار يجب أنْ تتوفر فيه شروط أساسية في مقدمتها أنْ تكون الفكرة جديدة والتطبيق جديد، والأصالة، وقابلية التحول إلى جهاز نافع أو طريقة محددة للقيام بالأعمال، وأنْ لا يكون الابتكار مجرد تحسين تدريجي بدرجة كبيرة، وهذا ما يستطيع أنْ يميزه المهني الماهر عند تقييم الابتكار في مرحلة طلب البراءة، ويكون ذلك من مسئولية الجهة الرسمية المانحة للبراءة أنْ تقارنه مع الابتكارات، أو المعارف، أو الطرق الحالية، كما يكون مسئولية المبتكر أنْ يوضح ابتكاره بالمقارنة مع الفن السابق أو المعرفة السابقة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83B3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الابتكار يشكل حجر الأساس لاستحقاق الحماية القانونية في مجالات حقوق المؤلف وبراءات الاختراع، فهو المعيار الذي يميز العمل الإبداعي، ويعكس شخصية صاحبه؛ ممَّا يبرر منحه الحقوق المادية </w:t>
      </w:r>
      <w:r>
        <w:rPr>
          <w:rStyle w:val="None"/>
          <w:rFonts w:ascii="Arial Unicode MS" w:hAnsi="Arial Unicode MS" w:cs="Times New Roman" w:hint="cs"/>
          <w:sz w:val="24"/>
          <w:szCs w:val="24"/>
          <w:rtl/>
          <w:lang w:val="ar-SA"/>
        </w:rPr>
        <w:lastRenderedPageBreak/>
        <w:t>والمعنوية، ومع ذلك فقد تؤثر طرق النشر الإلكتروني الحديثة على القيمة الاقتصادية لهذه الحقوق، خاصةً إذا لم يتم تنظيم التعامل معها بعقود واضحة ومكتوبة تحدد نطاق الاستغلال وشروطه</w:t>
      </w:r>
      <w:r>
        <w:rPr>
          <w:rStyle w:val="None"/>
          <w:rFonts w:ascii="Times New Roman" w:hAnsi="Times New Roman"/>
          <w:sz w:val="24"/>
          <w:szCs w:val="24"/>
          <w:rtl/>
          <w:lang w:val="ar-SA"/>
        </w:rPr>
        <w:t xml:space="preserve">. </w:t>
      </w:r>
    </w:p>
    <w:p w14:paraId="049B21F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التعويض عند سحب المصنف من خلال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 xml:space="preserve">من نظام حماية حقوق المؤلف، والتي نصت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يلتزم المؤلف بالامتناع عن أي عمل من شأنه تعطيل استغلال الحق المأذون به للغير، ومع ذلك يجوز للمؤلف سحب مصنفه من التداول، أو تعديله، أو الحذف منه، أو الإضافة إليه، بعد الاتفاق مع المأذون له بمباشرة الحق، وفي حالة عدم الاتفاق يُلزم المؤلف بتعويض المأذون له بمباشرة الحق، وفق ما تحدده اللجنة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7376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وكما أوضح المنظم السعودي في المادة </w:t>
      </w:r>
      <w:r>
        <w:rPr>
          <w:rStyle w:val="None"/>
          <w:rFonts w:ascii="Times New Roman" w:hAnsi="Times New Roman"/>
          <w:sz w:val="24"/>
          <w:szCs w:val="24"/>
          <w:rtl/>
          <w:lang w:val="ar-SA"/>
        </w:rPr>
        <w:t xml:space="preserve">(29)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لصاحب حق المؤلف أو من يمثله حق المطالبة بالتعويض عن الأضرار، التي لحقت به جراء الاعتداء على أي من حقوقه التي يحميها النظام أمام المحكمة المختصة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9897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أقر مبدأ التعويض كوسيلة لتحقيق التوازن بين حقوق المؤلف وحقوق من يرخص لهم استغلال المصنفات الرقمية؛ حيث يتمتع المؤلف بحرية في التصرف مصنفة، كما منح المنظم المطالبة بالتعويض القضائي في حالة انتهاكات على الحقوق الفكرية، فإنَّ أهمية مبدأ التعويض في البيئة الرقمية من استغلال المصنفات الرقمية ونشرها إلكترونيًا دون إذن من صاحب المؤلف</w:t>
      </w:r>
      <w:r>
        <w:rPr>
          <w:rStyle w:val="None"/>
          <w:rFonts w:ascii="Times New Roman" w:hAnsi="Times New Roman"/>
          <w:sz w:val="24"/>
          <w:szCs w:val="24"/>
          <w:rtl/>
          <w:lang w:val="ar-SA"/>
        </w:rPr>
        <w:t>.</w:t>
      </w:r>
    </w:p>
    <w:p w14:paraId="7EF723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اتفاقية برن بتوضيح الحقوق المعنوية للمؤلف، والتي نصت على</w:t>
      </w:r>
      <w:r>
        <w:rPr>
          <w:rStyle w:val="None"/>
          <w:rFonts w:ascii="Times New Roman" w:hAnsi="Times New Roman"/>
          <w:sz w:val="24"/>
          <w:szCs w:val="24"/>
          <w:rtl/>
          <w:lang w:val="ar-SA"/>
        </w:rPr>
        <w:t>:</w:t>
      </w:r>
    </w:p>
    <w:p w14:paraId="6A27D69C" w14:textId="77777777"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بغض النظر عن الحقوق المالية للمؤلف، بل وحتى بعد انتقال هذه الحقوق، فإنَّ المؤلف يحتفظ بالحق في المطالبة بنسبة المصنف إليه، وبالاعتراض على كل تحريف، أو تشويه، أو أي تعديل آخر لهذا المصنف، أو كل مساس آخر بذات المصنف يكون ضارًا بشرفه أو بسمعته</w:t>
      </w:r>
      <w:r>
        <w:rPr>
          <w:rStyle w:val="None"/>
          <w:rFonts w:ascii="Times New Roman" w:hAnsi="Times New Roman"/>
          <w:sz w:val="24"/>
          <w:szCs w:val="24"/>
          <w:rtl/>
          <w:lang w:val="ar-SA"/>
        </w:rPr>
        <w:t>.</w:t>
      </w:r>
    </w:p>
    <w:p w14:paraId="15610C25" w14:textId="77777777"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الحقوق الممنوحة للمؤلف بمقتضى الفقرة </w:t>
      </w:r>
      <w:r>
        <w:rPr>
          <w:rStyle w:val="None"/>
          <w:rFonts w:ascii="Times New Roman" w:hAnsi="Times New Roman"/>
          <w:sz w:val="24"/>
          <w:szCs w:val="24"/>
          <w:rtl/>
          <w:lang w:val="ar-SA"/>
        </w:rPr>
        <w:t xml:space="preserve">(1) </w:t>
      </w:r>
      <w:r>
        <w:rPr>
          <w:rStyle w:val="None"/>
          <w:rFonts w:cs="Times New Roman"/>
          <w:sz w:val="24"/>
          <w:szCs w:val="24"/>
          <w:rtl/>
          <w:lang w:val="ar-SA"/>
        </w:rPr>
        <w:t>السابقة تظل محفوظةً بعد وفاته، وذلك على الأقل إلى حين انقضاء الحقوق المالية، ويمارس هذه الحقوق الأشخاص، أو الهيئات المصرح لها من قِبل تشريع الدولة المطلوب توفير الحماية فيها،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الدول التي لا يتضمن تشريعها المعمول به </w:t>
      </w:r>
      <w:r>
        <w:rPr>
          <w:rStyle w:val="None"/>
          <w:rFonts w:ascii="Times New Roman" w:hAnsi="Times New Roman"/>
          <w:sz w:val="24"/>
          <w:szCs w:val="24"/>
          <w:rtl/>
          <w:lang w:val="ar-SA"/>
        </w:rPr>
        <w:t>-</w:t>
      </w:r>
      <w:r>
        <w:rPr>
          <w:rStyle w:val="None"/>
          <w:rFonts w:cs="Times New Roman"/>
          <w:sz w:val="24"/>
          <w:szCs w:val="24"/>
          <w:rtl/>
          <w:lang w:val="ar-SA"/>
        </w:rPr>
        <w:t>عند التصديق على هذه الاتفاقية، أو الانضمام إليها</w:t>
      </w:r>
      <w:r>
        <w:rPr>
          <w:rStyle w:val="None"/>
          <w:rFonts w:ascii="Times New Roman" w:hAnsi="Times New Roman"/>
          <w:sz w:val="24"/>
          <w:szCs w:val="24"/>
          <w:rtl/>
          <w:lang w:val="ar-SA"/>
        </w:rPr>
        <w:t xml:space="preserve">- </w:t>
      </w:r>
      <w:r>
        <w:rPr>
          <w:rStyle w:val="None"/>
          <w:rFonts w:cs="Times New Roman"/>
          <w:sz w:val="24"/>
          <w:szCs w:val="24"/>
          <w:rtl/>
          <w:lang w:val="ar-SA"/>
        </w:rPr>
        <w:t>نصوصًا تكفل الحماية بعد وفاة المؤلف لكل الحقوق المنصوص عليها في الفقرة السابقة، يكون لها الحق في النص على أنَّ بعض هذه الحقوق لا يحتفظ بها بعد وفاة المؤلف</w:t>
      </w:r>
      <w:r>
        <w:rPr>
          <w:rStyle w:val="None"/>
          <w:rFonts w:ascii="Times New Roman" w:hAnsi="Times New Roman"/>
          <w:sz w:val="24"/>
          <w:szCs w:val="24"/>
          <w:rtl/>
          <w:lang w:val="ar-SA"/>
        </w:rPr>
        <w:t>.</w:t>
      </w:r>
    </w:p>
    <w:p w14:paraId="471BA961" w14:textId="77777777"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وسائل الطعن للمحافظة على الحقوق المقررة في هذه المادة يحددها تشريع الدولة المطلوب توفير الحماية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3DC2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قد أعطت الحقوق المعنوية للمؤلف مكانةً متميزةً ومستقلةً عن الحقوق المالية؛ حيث أكدت على حقه في نسبة المصنف إليه وحماية المصنف من أي تشويه أو تحريف قد يضر بسمعته، حتى بعد انتقال الحقوق المالية للغير، كما امتدت تلك الحماية لما بعد وفاة المؤلف، مع ترك المساحة للدول الأعضاء لتنظيم مدى استمرارها وفقًا للنظم القانونية الوطنية</w:t>
      </w:r>
      <w:r>
        <w:rPr>
          <w:rStyle w:val="None"/>
          <w:rFonts w:ascii="Times New Roman" w:hAnsi="Times New Roman"/>
          <w:sz w:val="24"/>
          <w:szCs w:val="24"/>
          <w:rtl/>
          <w:lang w:val="ar-SA"/>
        </w:rPr>
        <w:t xml:space="preserve">. </w:t>
      </w:r>
    </w:p>
    <w:p w14:paraId="5B4B83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 xml:space="preserve">المسؤولية القانونية لمزودي الخدمة </w:t>
      </w:r>
      <w:r>
        <w:rPr>
          <w:rStyle w:val="None"/>
          <w:rFonts w:ascii="Times New Roman" w:hAnsi="Times New Roman"/>
          <w:b/>
          <w:bCs/>
          <w:sz w:val="28"/>
          <w:szCs w:val="28"/>
        </w:rPr>
        <w:t>ISP</w:t>
      </w:r>
    </w:p>
    <w:p w14:paraId="7AF851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الإنترنت أول مؤسسة عالمية لا تملكها أي حكومة وملكية الإنترنت بذلك مقسمة بين الدول والحكومات والشركات والمؤسسات، أما من يملك الخدمات الرئيسية للإنترنت فهو مقدم خدمة الإنترنت </w:t>
      </w:r>
      <w:r>
        <w:rPr>
          <w:rStyle w:val="None"/>
          <w:rFonts w:ascii="Times New Roman" w:hAnsi="Times New Roman"/>
          <w:sz w:val="24"/>
          <w:szCs w:val="24"/>
        </w:rPr>
        <w:t>ISP</w:t>
      </w:r>
      <w:r>
        <w:rPr>
          <w:rStyle w:val="None"/>
          <w:rFonts w:ascii="Arial Unicode MS" w:hAnsi="Arial Unicode MS" w:cs="Times New Roman" w:hint="cs"/>
          <w:sz w:val="24"/>
          <w:szCs w:val="24"/>
          <w:rtl/>
          <w:lang w:val="ar-SA"/>
        </w:rPr>
        <w:t xml:space="preserve"> وتقع عليه مسؤولية قانونية سواء جنائية أو مدنية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6"/>
      </w:r>
      <w:r>
        <w:rPr>
          <w:rStyle w:val="None"/>
          <w:rFonts w:ascii="Times New Roman" w:hAnsi="Times New Roman"/>
          <w:sz w:val="24"/>
          <w:szCs w:val="24"/>
          <w:vertAlign w:val="superscript"/>
          <w:rtl/>
          <w:lang w:val="ar-SA"/>
        </w:rPr>
        <w:t>)</w:t>
      </w:r>
    </w:p>
    <w:p w14:paraId="2354B3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مزود خدمة الإنترنت يقوم بدور مهم في نشر المحتوى غير المشروع، وذلك في حالة اقتصار دوره على الجانب التقني، فالدور الإيجابي لمزود الخدمة بتأليف المحتوى، أو نشره، أو إعادة انتاجه، أو عند اختياره أو لتعديله، أما في حالة تجاوز حدود تقنيه واحتفظ بالمحتوى لمدة تتجاوز الزمن اللازم لنقله، وقام بنشر هذا المحتوى، فهنا يمكن مسائلته عن المحتوى غير المشروع الذي قام بنشره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7"/>
      </w:r>
      <w:r>
        <w:rPr>
          <w:rStyle w:val="None"/>
          <w:rFonts w:ascii="Times New Roman" w:hAnsi="Times New Roman"/>
          <w:sz w:val="24"/>
          <w:szCs w:val="24"/>
          <w:vertAlign w:val="superscript"/>
          <w:rtl/>
          <w:lang w:val="ar-SA"/>
        </w:rPr>
        <w:t>)</w:t>
      </w:r>
    </w:p>
    <w:p w14:paraId="038165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بمزودي الخدمة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كل شخص طبيعي او معنوي يعمل على الربط التقني بين المستخدم وشبكة الإنترنت ويمدهم بالوسائل التقنية اللازمة لذلك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8"/>
      </w:r>
      <w:r>
        <w:rPr>
          <w:rStyle w:val="None"/>
          <w:rFonts w:ascii="Times New Roman" w:hAnsi="Times New Roman"/>
          <w:sz w:val="24"/>
          <w:szCs w:val="24"/>
          <w:vertAlign w:val="superscript"/>
          <w:rtl/>
          <w:lang w:val="ar-SA"/>
        </w:rPr>
        <w:t>)</w:t>
      </w:r>
    </w:p>
    <w:p w14:paraId="161FF7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عرف مزود الخدمة من نظام الاتصالات وتقنية المعلومات المادة الأولى التي نصت على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مقدم خدمات الاتصالات أو تقنية المعلومات أو خدمات ذات علاقة بها بما فيها منصات المحتوى الرقمي للعموم المرخص له أو المسجل أو المصرح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9"/>
      </w:r>
      <w:r>
        <w:rPr>
          <w:rStyle w:val="None"/>
          <w:rFonts w:ascii="Times New Roman" w:hAnsi="Times New Roman"/>
          <w:sz w:val="24"/>
          <w:szCs w:val="24"/>
          <w:vertAlign w:val="superscript"/>
          <w:rtl/>
          <w:lang w:val="ar-SA"/>
        </w:rPr>
        <w:t>)</w:t>
      </w:r>
    </w:p>
    <w:p w14:paraId="6353C5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يتعرض المستفيد من خدمات شبكة الإنترنت لمخاطر المحتوى المضلل وغير المشروع، وهذه المخاطر باتت مألوفة في إطار البيئة الرقمية؛ حيث جعل التطور الحاصل في تقنيات الاتصال والتقنيات الرقمية، وجميع الداخلين إلى الشبكة أو المشتغلين عبرها معرضين لإمكانية تلقي المحتوى الضار من خلال برامج خبيثة، أو من خلال اتخاذه صور إعلانات جذابة، أو من خلال عقود إلكترونية وهمية وغيرها من وسائل نشر هذا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FD9B9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من هنا تتفاوت المسؤولية الجزائية لمقدمي خدمات الإنترنت وفقًا للخدمات التي يقدمونها على الشبكة سواء كانوا يتفاعلون مباشرة مع المعلومات او كانوا متعاقدين تقنيين يستخدمون وسائل التكنولوجيا لأداء مهامهم، وتظهر </w:t>
      </w:r>
      <w:r>
        <w:rPr>
          <w:rStyle w:val="None"/>
          <w:rFonts w:ascii="Arial Unicode MS" w:hAnsi="Arial Unicode MS" w:cs="Times New Roman" w:hint="cs"/>
          <w:sz w:val="24"/>
          <w:szCs w:val="24"/>
          <w:rtl/>
          <w:lang w:val="ar-SA"/>
        </w:rPr>
        <w:lastRenderedPageBreak/>
        <w:t>اختلافات في شكل المسؤولية الجزائية بناءً على القواعد العامة التي يتعبها القضاء في تحميل مقدمي الخدمة مسؤولية جرائمهم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1"/>
      </w:r>
      <w:r>
        <w:rPr>
          <w:rStyle w:val="None"/>
          <w:rFonts w:ascii="Times New Roman" w:hAnsi="Times New Roman"/>
          <w:sz w:val="24"/>
          <w:szCs w:val="24"/>
          <w:vertAlign w:val="superscript"/>
          <w:rtl/>
          <w:lang w:val="ar-SA"/>
        </w:rPr>
        <w:t>)</w:t>
      </w:r>
    </w:p>
    <w:p w14:paraId="7EA2A9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ومثال على ذلك قضية اتحاد الطلاب اليهود التي رفعها ضد شركة </w:t>
      </w:r>
      <w:r>
        <w:rPr>
          <w:rStyle w:val="None"/>
          <w:rFonts w:ascii="Times New Roman" w:hAnsi="Times New Roman"/>
          <w:sz w:val="24"/>
          <w:szCs w:val="24"/>
        </w:rPr>
        <w:t>Yahoo</w:t>
      </w:r>
      <w:r>
        <w:rPr>
          <w:rStyle w:val="None"/>
          <w:rFonts w:ascii="Arial Unicode MS" w:hAnsi="Arial Unicode MS" w:cs="Times New Roman" w:hint="cs"/>
          <w:sz w:val="24"/>
          <w:szCs w:val="24"/>
          <w:rtl/>
          <w:lang w:val="ar-SA"/>
        </w:rPr>
        <w:t xml:space="preserve"> باعتبارها مزودة الخدمة انتهت المحكمة إلى أنها تعد مسئولة عن عدم مشروعية الإعلانات والأعمال التي تمت عبر موقعها المخصص لبيع أشياء تتعلق بالنازية بالمزاد العلني، ولكن مسئوليتها تنشأ فقط منذ العلم بالمحتوى غير المشروع للموقع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14100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يسأل عنها مزود الخدمة عن سلوكه المعيب والضار، وتتحقق مسؤوليته المدنية ويلتزم بالتعويض الذي يعتبر الجزاء المترتب عن الخطأ المدني الذي نتج عن مخالفة ببنود العقد الذي يربطه مع عملائه بعقد الدخول إلى الشبكة، أو عقد توريد المعلومات إذا ما تعدى دوره، أو عن إخلال بالتزام قانوني مفاده عدم الاضرار بالغير وفقًا للمبادئ القانونية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3"/>
      </w:r>
      <w:r>
        <w:rPr>
          <w:rStyle w:val="None"/>
          <w:rFonts w:ascii="Times New Roman" w:hAnsi="Times New Roman"/>
          <w:sz w:val="24"/>
          <w:szCs w:val="24"/>
          <w:vertAlign w:val="superscript"/>
          <w:rtl/>
          <w:lang w:val="ar-SA"/>
        </w:rPr>
        <w:t>)</w:t>
      </w:r>
    </w:p>
    <w:p w14:paraId="75B986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 إن المسؤولية الجزائية لمزود الخدمة خاصة من مجال الملكية الفكرية، يكون له دور أساسي سواء مباشر أو غير مباشر في الاعتداء على هذه الحقوق؛ لأنه يساهم في نشر أو اتاحه محتوى محمي دون ترخيص عبر الإنترنت، فتتجه التشريعات إلى تحديد مسؤولية الجزائية في حالة علمه بالمحتوى غير المشروع وعدم اتخاذ التدابير اللازمة لمنعه أو ازالته، فالمسؤولية الجزائية تقع على مزود الخدمة</w:t>
      </w:r>
      <w:r>
        <w:rPr>
          <w:rStyle w:val="None"/>
          <w:rFonts w:ascii="Times New Roman" w:hAnsi="Times New Roman"/>
          <w:sz w:val="24"/>
          <w:szCs w:val="24"/>
          <w:rtl/>
          <w:lang w:val="ar-SA"/>
        </w:rPr>
        <w:t>.</w:t>
      </w:r>
    </w:p>
    <w:p w14:paraId="696B90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لمزود الخدمة على أساس الاخلال بواجب قانوني على حقوق الملكية الفكرية، وذلك في حالة اتاحه نشر محتوى محمي دون ترخيص، فإذا ثبت أن مزود الخدمة هو من قام بهذا الخطأ سواء بالإهمال او التقصير في مراقبة المحتوى، في هذه الحالة يسأل مدنيًا عن الأضرار التي تلحق بأصحاب الحقوق، ويلتزم بالتعويض</w:t>
      </w:r>
      <w:r>
        <w:rPr>
          <w:rStyle w:val="None"/>
          <w:rFonts w:ascii="Times New Roman" w:hAnsi="Times New Roman"/>
          <w:sz w:val="24"/>
          <w:szCs w:val="24"/>
          <w:rtl/>
          <w:lang w:val="ar-SA"/>
        </w:rPr>
        <w:t>.</w:t>
      </w:r>
    </w:p>
    <w:p w14:paraId="5EA1264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دور الهيئة السعودية للملكية الفكرية</w:t>
      </w:r>
      <w:r>
        <w:rPr>
          <w:rStyle w:val="None"/>
          <w:rFonts w:ascii="Times New Roman" w:hAnsi="Times New Roman"/>
          <w:b/>
          <w:bCs/>
          <w:sz w:val="28"/>
          <w:szCs w:val="28"/>
          <w:rtl/>
          <w:lang w:val="ar-SA"/>
        </w:rPr>
        <w:t>:</w:t>
      </w:r>
    </w:p>
    <w:p w14:paraId="67457F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مواكبة للتطوُّر التكنولوجي المذهل في عالم الإلكترونيات وشبكات المعلومات، وما نتج عنها من وسائل حديثة للنشر الإلكتروني توسعة مسألة الاعتداء على المصنفات المحمية؛ ممَّا دفع المنظم إلى تجريم ذلك بما يكفل حماية فعَّالة ضد أي اعتداء على حقوق المؤلف، وتقع المسئولية على عاتق الشخص الذي قام بالنشر غير المشروع للمصنف عبر الشبكة، إذا توفر لدى الجاني العلم بأنَّ المصنف الذي يقوم بنشره محمي، واتجهت إرادته إلى هذا النشر غير المشروع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42D7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فاهتمت الهيئة السعودية للملكية الفكرية بتصميم وتنفيذ الاستراتيجية الوطنية للملكية الفكرية، كما قامت بالتوعية بأهمية الملكية الفكرية وحماية حقوقها، واهتمت بإبداء الآراء في شأن الاتفاقيات الدولية المتعلقة بحقوق الملكية الفكرية، واقتراح الأنظمة واللوائح المتعلقة بحقوق الملكية الفكرية، وتعزيز الاستفادة من الملكية الفكرية؛ لبناء اقتصاد متقدم قائم على المعرفة، كما عملت على إنشاء قواعد للمعلومات في مجال عمل الهيئة وتبادل المعلومات مع الجهات المحلية، </w:t>
      </w:r>
      <w:r>
        <w:rPr>
          <w:rStyle w:val="None"/>
          <w:rFonts w:ascii="Arial Unicode MS" w:hAnsi="Arial Unicode MS" w:cs="Times New Roman" w:hint="cs"/>
          <w:sz w:val="24"/>
          <w:szCs w:val="24"/>
          <w:rtl/>
          <w:lang w:val="ar-SA"/>
        </w:rPr>
        <w:lastRenderedPageBreak/>
        <w:t xml:space="preserve">والإقليمية، والعالمية، وتسجيل حقوق الملكية الفكرية ومنحها وثائق الحماية وإنفاذها، بالإضافة إلى أنَّها تمثل المملكة في المنظمات الدولية والإقليمية ذات العلاقة بحقوق الملكية الفكرية والدفاع عن مصالحها، وتوفر المعلومات المتعلقة بحقوق الملكية الفكرية وإتاحتها للجمهور، ومتابعة تنفيذ الالتزامات المترتبة على انضمام المملكة إلى الاتفاقيات الدولية المتعلقة بالملكية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F4F08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السعودية للملكية الفكرية أولت اهتمامًا كبيرًا لحماية حقوق الملكية الفكرية؛ ممَّا يساعدها على مواكبة التطوُّر التكنولوجي، والحد من الانتهاكات التي قد تؤثر على المصنفات المحمية في البيئة الرقمية، كما تتيح هذه الحماية للمؤلف أو صاحب الحق المطالبة بالتعويض عن أي اعتداء على حقوقه؛ حيث يتجاوز تجريم النشر غير المشروع العقوبات الجنائية؛ ليشمل التعويض المدني الذي يهدف إلى جبر الضرر، بالإضافة إلى أنَّ الجهود التي تبذلها الهيئة السعودية للملكية الفكرية في تطبيق استراتيجيات الحماية وتعزيز نفاذ الحقوق، تشكل نطاقًا متكاملًا يضمن لصاحب الحق الفكري حماية فعَّالة</w:t>
      </w:r>
      <w:r>
        <w:rPr>
          <w:rStyle w:val="None"/>
          <w:rFonts w:ascii="Times New Roman" w:hAnsi="Times New Roman"/>
          <w:sz w:val="24"/>
          <w:szCs w:val="24"/>
          <w:rtl/>
          <w:lang w:val="ar-SA"/>
        </w:rPr>
        <w:t xml:space="preserve">. </w:t>
      </w:r>
    </w:p>
    <w:p w14:paraId="2608CE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لا يستوجب التسجيل لحماية حق المؤلف، فأي مصنف يتمتع بالإضافة الابتكارية، وتم إخراجه كقالب مادي فهو متمتع بالحماية القانونية دون الحاجة إلى أي إجراء آخر؛ إلا أنَّه بعد تأسيس الهيئة السعودية للملكية الفكرية استحدثت الهيئة نظام التسجيل الاختياري لحق المؤلف؛ الذي يهدف إلى توفير مزيد من الحماية عبر منح المؤلف وثيقةً ثبوتيةً تقضي بملكية المؤلف لهذا المصنف، وهذه المبادرة لا تتنافى مع كون المنظم السعودي لم يستلزم إجراءات لمنح الحماية القانونية، فجميع المصنفات التي تصح أنْ تكون محلًا لحق المؤلف هي محمية بموجب النظام، ولا يجوز التعدي عليها شريطة أنْ تكون ذات طابع ابتكاري، وأنْ يكون قد تم إخراجها في قالب مادي، ولا عبرة بكونها لا تزال فكرة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D518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كيفية ضبط المخالفات في المصنفات الإلكترونية، وذلك من خلال المادة </w:t>
      </w:r>
      <w:r>
        <w:rPr>
          <w:rStyle w:val="None"/>
          <w:rFonts w:ascii="Times New Roman" w:hAnsi="Times New Roman"/>
          <w:sz w:val="24"/>
          <w:szCs w:val="24"/>
          <w:rtl/>
          <w:lang w:val="ar-SA"/>
        </w:rPr>
        <w:t xml:space="preserve">(26) </w:t>
      </w:r>
      <w:r>
        <w:rPr>
          <w:rStyle w:val="None"/>
          <w:rFonts w:ascii="Arial Unicode MS" w:hAnsi="Arial Unicode MS" w:cs="Times New Roman" w:hint="cs"/>
          <w:sz w:val="24"/>
          <w:szCs w:val="24"/>
          <w:rtl/>
          <w:lang w:val="ar-SA"/>
        </w:rPr>
        <w:t xml:space="preserve">من اللائحة التنفيذية لنظام حماية حقوق المؤلف، والتي نصت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ضبط ما يقع من مخالفات لأحكام النظام واللائحة في المواقع الإلكترونية في شبكة الإنترنت العالمية وفق ما يلي</w:t>
      </w:r>
      <w:r>
        <w:rPr>
          <w:rStyle w:val="None"/>
          <w:rFonts w:ascii="Times New Roman" w:hAnsi="Times New Roman"/>
          <w:sz w:val="24"/>
          <w:szCs w:val="24"/>
          <w:rtl/>
          <w:lang w:val="ar-SA"/>
        </w:rPr>
        <w:t>:</w:t>
      </w:r>
    </w:p>
    <w:p w14:paraId="1C29CD8F"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شكوى مقدمة من أصحاب الحقوق أو من يمثلهم، على أنْ تتوافق مع شروط قيدها لدى الهيئة وفق النماذج المعدة لذلك</w:t>
      </w:r>
      <w:r>
        <w:rPr>
          <w:rStyle w:val="None"/>
          <w:rFonts w:ascii="Times New Roman" w:hAnsi="Times New Roman"/>
          <w:sz w:val="24"/>
          <w:szCs w:val="24"/>
          <w:rtl/>
          <w:lang w:val="ar-SA"/>
        </w:rPr>
        <w:t>.</w:t>
      </w:r>
    </w:p>
    <w:p w14:paraId="0ABFA6CB"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بِناءً على البلاغات الواردة إلى الهيئة وفق النماذج المعدة لذلك</w:t>
      </w:r>
      <w:r>
        <w:rPr>
          <w:rStyle w:val="None"/>
          <w:rFonts w:ascii="Times New Roman" w:hAnsi="Times New Roman"/>
          <w:sz w:val="24"/>
          <w:szCs w:val="24"/>
          <w:rtl/>
          <w:lang w:val="ar-SA"/>
        </w:rPr>
        <w:t>.</w:t>
      </w:r>
    </w:p>
    <w:p w14:paraId="756E63EE"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رصد الإدارة المختصة للمواقع الإلكترونية في شبكة الإنترنت العالمية التي يحتمل وجود اعتدائها على حق المؤلف وفق ما يتوفر من دلائل أولية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FC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تستطيع الجهات الرقابية المسئولة وفق القوانين ممارسة الرقابة الإلكترونية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وتحقيق التوازن بين حماية الحقوق والحريات كمصلحة خاصة وحق المجتمع في الأمن ومنع الجريمة كمصلحة عامة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9719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حق المؤلف في المطالبة بحقوقه في المادة </w:t>
      </w:r>
      <w:r>
        <w:rPr>
          <w:rStyle w:val="None"/>
          <w:rFonts w:ascii="Times New Roman" w:hAnsi="Times New Roman"/>
          <w:sz w:val="24"/>
          <w:szCs w:val="24"/>
          <w:rtl/>
          <w:lang w:val="ar-SA"/>
        </w:rPr>
        <w:t xml:space="preserve">(8/1)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يحق لأي مؤلف شريك في أي مصنف أنْ يطلب منفردًا اتخاذ الإجراءات التحفظية عند وقوع أي اعتداء على حق المؤلف، كما يكون له الحق منفردًا في المطالبة بنصيبه من التعويض عن 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AE0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استجاب بفاعلية للتحديات التي فرضها التطوُّر التكنولوجي ووسائل النشر الإلكتروني الحديثة؛ من خلال تجريم الاعتداءات الرقمية على المصنفات المحمية، كما أكد على أنَّ الحماية القانونية تُمنح تلقائيًا لكل عمل ابتكاري تم إخراجه في قالب مادي، دون اشتراط إجراءات شكلية مسبقة</w:t>
      </w:r>
      <w:r>
        <w:rPr>
          <w:rStyle w:val="None"/>
          <w:rFonts w:ascii="Times New Roman" w:hAnsi="Times New Roman"/>
          <w:sz w:val="24"/>
          <w:szCs w:val="24"/>
          <w:rtl/>
          <w:lang w:val="ar-SA"/>
        </w:rPr>
        <w:t>.</w:t>
      </w:r>
    </w:p>
    <w:p w14:paraId="5325177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عزّزت الهيئة السعودية للملكية الفكرية هذه الحماية عبر إقرار نظام التسجيل الاختياري، الذي يمنح المؤلف سندًا رسميًا يثبت ملكيته للمصنف، بالإضافة إلى تمكين الجهات الرقابية من متابعة البيئة الرقمية لحماية النظام العام، وبذلك يحقق الإطار القانوني السعودي توازنًا بين حماية حقوق المؤلف كمصلحة خاصة، وضمان الأمن السيبراني كمصلحة عامة، مع تمكين المؤلفين من المطالبة بحقوقهم واتخاذ الإجراءات التحفظية في حال وقوع أي اعتداء</w:t>
      </w:r>
      <w:r>
        <w:rPr>
          <w:rStyle w:val="None"/>
          <w:rFonts w:ascii="Times New Roman" w:hAnsi="Times New Roman"/>
          <w:sz w:val="24"/>
          <w:szCs w:val="24"/>
          <w:rtl/>
          <w:lang w:val="ar-SA"/>
        </w:rPr>
        <w:t>.</w:t>
      </w:r>
    </w:p>
    <w:p w14:paraId="51028673" w14:textId="77777777" w:rsidR="00454428" w:rsidRDefault="00000000" w:rsidP="00C72BA8">
      <w:pPr>
        <w:pStyle w:val="Body"/>
        <w:spacing w:line="360" w:lineRule="auto"/>
      </w:pPr>
      <w:r>
        <w:rPr>
          <w:rStyle w:val="None"/>
          <w:rFonts w:ascii="Arial Unicode MS" w:hAnsi="Arial Unicode MS"/>
          <w:sz w:val="24"/>
          <w:szCs w:val="24"/>
          <w:lang w:val="ar-SA"/>
        </w:rPr>
        <w:br w:type="page"/>
      </w:r>
    </w:p>
    <w:p w14:paraId="68ECCF87" w14:textId="77777777" w:rsidR="00454428" w:rsidRDefault="00000000" w:rsidP="00C72BA8">
      <w:pPr>
        <w:pStyle w:val="a4"/>
        <w:rPr>
          <w:rStyle w:val="None"/>
          <w:lang w:val="ar-SA"/>
        </w:rPr>
      </w:pPr>
      <w:bookmarkStart w:id="209" w:name="_Toc227251134"/>
      <w:bookmarkStart w:id="210" w:name="_Toc227251444"/>
      <w:r>
        <w:rPr>
          <w:rStyle w:val="None"/>
          <w:rFonts w:ascii="Arial Unicode MS" w:eastAsia="Arial Unicode MS" w:hAnsi="Arial Unicode MS" w:hint="cs"/>
          <w:rtl/>
          <w:lang w:val="ar-SA"/>
        </w:rPr>
        <w:lastRenderedPageBreak/>
        <w:t>المطلب الثاني</w:t>
      </w:r>
      <w:bookmarkEnd w:id="209"/>
      <w:bookmarkEnd w:id="210"/>
    </w:p>
    <w:p w14:paraId="5FE26181" w14:textId="77777777" w:rsidR="00454428" w:rsidRDefault="00000000" w:rsidP="00C72BA8">
      <w:pPr>
        <w:pStyle w:val="a4"/>
        <w:rPr>
          <w:rStyle w:val="None"/>
          <w:lang w:val="ar-SA"/>
        </w:rPr>
      </w:pPr>
      <w:bookmarkStart w:id="211" w:name="_Toc227251135"/>
      <w:bookmarkStart w:id="212" w:name="_Toc227251445"/>
      <w:r>
        <w:rPr>
          <w:rStyle w:val="None"/>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bookmarkEnd w:id="211"/>
      <w:bookmarkEnd w:id="212"/>
    </w:p>
    <w:p w14:paraId="0AC38E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التعويض عن الاعتداء على حقوق الملكية الفكرية في البيئة الرقمية لا بُدَّ من بيان أوجه التشابه والاختلاف بين الأنظمة القانونية المختلفة في القانون الأمريكي والفَرنسي؛ لتوضيح مسألة التعويض في ظل التحديات التي فرضتها البيئة الرقمية</w:t>
      </w:r>
      <w:r>
        <w:rPr>
          <w:rStyle w:val="None"/>
          <w:rFonts w:ascii="Times New Roman" w:hAnsi="Times New Roman"/>
          <w:sz w:val="24"/>
          <w:szCs w:val="24"/>
          <w:rtl/>
          <w:lang w:val="ar-SA"/>
        </w:rPr>
        <w:t>.</w:t>
      </w:r>
    </w:p>
    <w:p w14:paraId="0B404DE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النمو السريع لانتهاكات حقوق الملكية الفكرية على الإنترنت، ومشاكل تنظيمها القانوني، إلى البحث عن حلول لمكافحة هذه الأعمال غير القانونية، وقد تم وضع آليات فعَّالة؛ لتعزيز حماية حقوق الملكية الفكرية، لا سيما من خلال إلزام مزودي خدمات الإنترنت بالكشف عن معلومات سرية حول منتهكي حقوق الطبع والنشر المزعومين، ونقل هذه البيانات إلى السلطات المختصة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0"/>
      </w:r>
      <w:r>
        <w:rPr>
          <w:rStyle w:val="None"/>
          <w:rFonts w:ascii="Times New Roman" w:hAnsi="Times New Roman"/>
          <w:sz w:val="24"/>
          <w:szCs w:val="24"/>
          <w:vertAlign w:val="superscript"/>
          <w:rtl/>
          <w:lang w:val="ar-SA"/>
        </w:rPr>
        <w:t>)</w:t>
      </w:r>
    </w:p>
    <w:p w14:paraId="7CC69D9D" w14:textId="77777777" w:rsidR="00645DEB" w:rsidRDefault="00000000" w:rsidP="00645DEB">
      <w:pPr>
        <w:pStyle w:val="Body"/>
        <w:spacing w:before="120" w:after="120" w:line="360" w:lineRule="auto"/>
        <w:ind w:firstLine="720"/>
        <w:jc w:val="both"/>
        <w:rPr>
          <w:rStyle w:val="None"/>
          <w:rFonts w:ascii="Times New Roman" w:eastAsia="Times New Roman" w:hAnsi="Times New Roman" w:cs="Times New Roman"/>
          <w:sz w:val="24"/>
          <w:szCs w:val="24"/>
          <w:rtl/>
        </w:rPr>
      </w:pPr>
      <w:r>
        <w:rPr>
          <w:rStyle w:val="None"/>
          <w:rFonts w:ascii="Arial Unicode MS" w:hAnsi="Arial Unicode MS" w:cs="Times New Roman" w:hint="cs"/>
          <w:sz w:val="24"/>
          <w:szCs w:val="24"/>
          <w:rtl/>
          <w:lang w:val="ar-SA"/>
        </w:rPr>
        <w:t>وفي البيئة الرقمية، تُعَدُّ جميع حقوق الملكية الفكرية أكثر عرضةً للانتهاك، مقارنةً بالبيئة التقليدية، إلا أنَّ حق التأليف والنشر هو الأكثر عرضةً للانتهاك؛ ولذلك فإنَّ أحد أكبر تحديات حماية حق التأليف والنشر في العصر الرقمي يكمن في مسألة الانتهاك؛ ممَّا يحتم على واضعي التشريعات مواكبة قانون حماية حقوق الطبع والنشر؛ لمواجهة هذه التحديات التي ازدادت في العصر الرقمي؛ حيث أصبح انتهاك حقوق الطبع والنشر سهلًا على نطاق واسع؛ ممَّا يجعل من الصعب اكتشافه، والسبب أنَّ الإنترنت يضم مليارات المستخدمين، وبنقرة واحدة فقط، يمكن لعدد لا يُحصى من المستخدمين الوصول إلى نسخ على الشبكة، ويمكن إجراء عملية النسخ بسرعة وبسرية دون أنْ يتمكن أحد من اكتشافها ومنعها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p>
    <w:p w14:paraId="6B1CA466" w14:textId="4BC918BB" w:rsidR="00454428" w:rsidRDefault="00000000" w:rsidP="00645DEB">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التعويضات القانونية عن حقوق الملكية الفكرية في الحماية من الانتهاك، مع تعويض الضرر، فإذا قام شخص ما بأحد الأنشطة التي تُعَدُّ انتهاكًا لحقوق الغير، فإنَّه يُعَدُّ مُنتهكًا، ويتحتم علية تعويض الضرر، كما يُحاسب الشخص على مساعدة شخص آخر على الانتهاك، وهو ما يسمى بالانتهاك المُساهم، والذي يحدث عندما يُساهم شخص ما مساهمة مادية في الانتهاك المباشر لشخص آخر، من خلال مساعدة المُنتهك بأي شكل من الأشكال، وهناك أيضًا المسئولية التبعية،  والتي تحدث عندما يستفيد شخص ما ماليًا من انتهاك شخص آخر، وكان بإمكانه منع حدوث هذا الانتهاك من البداية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2"/>
      </w:r>
      <w:r>
        <w:rPr>
          <w:rStyle w:val="None"/>
          <w:rFonts w:ascii="Times New Roman" w:hAnsi="Times New Roman"/>
          <w:sz w:val="24"/>
          <w:szCs w:val="24"/>
          <w:vertAlign w:val="superscript"/>
          <w:rtl/>
          <w:lang w:val="ar-SA"/>
        </w:rPr>
        <w:t>)</w:t>
      </w:r>
    </w:p>
    <w:p w14:paraId="255D9B87" w14:textId="77777777" w:rsidR="00645DEB" w:rsidRDefault="00645DEB">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44DBDB3C" w14:textId="622E4D70"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التعويض عن الاعتداء على حقوق الملكية الفكرية في البيئة الرقمية في القانون الفَرنسي</w:t>
      </w:r>
      <w:r>
        <w:rPr>
          <w:rStyle w:val="None"/>
          <w:rFonts w:ascii="Times New Roman" w:hAnsi="Times New Roman"/>
          <w:b/>
          <w:bCs/>
          <w:sz w:val="28"/>
          <w:szCs w:val="28"/>
          <w:rtl/>
          <w:lang w:val="ar-SA"/>
        </w:rPr>
        <w:t>:</w:t>
      </w:r>
    </w:p>
    <w:p w14:paraId="417662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كثيرًا ما يواجه أصحابُ الحقوق صعوبةً في جمع الأدلة المتعلقة بانتهاك ملكيتهم الفكرية، فبالإضافة إلى إجراءات الحجز الرامية إلى تجميد السلع المزعوم انتهاكها، يمكن لأصحاب الحقوق أيضًا طلب إجراءات لجمع وتأمين الأدلة المتعلقة بالانتهاك، ووفقًا للمادة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من توجيه الإنفاذ، إذا كان صاحب الحق على علم بأدلة تقع تحت سيطرة المدعَى عليه، فعليه أنْ يطلب من المحكمة إصدار أمر يُلزم المدعَى عليه بتقديم هذه الأدلة، وفي فَرنسا يُنفذ الأمر بواسطة مُحضر قضائي برفقة خبير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3"/>
      </w:r>
      <w:r>
        <w:rPr>
          <w:rStyle w:val="None"/>
          <w:rFonts w:ascii="Times New Roman" w:hAnsi="Times New Roman"/>
          <w:sz w:val="24"/>
          <w:szCs w:val="24"/>
          <w:vertAlign w:val="superscript"/>
          <w:rtl/>
          <w:lang w:val="ar-SA"/>
        </w:rPr>
        <w:t>)</w:t>
      </w:r>
    </w:p>
    <w:p w14:paraId="759FD4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دعوى الانتهاك بمثابة إجراء قانوني يسمح لصاحب حقوق الملكية الفكرية والتي تتمثل في العلامة التجارية، وبراءة الاختراع، والتصميم، وحقوق الطبع والنشر، إلخ، بمقاضاة أي طرف يستغل حقوقه دون تصريح، ويُشكل الانتهاك انتهاكًا مباشرًا للحقوق الحصرية الممنوحة بموجب القانون، وقد يؤدي إلى عقوبات مدنية وجنائية؛ حيث يحصل صاحب الحق الأصلي على تعويضات تغطي الخسائر الاقتصادية، والأضرار المعنوية، والأرباح غير العادلة التي حققها المخالف وفقًا للمادة </w:t>
      </w:r>
      <w:r>
        <w:rPr>
          <w:rStyle w:val="None"/>
          <w:rFonts w:ascii="Times New Roman" w:hAnsi="Times New Roman"/>
          <w:sz w:val="24"/>
          <w:szCs w:val="24"/>
        </w:rPr>
        <w:t>L. 331-1-3</w:t>
      </w:r>
      <w:r>
        <w:rPr>
          <w:rStyle w:val="None"/>
          <w:rFonts w:ascii="Arial Unicode MS" w:hAnsi="Arial Unicode MS" w:cs="Times New Roman" w:hint="cs"/>
          <w:sz w:val="24"/>
          <w:szCs w:val="24"/>
          <w:rtl/>
          <w:lang w:val="ar-SA"/>
        </w:rPr>
        <w:t xml:space="preserve"> من قانون الملكية الفكرية الفَرنسي، وفي حالات الانتهاك المتعمد، قد تُطبق عقوبات جنائية أيضًا، وتصل العقوبة إلى السجن لمدة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400,000 </w:t>
      </w:r>
      <w:r>
        <w:rPr>
          <w:rStyle w:val="None"/>
          <w:rFonts w:ascii="Arial Unicode MS" w:hAnsi="Arial Unicode MS" w:cs="Times New Roman" w:hint="cs"/>
          <w:sz w:val="24"/>
          <w:szCs w:val="24"/>
          <w:rtl/>
          <w:lang w:val="ar-SA"/>
        </w:rPr>
        <w:t xml:space="preserve">يورو؛ لانتهاك العلامة التجارية، أو براءة الاختراع، وذلك وفق المادتين </w:t>
      </w:r>
      <w:r>
        <w:rPr>
          <w:rStyle w:val="None"/>
          <w:rFonts w:ascii="Times New Roman" w:hAnsi="Times New Roman"/>
          <w:sz w:val="24"/>
          <w:szCs w:val="24"/>
          <w:rtl/>
        </w:rPr>
        <w:t>L. 716-9</w:t>
      </w:r>
      <w:r>
        <w:rPr>
          <w:rStyle w:val="None"/>
          <w:rFonts w:ascii="Arial Unicode MS" w:hAnsi="Arial Unicode MS" w:cs="Times New Roman" w:hint="cs"/>
          <w:sz w:val="24"/>
          <w:szCs w:val="24"/>
          <w:rtl/>
          <w:lang w:val="ar-SA"/>
        </w:rPr>
        <w:t xml:space="preserve"> و</w:t>
      </w:r>
      <w:r>
        <w:rPr>
          <w:rStyle w:val="None"/>
          <w:rFonts w:ascii="Times New Roman" w:hAnsi="Times New Roman"/>
          <w:sz w:val="24"/>
          <w:szCs w:val="24"/>
        </w:rPr>
        <w:t>L. 615-14</w:t>
      </w:r>
      <w:r>
        <w:rPr>
          <w:rStyle w:val="None"/>
          <w:rFonts w:ascii="Arial Unicode MS" w:hAnsi="Arial Unicode MS" w:cs="Times New Roman" w:hint="cs"/>
          <w:sz w:val="24"/>
          <w:szCs w:val="24"/>
          <w:rtl/>
          <w:lang w:val="ar-SA"/>
        </w:rPr>
        <w:t xml:space="preserve"> من قانون حماية الملكية الفكرية، كما  تصل العقوبة إلى السجن لمدة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300,000 </w:t>
      </w:r>
      <w:r>
        <w:rPr>
          <w:rStyle w:val="None"/>
          <w:rFonts w:ascii="Arial Unicode MS" w:hAnsi="Arial Unicode MS" w:cs="Times New Roman" w:hint="cs"/>
          <w:sz w:val="24"/>
          <w:szCs w:val="24"/>
          <w:rtl/>
          <w:lang w:val="ar-SA"/>
        </w:rPr>
        <w:t xml:space="preserve">يورو؛ لانتهاك حقوق الطبع والنشر، وفق المادة </w:t>
      </w:r>
      <w:r>
        <w:rPr>
          <w:rStyle w:val="None"/>
          <w:rFonts w:ascii="Times New Roman" w:hAnsi="Times New Roman"/>
          <w:sz w:val="24"/>
          <w:szCs w:val="24"/>
        </w:rPr>
        <w:t>L. 335-2</w:t>
      </w:r>
      <w:r>
        <w:rPr>
          <w:rStyle w:val="None"/>
          <w:rFonts w:ascii="Arial Unicode MS" w:hAnsi="Arial Unicode MS" w:cs="Times New Roman" w:hint="cs"/>
          <w:sz w:val="24"/>
          <w:szCs w:val="24"/>
          <w:rtl/>
          <w:lang w:val="ar-SA"/>
        </w:rPr>
        <w:t xml:space="preserve"> من قانون حماية الملكية الفكرية، وتخضع دعوى انتهاك الملكية الفكرية لأحكام مُختلفة من قانون الملكية الفكرية الفرنسي </w:t>
      </w:r>
      <w:r>
        <w:rPr>
          <w:rStyle w:val="None"/>
          <w:rFonts w:ascii="Times New Roman" w:hAnsi="Times New Roman"/>
          <w:sz w:val="24"/>
          <w:szCs w:val="24"/>
          <w:rtl/>
          <w:lang w:val="ar-SA"/>
        </w:rPr>
        <w:t>(</w:t>
      </w:r>
      <w:r>
        <w:rPr>
          <w:rStyle w:val="None"/>
          <w:rFonts w:ascii="Times New Roman" w:hAnsi="Times New Roman"/>
          <w:sz w:val="24"/>
          <w:szCs w:val="24"/>
          <w:lang w:val="pt-PT"/>
        </w:rPr>
        <w:t>CPI</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وذلك وفق الحقوق المُحددة وتنقسم تلك الأحكام إلى</w:t>
      </w:r>
      <w:r>
        <w:rPr>
          <w:rStyle w:val="None"/>
          <w:rFonts w:ascii="Times New Roman" w:hAnsi="Times New Roman"/>
          <w:sz w:val="24"/>
          <w:szCs w:val="24"/>
          <w:rtl/>
          <w:lang w:val="ar-SA"/>
        </w:rPr>
        <w:t>:</w:t>
      </w:r>
    </w:p>
    <w:p w14:paraId="0FADA86B"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العلامات التجارية</w:t>
      </w:r>
      <w:r>
        <w:rPr>
          <w:rStyle w:val="None"/>
          <w:rFonts w:ascii="Times New Roman" w:hAnsi="Times New Roman"/>
          <w:b/>
          <w:bCs/>
          <w:sz w:val="24"/>
          <w:szCs w:val="24"/>
          <w:rtl/>
          <w:lang w:val="ar-SA"/>
        </w:rPr>
        <w:t>:</w:t>
      </w:r>
    </w:p>
    <w:p w14:paraId="1422C8B2"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713-2</w:t>
      </w:r>
      <w:r>
        <w:rPr>
          <w:rStyle w:val="None"/>
          <w:rFonts w:cs="Times New Roman"/>
          <w:sz w:val="24"/>
          <w:szCs w:val="24"/>
          <w:rtl/>
          <w:lang w:val="ar-SA"/>
        </w:rPr>
        <w:t xml:space="preserve"> من قانون الملكية الفكرية الفرنسي إعادة إنتاج، أو استخدام، أو تقليد علامة تجارية مُسجَّلة دون تصريح</w:t>
      </w:r>
      <w:r>
        <w:rPr>
          <w:rStyle w:val="None"/>
          <w:rFonts w:ascii="Times New Roman" w:hAnsi="Times New Roman"/>
          <w:sz w:val="24"/>
          <w:szCs w:val="24"/>
          <w:rtl/>
          <w:lang w:val="ar-SA"/>
        </w:rPr>
        <w:t>.</w:t>
      </w:r>
    </w:p>
    <w:p w14:paraId="157A1482"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وتُحدِّد المادة </w:t>
      </w:r>
      <w:r>
        <w:rPr>
          <w:rStyle w:val="None"/>
          <w:rFonts w:ascii="Times New Roman" w:hAnsi="Times New Roman"/>
          <w:sz w:val="24"/>
          <w:szCs w:val="24"/>
        </w:rPr>
        <w:t>L. 716-4</w:t>
      </w:r>
      <w:r>
        <w:rPr>
          <w:rStyle w:val="None"/>
          <w:rFonts w:cs="Times New Roman"/>
          <w:sz w:val="24"/>
          <w:szCs w:val="24"/>
          <w:rtl/>
          <w:lang w:val="ar-SA"/>
        </w:rPr>
        <w:t xml:space="preserve"> من قانون الملكية الفكرية الفرنسي عقوبات انتهاك العلامة التجارية</w:t>
      </w:r>
      <w:r>
        <w:rPr>
          <w:rStyle w:val="None"/>
          <w:rFonts w:ascii="Times New Roman" w:hAnsi="Times New Roman"/>
          <w:sz w:val="24"/>
          <w:szCs w:val="24"/>
          <w:rtl/>
          <w:lang w:val="ar-SA"/>
        </w:rPr>
        <w:t>.</w:t>
      </w:r>
    </w:p>
    <w:p w14:paraId="0771696A"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براءات الاختراع</w:t>
      </w:r>
      <w:r>
        <w:rPr>
          <w:rStyle w:val="None"/>
          <w:rFonts w:ascii="Times New Roman" w:hAnsi="Times New Roman"/>
          <w:b/>
          <w:bCs/>
          <w:sz w:val="24"/>
          <w:szCs w:val="24"/>
          <w:rtl/>
          <w:lang w:val="ar-SA"/>
        </w:rPr>
        <w:t>:</w:t>
      </w:r>
    </w:p>
    <w:p w14:paraId="24E5C51A"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توضح المادة </w:t>
      </w:r>
      <w:r>
        <w:rPr>
          <w:rStyle w:val="None"/>
          <w:rFonts w:ascii="Times New Roman" w:hAnsi="Times New Roman"/>
          <w:sz w:val="24"/>
          <w:szCs w:val="24"/>
        </w:rPr>
        <w:t>L. 613-3</w:t>
      </w:r>
      <w:r>
        <w:rPr>
          <w:rStyle w:val="None"/>
          <w:rFonts w:cs="Times New Roman"/>
          <w:sz w:val="24"/>
          <w:szCs w:val="24"/>
          <w:rtl/>
          <w:lang w:val="ar-SA"/>
        </w:rPr>
        <w:t xml:space="preserve"> من قانون براءات الاختراع الأفعال التي تُشكّل انتهاكًا لبراءة الاختراع</w:t>
      </w:r>
      <w:r>
        <w:rPr>
          <w:rStyle w:val="None"/>
          <w:rFonts w:ascii="Times New Roman" w:hAnsi="Times New Roman"/>
          <w:sz w:val="24"/>
          <w:szCs w:val="24"/>
          <w:rtl/>
          <w:lang w:val="ar-SA"/>
        </w:rPr>
        <w:t>.</w:t>
      </w:r>
    </w:p>
    <w:p w14:paraId="1DC735C3"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وتفصل المادة </w:t>
      </w:r>
      <w:r>
        <w:rPr>
          <w:rStyle w:val="None"/>
          <w:rFonts w:ascii="Times New Roman" w:hAnsi="Times New Roman"/>
          <w:sz w:val="24"/>
          <w:szCs w:val="24"/>
        </w:rPr>
        <w:t>L. 615-1</w:t>
      </w:r>
      <w:r>
        <w:rPr>
          <w:rStyle w:val="None"/>
          <w:rFonts w:cs="Times New Roman"/>
          <w:sz w:val="24"/>
          <w:szCs w:val="24"/>
          <w:rtl/>
          <w:lang w:val="ar-SA"/>
        </w:rPr>
        <w:t xml:space="preserve"> من قانون براءات الاختراع عقوبات انتهاك براءة الاختراع</w:t>
      </w:r>
      <w:r>
        <w:rPr>
          <w:rStyle w:val="None"/>
          <w:rFonts w:ascii="Times New Roman" w:hAnsi="Times New Roman"/>
          <w:sz w:val="24"/>
          <w:szCs w:val="24"/>
          <w:rtl/>
          <w:lang w:val="ar-SA"/>
        </w:rPr>
        <w:t>.</w:t>
      </w:r>
    </w:p>
    <w:p w14:paraId="7E663FF8"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التصميم والنماذج</w:t>
      </w:r>
      <w:r>
        <w:rPr>
          <w:rStyle w:val="None"/>
          <w:rFonts w:ascii="Times New Roman" w:hAnsi="Times New Roman"/>
          <w:b/>
          <w:bCs/>
          <w:sz w:val="24"/>
          <w:szCs w:val="24"/>
          <w:rtl/>
          <w:lang w:val="ar-SA"/>
        </w:rPr>
        <w:t>:</w:t>
      </w:r>
    </w:p>
    <w:p w14:paraId="33B10DE6"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تُجرم المادة </w:t>
      </w:r>
      <w:r>
        <w:rPr>
          <w:rStyle w:val="None"/>
          <w:rFonts w:ascii="Times New Roman" w:hAnsi="Times New Roman"/>
          <w:sz w:val="24"/>
          <w:szCs w:val="24"/>
        </w:rPr>
        <w:t>L. 513-4</w:t>
      </w:r>
      <w:r>
        <w:rPr>
          <w:rStyle w:val="None"/>
          <w:rFonts w:cs="Times New Roman"/>
          <w:sz w:val="24"/>
          <w:szCs w:val="24"/>
          <w:rtl/>
          <w:lang w:val="ar-SA"/>
        </w:rPr>
        <w:t xml:space="preserve"> من قانون براءات الاختراع الاستخدام غير المُصرّح به لتصميم أو نموذج محمي</w:t>
      </w:r>
      <w:r>
        <w:rPr>
          <w:rStyle w:val="None"/>
          <w:rFonts w:ascii="Times New Roman" w:hAnsi="Times New Roman"/>
          <w:sz w:val="24"/>
          <w:szCs w:val="24"/>
          <w:rtl/>
          <w:lang w:val="ar-SA"/>
        </w:rPr>
        <w:t>.</w:t>
      </w:r>
    </w:p>
    <w:p w14:paraId="2A6EED53"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تحدد المادة </w:t>
      </w:r>
      <w:r>
        <w:rPr>
          <w:rStyle w:val="None"/>
          <w:rFonts w:ascii="Times New Roman" w:hAnsi="Times New Roman"/>
          <w:sz w:val="24"/>
          <w:szCs w:val="24"/>
        </w:rPr>
        <w:t>L. 521-1</w:t>
      </w:r>
      <w:r>
        <w:rPr>
          <w:rStyle w:val="None"/>
          <w:rFonts w:cs="Times New Roman"/>
          <w:sz w:val="24"/>
          <w:szCs w:val="24"/>
          <w:rtl/>
          <w:lang w:val="ar-SA"/>
        </w:rPr>
        <w:t xml:space="preserve"> من قانون براءات الاختراع العقوبات المُطبقة في حالات انتهاك التصميم</w:t>
      </w:r>
      <w:r>
        <w:rPr>
          <w:rStyle w:val="None"/>
          <w:rFonts w:ascii="Times New Roman" w:hAnsi="Times New Roman"/>
          <w:sz w:val="24"/>
          <w:szCs w:val="24"/>
          <w:rtl/>
          <w:lang w:val="ar-SA"/>
        </w:rPr>
        <w:t>.</w:t>
      </w:r>
    </w:p>
    <w:p w14:paraId="7C93488A"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حقوق الطبع والنشر والحقوق المُجاورة</w:t>
      </w:r>
      <w:r>
        <w:rPr>
          <w:rStyle w:val="None"/>
          <w:rFonts w:ascii="Times New Roman" w:hAnsi="Times New Roman"/>
          <w:b/>
          <w:bCs/>
          <w:sz w:val="24"/>
          <w:szCs w:val="24"/>
          <w:rtl/>
          <w:lang w:val="ar-SA"/>
        </w:rPr>
        <w:t>:</w:t>
      </w:r>
    </w:p>
    <w:p w14:paraId="3952C999"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122-4</w:t>
      </w:r>
      <w:r>
        <w:rPr>
          <w:rStyle w:val="None"/>
          <w:rFonts w:cs="Times New Roman"/>
          <w:sz w:val="24"/>
          <w:szCs w:val="24"/>
          <w:rtl/>
          <w:lang w:val="ar-SA"/>
        </w:rPr>
        <w:t xml:space="preserve"> من قانون براءات الاختراع إعادة إنتاج أو تمثيل أي عمل دون إذن المؤلف</w:t>
      </w:r>
      <w:r>
        <w:rPr>
          <w:rStyle w:val="None"/>
          <w:rFonts w:ascii="Times New Roman" w:hAnsi="Times New Roman"/>
          <w:sz w:val="24"/>
          <w:szCs w:val="24"/>
          <w:rtl/>
          <w:lang w:val="ar-SA"/>
        </w:rPr>
        <w:t>.</w:t>
      </w:r>
    </w:p>
    <w:p w14:paraId="380CC8FA"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تنص المادة </w:t>
      </w:r>
      <w:r>
        <w:rPr>
          <w:rStyle w:val="None"/>
          <w:rFonts w:ascii="Times New Roman" w:hAnsi="Times New Roman"/>
          <w:sz w:val="24"/>
          <w:szCs w:val="24"/>
        </w:rPr>
        <w:t>L. 335-2</w:t>
      </w:r>
      <w:r>
        <w:rPr>
          <w:rStyle w:val="None"/>
          <w:rFonts w:cs="Times New Roman"/>
          <w:sz w:val="24"/>
          <w:szCs w:val="24"/>
          <w:rtl/>
          <w:lang w:val="ar-SA"/>
        </w:rPr>
        <w:t xml:space="preserve"> من قانون براءات الاختراع على عقوبات جنائية في حالات انتهاك حقوق الطبع والنشر</w:t>
      </w:r>
      <w:r>
        <w:rPr>
          <w:rStyle w:val="None"/>
          <w:rFonts w:ascii="Times New Roman" w:hAnsi="Times New Roman"/>
          <w:sz w:val="24"/>
          <w:szCs w:val="24"/>
          <w:rtl/>
          <w:lang w:val="ar-SA"/>
        </w:rPr>
        <w:t>.</w:t>
      </w:r>
    </w:p>
    <w:p w14:paraId="5D86E2DB"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أسماء النطاقات والعلامات المميزة الأخرى</w:t>
      </w:r>
      <w:r>
        <w:rPr>
          <w:rStyle w:val="None"/>
          <w:rFonts w:ascii="Times New Roman" w:hAnsi="Times New Roman"/>
          <w:sz w:val="24"/>
          <w:szCs w:val="24"/>
          <w:rtl/>
          <w:lang w:val="ar-SA"/>
        </w:rPr>
        <w:t xml:space="preserve">: </w:t>
      </w:r>
      <w:r>
        <w:rPr>
          <w:rStyle w:val="None"/>
          <w:rFonts w:cs="Times New Roman"/>
          <w:sz w:val="24"/>
          <w:szCs w:val="24"/>
          <w:rtl/>
          <w:lang w:val="ar-SA"/>
        </w:rPr>
        <w:t>إذا كان استخدام اسم نطاق، أو اسم شركة، أو اسم تجاري ينتهك حقًا محميًا سابقًا، يُمكن أيضًا النظر في دعوى المنافسة غير العادلة إلى جانب دعوى انتهاك براءة اختراع بشرط ثبوت انتهاك واضح</w:t>
      </w:r>
      <w:r>
        <w:rPr>
          <w:rStyle w:val="None"/>
          <w:rFonts w:ascii="Times New Roman" w:hAnsi="Times New Roman"/>
          <w:sz w:val="24"/>
          <w:szCs w:val="24"/>
          <w:rtl/>
          <w:lang w:val="ar-SA"/>
        </w:rPr>
        <w:t>.</w:t>
      </w:r>
    </w:p>
    <w:p w14:paraId="1AB9C2B4" w14:textId="77777777" w:rsidR="00454428" w:rsidRDefault="00000000" w:rsidP="00C72BA8">
      <w:pPr>
        <w:pStyle w:val="a8"/>
        <w:bidi/>
        <w:spacing w:before="120" w:after="120" w:line="360" w:lineRule="auto"/>
        <w:ind w:firstLine="720"/>
        <w:jc w:val="both"/>
        <w:rPr>
          <w:rFonts w:hint="default"/>
          <w:rtl/>
        </w:rPr>
      </w:pPr>
      <w:r>
        <w:rPr>
          <w:rStyle w:val="None"/>
          <w:rtl/>
          <w:lang w:val="ar-SA"/>
        </w:rPr>
        <w:t>وجدير بالذكر</w:t>
      </w:r>
      <w:r>
        <w:rPr>
          <w:rStyle w:val="None"/>
          <w:rFonts w:ascii="Times New Roman" w:hAnsi="Times New Roman"/>
          <w:rtl/>
          <w:lang w:val="ar-SA"/>
        </w:rPr>
        <w:t xml:space="preserve">: </w:t>
      </w:r>
      <w:r>
        <w:rPr>
          <w:rStyle w:val="None"/>
          <w:rtl/>
          <w:lang w:val="ar-SA"/>
        </w:rPr>
        <w:t xml:space="preserve">أنَّه من بين الدعاوى المدنية المتاحة أنَّه يمكن للمحكمة أنْ تأمر بأي إجراء متناسب يهدف إلى منع أو إنهاء انتهاك لحقوق الملكية، ولا سيما في العصر الرقمي، مع فرض غرامة في حال عدم الامتثال، وتنص المادة الجديدة </w:t>
      </w:r>
      <w:r>
        <w:rPr>
          <w:rStyle w:val="None"/>
          <w:rFonts w:ascii="Times New Roman" w:hAnsi="Times New Roman"/>
        </w:rPr>
        <w:t>L. 152-5</w:t>
      </w:r>
      <w:r>
        <w:rPr>
          <w:rStyle w:val="None"/>
          <w:rtl/>
          <w:lang w:val="ar-SA"/>
        </w:rPr>
        <w:t xml:space="preserve"> من قانون التجارة الفرنسي على أنَّه بدلًا من الإجراءات التي تسمح بوقف انتهاك السر التجاري، ويجوز للمحكمة، بِناءً على طلب المخالف، أنْ تأمر بدفع تعويض للضحية، وفي هذه الحالة، يتعين على المخالف إثبات </w:t>
      </w:r>
      <w:r>
        <w:rPr>
          <w:rStyle w:val="None"/>
          <w:rFonts w:ascii="Times New Roman" w:hAnsi="Times New Roman"/>
          <w:rtl/>
          <w:lang w:val="ar-SA"/>
        </w:rPr>
        <w:t>(</w:t>
      </w:r>
      <w:r>
        <w:rPr>
          <w:rStyle w:val="None"/>
          <w:rtl/>
          <w:lang w:val="ar-SA"/>
        </w:rPr>
        <w:t>أ</w:t>
      </w:r>
      <w:r>
        <w:rPr>
          <w:rStyle w:val="None"/>
          <w:rFonts w:ascii="Times New Roman" w:hAnsi="Times New Roman"/>
          <w:rtl/>
          <w:lang w:val="ar-SA"/>
        </w:rPr>
        <w:t xml:space="preserve">) </w:t>
      </w:r>
      <w:r>
        <w:rPr>
          <w:rStyle w:val="None"/>
          <w:rtl/>
          <w:lang w:val="ar-SA"/>
        </w:rPr>
        <w:t xml:space="preserve">أنَّه لم يكن يعلم أنَّ السر قد تم الحصول عليه بطريقة غير مشروعة؛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 xml:space="preserve">) </w:t>
      </w:r>
      <w:r>
        <w:rPr>
          <w:rStyle w:val="None"/>
          <w:rtl/>
          <w:lang w:val="ar-SA"/>
        </w:rPr>
        <w:t xml:space="preserve">وأنَّ إجراءات الحظر أو الأمر القضائي ستسبب للمخالف ضررًا غير متناسب؛ ويُحدد مبلغ هذا التعويض، وبالمثل ينصّ البند </w:t>
      </w:r>
      <w:r>
        <w:rPr>
          <w:rStyle w:val="None"/>
          <w:rFonts w:ascii="Times New Roman" w:hAnsi="Times New Roman" w:hint="default"/>
          <w:rtl/>
          <w:lang w:val="ar-SA"/>
        </w:rPr>
        <w:t>§</w:t>
      </w:r>
      <w:r>
        <w:rPr>
          <w:rStyle w:val="None"/>
          <w:rFonts w:ascii="Times New Roman" w:hAnsi="Times New Roman"/>
        </w:rPr>
        <w:t>L. 152-6</w:t>
      </w:r>
      <w:r>
        <w:rPr>
          <w:rStyle w:val="None"/>
          <w:rtl/>
          <w:lang w:val="ar-SA"/>
        </w:rPr>
        <w:t xml:space="preserve"> على منح تعويضات تُقدّر بِناءً على</w:t>
      </w:r>
      <w:r>
        <w:rPr>
          <w:rStyle w:val="None"/>
          <w:rFonts w:ascii="Times New Roman" w:hAnsi="Times New Roman"/>
          <w:rtl/>
          <w:lang w:val="ar-SA"/>
        </w:rPr>
        <w:t>:</w:t>
      </w:r>
    </w:p>
    <w:p w14:paraId="636F3061"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العواقب الاقتصادية السلبية لانتهاك السر التجاري</w:t>
      </w:r>
      <w:r>
        <w:rPr>
          <w:rStyle w:val="None"/>
          <w:rFonts w:ascii="Times New Roman" w:hAnsi="Times New Roman"/>
          <w:rtl/>
          <w:lang w:val="ar-SA"/>
        </w:rPr>
        <w:t>.</w:t>
      </w:r>
    </w:p>
    <w:p w14:paraId="3B9FF3E6"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الضرر المعنوي</w:t>
      </w:r>
      <w:r>
        <w:rPr>
          <w:rStyle w:val="None"/>
          <w:rFonts w:ascii="Times New Roman" w:hAnsi="Times New Roman"/>
          <w:rtl/>
          <w:lang w:val="ar-SA"/>
        </w:rPr>
        <w:t>.</w:t>
      </w:r>
    </w:p>
    <w:p w14:paraId="025C7F4C"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الأرباح التي حققها المُنتهك، بما في ذلك</w:t>
      </w:r>
      <w:r>
        <w:rPr>
          <w:rStyle w:val="None"/>
          <w:rFonts w:ascii="Times New Roman" w:hAnsi="Times New Roman"/>
          <w:rtl/>
          <w:lang w:val="ar-SA"/>
        </w:rPr>
        <w:t xml:space="preserve">: </w:t>
      </w:r>
      <w:r>
        <w:rPr>
          <w:rStyle w:val="None"/>
          <w:rtl/>
          <w:lang w:val="ar-SA"/>
        </w:rPr>
        <w:t xml:space="preserve">المكاسب من خلال الاستثمارات الفكرية والملموسة والترويجية؛ نتيجةً للانتهاك </w:t>
      </w:r>
      <w:r>
        <w:rPr>
          <w:rStyle w:val="None"/>
          <w:rFonts w:ascii="Times New Roman" w:hAnsi="Times New Roman"/>
          <w:vertAlign w:val="superscript"/>
          <w:rtl/>
          <w:lang w:val="ar-SA"/>
        </w:rPr>
        <w:t>(</w:t>
      </w:r>
      <w:r>
        <w:rPr>
          <w:rStyle w:val="None"/>
          <w:vertAlign w:val="superscript"/>
          <w:lang w:val="ar-SA"/>
        </w:rPr>
        <w:footnoteReference w:id="424"/>
      </w:r>
      <w:r>
        <w:rPr>
          <w:rStyle w:val="None"/>
          <w:rFonts w:ascii="Times New Roman" w:hAnsi="Times New Roman"/>
          <w:vertAlign w:val="superscript"/>
          <w:rtl/>
          <w:lang w:val="ar-SA"/>
        </w:rPr>
        <w:t>)</w:t>
      </w:r>
      <w:r>
        <w:rPr>
          <w:rStyle w:val="None"/>
          <w:rFonts w:ascii="Times New Roman" w:hAnsi="Times New Roman"/>
          <w:rtl/>
          <w:lang w:val="ar-SA"/>
        </w:rPr>
        <w:t>.</w:t>
      </w:r>
    </w:p>
    <w:p w14:paraId="318C37B0"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كما نصت المادة</w:t>
      </w:r>
      <w:r>
        <w:rPr>
          <w:rStyle w:val="None"/>
          <w:rFonts w:ascii="Times New Roman" w:hAnsi="Times New Roman"/>
        </w:rPr>
        <w:t xml:space="preserve"> (L331-1-3) </w:t>
      </w:r>
      <w:r>
        <w:rPr>
          <w:rStyle w:val="None"/>
          <w:rtl/>
          <w:lang w:val="ar-SA"/>
        </w:rPr>
        <w:t>من قانون الملكية الفكرية الفرنسي على نقطة تُعتبر حجر الأساس لتحديد التعويض المناسب عن انتهاك الملكية الفكرية الرقمية، ويحدد النص القانوني بوضوح المعايير التي يجب على القضاة اعتبارها عند تحديد تكلفة الأضرار والفوائد، وتنقسم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5"/>
      </w:r>
      <w:r>
        <w:rPr>
          <w:rStyle w:val="None"/>
          <w:rFonts w:ascii="Times New Roman" w:hAnsi="Times New Roman"/>
          <w:vertAlign w:val="superscript"/>
          <w:rtl/>
          <w:lang w:val="ar-SA"/>
        </w:rPr>
        <w:t>)</w:t>
      </w:r>
    </w:p>
    <w:p w14:paraId="6B4133CD"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حيث يأخذ القاضي في الاعتبار الخسارة التي تكبدها الطرف المتضرر والأرباح التي فقدها، ويشمل ذلك أي خسارة مالية مباشرة أو غير مباشرة ناجمة عن التقليد</w:t>
      </w:r>
      <w:r>
        <w:rPr>
          <w:rStyle w:val="None"/>
          <w:rFonts w:ascii="Times New Roman" w:hAnsi="Times New Roman"/>
          <w:rtl/>
          <w:lang w:val="ar-SA"/>
        </w:rPr>
        <w:t>.</w:t>
      </w:r>
    </w:p>
    <w:p w14:paraId="3F6D40A6"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t>الفوائد التي يجنيها الطرف المُنتهك</w:t>
      </w:r>
      <w:r>
        <w:rPr>
          <w:rStyle w:val="None"/>
          <w:rFonts w:ascii="Times New Roman" w:hAnsi="Times New Roman"/>
          <w:rtl/>
          <w:lang w:val="ar-SA"/>
        </w:rPr>
        <w:t xml:space="preserve">: </w:t>
      </w:r>
      <w:r>
        <w:rPr>
          <w:rStyle w:val="None"/>
          <w:rtl/>
          <w:lang w:val="ar-SA"/>
        </w:rPr>
        <w:t>حيث تُؤخذ أيضًا في الاعتبار الأرباح التي حققها الطرف المخالف من خلال أفعاله غير القانونية، والهدف هو منع المخالف من تحقيق أي مكاسب مالية من الانتهاك</w:t>
      </w:r>
      <w:r>
        <w:rPr>
          <w:rStyle w:val="None"/>
          <w:rFonts w:ascii="Times New Roman" w:hAnsi="Times New Roman"/>
          <w:rtl/>
          <w:lang w:val="ar-SA"/>
        </w:rPr>
        <w:t>.</w:t>
      </w:r>
    </w:p>
    <w:p w14:paraId="5D55FFD6"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lastRenderedPageBreak/>
        <w:t>الضرر المعنوي</w:t>
      </w:r>
      <w:r>
        <w:rPr>
          <w:rStyle w:val="None"/>
          <w:rFonts w:ascii="Times New Roman" w:hAnsi="Times New Roman"/>
          <w:rtl/>
          <w:lang w:val="ar-SA"/>
        </w:rPr>
        <w:t xml:space="preserve">: </w:t>
      </w:r>
      <w:r>
        <w:rPr>
          <w:rStyle w:val="None"/>
          <w:rtl/>
          <w:lang w:val="ar-SA"/>
        </w:rPr>
        <w:t>حيث يجب على القاضي مراعاة الضرر المعنوي، الذي لحق بصاحب الحقوق، ويشمل ذلك الإضرار بسمعة العمل، أو المؤلف، أو الفنان، وهو عنصر مهم في التعويض</w:t>
      </w:r>
      <w:r>
        <w:rPr>
          <w:rStyle w:val="None"/>
          <w:rFonts w:ascii="Times New Roman" w:hAnsi="Times New Roman"/>
          <w:rtl/>
          <w:lang w:val="ar-SA"/>
        </w:rPr>
        <w:t>.</w:t>
      </w:r>
    </w:p>
    <w:p w14:paraId="4744A549" w14:textId="77777777" w:rsidR="00454428" w:rsidRDefault="00000000">
      <w:pPr>
        <w:pStyle w:val="a8"/>
        <w:numPr>
          <w:ilvl w:val="0"/>
          <w:numId w:val="170"/>
        </w:numPr>
        <w:bidi/>
        <w:spacing w:before="120" w:after="120" w:line="360" w:lineRule="auto"/>
        <w:jc w:val="both"/>
        <w:rPr>
          <w:rFonts w:hint="default"/>
          <w:rtl/>
          <w:lang w:val="ar-SA"/>
        </w:rPr>
      </w:pPr>
      <w:r>
        <w:rPr>
          <w:rStyle w:val="None"/>
          <w:rtl/>
          <w:lang w:val="ar-SA"/>
        </w:rPr>
        <w:t>بالإضافة إلى العوامل الأساسية المذكورة أعلاه، قد يأخذ القاضي في الاعتبار عناصر أخرى عند تحديد التعويض</w:t>
      </w:r>
      <w:r>
        <w:rPr>
          <w:rStyle w:val="None"/>
          <w:rFonts w:ascii="Times New Roman" w:hAnsi="Times New Roman"/>
        </w:rPr>
        <w:t>:</w:t>
      </w:r>
    </w:p>
    <w:p w14:paraId="2F85B49E" w14:textId="77777777" w:rsidR="00454428" w:rsidRDefault="00000000">
      <w:pPr>
        <w:pStyle w:val="a8"/>
        <w:numPr>
          <w:ilvl w:val="0"/>
          <w:numId w:val="172"/>
        </w:numPr>
        <w:bidi/>
        <w:spacing w:before="120" w:after="120" w:line="360" w:lineRule="auto"/>
        <w:ind w:left="707"/>
        <w:jc w:val="both"/>
        <w:rPr>
          <w:rFonts w:hint="default"/>
          <w:rtl/>
          <w:lang w:val="ar-SA"/>
        </w:rPr>
      </w:pPr>
      <w:r>
        <w:rPr>
          <w:rStyle w:val="None"/>
          <w:b/>
          <w:bCs/>
          <w:rtl/>
          <w:lang w:val="ar-SA"/>
        </w:rPr>
        <w:t>خطورة الخطأ</w:t>
      </w:r>
      <w:r>
        <w:rPr>
          <w:rStyle w:val="None"/>
          <w:rFonts w:ascii="Times New Roman" w:hAnsi="Times New Roman"/>
          <w:rtl/>
          <w:lang w:val="ar-SA"/>
        </w:rPr>
        <w:t xml:space="preserve">: </w:t>
      </w:r>
      <w:r>
        <w:rPr>
          <w:rStyle w:val="None"/>
          <w:rtl/>
          <w:lang w:val="ar-SA"/>
        </w:rPr>
        <w:t>كلما زادت خطورة الانتهاك زاد التعويض، على سبيل المثال</w:t>
      </w:r>
      <w:r>
        <w:rPr>
          <w:rStyle w:val="None"/>
          <w:rFonts w:ascii="Times New Roman" w:hAnsi="Times New Roman"/>
          <w:rtl/>
          <w:lang w:val="ar-SA"/>
        </w:rPr>
        <w:t xml:space="preserve">: </w:t>
      </w:r>
      <w:r>
        <w:rPr>
          <w:rStyle w:val="None"/>
          <w:rtl/>
          <w:lang w:val="ar-SA"/>
        </w:rPr>
        <w:t>قد يؤدي التزوير الذي يتم على نطاق واسع وبشكل منظم إلى عقوبات أشد</w:t>
      </w:r>
      <w:r>
        <w:rPr>
          <w:rStyle w:val="None"/>
          <w:rFonts w:ascii="Times New Roman" w:hAnsi="Times New Roman"/>
          <w:rtl/>
          <w:lang w:val="ar-SA"/>
        </w:rPr>
        <w:t>.</w:t>
      </w:r>
    </w:p>
    <w:p w14:paraId="376ED5BC" w14:textId="77777777" w:rsidR="00454428" w:rsidRDefault="00000000">
      <w:pPr>
        <w:pStyle w:val="a8"/>
        <w:numPr>
          <w:ilvl w:val="0"/>
          <w:numId w:val="172"/>
        </w:numPr>
        <w:bidi/>
        <w:spacing w:before="120" w:after="120" w:line="360" w:lineRule="auto"/>
        <w:ind w:left="707"/>
        <w:jc w:val="both"/>
        <w:rPr>
          <w:rFonts w:hint="default"/>
          <w:color w:val="FF0000"/>
          <w:rtl/>
          <w:lang w:val="ar-SA"/>
        </w:rPr>
      </w:pPr>
      <w:r>
        <w:rPr>
          <w:rStyle w:val="None"/>
          <w:b/>
          <w:bCs/>
          <w:rtl/>
          <w:lang w:val="ar-SA"/>
        </w:rPr>
        <w:t>سوء نية المخالف</w:t>
      </w:r>
      <w:r>
        <w:rPr>
          <w:rStyle w:val="None"/>
          <w:rFonts w:ascii="Times New Roman" w:hAnsi="Times New Roman"/>
          <w:rtl/>
          <w:lang w:val="ar-SA"/>
        </w:rPr>
        <w:t xml:space="preserve">: </w:t>
      </w:r>
      <w:r>
        <w:rPr>
          <w:rStyle w:val="None"/>
          <w:rtl/>
          <w:lang w:val="ar-SA"/>
        </w:rPr>
        <w:t>إذا كان المخالف مدركًا تمامًا لانتهاكه حقوق الآخرين، وأصر على أفعاله عمدًا، فقد يؤثر ذلك على قرار القاضي ويزيد من قيمة التعويض</w:t>
      </w:r>
      <w:r>
        <w:rPr>
          <w:rStyle w:val="None"/>
          <w:rFonts w:ascii="Times New Roman" w:hAnsi="Times New Roman"/>
          <w:rtl/>
          <w:lang w:val="ar-SA"/>
        </w:rPr>
        <w:t>.</w:t>
      </w:r>
    </w:p>
    <w:p w14:paraId="320A59F3"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يحدد النص القانوني بوضوح المعايير التي يجب على القضاة اعتبارها عند تحديد تكلفة الأضرار والفوائد، وفق المادة</w:t>
      </w:r>
      <w:r>
        <w:rPr>
          <w:rStyle w:val="None"/>
          <w:rFonts w:ascii="Times New Roman" w:hAnsi="Times New Roman"/>
        </w:rPr>
        <w:t xml:space="preserve"> (L331-1-3) </w:t>
      </w:r>
      <w:r>
        <w:rPr>
          <w:rStyle w:val="None"/>
          <w:rtl/>
          <w:lang w:val="ar-SA"/>
        </w:rPr>
        <w:t>من قانون الملكية الفكرية الفرنسي، وتنقسم تلك المعايير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6"/>
      </w:r>
      <w:r>
        <w:rPr>
          <w:rStyle w:val="None"/>
          <w:rFonts w:ascii="Times New Roman" w:hAnsi="Times New Roman"/>
          <w:vertAlign w:val="superscript"/>
          <w:rtl/>
          <w:lang w:val="ar-SA"/>
        </w:rPr>
        <w:t>)</w:t>
      </w:r>
    </w:p>
    <w:p w14:paraId="52299226" w14:textId="77777777" w:rsidR="00454428" w:rsidRDefault="00000000">
      <w:pPr>
        <w:pStyle w:val="a8"/>
        <w:numPr>
          <w:ilvl w:val="0"/>
          <w:numId w:val="174"/>
        </w:numPr>
        <w:bidi/>
        <w:spacing w:before="120" w:after="120" w:line="360" w:lineRule="auto"/>
        <w:jc w:val="both"/>
        <w:rPr>
          <w:rFonts w:hint="default"/>
          <w:rtl/>
          <w:lang w:val="ar-SA"/>
        </w:rPr>
      </w:pPr>
      <w:r>
        <w:rPr>
          <w:rStyle w:val="None"/>
          <w:b/>
          <w:bCs/>
          <w:rtl/>
          <w:lang w:val="ar-SA"/>
        </w:rPr>
        <w:t>العواقب الاقتصادية السلبية لانتهاك الحقوق</w:t>
      </w:r>
      <w:r>
        <w:rPr>
          <w:rStyle w:val="None"/>
          <w:rFonts w:ascii="Times New Roman" w:hAnsi="Times New Roman"/>
          <w:color w:val="FF0000"/>
          <w:u w:color="FF0000"/>
          <w:rtl/>
          <w:lang w:val="ar-SA"/>
        </w:rPr>
        <w:t>:</w:t>
      </w:r>
    </w:p>
    <w:p w14:paraId="1FD8919A" w14:textId="77777777" w:rsidR="00454428" w:rsidRDefault="00000000">
      <w:pPr>
        <w:pStyle w:val="a8"/>
        <w:numPr>
          <w:ilvl w:val="0"/>
          <w:numId w:val="172"/>
        </w:numPr>
        <w:bidi/>
        <w:spacing w:before="120" w:after="120" w:line="360" w:lineRule="auto"/>
        <w:ind w:left="720"/>
        <w:jc w:val="both"/>
        <w:rPr>
          <w:rFonts w:hint="default"/>
          <w:rtl/>
          <w:lang w:val="ar-SA"/>
        </w:rPr>
      </w:pPr>
      <w:r>
        <w:rPr>
          <w:rStyle w:val="None"/>
          <w:rtl/>
          <w:lang w:val="ar-SA"/>
        </w:rPr>
        <w:t xml:space="preserve">عند انتهاك الحقوق </w:t>
      </w:r>
      <w:r>
        <w:rPr>
          <w:rStyle w:val="None"/>
          <w:rFonts w:ascii="Times New Roman" w:hAnsi="Times New Roman"/>
          <w:rtl/>
          <w:lang w:val="ar-SA"/>
        </w:rPr>
        <w:t>-</w:t>
      </w:r>
      <w:r>
        <w:rPr>
          <w:rStyle w:val="None"/>
          <w:rtl/>
          <w:lang w:val="ar-SA"/>
        </w:rPr>
        <w:t>مثل</w:t>
      </w:r>
      <w:r>
        <w:rPr>
          <w:rStyle w:val="None"/>
          <w:rFonts w:ascii="Times New Roman" w:hAnsi="Times New Roman"/>
          <w:rtl/>
          <w:lang w:val="ar-SA"/>
        </w:rPr>
        <w:t xml:space="preserve">: </w:t>
      </w:r>
      <w:r>
        <w:rPr>
          <w:rStyle w:val="None"/>
          <w:rtl/>
          <w:lang w:val="ar-SA"/>
        </w:rPr>
        <w:t>التعدي على حقوق النشر، أو براءات الاختراع</w:t>
      </w:r>
      <w:r>
        <w:rPr>
          <w:rStyle w:val="None"/>
          <w:rFonts w:ascii="Times New Roman" w:hAnsi="Times New Roman"/>
          <w:rtl/>
          <w:lang w:val="ar-SA"/>
        </w:rPr>
        <w:t xml:space="preserve">- </w:t>
      </w:r>
      <w:r>
        <w:rPr>
          <w:rStyle w:val="None"/>
          <w:rtl/>
          <w:lang w:val="ar-SA"/>
        </w:rPr>
        <w:t>فإنَّ الطرف المتضرر أو مالك الحق الفكري لا يتمكن من الاستفادة الاقتصادية منها، وقد يؤدي ذلك إلى عدم قدرته على تحقيق أرباح أو حتى الاستمرار في المنافسة</w:t>
      </w:r>
      <w:r>
        <w:rPr>
          <w:rStyle w:val="None"/>
          <w:rFonts w:ascii="Times New Roman" w:hAnsi="Times New Roman"/>
          <w:rtl/>
          <w:lang w:val="ar-SA"/>
        </w:rPr>
        <w:t>.</w:t>
      </w:r>
    </w:p>
    <w:p w14:paraId="52567399" w14:textId="77777777" w:rsidR="00454428" w:rsidRDefault="00000000">
      <w:pPr>
        <w:pStyle w:val="a8"/>
        <w:numPr>
          <w:ilvl w:val="0"/>
          <w:numId w:val="172"/>
        </w:numPr>
        <w:bidi/>
        <w:spacing w:before="120" w:after="120" w:line="360" w:lineRule="auto"/>
        <w:ind w:left="720"/>
        <w:jc w:val="both"/>
        <w:rPr>
          <w:rFonts w:hint="default"/>
          <w:rtl/>
          <w:lang w:val="ar-SA"/>
        </w:rPr>
      </w:pPr>
      <w:r>
        <w:rPr>
          <w:rStyle w:val="None"/>
          <w:rtl/>
          <w:lang w:val="ar-SA"/>
        </w:rPr>
        <w:t>كما أنَّ تلك المخافة قد تتسبب في حرمان صاحب الحق من الحصول على فرص استثمارية أو دخل، كان من الممكن تحقيقه لو لم يتم انتهاك حقه</w:t>
      </w:r>
      <w:r>
        <w:rPr>
          <w:rStyle w:val="None"/>
          <w:rFonts w:ascii="Times New Roman" w:hAnsi="Times New Roman"/>
          <w:rtl/>
          <w:lang w:val="ar-SA"/>
        </w:rPr>
        <w:t>.</w:t>
      </w:r>
    </w:p>
    <w:p w14:paraId="599D8654" w14:textId="77777777" w:rsidR="00454428" w:rsidRDefault="00000000">
      <w:pPr>
        <w:pStyle w:val="a8"/>
        <w:numPr>
          <w:ilvl w:val="0"/>
          <w:numId w:val="175"/>
        </w:numPr>
        <w:bidi/>
        <w:spacing w:before="120" w:after="120" w:line="360" w:lineRule="auto"/>
        <w:jc w:val="both"/>
        <w:rPr>
          <w:rFonts w:hint="default"/>
          <w:rtl/>
          <w:lang w:val="ar-SA"/>
        </w:rPr>
      </w:pPr>
      <w:r>
        <w:rPr>
          <w:rStyle w:val="None"/>
          <w:b/>
          <w:bCs/>
          <w:rtl/>
          <w:lang w:val="ar-SA"/>
        </w:rPr>
        <w:t>العواقب المعنوية</w:t>
      </w:r>
      <w:r>
        <w:rPr>
          <w:rStyle w:val="None"/>
          <w:rFonts w:ascii="Times New Roman" w:hAnsi="Times New Roman"/>
          <w:rtl/>
          <w:lang w:val="ar-SA"/>
        </w:rPr>
        <w:t xml:space="preserve">: </w:t>
      </w:r>
      <w:r>
        <w:rPr>
          <w:rStyle w:val="None"/>
          <w:rtl/>
          <w:lang w:val="ar-SA"/>
        </w:rPr>
        <w:t>كمال يراعي القضاة أنَّ الانتهاك لا يسبب فقط أضرارًا اقتصادية، بل أيضًا أضرارًا معنوية لصاحب الحق، مثل</w:t>
      </w:r>
      <w:r>
        <w:rPr>
          <w:rStyle w:val="None"/>
          <w:rFonts w:ascii="Times New Roman" w:hAnsi="Times New Roman"/>
          <w:rtl/>
          <w:lang w:val="ar-SA"/>
        </w:rPr>
        <w:t xml:space="preserve">: </w:t>
      </w:r>
      <w:r>
        <w:rPr>
          <w:rStyle w:val="None"/>
          <w:rtl/>
          <w:lang w:val="ar-SA"/>
        </w:rPr>
        <w:t>الإضرار بسمعة المُنتهَك، أو القضاء على فرصه الإبداعية؛ حيث تؤخذ هذه الأضرار المعنوية في الاعتبار عند المطالبة بالتعويض</w:t>
      </w:r>
      <w:r>
        <w:rPr>
          <w:rStyle w:val="None"/>
          <w:rFonts w:ascii="Times New Roman" w:hAnsi="Times New Roman"/>
          <w:rtl/>
          <w:lang w:val="ar-SA"/>
        </w:rPr>
        <w:t>.</w:t>
      </w:r>
    </w:p>
    <w:p w14:paraId="0B3724E1" w14:textId="77777777" w:rsidR="00454428" w:rsidRDefault="00000000">
      <w:pPr>
        <w:pStyle w:val="a8"/>
        <w:numPr>
          <w:ilvl w:val="0"/>
          <w:numId w:val="174"/>
        </w:numPr>
        <w:bidi/>
        <w:spacing w:before="120" w:after="120" w:line="360" w:lineRule="auto"/>
        <w:jc w:val="both"/>
        <w:rPr>
          <w:rFonts w:hint="default"/>
          <w:b/>
          <w:bCs/>
          <w:rtl/>
          <w:lang w:val="ar-SA"/>
        </w:rPr>
      </w:pPr>
      <w:r>
        <w:rPr>
          <w:rStyle w:val="None"/>
          <w:b/>
          <w:bCs/>
          <w:rtl/>
          <w:lang w:val="ar-SA"/>
        </w:rPr>
        <w:t>التعويض القضائي</w:t>
      </w:r>
      <w:r>
        <w:rPr>
          <w:rStyle w:val="None"/>
          <w:rFonts w:ascii="Times New Roman" w:hAnsi="Times New Roman"/>
          <w:b/>
          <w:bCs/>
          <w:rtl/>
          <w:lang w:val="ar-SA"/>
        </w:rPr>
        <w:t xml:space="preserve">: </w:t>
      </w:r>
      <w:r>
        <w:rPr>
          <w:rStyle w:val="None"/>
          <w:rtl/>
          <w:lang w:val="ar-SA"/>
        </w:rPr>
        <w:t>يلتزم القضاة بإنصاف صاحب الحق؛ حيث إنَّه إذا لجأ المتضرر إلى القضاء، يمكن للمحكمة أنْ تُلزم الطرف المخالف بدفع تعويض، هذا التعويض قد يكون بديلًا عن الأضرار المادية والمعنوية التي سببها المخالف لصاحب الحق، كما أنَّ التعويض الذي يتم الحكم به قد يكون أعلى من قيمة الرسوم المعتادة؛ لأنَّه يشمل أيضًا الأضرار المادية والمعنوية، بينما يتم حساب التعويض عن الضرر المعنوي بشكل منفصل، فهو لا يدخل ضمن هذه الحسابات التعويضية المادية</w:t>
      </w:r>
      <w:r>
        <w:rPr>
          <w:rStyle w:val="None"/>
          <w:rFonts w:ascii="Times New Roman" w:hAnsi="Times New Roman"/>
          <w:rtl/>
          <w:lang w:val="ar-SA"/>
        </w:rPr>
        <w:t>.</w:t>
      </w:r>
    </w:p>
    <w:p w14:paraId="49C65DBC" w14:textId="77777777" w:rsidR="00645DEB" w:rsidRDefault="00645DEB">
      <w:pPr>
        <w:rPr>
          <w:rStyle w:val="None"/>
          <w:rFonts w:ascii="Arial Unicode MS" w:hAnsi="Arial Unicode MS"/>
          <w:color w:val="000000"/>
          <w:u w:color="000000"/>
          <w:rtl/>
          <w:lang w:val="ar-SA"/>
        </w:rPr>
      </w:pPr>
      <w:r>
        <w:rPr>
          <w:rStyle w:val="None"/>
          <w:rtl/>
          <w:lang w:val="ar-SA"/>
        </w:rPr>
        <w:br w:type="page"/>
      </w:r>
    </w:p>
    <w:p w14:paraId="5D8E6F7A" w14:textId="6386E9DB" w:rsidR="00454428" w:rsidRDefault="00000000" w:rsidP="00C72BA8">
      <w:pPr>
        <w:pStyle w:val="a8"/>
        <w:bidi/>
        <w:spacing w:before="120" w:after="120" w:line="360" w:lineRule="auto"/>
        <w:ind w:firstLine="720"/>
        <w:jc w:val="both"/>
        <w:rPr>
          <w:rStyle w:val="None"/>
          <w:rFonts w:hint="default"/>
          <w:rtl/>
        </w:rPr>
      </w:pPr>
      <w:r>
        <w:rPr>
          <w:rStyle w:val="None"/>
          <w:rtl/>
          <w:lang w:val="ar-SA"/>
        </w:rPr>
        <w:lastRenderedPageBreak/>
        <w:t xml:space="preserve">تناولت المادة </w:t>
      </w:r>
      <w:r>
        <w:rPr>
          <w:rStyle w:val="None"/>
          <w:rFonts w:ascii="Times New Roman" w:hAnsi="Times New Roman"/>
        </w:rPr>
        <w:t>L. 331-1-4</w:t>
      </w:r>
      <w:r>
        <w:rPr>
          <w:rStyle w:val="None"/>
          <w:rtl/>
          <w:lang w:val="ar-SA"/>
        </w:rPr>
        <w:t xml:space="preserve"> من قانون الملكية الفكرية الفرنسي الحقوق المجاورة </w:t>
      </w:r>
      <w:r>
        <w:rPr>
          <w:rStyle w:val="None"/>
          <w:rFonts w:ascii="Times New Roman" w:hAnsi="Times New Roman"/>
          <w:rtl/>
          <w:lang w:val="ar-SA"/>
        </w:rPr>
        <w:t>(</w:t>
      </w:r>
      <w:r>
        <w:rPr>
          <w:rStyle w:val="None"/>
          <w:rFonts w:ascii="Times New Roman" w:hAnsi="Times New Roman"/>
        </w:rPr>
        <w:t>droits voisins</w:t>
      </w:r>
      <w:r>
        <w:rPr>
          <w:rStyle w:val="None"/>
          <w:rFonts w:ascii="Times New Roman" w:hAnsi="Times New Roman"/>
          <w:rtl/>
          <w:lang w:val="ar-SA"/>
        </w:rPr>
        <w:t>)</w:t>
      </w:r>
      <w:r>
        <w:rPr>
          <w:rStyle w:val="None"/>
          <w:rtl/>
          <w:lang w:val="ar-SA"/>
        </w:rPr>
        <w:t>، وهي حقوق تتعلق بحقوق الطبع والنشر، وتنطبق على أشخاص، مثل</w:t>
      </w:r>
      <w:r>
        <w:rPr>
          <w:rStyle w:val="None"/>
          <w:rFonts w:ascii="Times New Roman" w:hAnsi="Times New Roman"/>
          <w:rtl/>
          <w:lang w:val="ar-SA"/>
        </w:rPr>
        <w:t xml:space="preserve">: </w:t>
      </w:r>
      <w:r>
        <w:rPr>
          <w:rStyle w:val="None"/>
          <w:rtl/>
          <w:lang w:val="ar-SA"/>
        </w:rPr>
        <w:t>الفنانين، ومنتجي التسجيلات الصوتية، ومنتجي الفيديو، وهيئات البث الإذاعي والتلفزيوني، وتحدد هذه المادة آليات تعويض انتهاك هذه الحقوق المجاورة؛ حيث تمنح المحاكم الفرنسية سلطة فرض عقوبات على من ينتهكون هذه الحقوق، ومن أبرز أحكامها</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7"/>
      </w:r>
      <w:r>
        <w:rPr>
          <w:rStyle w:val="None"/>
          <w:rFonts w:ascii="Times New Roman" w:hAnsi="Times New Roman"/>
          <w:vertAlign w:val="superscript"/>
          <w:rtl/>
          <w:lang w:val="ar-SA"/>
        </w:rPr>
        <w:t>)</w:t>
      </w:r>
    </w:p>
    <w:p w14:paraId="3C578DD0" w14:textId="77777777" w:rsidR="00454428" w:rsidRDefault="00000000">
      <w:pPr>
        <w:pStyle w:val="a8"/>
        <w:numPr>
          <w:ilvl w:val="0"/>
          <w:numId w:val="177"/>
        </w:numPr>
        <w:bidi/>
        <w:spacing w:before="120" w:after="120" w:line="360" w:lineRule="auto"/>
        <w:jc w:val="both"/>
        <w:rPr>
          <w:rFonts w:hint="default"/>
          <w:rtl/>
          <w:lang w:val="ar-SA"/>
        </w:rPr>
      </w:pPr>
      <w:r>
        <w:rPr>
          <w:rStyle w:val="None"/>
          <w:b/>
          <w:bCs/>
          <w:rtl/>
          <w:lang w:val="ar-SA"/>
        </w:rPr>
        <w:t>التعويض عن الخسائر</w:t>
      </w:r>
      <w:r>
        <w:rPr>
          <w:rStyle w:val="None"/>
          <w:rFonts w:ascii="Times New Roman" w:hAnsi="Times New Roman"/>
          <w:rtl/>
          <w:lang w:val="ar-SA"/>
        </w:rPr>
        <w:t xml:space="preserve">: </w:t>
      </w:r>
      <w:r>
        <w:rPr>
          <w:rStyle w:val="None"/>
          <w:rtl/>
          <w:lang w:val="ar-SA"/>
        </w:rPr>
        <w:t>تتيح هذه المادة للمحكمة تقدير التعويض، بِناءً على عدة عوامل، منها</w:t>
      </w:r>
      <w:r>
        <w:rPr>
          <w:rStyle w:val="None"/>
          <w:rFonts w:ascii="Times New Roman" w:hAnsi="Times New Roman"/>
          <w:rtl/>
          <w:lang w:val="ar-SA"/>
        </w:rPr>
        <w:t xml:space="preserve">: </w:t>
      </w:r>
      <w:r>
        <w:rPr>
          <w:rStyle w:val="None"/>
          <w:rtl/>
          <w:lang w:val="ar-SA"/>
        </w:rPr>
        <w:t>الأرباح التي حققها المنتهك، والخسائر التي تكبدها صاحب الحق، والضرر المعنوي</w:t>
      </w:r>
      <w:r>
        <w:rPr>
          <w:rStyle w:val="None"/>
          <w:rFonts w:ascii="Times New Roman" w:hAnsi="Times New Roman"/>
          <w:rtl/>
          <w:lang w:val="ar-SA"/>
        </w:rPr>
        <w:t>.</w:t>
      </w:r>
    </w:p>
    <w:p w14:paraId="05E82D06" w14:textId="77777777" w:rsidR="00454428" w:rsidRDefault="00000000">
      <w:pPr>
        <w:pStyle w:val="a8"/>
        <w:numPr>
          <w:ilvl w:val="0"/>
          <w:numId w:val="177"/>
        </w:numPr>
        <w:bidi/>
        <w:spacing w:before="120" w:after="120" w:line="360" w:lineRule="auto"/>
        <w:jc w:val="both"/>
        <w:rPr>
          <w:rFonts w:hint="default"/>
          <w:rtl/>
          <w:lang w:val="ar-SA"/>
        </w:rPr>
      </w:pPr>
      <w:r>
        <w:rPr>
          <w:rStyle w:val="None"/>
          <w:b/>
          <w:bCs/>
          <w:rtl/>
          <w:lang w:val="ar-SA"/>
        </w:rPr>
        <w:t>المصادرة</w:t>
      </w:r>
      <w:r>
        <w:rPr>
          <w:rStyle w:val="None"/>
          <w:rFonts w:ascii="Times New Roman" w:hAnsi="Times New Roman"/>
          <w:rtl/>
          <w:lang w:val="ar-SA"/>
        </w:rPr>
        <w:t xml:space="preserve">: </w:t>
      </w:r>
      <w:r>
        <w:rPr>
          <w:rStyle w:val="None"/>
          <w:rtl/>
          <w:lang w:val="ar-SA"/>
        </w:rPr>
        <w:t>يتاح للمحكمة أنْ تقوم بمصادرة الأرباح التي حققها المنتهك؛ بسبب استغلال حقوق الغير</w:t>
      </w:r>
      <w:r>
        <w:rPr>
          <w:rStyle w:val="None"/>
          <w:rFonts w:ascii="Times New Roman" w:hAnsi="Times New Roman"/>
          <w:rtl/>
          <w:lang w:val="ar-SA"/>
        </w:rPr>
        <w:t>.</w:t>
      </w:r>
    </w:p>
    <w:p w14:paraId="3713E518" w14:textId="77777777" w:rsidR="00454428" w:rsidRDefault="00000000">
      <w:pPr>
        <w:pStyle w:val="a8"/>
        <w:numPr>
          <w:ilvl w:val="0"/>
          <w:numId w:val="177"/>
        </w:numPr>
        <w:bidi/>
        <w:spacing w:before="120" w:after="120" w:line="360" w:lineRule="auto"/>
        <w:jc w:val="both"/>
        <w:rPr>
          <w:rFonts w:hint="default"/>
          <w:rtl/>
          <w:lang w:val="ar-SA"/>
        </w:rPr>
      </w:pPr>
      <w:r>
        <w:rPr>
          <w:rStyle w:val="None"/>
          <w:rtl/>
          <w:lang w:val="ar-SA"/>
        </w:rPr>
        <w:t>يمكن للمحكمة أنْ تأمر باتخاذ إجراءات تتعلق بتحسين سمعة المتضرر، من خلال نشر الحكم في المجلات، أو عبر وسائل الاتصال العامة على الإنترنت؛ وذلك لتخفيف الضرر المعنوي</w:t>
      </w:r>
      <w:r>
        <w:rPr>
          <w:rStyle w:val="None"/>
          <w:rFonts w:ascii="Times New Roman" w:hAnsi="Times New Roman"/>
          <w:rtl/>
          <w:lang w:val="ar-SA"/>
        </w:rPr>
        <w:t>.</w:t>
      </w:r>
    </w:p>
    <w:p w14:paraId="1148A01D" w14:textId="77777777" w:rsidR="00454428" w:rsidRDefault="00000000">
      <w:pPr>
        <w:pStyle w:val="a8"/>
        <w:numPr>
          <w:ilvl w:val="0"/>
          <w:numId w:val="177"/>
        </w:numPr>
        <w:bidi/>
        <w:spacing w:before="120" w:after="120" w:line="360" w:lineRule="auto"/>
        <w:jc w:val="both"/>
        <w:rPr>
          <w:rFonts w:hint="default"/>
          <w:rtl/>
          <w:lang w:val="ar-SA"/>
        </w:rPr>
      </w:pPr>
      <w:r>
        <w:rPr>
          <w:rStyle w:val="None"/>
          <w:rFonts w:ascii="Times New Roman" w:hAnsi="Times New Roman"/>
          <w:rtl/>
          <w:lang w:val="ar-SA"/>
        </w:rPr>
        <w:t xml:space="preserve"> </w:t>
      </w:r>
      <w:r>
        <w:rPr>
          <w:rStyle w:val="None"/>
          <w:b/>
          <w:bCs/>
          <w:rtl/>
          <w:lang w:val="ar-SA"/>
        </w:rPr>
        <w:t>التدابير الاحترازية</w:t>
      </w:r>
      <w:r>
        <w:rPr>
          <w:rStyle w:val="None"/>
          <w:rFonts w:ascii="Times New Roman" w:hAnsi="Times New Roman"/>
          <w:rtl/>
          <w:lang w:val="ar-SA"/>
        </w:rPr>
        <w:t xml:space="preserve">: </w:t>
      </w:r>
      <w:r>
        <w:rPr>
          <w:rStyle w:val="None"/>
          <w:rtl/>
          <w:lang w:val="ar-SA"/>
        </w:rPr>
        <w:t>تُخوّل هذه المادة المحكمة اتخاذ تدابير لمنع الضرر، من خلال حجب المحتوى المُنتهك على الإنترنت، أو مصادرة الأصول المصرفية للمُخالف</w:t>
      </w:r>
      <w:r>
        <w:rPr>
          <w:rStyle w:val="None"/>
          <w:rFonts w:ascii="Times New Roman" w:hAnsi="Times New Roman"/>
          <w:rtl/>
          <w:lang w:val="ar-SA"/>
        </w:rPr>
        <w:t>.</w:t>
      </w:r>
    </w:p>
    <w:p w14:paraId="2A333C92" w14:textId="77777777" w:rsidR="00454428" w:rsidRDefault="00000000" w:rsidP="00C72BA8">
      <w:pPr>
        <w:pStyle w:val="a8"/>
        <w:bidi/>
        <w:spacing w:before="120" w:after="120" w:line="360" w:lineRule="auto"/>
        <w:ind w:firstLine="720"/>
        <w:jc w:val="both"/>
        <w:rPr>
          <w:rStyle w:val="NoneA"/>
          <w:rFonts w:hint="default"/>
          <w:rtl/>
        </w:rPr>
      </w:pPr>
      <w:r>
        <w:rPr>
          <w:rStyle w:val="None"/>
          <w:rtl/>
          <w:lang w:val="ar-SA"/>
        </w:rPr>
        <w:t xml:space="preserve">وفقًا للمادة </w:t>
      </w:r>
      <w:r>
        <w:rPr>
          <w:rStyle w:val="None"/>
          <w:rFonts w:ascii="Times New Roman" w:hAnsi="Times New Roman"/>
        </w:rPr>
        <w:t>L. 331-1-3</w:t>
      </w:r>
      <w:r>
        <w:rPr>
          <w:rStyle w:val="None"/>
          <w:rtl/>
          <w:lang w:val="ar-SA"/>
        </w:rPr>
        <w:t xml:space="preserve"> من القانون الفرنسي لحقوق الملكية الفكرية يتم تقييم الأضرار التي نتجت عن انتهاك الملكية الفكرية، من خلال النظر في عدد العوامل</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8"/>
      </w:r>
      <w:r>
        <w:rPr>
          <w:rStyle w:val="None"/>
          <w:rFonts w:ascii="Times New Roman" w:hAnsi="Times New Roman"/>
          <w:vertAlign w:val="superscript"/>
          <w:rtl/>
          <w:lang w:val="ar-SA"/>
        </w:rPr>
        <w:t>)</w:t>
      </w:r>
    </w:p>
    <w:p w14:paraId="0AA7842F"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b/>
          <w:bCs/>
          <w:rtl/>
          <w:lang w:val="ar-SA"/>
        </w:rPr>
        <w:t>:</w:t>
      </w:r>
      <w:r>
        <w:rPr>
          <w:rStyle w:val="None"/>
          <w:rtl/>
          <w:lang w:val="ar-SA"/>
        </w:rPr>
        <w:t xml:space="preserve"> وتشمل الأضرار التي يتكبدها صاحب الحق، مثل</w:t>
      </w:r>
      <w:r>
        <w:rPr>
          <w:rStyle w:val="None"/>
          <w:rFonts w:ascii="Times New Roman" w:hAnsi="Times New Roman"/>
          <w:rtl/>
          <w:lang w:val="ar-SA"/>
        </w:rPr>
        <w:t xml:space="preserve">: </w:t>
      </w:r>
      <w:r>
        <w:rPr>
          <w:rStyle w:val="None"/>
          <w:rtl/>
          <w:lang w:val="ar-SA"/>
        </w:rPr>
        <w:t>الأرباح الضائعة والأرباح التي حققها المُنتهك</w:t>
      </w:r>
      <w:r>
        <w:rPr>
          <w:rStyle w:val="None"/>
          <w:rFonts w:ascii="Times New Roman" w:hAnsi="Times New Roman"/>
          <w:rtl/>
          <w:lang w:val="ar-SA"/>
        </w:rPr>
        <w:t>.</w:t>
      </w:r>
    </w:p>
    <w:p w14:paraId="5786BC11"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الأذى المعنوي</w:t>
      </w:r>
      <w:r>
        <w:rPr>
          <w:rStyle w:val="None"/>
          <w:rFonts w:ascii="Times New Roman" w:hAnsi="Times New Roman"/>
          <w:b/>
          <w:bCs/>
          <w:rtl/>
          <w:lang w:val="ar-SA"/>
        </w:rPr>
        <w:t>:</w:t>
      </w:r>
      <w:r>
        <w:rPr>
          <w:rStyle w:val="None"/>
          <w:rtl/>
          <w:lang w:val="ar-SA"/>
        </w:rPr>
        <w:t xml:space="preserve"> ويتمثل في الخسائر المعنوية التي يتكبدها الشخص المعتدى عليه؛ نتيجة انتهاك حقه، والتي تتعلق بالسمعة، وفقدان الفرص الإبداعية</w:t>
      </w:r>
      <w:r>
        <w:rPr>
          <w:rStyle w:val="None"/>
          <w:rFonts w:ascii="Times New Roman" w:hAnsi="Times New Roman"/>
          <w:rtl/>
          <w:lang w:val="ar-SA"/>
        </w:rPr>
        <w:t>.</w:t>
      </w:r>
    </w:p>
    <w:p w14:paraId="66E9AC78"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المكاسب التي حصل عليها المخالف</w:t>
      </w:r>
      <w:r>
        <w:rPr>
          <w:rStyle w:val="None"/>
          <w:rFonts w:ascii="Times New Roman" w:hAnsi="Times New Roman"/>
          <w:b/>
          <w:bCs/>
          <w:rtl/>
          <w:lang w:val="ar-SA"/>
        </w:rPr>
        <w:t>:</w:t>
      </w:r>
      <w:r>
        <w:rPr>
          <w:rStyle w:val="None"/>
          <w:rtl/>
          <w:lang w:val="ar-SA"/>
        </w:rPr>
        <w:t xml:space="preserve"> وتتضمن الأرباح التي حصل عليها بشكل غير مستحق من خلال استغلال حقوق الغير، علاوةً على تكاليف الترخيص التي كان يجب عليه تقديمها للحصول على الحق بشكل قانوني</w:t>
      </w:r>
      <w:r>
        <w:rPr>
          <w:rStyle w:val="None"/>
          <w:rFonts w:ascii="Times New Roman" w:hAnsi="Times New Roman"/>
          <w:rtl/>
          <w:lang w:val="ar-SA"/>
        </w:rPr>
        <w:t>.</w:t>
      </w:r>
    </w:p>
    <w:p w14:paraId="2D8A5EB2"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التعويض البديل</w:t>
      </w:r>
      <w:r>
        <w:rPr>
          <w:rStyle w:val="None"/>
          <w:rFonts w:ascii="Times New Roman" w:hAnsi="Times New Roman"/>
          <w:b/>
          <w:bCs/>
          <w:rtl/>
          <w:lang w:val="ar-SA"/>
        </w:rPr>
        <w:t>:</w:t>
      </w:r>
      <w:r>
        <w:rPr>
          <w:rStyle w:val="None"/>
          <w:rtl/>
          <w:lang w:val="ar-SA"/>
        </w:rPr>
        <w:t xml:space="preserve"> تنص المادة أيضًا على أنَّه يجوز للقاضي أنْ يقوم بمنح صاحب الحق المسلوب تعويضًا إجماليًّا عن كافة الخسائر</w:t>
      </w:r>
      <w:r>
        <w:rPr>
          <w:rStyle w:val="None"/>
          <w:rFonts w:ascii="Times New Roman" w:hAnsi="Times New Roman"/>
          <w:rtl/>
          <w:lang w:val="ar-SA"/>
        </w:rPr>
        <w:t>.</w:t>
      </w:r>
    </w:p>
    <w:p w14:paraId="305FAA1B" w14:textId="77777777" w:rsidR="00454428" w:rsidRDefault="00000000" w:rsidP="00C72BA8">
      <w:pPr>
        <w:pStyle w:val="a8"/>
        <w:bidi/>
        <w:spacing w:before="120" w:after="120" w:line="360" w:lineRule="auto"/>
        <w:ind w:firstLine="720"/>
        <w:jc w:val="both"/>
        <w:rPr>
          <w:rStyle w:val="NoneA"/>
          <w:rFonts w:hint="default"/>
          <w:rtl/>
        </w:rPr>
      </w:pPr>
      <w:r>
        <w:rPr>
          <w:rStyle w:val="None"/>
          <w:rtl/>
          <w:lang w:val="ar-SA"/>
        </w:rPr>
        <w:t xml:space="preserve">وعليه فقد أقرت المادة </w:t>
      </w:r>
      <w:r>
        <w:rPr>
          <w:rStyle w:val="None"/>
          <w:rFonts w:ascii="Times New Roman" w:hAnsi="Times New Roman"/>
          <w:shd w:val="clear" w:color="auto" w:fill="FFFFFF"/>
        </w:rPr>
        <w:t>L335-2</w:t>
      </w:r>
      <w:r>
        <w:rPr>
          <w:rStyle w:val="None"/>
          <w:shd w:val="clear" w:color="auto" w:fill="FFFFFF"/>
          <w:rtl/>
          <w:lang w:val="ar-SA"/>
        </w:rPr>
        <w:t xml:space="preserve"> أنَّ استغلال أو نسخ</w:t>
      </w:r>
      <w:r>
        <w:rPr>
          <w:rStyle w:val="None"/>
          <w:rFonts w:ascii="Times New Roman" w:hAnsi="Times New Roman"/>
          <w:b/>
          <w:bCs/>
          <w:shd w:val="clear" w:color="auto" w:fill="FFFFFF"/>
          <w:rtl/>
          <w:lang w:val="ar-SA"/>
        </w:rPr>
        <w:t xml:space="preserve"> </w:t>
      </w:r>
      <w:r>
        <w:rPr>
          <w:rStyle w:val="None"/>
          <w:rtl/>
          <w:lang w:val="ar-SA"/>
        </w:rPr>
        <w:t xml:space="preserve">أي من الكتابات، أو المؤلفات الموسيقية، والرسومات، أو أي عمل آخر، سواء كان تناظريًّا أو رقميًّا يُعَدُّ انتهاكًا للحقوق الفكرية، وتكون عقوبتها السجن وتعويض بقيمة </w:t>
      </w:r>
      <w:r>
        <w:rPr>
          <w:rStyle w:val="None"/>
          <w:rFonts w:ascii="Times New Roman" w:hAnsi="Times New Roman"/>
          <w:rtl/>
          <w:lang w:val="ar-SA"/>
        </w:rPr>
        <w:t xml:space="preserve">300000 </w:t>
      </w:r>
      <w:r>
        <w:rPr>
          <w:rStyle w:val="None"/>
          <w:rtl/>
          <w:lang w:val="ar-SA"/>
        </w:rPr>
        <w:t>يورو للمحاكمة في فرنسا</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29"/>
      </w:r>
      <w:r>
        <w:rPr>
          <w:rStyle w:val="None"/>
          <w:rFonts w:ascii="Times New Roman" w:hAnsi="Times New Roman"/>
          <w:vertAlign w:val="superscript"/>
          <w:rtl/>
          <w:lang w:val="ar-SA"/>
        </w:rPr>
        <w:t>)</w:t>
      </w:r>
    </w:p>
    <w:p w14:paraId="610DA6AC"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lastRenderedPageBreak/>
        <w:t xml:space="preserve">كما حددت المادة </w:t>
      </w:r>
      <w:r>
        <w:rPr>
          <w:rStyle w:val="None"/>
          <w:rFonts w:ascii="Times New Roman" w:hAnsi="Times New Roman"/>
        </w:rPr>
        <w:t>L716-14</w:t>
      </w:r>
      <w:r>
        <w:rPr>
          <w:rStyle w:val="None"/>
          <w:rtl/>
          <w:lang w:val="ar-SA"/>
        </w:rPr>
        <w:t xml:space="preserve"> من قانون الملكية الفكرية الفرنسي التعويضات عن انتهاك العلامة التجارية، وهي تُشبه المادة </w:t>
      </w:r>
      <w:r>
        <w:rPr>
          <w:rStyle w:val="None"/>
          <w:rFonts w:ascii="Times New Roman" w:hAnsi="Times New Roman"/>
        </w:rPr>
        <w:t>L331-1-3</w:t>
      </w:r>
      <w:r>
        <w:rPr>
          <w:rStyle w:val="None"/>
          <w:rtl/>
          <w:lang w:val="ar-SA"/>
        </w:rPr>
        <w:t xml:space="preserve"> التي ناقشناها سابقًا، ولكنها تُطبق على العلامات التجارية، بدلًا من حقوق الطبع والنشر، وتُرسي هذه المادة المبادئ التي يجب على المحاكم الفرنسية اتباعها عند تحديد التعويضات عن انتهاك العلامة التجارية، والهدف هو ضمان أنْ يكون التعويض عادلًا وشاملًا؛ بحيث يغطي الأضرار المادية والمعنوية على حد سواء، ويحرم المُنتهك من أي مكاسب غير مشروعة، من خلال النظر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0"/>
      </w:r>
      <w:r>
        <w:rPr>
          <w:rStyle w:val="None"/>
          <w:rFonts w:ascii="Times New Roman" w:hAnsi="Times New Roman"/>
          <w:vertAlign w:val="superscript"/>
          <w:rtl/>
          <w:lang w:val="ar-SA"/>
        </w:rPr>
        <w:t>)</w:t>
      </w:r>
    </w:p>
    <w:p w14:paraId="63BFFEA8"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والتي تشمل الأرباح، التي خسرها الطرف المتضرر؛ نتيجة انتهاك العلامة التجارية، بالإضافة إلى الخسائر الأخرى المُتكبدة</w:t>
      </w:r>
      <w:r>
        <w:rPr>
          <w:rStyle w:val="None"/>
          <w:rFonts w:ascii="Times New Roman" w:hAnsi="Times New Roman"/>
          <w:rtl/>
          <w:lang w:val="ar-SA"/>
        </w:rPr>
        <w:t>.</w:t>
      </w:r>
    </w:p>
    <w:p w14:paraId="57995BA1"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يجب على القاضي أنْ يأخذ في الاعتبار الضرر المعنوي الذي لحق بالطرف المتضرر، قد يشمل ذلك الإضرار بسمعة العلامة التجارية، أو تشويه صورتها في السوق</w:t>
      </w:r>
      <w:r>
        <w:rPr>
          <w:rStyle w:val="None"/>
          <w:rFonts w:ascii="Times New Roman" w:hAnsi="Times New Roman"/>
          <w:rtl/>
          <w:lang w:val="ar-SA"/>
        </w:rPr>
        <w:t>.</w:t>
      </w:r>
    </w:p>
    <w:p w14:paraId="315D1F35"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أرباح المنتهك</w:t>
      </w:r>
      <w:r>
        <w:rPr>
          <w:rStyle w:val="None"/>
          <w:rFonts w:ascii="Times New Roman" w:hAnsi="Times New Roman"/>
          <w:rtl/>
          <w:lang w:val="ar-SA"/>
        </w:rPr>
        <w:t xml:space="preserve">: </w:t>
      </w:r>
      <w:r>
        <w:rPr>
          <w:rStyle w:val="None"/>
          <w:rtl/>
          <w:lang w:val="ar-SA"/>
        </w:rPr>
        <w:t>تُحسب أيضًا الفوائد التي حققها الطرف المتعدي من خلال استخدام العلامة التجارية، ويشمل ذلك أي وفورات في تكاليف الإنتاج والتسويق لم يكن عليه تحملها؛ ممَّا يضمن عدم استفادة المنتهك من انتهاكه</w:t>
      </w:r>
      <w:r>
        <w:rPr>
          <w:rStyle w:val="None"/>
          <w:rFonts w:ascii="Times New Roman" w:hAnsi="Times New Roman"/>
          <w:rtl/>
          <w:lang w:val="ar-SA"/>
        </w:rPr>
        <w:t>.</w:t>
      </w:r>
    </w:p>
    <w:p w14:paraId="5C83076C"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 xml:space="preserve">التعويض البديل </w:t>
      </w:r>
      <w:r>
        <w:rPr>
          <w:rStyle w:val="None"/>
          <w:rFonts w:ascii="Times New Roman" w:hAnsi="Times New Roman"/>
          <w:b/>
          <w:bCs/>
          <w:rtl/>
          <w:lang w:val="ar-SA"/>
        </w:rPr>
        <w:t>(</w:t>
      </w:r>
      <w:r>
        <w:rPr>
          <w:rStyle w:val="None"/>
          <w:rFonts w:ascii="Times New Roman" w:hAnsi="Times New Roman"/>
          <w:b/>
          <w:bCs/>
        </w:rPr>
        <w:t>Forfaitaire</w:t>
      </w:r>
      <w:r>
        <w:rPr>
          <w:rStyle w:val="None"/>
          <w:rFonts w:ascii="Times New Roman" w:hAnsi="Times New Roman"/>
          <w:b/>
          <w:bCs/>
          <w:rtl/>
          <w:lang w:val="ar-SA"/>
        </w:rPr>
        <w:t>):</w:t>
      </w:r>
      <w:r>
        <w:rPr>
          <w:rStyle w:val="None"/>
          <w:rtl/>
          <w:lang w:val="ar-SA"/>
        </w:rPr>
        <w:t xml:space="preserve"> بِناءً على طلب الطرف المتضرر، يجوز للقاضي أنْ يُمنَحَ مبلغًا إجماليًا كتعويض بديل، يجب أنْ يكون هذا المبلغ أعلى من الرسوم أو الإتاوات التي كان المنتهك سيدفعها لو حصل على إذن قانوني باستخدام العلامة التجارية، ولا يُغني هذا المبلغ عن التعويض عن الأضرار المعنوية، بمعنى آخر</w:t>
      </w:r>
      <w:r>
        <w:rPr>
          <w:rStyle w:val="None"/>
          <w:rFonts w:ascii="Times New Roman" w:hAnsi="Times New Roman"/>
          <w:rtl/>
          <w:lang w:val="ar-SA"/>
        </w:rPr>
        <w:t xml:space="preserve">: </w:t>
      </w:r>
      <w:r>
        <w:rPr>
          <w:rStyle w:val="None"/>
          <w:rtl/>
          <w:lang w:val="ar-SA"/>
        </w:rPr>
        <w:t>يجوز للقاضي أنْ يمنح تعويضًا بديلًا عن الخسائر المادية، بالإضافة إلى تعويض منفصل عن الأضرار المعنوية</w:t>
      </w:r>
      <w:r>
        <w:rPr>
          <w:rStyle w:val="None"/>
          <w:rFonts w:ascii="Times New Roman" w:hAnsi="Times New Roman"/>
          <w:rtl/>
          <w:lang w:val="ar-SA"/>
        </w:rPr>
        <w:t>.</w:t>
      </w:r>
    </w:p>
    <w:p w14:paraId="29C0ABE7" w14:textId="77777777" w:rsidR="00454428" w:rsidRDefault="00000000" w:rsidP="00C72BA8">
      <w:pPr>
        <w:pStyle w:val="a8"/>
        <w:bidi/>
        <w:spacing w:before="120" w:after="120" w:line="360" w:lineRule="auto"/>
        <w:jc w:val="both"/>
        <w:rPr>
          <w:rStyle w:val="None"/>
          <w:rFonts w:hint="default"/>
          <w:sz w:val="28"/>
          <w:szCs w:val="28"/>
          <w:rtl/>
          <w:lang w:val="ar-SA"/>
        </w:rPr>
      </w:pPr>
      <w:r>
        <w:rPr>
          <w:rStyle w:val="None"/>
          <w:b/>
          <w:bCs/>
          <w:sz w:val="28"/>
          <w:szCs w:val="28"/>
          <w:rtl/>
          <w:lang w:val="ar-SA"/>
        </w:rPr>
        <w:t>ثانيًا</w:t>
      </w:r>
      <w:r>
        <w:rPr>
          <w:rStyle w:val="None"/>
          <w:rFonts w:ascii="Times New Roman" w:hAnsi="Times New Roman"/>
          <w:b/>
          <w:bCs/>
          <w:sz w:val="28"/>
          <w:szCs w:val="28"/>
          <w:rtl/>
          <w:lang w:val="ar-SA"/>
        </w:rPr>
        <w:t xml:space="preserve">: </w:t>
      </w:r>
      <w:r>
        <w:rPr>
          <w:rStyle w:val="None"/>
          <w:b/>
          <w:bCs/>
          <w:sz w:val="28"/>
          <w:szCs w:val="28"/>
          <w:rtl/>
          <w:lang w:val="ar-SA"/>
        </w:rPr>
        <w:t>التعويض عن الاعتداء على حقوق الملكية الفكرية في البيئة الرقمية في القانون الأمريكي</w:t>
      </w:r>
      <w:r>
        <w:rPr>
          <w:rStyle w:val="None"/>
          <w:rFonts w:ascii="Times New Roman" w:hAnsi="Times New Roman"/>
          <w:b/>
          <w:bCs/>
          <w:sz w:val="28"/>
          <w:szCs w:val="28"/>
          <w:rtl/>
          <w:lang w:val="ar-SA"/>
        </w:rPr>
        <w:t>:</w:t>
      </w:r>
    </w:p>
    <w:p w14:paraId="5F8F8572"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 xml:space="preserve">تُعَدُّ المادة </w:t>
      </w:r>
      <w:r>
        <w:rPr>
          <w:rStyle w:val="None"/>
          <w:rFonts w:ascii="Times New Roman" w:hAnsi="Times New Roman"/>
          <w:rtl/>
          <w:lang w:val="ar-SA"/>
        </w:rPr>
        <w:t xml:space="preserve">504 </w:t>
      </w:r>
      <w:r>
        <w:rPr>
          <w:rStyle w:val="None"/>
          <w:rtl/>
          <w:lang w:val="ar-SA"/>
        </w:rPr>
        <w:t>من قانون حقوق الطبع والنشر الأمريكي حجر الزاوية في تحديد التعويضات المالية عن انتهاك حقوق الطبع والنشر، وتنص تلك المادة على أنَّ منتهك حقوق الطبع والنشر مسئول عن دفع إحدى مجموعتين من التعويضات، والتي يختارها مالك حقوق الطبع والنشر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1"/>
      </w:r>
      <w:r>
        <w:rPr>
          <w:rStyle w:val="None"/>
          <w:rFonts w:ascii="Times New Roman" w:hAnsi="Times New Roman"/>
          <w:vertAlign w:val="superscript"/>
          <w:rtl/>
          <w:lang w:val="ar-SA"/>
        </w:rPr>
        <w:t>)</w:t>
      </w:r>
    </w:p>
    <w:p w14:paraId="1FFF6006"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تمنح المادة </w:t>
      </w:r>
      <w:r>
        <w:rPr>
          <w:rStyle w:val="None"/>
          <w:rFonts w:ascii="Times New Roman" w:hAnsi="Times New Roman"/>
          <w:sz w:val="24"/>
          <w:szCs w:val="24"/>
          <w:rtl/>
          <w:lang w:val="ar-SA"/>
        </w:rPr>
        <w:t>504(</w:t>
      </w:r>
      <w:r>
        <w:rPr>
          <w:rStyle w:val="None"/>
          <w:rFonts w:cs="Times New Roman"/>
          <w:sz w:val="24"/>
          <w:szCs w:val="24"/>
          <w:rtl/>
          <w:lang w:val="ar-SA"/>
        </w:rPr>
        <w:t>ب</w:t>
      </w:r>
      <w:r>
        <w:rPr>
          <w:rStyle w:val="None"/>
          <w:rFonts w:ascii="Times New Roman" w:hAnsi="Times New Roman"/>
          <w:sz w:val="24"/>
          <w:szCs w:val="24"/>
          <w:rtl/>
          <w:lang w:val="ar-SA"/>
        </w:rPr>
        <w:t xml:space="preserve">) </w:t>
      </w:r>
      <w:r>
        <w:rPr>
          <w:rStyle w:val="None"/>
          <w:rFonts w:cs="Times New Roman"/>
          <w:sz w:val="24"/>
          <w:szCs w:val="24"/>
          <w:rtl/>
          <w:lang w:val="ar-SA"/>
        </w:rPr>
        <w:t>لمالك حقوق الطبع والنشر الحق في استرداد الخسائر الفعلية التي تكبدها، بالإضافة إلى أي أرباح إضافية حققها المنتهك نتيجةً للانتهاك</w:t>
      </w:r>
      <w:r>
        <w:rPr>
          <w:rStyle w:val="None"/>
          <w:rFonts w:ascii="Times New Roman" w:hAnsi="Times New Roman"/>
          <w:sz w:val="24"/>
          <w:szCs w:val="24"/>
        </w:rPr>
        <w:t>.</w:t>
      </w:r>
    </w:p>
    <w:p w14:paraId="23139874"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التعويضات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حيث يعطي القانون المتضرر الحق في الحصول على التعويض القانوني، فبدلًا من محاولة إثبات الأضرار الفعلية والأرباح، وهو ما قد يكون صعبًا، يمكن لمالك حقوق الطبع والنشر أنْ يختار الحصول على التعويضات القانونية بموجب المادة </w:t>
      </w:r>
      <w:r>
        <w:rPr>
          <w:rStyle w:val="None"/>
          <w:rFonts w:ascii="Times New Roman" w:hAnsi="Times New Roman"/>
          <w:sz w:val="24"/>
          <w:szCs w:val="24"/>
          <w:rtl/>
          <w:lang w:val="ar-SA"/>
        </w:rPr>
        <w:t>504(</w:t>
      </w:r>
      <w:r>
        <w:rPr>
          <w:rStyle w:val="None"/>
          <w:rFonts w:cs="Times New Roman"/>
          <w:sz w:val="24"/>
          <w:szCs w:val="24"/>
          <w:rtl/>
          <w:lang w:val="ar-SA"/>
        </w:rPr>
        <w:t>ج</w:t>
      </w:r>
      <w:r>
        <w:rPr>
          <w:rStyle w:val="None"/>
          <w:rFonts w:ascii="Times New Roman" w:hAnsi="Times New Roman"/>
          <w:sz w:val="24"/>
          <w:szCs w:val="24"/>
          <w:rtl/>
          <w:lang w:val="ar-SA"/>
        </w:rPr>
        <w:t>)</w:t>
      </w:r>
      <w:r>
        <w:rPr>
          <w:rStyle w:val="None"/>
          <w:rFonts w:ascii="Times New Roman" w:hAnsi="Times New Roman"/>
          <w:sz w:val="24"/>
          <w:szCs w:val="24"/>
        </w:rPr>
        <w:t>.</w:t>
      </w:r>
    </w:p>
    <w:p w14:paraId="41CC5E8D"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مبلغ التعويض</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تتراوح التعويضات القانونية عادةً بين </w:t>
      </w:r>
      <w:r>
        <w:rPr>
          <w:rStyle w:val="None"/>
          <w:rFonts w:ascii="Times New Roman" w:hAnsi="Times New Roman"/>
          <w:sz w:val="24"/>
          <w:szCs w:val="24"/>
          <w:rtl/>
          <w:lang w:val="ar-SA"/>
        </w:rPr>
        <w:t xml:space="preserve">750 </w:t>
      </w:r>
      <w:r>
        <w:rPr>
          <w:rStyle w:val="None"/>
          <w:rFonts w:cs="Times New Roman"/>
          <w:sz w:val="24"/>
          <w:szCs w:val="24"/>
          <w:rtl/>
          <w:lang w:val="ar-SA"/>
        </w:rPr>
        <w:t>و</w:t>
      </w:r>
      <w:r>
        <w:rPr>
          <w:rStyle w:val="None"/>
          <w:rFonts w:ascii="Times New Roman" w:hAnsi="Times New Roman"/>
          <w:sz w:val="24"/>
          <w:szCs w:val="24"/>
          <w:rtl/>
          <w:lang w:val="ar-SA"/>
        </w:rPr>
        <w:t xml:space="preserve">30,000 </w:t>
      </w:r>
      <w:r>
        <w:rPr>
          <w:rStyle w:val="None"/>
          <w:rFonts w:cs="Times New Roman"/>
          <w:sz w:val="24"/>
          <w:szCs w:val="24"/>
          <w:rtl/>
          <w:lang w:val="ar-SA"/>
        </w:rPr>
        <w:t>دولارٍ لكل عمل تم انتهاكه، ويحددها القاضي</w:t>
      </w:r>
      <w:r>
        <w:rPr>
          <w:rStyle w:val="None"/>
          <w:rFonts w:ascii="Times New Roman" w:hAnsi="Times New Roman"/>
          <w:sz w:val="24"/>
          <w:szCs w:val="24"/>
          <w:rtl/>
          <w:lang w:val="ar-SA"/>
        </w:rPr>
        <w:t>.</w:t>
      </w:r>
    </w:p>
    <w:p w14:paraId="58541AD7"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ثبت أنَّ الانتهاك كان متعمدًا، يمكن أنْ يزيد مبلغ التعويضات القانونية إلى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لكل عمل</w:t>
      </w:r>
      <w:r>
        <w:rPr>
          <w:rStyle w:val="None"/>
          <w:rFonts w:ascii="Times New Roman" w:hAnsi="Times New Roman"/>
          <w:sz w:val="24"/>
          <w:szCs w:val="24"/>
          <w:rtl/>
          <w:lang w:val="ar-SA"/>
        </w:rPr>
        <w:t>.</w:t>
      </w:r>
    </w:p>
    <w:p w14:paraId="2D969F38"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غير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حالات الانتهاك غير المتعمد، يمكن أنْ يُخفض مبلغ التعويضات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w:t>
      </w:r>
      <w:r>
        <w:rPr>
          <w:rStyle w:val="None"/>
          <w:rFonts w:ascii="Times New Roman" w:hAnsi="Times New Roman"/>
          <w:sz w:val="24"/>
          <w:szCs w:val="24"/>
          <w:rtl/>
          <w:lang w:val="ar-SA"/>
        </w:rPr>
        <w:t>.</w:t>
      </w:r>
    </w:p>
    <w:p w14:paraId="0666FD84"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وبشكل عام يكون منتهك حقوق الملكية الفكرية الرقمية مسئولًا عن</w:t>
      </w:r>
      <w:r>
        <w:rPr>
          <w:rStyle w:val="None"/>
          <w:rFonts w:ascii="Times New Roman" w:hAnsi="Times New Roman"/>
          <w:rtl/>
          <w:lang w:val="ar-SA"/>
        </w:rPr>
        <w:t xml:space="preserve">: </w:t>
      </w:r>
      <w:r>
        <w:rPr>
          <w:rStyle w:val="None"/>
          <w:rtl/>
          <w:lang w:val="ar-SA"/>
        </w:rPr>
        <w:t xml:space="preserve">الأضرار الفعلية التي لحقت بمالك الحقوق وأي أرباح إضافية حققها، وفقًا لما هو منصوص عليه في الفقرة الفرعية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w:t>
      </w:r>
      <w:r>
        <w:rPr>
          <w:rStyle w:val="None"/>
          <w:rtl/>
          <w:lang w:val="ar-SA"/>
        </w:rPr>
        <w:t xml:space="preserve">، أو الأضرار القانونية، وفقًا لما هو منصوص عليه في الفقرة الفرعية </w:t>
      </w:r>
      <w:r>
        <w:rPr>
          <w:rStyle w:val="None"/>
          <w:rFonts w:ascii="Times New Roman" w:hAnsi="Times New Roman"/>
          <w:rtl/>
          <w:lang w:val="ar-SA"/>
        </w:rPr>
        <w:t>(</w:t>
      </w:r>
      <w:r>
        <w:rPr>
          <w:rStyle w:val="None"/>
          <w:rtl/>
          <w:lang w:val="ar-SA"/>
        </w:rPr>
        <w:t>ج</w:t>
      </w:r>
      <w:r>
        <w:rPr>
          <w:rStyle w:val="None"/>
          <w:rFonts w:ascii="Times New Roman" w:hAnsi="Times New Roman"/>
          <w:rtl/>
          <w:lang w:val="ar-SA"/>
        </w:rPr>
        <w:t>)</w:t>
      </w:r>
      <w:r>
        <w:rPr>
          <w:rStyle w:val="None"/>
          <w:rtl/>
          <w:lang w:val="ar-SA"/>
        </w:rPr>
        <w:t xml:space="preserve">، والأضرار والأرباح الفعلية، ويحق للمالك استرداد الأضرار الفعلية التي لحقت به نتيجةً للانتهاك، وأي أرباح حققها المخالف تُعزى إليه ولم تُؤخذ في الاعتبار عند حساب الأضرار الفعلية، كما يجوز للمالك في أي وقت قبل صدور الحكم النهائي، أنْ يختار </w:t>
      </w:r>
      <w:r>
        <w:rPr>
          <w:rStyle w:val="None"/>
          <w:rFonts w:ascii="Times New Roman" w:hAnsi="Times New Roman"/>
          <w:rtl/>
          <w:lang w:val="ar-SA"/>
        </w:rPr>
        <w:t>-</w:t>
      </w:r>
      <w:r>
        <w:rPr>
          <w:rStyle w:val="None"/>
          <w:rtl/>
          <w:lang w:val="ar-SA"/>
        </w:rPr>
        <w:t>بدلًا من التعويضات والأرباح الفعلية</w:t>
      </w:r>
      <w:r>
        <w:rPr>
          <w:rStyle w:val="None"/>
          <w:rFonts w:ascii="Times New Roman" w:hAnsi="Times New Roman"/>
          <w:rtl/>
          <w:lang w:val="ar-SA"/>
        </w:rPr>
        <w:t xml:space="preserve">- </w:t>
      </w:r>
      <w:r>
        <w:rPr>
          <w:rStyle w:val="None"/>
          <w:rtl/>
          <w:lang w:val="ar-SA"/>
        </w:rPr>
        <w:t xml:space="preserve">الحصول على تعويضات قانونية عن جميع الانتهاكات المتضمنة في الدعوى، فيما يتعلق بأي عمل واحد، بمبلغ لا يقل عن </w:t>
      </w:r>
      <w:r>
        <w:rPr>
          <w:rStyle w:val="None"/>
          <w:rFonts w:ascii="Times New Roman" w:hAnsi="Times New Roman"/>
          <w:rtl/>
          <w:lang w:val="ar-SA"/>
        </w:rPr>
        <w:t xml:space="preserve">750 </w:t>
      </w:r>
      <w:r>
        <w:rPr>
          <w:rStyle w:val="None"/>
          <w:rtl/>
          <w:lang w:val="ar-SA"/>
        </w:rPr>
        <w:t xml:space="preserve">دولارًا أمريكيًا، ولا يزيد عن </w:t>
      </w:r>
      <w:r>
        <w:rPr>
          <w:rStyle w:val="None"/>
          <w:rFonts w:ascii="Times New Roman" w:hAnsi="Times New Roman"/>
          <w:rtl/>
          <w:lang w:val="ar-SA"/>
        </w:rPr>
        <w:t xml:space="preserve">30,000 </w:t>
      </w:r>
      <w:r>
        <w:rPr>
          <w:rStyle w:val="None"/>
          <w:rtl/>
          <w:lang w:val="ar-SA"/>
        </w:rPr>
        <w:t>دولارٍ أمريكيٍّ، حسبما تراه المحكمة عادلًا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vertAlign w:val="superscript"/>
          <w:rtl/>
          <w:lang w:val="ar-SA"/>
        </w:rPr>
        <w:footnoteReference w:id="432"/>
      </w:r>
      <w:r>
        <w:rPr>
          <w:rStyle w:val="None"/>
          <w:rFonts w:ascii="Times New Roman" w:hAnsi="Times New Roman"/>
          <w:vertAlign w:val="superscript"/>
          <w:rtl/>
          <w:lang w:val="ar-SA"/>
        </w:rPr>
        <w:t>)</w:t>
      </w:r>
    </w:p>
    <w:p w14:paraId="3818601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للمالك في حالة كسب قضية انتهاك حقوقه الحصول على تعويضات قانونية؛ حيث يحصل على تعويضات تتراوح قيمتها بين </w:t>
      </w:r>
      <w:r>
        <w:rPr>
          <w:rStyle w:val="None"/>
          <w:rFonts w:ascii="Times New Roman" w:hAnsi="Times New Roman"/>
          <w:sz w:val="24"/>
          <w:szCs w:val="24"/>
          <w:rtl/>
          <w:lang w:val="ar-SA"/>
        </w:rPr>
        <w:t xml:space="preserve">750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30,000 </w:t>
      </w:r>
      <w:r>
        <w:rPr>
          <w:rStyle w:val="None"/>
          <w:rFonts w:ascii="Arial Unicode MS" w:hAnsi="Arial Unicode MS" w:cs="Times New Roman" w:hint="cs"/>
          <w:sz w:val="24"/>
          <w:szCs w:val="24"/>
          <w:rtl/>
          <w:lang w:val="ar-SA"/>
        </w:rPr>
        <w:t>دولارٍ أمريكي عن كل عمل مُنتهك، ويعتمد المبلغ الذي يحق للمبدع الحصول عليه على ما إذا كانت التعويضات القانونية للحق الرقمي تُعتبر انتهاكًا بريئًا أو متعمدًا، ويُعرَّف هذان النوعان من الانتهاك أدناه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33"/>
      </w:r>
      <w:r>
        <w:rPr>
          <w:rStyle w:val="None"/>
          <w:rFonts w:ascii="Times New Roman" w:hAnsi="Times New Roman"/>
          <w:sz w:val="24"/>
          <w:szCs w:val="24"/>
          <w:vertAlign w:val="superscript"/>
          <w:rtl/>
          <w:lang w:val="ar-SA"/>
        </w:rPr>
        <w:t>)</w:t>
      </w:r>
    </w:p>
    <w:p w14:paraId="1A2AE923" w14:textId="77777777" w:rsidR="00454428" w:rsidRDefault="00000000">
      <w:pPr>
        <w:pStyle w:val="a7"/>
        <w:numPr>
          <w:ilvl w:val="0"/>
          <w:numId w:val="18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البريء</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المنتهك إثبات عدم علمه بالنشاط، ولم يكن لديه ما يدعوه للاعتقاد بأنَّه يُشكل انتهاكًا، فقد تُقرر المحكمة وجود انتهاك بريء، ولن يُعفي صدور حكم بالانتهاك البريء المدعَى عليه من المسئولية عن الانتهاك، ولكنه قد يُؤدي إلى تخفيض التعويضات القانونية الممنوحة للمالك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 أمريكي كحد أدنى عن كل عمل مُنتهك</w:t>
      </w:r>
      <w:r>
        <w:rPr>
          <w:rStyle w:val="None"/>
          <w:rFonts w:ascii="Times New Roman" w:hAnsi="Times New Roman"/>
          <w:sz w:val="24"/>
          <w:szCs w:val="24"/>
          <w:rtl/>
          <w:lang w:val="ar-SA"/>
        </w:rPr>
        <w:t>.</w:t>
      </w:r>
    </w:p>
    <w:p w14:paraId="7B3E9F94" w14:textId="77777777" w:rsidR="00454428" w:rsidRDefault="00000000">
      <w:pPr>
        <w:pStyle w:val="a7"/>
        <w:numPr>
          <w:ilvl w:val="0"/>
          <w:numId w:val="185"/>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مالك الحقوق الرقمية إثبات أنَّ الانتهاك كان متعمدًا، يجوز للمحكمة زيادة التعويضات القانونية بحد أقصى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أمريكي لكل عمل مُنتهك، ويُعتبر الانتهاك متعمدًا إذا كان المُنتهك على علم بأنَّ النشاط يُشكل انتهاكًا</w:t>
      </w:r>
      <w:r>
        <w:rPr>
          <w:rStyle w:val="None"/>
          <w:rFonts w:ascii="Times New Roman" w:hAnsi="Times New Roman"/>
          <w:sz w:val="24"/>
          <w:szCs w:val="24"/>
          <w:rtl/>
          <w:lang w:val="ar-SA"/>
        </w:rPr>
        <w:t>.</w:t>
      </w:r>
    </w:p>
    <w:p w14:paraId="52F49B7F" w14:textId="77777777" w:rsidR="00645DEB" w:rsidRDefault="00645DEB">
      <w:pPr>
        <w:rPr>
          <w:rStyle w:val="None"/>
          <w:rFonts w:ascii="Arial Unicode MS" w:hAnsi="Arial Unicode MS"/>
          <w:color w:val="000000"/>
          <w:u w:color="000000"/>
          <w:rtl/>
          <w:lang w:val="ar-SA"/>
        </w:rPr>
      </w:pPr>
      <w:r>
        <w:rPr>
          <w:rStyle w:val="None"/>
          <w:rtl/>
          <w:lang w:val="ar-SA"/>
        </w:rPr>
        <w:br w:type="page"/>
      </w:r>
    </w:p>
    <w:p w14:paraId="2C7CF5FD" w14:textId="5A06D3B5" w:rsidR="00454428" w:rsidRDefault="00000000" w:rsidP="00C72BA8">
      <w:pPr>
        <w:pStyle w:val="a8"/>
        <w:bidi/>
        <w:spacing w:before="120" w:after="120" w:line="360" w:lineRule="auto"/>
        <w:ind w:firstLine="720"/>
        <w:jc w:val="both"/>
        <w:rPr>
          <w:rStyle w:val="None"/>
          <w:rFonts w:hint="default"/>
          <w:rtl/>
          <w:lang w:val="ar-SA"/>
        </w:rPr>
      </w:pPr>
      <w:r>
        <w:rPr>
          <w:rStyle w:val="None"/>
          <w:rtl/>
          <w:lang w:val="ar-SA"/>
        </w:rPr>
        <w:lastRenderedPageBreak/>
        <w:t>كما تجدر الإشارة إلى أنَّه يمكن استعراض تطوُّر</w:t>
      </w:r>
      <w:r>
        <w:rPr>
          <w:rStyle w:val="None"/>
          <w:rFonts w:ascii="Times New Roman" w:hAnsi="Times New Roman"/>
          <w:b/>
          <w:bCs/>
          <w:rtl/>
          <w:lang w:val="ar-SA"/>
        </w:rPr>
        <w:t xml:space="preserve"> </w:t>
      </w:r>
      <w:r>
        <w:rPr>
          <w:rStyle w:val="None"/>
          <w:rtl/>
          <w:lang w:val="ar-SA"/>
        </w:rPr>
        <w:t xml:space="preserve">التعويض عن الاعتداء على حقوق الملكية الفكرية في البيئة الرقمية في القانون الأمريكي، وفقًا لما أشار </w:t>
      </w:r>
      <w:r>
        <w:rPr>
          <w:rStyle w:val="None"/>
          <w:rFonts w:ascii="Times New Roman" w:hAnsi="Times New Roman"/>
          <w:vertAlign w:val="superscript"/>
          <w:rtl/>
          <w:lang w:val="ar-SA"/>
        </w:rPr>
        <w:t>(</w:t>
      </w:r>
      <w:r>
        <w:rPr>
          <w:rStyle w:val="None"/>
          <w:vertAlign w:val="superscript"/>
          <w:rtl/>
          <w:lang w:val="ar-SA"/>
        </w:rPr>
        <w:footnoteReference w:id="434"/>
      </w:r>
      <w:r>
        <w:rPr>
          <w:rStyle w:val="None"/>
          <w:rFonts w:ascii="Times New Roman" w:hAnsi="Times New Roman"/>
          <w:vertAlign w:val="superscript"/>
          <w:rtl/>
          <w:lang w:val="ar-SA"/>
        </w:rPr>
        <w:t>)</w:t>
      </w:r>
      <w:r>
        <w:rPr>
          <w:rStyle w:val="None"/>
          <w:rtl/>
          <w:lang w:val="ar-SA"/>
        </w:rPr>
        <w:t xml:space="preserve"> إليه، من خلال النقاط التالية</w:t>
      </w:r>
      <w:r>
        <w:rPr>
          <w:rStyle w:val="None"/>
          <w:rFonts w:ascii="Times New Roman" w:hAnsi="Times New Roman"/>
          <w:rtl/>
          <w:lang w:val="ar-SA"/>
        </w:rPr>
        <w:t xml:space="preserve">: </w:t>
      </w:r>
    </w:p>
    <w:p w14:paraId="50F5C31A"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صدر أول قانون عام </w:t>
      </w:r>
      <w:r>
        <w:rPr>
          <w:rStyle w:val="None"/>
          <w:rFonts w:ascii="Times New Roman" w:hAnsi="Times New Roman"/>
          <w:sz w:val="24"/>
          <w:szCs w:val="24"/>
          <w:rtl/>
          <w:lang w:val="ar-SA"/>
        </w:rPr>
        <w:t>1897</w:t>
      </w:r>
      <w:r>
        <w:rPr>
          <w:rStyle w:val="None"/>
          <w:rFonts w:cs="Times New Roman"/>
          <w:sz w:val="24"/>
          <w:szCs w:val="24"/>
          <w:rtl/>
          <w:lang w:val="ar-SA"/>
        </w:rPr>
        <w:t>، وكان أول تشريع يتضمن إنفاذًا جنائيًا لحماية حقوق الطبع والنشر، وقد جعل القانون التمثيلات العامة وأداء الأعمال الدرامية والموسيقية المحمية بحقوق الطبع والنشر جنحة عندما يكون السلوك المنتهك متعمدًا وبهدف الربح</w:t>
      </w:r>
      <w:r>
        <w:rPr>
          <w:rStyle w:val="None"/>
          <w:rFonts w:ascii="Times New Roman" w:hAnsi="Times New Roman"/>
          <w:sz w:val="24"/>
          <w:szCs w:val="24"/>
          <w:rtl/>
          <w:lang w:val="ar-SA"/>
        </w:rPr>
        <w:t>.</w:t>
      </w:r>
    </w:p>
    <w:p w14:paraId="7F4A8E43"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ثم تم تعديل الأحكام الجنائية لقانون حقوق الطبع والنشر بمرور الوقت؛ حيث أصبحت بعض الانتهاكات تُصنف على أنَّها جرائم جنائية</w:t>
      </w:r>
      <w:r>
        <w:rPr>
          <w:rStyle w:val="None"/>
          <w:rFonts w:ascii="Times New Roman" w:hAnsi="Times New Roman"/>
          <w:sz w:val="24"/>
          <w:szCs w:val="24"/>
          <w:rtl/>
          <w:lang w:val="ar-SA"/>
        </w:rPr>
        <w:t>.</w:t>
      </w:r>
    </w:p>
    <w:p w14:paraId="6A40AE07"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وفي أوائل التسعينيات، أدى النمو السريع لصناعة البرمجيات والزيادة الكبيرة في انتهاكات حقوق الطبع والنشر على نطاق واسع، إلى قيام الكونجرس بسن قانون جرائم حقوق الطبع والنشر لعام </w:t>
      </w:r>
      <w:r>
        <w:rPr>
          <w:rStyle w:val="None"/>
          <w:rFonts w:ascii="Times New Roman" w:hAnsi="Times New Roman"/>
          <w:sz w:val="24"/>
          <w:szCs w:val="24"/>
          <w:rtl/>
          <w:lang w:val="ar-SA"/>
        </w:rPr>
        <w:t>1992</w:t>
      </w:r>
      <w:r>
        <w:rPr>
          <w:rStyle w:val="None"/>
          <w:rFonts w:cs="Times New Roman"/>
          <w:sz w:val="24"/>
          <w:szCs w:val="24"/>
          <w:rtl/>
          <w:lang w:val="ar-SA"/>
        </w:rPr>
        <w:t>، والذي وسّع نطاق الأعمال التي يمكن أنْ يُصنف انتهاكها على أنَّه جرائم جنائية؛ ليشمل ليس فقط التسجيلات الصوتية، والأفلام السينمائية، والأعمال السمعية والبصرية، بل جميع الأعمال المحمية بحقوق الطبع والنشر</w:t>
      </w:r>
      <w:r>
        <w:rPr>
          <w:rStyle w:val="None"/>
          <w:rFonts w:ascii="Times New Roman" w:hAnsi="Times New Roman"/>
          <w:sz w:val="24"/>
          <w:szCs w:val="24"/>
          <w:rtl/>
          <w:lang w:val="ar-SA"/>
        </w:rPr>
        <w:t>.</w:t>
      </w:r>
    </w:p>
    <w:p w14:paraId="4E612EF7"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ثم تم  وضع قانون منع السرقة الإلكترونية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NET</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1997</w:t>
      </w:r>
      <w:r>
        <w:rPr>
          <w:rStyle w:val="None"/>
          <w:rFonts w:cs="Times New Roman"/>
          <w:sz w:val="24"/>
          <w:szCs w:val="24"/>
          <w:rtl/>
          <w:lang w:val="ar-SA"/>
        </w:rPr>
        <w:t xml:space="preserve">، والذي كان بمثابة رد فعل مباشر على المخاوف المتزايدة بشأن الانتهاكات الجسيمة لحقوق الطبع والنشر في المجال الرقمي، وقد وسع قانون </w:t>
      </w:r>
      <w:r>
        <w:rPr>
          <w:rStyle w:val="None"/>
          <w:rFonts w:ascii="Times New Roman" w:hAnsi="Times New Roman"/>
          <w:sz w:val="24"/>
          <w:szCs w:val="24"/>
        </w:rPr>
        <w:t>NET</w:t>
      </w:r>
      <w:r>
        <w:rPr>
          <w:rStyle w:val="None"/>
          <w:rFonts w:cs="Times New Roman"/>
          <w:sz w:val="24"/>
          <w:szCs w:val="24"/>
          <w:rtl/>
          <w:lang w:val="ar-SA"/>
        </w:rPr>
        <w:t xml:space="preserve"> نطاق تجريم انتهاك حقوق الطبع والنشر، من خلال السماح </w:t>
      </w:r>
      <w:r>
        <w:rPr>
          <w:rStyle w:val="None"/>
          <w:rFonts w:ascii="Times New Roman" w:hAnsi="Times New Roman"/>
          <w:sz w:val="24"/>
          <w:szCs w:val="24"/>
          <w:rtl/>
          <w:lang w:val="ar-SA"/>
        </w:rPr>
        <w:t>"</w:t>
      </w:r>
      <w:r>
        <w:rPr>
          <w:rStyle w:val="None"/>
          <w:rFonts w:cs="Times New Roman"/>
          <w:sz w:val="24"/>
          <w:szCs w:val="24"/>
          <w:rtl/>
          <w:lang w:val="ar-SA"/>
        </w:rPr>
        <w:t>بمقاضاة الأفراد الذين انتهكوا قوانين حقوق الطبع والنشر الرقمية عمدًا حتى مع عدم وجود أهداف ربحية واضحة بموجب أحكام الجنايات في قانون حقوق الطبع والنشر،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كان قانون </w:t>
      </w:r>
      <w:r>
        <w:rPr>
          <w:rStyle w:val="None"/>
          <w:rFonts w:ascii="Times New Roman" w:hAnsi="Times New Roman"/>
          <w:sz w:val="24"/>
          <w:szCs w:val="24"/>
        </w:rPr>
        <w:t>NET</w:t>
      </w:r>
      <w:r>
        <w:rPr>
          <w:rStyle w:val="None"/>
          <w:rFonts w:cs="Times New Roman"/>
          <w:sz w:val="24"/>
          <w:szCs w:val="24"/>
          <w:rtl/>
          <w:lang w:val="ar-SA"/>
        </w:rPr>
        <w:t xml:space="preserve"> يهدف إلى معالجة المشكلة المتزايدة المتمثلة في الانتهاكات الجسيمة عبر الإنترنت من قبل المستخدمين النهائيين</w:t>
      </w:r>
      <w:r>
        <w:rPr>
          <w:rStyle w:val="None"/>
          <w:rFonts w:ascii="Times New Roman" w:hAnsi="Times New Roman"/>
          <w:sz w:val="24"/>
          <w:szCs w:val="24"/>
          <w:rtl/>
          <w:lang w:val="ar-SA"/>
        </w:rPr>
        <w:t>.</w:t>
      </w:r>
    </w:p>
    <w:p w14:paraId="01538D34"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وقد شكل قانون الألفية الرقمية لحقوق الملكية الفكرية، الذي صدر في عام </w:t>
      </w:r>
      <w:r>
        <w:rPr>
          <w:rStyle w:val="None"/>
          <w:rFonts w:ascii="Times New Roman" w:hAnsi="Times New Roman"/>
          <w:sz w:val="24"/>
          <w:szCs w:val="24"/>
          <w:rtl/>
          <w:lang w:val="ar-SA"/>
        </w:rPr>
        <w:t>1998</w:t>
      </w:r>
      <w:r>
        <w:rPr>
          <w:rStyle w:val="None"/>
          <w:rFonts w:cs="Times New Roman"/>
          <w:sz w:val="24"/>
          <w:szCs w:val="24"/>
          <w:rtl/>
          <w:lang w:val="ar-SA"/>
        </w:rPr>
        <w:t>، خطوةً كبيرةً أخرى في تجريم انتهاك حقوق الطبع والنشر، وقد وسع هذا القانون نطاق العقوبات الجنائية على السلوك المتعلق بالانتهاك من خلال تجريم استخدام والاتجار بالتقنيات المستخدمة للتحايل على ضوابط الوصول المثبتة في بعض الأعمال المحمية بحقوق الطبع والنشر</w:t>
      </w:r>
      <w:r>
        <w:rPr>
          <w:rStyle w:val="None"/>
          <w:rFonts w:ascii="Times New Roman" w:hAnsi="Times New Roman"/>
          <w:sz w:val="24"/>
          <w:szCs w:val="24"/>
          <w:rtl/>
          <w:lang w:val="ar-SA"/>
        </w:rPr>
        <w:t>.</w:t>
      </w:r>
    </w:p>
    <w:p w14:paraId="7D5CC4B3"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 اتجاه التجريم مع قانون تعديلات مكافحة التزوير لعام </w:t>
      </w:r>
      <w:r>
        <w:rPr>
          <w:rStyle w:val="None"/>
          <w:rFonts w:ascii="Times New Roman" w:hAnsi="Times New Roman"/>
          <w:sz w:val="24"/>
          <w:szCs w:val="24"/>
          <w:rtl/>
          <w:lang w:val="ar-SA"/>
        </w:rPr>
        <w:t>2004</w:t>
      </w:r>
      <w:r>
        <w:rPr>
          <w:rStyle w:val="None"/>
          <w:rFonts w:cs="Times New Roman"/>
          <w:sz w:val="24"/>
          <w:szCs w:val="24"/>
          <w:rtl/>
          <w:lang w:val="ar-SA"/>
        </w:rPr>
        <w:t>، الذي يُجرّم الاتجار بالملصقات المقلدة، وغير المشروعة المرفقة بالأعمال المحمية بحقوق الطبع والنشر</w:t>
      </w:r>
      <w:r>
        <w:rPr>
          <w:rStyle w:val="None"/>
          <w:rFonts w:ascii="Times New Roman" w:hAnsi="Times New Roman"/>
          <w:sz w:val="24"/>
          <w:szCs w:val="24"/>
          <w:rtl/>
          <w:lang w:val="ar-SA"/>
        </w:rPr>
        <w:t>.</w:t>
      </w:r>
    </w:p>
    <w:p w14:paraId="6AF30BCD"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الترفيه العائلي لعام </w:t>
      </w:r>
      <w:r>
        <w:rPr>
          <w:rStyle w:val="None"/>
          <w:rFonts w:ascii="Times New Roman" w:hAnsi="Times New Roman"/>
          <w:sz w:val="24"/>
          <w:szCs w:val="24"/>
          <w:rtl/>
          <w:lang w:val="ar-SA"/>
        </w:rPr>
        <w:t>2005</w:t>
      </w:r>
      <w:r>
        <w:rPr>
          <w:rStyle w:val="None"/>
          <w:rFonts w:cs="Times New Roman"/>
          <w:sz w:val="24"/>
          <w:szCs w:val="24"/>
          <w:rtl/>
          <w:lang w:val="ar-SA"/>
        </w:rPr>
        <w:t>، الذي يفرض عقوباتٍ جنائيةً على أي شخص يستخدم أجهزة التسجيل السمعي البصري في دور السينما</w:t>
      </w:r>
      <w:r>
        <w:rPr>
          <w:rStyle w:val="None"/>
          <w:rFonts w:ascii="Times New Roman" w:hAnsi="Times New Roman"/>
          <w:sz w:val="24"/>
          <w:szCs w:val="24"/>
          <w:rtl/>
          <w:lang w:val="ar-SA"/>
        </w:rPr>
        <w:t>.</w:t>
      </w:r>
    </w:p>
    <w:p w14:paraId="091897C2"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إعطاء الأولوية للموارد وتنظيم الملكية الفكرية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PRO-IP</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2008</w:t>
      </w:r>
      <w:r>
        <w:rPr>
          <w:rStyle w:val="None"/>
          <w:rFonts w:cs="Times New Roman"/>
          <w:sz w:val="24"/>
          <w:szCs w:val="24"/>
          <w:rtl/>
          <w:lang w:val="ar-SA"/>
        </w:rPr>
        <w:t xml:space="preserve">، الذي </w:t>
      </w:r>
      <w:r>
        <w:rPr>
          <w:rStyle w:val="None"/>
          <w:rFonts w:ascii="Times New Roman" w:hAnsi="Times New Roman"/>
          <w:sz w:val="24"/>
          <w:szCs w:val="24"/>
          <w:rtl/>
          <w:lang w:val="ar-SA"/>
        </w:rPr>
        <w:t>"</w:t>
      </w:r>
      <w:r>
        <w:rPr>
          <w:rStyle w:val="None"/>
          <w:rFonts w:cs="Times New Roman"/>
          <w:sz w:val="24"/>
          <w:szCs w:val="24"/>
          <w:rtl/>
          <w:lang w:val="ar-SA"/>
        </w:rPr>
        <w:t>يُصنّف انتهاك حقوق الطبع والنشر بأنَّه جناية</w:t>
      </w:r>
      <w:r>
        <w:rPr>
          <w:rStyle w:val="None"/>
          <w:rFonts w:ascii="Times New Roman" w:hAnsi="Times New Roman"/>
          <w:sz w:val="24"/>
          <w:szCs w:val="24"/>
          <w:rtl/>
          <w:lang w:val="ar-SA"/>
        </w:rPr>
        <w:t>".</w:t>
      </w:r>
    </w:p>
    <w:p w14:paraId="0F82B0B1"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واستمرت العقوبات الجنائية على انتهاك حقوق الطبع والنشر في الازدياد حتى ديسمبر </w:t>
      </w:r>
      <w:r>
        <w:rPr>
          <w:rStyle w:val="None"/>
          <w:rFonts w:ascii="Times New Roman" w:hAnsi="Times New Roman"/>
          <w:sz w:val="24"/>
          <w:szCs w:val="24"/>
          <w:rtl/>
          <w:lang w:val="ar-SA"/>
        </w:rPr>
        <w:t>2020</w:t>
      </w:r>
      <w:r>
        <w:rPr>
          <w:rStyle w:val="None"/>
          <w:rFonts w:cs="Times New Roman"/>
          <w:sz w:val="24"/>
          <w:szCs w:val="24"/>
          <w:rtl/>
          <w:lang w:val="ar-SA"/>
        </w:rPr>
        <w:t xml:space="preserve">، حين صنف قانون حماية البث القانوني </w:t>
      </w:r>
      <w:r>
        <w:rPr>
          <w:rStyle w:val="None"/>
          <w:rFonts w:ascii="Times New Roman" w:hAnsi="Times New Roman"/>
          <w:sz w:val="24"/>
          <w:szCs w:val="24"/>
          <w:rtl/>
          <w:lang w:val="ar-SA"/>
        </w:rPr>
        <w:t>("</w:t>
      </w:r>
      <w:r>
        <w:rPr>
          <w:rStyle w:val="None"/>
          <w:rFonts w:ascii="Times New Roman" w:hAnsi="Times New Roman"/>
          <w:sz w:val="24"/>
          <w:szCs w:val="24"/>
        </w:rPr>
        <w:t>PLSA</w:t>
      </w:r>
      <w:r>
        <w:rPr>
          <w:rStyle w:val="None"/>
          <w:rFonts w:ascii="Times New Roman" w:hAnsi="Times New Roman"/>
          <w:sz w:val="24"/>
          <w:szCs w:val="24"/>
          <w:rtl/>
          <w:lang w:val="ar-SA"/>
        </w:rPr>
        <w:t xml:space="preserve">") </w:t>
      </w:r>
      <w:r>
        <w:rPr>
          <w:rStyle w:val="None"/>
          <w:rFonts w:cs="Times New Roman"/>
          <w:sz w:val="24"/>
          <w:szCs w:val="24"/>
          <w:rtl/>
          <w:lang w:val="ar-SA"/>
        </w:rPr>
        <w:t>انتهاك حقوق الطبع والنشر، الذي يتم عبر البث باعتباره جنايةً وزاد بشكل كبير من العقوبات الجنائية لمثل هذا الانتهاك؛ لتشمل غرامات باهظة والسجن لمدة تصل إلى خمس سنواتٍ، وتصل إلى عشر سنواتٍ للمخالفين للمرة الثانية أو كليهما</w:t>
      </w:r>
      <w:r>
        <w:rPr>
          <w:rStyle w:val="None"/>
          <w:rFonts w:ascii="Times New Roman" w:hAnsi="Times New Roman"/>
          <w:sz w:val="24"/>
          <w:szCs w:val="24"/>
          <w:rtl/>
          <w:lang w:val="ar-SA"/>
        </w:rPr>
        <w:t>.</w:t>
      </w:r>
    </w:p>
    <w:p w14:paraId="23C12728"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حيث تم وضع قانون منع السرقة الإلكترونية، الذي اقترحه النائب بوب غودلات؛ حيث سيعاقب من ينتهك </w:t>
      </w:r>
      <w:r>
        <w:rPr>
          <w:rStyle w:val="None"/>
          <w:rFonts w:ascii="Times New Roman" w:hAnsi="Times New Roman"/>
          <w:rtl/>
          <w:lang w:val="ar-SA"/>
        </w:rPr>
        <w:t>"</w:t>
      </w:r>
      <w:r>
        <w:rPr>
          <w:rStyle w:val="None"/>
          <w:rtl/>
          <w:lang w:val="ar-SA"/>
        </w:rPr>
        <w:t>عمدًا</w:t>
      </w:r>
      <w:r>
        <w:rPr>
          <w:rStyle w:val="None"/>
          <w:rFonts w:ascii="Times New Roman" w:hAnsi="Times New Roman"/>
          <w:rtl/>
          <w:lang w:val="ar-SA"/>
        </w:rPr>
        <w:t xml:space="preserve">" </w:t>
      </w:r>
      <w:r>
        <w:rPr>
          <w:rStyle w:val="None"/>
          <w:rtl/>
          <w:lang w:val="ar-SA"/>
        </w:rPr>
        <w:t xml:space="preserve">مواد محمية بحقوق الطبع والنشر بقيمة لا تقل عن </w:t>
      </w:r>
      <w:r>
        <w:rPr>
          <w:rStyle w:val="None"/>
          <w:rFonts w:ascii="Times New Roman" w:hAnsi="Times New Roman"/>
          <w:rtl/>
          <w:lang w:val="ar-SA"/>
        </w:rPr>
        <w:t xml:space="preserve">1000 </w:t>
      </w:r>
      <w:r>
        <w:rPr>
          <w:rStyle w:val="None"/>
          <w:rtl/>
          <w:lang w:val="ar-SA"/>
        </w:rPr>
        <w:t>دولارٍ أمريكيٍّ، حتى لو لم يستفد من هذا النشاط، وينطبق القانون على التسجيلات الصوتية، والبرامج، والنصوص، وغيرها من المواد، وقد أكدت مجموعات البرمجيات والترفيه، بما في ذلك</w:t>
      </w:r>
      <w:r>
        <w:rPr>
          <w:rStyle w:val="None"/>
          <w:rFonts w:ascii="Times New Roman" w:hAnsi="Times New Roman"/>
          <w:rtl/>
          <w:lang w:val="ar-SA"/>
        </w:rPr>
        <w:t xml:space="preserve">: </w:t>
      </w:r>
      <w:r>
        <w:rPr>
          <w:rStyle w:val="None"/>
          <w:rtl/>
          <w:lang w:val="ar-SA"/>
        </w:rPr>
        <w:t>تحالف برمجيات الأعمال، وجمعية الأفلام الأمريكية، وجمعية الناشرين الأمريكيين، أنَّ هذا التغيير ضروري لحماية البرمجيات والتسجيلات الموسيقية وغيرها من المنتجات الإبداعية، التي يسهل قرصنتها عبر الإنترنت، ويتضمن القانون الجديد نطاقًا متدرجًا للعقوبات، حسب خطورة انتهاك حقوق النشر، ويتم توضيح ذلك كالآتي</w:t>
      </w:r>
      <w:r>
        <w:rPr>
          <w:rStyle w:val="None"/>
          <w:rFonts w:ascii="Times New Roman" w:hAnsi="Times New Roman"/>
          <w:vertAlign w:val="superscript"/>
          <w:rtl/>
          <w:lang w:val="ar-SA"/>
        </w:rPr>
        <w:t>(</w:t>
      </w:r>
      <w:r>
        <w:rPr>
          <w:rStyle w:val="None"/>
          <w:vertAlign w:val="superscript"/>
          <w:rtl/>
          <w:lang w:val="ar-SA"/>
        </w:rPr>
        <w:footnoteReference w:id="435"/>
      </w:r>
      <w:r>
        <w:rPr>
          <w:rStyle w:val="None"/>
          <w:rFonts w:ascii="Times New Roman" w:hAnsi="Times New Roman"/>
          <w:vertAlign w:val="superscript"/>
          <w:rtl/>
          <w:lang w:val="ar-SA"/>
        </w:rPr>
        <w:t>)</w:t>
      </w:r>
      <w:r>
        <w:rPr>
          <w:rStyle w:val="None"/>
          <w:rFonts w:ascii="Times New Roman" w:hAnsi="Times New Roman"/>
          <w:rtl/>
          <w:lang w:val="ar-SA"/>
        </w:rPr>
        <w:t>:</w:t>
      </w:r>
    </w:p>
    <w:p w14:paraId="4407ED7E" w14:textId="77777777" w:rsidR="00454428" w:rsidRDefault="00000000">
      <w:pPr>
        <w:pStyle w:val="a7"/>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نسخة واحدة، أو أكثر بقيمة إجمالية للبيع بالتجزئة تتراوح بين </w:t>
      </w:r>
      <w:r>
        <w:rPr>
          <w:rStyle w:val="None"/>
          <w:rFonts w:ascii="Times New Roman" w:hAnsi="Times New Roman"/>
          <w:sz w:val="24"/>
          <w:szCs w:val="24"/>
          <w:rtl/>
          <w:lang w:val="ar-SA"/>
        </w:rPr>
        <w:t xml:space="preserve">1000 </w:t>
      </w:r>
      <w:r>
        <w:rPr>
          <w:rStyle w:val="None"/>
          <w:rFonts w:cs="Times New Roman"/>
          <w:sz w:val="24"/>
          <w:szCs w:val="24"/>
          <w:rtl/>
          <w:lang w:val="ar-SA"/>
        </w:rPr>
        <w:t>دولارٍ أمريكيٍّ، و</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يُعاقب المخالف بالسجن لمدة تصل إلى عام واحد وغرامة تصل إلى </w:t>
      </w:r>
      <w:r>
        <w:rPr>
          <w:rStyle w:val="None"/>
          <w:rFonts w:ascii="Times New Roman" w:hAnsi="Times New Roman"/>
          <w:sz w:val="24"/>
          <w:szCs w:val="24"/>
          <w:rtl/>
          <w:lang w:val="ar-SA"/>
        </w:rPr>
        <w:t xml:space="preserve">100,000 </w:t>
      </w:r>
      <w:r>
        <w:rPr>
          <w:rStyle w:val="None"/>
          <w:rFonts w:cs="Times New Roman"/>
          <w:sz w:val="24"/>
          <w:szCs w:val="24"/>
          <w:rtl/>
          <w:lang w:val="ar-SA"/>
        </w:rPr>
        <w:t>دولارٍ أمريكيٍّ</w:t>
      </w:r>
      <w:r>
        <w:rPr>
          <w:rStyle w:val="None"/>
          <w:rFonts w:ascii="Times New Roman" w:hAnsi="Times New Roman"/>
          <w:sz w:val="24"/>
          <w:szCs w:val="24"/>
          <w:rtl/>
          <w:lang w:val="ar-SA"/>
        </w:rPr>
        <w:t>.</w:t>
      </w:r>
    </w:p>
    <w:p w14:paraId="7F2ECAF1" w14:textId="77777777" w:rsidR="00454428" w:rsidRDefault="00000000">
      <w:pPr>
        <w:pStyle w:val="a7"/>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 بقيمة إجمالية للبيع بالتجزئة بقيمة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أو تزيد، يُعاقب المخالف بالسجن لمدة تصل إلى ثلاث سنواتٍ، وغرامة تصل إلى </w:t>
      </w:r>
      <w:r>
        <w:rPr>
          <w:rStyle w:val="None"/>
          <w:rFonts w:ascii="Times New Roman" w:hAnsi="Times New Roman"/>
          <w:sz w:val="24"/>
          <w:szCs w:val="24"/>
          <w:rtl/>
          <w:lang w:val="ar-SA"/>
        </w:rPr>
        <w:t xml:space="preserve">250,000 </w:t>
      </w:r>
      <w:r>
        <w:rPr>
          <w:rStyle w:val="None"/>
          <w:rFonts w:cs="Times New Roman"/>
          <w:sz w:val="24"/>
          <w:szCs w:val="24"/>
          <w:rtl/>
          <w:lang w:val="ar-SA"/>
        </w:rPr>
        <w:t>دولارٍ أمريكيٍّ، وقد يؤدي تكرار المخالفة إلى السجن لمدة تصل إلى ست سنواتٍ</w:t>
      </w:r>
      <w:r>
        <w:rPr>
          <w:rStyle w:val="None"/>
          <w:rFonts w:ascii="Times New Roman" w:hAnsi="Times New Roman"/>
          <w:sz w:val="24"/>
          <w:szCs w:val="24"/>
          <w:rtl/>
          <w:lang w:val="ar-SA"/>
        </w:rPr>
        <w:t>.</w:t>
      </w:r>
    </w:p>
    <w:p w14:paraId="412C8D64"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غير قانون منع السرقة الإلكترونية أسسَ انتهاك حقوق الطبع والنشر الجنائي جذريًا، فقبل هذا القانون، كان انتهاك حقوق الطبع والنشر الجنائي يستهدف المُنتهكين الذين يحققون أرباحًا، أما الآن، فيُركز القانون على خسائر أصحاب حقوق الطبع والنشر، مُعاملًا انتهاك حقوق الطبع والنشر الجنائي كنوع من السرقة، مثل</w:t>
      </w:r>
      <w:r>
        <w:rPr>
          <w:rStyle w:val="None"/>
          <w:rFonts w:ascii="Times New Roman" w:hAnsi="Times New Roman"/>
          <w:rtl/>
          <w:lang w:val="ar-SA"/>
        </w:rPr>
        <w:t xml:space="preserve">: </w:t>
      </w:r>
      <w:r>
        <w:rPr>
          <w:rStyle w:val="None"/>
          <w:rtl/>
          <w:lang w:val="ar-SA"/>
        </w:rPr>
        <w:t>سرقة المتاجر، كما أنَّه قبل هذا القانون، كان انتهاك حقوق الطبع والنشر الجنائي يشترط ارتكاب انتهاكات متعمدة؛ لتحقيق منفعة تجارية أو مكاسب مالية خاصة، وقد ساعد هذا القانون أصحاب حقوق الطبع والنشر بأربع طرقٍ رئيسيةٍ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6"/>
      </w:r>
      <w:r>
        <w:rPr>
          <w:rStyle w:val="None"/>
          <w:rFonts w:ascii="Times New Roman" w:hAnsi="Times New Roman"/>
          <w:vertAlign w:val="superscript"/>
          <w:rtl/>
          <w:lang w:val="ar-SA"/>
        </w:rPr>
        <w:t>)</w:t>
      </w:r>
    </w:p>
    <w:p w14:paraId="65390952"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تجريم انتهاك حقوق الملكية الفكرية للمنظمات غير الربحية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إنَّه قبل هذا القانون، كان من الصعب مقاضاة الأفراد الذين يمارسون القرصنة الإلكترونية على نطاق واسع طالما لم يستفيدوا منها بشكل مباشر، أما القانون الجديد</w:t>
      </w:r>
      <w:r>
        <w:rPr>
          <w:rStyle w:val="None"/>
          <w:rFonts w:ascii="Times New Roman" w:hAnsi="Times New Roman"/>
          <w:sz w:val="24"/>
          <w:szCs w:val="24"/>
          <w:rtl/>
          <w:lang w:val="ar-SA"/>
        </w:rPr>
        <w:t xml:space="preserve">: </w:t>
      </w:r>
      <w:r>
        <w:rPr>
          <w:rStyle w:val="None"/>
          <w:rFonts w:cs="Times New Roman"/>
          <w:sz w:val="24"/>
          <w:szCs w:val="24"/>
          <w:rtl/>
          <w:lang w:val="ar-SA"/>
        </w:rPr>
        <w:t>فقد جعل إعادة إنتاج، أو توزيع الأعمال المحمية بحقوق الطبع والنشر جريمة جنائية، حتى لو لم يكن القصد هو الربح المالي</w:t>
      </w:r>
      <w:r>
        <w:rPr>
          <w:rStyle w:val="None"/>
          <w:rFonts w:ascii="Times New Roman" w:hAnsi="Times New Roman"/>
          <w:sz w:val="24"/>
          <w:szCs w:val="24"/>
          <w:rtl/>
          <w:lang w:val="ar-SA"/>
        </w:rPr>
        <w:t>.</w:t>
      </w:r>
    </w:p>
    <w:p w14:paraId="58278061"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توسيع تعريف </w:t>
      </w:r>
      <w:r>
        <w:rPr>
          <w:rStyle w:val="None"/>
          <w:rFonts w:ascii="Times New Roman" w:hAnsi="Times New Roman"/>
          <w:b/>
          <w:bCs/>
          <w:sz w:val="24"/>
          <w:szCs w:val="24"/>
          <w:rtl/>
          <w:lang w:val="ar-SA"/>
        </w:rPr>
        <w:t>"</w:t>
      </w:r>
      <w:r>
        <w:rPr>
          <w:rStyle w:val="None"/>
          <w:rFonts w:cs="Times New Roman"/>
          <w:b/>
          <w:bCs/>
          <w:sz w:val="24"/>
          <w:szCs w:val="24"/>
          <w:rtl/>
          <w:lang w:val="ar-SA"/>
        </w:rPr>
        <w:t>الكسب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وسّع القانون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w:t>
      </w:r>
      <w:r>
        <w:rPr>
          <w:rStyle w:val="None"/>
          <w:rFonts w:cs="Times New Roman"/>
          <w:sz w:val="24"/>
          <w:szCs w:val="24"/>
          <w:rtl/>
          <w:lang w:val="ar-SA"/>
        </w:rPr>
        <w:t>؛ ليشمل أي شيء ذي قيمة،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تبادل الأعمال المحمية بحقوق الطبع والنشر، وكان هذا التغيير يستهدف تحديدًا مجتمعات </w:t>
      </w:r>
      <w:r>
        <w:rPr>
          <w:rStyle w:val="None"/>
          <w:rFonts w:ascii="Times New Roman" w:hAnsi="Times New Roman"/>
          <w:sz w:val="24"/>
          <w:szCs w:val="24"/>
          <w:rtl/>
          <w:lang w:val="ar-SA"/>
        </w:rPr>
        <w:t>"</w:t>
      </w:r>
      <w:r>
        <w:rPr>
          <w:rStyle w:val="None"/>
          <w:rFonts w:cs="Times New Roman"/>
          <w:sz w:val="24"/>
          <w:szCs w:val="24"/>
          <w:rtl/>
          <w:lang w:val="ar-SA"/>
        </w:rPr>
        <w:t>البرمجيات غير الهادفة للربح</w:t>
      </w:r>
      <w:r>
        <w:rPr>
          <w:rStyle w:val="None"/>
          <w:rFonts w:ascii="Times New Roman" w:hAnsi="Times New Roman"/>
          <w:sz w:val="24"/>
          <w:szCs w:val="24"/>
          <w:rtl/>
          <w:lang w:val="ar-SA"/>
        </w:rPr>
        <w:t>"</w:t>
      </w:r>
      <w:r>
        <w:rPr>
          <w:rStyle w:val="None"/>
          <w:rFonts w:cs="Times New Roman"/>
          <w:sz w:val="24"/>
          <w:szCs w:val="24"/>
          <w:rtl/>
          <w:lang w:val="ar-SA"/>
        </w:rPr>
        <w:t>؛ حيث يتبادل الأعضاء برامج مقرصنة دون مقابل، معتبرين هذا التبادل شكلًا من أشكال الربح</w:t>
      </w:r>
      <w:r>
        <w:rPr>
          <w:rStyle w:val="None"/>
          <w:rFonts w:ascii="Times New Roman" w:hAnsi="Times New Roman"/>
          <w:sz w:val="24"/>
          <w:szCs w:val="24"/>
          <w:rtl/>
          <w:lang w:val="ar-SA"/>
        </w:rPr>
        <w:t>.</w:t>
      </w:r>
    </w:p>
    <w:p w14:paraId="7E74F129"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تحديد حد أدنى للقيمة</w:t>
      </w:r>
      <w:r>
        <w:rPr>
          <w:rStyle w:val="None"/>
          <w:rFonts w:ascii="Times New Roman" w:hAnsi="Times New Roman"/>
          <w:b/>
          <w:bCs/>
          <w:sz w:val="24"/>
          <w:szCs w:val="24"/>
          <w:rtl/>
          <w:lang w:val="ar-SA"/>
        </w:rPr>
        <w:t>:</w:t>
      </w:r>
      <w:r>
        <w:rPr>
          <w:rStyle w:val="None"/>
          <w:rFonts w:cs="Times New Roman"/>
          <w:sz w:val="24"/>
          <w:szCs w:val="24"/>
          <w:rtl/>
          <w:lang w:val="ar-SA"/>
        </w:rPr>
        <w:t xml:space="preserve"> وضع القانون معيارًا واضحًا للانتهاك الجنائي؛ حيث نص على أنَّ إعادة إنتاج أو توزيع ما لا يقل عن عشر نسخٍ، أو أكثر، من عمل بقيمة إجمالية للبيع بالتجزئة تتجاوز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خلال فترة </w:t>
      </w:r>
      <w:r>
        <w:rPr>
          <w:rStyle w:val="None"/>
          <w:rFonts w:ascii="Times New Roman" w:hAnsi="Times New Roman"/>
          <w:sz w:val="24"/>
          <w:szCs w:val="24"/>
          <w:rtl/>
          <w:lang w:val="ar-SA"/>
        </w:rPr>
        <w:t xml:space="preserve">180 </w:t>
      </w:r>
      <w:r>
        <w:rPr>
          <w:rStyle w:val="None"/>
          <w:rFonts w:cs="Times New Roman"/>
          <w:sz w:val="24"/>
          <w:szCs w:val="24"/>
          <w:rtl/>
          <w:lang w:val="ar-SA"/>
        </w:rPr>
        <w:t>يومًا يعتبر انتهاكًا جنائيًا</w:t>
      </w:r>
      <w:r>
        <w:rPr>
          <w:rStyle w:val="None"/>
          <w:rFonts w:ascii="Times New Roman" w:hAnsi="Times New Roman"/>
          <w:sz w:val="24"/>
          <w:szCs w:val="24"/>
          <w:rtl/>
          <w:lang w:val="ar-SA"/>
        </w:rPr>
        <w:t>.</w:t>
      </w:r>
    </w:p>
    <w:p w14:paraId="6754AF9F"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تشديد العقوبات</w:t>
      </w:r>
      <w:r>
        <w:rPr>
          <w:rStyle w:val="None"/>
          <w:rFonts w:ascii="Times New Roman" w:hAnsi="Times New Roman"/>
          <w:b/>
          <w:bCs/>
          <w:sz w:val="24"/>
          <w:szCs w:val="24"/>
          <w:rtl/>
          <w:lang w:val="ar-SA"/>
        </w:rPr>
        <w:t>:</w:t>
      </w:r>
      <w:r>
        <w:rPr>
          <w:rStyle w:val="None"/>
          <w:rFonts w:cs="Times New Roman"/>
          <w:sz w:val="24"/>
          <w:szCs w:val="24"/>
          <w:rtl/>
          <w:lang w:val="ar-SA"/>
        </w:rPr>
        <w:t xml:space="preserve"> شدّد القانون العقوبات الجنائية على انتهاك حقوق النشر، ووجّه لجنة الأحكام الأمريكية لوضع إرشادات أكثر صرامةً لمثل هذه القضايا، ويستهدف القانون القرصنة عمومًا، مستشهدًا بتقديرات قطاع البرمجيات التي تُشير إلى أنَّ تقليد البرمجيات وقرصنتها كلفا أصحاب حقوق الطبع والنشر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مليار دولارٍ عام </w:t>
      </w:r>
      <w:r>
        <w:rPr>
          <w:rStyle w:val="None"/>
          <w:rFonts w:ascii="Times New Roman" w:hAnsi="Times New Roman"/>
          <w:sz w:val="24"/>
          <w:szCs w:val="24"/>
          <w:rtl/>
          <w:lang w:val="ar-SA"/>
        </w:rPr>
        <w:t xml:space="preserve">1996. </w:t>
      </w:r>
    </w:p>
    <w:p w14:paraId="36E25F06"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حيث إنَّ يوم الثلاثاء، الموافق </w:t>
      </w:r>
      <w:r>
        <w:rPr>
          <w:rStyle w:val="None"/>
          <w:rFonts w:ascii="Times New Roman" w:hAnsi="Times New Roman"/>
          <w:rtl/>
          <w:lang w:val="ar-SA"/>
        </w:rPr>
        <w:t xml:space="preserve">16 </w:t>
      </w:r>
      <w:r>
        <w:rPr>
          <w:rStyle w:val="None"/>
          <w:rtl/>
          <w:lang w:val="ar-SA"/>
        </w:rPr>
        <w:t xml:space="preserve">ديسمبر </w:t>
      </w:r>
      <w:r>
        <w:rPr>
          <w:rStyle w:val="None"/>
          <w:rFonts w:ascii="Times New Roman" w:hAnsi="Times New Roman"/>
          <w:rtl/>
          <w:lang w:val="ar-SA"/>
        </w:rPr>
        <w:t>1997</w:t>
      </w:r>
      <w:r>
        <w:rPr>
          <w:rStyle w:val="None"/>
          <w:rtl/>
          <w:lang w:val="ar-SA"/>
        </w:rPr>
        <w:t xml:space="preserve">، وقّع الرئيس على قانون </w:t>
      </w:r>
      <w:r>
        <w:rPr>
          <w:rStyle w:val="None"/>
          <w:rFonts w:ascii="Times New Roman" w:hAnsi="Times New Roman"/>
          <w:rtl/>
          <w:lang w:val="ar-SA"/>
        </w:rPr>
        <w:t>"</w:t>
      </w:r>
      <w:r>
        <w:rPr>
          <w:rStyle w:val="None"/>
          <w:rtl/>
          <w:lang w:val="ar-SA"/>
        </w:rPr>
        <w:t>منع السرقة الإلكترونية</w:t>
      </w:r>
      <w:r>
        <w:rPr>
          <w:rStyle w:val="None"/>
          <w:rFonts w:ascii="Times New Roman" w:hAnsi="Times New Roman"/>
          <w:rtl/>
          <w:lang w:val="ar-SA"/>
        </w:rPr>
        <w:t xml:space="preserve">" </w:t>
      </w:r>
      <w:r>
        <w:rPr>
          <w:rStyle w:val="None"/>
          <w:rtl/>
          <w:lang w:val="ar-SA"/>
        </w:rPr>
        <w:t xml:space="preserve">رقم </w:t>
      </w:r>
      <w:r>
        <w:rPr>
          <w:rStyle w:val="None"/>
          <w:rFonts w:ascii="Times New Roman" w:hAnsi="Times New Roman"/>
          <w:rtl/>
          <w:lang w:val="ar-SA"/>
        </w:rPr>
        <w:t>2265</w:t>
      </w:r>
      <w:r>
        <w:rPr>
          <w:rStyle w:val="None"/>
          <w:rtl/>
          <w:lang w:val="ar-SA"/>
        </w:rPr>
        <w:t xml:space="preserve">، ويُعزّز قانون منع السرقة الإلكترونية قوانين حقوق الطبع والنشر والعلامات التجارية، موفرًا حمايةً مُعزّزة في العصر الرقمي بطريقة دقيقة ومتوازنة؛ حيث عُدّلت الأحكام الجنائية المتعلقة بحقوق الطبع والنشر والعلامات التجارية في البابين </w:t>
      </w:r>
      <w:r>
        <w:rPr>
          <w:rStyle w:val="None"/>
          <w:rFonts w:ascii="Times New Roman" w:hAnsi="Times New Roman"/>
          <w:rtl/>
          <w:lang w:val="ar-SA"/>
        </w:rPr>
        <w:t xml:space="preserve">17 </w:t>
      </w:r>
      <w:r>
        <w:rPr>
          <w:rStyle w:val="None"/>
          <w:rtl/>
          <w:lang w:val="ar-SA"/>
        </w:rPr>
        <w:t>و</w:t>
      </w:r>
      <w:r>
        <w:rPr>
          <w:rStyle w:val="None"/>
          <w:rFonts w:ascii="Times New Roman" w:hAnsi="Times New Roman"/>
          <w:rtl/>
          <w:lang w:val="ar-SA"/>
        </w:rPr>
        <w:t xml:space="preserve">18 </w:t>
      </w:r>
      <w:r>
        <w:rPr>
          <w:rStyle w:val="None"/>
          <w:rtl/>
          <w:lang w:val="ar-SA"/>
        </w:rPr>
        <w:t>من قانون الولايات المتحدة على النحو التالي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7"/>
      </w:r>
      <w:r>
        <w:rPr>
          <w:rStyle w:val="None"/>
          <w:rFonts w:ascii="Times New Roman" w:hAnsi="Times New Roman"/>
          <w:vertAlign w:val="superscript"/>
          <w:rtl/>
          <w:lang w:val="ar-SA"/>
        </w:rPr>
        <w:t>)</w:t>
      </w:r>
    </w:p>
    <w:p w14:paraId="2564311D"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يسمح للوزارة بمقاضاة الأفراد بموجب أحكام الجنح أو الجنايات في القضايا التي تنطوي على إعادة إنتاج، أو توزيع غير قانوني واسع النطاق لأعمال محمية بحقوق الطبع والنشر؛ حيث يتصرف المُنتهكون عمدًا دون دافع ربحي واضح</w:t>
      </w:r>
      <w:r>
        <w:rPr>
          <w:rStyle w:val="None"/>
          <w:rFonts w:ascii="Times New Roman" w:hAnsi="Times New Roman"/>
          <w:sz w:val="24"/>
          <w:szCs w:val="24"/>
          <w:rtl/>
          <w:lang w:val="ar-SA"/>
        </w:rPr>
        <w:t>.</w:t>
      </w:r>
    </w:p>
    <w:p w14:paraId="0FBCE767"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الإعفاء من الملاحقة الجنائية في حال إعادة الإنتاج، أو التوزيع غير المتعمد، أو الذي يُشكل نسخًا غير تجاري على نطاق صغير بقيمة إجمالية للبيع بالتجزئة أقل من ١٠٠٠ دولارٍ أمريكيٍّ</w:t>
      </w:r>
      <w:r>
        <w:rPr>
          <w:rStyle w:val="None"/>
          <w:rFonts w:ascii="Times New Roman" w:hAnsi="Times New Roman"/>
          <w:sz w:val="24"/>
          <w:szCs w:val="24"/>
          <w:rtl/>
          <w:lang w:val="ar-SA"/>
        </w:rPr>
        <w:t>.</w:t>
      </w:r>
    </w:p>
    <w:p w14:paraId="5D0600EE"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يجب أنْ يتضمن الانتهاك المتعمد أدلةً تتجاوز مجرد إعادة الإنتاج أو التوزيع المتعمد للأعمال المحمية بحقوق الطبع والنشر</w:t>
      </w:r>
      <w:r>
        <w:rPr>
          <w:rStyle w:val="None"/>
          <w:rFonts w:ascii="Times New Roman" w:hAnsi="Times New Roman"/>
          <w:sz w:val="24"/>
          <w:szCs w:val="24"/>
          <w:rtl/>
          <w:lang w:val="ar-SA"/>
        </w:rPr>
        <w:t>.</w:t>
      </w:r>
    </w:p>
    <w:p w14:paraId="4A5E923C"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إعادة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قانون حقوق الطبع والنشر؛ ليشمل </w:t>
      </w:r>
      <w:r>
        <w:rPr>
          <w:rStyle w:val="None"/>
          <w:rFonts w:ascii="Times New Roman" w:hAnsi="Times New Roman"/>
          <w:sz w:val="24"/>
          <w:szCs w:val="24"/>
          <w:rtl/>
          <w:lang w:val="ar-SA"/>
        </w:rPr>
        <w:t>"</w:t>
      </w:r>
      <w:r>
        <w:rPr>
          <w:rStyle w:val="None"/>
          <w:rFonts w:cs="Times New Roman"/>
          <w:sz w:val="24"/>
          <w:szCs w:val="24"/>
          <w:rtl/>
          <w:lang w:val="ar-SA"/>
        </w:rPr>
        <w:t>استلام، أو توقع استلام، أي شيء ذي قيمة، من خلال استغلال أعمال محمية بحقوق الطبع والنشر</w:t>
      </w:r>
      <w:r>
        <w:rPr>
          <w:rStyle w:val="None"/>
          <w:rFonts w:ascii="Times New Roman" w:hAnsi="Times New Roman"/>
          <w:sz w:val="24"/>
          <w:szCs w:val="24"/>
          <w:rtl/>
          <w:lang w:val="ar-SA"/>
        </w:rPr>
        <w:t>"</w:t>
      </w:r>
      <w:r>
        <w:rPr>
          <w:rStyle w:val="None"/>
          <w:rFonts w:cs="Times New Roman"/>
          <w:sz w:val="24"/>
          <w:szCs w:val="24"/>
          <w:rtl/>
          <w:lang w:val="ar-SA"/>
        </w:rPr>
        <w:t>، وذلك لضمان شمول القانون للأشخاص الذين يتاجرون بشكل غير قانوني بالأعمال المحمية بحقوق الطبع والنشر باستخدام المقايضة بدلًا من النقد</w:t>
      </w:r>
      <w:r>
        <w:rPr>
          <w:rStyle w:val="None"/>
          <w:rFonts w:ascii="Times New Roman" w:hAnsi="Times New Roman"/>
          <w:sz w:val="24"/>
          <w:szCs w:val="24"/>
          <w:rtl/>
          <w:lang w:val="ar-SA"/>
        </w:rPr>
        <w:t>.</w:t>
      </w:r>
    </w:p>
    <w:p w14:paraId="291CF797"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التأكيد على أنَّ النسخ والتوزيع يشملان الوسائل الإلكترونية والملموسة</w:t>
      </w:r>
      <w:r>
        <w:rPr>
          <w:rStyle w:val="None"/>
          <w:rFonts w:ascii="Times New Roman" w:hAnsi="Times New Roman"/>
          <w:sz w:val="24"/>
          <w:szCs w:val="24"/>
          <w:rtl/>
          <w:lang w:val="ar-SA"/>
        </w:rPr>
        <w:t>.</w:t>
      </w:r>
    </w:p>
    <w:p w14:paraId="575335FE"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تمديد فترة التقادم من ثلاث إلى خمس سنواتٍ؛ ممَّا يجعل قانون حقوق الطبع والنشر الجنائي متسقًا مع معظم القوانين الجنائية الأخرى</w:t>
      </w:r>
      <w:r>
        <w:rPr>
          <w:rStyle w:val="None"/>
          <w:rFonts w:ascii="Times New Roman" w:hAnsi="Times New Roman"/>
          <w:sz w:val="24"/>
          <w:szCs w:val="24"/>
          <w:rtl/>
          <w:lang w:val="ar-SA"/>
        </w:rPr>
        <w:t>.</w:t>
      </w:r>
    </w:p>
    <w:p w14:paraId="2E4B3ED2"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وضع حكم خاص بتكرار الجريمة؛ حيث يتم تشديد العقوبات في حال ارتكاب جرائم حقوق الطبع والنشر للمرة الثانية أو لمرات لاحقة</w:t>
      </w:r>
      <w:r>
        <w:rPr>
          <w:rStyle w:val="None"/>
          <w:rFonts w:ascii="Times New Roman" w:hAnsi="Times New Roman"/>
          <w:sz w:val="24"/>
          <w:szCs w:val="24"/>
          <w:rtl/>
          <w:lang w:val="ar-SA"/>
        </w:rPr>
        <w:t>.</w:t>
      </w:r>
    </w:p>
    <w:p w14:paraId="17B5C732"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الاعتراف بحقوق الضحايا من خلال السماح للأطراف المالكة بتقديم بيان ضرر يوضح مدى الأذى الذي لحق بالضحية إلى المحكمة التي تصدر الحكم</w:t>
      </w:r>
      <w:r>
        <w:rPr>
          <w:rStyle w:val="None"/>
          <w:rFonts w:ascii="Times New Roman" w:hAnsi="Times New Roman"/>
          <w:sz w:val="24"/>
          <w:szCs w:val="24"/>
          <w:rtl/>
          <w:lang w:val="ar-SA"/>
        </w:rPr>
        <w:t>.</w:t>
      </w:r>
    </w:p>
    <w:p w14:paraId="33A798E4"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القوة الرادعة لقوانين حقوق الطبع والنشر الجنائية، من خلال توجيه لجنة إصدار الأحكام؛ لتعديل دليل إصدار الأحكام بشأن انتهاكات حقوق الطبع والنشر والعلامات التجارية، بما يسمح للمحاكم بالنظر في كمية السلع المخالفة وقيمتها التجارية</w:t>
      </w:r>
      <w:r>
        <w:rPr>
          <w:rStyle w:val="None"/>
          <w:rFonts w:ascii="Times New Roman" w:hAnsi="Times New Roman"/>
          <w:sz w:val="24"/>
          <w:szCs w:val="24"/>
          <w:rtl/>
          <w:lang w:val="ar-SA"/>
        </w:rPr>
        <w:t>.</w:t>
      </w:r>
    </w:p>
    <w:p w14:paraId="3FA1207F"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 xml:space="preserve">حيث إنَّ الفرد الذي يقوم بمخالفة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الخاصة بحماية الملكية الفكرية الأمريكية، يكون مسئولًا عن أحد أنواع التعويضات التالية، والتي يختارها الطرف المتضرر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8"/>
      </w:r>
      <w:r>
        <w:rPr>
          <w:rStyle w:val="None"/>
          <w:rFonts w:ascii="Times New Roman" w:hAnsi="Times New Roman"/>
          <w:vertAlign w:val="superscript"/>
          <w:rtl/>
          <w:lang w:val="ar-SA"/>
        </w:rPr>
        <w:t>)</w:t>
      </w:r>
    </w:p>
    <w:p w14:paraId="23686E6C" w14:textId="77777777" w:rsidR="00454428" w:rsidRDefault="00000000">
      <w:pPr>
        <w:pStyle w:val="a7"/>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حيث تمنح المحكمة للطرف المتضرر الحق في تعويض عن الأضرار الفعلية، التي تتمثل في الخسائر التي تكبدها نتيجة للانتهاك، فضلًا عن التعويض عن الأرباح الإضافية التي تحصل عليها المخالف بسبب الانتهاك</w:t>
      </w:r>
      <w:r>
        <w:rPr>
          <w:rStyle w:val="None"/>
          <w:rFonts w:ascii="Times New Roman" w:hAnsi="Times New Roman"/>
          <w:sz w:val="24"/>
          <w:szCs w:val="24"/>
          <w:rtl/>
          <w:lang w:val="ar-SA"/>
        </w:rPr>
        <w:t>.</w:t>
      </w:r>
    </w:p>
    <w:p w14:paraId="7860E73E" w14:textId="77777777" w:rsidR="00454428" w:rsidRDefault="00000000">
      <w:pPr>
        <w:pStyle w:val="a7"/>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يمكن للطرف المتضرر أنْ يختار الحصول على الأضرار القانونية في أي وقت قبل صدور الحكم النهائي، وتختلف المبالغ التي يتحصل عليها حسب نوع الانتهاك؛ حيث يتم دفع مبلغ لا يقل عن </w:t>
      </w:r>
      <w:r>
        <w:rPr>
          <w:rStyle w:val="None"/>
          <w:rFonts w:ascii="Times New Roman" w:hAnsi="Times New Roman"/>
          <w:sz w:val="24"/>
          <w:szCs w:val="24"/>
          <w:rtl/>
          <w:lang w:val="ar-SA"/>
        </w:rPr>
        <w:t xml:space="preserve">200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لكل فعل مخالف من النوع البريء، أو غير المتعمد، بينما يتم دفع مبلغ لا يقل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25,000 </w:t>
      </w:r>
      <w:r>
        <w:rPr>
          <w:rStyle w:val="None"/>
          <w:rFonts w:cs="Times New Roman"/>
          <w:sz w:val="24"/>
          <w:szCs w:val="24"/>
          <w:rtl/>
          <w:lang w:val="ar-SA"/>
        </w:rPr>
        <w:t>دولارٍ لكل انتهاك متعمد</w:t>
      </w:r>
      <w:r>
        <w:rPr>
          <w:rStyle w:val="None"/>
          <w:rFonts w:ascii="Times New Roman" w:hAnsi="Times New Roman"/>
          <w:sz w:val="24"/>
          <w:szCs w:val="24"/>
          <w:rtl/>
          <w:lang w:val="ar-SA"/>
        </w:rPr>
        <w:t>.</w:t>
      </w:r>
    </w:p>
    <w:p w14:paraId="389436B3" w14:textId="77777777" w:rsidR="00454428" w:rsidRDefault="00000000">
      <w:pPr>
        <w:pStyle w:val="a7"/>
        <w:numPr>
          <w:ilvl w:val="0"/>
          <w:numId w:val="195"/>
        </w:numPr>
        <w:spacing w:before="120" w:after="120" w:line="360" w:lineRule="auto"/>
        <w:jc w:val="both"/>
        <w:rPr>
          <w:rFonts w:cs="Times New Roman" w:hint="default"/>
          <w:color w:val="FF0000"/>
          <w:sz w:val="24"/>
          <w:szCs w:val="24"/>
          <w:rtl/>
          <w:lang w:val="ar-SA"/>
        </w:rPr>
      </w:pPr>
      <w:r>
        <w:rPr>
          <w:rStyle w:val="None"/>
          <w:rFonts w:cs="Times New Roman"/>
          <w:b/>
          <w:bCs/>
          <w:sz w:val="24"/>
          <w:szCs w:val="24"/>
          <w:rtl/>
          <w:lang w:val="ar-SA"/>
        </w:rPr>
        <w:t>الانتهاكات المتكررة</w:t>
      </w:r>
      <w:r>
        <w:rPr>
          <w:rStyle w:val="None"/>
          <w:rFonts w:ascii="Times New Roman" w:hAnsi="Times New Roman"/>
          <w:b/>
          <w:bCs/>
          <w:sz w:val="24"/>
          <w:szCs w:val="24"/>
          <w:rtl/>
          <w:lang w:val="ar-SA"/>
        </w:rPr>
        <w:t>:</w:t>
      </w:r>
      <w:r>
        <w:rPr>
          <w:rStyle w:val="None"/>
          <w:rFonts w:cs="Times New Roman"/>
          <w:sz w:val="24"/>
          <w:szCs w:val="24"/>
          <w:rtl/>
          <w:lang w:val="ar-SA"/>
        </w:rPr>
        <w:t xml:space="preserve"> وفي حال تكرار الانتهاك من خلال قيام شخص ما بانتهاك حقوق الملكية الفكرية المنصوص عليها في المادتين </w:t>
      </w:r>
      <w:r>
        <w:rPr>
          <w:rStyle w:val="None"/>
          <w:rFonts w:ascii="Times New Roman" w:hAnsi="Times New Roman"/>
          <w:sz w:val="24"/>
          <w:szCs w:val="24"/>
          <w:rtl/>
          <w:lang w:val="ar-SA"/>
        </w:rPr>
        <w:t xml:space="preserve">1201 </w:t>
      </w:r>
      <w:r>
        <w:rPr>
          <w:rStyle w:val="None"/>
          <w:rFonts w:cs="Times New Roman"/>
          <w:sz w:val="24"/>
          <w:szCs w:val="24"/>
          <w:rtl/>
          <w:lang w:val="ar-SA"/>
        </w:rPr>
        <w:t xml:space="preserve">أو </w:t>
      </w:r>
      <w:r>
        <w:rPr>
          <w:rStyle w:val="None"/>
          <w:rFonts w:ascii="Times New Roman" w:hAnsi="Times New Roman"/>
          <w:sz w:val="24"/>
          <w:szCs w:val="24"/>
          <w:rtl/>
          <w:lang w:val="ar-SA"/>
        </w:rPr>
        <w:t xml:space="preserve">1202 </w:t>
      </w:r>
      <w:r>
        <w:rPr>
          <w:rStyle w:val="None"/>
          <w:rFonts w:cs="Times New Roman"/>
          <w:sz w:val="24"/>
          <w:szCs w:val="24"/>
          <w:rtl/>
          <w:lang w:val="ar-SA"/>
        </w:rPr>
        <w:t>في غضون ثلاث سنواتٍ من صدور حكم نهائي ضده لارتكابه انتهاك سابق، يحق للمحكمة أنْ تزيد مبلغ التعويض، بما يصل إلى ثلاثة أضعافِ المبلغ الذي قد فُرض عليه في المرة الأولى</w:t>
      </w:r>
      <w:r>
        <w:rPr>
          <w:rStyle w:val="None"/>
          <w:rFonts w:ascii="Times New Roman" w:hAnsi="Times New Roman"/>
          <w:sz w:val="24"/>
          <w:szCs w:val="24"/>
          <w:rtl/>
          <w:lang w:val="ar-SA"/>
        </w:rPr>
        <w:t>.</w:t>
      </w:r>
    </w:p>
    <w:p w14:paraId="29035090"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ويسمح قانون حقوق الملكية الرقمية الأمريكي للمدعِي الذي قد سجل عمله بالفعل، وأبلغ عن الانتهاك، القدرة على اختيار الحصول على التعويضات القانونية بدلًا من الأضرار الفعلية، هذه التعويضات تتراوح بشكل واسع، وتُمنح بِناءً على تقدير المحكمة، وتتراوح تلك التعويضات بين </w:t>
      </w:r>
      <w:r>
        <w:rPr>
          <w:rStyle w:val="None"/>
          <w:rFonts w:ascii="Times New Roman" w:hAnsi="Times New Roman"/>
          <w:rtl/>
          <w:lang w:val="ar-SA"/>
        </w:rPr>
        <w:t xml:space="preserve">750 </w:t>
      </w:r>
      <w:r>
        <w:rPr>
          <w:rStyle w:val="None"/>
          <w:rtl/>
          <w:lang w:val="ar-SA"/>
        </w:rPr>
        <w:t>دولارًا و</w:t>
      </w:r>
      <w:r>
        <w:rPr>
          <w:rStyle w:val="None"/>
          <w:rFonts w:ascii="Times New Roman" w:hAnsi="Times New Roman"/>
          <w:rtl/>
          <w:lang w:val="ar-SA"/>
        </w:rPr>
        <w:t xml:space="preserve">30,000 </w:t>
      </w:r>
      <w:r>
        <w:rPr>
          <w:rStyle w:val="None"/>
          <w:rtl/>
          <w:lang w:val="ar-SA"/>
        </w:rPr>
        <w:t xml:space="preserve">دولارٍ لكل عمل تم انتهاكه، وفي حالات الانتهاك المتعمد، يمكن للمحكمة زيادة المبلغ بشكل كبير، ليصل إلى </w:t>
      </w:r>
      <w:r>
        <w:rPr>
          <w:rStyle w:val="None"/>
          <w:rFonts w:ascii="Times New Roman" w:hAnsi="Times New Roman"/>
          <w:rtl/>
          <w:lang w:val="ar-SA"/>
        </w:rPr>
        <w:t xml:space="preserve">150,000 </w:t>
      </w:r>
      <w:r>
        <w:rPr>
          <w:rStyle w:val="None"/>
          <w:rtl/>
          <w:lang w:val="ar-SA"/>
        </w:rPr>
        <w:t>دولارٍ لكل عمل، ومع ذلك</w:t>
      </w:r>
      <w:r>
        <w:rPr>
          <w:rStyle w:val="None"/>
          <w:rFonts w:ascii="Times New Roman" w:hAnsi="Times New Roman"/>
          <w:rtl/>
          <w:lang w:val="ar-SA"/>
        </w:rPr>
        <w:t xml:space="preserve">: </w:t>
      </w:r>
      <w:r>
        <w:rPr>
          <w:rStyle w:val="None"/>
          <w:rtl/>
          <w:lang w:val="ar-SA"/>
        </w:rPr>
        <w:t>تواجه المحاكم تحديًا كبيرًا في تطبيق هذا القانون؛ وذلك بسبب غياب الإرشادات؛ حيث إنَّه تفشل المحاكم في تطوير فقه قانوني ثابت يُرشد القضاة في تحديد قيمة التعويضات، والسبب الثاني يتمثل في النتائج الغير متسقة؛ حيث إنَّه بسبب هذا الغموض، غالبًا ما تكون قرارات المحاكم تعسفية وغير متسقة، وقد تصل في بعض الأحيان إلى مبالغ مفرطة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39"/>
      </w:r>
      <w:r>
        <w:rPr>
          <w:rStyle w:val="None"/>
          <w:rFonts w:ascii="Times New Roman" w:hAnsi="Times New Roman"/>
          <w:vertAlign w:val="superscript"/>
          <w:rtl/>
          <w:lang w:val="ar-SA"/>
        </w:rPr>
        <w:t>)</w:t>
      </w:r>
    </w:p>
    <w:p w14:paraId="7F366E7D" w14:textId="77777777" w:rsidR="00454428" w:rsidRDefault="00000000" w:rsidP="00C72BA8">
      <w:pPr>
        <w:pStyle w:val="a8"/>
        <w:bidi/>
        <w:spacing w:before="120" w:after="120" w:line="360" w:lineRule="auto"/>
        <w:ind w:firstLine="720"/>
        <w:jc w:val="both"/>
        <w:rPr>
          <w:rFonts w:hint="default"/>
          <w:rtl/>
        </w:rPr>
      </w:pPr>
      <w:r>
        <w:rPr>
          <w:rStyle w:val="None"/>
          <w:rtl/>
          <w:lang w:val="ar-SA"/>
        </w:rPr>
        <w:lastRenderedPageBreak/>
        <w:t xml:space="preserve">تُعَدُّ التعويضات القانونية هي خيار يُمنح لمالكي حقوق الملكية الفكرية بديلًا عن التعويضات التقليدية، والتي تتمثل في الأرباح المفقودة أو أرباح المنتهك، ويتراوح النطاق الطبيعي لتعويضات الأضرار القانونية في الولايات المتحدة بين </w:t>
      </w:r>
      <w:r>
        <w:rPr>
          <w:rStyle w:val="None"/>
          <w:rFonts w:ascii="Times New Roman" w:hAnsi="Times New Roman"/>
          <w:rtl/>
          <w:lang w:val="ar-SA"/>
        </w:rPr>
        <w:t xml:space="preserve">750 </w:t>
      </w:r>
      <w:r>
        <w:rPr>
          <w:rStyle w:val="None"/>
          <w:rtl/>
          <w:lang w:val="ar-SA"/>
        </w:rPr>
        <w:t>و</w:t>
      </w:r>
      <w:r>
        <w:rPr>
          <w:rStyle w:val="None"/>
          <w:rFonts w:ascii="Times New Roman" w:hAnsi="Times New Roman"/>
          <w:rtl/>
          <w:lang w:val="ar-SA"/>
        </w:rPr>
        <w:t xml:space="preserve">30,000 </w:t>
      </w:r>
      <w:r>
        <w:rPr>
          <w:rStyle w:val="None"/>
          <w:rtl/>
          <w:lang w:val="ar-SA"/>
        </w:rPr>
        <w:t>دولارٍ أمريكي لكل عمل مُنتهك، ولا يشترط تعويض الضرر القانوني أنْ يكون له أي علاقة بالخسائر الفعلية التي لحقت بالمتضرر، وقد المحاكم إلى هذا النوع من التعويضات لعدة مبررات أساسية</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40"/>
      </w:r>
      <w:r>
        <w:rPr>
          <w:rStyle w:val="None"/>
          <w:rFonts w:ascii="Times New Roman" w:hAnsi="Times New Roman"/>
          <w:vertAlign w:val="superscript"/>
          <w:rtl/>
          <w:lang w:val="ar-SA"/>
        </w:rPr>
        <w:t>)</w:t>
      </w:r>
    </w:p>
    <w:p w14:paraId="6639AADE"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صعوبة إثبات الضرر</w:t>
      </w:r>
      <w:r>
        <w:rPr>
          <w:rStyle w:val="None"/>
          <w:rFonts w:ascii="Times New Roman" w:hAnsi="Times New Roman"/>
          <w:b/>
          <w:bCs/>
          <w:rtl/>
          <w:lang w:val="ar-SA"/>
        </w:rPr>
        <w:t xml:space="preserve">: </w:t>
      </w:r>
      <w:r>
        <w:rPr>
          <w:rStyle w:val="None"/>
          <w:rtl/>
          <w:lang w:val="ar-SA"/>
        </w:rPr>
        <w:t>يُعَدُّ الهدف الأصلي من التعويضات القانونية هو مساعدة مالكي الحقوق في الحصول على تعويض عادل، خاصةً عندما يكون من الصعب أو المكلف جدًا إثبات حجم الخسائر الفعلية التي تكبدوها بسبب الانتهاك</w:t>
      </w:r>
      <w:r>
        <w:rPr>
          <w:rStyle w:val="None"/>
          <w:rFonts w:ascii="Times New Roman" w:hAnsi="Times New Roman"/>
        </w:rPr>
        <w:t>.</w:t>
      </w:r>
    </w:p>
    <w:p w14:paraId="4D5CF16C"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التغلب على تكاليف التقاضي</w:t>
      </w:r>
      <w:r>
        <w:rPr>
          <w:rStyle w:val="None"/>
          <w:rFonts w:ascii="Times New Roman" w:hAnsi="Times New Roman"/>
          <w:b/>
          <w:bCs/>
          <w:rtl/>
          <w:lang w:val="ar-SA"/>
        </w:rPr>
        <w:t xml:space="preserve">: </w:t>
      </w:r>
      <w:r>
        <w:rPr>
          <w:rStyle w:val="None"/>
          <w:rtl/>
          <w:lang w:val="ar-SA"/>
        </w:rPr>
        <w:t>كما تم تطوير هذا القانون لاحقًا لمواجهة حالات الانتهاكات الصغيرة، التي قد لا تكون الأضرار المادية فيها كبيرة، لكن تكاليف رفع الدعوى قد تتجاوز المبلغ الذي يمكن استرداده، وبالتالي</w:t>
      </w:r>
      <w:r>
        <w:rPr>
          <w:rStyle w:val="None"/>
          <w:rFonts w:ascii="Times New Roman" w:hAnsi="Times New Roman"/>
          <w:rtl/>
          <w:lang w:val="ar-SA"/>
        </w:rPr>
        <w:t xml:space="preserve">: </w:t>
      </w:r>
      <w:r>
        <w:rPr>
          <w:rStyle w:val="None"/>
          <w:rtl/>
          <w:lang w:val="ar-SA"/>
        </w:rPr>
        <w:t>تُمكن التعويضات القانونية مالك الحق من الدفاع عن حقوقه، دون أنْ تُشكّل تكاليف التقاضي عبئًا ماليًا كبيرًا</w:t>
      </w:r>
      <w:r>
        <w:rPr>
          <w:rStyle w:val="None"/>
          <w:rFonts w:ascii="Times New Roman" w:hAnsi="Times New Roman"/>
        </w:rPr>
        <w:t>.</w:t>
      </w:r>
    </w:p>
    <w:p w14:paraId="01A68FDC"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وظيفة رادعة</w:t>
      </w:r>
      <w:r>
        <w:rPr>
          <w:rStyle w:val="None"/>
          <w:rFonts w:ascii="Times New Roman" w:hAnsi="Times New Roman"/>
          <w:b/>
          <w:bCs/>
          <w:rtl/>
          <w:lang w:val="ar-SA"/>
        </w:rPr>
        <w:t>:</w:t>
      </w:r>
      <w:r>
        <w:rPr>
          <w:rStyle w:val="None"/>
          <w:rFonts w:ascii="Times New Roman" w:hAnsi="Times New Roman"/>
        </w:rPr>
        <w:t xml:space="preserve"> </w:t>
      </w:r>
      <w:r>
        <w:rPr>
          <w:rStyle w:val="None"/>
          <w:rtl/>
          <w:lang w:val="ar-SA"/>
        </w:rPr>
        <w:t>كما أصبحت التعويضات القانونية أداةً رادعةً قويةً ضد الانتهاكات المستقبلية؛ حيث تفرض غرامات مالية كبيرة على المنتهكين؛ ممَّا يثنيهم عن تكرار المخالفة</w:t>
      </w:r>
      <w:r>
        <w:rPr>
          <w:rStyle w:val="None"/>
          <w:rFonts w:ascii="Times New Roman" w:hAnsi="Times New Roman"/>
        </w:rPr>
        <w:t>.</w:t>
      </w:r>
    </w:p>
    <w:p w14:paraId="6DE9934E" w14:textId="77777777" w:rsidR="00454428" w:rsidRDefault="00000000" w:rsidP="00C72BA8">
      <w:pPr>
        <w:pStyle w:val="a8"/>
        <w:bidi/>
        <w:spacing w:before="120" w:after="120" w:line="360" w:lineRule="auto"/>
        <w:ind w:firstLine="720"/>
        <w:jc w:val="both"/>
        <w:rPr>
          <w:rFonts w:hint="default"/>
          <w:rtl/>
          <w:lang w:val="ar-SA"/>
        </w:rPr>
      </w:pPr>
      <w:r>
        <w:rPr>
          <w:rStyle w:val="None"/>
          <w:rtl/>
          <w:lang w:val="ar-SA"/>
        </w:rPr>
        <w:t xml:space="preserve">يحق لأي شخص تضرر من انتهاك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 xml:space="preserve">رفع دعوى قضائية مدنية أمام المحكمة الفيدرالية، وللمحكمة سلطة تقديرية؛ لمنح تعويضات عادلة ومالية، مشابهة لما هو متاح في قضايا حقوق النشر، وتشمل هذه التعويضات </w:t>
      </w:r>
      <w:r>
        <w:rPr>
          <w:rStyle w:val="None"/>
          <w:rFonts w:ascii="Times New Roman" w:hAnsi="Times New Roman"/>
          <w:rtl/>
          <w:lang w:val="ar-SA"/>
        </w:rPr>
        <w:t>"</w:t>
      </w:r>
      <w:r>
        <w:rPr>
          <w:rStyle w:val="None"/>
          <w:rtl/>
          <w:lang w:val="ar-SA"/>
        </w:rPr>
        <w:t>التعويضات القانونية</w:t>
      </w:r>
      <w:r>
        <w:rPr>
          <w:rStyle w:val="None"/>
          <w:rFonts w:ascii="Times New Roman" w:hAnsi="Times New Roman"/>
          <w:rtl/>
          <w:lang w:val="ar-SA"/>
        </w:rPr>
        <w:t>"</w:t>
      </w:r>
      <w:r>
        <w:rPr>
          <w:rStyle w:val="None"/>
          <w:rtl/>
          <w:lang w:val="ar-SA"/>
        </w:rPr>
        <w:t xml:space="preserve">، التي تسمح للمحكمة بتحديد مبلغ التعويض دون الحاجة إلى إثبات الضرر الفعلي، وللمحكمة سلطة تخفيض أو إلغاء التعويضات إذا أثبت المخالف أنَّه لم يكن على علم أو لم يكن لديه سبب للاعتقاد بأنَّ أفعاله كانت تشكل انتهاكًا، ويعتبر انتهاك المادتين جريمةً جنائيةً فقط في حالة ارتكابه </w:t>
      </w:r>
      <w:r>
        <w:rPr>
          <w:rStyle w:val="None"/>
          <w:rFonts w:ascii="Times New Roman" w:hAnsi="Times New Roman"/>
          <w:rtl/>
          <w:lang w:val="ar-SA"/>
        </w:rPr>
        <w:t>"</w:t>
      </w:r>
      <w:r>
        <w:rPr>
          <w:rStyle w:val="None"/>
          <w:rtl/>
          <w:lang w:val="ar-SA"/>
        </w:rPr>
        <w:t>عمدًا ولأغراض تحقيق منفعة تجارية أو مكاسب مالية خاصة، وتُعفى المكتبات، والمحفوظات، والمؤسسات التعليمية غير الربحية تمامًا من المسئولية الجنائية، وتتمثل العقوبات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41"/>
      </w:r>
      <w:r>
        <w:rPr>
          <w:rStyle w:val="None"/>
          <w:rFonts w:ascii="Times New Roman" w:hAnsi="Times New Roman"/>
          <w:vertAlign w:val="superscript"/>
          <w:rtl/>
          <w:lang w:val="ar-SA"/>
        </w:rPr>
        <w:t>)</w:t>
      </w:r>
    </w:p>
    <w:p w14:paraId="34C513DE" w14:textId="77777777" w:rsidR="00454428" w:rsidRDefault="00000000">
      <w:pPr>
        <w:pStyle w:val="a8"/>
        <w:numPr>
          <w:ilvl w:val="0"/>
          <w:numId w:val="199"/>
        </w:numPr>
        <w:bidi/>
        <w:spacing w:before="120" w:after="120" w:line="360" w:lineRule="auto"/>
        <w:jc w:val="both"/>
        <w:rPr>
          <w:rFonts w:hint="default"/>
          <w:rtl/>
          <w:lang w:val="ar-SA"/>
        </w:rPr>
      </w:pPr>
      <w:r>
        <w:rPr>
          <w:rStyle w:val="None"/>
          <w:b/>
          <w:bCs/>
          <w:rtl/>
          <w:lang w:val="ar-SA"/>
        </w:rPr>
        <w:t>المخالفة الأولى</w:t>
      </w:r>
      <w:r>
        <w:rPr>
          <w:rStyle w:val="None"/>
          <w:rFonts w:ascii="Times New Roman" w:hAnsi="Times New Roman"/>
          <w:b/>
          <w:bCs/>
          <w:rtl/>
          <w:lang w:val="ar-SA"/>
        </w:rPr>
        <w:t xml:space="preserve">: </w:t>
      </w:r>
      <w:r>
        <w:rPr>
          <w:rStyle w:val="None"/>
          <w:rtl/>
          <w:lang w:val="ar-SA"/>
        </w:rPr>
        <w:t xml:space="preserve">غرامة تصل إلى </w:t>
      </w:r>
      <w:r>
        <w:rPr>
          <w:rStyle w:val="None"/>
          <w:rFonts w:ascii="Times New Roman" w:hAnsi="Times New Roman"/>
          <w:rtl/>
          <w:lang w:val="ar-SA"/>
        </w:rPr>
        <w:t>500000</w:t>
      </w:r>
      <w:r>
        <w:rPr>
          <w:rStyle w:val="None"/>
          <w:rFonts w:ascii="Times New Roman" w:hAnsi="Times New Roman"/>
        </w:rPr>
        <w:t xml:space="preserve"> </w:t>
      </w:r>
      <w:r>
        <w:rPr>
          <w:rStyle w:val="None"/>
          <w:rtl/>
          <w:lang w:val="ar-SA"/>
        </w:rPr>
        <w:t>دولارٍ، أو السجن لمدة تصل إلى خمس سنواتٍ</w:t>
      </w:r>
      <w:r>
        <w:rPr>
          <w:rStyle w:val="None"/>
          <w:rFonts w:ascii="Times New Roman" w:hAnsi="Times New Roman"/>
          <w:rtl/>
          <w:lang w:val="ar-SA"/>
        </w:rPr>
        <w:t>.</w:t>
      </w:r>
    </w:p>
    <w:p w14:paraId="07980CAF" w14:textId="77777777" w:rsidR="00454428" w:rsidRDefault="00000000">
      <w:pPr>
        <w:pStyle w:val="a8"/>
        <w:numPr>
          <w:ilvl w:val="0"/>
          <w:numId w:val="199"/>
        </w:numPr>
        <w:bidi/>
        <w:spacing w:before="120" w:after="120" w:line="360" w:lineRule="auto"/>
        <w:jc w:val="both"/>
        <w:rPr>
          <w:rFonts w:hint="default"/>
          <w:rtl/>
          <w:lang w:val="ar-SA"/>
        </w:rPr>
      </w:pPr>
      <w:r>
        <w:rPr>
          <w:rStyle w:val="None"/>
          <w:b/>
          <w:bCs/>
          <w:rtl/>
          <w:lang w:val="ar-SA"/>
        </w:rPr>
        <w:t>المخالفات في حال تكرار الانتهاك</w:t>
      </w:r>
      <w:r>
        <w:rPr>
          <w:rStyle w:val="None"/>
          <w:rFonts w:ascii="Times New Roman" w:hAnsi="Times New Roman"/>
          <w:b/>
          <w:bCs/>
          <w:rtl/>
          <w:lang w:val="ar-SA"/>
        </w:rPr>
        <w:t xml:space="preserve">: </w:t>
      </w:r>
      <w:r>
        <w:rPr>
          <w:rStyle w:val="None"/>
          <w:rtl/>
          <w:lang w:val="ar-SA"/>
        </w:rPr>
        <w:t>غرامة تصل إلى مليون دولارٍ، أو السجن لمدة تصل إلى عشر سنواتٍ في حال تكرار نفس المخافة في وقت لاحق</w:t>
      </w:r>
      <w:r>
        <w:rPr>
          <w:rStyle w:val="None"/>
          <w:rFonts w:ascii="Times New Roman" w:hAnsi="Times New Roman"/>
        </w:rPr>
        <w:t>.</w:t>
      </w:r>
    </w:p>
    <w:p w14:paraId="112ABBA8"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6F2B51AA" w14:textId="0CFE41B0" w:rsidR="00454428" w:rsidRDefault="00000000" w:rsidP="00C72BA8">
      <w:pPr>
        <w:pStyle w:val="a4"/>
        <w:rPr>
          <w:rStyle w:val="None"/>
          <w:lang w:val="ar-SA"/>
        </w:rPr>
      </w:pPr>
      <w:bookmarkStart w:id="213" w:name="_Toc227251136"/>
      <w:bookmarkStart w:id="214" w:name="_Toc227251446"/>
      <w:r>
        <w:rPr>
          <w:rStyle w:val="None"/>
          <w:rFonts w:ascii="Arial Unicode MS" w:eastAsia="Arial Unicode MS" w:hAnsi="Arial Unicode MS" w:hint="cs"/>
          <w:rtl/>
          <w:lang w:val="ar-SA"/>
        </w:rPr>
        <w:lastRenderedPageBreak/>
        <w:t>المبحث الثاني</w:t>
      </w:r>
      <w:bookmarkEnd w:id="213"/>
      <w:bookmarkEnd w:id="214"/>
    </w:p>
    <w:p w14:paraId="6BE8DA85" w14:textId="77777777" w:rsidR="00454428" w:rsidRDefault="00000000" w:rsidP="00C72BA8">
      <w:pPr>
        <w:pStyle w:val="a4"/>
        <w:rPr>
          <w:rStyle w:val="None"/>
          <w:lang w:val="ar-SA"/>
        </w:rPr>
      </w:pPr>
      <w:bookmarkStart w:id="215" w:name="_Toc227251137"/>
      <w:bookmarkStart w:id="216" w:name="_Toc227251447"/>
      <w:r>
        <w:rPr>
          <w:rStyle w:val="None"/>
          <w:rFonts w:ascii="Arial Unicode MS" w:eastAsia="Arial Unicode MS" w:hAnsi="Arial Unicode MS" w:hint="cs"/>
          <w:rtl/>
          <w:lang w:val="ar-SA"/>
        </w:rPr>
        <w:t>الحماية الجنائية والتجريم الرقمي</w:t>
      </w:r>
      <w:bookmarkEnd w:id="215"/>
      <w:bookmarkEnd w:id="216"/>
    </w:p>
    <w:p w14:paraId="5F14129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التطوُّر الهائل في تقنيات المعلومات والاتصالات، شهد العالم تحولاتٍ جذريةً في طرق إنتاج وتبادل المعرفة، فأصبحت البيئة الرقمية فضاءً مفتوحًا لنشر المصنفات والابتكارات على نطاق واسع، ورغم ما يتيحه هذا الانفتاح من فرص للإبداع والابتكار إلا أنَّه أدى إلى ظهور أنماط جديدة من الاعتداءات على الملكية الفكرية، اتسمت بالسرعة والانتشار والعابر للحدود؛ ممَّا جعل من الضروري إيجاد آليات قانونية فعَّالة لمواجهتها، ومع تعقيد الجرائم في هذا المجال أصبحت الحماية المدنية غير كافية؛ ممَّا استدعى اللجوء إلى الحماية الجنائية كأداة لردع وحماية الحقوق</w:t>
      </w:r>
      <w:r>
        <w:rPr>
          <w:rStyle w:val="None"/>
          <w:rFonts w:ascii="Times New Roman" w:hAnsi="Times New Roman"/>
          <w:sz w:val="24"/>
          <w:szCs w:val="24"/>
          <w:rtl/>
          <w:lang w:val="ar-SA"/>
        </w:rPr>
        <w:t>.</w:t>
      </w:r>
    </w:p>
    <w:p w14:paraId="2019B8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الحماية الجنائية والتجريم الرقمي وضع نصوص نظامية تجرم الأفعال التي تنتهك الملكية الفكرية في الفضاء الرقمي، وفرض عقوبات رادعة على مرتكبيها، سواء كانت هذه الأفعال تتمثل في نسخ، أو توزيع، أو تعديل، أو قرصنة المحتوى المحمي، فيأتي النظام السعودي في هذا الإطار منسجمًا مع الاتفاقيات الدولية، من خلال دمج النصوص المجرمة للاعتداءات الرقمية، وسنتناول ذلك على النحو التالي</w:t>
      </w:r>
      <w:r>
        <w:rPr>
          <w:rStyle w:val="None"/>
          <w:rFonts w:ascii="Times New Roman" w:hAnsi="Times New Roman"/>
          <w:sz w:val="24"/>
          <w:szCs w:val="24"/>
          <w:rtl/>
          <w:lang w:val="ar-SA"/>
        </w:rPr>
        <w:t>:</w:t>
      </w:r>
    </w:p>
    <w:p w14:paraId="15B93683" w14:textId="77777777" w:rsidR="00454428" w:rsidRDefault="00000000">
      <w:pPr>
        <w:pStyle w:val="a7"/>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 السعودي</w:t>
      </w:r>
      <w:r>
        <w:rPr>
          <w:rStyle w:val="None"/>
          <w:rFonts w:ascii="Times New Roman" w:hAnsi="Times New Roman"/>
          <w:sz w:val="24"/>
          <w:szCs w:val="24"/>
          <w:rtl/>
          <w:lang w:val="ar-SA"/>
        </w:rPr>
        <w:t>.</w:t>
      </w:r>
    </w:p>
    <w:p w14:paraId="7D6CEA5F" w14:textId="77777777" w:rsidR="00454428" w:rsidRDefault="00000000">
      <w:pPr>
        <w:pStyle w:val="a7"/>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النظامين الفَرنسي والأمريكي</w:t>
      </w:r>
      <w:r>
        <w:rPr>
          <w:rStyle w:val="None"/>
          <w:rFonts w:ascii="Times New Roman" w:hAnsi="Times New Roman"/>
          <w:sz w:val="24"/>
          <w:szCs w:val="24"/>
          <w:rtl/>
          <w:lang w:val="ar-SA"/>
        </w:rPr>
        <w:t>.</w:t>
      </w:r>
    </w:p>
    <w:p w14:paraId="566833D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CC2C6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22EF5DB4"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5D13A59" w14:textId="2F6DD0C8" w:rsidR="00454428" w:rsidRDefault="00000000" w:rsidP="00C72BA8">
      <w:pPr>
        <w:pStyle w:val="a4"/>
        <w:rPr>
          <w:rStyle w:val="None"/>
          <w:lang w:val="ar-SA"/>
        </w:rPr>
      </w:pPr>
      <w:bookmarkStart w:id="217" w:name="_Toc227251138"/>
      <w:bookmarkStart w:id="218" w:name="_Toc227251448"/>
      <w:r>
        <w:rPr>
          <w:rStyle w:val="None"/>
          <w:rFonts w:ascii="Arial Unicode MS" w:eastAsia="Arial Unicode MS" w:hAnsi="Arial Unicode MS" w:hint="cs"/>
          <w:rtl/>
          <w:lang w:val="ar-SA"/>
        </w:rPr>
        <w:lastRenderedPageBreak/>
        <w:t>المطلب الأول</w:t>
      </w:r>
      <w:bookmarkEnd w:id="217"/>
      <w:bookmarkEnd w:id="218"/>
    </w:p>
    <w:p w14:paraId="06B83FA1" w14:textId="77777777" w:rsidR="00454428" w:rsidRDefault="00000000" w:rsidP="00C72BA8">
      <w:pPr>
        <w:pStyle w:val="a4"/>
        <w:rPr>
          <w:rStyle w:val="None"/>
          <w:lang w:val="ar-SA"/>
        </w:rPr>
      </w:pPr>
      <w:bookmarkStart w:id="219" w:name="_Toc227251139"/>
      <w:bookmarkStart w:id="220" w:name="_Toc227251449"/>
      <w:r>
        <w:rPr>
          <w:rStyle w:val="None"/>
          <w:rFonts w:ascii="Arial Unicode MS" w:eastAsia="Arial Unicode MS" w:hAnsi="Arial Unicode MS" w:hint="cs"/>
          <w:rtl/>
          <w:lang w:val="ar-SA"/>
        </w:rPr>
        <w:t>الحماية الجنائية للملكية الفكرية في البيئة الرقمية في النظام السعودي</w:t>
      </w:r>
      <w:bookmarkEnd w:id="219"/>
      <w:bookmarkEnd w:id="220"/>
    </w:p>
    <w:p w14:paraId="656DA8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تطوُّرًا تقنيًّا غير مسبوق، أدى إلى انتشار البيئة الرقمية في مختلف جوانب الحياة، فأصبح تداول المعلومات والابتكارات يتم عبر شبكات إلكترونية عالمية، متجاوزة الحدود الجغرافية والزمنية، ورغم الفرص الهائلة التي وفرتها هذه البيئة لتعزيز الإبداع ونشر المعرفة، إلا أنَّها أوجدت تحديات قانونية معقدة، أبرزها الاعتداء على الملكية الفكرية بطرق رقمية يصعب رصدها أو السيطرة عليها بالأساليب التقليدية، وقد تزايدت هذه الاعتداءات؛ نتيجة سهولة نسخ وتوزيع المصنفات الرقمية وانتشار القرصنة الإلكترونية؛ ممَّا أدى إلى الحاجة لمنظومة حماية أكثر صرامةً وفاعليةً</w:t>
      </w:r>
      <w:r>
        <w:rPr>
          <w:rStyle w:val="None"/>
          <w:rFonts w:ascii="Times New Roman" w:hAnsi="Times New Roman"/>
          <w:sz w:val="24"/>
          <w:szCs w:val="24"/>
          <w:rtl/>
          <w:lang w:val="ar-SA"/>
        </w:rPr>
        <w:t>.</w:t>
      </w:r>
    </w:p>
    <w:p w14:paraId="3AD4ED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برزت الحاجة الجنائية كأداة أساسية لمواجهة التعديات الرقمية للملكية الفكرية، من خلال تجريم الأفعال التي تمس الحقوق المحمية، وفرض عقوبات رادعة لتحقيق الردع العام والخاص، وقد أولى النظام السعودي أهميةً كبيرةً لهذا الجانب؛ بهدف إقامة بيئة رقمية آمنة تحافظ على الحقوق وتدعم مسيرة الابتكار</w:t>
      </w:r>
      <w:r>
        <w:rPr>
          <w:rStyle w:val="None"/>
          <w:rFonts w:ascii="Times New Roman" w:hAnsi="Times New Roman"/>
          <w:sz w:val="24"/>
          <w:szCs w:val="24"/>
          <w:rtl/>
          <w:lang w:val="ar-SA"/>
        </w:rPr>
        <w:t xml:space="preserve">. </w:t>
      </w:r>
    </w:p>
    <w:p w14:paraId="159A3F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فقد وضع المنظم السعودي نظامَ حماية 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شوال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p>
    <w:p w14:paraId="59856E1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الجزاء</w:t>
      </w:r>
      <w:r>
        <w:rPr>
          <w:rStyle w:val="None"/>
          <w:rFonts w:ascii="Times New Roman" w:hAnsi="Times New Roman"/>
          <w:b/>
          <w:bCs/>
          <w:sz w:val="28"/>
          <w:szCs w:val="28"/>
          <w:rtl/>
          <w:lang w:val="ar-SA"/>
        </w:rPr>
        <w:t>:</w:t>
      </w:r>
    </w:p>
    <w:p w14:paraId="6EDCA4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الجزاء أحد الأعمدة الأساسية في النظم القانونية؛ حيث يمثل الأداة التي يعتمد عليها المنظم لضمان احترام القواعد والنصوص القانونية، ويمثل رادعًا للمخالفين عن ارتكاب الأفعال المجرمة، فالجزاء ليس هدفًا بحد ذاته، بل هو وسيلة لتحقيق الانضباط الاجتماعي، وحماية الحقوق والمصالح التي يسعى القانون إلى حمايتها</w:t>
      </w:r>
      <w:r>
        <w:rPr>
          <w:rStyle w:val="None"/>
          <w:rFonts w:ascii="Times New Roman" w:hAnsi="Times New Roman"/>
          <w:sz w:val="24"/>
          <w:szCs w:val="24"/>
          <w:rtl/>
          <w:lang w:val="ar-SA"/>
        </w:rPr>
        <w:t>.</w:t>
      </w:r>
    </w:p>
    <w:p w14:paraId="21AFB9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الجزاء الجنائي ذلك الأثر الذي يترتب قانونًا على سلوك يُعَدُّ جريمة، وإعماله هو النتيجة القانونية المترتبة على مخالفة نصوص التجريم الواردة في قانون العقوبات، أو غيره من القوانين المكملة، فقد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إجراء يقرره القانون ويوقعه القاضي على شخص ثبتت مسئوليته عن 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فالجزاء الجنائي هو رد الفعل الاجتماعي الذي يوقعه المجتمع بواسطة سلطاته العامة على من اقترف الجريمة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6437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الجزاء يرتبط بالتجريم تمام الارتباط؛ حيث إنَّه لا جريمة بدون جزاء؛ ولذلك يأخذ الجزاء وضعه القانوني من كونه المقابل للواقعة التي جرمها القانون، ويتمثل مضمون الجزاء في أثر معين يلحق بالمحكوم عليه، وهو إيلامه عن طريق الانتقاص من حقوقه أو مصالحه، وقد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ينص عليه القانون ليلحق المجرم بسبب ارتكابه الجريمة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B9DC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أشار جانب من الفقه إلى تعريف الجزاء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يقرره المنظم ويوقعه القاضي على من تثبت مسئوليته في ارتكاب جريمة، ويتمثل الجزاء في إيلام الجاني بالإنقاص من بعض حقوقه الشخصية وأهمها في الحق في الحياة والحق في الحرية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5A0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الجزاء الجنائي يُعَدُّ الأداة القانونية التي يعبر بها المجتمع عن رد فعله تجاه الأفعال المجرمة، من خلال فرض عقوبة تتناسب مع خطورة الفعل ودرجة إجرام الجاني، فهو نتيجة طبيعية لارتكاب الجريمة وثبوت المسئولية، ويهدف هذا الجزاء إلى إيلام الجاني من خلال تقييد بعض حقوقه أو حرياته؛ ممَّا يشكل رسالةً واضحةً بأنَّ انتهاك القواعد الجنائية يترتب عليه حتمًا إجراء قانوني يعزّز هيبة القانون، ويضمن أمن المجتمع واستقراره</w:t>
      </w:r>
      <w:r>
        <w:rPr>
          <w:rStyle w:val="None"/>
          <w:rFonts w:ascii="Times New Roman" w:hAnsi="Times New Roman"/>
          <w:sz w:val="24"/>
          <w:szCs w:val="24"/>
          <w:rtl/>
          <w:lang w:val="ar-SA"/>
        </w:rPr>
        <w:t xml:space="preserve">. </w:t>
      </w:r>
    </w:p>
    <w:p w14:paraId="11A0B0E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أهداف الجزاءات</w:t>
      </w:r>
      <w:r>
        <w:rPr>
          <w:rStyle w:val="None"/>
          <w:rFonts w:ascii="Times New Roman" w:hAnsi="Times New Roman"/>
          <w:b/>
          <w:bCs/>
          <w:sz w:val="28"/>
          <w:szCs w:val="28"/>
          <w:rtl/>
          <w:lang w:val="ar-SA"/>
        </w:rPr>
        <w:t>:</w:t>
      </w:r>
    </w:p>
    <w:p w14:paraId="5CAE72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تسعى الجزاءات في جوهرها إلى تحقيق أهداف أسمى تتجاوز مجرد معاقبة الجاني، فهي أداة ينظم بها المجتمع سلوك أفراده ويضمن استقراره وأمنه، ويهدف الجزاء إلى حماية القيم والمصالح التي يسعى القانون إلى صونها، وردع الأفراد عن ارتكاب الأفعال المجرمة، سواء من خلال ردعهم شخصيًا، أو ردع الآخرين عن التفكير في ارتكاب الجريمة، كما يساهم الجزاء في إصلاح الجاني وإعادة تأهيله ليصبح فردًا صالحًا في المجتمع</w:t>
      </w:r>
      <w:r>
        <w:rPr>
          <w:rStyle w:val="None"/>
          <w:rFonts w:ascii="Times New Roman" w:hAnsi="Times New Roman"/>
          <w:sz w:val="24"/>
          <w:szCs w:val="24"/>
          <w:rtl/>
          <w:lang w:val="ar-SA"/>
        </w:rPr>
        <w:t>.</w:t>
      </w:r>
    </w:p>
    <w:p w14:paraId="2B6376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الهدف الأصلي لاختيار الجزاء هو تقويم سلوك المجرم وإصلاحه، والتنفيذ الجزائي هو المرحلة التي يتحقق فيها الهدف من هذا الاختيار، ولا يمكن تحقيق هذا الهدف ما لم تعمل السلطة القائمة على تنفيذ العقوبة على تحقيق، فالتنفيذ ليس مجرد حرمان المحكوم عليه من حريته أو إيلامه بقدر معين ولمدة معينة، وإنما هو إعادة تربية المجرم؛ لتأهيله للحياة الاجتماعية الشريفة بعيدًا عن خطر التردي في الإجرام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1D22C6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تحتل وظيفة الردع مكانًا مرموقًا في اختيار المنظم للعقوبات، الأمر الذي يفسر اختياره أشد العقوبات للأعمال التي تتسبب في الاضطرابات الاجتماعية الأكثر خطورة، والتي تثير استياءً أكبر لدى الرأي العام، فقد عرف جانب من الفقه الردع الخاص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إيلام الجاني بالقدر اللازم الذي يمنعه من التفكير في العودة إلى ارتكاب الجريمة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الردع العام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فيقصد به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تحذير باقي أفراد المجتمع الذين تراودهم فكرة ارتكاب الجريمة من أنَّهم سينالون نفس الجزاء الذي يوقع على المجرم الذي ارتكبها فعلًا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D7A2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وبذلك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الغاية من الجزاء لا يقتصر على إيلام الجاني، بل يهدف إلى إصلاحه ومنع تكرار سلوكه بالإضافة إلى ردع الآخرين من ارتكاب نفس الجريمة، فالاعتداء على المصنفات الفكرية يؤثر على النظام الاقتصادي، والاجتماعي، ويضعف الثقة في بيئة الابتكار والإبداع؛ لذا فإنَّ توقيع الجزاءات على المعتدين على حقوق المؤلف يسعى لحماية المصالح العامة، وتعزيز مكانة الملكية الفكرية كعنصر أساسي في البناء الاقتصادي</w:t>
      </w:r>
      <w:r>
        <w:rPr>
          <w:rStyle w:val="None"/>
          <w:rFonts w:ascii="Times New Roman" w:hAnsi="Times New Roman"/>
          <w:sz w:val="24"/>
          <w:szCs w:val="24"/>
          <w:rtl/>
          <w:lang w:val="ar-SA"/>
        </w:rPr>
        <w:t>.</w:t>
      </w:r>
    </w:p>
    <w:p w14:paraId="15430541" w14:textId="77777777" w:rsidR="00454428" w:rsidRDefault="00000000">
      <w:pPr>
        <w:pStyle w:val="a7"/>
        <w:numPr>
          <w:ilvl w:val="0"/>
          <w:numId w:val="2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الردع الخاص</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إنَّ الجزاء يهدف إلى التأثير في السلوك الإنساني داخل المجتمع؛ حتى يتلاءم مع الأوامر والنواهي الاجتماعية التي تنطوي عليها قواعد التجريم، وهي في حالتها الساكنة في النص تهدف إلى التأثير في سلوك جميع الأفراد المخاطبين بأحكام القانون، عن طريق التهديد بما تنطوي عليه من جسامة معينة، وهو ما </w:t>
      </w:r>
      <w:r>
        <w:rPr>
          <w:rStyle w:val="None"/>
          <w:rFonts w:cs="Times New Roman"/>
          <w:sz w:val="24"/>
          <w:szCs w:val="24"/>
          <w:rtl/>
          <w:lang w:val="ar-SA"/>
        </w:rPr>
        <w:lastRenderedPageBreak/>
        <w:t xml:space="preserve">يسمى بالردع العام، أما في حالتها الديناميكية عند تطبيقها بواسطة القضاء، فإنَّها تهدف أساسًا إلى التأثير في سلوك المحكوم عليه حتى يتطابق مستقبلًا مع قواعد القانون، وهو ما يسمى بالردع الخاص، أو الإصلاح، أو إعادة التأهيل الاجتماعي، ويقتضي هذا الهدف أنْ تتوافر لدى المحكوم عليه خطورة إجرامية معينة، أي استعداد نحو ارتكاب الجريمة مستقبلًا، فإذا قلت هذه الخطورة أو انعدمت قل شأن الهدف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2D4A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يعني الردع الخاص أنَّه علاج الخطورة الإجرامية الكامنة في شخص المجرم، وللردع الخاص طابع فردي؛ إذ يتجه إلى شخص معين يغير من معالم شخصيته، ويحقق التآلف بينها وبين القيم الاجتماعية، وهو من ناحية أخرى يعتد بالظروف الخاصة للفرد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80D0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ناحية أخرى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يفترض الاعتداد بالظروف الفردية، ويجتهد في الملائمة بين أساليبه وهذه الظروف، وللردع الخاص صلة وثيقة بنظرية الخطورة الجرمية باعتبارها موضوع أساليبه؛ ولذلك كان كل منهما واضعًا في اعتباره السلوك المستقبل للمجرم، فإذا كانت الخطورة الجرمية هي احتمال إقدام المجرم على جريمة تالية، فإنَّ هدف الردع الخاص هو القضاء على هذا الاحتمال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BBFAE3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الردع الخاص يعمل على حماية الملكية الفكرية؛ حيث إنَّ الاعتداء على حقوق المؤلف أو المصنفات الفكرية لا يقتصر أثره على صاحب الحق فحسب، بل يهدد الثقة في بيئة الإبداع والاقتصاد المعرفي، ومِنْ ثَمَّ فإنَّ توجيه الجزاء نحو إصلاح المعتدي وردعه بشكل فردي يساهم في تقليل احتمالية تكرار جرائم الاعتداء على الملكية الفكرية</w:t>
      </w:r>
      <w:r>
        <w:rPr>
          <w:rStyle w:val="None"/>
          <w:rFonts w:ascii="Times New Roman" w:hAnsi="Times New Roman"/>
          <w:sz w:val="24"/>
          <w:szCs w:val="24"/>
          <w:rtl/>
          <w:lang w:val="ar-SA"/>
        </w:rPr>
        <w:t>.</w:t>
      </w:r>
    </w:p>
    <w:p w14:paraId="038C03C0" w14:textId="77777777" w:rsidR="00454428" w:rsidRDefault="00000000">
      <w:pPr>
        <w:pStyle w:val="a7"/>
        <w:numPr>
          <w:ilvl w:val="0"/>
          <w:numId w:val="20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الردع العام</w:t>
      </w:r>
      <w:r>
        <w:rPr>
          <w:rStyle w:val="None"/>
          <w:rFonts w:ascii="Times New Roman" w:hAnsi="Times New Roman"/>
          <w:b/>
          <w:bCs/>
          <w:sz w:val="24"/>
          <w:szCs w:val="24"/>
          <w:rtl/>
          <w:lang w:val="ar-SA"/>
        </w:rPr>
        <w:t xml:space="preserve">: </w:t>
      </w:r>
      <w:r>
        <w:rPr>
          <w:rStyle w:val="None"/>
          <w:rFonts w:cs="Times New Roman"/>
          <w:sz w:val="24"/>
          <w:szCs w:val="24"/>
          <w:rtl/>
          <w:lang w:val="ar-SA"/>
        </w:rPr>
        <w:t>لا يعني الردع الخاص مطلقًا إسقاط الردع العام من الاعتبار، وإنما يعني مجرد وضعه في المرتبة التالية، فاختيار العقوبة من أجل إصلاح المجرم يعني الاعتماد على مطلق شخصية المجرم، فهي وحدها الخاضعة لهذا الإصلاح، أما الردع العام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فإنَّه يتحقق ضمنًا من خلال الإيلام المستفاد من الجزاء الموقع على المجرم مهما اختلف قدره وكيفيته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88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وتحقيق الردع العام كأحد أغراض العقوبة يواجه الدوافع الإجرامية بأخرى مضادة للإجرام؛ حتى تتوازن معها أو ترجع عليها فلا تتولد الجريمة، وهو أمر يتحقق بمجرد وضع النصوص التي تجرم سلوكًا معينًا وتقرر له قدر من الجزاء الذي يجدر إنزاله بفاعله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42DDF2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وللردع العام أهمية أساسية؛ حيث إنَّ الدوافع الإجرامية تتوافر لدى أغلب الناس، وهي بقايا نوازع نفسية تنبع عن الطبيعة البدائية للإنسان، وكانت للإنسان الأول أهم أسلحته في اجتياز طريقه العسير إلى إشباع حاجاته، وكانت من هذه الوجهة ذات نفع له، وإذا كانت المدنية قد جعلت الإنسان الحديث في غير حاجة مشروعة إليها، فإنَّ ذلك لا ينفي </w:t>
      </w:r>
      <w:r>
        <w:rPr>
          <w:rStyle w:val="None"/>
          <w:rFonts w:ascii="Arial Unicode MS" w:hAnsi="Arial Unicode MS" w:cs="Times New Roman" w:hint="cs"/>
          <w:sz w:val="24"/>
          <w:szCs w:val="24"/>
          <w:rtl/>
          <w:lang w:val="ar-SA"/>
        </w:rPr>
        <w:lastRenderedPageBreak/>
        <w:t xml:space="preserve">وجودها، وهذه الدوافع تخلق في المجتمع والتطوُّر العادي لهذا النوع من الإجرام هو أنْ يتحول إلى إجرام فعلي، ويُعَدُّ الجزاء بأنَّه الحائل دون هذا التحول، ولها من هذه الوجهة دور اجتماعي أساسي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D6E6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فرض الجزاءات الرادعة على المعتدين على حقوق المؤلف والمصنفات الفكرية، يؤدي إلى حماية هذه الحقوق ليس فقط لصالح المؤلف المعتدى على مصنفه، وإنما أيضًا لصالح المجتمع كله، من خلال احترام القواعد القانونية وتشجيع الالتزام بها، وبهذا يصبح الردع العام أداءً أساسية لحماية بيئة الإبداع والابتكار</w:t>
      </w:r>
      <w:r>
        <w:rPr>
          <w:rStyle w:val="None"/>
          <w:rFonts w:ascii="Times New Roman" w:hAnsi="Times New Roman"/>
          <w:sz w:val="24"/>
          <w:szCs w:val="24"/>
          <w:rtl/>
          <w:lang w:val="ar-SA"/>
        </w:rPr>
        <w:t>.</w:t>
      </w:r>
    </w:p>
    <w:p w14:paraId="456549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أهمية الحماية الجنائية للملكية الفكرية</w:t>
      </w:r>
      <w:r>
        <w:rPr>
          <w:rStyle w:val="None"/>
          <w:rFonts w:ascii="Times New Roman" w:hAnsi="Times New Roman"/>
          <w:b/>
          <w:bCs/>
          <w:sz w:val="28"/>
          <w:szCs w:val="28"/>
          <w:rtl/>
          <w:lang w:val="ar-SA"/>
        </w:rPr>
        <w:t>:</w:t>
      </w:r>
    </w:p>
    <w:p w14:paraId="59B8A0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تكتسب الحماية الجنائية للملكية الفكرية أهميةً كبيرةً في ظل التطوُّر المعرفي والتكنولوجي المتسارع الذي تشهده المجتمعات المعاصرة، وتمثل هذه الحماية خط الدفاع الأول ضد الاعتداءات على حقوق المبدعين والمخترعين والمؤلفين، سواء في الواقع التقليدي أو في الفضاء الرقمي، ويُعَدُّ التجريم والعقاب أداةً فعَّالةً للحد من الانتهاكات، ويعكسان حرص المنظم على حماية حقوق الملكية الفكرية، التي تعتبر من أهم مقومات الابتكار والتنمية الاقتصادية، وتساهم هذه الحماية في ضمان بيئة قانونية آمنة تشجع على الإبداع والاستثمار في المعرفة</w:t>
      </w:r>
      <w:r>
        <w:rPr>
          <w:rStyle w:val="None"/>
          <w:rFonts w:ascii="Times New Roman" w:hAnsi="Times New Roman"/>
          <w:sz w:val="24"/>
          <w:szCs w:val="24"/>
          <w:rtl/>
          <w:lang w:val="ar-SA"/>
        </w:rPr>
        <w:t>.</w:t>
      </w:r>
    </w:p>
    <w:p w14:paraId="1AF6FB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فالمعلومة هي إحدى ثمرات فكر الإنسان، والتي تتحول فيما بعد إلى رصيد معرفي تستفيد منه البشرية لتسيير حياتهم؛ ممَّا استوجب الاعتراف بالملكية الفكرية للأشياء المبتكرة؛ ونظرًا لأهمية الأفكار، ومع تزايد الوعي الإنساني والتطوُّر العلمي لدى الأمم، ومدى تأثير تلك الأفكار على الأنظمة الاقتصادية، وعلى رفع المستوى الثقافي والحضاري للشعوب والدول، هذا ما جعل الدول تسعى إلى حماية حقوق الملكية الفكرية وردها إلى أصحابها، بحكم أنَّ قوة الأمم تقاس بحجم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222F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تطوُّر الوسائل التكنولوجية الحديثة، وما رافقها من جمع وتخزين للبيانات الشخصية سهل الاعتداء على حرمة الحياة الخاصة، من خلال التعامل غير المشروع مع هذه البيانات واستغلالها بدون وجه حق، وهو ما شكل تهديدًا حقيقيًا للحق في الحياة الخاصة في البيئة الرقمية، وأثر على موقف الفقه والقانون من مفهوم هذا الحق، وأدى إلى تطوُّر في مظاهر الحماية القانونية له ومنها الحماية الجنائية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A750F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تحديث السياسات والقوانين بسرعة لمواكبة التطوُّرات التكنولوجية الجديدة أساسيًا؛ لضمان فاعلية الإطار القانوني في حماية حقوق الأفراد ومواجهة التحديات الجديدة، التي تطرأ من خلال مراجعة دورية للقوانين والسياسات؛ لضمان توافقها مع التطوُّرات التكنولوجية الجديدة والتحديات المستجدة، كما ينبغي إنشاء آليات مرنة وسريعة تمكن من تعديل القوانين بسرعة ومرونة؛ لتضمين التحديات والفرص الجديدة التي تطرأ نتيجة للتطوُّرات التكنولوجية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E23C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فتُعَدُّ قضية حماية الملكية الفكرية الرقمية من أهم المسائل المستحدثة في العصر الحاضر، تتعرض له من نقد، وسرقات، وانتهاكات يومية متكررة؛ بسبب الطبيعة العالمية لشبكة الإنترنت التي تُعَدُّ قوةً إيجابيةً لانتشار المؤلفات </w:t>
      </w:r>
      <w:r>
        <w:rPr>
          <w:rStyle w:val="None"/>
          <w:rFonts w:ascii="Arial Unicode MS" w:hAnsi="Arial Unicode MS" w:cs="Times New Roman" w:hint="cs"/>
          <w:sz w:val="24"/>
          <w:szCs w:val="24"/>
          <w:rtl/>
          <w:lang w:val="ar-SA"/>
        </w:rPr>
        <w:lastRenderedPageBreak/>
        <w:t xml:space="preserve">والمصنفات، غير أنَّها تُعَدُّ خطرًا كبيرًا يواجه حقوق أصحاب المصنفات لما سبق عرضه من استحالة السيطرة الكاملة على شبكة الإنترنت أو مستخدميها، وهو ما فرض على أصحاب الحقوق المتضررين والدول اتخاذ الاحتياطات التي يمكن بها حماية الملكية الفكرية من أي انتهاكات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3083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الملكية الفكرية في البيئة الرقمية لم تَعُدْ خيارًا إضافيًا، بل أصبحت ضرورةً ملحةً تفرضها التحديات الناتجة عن التطوُّر التكنولوجي وتسارع الابتكار، مع اتساع نطاق تداول المعلومات والمصنفات عبر الإنترنت زادت الاعتداءات والسرقات الفكرية؛ ممَّا يهدد الحقوق الفردية، ويؤثر سلبًا على مكانة الدول الاقتصادية والحضارية؛ ولضمان فاعلية هذه الحماية يجب اعتماد إطار قانوني مرن وقابل للتجديد لمواكبة المستجدات التقنية، كما ينبغي تعزيز الحماية الجنائية كأداة ردع أساسية؛ ممَّا يضمن التوازن بين إتاحة المعرفة وحماية حقوق أصحابها، ويساهم في ترسيخ بيئة رقمية آمنة تدعم الإبداع والتنمية المستدامة</w:t>
      </w:r>
      <w:r>
        <w:rPr>
          <w:rStyle w:val="None"/>
          <w:rFonts w:ascii="Times New Roman" w:hAnsi="Times New Roman"/>
          <w:sz w:val="24"/>
          <w:szCs w:val="24"/>
          <w:rtl/>
          <w:lang w:val="ar-SA"/>
        </w:rPr>
        <w:t>.</w:t>
      </w:r>
    </w:p>
    <w:p w14:paraId="592C20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فالحماية هي تأمين الحق من التعدي في جميع صوره ممن لا صلة لهم به، وتعني الدعوة لحماية حقوق الملكية الفكرية أنَّ هذه الحقوق أصبحت موقفًا يشكل درجةً متقدمةً من خطورة التعدي، يلزم مواجهته بشتى السبل، وسرعة الاتفاق حول صيغة قادرة على الحماية والردع، ويقصد بحماية حقوق الملكية الفكرية منع الدول أو الأفراد المستوردين للمنتجات والتكنولوجيا من استعمال تلك الحقوق دون موافقة أصحابها، وبصفة خاصة براءات الاختراع، باعتبار أنَّ الاختراعات في وقتنا الحالي تمثل الأساس لإقامة الصناعات الحديثة في مجالات التنمية القائمة على التكنولوجيا والتقنيات المتقدمة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D5DB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لا بُدَّ من حماية حقوق المؤلف والحقوق المجاورة في البيئة الرقمية؛ وذلك من خلال العمل على نشر الوعي القانوني بهذه الحقوق بين المؤلفين ومستخدمي شبكة الإنترنت، وتفعيل الحماية القانونية من خلال إصدار تشريعات خاصة لحماية الحقوق في البيئة الرقمية، بالإضافة إلى وضع أنظمة موحدة تتبنى التدابير التقنية بمنع التحايل على وسائل الحماية الإلكترونية، كما ينبغي أيضًا الحد من النسخ غير المشروع للمصنفات الرقمية، وتفعيل العقود الإلكترونية؛ كوسيلة لحماية أصحاب الحقوق، وتحديد قانون واجب التطبيق والاختصاص القضائي للمؤلف في المنازعات الرقمية</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458"/>
      </w:r>
      <w:r>
        <w:rPr>
          <w:rStyle w:val="None"/>
          <w:rFonts w:ascii="Times New Roman" w:hAnsi="Times New Roman"/>
          <w:vertAlign w:val="superscript"/>
          <w:rtl/>
          <w:lang w:val="ar-SA"/>
        </w:rPr>
        <w:t>)</w:t>
      </w:r>
      <w:r>
        <w:rPr>
          <w:rStyle w:val="None"/>
          <w:rFonts w:ascii="Times New Roman" w:hAnsi="Times New Roman"/>
          <w:sz w:val="24"/>
          <w:szCs w:val="24"/>
          <w:rtl/>
          <w:lang w:val="ar-SA"/>
        </w:rPr>
        <w:t>.</w:t>
      </w:r>
    </w:p>
    <w:p w14:paraId="0349FC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حقوق الملكية الفكرية خاصةً في البيئة الرقمية، أصبحت ضرورةً استراتيجيةً تفرضها التحديات المعاصرة، الناتجة عن الانفتاح المعلوماتي وسهولة تداول المحتوى عبر الإنترنت، فإنَّ الاعتداءات المتكررة وصعوبة ملاحقة مرتبكيها بالوسائل التقليدية تتطلب إطارًا قانونيًا وتقنيًا متكاملًا يجمع بين نشر الوعي، وتفعيل الحماية القانونية، كما يجب تبني تدابير تقنية فعَّالة لمنع التحايل على الحقوق، فإنَّ وضع أنظمة موحدة وتحديد الاختصاص القضائي، بالإضافة إلى إنشاء هيئات متخصصة، يمثل أساسًا؛ لضمان حماية فعَّالة وردع الانتهاكات، فمن شأن هذه الجهود أنْ تحقق التوازن بين إتاحة المعرفة وتشجيع الابتكار، وصون الحقوق في فضاء رقمي آمن ومتطوِّر</w:t>
      </w:r>
      <w:r>
        <w:rPr>
          <w:rStyle w:val="None"/>
          <w:rFonts w:ascii="Times New Roman" w:hAnsi="Times New Roman"/>
          <w:sz w:val="24"/>
          <w:szCs w:val="24"/>
          <w:rtl/>
          <w:lang w:val="ar-SA"/>
        </w:rPr>
        <w:t>.</w:t>
      </w:r>
    </w:p>
    <w:p w14:paraId="39253867" w14:textId="77777777" w:rsidR="00645DEB" w:rsidRDefault="00645DEB" w:rsidP="00C72BA8">
      <w:pPr>
        <w:pStyle w:val="Body"/>
        <w:spacing w:before="120" w:after="120" w:line="360" w:lineRule="auto"/>
        <w:jc w:val="both"/>
        <w:rPr>
          <w:rStyle w:val="None"/>
          <w:rFonts w:ascii="Arial Unicode MS" w:hAnsi="Arial Unicode MS" w:cs="Times New Roman"/>
          <w:b/>
          <w:bCs/>
          <w:sz w:val="28"/>
          <w:szCs w:val="28"/>
          <w:rtl/>
          <w:lang w:val="ar-SA"/>
        </w:rPr>
      </w:pPr>
    </w:p>
    <w:p w14:paraId="48720FF1" w14:textId="62E2FD88"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للحماية الجنائية</w:t>
      </w:r>
      <w:r>
        <w:rPr>
          <w:rStyle w:val="None"/>
          <w:rFonts w:ascii="Times New Roman" w:hAnsi="Times New Roman"/>
          <w:b/>
          <w:bCs/>
          <w:sz w:val="28"/>
          <w:szCs w:val="28"/>
          <w:rtl/>
          <w:lang w:val="ar-SA"/>
        </w:rPr>
        <w:t>:</w:t>
      </w:r>
    </w:p>
    <w:p w14:paraId="5ADA61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تستند الحماية الجنائية في أي نظام قانوني إلى نصوص نظامية محددة تضع الإطار القانوني؛ لتجريم الأفعال التي تمس المصالح المحمية وفرض العقوبات المناسبة، وتمثل هذه النصوص الأساس القانوني الذي يحدد نطاق الحماية، ويبين صور السلوك المجرم والجزاء المقرر له؛ ممَّا يضمن وضوح القاعدة الجنائية وفاعليتها في الردع في مجال حماية الملكية الفكرية، ويكتسب من وجود نصوص نظامية دقيقة أهميةً مضاعفةً، خاصةً في البيئة الرقمية التي تتسم بسرعة التطوُّر وتعدد وسائل الاعتداء</w:t>
      </w:r>
      <w:r>
        <w:rPr>
          <w:rStyle w:val="None"/>
          <w:rFonts w:ascii="Times New Roman" w:hAnsi="Times New Roman"/>
          <w:sz w:val="24"/>
          <w:szCs w:val="24"/>
          <w:rtl/>
          <w:lang w:val="ar-SA"/>
        </w:rPr>
        <w:t xml:space="preserve">. </w:t>
      </w:r>
    </w:p>
    <w:p w14:paraId="06D1B6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أوضح المنظم السعودي العقوبات الخاصة حقوق المؤلف من خلال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يعاقب كل من خالف حكمًا من أحكام هذا النظام بعقوبة أو أكثر من العقوبات الآتية</w:t>
      </w:r>
      <w:r>
        <w:rPr>
          <w:rStyle w:val="None"/>
          <w:rFonts w:ascii="Times New Roman" w:hAnsi="Times New Roman"/>
          <w:sz w:val="24"/>
          <w:szCs w:val="24"/>
          <w:rtl/>
          <w:lang w:val="ar-SA"/>
        </w:rPr>
        <w:t>:</w:t>
      </w:r>
    </w:p>
    <w:p w14:paraId="365DEB07"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الإنذار</w:t>
      </w:r>
      <w:r>
        <w:rPr>
          <w:rStyle w:val="None"/>
          <w:rFonts w:ascii="Times New Roman" w:hAnsi="Times New Roman"/>
          <w:sz w:val="24"/>
          <w:szCs w:val="24"/>
          <w:rtl/>
          <w:lang w:val="ar-SA"/>
        </w:rPr>
        <w:t>.</w:t>
      </w:r>
    </w:p>
    <w:p w14:paraId="4C0E3340"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غرامة مالية لا تزيد على مائتين وخمسين ألف ريالٍ</w:t>
      </w:r>
      <w:r>
        <w:rPr>
          <w:rStyle w:val="None"/>
          <w:rFonts w:ascii="Times New Roman" w:hAnsi="Times New Roman"/>
          <w:sz w:val="24"/>
          <w:szCs w:val="24"/>
          <w:rtl/>
          <w:lang w:val="ar-SA"/>
        </w:rPr>
        <w:t>.</w:t>
      </w:r>
    </w:p>
    <w:p w14:paraId="57D0F192"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إغلاق المنشأة المتعدية أو التي ساهمت في الاعتداء على حق المؤلف مدة لا تزيد على شهرين</w:t>
      </w:r>
      <w:r>
        <w:rPr>
          <w:rStyle w:val="None"/>
          <w:rFonts w:ascii="Times New Roman" w:hAnsi="Times New Roman"/>
          <w:sz w:val="24"/>
          <w:szCs w:val="24"/>
          <w:rtl/>
          <w:lang w:val="ar-SA"/>
        </w:rPr>
        <w:t>.</w:t>
      </w:r>
    </w:p>
    <w:p w14:paraId="05D04748"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مصادرة جميع نسخ المصنف، وكذا المواد المخصصة أو المستخدمة في ارتكاب التعدي على حق المؤلف</w:t>
      </w:r>
      <w:r>
        <w:rPr>
          <w:rStyle w:val="None"/>
          <w:rFonts w:ascii="Times New Roman" w:hAnsi="Times New Roman"/>
          <w:sz w:val="24"/>
          <w:szCs w:val="24"/>
          <w:rtl/>
          <w:lang w:val="ar-SA"/>
        </w:rPr>
        <w:t>.</w:t>
      </w:r>
    </w:p>
    <w:p w14:paraId="224B5572"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السجن مدة لا تزيد على ستة أشهرٍ</w:t>
      </w:r>
      <w:r>
        <w:rPr>
          <w:rStyle w:val="None"/>
          <w:rFonts w:ascii="Times New Roman" w:hAnsi="Times New Roman"/>
          <w:sz w:val="24"/>
          <w:szCs w:val="24"/>
          <w:rtl/>
          <w:lang w:val="ar-SA"/>
        </w:rPr>
        <w:t>.</w:t>
      </w:r>
    </w:p>
    <w:p w14:paraId="3F19CA69"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ثانيًا: في حالة تكرار التعدي على المصنف نفسه أو غيره تجوز مضاعفة الحد الأعلى للعقوبة والغرامة والإغلاق.</w:t>
      </w:r>
    </w:p>
    <w:p w14:paraId="5B76E95F"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ثالثًا: إذا رأت اللجنة أنَّ المخالفة تستوجب عقوبة السجن أو غرامة مالية تزيد على مائة ألف ريالٍ، أو تستوجب شطب الترخيص، ترفع الموضوع للمجلس لإحالته إلى ديوان المظالم.</w:t>
      </w:r>
    </w:p>
    <w:p w14:paraId="7BE3C96F"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رابعًا: يجوز للجنة أنْ تقرر تعويضًا ماليًا لصاحب حق المؤلف المعتدى عليه الذي يتقدم بالشكوى، ويكون التعويض متناسبًا مع حجم الاعتداء والضرر الذي لحق به.</w:t>
      </w:r>
    </w:p>
    <w:p w14:paraId="6CB3A50D"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خامسًا: يجوز للجنة أنْ تضمن قرارها عقوبة التشهير بحق المعتدي، ويكون النشر على نفقته وبالطريقة التي تراها اللجنة مناسبة.</w:t>
      </w:r>
    </w:p>
    <w:p w14:paraId="42CFDBFC"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سادسًا: يجوز للجنة أنْ تضمن قرارها في تعليق مشاركة المنشأة المعتدية في الأنشطة، أو المناسبات، أو المعارض، إذا ضبطت المخالفة في مناسبة تجارية، على ألا تزيد مدة التعليق على عامين.</w:t>
      </w:r>
    </w:p>
    <w:p w14:paraId="3B371A8E"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 xml:space="preserve">سابعًا: يجوز للجنة أنْ تصدر قرارًا مؤقتًا بوقف طبع المصنف المعتدى عليه، أو إنتاجه، أو نشره، أو توزيعه، وإجراء الحجز التحفظي على النسخ، والمواد، والصور التي استخرجت منه، أو القيام بأي إجراء مؤقت تراه ضروريًا لحماية حق المؤلف، وذلك إلى حين الفصل النهائي في الشكوى أو التظلم </w:t>
      </w:r>
      <w:r w:rsidRPr="00645DEB">
        <w:rPr>
          <w:rStyle w:val="None"/>
          <w:rFonts w:ascii="Times New Roman" w:hAnsi="Times New Roman" w:cs="Times New Roman"/>
          <w:sz w:val="24"/>
          <w:szCs w:val="24"/>
          <w:vertAlign w:val="superscript"/>
          <w:rtl/>
          <w:lang w:val="ar-SA"/>
        </w:rPr>
        <w:t>(</w:t>
      </w:r>
      <w:r w:rsidRPr="00645DEB">
        <w:rPr>
          <w:rStyle w:val="None"/>
          <w:rFonts w:ascii="Times New Roman" w:eastAsia="Times New Roman" w:hAnsi="Times New Roman" w:cs="Times New Roman"/>
          <w:sz w:val="24"/>
          <w:szCs w:val="24"/>
          <w:vertAlign w:val="superscript"/>
          <w:lang w:val="ar-SA"/>
        </w:rPr>
        <w:footnoteReference w:id="459"/>
      </w:r>
      <w:r w:rsidRPr="00645DEB">
        <w:rPr>
          <w:rStyle w:val="None"/>
          <w:rFonts w:ascii="Times New Roman" w:hAnsi="Times New Roman" w:cs="Times New Roman"/>
          <w:sz w:val="24"/>
          <w:szCs w:val="24"/>
          <w:vertAlign w:val="superscript"/>
          <w:rtl/>
          <w:lang w:val="ar-SA"/>
        </w:rPr>
        <w:t>)</w:t>
      </w:r>
      <w:r w:rsidRPr="00645DEB">
        <w:rPr>
          <w:rStyle w:val="None"/>
          <w:rFonts w:ascii="Times New Roman" w:hAnsi="Times New Roman" w:cs="Times New Roman"/>
          <w:sz w:val="24"/>
          <w:szCs w:val="24"/>
          <w:rtl/>
          <w:lang w:val="ar-SA"/>
        </w:rPr>
        <w:t>.</w:t>
      </w:r>
    </w:p>
    <w:p w14:paraId="4C0282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أنشأ نظامًا متكاملًا لحماية حقوق المؤلف، يجمع بين العقوبات المالية والبدنية والتدابير؛ بما يحقق الردع العام والخاص، ويضمن صون الحقوق الفكرية، كما أتاح النص إمكانية تشديد العقوبة في حالات التكرار، ومنح اللجنة المختصة صلاحيات واسعة لاتخاذ إجراءات تحفظية أو مؤقتة؛ لحماية المصنفات من أي اعتداء حتى يتم البت في النزاع، ويمثل هذا الإطار القانوني خطوةً مهمةً في تعزيز الحماية الجنائية للملكية الفكرية، ومواكبة التحديات التي تفرضها البيئة الرقمية؛ ممَّا يساعد على خلق بيئة إبداعية آمنة تدعم الابتكار وتحترم حقوق المبدعين</w:t>
      </w:r>
      <w:r>
        <w:rPr>
          <w:rStyle w:val="None"/>
          <w:rFonts w:ascii="Times New Roman" w:hAnsi="Times New Roman"/>
          <w:sz w:val="24"/>
          <w:szCs w:val="24"/>
          <w:rtl/>
          <w:lang w:val="ar-SA"/>
        </w:rPr>
        <w:t>.</w:t>
      </w:r>
    </w:p>
    <w:p w14:paraId="17520B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العقوبات الخاصة بالعلامات التجارية في المادة </w:t>
      </w:r>
      <w:r>
        <w:rPr>
          <w:rStyle w:val="None"/>
          <w:rFonts w:ascii="Times New Roman" w:hAnsi="Times New Roman"/>
          <w:sz w:val="24"/>
          <w:szCs w:val="24"/>
          <w:rtl/>
          <w:lang w:val="ar-SA"/>
        </w:rPr>
        <w:t xml:space="preserve">(42)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w:t>
      </w:r>
    </w:p>
    <w:p w14:paraId="4194E147" w14:textId="77777777" w:rsidR="00454428" w:rsidRDefault="00000000">
      <w:pPr>
        <w:pStyle w:val="a7"/>
        <w:numPr>
          <w:ilvl w:val="0"/>
          <w:numId w:val="207"/>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ثلاث سنواتٍ وبغرامة لا تقل عن خمسة آلاف ريالٍ سعوديٍّ، أو ما يعادلها بعملات دول المجلس، ولا تزيد على مليون ريال أو بإحدى هاتين العقوبتين</w:t>
      </w:r>
      <w:r>
        <w:rPr>
          <w:rStyle w:val="None"/>
          <w:rFonts w:ascii="Times New Roman" w:hAnsi="Times New Roman"/>
          <w:sz w:val="24"/>
          <w:szCs w:val="24"/>
          <w:rtl/>
          <w:lang w:val="ar-SA"/>
        </w:rPr>
        <w:t>:</w:t>
      </w:r>
    </w:p>
    <w:p w14:paraId="079326B4" w14:textId="77777777" w:rsidR="00454428" w:rsidRDefault="00000000">
      <w:pPr>
        <w:pStyle w:val="a7"/>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زوَّر علامةً تم تسجيلها طبقًا لهذا النظام، أو قلدها بطريقة تدعو إلى تضليل الجمهور، وكل من استعمل وهو سيء النية علامة مزورة أو مقلدة</w:t>
      </w:r>
      <w:r>
        <w:rPr>
          <w:rStyle w:val="None"/>
          <w:rFonts w:ascii="Times New Roman" w:hAnsi="Times New Roman"/>
          <w:sz w:val="24"/>
          <w:szCs w:val="24"/>
          <w:rtl/>
          <w:lang w:val="ar-SA"/>
        </w:rPr>
        <w:t>.</w:t>
      </w:r>
    </w:p>
    <w:p w14:paraId="33408CED" w14:textId="77777777" w:rsidR="00454428" w:rsidRDefault="00000000">
      <w:pPr>
        <w:pStyle w:val="a7"/>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وضع وهو سيء النية على سلعة أو استعمل فيما يتعلق بخدماته علامة مملوكة لغيره</w:t>
      </w:r>
      <w:r>
        <w:rPr>
          <w:rStyle w:val="None"/>
          <w:rFonts w:ascii="Times New Roman" w:hAnsi="Times New Roman"/>
          <w:sz w:val="24"/>
          <w:szCs w:val="24"/>
          <w:rtl/>
          <w:lang w:val="ar-SA"/>
        </w:rPr>
        <w:t>.</w:t>
      </w:r>
    </w:p>
    <w:p w14:paraId="4E6B2927" w14:textId="77777777" w:rsidR="00454428" w:rsidRDefault="00000000">
      <w:pPr>
        <w:pStyle w:val="a7"/>
        <w:numPr>
          <w:ilvl w:val="0"/>
          <w:numId w:val="210"/>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سنة، وبغرامة لا تقل عن ألف ريالٍ سعوديٍّ، أو ما يعادلها بعملات دول المجلس ولا تزيد على مائة ألف ريال أو بإحدى هاتين العقوبتين</w:t>
      </w:r>
      <w:r>
        <w:rPr>
          <w:rStyle w:val="None"/>
          <w:rFonts w:ascii="Times New Roman" w:hAnsi="Times New Roman"/>
          <w:sz w:val="24"/>
          <w:szCs w:val="24"/>
          <w:rtl/>
          <w:lang w:val="ar-SA"/>
        </w:rPr>
        <w:t>:</w:t>
      </w:r>
    </w:p>
    <w:p w14:paraId="00169AD5"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باع، أو عرض للبيع، أو للتداول أو حاز بقصد البيع سلعًا عليها علامة مزورة؛ أو مقلدة، أو موضوعة، أو مستعملة بغير حق مع علمه بذلك، وكذلك كل من عرض خدمات في ظل هذه العلامة</w:t>
      </w:r>
      <w:r>
        <w:rPr>
          <w:rStyle w:val="None"/>
          <w:rFonts w:ascii="Times New Roman" w:hAnsi="Times New Roman"/>
          <w:sz w:val="24"/>
          <w:szCs w:val="24"/>
          <w:rtl/>
          <w:lang w:val="ar-SA"/>
        </w:rPr>
        <w:t>.</w:t>
      </w:r>
    </w:p>
    <w:p w14:paraId="7E3E92CD"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استعمل علامةً غير مسجلة في الأحوال المنصوص عليها في البنود </w:t>
      </w:r>
      <w:r>
        <w:rPr>
          <w:rStyle w:val="None"/>
          <w:rFonts w:ascii="Times New Roman" w:hAnsi="Times New Roman"/>
          <w:sz w:val="24"/>
          <w:szCs w:val="24"/>
          <w:rtl/>
          <w:lang w:val="ar-SA"/>
        </w:rPr>
        <w:t>(</w:t>
      </w:r>
      <w:r>
        <w:rPr>
          <w:rStyle w:val="None"/>
          <w:rFonts w:cs="Times New Roman"/>
          <w:sz w:val="24"/>
          <w:szCs w:val="24"/>
          <w:rtl/>
          <w:lang w:val="ar-SA"/>
        </w:rPr>
        <w:t xml:space="preserve">من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من المادة </w:t>
      </w:r>
      <w:r>
        <w:rPr>
          <w:rStyle w:val="None"/>
          <w:rFonts w:ascii="Times New Roman" w:hAnsi="Times New Roman"/>
          <w:sz w:val="24"/>
          <w:szCs w:val="24"/>
          <w:rtl/>
          <w:lang w:val="ar-SA"/>
        </w:rPr>
        <w:t>(3).</w:t>
      </w:r>
    </w:p>
    <w:p w14:paraId="4192AFDF"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دوَّن بغير حق على علامته، أو أوراقه، أو مستنداته التجارية ما يؤدي إلى الاعتقاد بحصول تسجيل العلامة</w:t>
      </w:r>
      <w:r>
        <w:rPr>
          <w:rStyle w:val="None"/>
          <w:rFonts w:ascii="Times New Roman" w:hAnsi="Times New Roman"/>
          <w:sz w:val="24"/>
          <w:szCs w:val="24"/>
          <w:rtl/>
          <w:lang w:val="ar-SA"/>
        </w:rPr>
        <w:t>.</w:t>
      </w:r>
    </w:p>
    <w:p w14:paraId="3371C69E"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تعمد وهو سيء النية إغفال وضع علامته التجارية المسجلة على السلع أو الخدمات التي تميزها</w:t>
      </w:r>
      <w:r>
        <w:rPr>
          <w:rStyle w:val="None"/>
          <w:rFonts w:ascii="Times New Roman" w:hAnsi="Times New Roman"/>
          <w:sz w:val="24"/>
          <w:szCs w:val="24"/>
          <w:rtl/>
          <w:lang w:val="ar-SA"/>
        </w:rPr>
        <w:t>.</w:t>
      </w:r>
    </w:p>
    <w:p w14:paraId="2EDD759D"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حاز أدوات أو مواد بقصد استعمالها في تقليد أو تزوير العلامات التجارية المسجلة أو المشهورة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0F5D6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قد أرسى نظامًا صارمًا لحماية العلامات التجارية؛ يهدف إلى مواجهة جميع أشكال التزوير والتقليد والاستعمال غير المشروع، سواء في مراحل الإنتاج أو العرض أو التداول، وقد جمع النص بين الجزاءات السالبة للحرية والعقوبات المالية، مع تشديدها في حالات سوء النية؛ ممَّا يحقق ردعًا فعَّالًا، ويحافظ على الثقة في السوق، ويحمي المستهلكين من التضليل، كما أنَّ هذه العقوبات تأخذ في الاعتبار خطورة الفعل وتأثيره على </w:t>
      </w:r>
      <w:r>
        <w:rPr>
          <w:rStyle w:val="None"/>
          <w:rFonts w:ascii="Arial Unicode MS" w:hAnsi="Arial Unicode MS" w:cs="Times New Roman" w:hint="cs"/>
          <w:sz w:val="24"/>
          <w:szCs w:val="24"/>
          <w:rtl/>
          <w:lang w:val="ar-SA"/>
        </w:rPr>
        <w:lastRenderedPageBreak/>
        <w:t>المنافسة المشروعة؛ ممَّا يجعلها أداةً أساسيةً لتعزيز بيئة تجارية نزيهة وحماية حقوق أصحاب العلامات تجاه التحديات التقليدية والرقمية على حد سواء</w:t>
      </w:r>
      <w:r>
        <w:rPr>
          <w:rStyle w:val="None"/>
          <w:rFonts w:ascii="Times New Roman" w:hAnsi="Times New Roman"/>
          <w:sz w:val="24"/>
          <w:szCs w:val="24"/>
          <w:rtl/>
          <w:lang w:val="ar-SA"/>
        </w:rPr>
        <w:t xml:space="preserve">. </w:t>
      </w:r>
    </w:p>
    <w:p w14:paraId="7226B4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عقوبةَ العود من خلال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حالة العود يعاقب العائد بعقوبة لا تزيد عن ضعف الحد الأقصى للعقوبة المقررة للمخالفة، مع إغلاق المحل التجاري أو المشروع لمدة لا تقل عن خمسة عشر يومًا، ولا تزيد عن ستة أشهرٍ، مع نشر الحكم على نفقة المخالف وفقًا للإجراءات التي تحددها اللائحة التنفيذية</w:t>
      </w:r>
      <w:r>
        <w:rPr>
          <w:rStyle w:val="None"/>
          <w:rFonts w:ascii="Times New Roman" w:hAnsi="Times New Roman"/>
          <w:sz w:val="24"/>
          <w:szCs w:val="24"/>
          <w:rtl/>
          <w:lang w:val="ar-SA"/>
        </w:rPr>
        <w:t>.</w:t>
      </w:r>
    </w:p>
    <w:p w14:paraId="51DCBE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عائدًا في تطبيق أحكام هذا النظام من حكم عليه في مخالفة من المخالفات المنصوص عليه فيه وعاد إلى ارتكاب مخالفةً أخرى مماثلةً خلال ثلاث سنواتٍ من تاريخ الحكم عليه نهائيًا في المخالفة السابقة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90D0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شدد الجزاء في حالة العود؛ وذلك إدراكًا منه لخطورة تكرار المخالفة، وما تمثله من استخفاف بالقوانين والأنظمة، فقد أتاح النص مضاعفة الحد الأقصى للعقوبة المقررة، بالإضافة إلى إمكانية إغلاق المحل التجاري أو المشروع لفترة محددة، مع نشر الحكم على نفقة المخالف؛ ممَّا يعزّز من الردع العام والخاص، كما حدد النظام مفهوم العود بدقة؛ لضمان وضوع التطبيق؛ ممَّا يعكس حرص المشرع على مواجهة المخالفات الممنهجة وحماية بيئة التجارة من الممارسات غير المشروعة</w:t>
      </w:r>
      <w:r>
        <w:rPr>
          <w:rStyle w:val="None"/>
          <w:rFonts w:ascii="Times New Roman" w:hAnsi="Times New Roman"/>
          <w:sz w:val="24"/>
          <w:szCs w:val="24"/>
          <w:rtl/>
          <w:lang w:val="ar-SA"/>
        </w:rPr>
        <w:t>.</w:t>
      </w:r>
    </w:p>
    <w:p w14:paraId="7AA765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ورغم ذلك لا زالت العقوبات المقررة على انتهاك حق المؤلف غير كافية لتحقيق الردع الفعلي مع الوضع في الاعتبار صعوبة مطاردة منتهكي حقوق الملكية خصوصا إن كانت الاعتداء واقع في دولة أخرى، الأمر ا لذي يتطلب تشديد العقوبات المقررة على الجرائم المتعلقة بانتهاك حقوق الملكية الفكرية</w:t>
      </w:r>
      <w:r>
        <w:rPr>
          <w:rStyle w:val="None"/>
          <w:rFonts w:ascii="Times New Roman" w:hAnsi="Times New Roman"/>
          <w:sz w:val="24"/>
          <w:szCs w:val="24"/>
          <w:rtl/>
          <w:lang w:val="ar-SA"/>
        </w:rPr>
        <w:t>.</w:t>
      </w:r>
    </w:p>
    <w:p w14:paraId="02E3154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CB2EE1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7660C1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0EB476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D1FA50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0A7FC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D55E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FA744D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F090CC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93B0C5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795684A1"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772636" w14:textId="77777777" w:rsidR="00454428" w:rsidRDefault="00000000" w:rsidP="00C72BA8">
      <w:pPr>
        <w:pStyle w:val="a4"/>
        <w:rPr>
          <w:rStyle w:val="None"/>
          <w:lang w:val="ar-SA"/>
        </w:rPr>
      </w:pPr>
      <w:bookmarkStart w:id="221" w:name="_Toc227251140"/>
      <w:bookmarkStart w:id="222" w:name="_Toc227251450"/>
      <w:r>
        <w:rPr>
          <w:rStyle w:val="None"/>
          <w:rFonts w:ascii="Arial Unicode MS" w:eastAsia="Arial Unicode MS" w:hAnsi="Arial Unicode MS" w:hint="cs"/>
          <w:rtl/>
          <w:lang w:val="ar-SA"/>
        </w:rPr>
        <w:lastRenderedPageBreak/>
        <w:t>المطلب الثاني</w:t>
      </w:r>
      <w:bookmarkEnd w:id="221"/>
      <w:bookmarkEnd w:id="222"/>
    </w:p>
    <w:p w14:paraId="4301AF7F" w14:textId="77777777" w:rsidR="00454428" w:rsidRDefault="00000000" w:rsidP="00C72BA8">
      <w:pPr>
        <w:pStyle w:val="a4"/>
        <w:rPr>
          <w:rStyle w:val="None"/>
          <w:lang w:val="ar-SA"/>
        </w:rPr>
      </w:pPr>
      <w:bookmarkStart w:id="223" w:name="_Toc227251141"/>
      <w:bookmarkStart w:id="224" w:name="_Toc227251451"/>
      <w:r>
        <w:rPr>
          <w:rStyle w:val="None"/>
          <w:rFonts w:ascii="Arial Unicode MS" w:eastAsia="Arial Unicode MS" w:hAnsi="Arial Unicode MS" w:hint="cs"/>
          <w:rtl/>
          <w:lang w:val="ar-SA"/>
        </w:rPr>
        <w:t>الحماية الجنائية للملكية الفكرية في البيئة الرقمية في النظامين الفَرنسي والأمريكي</w:t>
      </w:r>
      <w:bookmarkEnd w:id="223"/>
      <w:bookmarkEnd w:id="224"/>
    </w:p>
    <w:p w14:paraId="32B678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تشكيل مجتمع المعلومات إلى إزالة الطابع المادي لحماية حقوق الملكية الفكرية، وتكتسب الكيانات العاملة في البيئة الرقمية وضعًا قانونيًا معينًا كمشاركين فرديين في هذه العلاقات القانونية، ويعود ذلك إلى تعديلات قانون حقوق التأليف والنشر، وقد أدى تطبيق الرقمنة حتمًا إلى تحول جذري؛ ممَّا تطلب تعديل الإطار القانوني لحقوق التأليف والنشر، الذي كان قائمًا سابقًا على الأصول الملموسة، ويتضمن قانون الملكية الفكرية مجموعةً من قواعد القانون المدني وقانون المعلومات التي تنظم علاقة الاعتراف بالتأليف وحماية أعمال العلوم، والأدب، والفنون، وتتزايد أهمية حماية الملكية الفكرية من الجريمة بشكل خاص مع تطوُّر السوق العالمية للتقنيات المتقدمة؛ ممَّا يتطلب توفير الحماية الجنائية للملكية الفكرية</w:t>
      </w:r>
      <w:r>
        <w:rPr>
          <w:rStyle w:val="None"/>
          <w:rFonts w:ascii="Times New Roman" w:hAnsi="Times New Roman"/>
          <w:sz w:val="24"/>
          <w:szCs w:val="24"/>
          <w:rtl/>
          <w:lang w:val="ar-SA"/>
        </w:rPr>
        <w:t>.</w:t>
      </w:r>
      <w:r w:rsidRPr="00645DEB">
        <w:rPr>
          <w:rStyle w:val="None"/>
          <w:rFonts w:ascii="Times New Roman" w:hAnsi="Times New Roman"/>
          <w:sz w:val="20"/>
          <w:szCs w:val="20"/>
          <w:vertAlign w:val="superscript"/>
          <w:rtl/>
          <w:lang w:val="ar-SA"/>
        </w:rPr>
        <w:t>(</w:t>
      </w:r>
      <w:r w:rsidRPr="00645DEB">
        <w:rPr>
          <w:rStyle w:val="None"/>
          <w:rFonts w:ascii="Times New Roman" w:eastAsia="Times New Roman" w:hAnsi="Times New Roman" w:cs="Times New Roman"/>
          <w:sz w:val="20"/>
          <w:szCs w:val="20"/>
          <w:vertAlign w:val="superscript"/>
          <w:lang w:val="ar-SA"/>
        </w:rPr>
        <w:footnoteReference w:id="462"/>
      </w:r>
      <w:r w:rsidRPr="00645DEB">
        <w:rPr>
          <w:rStyle w:val="None"/>
          <w:rFonts w:ascii="Times New Roman" w:hAnsi="Times New Roman"/>
          <w:sz w:val="20"/>
          <w:szCs w:val="20"/>
          <w:vertAlign w:val="superscript"/>
          <w:rtl/>
          <w:lang w:val="ar-SA"/>
        </w:rPr>
        <w:t>)</w:t>
      </w:r>
    </w:p>
    <w:p w14:paraId="1D422607"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وتُوفر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النشر، وبراءات الاختراع، والعلامات التجارية، وما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الحماية القانونية التي يعتمد عليها المؤلفون، والمخترعون، والشركات، والباحثون، وغيرهم لحماية إبداعاتهم، وتُحدد حقوق الملكية الفكرية الاستخدام القانوني للعمل الإبداعي،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ضرورية لضمان مكافأة المؤلفين على جهودهم،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أثار ظهور الإنترنت تحديًا جديدًا وغير متوقع؛ ممَّا زاد من صعوبة تحقيق التوازن، وعزّز بيئةً شديدة الحماية تُعتبر فيها الأعمال مماثلةً للخصائص المادية، مع منح أصحاب الحقوق سيطرةً واسعةً عليها، وهو ما تطلب توفير الحماية الجنائية للملكية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3"/>
      </w:r>
      <w:r>
        <w:rPr>
          <w:rStyle w:val="None"/>
          <w:rFonts w:ascii="Times New Roman" w:hAnsi="Times New Roman"/>
          <w:sz w:val="24"/>
          <w:szCs w:val="24"/>
          <w:vertAlign w:val="superscript"/>
          <w:rtl/>
          <w:lang w:val="ar-SA"/>
        </w:rPr>
        <w:t>)</w:t>
      </w:r>
    </w:p>
    <w:p w14:paraId="0DB9A5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جميع حقوق الملكية الفكرية إلى ثلاث فئاتٍ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وتُعَدُّ حقوق الطبع والنشر من أصعب المفاهيم فهمًا في العالم الرقمي، وذلك لسببين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تسمح الوسائط الرقمية بطبيعتها بإعادة إنتاج مثالية ومنخفضة التكلفة للمواد المحمية بحقوق الطبع والنشر،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تستند معظم نماذج الأعمال المتعلقة بالبيانات الرقمية إلى افتراض أنَّ</w:t>
      </w:r>
      <w:r>
        <w:rPr>
          <w:rStyle w:val="None"/>
          <w:rFonts w:ascii="Times New Roman" w:hAnsi="Times New Roman"/>
          <w:sz w:val="24"/>
          <w:szCs w:val="24"/>
          <w:rtl/>
          <w:lang w:val="ar-SA"/>
        </w:rPr>
        <w:t xml:space="preserve">: </w:t>
      </w:r>
      <w:r w:rsidRPr="00645DEB">
        <w:rPr>
          <w:rStyle w:val="None"/>
          <w:rFonts w:ascii="Times New Roman" w:hAnsi="Times New Roman"/>
          <w:sz w:val="20"/>
          <w:szCs w:val="20"/>
          <w:vertAlign w:val="superscript"/>
          <w:rtl/>
          <w:lang w:val="ar-SA"/>
        </w:rPr>
        <w:t>(1)</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 xml:space="preserve">المنتج يمتلك حقوق الطبع والنشر على بعض أو كل البيانات، </w:t>
      </w:r>
      <w:r w:rsidRPr="00645DEB">
        <w:rPr>
          <w:rStyle w:val="None"/>
          <w:rFonts w:ascii="Times New Roman" w:hAnsi="Times New Roman"/>
          <w:sz w:val="20"/>
          <w:szCs w:val="20"/>
          <w:vertAlign w:val="superscript"/>
          <w:rtl/>
          <w:lang w:val="ar-SA"/>
        </w:rPr>
        <w:t>(2)</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يمكن لمالك البيانات المحمية بحقوق الطبع والنشر إنشاء شبكة من العقود التي تُحيط بالبيانات نفسها وأدوات عرضها وتعديلها،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يجب أنْ يُدرك مُصمم الملكية الرقمية أنَّه يتمتع بحرية اختيار إعلان العمل المُنتج كحقوق طبع ونشر، ولكل نوع من أنواع الملكية الفكرية قواعد مُختلفة تُنظم إصداره ومدته وانتهاكه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4"/>
      </w:r>
      <w:r>
        <w:rPr>
          <w:rStyle w:val="None"/>
          <w:rFonts w:ascii="Times New Roman" w:hAnsi="Times New Roman"/>
          <w:sz w:val="24"/>
          <w:szCs w:val="24"/>
          <w:vertAlign w:val="superscript"/>
          <w:rtl/>
          <w:lang w:val="ar-SA"/>
        </w:rPr>
        <w:t>)</w:t>
      </w:r>
    </w:p>
    <w:p w14:paraId="26167EA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480475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E12E9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lastRenderedPageBreak/>
        <w:t>فقد تُقسّم حقوق الملكية الفكرية عادةً إلى قسمين رئيسيين</w:t>
      </w:r>
      <w:r>
        <w:rPr>
          <w:rStyle w:val="None"/>
          <w:rFonts w:ascii="Times New Roman" w:hAnsi="Times New Roman"/>
          <w:b/>
          <w:bCs/>
          <w:sz w:val="24"/>
          <w:szCs w:val="24"/>
          <w:rtl/>
          <w:lang w:val="ar-SA"/>
        </w:rPr>
        <w:t>:</w:t>
      </w:r>
      <w:r>
        <w:rPr>
          <w:rStyle w:val="None"/>
          <w:rFonts w:ascii="Times New Roman" w:hAnsi="Times New Roman"/>
          <w:b/>
          <w:bCs/>
          <w:sz w:val="24"/>
          <w:szCs w:val="24"/>
          <w:vertAlign w:val="superscript"/>
          <w:rtl/>
          <w:lang w:val="ar-SA"/>
        </w:rPr>
        <w:t xml:space="preserve"> (</w:t>
      </w:r>
      <w:r>
        <w:rPr>
          <w:rStyle w:val="None"/>
          <w:rFonts w:ascii="Times New Roman" w:eastAsia="Times New Roman" w:hAnsi="Times New Roman" w:cs="Times New Roman"/>
          <w:b/>
          <w:bCs/>
          <w:sz w:val="24"/>
          <w:szCs w:val="24"/>
          <w:vertAlign w:val="superscript"/>
          <w:lang w:val="ar-SA"/>
        </w:rPr>
        <w:footnoteReference w:id="465"/>
      </w:r>
      <w:r>
        <w:rPr>
          <w:rStyle w:val="None"/>
          <w:rFonts w:ascii="Times New Roman" w:hAnsi="Times New Roman"/>
          <w:b/>
          <w:bCs/>
          <w:sz w:val="24"/>
          <w:szCs w:val="24"/>
          <w:vertAlign w:val="superscript"/>
          <w:rtl/>
          <w:lang w:val="ar-SA"/>
        </w:rPr>
        <w:t>)</w:t>
      </w:r>
    </w:p>
    <w:p w14:paraId="669F1C61" w14:textId="77777777" w:rsidR="00454428" w:rsidRDefault="00000000">
      <w:pPr>
        <w:pStyle w:val="a7"/>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المؤلف والحقوق المرتبطة 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تتمتع حقوق مؤلفي الأعمال الأدبية والفنية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الأخرى، والمقطوعات الموسيقية، واللوحات، والمنحوتات، وبرامج الحاسوب، والأفلام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بالحماية بموجب حق المؤلف، لمدة لا تقل عن </w:t>
      </w:r>
      <w:r>
        <w:rPr>
          <w:rStyle w:val="None"/>
          <w:rFonts w:ascii="Times New Roman" w:hAnsi="Times New Roman"/>
          <w:sz w:val="24"/>
          <w:szCs w:val="24"/>
          <w:rtl/>
          <w:lang w:val="ar-SA"/>
        </w:rPr>
        <w:t xml:space="preserve">50 </w:t>
      </w:r>
      <w:r>
        <w:rPr>
          <w:rStyle w:val="None"/>
          <w:rFonts w:cs="Times New Roman"/>
          <w:sz w:val="24"/>
          <w:szCs w:val="24"/>
          <w:rtl/>
          <w:lang w:val="ar-SA"/>
        </w:rPr>
        <w:t xml:space="preserve">عامًا بعد وفاة المؤلف، كما يتمتع فنانو الأداء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الممثلين، والمغنين، والموسيقيين</w:t>
      </w:r>
      <w:r>
        <w:rPr>
          <w:rStyle w:val="None"/>
          <w:rFonts w:ascii="Times New Roman" w:hAnsi="Times New Roman"/>
          <w:sz w:val="24"/>
          <w:szCs w:val="24"/>
          <w:rtl/>
          <w:lang w:val="ar-SA"/>
        </w:rPr>
        <w:t>)</w:t>
      </w:r>
      <w:r>
        <w:rPr>
          <w:rStyle w:val="None"/>
          <w:rFonts w:cs="Times New Roman"/>
          <w:sz w:val="24"/>
          <w:szCs w:val="24"/>
          <w:rtl/>
          <w:lang w:val="ar-SA"/>
        </w:rPr>
        <w:t xml:space="preserve">، ومنتجو التسجيلات الصوتية </w:t>
      </w:r>
      <w:r>
        <w:rPr>
          <w:rStyle w:val="None"/>
          <w:rFonts w:ascii="Times New Roman" w:hAnsi="Times New Roman"/>
          <w:sz w:val="24"/>
          <w:szCs w:val="24"/>
          <w:rtl/>
          <w:lang w:val="ar-SA"/>
        </w:rPr>
        <w:t>(</w:t>
      </w:r>
      <w:r>
        <w:rPr>
          <w:rStyle w:val="None"/>
          <w:rFonts w:cs="Times New Roman"/>
          <w:sz w:val="24"/>
          <w:szCs w:val="24"/>
          <w:rtl/>
          <w:lang w:val="ar-SA"/>
        </w:rPr>
        <w:t>التسجيلات الصوتية</w:t>
      </w:r>
      <w:r>
        <w:rPr>
          <w:rStyle w:val="None"/>
          <w:rFonts w:ascii="Times New Roman" w:hAnsi="Times New Roman"/>
          <w:sz w:val="24"/>
          <w:szCs w:val="24"/>
          <w:rtl/>
          <w:lang w:val="ar-SA"/>
        </w:rPr>
        <w:t>)</w:t>
      </w:r>
      <w:r>
        <w:rPr>
          <w:rStyle w:val="None"/>
          <w:rFonts w:cs="Times New Roman"/>
          <w:sz w:val="24"/>
          <w:szCs w:val="24"/>
          <w:rtl/>
          <w:lang w:val="ar-SA"/>
        </w:rPr>
        <w:t>، وهيئات البث بالحماية بموجب حق المؤلف والحقوق المجاورة، ويتمثل الهدف الاجتماعي الرئيسي لحماية حق المؤلف والحقوق المرتبطة به في تشجيع العمل الإبداعي ومكافأته</w:t>
      </w:r>
      <w:r>
        <w:rPr>
          <w:rStyle w:val="None"/>
          <w:rFonts w:ascii="Times New Roman" w:hAnsi="Times New Roman"/>
          <w:sz w:val="24"/>
          <w:szCs w:val="24"/>
          <w:rtl/>
          <w:lang w:val="ar-SA"/>
        </w:rPr>
        <w:t>.</w:t>
      </w:r>
    </w:p>
    <w:p w14:paraId="0110B226" w14:textId="77777777" w:rsidR="00454428" w:rsidRDefault="00000000">
      <w:pPr>
        <w:pStyle w:val="a7"/>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الملكية الصناعية</w:t>
      </w:r>
      <w:r>
        <w:rPr>
          <w:rStyle w:val="None"/>
          <w:rFonts w:ascii="Times New Roman" w:hAnsi="Times New Roman"/>
          <w:b/>
          <w:bCs/>
          <w:sz w:val="24"/>
          <w:szCs w:val="24"/>
          <w:rtl/>
          <w:lang w:val="ar-SA"/>
        </w:rPr>
        <w:t>:</w:t>
      </w:r>
      <w:r>
        <w:rPr>
          <w:rStyle w:val="None"/>
          <w:rFonts w:cs="Times New Roman"/>
          <w:sz w:val="24"/>
          <w:szCs w:val="24"/>
          <w:rtl/>
          <w:lang w:val="ar-SA"/>
        </w:rPr>
        <w:t xml:space="preserve"> يمكن تقسيم الملكية الصناعية إلى مجالين رئيسيين</w:t>
      </w:r>
      <w:r>
        <w:rPr>
          <w:rStyle w:val="None"/>
          <w:rFonts w:ascii="Times New Roman" w:hAnsi="Times New Roman"/>
          <w:sz w:val="24"/>
          <w:szCs w:val="24"/>
          <w:rtl/>
          <w:lang w:val="ar-SA"/>
        </w:rPr>
        <w:t xml:space="preserve">: </w:t>
      </w:r>
      <w:r>
        <w:rPr>
          <w:rStyle w:val="None"/>
          <w:rFonts w:cs="Times New Roman"/>
          <w:sz w:val="24"/>
          <w:szCs w:val="24"/>
          <w:rtl/>
          <w:lang w:val="ar-SA"/>
        </w:rPr>
        <w:t>يُعرّف المجال الأول بأنَّه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حماية العلامات المميزة، وتحديدًا العلامات التجارية </w:t>
      </w:r>
      <w:r>
        <w:rPr>
          <w:rStyle w:val="None"/>
          <w:rFonts w:ascii="Times New Roman" w:hAnsi="Times New Roman"/>
          <w:sz w:val="24"/>
          <w:szCs w:val="24"/>
          <w:rtl/>
          <w:lang w:val="ar-SA"/>
        </w:rPr>
        <w:t>(</w:t>
      </w:r>
      <w:r>
        <w:rPr>
          <w:rStyle w:val="None"/>
          <w:rFonts w:cs="Times New Roman"/>
          <w:sz w:val="24"/>
          <w:szCs w:val="24"/>
          <w:rtl/>
          <w:lang w:val="ar-SA"/>
        </w:rPr>
        <w:t>التي تُميّز سلع أو خدمات منشأة ما عن سلع أو خدمات منشآت أخرى</w:t>
      </w:r>
      <w:r>
        <w:rPr>
          <w:rStyle w:val="None"/>
          <w:rFonts w:ascii="Times New Roman" w:hAnsi="Times New Roman"/>
          <w:sz w:val="24"/>
          <w:szCs w:val="24"/>
          <w:rtl/>
          <w:lang w:val="ar-SA"/>
        </w:rPr>
        <w:t>)</w:t>
      </w:r>
      <w:r>
        <w:rPr>
          <w:rStyle w:val="None"/>
          <w:rFonts w:cs="Times New Roman"/>
          <w:sz w:val="24"/>
          <w:szCs w:val="24"/>
          <w:rtl/>
          <w:lang w:val="ar-SA"/>
        </w:rPr>
        <w:t xml:space="preserve">، والمؤشرات الجغرافية </w:t>
      </w:r>
      <w:r>
        <w:rPr>
          <w:rStyle w:val="None"/>
          <w:rFonts w:ascii="Times New Roman" w:hAnsi="Times New Roman"/>
          <w:sz w:val="24"/>
          <w:szCs w:val="24"/>
          <w:rtl/>
          <w:lang w:val="ar-SA"/>
        </w:rPr>
        <w:t>(</w:t>
      </w:r>
      <w:r>
        <w:rPr>
          <w:rStyle w:val="None"/>
          <w:rFonts w:cs="Times New Roman"/>
          <w:sz w:val="24"/>
          <w:szCs w:val="24"/>
          <w:rtl/>
          <w:lang w:val="ar-SA"/>
        </w:rPr>
        <w:t>التي تُعرّف السلعة بأنَّها صادرة من مكان تُعزى فيه سمة مُحددة للسلعة أساسًا إلى منشأها الجغرافي</w:t>
      </w:r>
      <w:r>
        <w:rPr>
          <w:rStyle w:val="None"/>
          <w:rFonts w:ascii="Times New Roman" w:hAnsi="Times New Roman"/>
          <w:sz w:val="24"/>
          <w:szCs w:val="24"/>
          <w:rtl/>
          <w:lang w:val="ar-SA"/>
        </w:rPr>
        <w:t>)</w:t>
      </w:r>
      <w:r>
        <w:rPr>
          <w:rStyle w:val="None"/>
          <w:rFonts w:cs="Times New Roman"/>
          <w:sz w:val="24"/>
          <w:szCs w:val="24"/>
          <w:rtl/>
          <w:lang w:val="ar-SA"/>
        </w:rPr>
        <w:t>، وتهدف حماية هذه العلامات المميزة إلى تحفيز وضمان المنافسة العادلة، وحماية المستهلكين، من خلال تمكينهم من اتخاذ خياراتٍ مدروسةٍ بين مختلف السلع والخدمات، ويجوز أنْ تستمر الحماية لأجل غير مسمى، شريطة أنْ تظل العلامة المعنية مميزةً</w:t>
      </w:r>
      <w:r>
        <w:rPr>
          <w:rStyle w:val="None"/>
          <w:rFonts w:ascii="Times New Roman" w:hAnsi="Times New Roman"/>
          <w:sz w:val="24"/>
          <w:szCs w:val="24"/>
          <w:rtl/>
          <w:lang w:val="ar-SA"/>
        </w:rPr>
        <w:t>.</w:t>
      </w:r>
    </w:p>
    <w:p w14:paraId="788F07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الملكية الفكرية جميع أنواع الإبداعات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الاختراعات الصناعية، والأعمال الأدبية والفنية، والتصاميم الصناعية، أو الرموز والأسماء والصور المميزة المستخدمة في التجارة، وتتمتع الملكية الفكرية بحماية قانونية بموجب حقوق حصرية، وتنقسم هذه الحقوق عادةً إلى فئتين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وحقوق التأليف والنشر، 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براءات الاختراع، والعلامات التجارية، والتصاميم الصناعية، أما حقوق التأليف والنشر، فتشمل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جميع أنواع الأعمال الفنية،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الكتابات، والموسيقى، والأفلام، واللوحات، والمنحوتات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6"/>
      </w:r>
      <w:r>
        <w:rPr>
          <w:rStyle w:val="None"/>
          <w:rFonts w:ascii="Times New Roman" w:hAnsi="Times New Roman"/>
          <w:sz w:val="24"/>
          <w:szCs w:val="24"/>
          <w:vertAlign w:val="superscript"/>
          <w:rtl/>
          <w:lang w:val="ar-SA"/>
        </w:rPr>
        <w:t>)</w:t>
      </w:r>
    </w:p>
    <w:p w14:paraId="14ABAEEF" w14:textId="6816D9CA" w:rsidR="00454428" w:rsidRPr="00C72BA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تخضع الملكية الفكرية في البيئات الرقمية وأنظمة الحاسوب أيضًا للحماية القانونية، وتحظى هذه الحقوق بالحماية بشكل رئيسي بموجب قانون حقوق الملكية، ويمكن لبعضها أنْ يحظى أيضًا بحماية براءات الاختراع، وقد تتمتع الخصائص التقنية لبرامج الحاسوب، أي مزيج الأجهزة والبرمجيات، بحماية قانونية بموجب براءات الاختراع، ويخضع برنامج الحاسوب، باعتباره ترتيبًا للأحرف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الأصفار والآحاد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للحماية كعمل أدبي وحماية بموجب قانون حقوق النشر، كما تتمتع بعض عناصر الملكية الفكرية في البيئة الرقمية بحماية خاصة، والتي يمكن استخدامها كحماية مستقلة أو مكملة لقانون حقوق النشر، ويتحقق الربح المادي لعناصر الملكية الفكرية في البيئة الرقمية من خلال إدارة الحقوق على هذه العناصر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7"/>
      </w:r>
      <w:r>
        <w:rPr>
          <w:rStyle w:val="None"/>
          <w:rFonts w:ascii="Times New Roman" w:hAnsi="Times New Roman"/>
          <w:sz w:val="24"/>
          <w:szCs w:val="24"/>
          <w:vertAlign w:val="superscript"/>
          <w:rtl/>
          <w:lang w:val="ar-SA"/>
        </w:rPr>
        <w:t>)</w:t>
      </w:r>
    </w:p>
    <w:p w14:paraId="79AC7C88" w14:textId="77777777" w:rsidR="00645DEB" w:rsidRDefault="00645DEB" w:rsidP="00C72BA8">
      <w:pPr>
        <w:pStyle w:val="Body"/>
        <w:spacing w:before="120" w:after="120" w:line="360" w:lineRule="auto"/>
        <w:jc w:val="both"/>
        <w:rPr>
          <w:rStyle w:val="None"/>
          <w:rFonts w:ascii="Arial Unicode MS" w:hAnsi="Arial Unicode MS" w:cs="Times New Roman"/>
          <w:b/>
          <w:bCs/>
          <w:sz w:val="24"/>
          <w:szCs w:val="24"/>
          <w:rtl/>
          <w:lang w:val="ar-SA"/>
        </w:rPr>
      </w:pPr>
    </w:p>
    <w:p w14:paraId="1962B402" w14:textId="37314EE5"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الحماية الجنائية للملكية الفكرية في البيئة الرقمية في النظام الأمريكي</w:t>
      </w:r>
      <w:r>
        <w:rPr>
          <w:rStyle w:val="None"/>
          <w:rFonts w:ascii="Times New Roman" w:hAnsi="Times New Roman"/>
          <w:b/>
          <w:bCs/>
          <w:sz w:val="24"/>
          <w:szCs w:val="24"/>
          <w:rtl/>
          <w:lang w:val="ar-SA"/>
        </w:rPr>
        <w:t>:</w:t>
      </w:r>
    </w:p>
    <w:p w14:paraId="7AA078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ساهم التقدم التكنولوجي وتغيرات البيئة الاقتصادية في تطوُّر حقوق الملكية الفكرية في الولايات المتحدة الأمريكية؛ حيث توسع نطاق حماية حقوق النشر ليشمل الوسائط الرقمية؛ ممَّا يعكس الأهمية المتزايدة للمحتوى الرقمي، وشهدت طلبات براءات الاختراع المتعلقة بالابتكارات التكنولوجية والبرمجية زيادة ملحوظة؛ ممَّا يُبرز دور براءات الاختراع في حماية التقدم التكنولوجي، كما شهدت تسجيلات العلامات التجارية ارتفاعًا ملحوظًا؛ نتيجةً لعولمة الأسواق المتزايدة وظهور التجارة الإلكترونية؛ ممَّا يؤكد أهمية حماية العلامات التجارية، وتُؤكد هذه التطوُّرات على ضرورة تكييف حقوق الملكية الفكرية لمواكبة التقنيات الناشئة وبيئات العمل المتغيرة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8"/>
      </w:r>
      <w:r>
        <w:rPr>
          <w:rStyle w:val="None"/>
          <w:rFonts w:ascii="Times New Roman" w:hAnsi="Times New Roman"/>
          <w:sz w:val="24"/>
          <w:szCs w:val="24"/>
          <w:vertAlign w:val="superscript"/>
          <w:rtl/>
          <w:lang w:val="ar-SA"/>
        </w:rPr>
        <w:t>)</w:t>
      </w:r>
    </w:p>
    <w:p w14:paraId="793BED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إنشاء نظام براءات الاختراع الحديث أحد أهمّ الإنجازات في تاريخ حماية الملكية الفكرية، ففي عام </w:t>
      </w:r>
      <w:r>
        <w:rPr>
          <w:rStyle w:val="None"/>
          <w:rFonts w:ascii="Times New Roman" w:hAnsi="Times New Roman"/>
          <w:sz w:val="24"/>
          <w:szCs w:val="24"/>
          <w:rtl/>
          <w:lang w:val="ar-SA"/>
        </w:rPr>
        <w:t>1790</w:t>
      </w:r>
      <w:r>
        <w:rPr>
          <w:rStyle w:val="None"/>
          <w:rFonts w:ascii="Arial Unicode MS" w:hAnsi="Arial Unicode MS" w:cs="Times New Roman" w:hint="cs"/>
          <w:sz w:val="24"/>
          <w:szCs w:val="24"/>
          <w:rtl/>
          <w:lang w:val="ar-SA"/>
        </w:rPr>
        <w:t xml:space="preserve">، أصدرت الولايات المتحدة قانون براءات الاختراع، وشهد قانون حقوق الطبع والنشر تحولاتٍ جوهريةً منذ نشأته، وكان قانون حقوق الطبع والنشر لعام </w:t>
      </w:r>
      <w:r>
        <w:rPr>
          <w:rStyle w:val="None"/>
          <w:rFonts w:ascii="Times New Roman" w:hAnsi="Times New Roman"/>
          <w:sz w:val="24"/>
          <w:szCs w:val="24"/>
          <w:rtl/>
          <w:lang w:val="ar-SA"/>
        </w:rPr>
        <w:t xml:space="preserve">1909 </w:t>
      </w:r>
      <w:r>
        <w:rPr>
          <w:rStyle w:val="None"/>
          <w:rFonts w:ascii="Arial Unicode MS" w:hAnsi="Arial Unicode MS" w:cs="Times New Roman" w:hint="cs"/>
          <w:sz w:val="24"/>
          <w:szCs w:val="24"/>
          <w:rtl/>
          <w:lang w:val="ar-SA"/>
        </w:rPr>
        <w:t xml:space="preserve">في الولايات المتحدة إنجازًا بارزًا؛ إذْ اعترف بحقوق المؤلفين والملحنين وغيرهم من المبدعين، ولقد جلب العصر الرقمي تحدياتٍ جديدةً لقانون حقوق الطبع والنشر، ومع سهولة مشاركة الملفات عبر الإنترنت، ازداد خطر انتهاك حقوق الطبع والنشر بشكل ملحوظ، ولمعالجة هذه المشكلة،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في الولايات المتحدة؛ ممَّا مكّن مالكي المحتوى من طلب إزالة المحتوى المُنتهك عبر الإنترنت، واليوم لا يزال قانون حقوق الطبع والنشر يتكيّف مع التطوُّرات، مع استمرار النقاشات حول موضوعات،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الاستخدام العادل، والقرصنة الإلكترونية، وحماية الأعمال الإبداعية في العصر الرقمي </w:t>
      </w:r>
      <w:r>
        <w:rPr>
          <w:rStyle w:val="None"/>
          <w:rFonts w:ascii="Times New Roman" w:hAnsi="Times New Roman"/>
          <w:sz w:val="24"/>
          <w:szCs w:val="24"/>
        </w:rPr>
        <w:t>(CIO Hub, 2025)</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B13B626"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كان لدى الولايات المتحدة مفهومٌ لحقوق الملكية الفكرية، ونظامٌ رسميٌّ لحمايتها</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منذ نشأتها، وقد شجّع جورج واشنطن، في خطابه الافتتاحي الأول، على نظامٍ لحماية المخترعين، وكان أبراهام لينكولن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الرئيس الأمريكي الوحيد الذي حصل على براءة 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أشدّ المؤيدين لحقوق الملكية الفكرية، وتضمّن دستور الولايات المتحدة، المُعتمد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xml:space="preserve">، بندًا لحماية حقوق الملكية الفكرية في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والذي ينص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للكونغرس سلطة 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0"/>
      </w:r>
      <w:r>
        <w:rPr>
          <w:rStyle w:val="None"/>
          <w:rFonts w:ascii="Times New Roman" w:hAnsi="Times New Roman"/>
          <w:sz w:val="24"/>
          <w:szCs w:val="24"/>
          <w:vertAlign w:val="superscript"/>
          <w:rtl/>
          <w:lang w:val="ar-SA"/>
        </w:rPr>
        <w:t>)</w:t>
      </w:r>
    </w:p>
    <w:p w14:paraId="0E3F97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أصبح الإنترنت قضيةً مثيرةً للجدل، وتُمكّن تسميات أسماء النطاقات من إيصال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حزم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المُرسلة عبر الإنترنت إلى وجهاتها المقصودة، كما يُساعد الطابع التذكيري لأسماء النطاقات  المستهلكين على تحديد مواقع الشركات القائمة على الإنترنت، ومع نمو النشاط التجاري على الإنترنت، ازدادت قيمة أسماء النطاقات المُثيرة للاهتمام، وتضاعفت الصراعات عليها، لا سيما نتيجةً لأنشطة ما يُسمى بقراصنة الإنترنت</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الذين سجلوا أسماء نطاقات شائعة؛ بهدف بيعها للشركات بأرباح طائلة، وفي عام </w:t>
      </w:r>
      <w:r>
        <w:rPr>
          <w:rStyle w:val="None"/>
          <w:rFonts w:ascii="Times New Roman" w:hAnsi="Times New Roman"/>
          <w:sz w:val="24"/>
          <w:szCs w:val="24"/>
          <w:rtl/>
          <w:lang w:val="ar-SA"/>
        </w:rPr>
        <w:t xml:space="preserve">1999 </w:t>
      </w:r>
      <w:r>
        <w:rPr>
          <w:rStyle w:val="None"/>
          <w:rFonts w:ascii="Arial Unicode MS" w:hAnsi="Arial Unicode MS" w:cs="Times New Roman" w:hint="cs"/>
          <w:sz w:val="24"/>
          <w:szCs w:val="24"/>
          <w:rtl/>
          <w:lang w:val="ar-SA"/>
        </w:rPr>
        <w:t xml:space="preserve">أنشأت الولايات المتحدة نظامًا وطنيًا، يُعرف باسم قانون حماية المستهلك لمكافحة التطفل الإلكتروني، والذي تُديره المحاكم الفيدرالية، وبموجب هذا القانون، يُمكن تغريم الأفراد ما يصل </w:t>
      </w:r>
      <w:r>
        <w:rPr>
          <w:rStyle w:val="None"/>
          <w:rFonts w:ascii="Arial Unicode MS" w:hAnsi="Arial Unicode MS" w:cs="Times New Roman" w:hint="cs"/>
          <w:sz w:val="24"/>
          <w:szCs w:val="24"/>
          <w:rtl/>
          <w:lang w:val="ar-SA"/>
        </w:rPr>
        <w:lastRenderedPageBreak/>
        <w:t xml:space="preserve">إلى </w:t>
      </w:r>
      <w:r>
        <w:rPr>
          <w:rStyle w:val="None"/>
          <w:rFonts w:ascii="Times New Roman" w:hAnsi="Times New Roman"/>
          <w:sz w:val="24"/>
          <w:szCs w:val="24"/>
          <w:rtl/>
          <w:lang w:val="ar-SA"/>
        </w:rPr>
        <w:t xml:space="preserve">100 </w:t>
      </w:r>
      <w:r>
        <w:rPr>
          <w:rStyle w:val="None"/>
          <w:rFonts w:ascii="Arial Unicode MS" w:hAnsi="Arial Unicode MS" w:cs="Times New Roman" w:hint="cs"/>
          <w:sz w:val="24"/>
          <w:szCs w:val="24"/>
          <w:rtl/>
          <w:lang w:val="ar-SA"/>
        </w:rPr>
        <w:t>ألف دولارٍ أمريكي في حال قرصنة المواقع، وجادل المدافعون عن القانون بأنَّه ضروري لحماية القيمة التجارية للعلامات التجارية وحماية الشركات من الابتزاز</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1"/>
      </w:r>
      <w:r>
        <w:rPr>
          <w:rStyle w:val="None"/>
          <w:rFonts w:ascii="Times New Roman" w:hAnsi="Times New Roman"/>
          <w:sz w:val="24"/>
          <w:szCs w:val="24"/>
          <w:vertAlign w:val="superscript"/>
          <w:rtl/>
          <w:lang w:val="ar-SA"/>
        </w:rPr>
        <w:t>)</w:t>
      </w:r>
    </w:p>
    <w:p w14:paraId="38A44FE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دخل القانون حيز التنفيذ في أكتوبر </w:t>
      </w:r>
      <w:r>
        <w:rPr>
          <w:rStyle w:val="None"/>
          <w:rFonts w:ascii="Times New Roman" w:hAnsi="Times New Roman"/>
          <w:sz w:val="24"/>
          <w:szCs w:val="24"/>
          <w:rtl/>
          <w:lang w:val="ar-SA"/>
        </w:rPr>
        <w:t>2000</w:t>
      </w:r>
      <w:r>
        <w:rPr>
          <w:rStyle w:val="None"/>
          <w:rFonts w:ascii="Arial Unicode MS" w:hAnsi="Arial Unicode MS" w:cs="Times New Roman" w:hint="cs"/>
          <w:sz w:val="24"/>
          <w:szCs w:val="24"/>
          <w:rtl/>
          <w:lang w:val="ar-SA"/>
        </w:rPr>
        <w:t xml:space="preserve">، وأُدمج في قانون حقوق الطبع والنشر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الباب </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من القانون الأمريكي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حدّث هذا التشريع التاريخي قانون حقوق الطبع والنشر الأمريكي لتلبية متطلبات العصر الرقمي، ولجعله متوافقًا مع متطلبات المنظمة العالمية للملكية الفكرية </w:t>
      </w:r>
      <w:r>
        <w:rPr>
          <w:rStyle w:val="None"/>
          <w:rFonts w:ascii="Times New Roman" w:hAnsi="Times New Roman"/>
          <w:sz w:val="24"/>
          <w:szCs w:val="24"/>
          <w:rtl/>
          <w:lang w:val="ar-SA"/>
        </w:rPr>
        <w:t>(</w:t>
      </w:r>
      <w:r>
        <w:rPr>
          <w:rStyle w:val="None"/>
          <w:rFonts w:ascii="Times New Roman" w:hAnsi="Times New Roman"/>
          <w:sz w:val="24"/>
          <w:szCs w:val="24"/>
        </w:rPr>
        <w:t>WIPO</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والمعاهدات التي وقّعتها الولايات المتحدة، وبالإضافة إلى وضع قواعد جديدة للمواد الرقمية، يُلزم قانون الألفية الرقمية مكتب حقوق الطبع والنشر الأمريكي بإجراء العديد من الدراسات والتقارير المهمة، ويحدد الأطر الزمنية لإتمامها، كما يُقسَّم قانون الألفية الرقمية لحقوق الطبع والنشر إلى خمسة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بنودٍ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ومن بين أحكامه العديدة، ينص القانون على ما يلي</w:t>
      </w:r>
      <w:r>
        <w:rPr>
          <w:rStyle w:val="None"/>
          <w:rFonts w:ascii="Times New Roman" w:hAnsi="Times New Roman"/>
          <w:sz w:val="24"/>
          <w:szCs w:val="24"/>
          <w:rtl/>
          <w:lang w:val="ar-SA"/>
        </w:rPr>
        <w:t>:</w:t>
      </w:r>
    </w:p>
    <w:p w14:paraId="129A76E3"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يفرض القانون قواعد تحظر التحايل على تدابير الحماية التكنولوجية</w:t>
      </w:r>
      <w:r>
        <w:rPr>
          <w:rStyle w:val="None"/>
          <w:rFonts w:ascii="Times New Roman" w:hAnsi="Times New Roman"/>
          <w:sz w:val="24"/>
          <w:szCs w:val="24"/>
          <w:rtl/>
          <w:lang w:val="ar-SA"/>
        </w:rPr>
        <w:t>.</w:t>
      </w:r>
    </w:p>
    <w:p w14:paraId="4ACFA2C1"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يضع قيودًا على مسئولية انتهاك حقوق الطبع والنشر لمقدمي الخدمات عبر الإنترنت</w:t>
      </w:r>
      <w:r>
        <w:rPr>
          <w:rStyle w:val="None"/>
          <w:rFonts w:ascii="Times New Roman" w:hAnsi="Times New Roman"/>
          <w:sz w:val="24"/>
          <w:szCs w:val="24"/>
          <w:rtl/>
          <w:lang w:val="ar-SA"/>
        </w:rPr>
        <w:t>.</w:t>
      </w:r>
    </w:p>
    <w:p w14:paraId="1AA39A1C"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يوسع نطاق الإعفاء الحالي لنسخ برامج الحاسوب</w:t>
      </w:r>
      <w:r>
        <w:rPr>
          <w:rStyle w:val="None"/>
          <w:rFonts w:ascii="Times New Roman" w:hAnsi="Times New Roman"/>
          <w:sz w:val="24"/>
          <w:szCs w:val="24"/>
          <w:rtl/>
          <w:lang w:val="ar-SA"/>
        </w:rPr>
        <w:t>.</w:t>
      </w:r>
    </w:p>
    <w:p w14:paraId="115BEF67"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يُقدم تحديثًا مهمًّا للقواعد والإجراءات المتعلقة بحفظ الأرشيف</w:t>
      </w:r>
      <w:r>
        <w:rPr>
          <w:rStyle w:val="None"/>
          <w:rFonts w:ascii="Times New Roman" w:hAnsi="Times New Roman"/>
          <w:sz w:val="24"/>
          <w:szCs w:val="24"/>
          <w:rtl/>
          <w:lang w:val="ar-SA"/>
        </w:rPr>
        <w:t>.</w:t>
      </w:r>
    </w:p>
    <w:p w14:paraId="0EFC03FC"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يُلزم بدراسة آثار قواعد حماية مكافحة التحايل على مبدأ </w:t>
      </w:r>
      <w:r>
        <w:rPr>
          <w:rStyle w:val="None"/>
          <w:rFonts w:ascii="Times New Roman" w:hAnsi="Times New Roman"/>
          <w:sz w:val="24"/>
          <w:szCs w:val="24"/>
          <w:rtl/>
          <w:lang w:val="ar-SA"/>
        </w:rPr>
        <w:t>"</w:t>
      </w:r>
      <w:r>
        <w:rPr>
          <w:rStyle w:val="None"/>
          <w:rFonts w:cs="Times New Roman"/>
          <w:sz w:val="24"/>
          <w:szCs w:val="24"/>
          <w:rtl/>
          <w:lang w:val="ar-SA"/>
        </w:rPr>
        <w:t>البيع الأول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2"/>
      </w:r>
      <w:r>
        <w:rPr>
          <w:rStyle w:val="None"/>
          <w:rFonts w:ascii="Times New Roman" w:hAnsi="Times New Roman"/>
          <w:sz w:val="24"/>
          <w:szCs w:val="24"/>
          <w:vertAlign w:val="superscript"/>
          <w:rtl/>
          <w:lang w:val="ar-SA"/>
        </w:rPr>
        <w:t>)</w:t>
      </w:r>
    </w:p>
    <w:p w14:paraId="75318B8C"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الأدوات القليلة المتاحة لإزالة المحتوى غير المطبوع، وقد صدر هذا القانون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ويلزم مواقع الويب الأمريكية باحترام حقوق الطبع والنشر الرقمية، وحماية الأعمال الإبداعية من خلال السماح لأصحاب حقوق الطبع والنشر بطلب إزالة المحتوى المخالف، ويُستخدم هذا القانون على نطاق واسع من قِبل الناشرين وشركات الإعلام والفنانين؛ ممَّا يؤدي إلى إزالة كميات كبيرة من المحتوى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3"/>
      </w:r>
      <w:r>
        <w:rPr>
          <w:rStyle w:val="None"/>
          <w:rFonts w:ascii="Times New Roman" w:hAnsi="Times New Roman"/>
          <w:sz w:val="24"/>
          <w:szCs w:val="24"/>
          <w:vertAlign w:val="superscript"/>
          <w:rtl/>
          <w:lang w:val="ar-SA"/>
        </w:rPr>
        <w:t>)</w:t>
      </w:r>
    </w:p>
    <w:p w14:paraId="08C3721F"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كقانون لمكافحة القرصنة؛ ممَّا يُجرّم فعليًا التحايل على حماية حقوق النسخ المصممة؛ لمنع القراصنة من نسخ الأعمال الرقمية المحمية بحقوق الطبع والنشر، وبيعها، أو توزيعها بحرية، كما يُجرّم تصنيع أو توزيع أدوات أو تقنيات للتحايل على ضوابط النسخ، ويتضمن قانون حقوق الطبع والنشر الرقمي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بندين شديدَيْ الأهميةِ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1201</w:t>
      </w:r>
      <w:r>
        <w:rPr>
          <w:rStyle w:val="None"/>
          <w:rFonts w:ascii="Arial Unicode MS" w:hAnsi="Arial Unicode MS" w:cs="Times New Roman" w:hint="cs"/>
          <w:sz w:val="24"/>
          <w:szCs w:val="24"/>
          <w:rtl/>
          <w:lang w:val="ar-SA"/>
        </w:rPr>
        <w:t xml:space="preserve">، الذي يتناول التحايل على حماية حقوق النشر، والبند </w:t>
      </w:r>
      <w:r>
        <w:rPr>
          <w:rStyle w:val="None"/>
          <w:rFonts w:ascii="Times New Roman" w:hAnsi="Times New Roman"/>
          <w:sz w:val="24"/>
          <w:szCs w:val="24"/>
          <w:rtl/>
          <w:lang w:val="ar-SA"/>
        </w:rPr>
        <w:t>512</w:t>
      </w:r>
      <w:r>
        <w:rPr>
          <w:rStyle w:val="None"/>
          <w:rFonts w:ascii="Arial Unicode MS" w:hAnsi="Arial Unicode MS" w:cs="Times New Roman" w:hint="cs"/>
          <w:sz w:val="24"/>
          <w:szCs w:val="24"/>
          <w:rtl/>
          <w:lang w:val="ar-SA"/>
        </w:rPr>
        <w:t xml:space="preserve">، الذي يسمح لصاحب حقوق الطبع والنشر بإرسال ما يسمى بإشعار الإزالة إلى مواقع الويب </w:t>
      </w:r>
      <w:r>
        <w:rPr>
          <w:rStyle w:val="None"/>
          <w:rFonts w:ascii="Arial Unicode MS" w:hAnsi="Arial Unicode MS" w:cs="Times New Roman" w:hint="cs"/>
          <w:sz w:val="24"/>
          <w:szCs w:val="24"/>
          <w:rtl/>
          <w:lang w:val="ar-SA"/>
        </w:rPr>
        <w:lastRenderedPageBreak/>
        <w:t>وغيرها ممن يُعتقد أنَّهم ينتهكون حقوق الطبع والنشر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4"/>
      </w:r>
      <w:r>
        <w:rPr>
          <w:rStyle w:val="None"/>
          <w:rFonts w:ascii="Times New Roman" w:hAnsi="Times New Roman"/>
          <w:sz w:val="24"/>
          <w:szCs w:val="24"/>
          <w:vertAlign w:val="superscript"/>
          <w:rtl/>
          <w:lang w:val="ar-SA"/>
        </w:rPr>
        <w:t>)</w:t>
      </w:r>
    </w:p>
    <w:p w14:paraId="4CFDD744"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تم سنّ قانون الألفية الرقمية لحقوق الطبع والنشر لعام </w:t>
      </w:r>
      <w:r>
        <w:rPr>
          <w:rStyle w:val="None"/>
          <w:rFonts w:ascii="Times New Roman" w:hAnsi="Times New Roman"/>
          <w:sz w:val="24"/>
          <w:szCs w:val="24"/>
          <w:rtl/>
          <w:lang w:val="ar-SA"/>
        </w:rPr>
        <w:t>1998 (</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بهدف مواكبة قانون حقوق الطبع والنشر للعصر الرقمي، ومن خلال هذا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سعى الكونغرس إلى الموازنة بين مصالح أصحاب حقوق الطبع والنشر التقليديين ومصالح مزودي خدمات الإنترنت  من خلال الجمع بين الحماية الأساسية لحقوق الطبع والنشر الرقمي وسلسلة من إجراءات 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الملاذ الآمن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لمقدمي خدمات الإنترنت المؤهلين، على مدار العقد الماضي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أدت التفسيرات القضائية المتضاربة والمعقدة لأحكام الملاذ الآمن إلى معايير قانونية غير متسقة وانقسام عميق بين وسائل الإعلام التقليدية والتكنولوجيا الحديثة؛ ممَّا مهد لظهور هذا القانون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5"/>
      </w:r>
      <w:r>
        <w:rPr>
          <w:rStyle w:val="None"/>
          <w:rFonts w:ascii="Times New Roman" w:hAnsi="Times New Roman"/>
          <w:sz w:val="24"/>
          <w:szCs w:val="24"/>
          <w:vertAlign w:val="superscript"/>
          <w:rtl/>
          <w:lang w:val="ar-SA"/>
        </w:rPr>
        <w:t>)</w:t>
      </w:r>
    </w:p>
    <w:p w14:paraId="41383AE6"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تشريع حقوق الملكية جزءًا من مجموعة القوانين التي تحمي مصالح المبدعين بمنحهم حقوق ملكية على إبداعاتهم، وتُقرّ قوانين معظم الدول بحقوق الملكية هذه؛ بهدف تحفيز الإبداع الفكري البشري وإتاحة ثماره للجمهور، يحمي قانون حقوق الطبع والنشر الأعمال الأدبية والفنية، بالإضافة إلى الإبداعات في مجال ما يُسمى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الحقوق المجاورة، يمكن أنْ تكون هذه الأعمال في شكل تناظري أو رقمي، ويحمي قانون حقوق الطبع والنشر مالك حقوق الملكية الفكرية في الأعمال الأدبية والفنية، من نسخ، أو أخذ الشكل الذي عبّر به المؤلف عن العمل الأصلي، ويشهد قانون حقوق الطبع والنشر تغيرات سريعة، وقد فرضت رقمنة المحتوى ونمو الإنترنت العديد من التحديات على طريقة حماية المواد المحمية بحقوق الطبع والنشر، وترخيصها، وإدارتها، ويمكن استعراض مراحل تطوُّر قانون الملكية الفكرية في الولايات المتحدة من خلال النقاط التالية</w:t>
      </w:r>
      <w:r>
        <w:rPr>
          <w:rStyle w:val="None"/>
          <w:rFonts w:ascii="Times New Roman" w:hAnsi="Times New Roman"/>
          <w:sz w:val="24"/>
          <w:szCs w:val="24"/>
          <w:rtl/>
          <w:lang w:val="ar-SA"/>
        </w:rPr>
        <w:t>:</w:t>
      </w:r>
    </w:p>
    <w:p w14:paraId="25385250"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كانت اتفاقية برن، التي يعود تاريخها إلى عام </w:t>
      </w:r>
      <w:r>
        <w:rPr>
          <w:rStyle w:val="None"/>
          <w:rFonts w:ascii="Times New Roman" w:hAnsi="Times New Roman"/>
          <w:sz w:val="24"/>
          <w:szCs w:val="24"/>
          <w:rtl/>
          <w:lang w:val="ar-SA"/>
        </w:rPr>
        <w:t>1886</w:t>
      </w:r>
      <w:r>
        <w:rPr>
          <w:rStyle w:val="None"/>
          <w:rFonts w:cs="Times New Roman"/>
          <w:sz w:val="24"/>
          <w:szCs w:val="24"/>
          <w:rtl/>
          <w:lang w:val="ar-SA"/>
        </w:rPr>
        <w:t xml:space="preserve">، أول اتفاقية دولية رئيسية أرست مبدأ المعاملة الوطنية، وقد خضعت هذه الاتفاقية للمراجعة عدة مرات، لكنها لا تزال المعاهدة الدولية الرائدة، وقد وافقت الولايات المتحدة الأمريكية على اتفاقية برن عام </w:t>
      </w:r>
      <w:r>
        <w:rPr>
          <w:rStyle w:val="None"/>
          <w:rFonts w:ascii="Times New Roman" w:hAnsi="Times New Roman"/>
          <w:sz w:val="24"/>
          <w:szCs w:val="24"/>
          <w:rtl/>
          <w:lang w:val="ar-SA"/>
        </w:rPr>
        <w:t xml:space="preserve">1989. </w:t>
      </w:r>
    </w:p>
    <w:p w14:paraId="7CBA88D9"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وفي وقت لاحق، أدت تحديات الرقمنة إلى توقيع الولايات المتحدة على أحدث معاهدتين دوليتين لحقوق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الويبو بشأن حقوق الطبع والنشر، ومعاهدة الويبو بشأن الأداء والتسجيلات الصوتية، وقد صدر كلاهما في ديسمبر </w:t>
      </w:r>
      <w:r>
        <w:rPr>
          <w:rStyle w:val="None"/>
          <w:rFonts w:ascii="Times New Roman" w:hAnsi="Times New Roman"/>
          <w:sz w:val="24"/>
          <w:szCs w:val="24"/>
          <w:rtl/>
          <w:lang w:val="ar-SA"/>
        </w:rPr>
        <w:t>1996</w:t>
      </w:r>
      <w:r>
        <w:rPr>
          <w:rStyle w:val="None"/>
          <w:rFonts w:cs="Times New Roman"/>
          <w:sz w:val="24"/>
          <w:szCs w:val="24"/>
          <w:rtl/>
          <w:lang w:val="ar-SA"/>
        </w:rPr>
        <w:t xml:space="preserve">، وأعطت معاهدتا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الويبو</w:t>
      </w:r>
      <w:r>
        <w:rPr>
          <w:rStyle w:val="None"/>
          <w:rFonts w:ascii="Times New Roman" w:hAnsi="Times New Roman"/>
          <w:sz w:val="24"/>
          <w:szCs w:val="24"/>
          <w:rtl/>
          <w:lang w:val="ar-SA"/>
        </w:rPr>
        <w:t xml:space="preserve">) </w:t>
      </w:r>
      <w:r>
        <w:rPr>
          <w:rStyle w:val="None"/>
          <w:rFonts w:cs="Times New Roman"/>
          <w:sz w:val="24"/>
          <w:szCs w:val="24"/>
          <w:rtl/>
          <w:lang w:val="ar-SA"/>
        </w:rPr>
        <w:t>زخمًا تشريعيًا جديدًا للجهود المبذولة؛ لتكييف قانون حقوق الطبع والنشر ومواءمته مع تحديات مجتمع المعلومات</w:t>
      </w:r>
      <w:r>
        <w:rPr>
          <w:rStyle w:val="None"/>
          <w:rFonts w:ascii="Times New Roman" w:hAnsi="Times New Roman"/>
          <w:sz w:val="24"/>
          <w:szCs w:val="24"/>
          <w:rtl/>
          <w:lang w:val="ar-SA"/>
        </w:rPr>
        <w:t>.</w:t>
      </w:r>
    </w:p>
    <w:p w14:paraId="1B20D91B"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1998: </w:t>
      </w:r>
      <w:r>
        <w:rPr>
          <w:rStyle w:val="None"/>
          <w:rFonts w:cs="Times New Roman"/>
          <w:sz w:val="24"/>
          <w:szCs w:val="24"/>
          <w:rtl/>
          <w:lang w:val="ar-SA"/>
        </w:rPr>
        <w:t xml:space="preserve">أصدر الكونغرس الأمريكي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cs="Times New Roman"/>
          <w:sz w:val="24"/>
          <w:szCs w:val="24"/>
          <w:rtl/>
          <w:lang w:val="ar-SA"/>
        </w:rPr>
        <w:t>المثير للجدل، كان هذا القانون أكبر تعديل على قانون حقوق الطبع والنشر؛ حيث سعى إلى معالجة حقوق الطبع والنشر في البيئة الرقمية، ومن أهم ما يقوم به قانون الألفية الرقمية</w:t>
      </w:r>
      <w:r>
        <w:rPr>
          <w:rStyle w:val="None"/>
          <w:rFonts w:ascii="Times New Roman" w:hAnsi="Times New Roman"/>
          <w:sz w:val="24"/>
          <w:szCs w:val="24"/>
          <w:rtl/>
          <w:lang w:val="ar-SA"/>
        </w:rPr>
        <w:t xml:space="preserve">: </w:t>
      </w:r>
      <w:r>
        <w:rPr>
          <w:rStyle w:val="None"/>
          <w:rFonts w:cs="Times New Roman"/>
          <w:sz w:val="24"/>
          <w:szCs w:val="24"/>
          <w:rtl/>
          <w:lang w:val="ar-SA"/>
        </w:rPr>
        <w:t>توفير بعض الحماية لمقدمي خدمات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6"/>
      </w:r>
      <w:r>
        <w:rPr>
          <w:rStyle w:val="None"/>
          <w:rFonts w:ascii="Times New Roman" w:hAnsi="Times New Roman"/>
          <w:sz w:val="24"/>
          <w:szCs w:val="24"/>
          <w:vertAlign w:val="superscript"/>
          <w:rtl/>
          <w:lang w:val="ar-SA"/>
        </w:rPr>
        <w:t>)</w:t>
      </w:r>
    </w:p>
    <w:p w14:paraId="5635A66A"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ويُفاقم نمو التجارة الرقمية واستخدام سلاسل التوريد المعقدة أخطار انتهاك حقوق الملكية الفكرية وتحديات الإنفاذ، ويحظر قانون التجارة الأمريكي استيراد السلع التي تنتهك حقوق الملكية الفكرية، وفي السنة المالية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 أفادت </w:t>
      </w:r>
      <w:r>
        <w:rPr>
          <w:rStyle w:val="None"/>
          <w:rFonts w:ascii="Arial Unicode MS" w:hAnsi="Arial Unicode MS" w:cs="Times New Roman" w:hint="cs"/>
          <w:sz w:val="24"/>
          <w:szCs w:val="24"/>
          <w:rtl/>
          <w:lang w:val="ar-SA"/>
        </w:rPr>
        <w:lastRenderedPageBreak/>
        <w:t xml:space="preserve">هيئة الجمارك وحماية الحدود الأمريكية </w:t>
      </w:r>
      <w:r>
        <w:rPr>
          <w:rStyle w:val="None"/>
          <w:rFonts w:ascii="Times New Roman" w:hAnsi="Times New Roman"/>
          <w:sz w:val="24"/>
          <w:szCs w:val="24"/>
          <w:rtl/>
          <w:lang w:val="ar-SA"/>
        </w:rPr>
        <w:t>(</w:t>
      </w:r>
      <w:r>
        <w:rPr>
          <w:rStyle w:val="None"/>
          <w:rFonts w:ascii="Times New Roman" w:hAnsi="Times New Roman"/>
          <w:sz w:val="24"/>
          <w:szCs w:val="24"/>
          <w:lang w:val="pt-PT"/>
        </w:rPr>
        <w:t>CBP</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بمصادرة سلع منتهكة لحقوق الملكية الفكرية بقيمة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مليار دولارٍ أمريكي على الحدود الأمريكية، ومعظمها شحنات منخفضة القيمة مُعفاة من الرسوم الجمركية بموجب المادة </w:t>
      </w:r>
      <w:r>
        <w:rPr>
          <w:rStyle w:val="None"/>
          <w:rFonts w:ascii="Times New Roman" w:hAnsi="Times New Roman"/>
          <w:sz w:val="24"/>
          <w:szCs w:val="24"/>
          <w:rtl/>
          <w:lang w:val="ar-SA"/>
        </w:rPr>
        <w:t xml:space="preserve">321 </w:t>
      </w:r>
      <w:r>
        <w:rPr>
          <w:rStyle w:val="None"/>
          <w:rFonts w:ascii="Arial Unicode MS" w:hAnsi="Arial Unicode MS" w:cs="Times New Roman" w:hint="cs"/>
          <w:sz w:val="24"/>
          <w:szCs w:val="24"/>
          <w:rtl/>
          <w:lang w:val="ar-SA"/>
        </w:rPr>
        <w:t xml:space="preserve">من قانون التعريفات الجمركية لعام </w:t>
      </w:r>
      <w:r>
        <w:rPr>
          <w:rStyle w:val="None"/>
          <w:rFonts w:ascii="Times New Roman" w:hAnsi="Times New Roman"/>
          <w:sz w:val="24"/>
          <w:szCs w:val="24"/>
          <w:rtl/>
          <w:lang w:val="ar-SA"/>
        </w:rPr>
        <w:t>1930.</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7"/>
      </w:r>
      <w:r>
        <w:rPr>
          <w:rStyle w:val="None"/>
          <w:rFonts w:ascii="Times New Roman" w:hAnsi="Times New Roman"/>
          <w:sz w:val="24"/>
          <w:szCs w:val="24"/>
          <w:vertAlign w:val="superscript"/>
          <w:rtl/>
          <w:lang w:val="ar-SA"/>
        </w:rPr>
        <w:t>)</w:t>
      </w:r>
    </w:p>
    <w:p w14:paraId="6266F8BB" w14:textId="2579B372"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كان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أوائل القوانين من نوعها،  وقد سنّ الكونجرس قانون الألفية الرقمية لحقوق الطبع والنشر؛ إدراكًا للعلاقة سريعة التطوُّر بين قانون حقوق الطبع والنشر والإنترنت، وكان الغرض من هذا التشريع هو تعديل قانون حقوق الطبع والنشر الأمريكي؛ ليعكس التقدم التكنولوجي المحرز منذ ظهور الإنترنت في أواخر الثمانينيات، كما كان الهدف من قانون الألفية الرقمية هو توفير راحة البال لأصحاب حقوق الطبع والنشر، مع العلم أنَّ حقوقهم محمية ومعترف بها تمامًا،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الهدف من القانون هو توفير الحماية لمستخدمي الإنترنت من المسئولية بموجب أحكام الملاذ الآمن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8"/>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وفي 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عدّل قانون حقوق الطبع والنشر الأمريكي؛ لمعالجة جوانب مهمة من العلاقة بين حقوق الطبع والنشر والإنترنت، وشملت التحديثات الرئيسية الثلاثة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9"/>
      </w:r>
      <w:r>
        <w:rPr>
          <w:rStyle w:val="None"/>
          <w:rFonts w:ascii="Times New Roman" w:hAnsi="Times New Roman"/>
          <w:sz w:val="24"/>
          <w:szCs w:val="24"/>
          <w:vertAlign w:val="superscript"/>
          <w:rtl/>
          <w:lang w:val="ar-SA"/>
        </w:rPr>
        <w:t>)</w:t>
      </w:r>
    </w:p>
    <w:p w14:paraId="2360FA19"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توفير الحماية لمقدمي الخدمات عبر الإنترنت في حالات معينة في حال انتهاك مستخدميهم لحقوق الطبع والنشر،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إنشاء نظام الإشعار والحذف، الذي يسمح لأصحاب حقوق الطبع والنشر بإبلاغ مقدمي الخدمات عبر الإنترنت عن المواد المنتهكة لإزالتها</w:t>
      </w:r>
      <w:r>
        <w:rPr>
          <w:rStyle w:val="None"/>
          <w:rFonts w:ascii="Times New Roman" w:hAnsi="Times New Roman"/>
          <w:sz w:val="24"/>
          <w:szCs w:val="24"/>
          <w:rtl/>
          <w:lang w:val="ar-SA"/>
        </w:rPr>
        <w:t>.</w:t>
      </w:r>
    </w:p>
    <w:p w14:paraId="5A675497"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أصحاب حقوق الطبع والنشر على إتاحة وصول أكبر لأعمالهم الرقمية، من خلال توفير الحماية القانونية لهم ضد الوصول غير المصرح به إلى أعمالهم، مثل</w:t>
      </w:r>
      <w:r>
        <w:rPr>
          <w:rStyle w:val="None"/>
          <w:rFonts w:ascii="Times New Roman" w:hAnsi="Times New Roman"/>
          <w:sz w:val="24"/>
          <w:szCs w:val="24"/>
          <w:rtl/>
          <w:lang w:val="ar-SA"/>
        </w:rPr>
        <w:t xml:space="preserve">: </w:t>
      </w:r>
      <w:r>
        <w:rPr>
          <w:rStyle w:val="None"/>
          <w:rFonts w:cs="Times New Roman"/>
          <w:sz w:val="24"/>
          <w:szCs w:val="24"/>
          <w:rtl/>
          <w:lang w:val="ar-SA"/>
        </w:rPr>
        <w:t>اختراق كلمات المرور، أو التحايل على التشفير</w:t>
      </w:r>
      <w:r>
        <w:rPr>
          <w:rStyle w:val="None"/>
          <w:rFonts w:ascii="Times New Roman" w:hAnsi="Times New Roman"/>
          <w:sz w:val="24"/>
          <w:szCs w:val="24"/>
          <w:rtl/>
          <w:lang w:val="ar-SA"/>
        </w:rPr>
        <w:t>.</w:t>
      </w:r>
    </w:p>
    <w:p w14:paraId="492517F2"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تجريم تقديم معلومات حقوق طبع ونشر زائفة، مثل</w:t>
      </w:r>
      <w:r>
        <w:rPr>
          <w:rStyle w:val="None"/>
          <w:rFonts w:ascii="Times New Roman" w:hAnsi="Times New Roman"/>
          <w:sz w:val="24"/>
          <w:szCs w:val="24"/>
          <w:rtl/>
          <w:lang w:val="ar-SA"/>
        </w:rPr>
        <w:t xml:space="preserve">: </w:t>
      </w:r>
      <w:r>
        <w:rPr>
          <w:rStyle w:val="None"/>
          <w:rFonts w:cs="Times New Roman"/>
          <w:sz w:val="24"/>
          <w:szCs w:val="24"/>
          <w:rtl/>
          <w:lang w:val="ar-SA"/>
        </w:rPr>
        <w:t>التزوير في أسماء المؤلفين وأصحاب حقوق الطبع والنشر، وعناوين الأعمال</w:t>
      </w:r>
      <w:r>
        <w:rPr>
          <w:rStyle w:val="None"/>
          <w:rFonts w:ascii="Times New Roman" w:hAnsi="Times New Roman"/>
          <w:sz w:val="24"/>
          <w:szCs w:val="24"/>
          <w:rtl/>
          <w:lang w:val="ar-SA"/>
        </w:rPr>
        <w:t>.</w:t>
      </w:r>
    </w:p>
    <w:p w14:paraId="2F1478C1"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جرائم الملكية الفكرية إلى انتهاك القوانين الجنائية التي تحمي حقوق النشر، وبراءات الاختراع، والعلامات التجارية، وغيرها من أشكال الملكية الفكرية والأسرار التجارية، سواءً في الولايات المتحدة أو خارجها، وقد جعلت وزارة العدل الأمريكية حماية الملكية الفكرية أولويةً رئيسيةً لإنفاذ القانون، وتدرك الوزارة أنَّ الابتكار ركيزة أساسية لاقتصادنا الوطني، وهو أمرٌ بالغ الأهمية؛ لتمكين الشركات الأمريكية من الحفاظ على قدرتها التنافسية في السوق العالمية، ويحتاج رواد الأعمال إلى الحماية من المجرمين  الذين يسعون إلى نسخ إبداعاتهم، كما أنَّ تحسين قدرة البلاد على التصدي لجرائم الملكية الفكرية أمرٌ بالغ الأهمية لحماية الجمهور الأمريكي من التعرض للسلع الخطرة والقاتلة،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الأدوية المقلدة، وقطع غيار السيارات دون المستوى المطلوب، والمجوهرات الملوثة بالرصاص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0"/>
      </w:r>
      <w:r>
        <w:rPr>
          <w:rStyle w:val="None"/>
          <w:rFonts w:ascii="Times New Roman" w:hAnsi="Times New Roman"/>
          <w:sz w:val="24"/>
          <w:szCs w:val="24"/>
          <w:vertAlign w:val="superscript"/>
          <w:rtl/>
          <w:lang w:val="ar-SA"/>
        </w:rPr>
        <w:t>)</w:t>
      </w:r>
    </w:p>
    <w:p w14:paraId="2AAE9337" w14:textId="77777777" w:rsidR="00D61DE9" w:rsidRDefault="00D61DE9" w:rsidP="00D61DE9">
      <w:pPr>
        <w:pStyle w:val="Body"/>
        <w:widowControl w:val="0"/>
        <w:spacing w:before="120" w:after="120" w:line="360" w:lineRule="auto"/>
        <w:ind w:firstLine="720"/>
        <w:jc w:val="both"/>
        <w:rPr>
          <w:rStyle w:val="None"/>
          <w:rFonts w:ascii="Arial Unicode MS" w:hAnsi="Arial Unicode MS" w:cs="Times New Roman"/>
          <w:sz w:val="24"/>
          <w:szCs w:val="24"/>
          <w:rtl/>
          <w:lang w:val="ar-SA"/>
        </w:rPr>
      </w:pPr>
    </w:p>
    <w:p w14:paraId="470CD969" w14:textId="3C33CF90"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ويُطوّر مكتب الولايات المتحدة لبراءات الاختراع والعلامات التجارية من عملياته، ويُقدّم برامج تدريبية في مجال إنفاذ حقوق الملكية الفكرية، وبرامج لبناء القدرات للمسئولين الحكوميين في جميع أنحاء العالم؛ حيث يقوم بتصميم برامج بناء القدرات لمعالجة جوانب مُحدّدة من إنفاذ حقوق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التحقيقات المدنية والجنائية، والملاحقات القضائية، وإنفاذ القوانين عبر الحدود، كما يُقدّم المكتب المساعدة الفنية للحكومات الأجنبية في القضايا المتعلقة بإنفاذ حقوق الملكية الفكرية، ويُشارك المكتب أيضًا بفاعلية في مجموعة واسعة من مناقشات سياسات إنفاذ حقوق الملكية الفكرية الدولية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تختلف إجراءات الحصول على حقوق الملكية الفكرية المختلفة لتشمل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2"/>
      </w:r>
      <w:r>
        <w:rPr>
          <w:rStyle w:val="None"/>
          <w:rFonts w:ascii="Times New Roman" w:hAnsi="Times New Roman"/>
          <w:sz w:val="24"/>
          <w:szCs w:val="24"/>
          <w:vertAlign w:val="superscript"/>
          <w:rtl/>
          <w:lang w:val="ar-SA"/>
        </w:rPr>
        <w:t>)</w:t>
      </w:r>
    </w:p>
    <w:p w14:paraId="52FD5F5E"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sz w:val="24"/>
          <w:szCs w:val="24"/>
          <w:rtl/>
          <w:lang w:val="ar-SA"/>
        </w:rPr>
        <w:t xml:space="preserve">: </w:t>
      </w:r>
      <w:r>
        <w:rPr>
          <w:rStyle w:val="None"/>
          <w:rFonts w:cs="Times New Roman"/>
          <w:sz w:val="24"/>
          <w:szCs w:val="24"/>
          <w:rtl/>
          <w:lang w:val="ar-SA"/>
        </w:rPr>
        <w:t>يقدم المخترعون طلبات تصف اختراعاتهم إلى مكاتب براءات الاختراع،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يراجع الفاحصون التقنية لتقييم الجدة، وعدم البداهة، والفائدة، في حال الموافقة، تُمنح حقوق براءات الاختراع الحصرية لمدة تصل إلى </w:t>
      </w:r>
      <w:r>
        <w:rPr>
          <w:rStyle w:val="None"/>
          <w:rFonts w:ascii="Times New Roman" w:hAnsi="Times New Roman"/>
          <w:sz w:val="24"/>
          <w:szCs w:val="24"/>
          <w:rtl/>
          <w:lang w:val="ar-SA"/>
        </w:rPr>
        <w:t xml:space="preserve">20 </w:t>
      </w:r>
      <w:r>
        <w:rPr>
          <w:rStyle w:val="None"/>
          <w:rFonts w:cs="Times New Roman"/>
          <w:sz w:val="24"/>
          <w:szCs w:val="24"/>
          <w:rtl/>
          <w:lang w:val="ar-SA"/>
        </w:rPr>
        <w:t>عامًا من تاريخ التقديم</w:t>
      </w:r>
      <w:r>
        <w:rPr>
          <w:rStyle w:val="None"/>
          <w:rFonts w:ascii="Times New Roman" w:hAnsi="Times New Roman"/>
          <w:sz w:val="24"/>
          <w:szCs w:val="24"/>
          <w:rtl/>
          <w:lang w:val="ar-SA"/>
        </w:rPr>
        <w:t>.</w:t>
      </w:r>
    </w:p>
    <w:p w14:paraId="5D408B43" w14:textId="77777777" w:rsidR="00454428" w:rsidRDefault="00000000">
      <w:pPr>
        <w:pStyle w:val="a7"/>
        <w:widowControl w:val="0"/>
        <w:numPr>
          <w:ilvl w:val="0"/>
          <w:numId w:val="222"/>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العلامات التجارية</w:t>
      </w:r>
      <w:r>
        <w:rPr>
          <w:rStyle w:val="None"/>
          <w:rFonts w:ascii="Times New Roman" w:hAnsi="Times New Roman"/>
          <w:sz w:val="24"/>
          <w:szCs w:val="24"/>
          <w:rtl/>
          <w:lang w:val="ar-SA"/>
        </w:rPr>
        <w:t xml:space="preserve">: </w:t>
      </w:r>
      <w:r>
        <w:rPr>
          <w:rStyle w:val="None"/>
          <w:rFonts w:cs="Times New Roman"/>
          <w:sz w:val="24"/>
          <w:szCs w:val="24"/>
          <w:rtl/>
          <w:lang w:val="ar-SA"/>
        </w:rPr>
        <w:t>يقدم مقدمو الطلبات علاماتٍ تعريفيةً إلى مكاتب العلامات التجارية،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حيث يُقيّم الفاحصون الطلب، ثم يتم تسجيل العلامات المقبولة مع التجديد كل </w:t>
      </w:r>
      <w:r>
        <w:rPr>
          <w:rStyle w:val="None"/>
          <w:rFonts w:ascii="Times New Roman" w:hAnsi="Times New Roman"/>
          <w:sz w:val="24"/>
          <w:szCs w:val="24"/>
          <w:rtl/>
          <w:lang w:val="ar-SA"/>
        </w:rPr>
        <w:t xml:space="preserve">10 </w:t>
      </w:r>
      <w:r>
        <w:rPr>
          <w:rStyle w:val="None"/>
          <w:rFonts w:cs="Times New Roman"/>
          <w:sz w:val="24"/>
          <w:szCs w:val="24"/>
          <w:rtl/>
          <w:lang w:val="ar-SA"/>
        </w:rPr>
        <w:t>سنواتٍ؛ للحفاظ على الحماية</w:t>
      </w:r>
      <w:r>
        <w:rPr>
          <w:rStyle w:val="None"/>
          <w:rFonts w:ascii="Times New Roman" w:hAnsi="Times New Roman"/>
          <w:sz w:val="24"/>
          <w:szCs w:val="24"/>
          <w:rtl/>
          <w:lang w:val="ar-SA"/>
        </w:rPr>
        <w:t>.</w:t>
      </w:r>
    </w:p>
    <w:p w14:paraId="102B7BAF"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تنشأ تلقائيًا عند إنشاء أعمال أصلية مثبتة على وسائط ملموسة؛ حيث يوفر التسجيل لدى مكتب حقوق الطبع والنشر الأمريكي مزايا، مثل</w:t>
      </w:r>
      <w:r>
        <w:rPr>
          <w:rStyle w:val="None"/>
          <w:rFonts w:ascii="Times New Roman" w:hAnsi="Times New Roman"/>
          <w:sz w:val="24"/>
          <w:szCs w:val="24"/>
          <w:rtl/>
          <w:lang w:val="ar-SA"/>
        </w:rPr>
        <w:t xml:space="preserve">: </w:t>
      </w:r>
      <w:r>
        <w:rPr>
          <w:rStyle w:val="None"/>
          <w:rFonts w:cs="Times New Roman"/>
          <w:sz w:val="24"/>
          <w:szCs w:val="24"/>
          <w:rtl/>
          <w:lang w:val="ar-SA"/>
        </w:rPr>
        <w:t>التعويضات القانونية في حالة الانتهاك</w:t>
      </w:r>
      <w:r>
        <w:rPr>
          <w:rStyle w:val="None"/>
          <w:rFonts w:ascii="Times New Roman" w:hAnsi="Times New Roman"/>
          <w:sz w:val="24"/>
          <w:szCs w:val="24"/>
          <w:rtl/>
          <w:lang w:val="ar-SA"/>
        </w:rPr>
        <w:t xml:space="preserve">. </w:t>
      </w:r>
    </w:p>
    <w:p w14:paraId="6F34A317"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sz w:val="24"/>
          <w:szCs w:val="24"/>
          <w:rtl/>
          <w:lang w:val="ar-SA"/>
        </w:rPr>
        <w:t xml:space="preserve">: </w:t>
      </w:r>
      <w:r>
        <w:rPr>
          <w:rStyle w:val="None"/>
          <w:rFonts w:cs="Times New Roman"/>
          <w:sz w:val="24"/>
          <w:szCs w:val="24"/>
          <w:rtl/>
          <w:lang w:val="ar-SA"/>
        </w:rPr>
        <w:t>حيث يتم الحصول على الحماية من خلال الحفاظ على السرية من خلال اتفاقيات عدم الإفصاح، وضوابط الوصول، والتشفير، وما إلى ذلك</w:t>
      </w:r>
      <w:r>
        <w:rPr>
          <w:rStyle w:val="None"/>
          <w:rFonts w:ascii="Times New Roman" w:hAnsi="Times New Roman"/>
          <w:sz w:val="24"/>
          <w:szCs w:val="24"/>
          <w:rtl/>
          <w:lang w:val="ar-SA"/>
        </w:rPr>
        <w:t>.</w:t>
      </w:r>
    </w:p>
    <w:p w14:paraId="5161A43D"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تشير إدارة الحقوق الرقمية إلى مجموعة من التقنيات المستخدمة للتحكم في الوصول إلى الوسائط الرقمية، ومع تحول المحتوى الترفيهي إلى الوسائط الرقمية، لجأ منتجو المحتوى، وأصحاب حقوق الطبع والنشر، وصانعو الأجهزة بشكل متزايد إلى إدارة الحقوق الرقمية كوسيلة لحماية محتواهم من الاستخدام غير المصرح به،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القرصنة، وللحفاظ على مصادر الدخل التقليدية، وبموجب القانون الدولي والفيدرالي، تُعتبر معظم البرامج التي تتحايل على قيود إدارة الحقوق الرقمية غير قانونية، وفي الولايات المتحدة، يُجرّم قانون الألفية الرقمية لحقوق الطبع والنشر، الصادر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نشر التقنيات التي تسمح للمستخدمين بالتحايل على إدارة الحقوق الرقمية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29E68DCE"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الوقائع القضائية التي جسّدت التطبيق العملي لقواعد مكافحة التحايل على أنظمة إدارة الحقوق الرقمية قضية </w:t>
      </w:r>
      <w:r>
        <w:rPr>
          <w:rStyle w:val="None"/>
          <w:rFonts w:ascii="Times New Roman" w:hAnsi="Times New Roman"/>
          <w:sz w:val="24"/>
          <w:szCs w:val="24"/>
          <w:lang w:val="it-IT"/>
        </w:rPr>
        <w:t>Universal City Studios, Inc. v. Reimerdes</w:t>
      </w:r>
      <w:r>
        <w:rPr>
          <w:rStyle w:val="None"/>
          <w:rFonts w:ascii="Times New Roman" w:hAnsi="Times New Roman"/>
          <w:sz w:val="24"/>
          <w:szCs w:val="24"/>
          <w:rtl/>
          <w:lang w:val="ar-SA"/>
        </w:rPr>
        <w:t xml:space="preserve"> (</w:t>
      </w:r>
      <w:r>
        <w:rPr>
          <w:rStyle w:val="None"/>
          <w:rFonts w:ascii="Times New Roman" w:hAnsi="Times New Roman"/>
          <w:sz w:val="24"/>
          <w:szCs w:val="24"/>
        </w:rPr>
        <w:t>2000</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فقد قضت محكمة المقاطعة الجنوبية في نيويورك، كما أيدت محكمة الاستئناف الدائرة الثانية، بعدم نشر برامج يستخدم لفك تشفير حماية أقراص </w:t>
      </w:r>
      <w:r>
        <w:rPr>
          <w:rStyle w:val="None"/>
          <w:rFonts w:ascii="Times New Roman" w:hAnsi="Times New Roman"/>
          <w:sz w:val="24"/>
          <w:szCs w:val="24"/>
          <w:rtl/>
          <w:lang w:val="ar-SA"/>
        </w:rPr>
        <w:t>(</w:t>
      </w:r>
      <w:r>
        <w:rPr>
          <w:rStyle w:val="None"/>
          <w:rFonts w:ascii="Times New Roman" w:hAnsi="Times New Roman"/>
          <w:sz w:val="24"/>
          <w:szCs w:val="24"/>
        </w:rPr>
        <w:t>css</w:t>
      </w:r>
      <w:r>
        <w:rPr>
          <w:rStyle w:val="None"/>
          <w:rFonts w:ascii="Times New Roman" w:hAnsi="Times New Roman"/>
          <w:sz w:val="24"/>
          <w:szCs w:val="24"/>
          <w:rtl/>
          <w:lang w:val="ar-SA"/>
        </w:rPr>
        <w:t xml:space="preserve">) </w:t>
      </w:r>
      <w:r>
        <w:rPr>
          <w:rStyle w:val="None"/>
          <w:rFonts w:ascii="Times New Roman" w:hAnsi="Times New Roman"/>
          <w:sz w:val="24"/>
          <w:szCs w:val="24"/>
        </w:rPr>
        <w:t>DVD</w:t>
      </w:r>
      <w:r>
        <w:rPr>
          <w:rStyle w:val="None"/>
          <w:rFonts w:ascii="Arial Unicode MS" w:hAnsi="Arial Unicode MS" w:cs="Times New Roman" w:hint="cs"/>
          <w:sz w:val="24"/>
          <w:szCs w:val="24"/>
          <w:rtl/>
          <w:lang w:val="ar-SA"/>
        </w:rPr>
        <w:t xml:space="preserve">، </w:t>
      </w:r>
      <w:r>
        <w:rPr>
          <w:rStyle w:val="None"/>
          <w:rFonts w:ascii="Arial Unicode MS" w:hAnsi="Arial Unicode MS" w:cs="Times New Roman" w:hint="cs"/>
          <w:sz w:val="24"/>
          <w:szCs w:val="24"/>
          <w:rtl/>
          <w:lang w:val="ar-SA"/>
        </w:rPr>
        <w:lastRenderedPageBreak/>
        <w:t xml:space="preserve">واعتبرت ذلك خرقًا واضحًا للمادة </w:t>
      </w:r>
      <w:r>
        <w:rPr>
          <w:rStyle w:val="None"/>
          <w:rFonts w:ascii="Times New Roman" w:hAnsi="Times New Roman"/>
          <w:sz w:val="24"/>
          <w:szCs w:val="24"/>
          <w:rtl/>
          <w:lang w:val="ar-SA"/>
        </w:rPr>
        <w:t xml:space="preserve">1201 </w:t>
      </w:r>
      <w:r>
        <w:rPr>
          <w:rStyle w:val="None"/>
          <w:rFonts w:ascii="Arial Unicode MS" w:hAnsi="Arial Unicode MS" w:cs="Times New Roman" w:hint="cs"/>
          <w:sz w:val="24"/>
          <w:szCs w:val="24"/>
          <w:rtl/>
          <w:lang w:val="ar-SA"/>
        </w:rPr>
        <w:t xml:space="preserve">من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جرم تصنيع أو تداول أدوات التحايل على أنظمة الحماية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4"/>
      </w:r>
      <w:r>
        <w:rPr>
          <w:rStyle w:val="None"/>
          <w:rFonts w:ascii="Times New Roman" w:hAnsi="Times New Roman"/>
          <w:sz w:val="24"/>
          <w:szCs w:val="24"/>
          <w:vertAlign w:val="superscript"/>
          <w:rtl/>
          <w:lang w:val="ar-SA"/>
        </w:rPr>
        <w:t>)</w:t>
      </w:r>
    </w:p>
    <w:p w14:paraId="0CDAE2EB"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الملكية الفكرية هي تلك القوانين التي تنظم  الاعتداءات على الحقوق التقليدية والرقمية، ومن أبرز هذه المعالجات الجنائية تجريم فعل القرصنة، الذي يمثل الصورة الأبرز في الاعتداءات المتعلقة بالملكية الفكرية التقليدية،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تلك الموجودة في البيئة الإلكترونية، وقد نُظمت تلك الحقوق بموجب قانون حقوق النشر الأمريكي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وقد اعتُبر انتهاك حقوق الملكية الفكرية قرصنة اتحادية، أما فيما يتعلق بالنسخ الإلكتروني أو انتهاك حقوق الطبع والنشر في البيئة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نظمه المشرع الأمريكي في قانون الانتحال الإلكتروني </w:t>
      </w:r>
      <w:r>
        <w:rPr>
          <w:rStyle w:val="None"/>
          <w:rFonts w:ascii="Times New Roman" w:hAnsi="Times New Roman"/>
          <w:sz w:val="24"/>
          <w:szCs w:val="24"/>
          <w:rtl/>
          <w:lang w:val="ar-SA"/>
        </w:rPr>
        <w:t xml:space="preserve">(1997) </w:t>
      </w:r>
      <w:r>
        <w:rPr>
          <w:rStyle w:val="None"/>
          <w:rFonts w:ascii="Arial Unicode MS" w:hAnsi="Arial Unicode MS" w:cs="Times New Roman" w:hint="cs"/>
          <w:sz w:val="24"/>
          <w:szCs w:val="24"/>
          <w:rtl/>
          <w:lang w:val="ar-SA"/>
        </w:rPr>
        <w:t xml:space="preserve">وقانون حماية حقوق المستهلك من القرصنة </w:t>
      </w:r>
      <w:r>
        <w:rPr>
          <w:rStyle w:val="None"/>
          <w:rFonts w:ascii="Times New Roman" w:hAnsi="Times New Roman"/>
          <w:sz w:val="24"/>
          <w:szCs w:val="24"/>
          <w:rtl/>
          <w:lang w:val="ar-SA"/>
        </w:rPr>
        <w:t>(1999).</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5"/>
      </w:r>
      <w:r>
        <w:rPr>
          <w:rStyle w:val="None"/>
          <w:rFonts w:ascii="Times New Roman" w:hAnsi="Times New Roman"/>
          <w:sz w:val="24"/>
          <w:szCs w:val="24"/>
          <w:vertAlign w:val="superscript"/>
          <w:rtl/>
          <w:lang w:val="ar-SA"/>
        </w:rPr>
        <w:t>)</w:t>
      </w:r>
    </w:p>
    <w:p w14:paraId="444004FF" w14:textId="77777777" w:rsidR="00454428" w:rsidRDefault="00000000" w:rsidP="00D61DE9">
      <w:pPr>
        <w:pStyle w:val="Body"/>
        <w:widowControl w:val="0"/>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الفرنسي</w:t>
      </w:r>
      <w:r>
        <w:rPr>
          <w:rStyle w:val="None"/>
          <w:rFonts w:ascii="Times New Roman" w:hAnsi="Times New Roman"/>
          <w:b/>
          <w:bCs/>
          <w:sz w:val="24"/>
          <w:szCs w:val="24"/>
          <w:rtl/>
          <w:lang w:val="ar-SA"/>
        </w:rPr>
        <w:t>:</w:t>
      </w:r>
    </w:p>
    <w:p w14:paraId="670C8A3E"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تزداد انتهاكات حقوق الملكية الفكرية انتشارًا بشكل غير مسبوق، وبفضل عولمة الاقتصاد والبيئة الرقمية الجديدة، وفي مواجهة هذه الانتهاكات، يمكن للضحايا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بموجب القانون الفرنسي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المطالبة بعقوبات جنائية وعقوبات مدنية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مصادرة السلع المخالفة، وإتلافها، ونشر قرار الإدانة، والإنصاف القضائي، والتعويضات، ويخضع التعويض لقانون المسئولية التقصيرية، وتحديدًا للمادتين </w:t>
      </w:r>
      <w:r>
        <w:rPr>
          <w:rStyle w:val="None"/>
          <w:rFonts w:ascii="Times New Roman" w:hAnsi="Times New Roman"/>
          <w:sz w:val="24"/>
          <w:szCs w:val="24"/>
          <w:rtl/>
          <w:lang w:val="ar-SA"/>
        </w:rPr>
        <w:t xml:space="preserve">1382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1383 </w:t>
      </w:r>
      <w:r>
        <w:rPr>
          <w:rStyle w:val="None"/>
          <w:rFonts w:ascii="Arial Unicode MS" w:hAnsi="Arial Unicode MS" w:cs="Times New Roman" w:hint="cs"/>
          <w:sz w:val="24"/>
          <w:szCs w:val="24"/>
          <w:rtl/>
          <w:lang w:val="ar-SA"/>
        </w:rPr>
        <w:t>من قانون الإجراءات المدنية الفرنسي، اللتين تشترطان وجود خطأ أو ضرر، ورابطة سببية بينهما، وبشكل 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يُثبت الخطأ تلقائيًا عند وجود انتهاك لحقوق الملكية الفكرية؛ إذْ يُعتبر هذا الانتهاك خطأً مدنيًا، ويُعَدُّ تحليل الضرر أكثر صعوبةً؛ نظرًا لخضوعه لمبدأ التعويض الكامل، الذي ينص على وجوب مراعاة التكافؤ التام بين الضرر والتعويض، وتقييم الأضرار بالرجوع إلى الضحية فقط لا إلى المُنتهِك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6"/>
      </w:r>
      <w:r>
        <w:rPr>
          <w:rStyle w:val="None"/>
          <w:rFonts w:ascii="Times New Roman" w:hAnsi="Times New Roman"/>
          <w:sz w:val="24"/>
          <w:szCs w:val="24"/>
          <w:vertAlign w:val="superscript"/>
          <w:rtl/>
          <w:lang w:val="ar-SA"/>
        </w:rPr>
        <w:t>)</w:t>
      </w:r>
    </w:p>
    <w:p w14:paraId="60AA7C3E" w14:textId="06379856" w:rsidR="00454428" w:rsidRPr="00D61DE9" w:rsidRDefault="00000000" w:rsidP="00D61DE9">
      <w:pPr>
        <w:pStyle w:val="a8"/>
        <w:widowControl w:val="0"/>
        <w:bidi/>
        <w:spacing w:before="120" w:after="120" w:line="360" w:lineRule="auto"/>
        <w:ind w:firstLine="720"/>
        <w:jc w:val="both"/>
        <w:rPr>
          <w:rStyle w:val="None"/>
          <w:lang w:val="ar-SA"/>
        </w:rPr>
      </w:pPr>
      <w:r>
        <w:rPr>
          <w:rStyle w:val="None"/>
          <w:rtl/>
          <w:lang w:val="ar-SA"/>
        </w:rPr>
        <w:t xml:space="preserve">ويعتبر الانتهاك جريمة وفقًا للقانون رقم </w:t>
      </w:r>
      <w:r>
        <w:rPr>
          <w:rStyle w:val="None"/>
          <w:rFonts w:ascii="Times New Roman" w:hAnsi="Times New Roman"/>
          <w:rtl/>
          <w:lang w:val="ar-SA"/>
        </w:rPr>
        <w:t xml:space="preserve">94-102 </w:t>
      </w:r>
      <w:r>
        <w:rPr>
          <w:rStyle w:val="None"/>
          <w:rtl/>
          <w:lang w:val="ar-SA"/>
        </w:rPr>
        <w:t xml:space="preserve">الصادر في </w:t>
      </w:r>
      <w:r>
        <w:rPr>
          <w:rStyle w:val="None"/>
          <w:rFonts w:ascii="Times New Roman" w:hAnsi="Times New Roman"/>
          <w:rtl/>
          <w:lang w:val="ar-SA"/>
        </w:rPr>
        <w:t xml:space="preserve">5 </w:t>
      </w:r>
      <w:r>
        <w:rPr>
          <w:rStyle w:val="None"/>
          <w:rtl/>
          <w:lang w:val="ar-SA"/>
        </w:rPr>
        <w:t xml:space="preserve">فبراير </w:t>
      </w:r>
      <w:r>
        <w:rPr>
          <w:rStyle w:val="None"/>
          <w:rFonts w:ascii="Times New Roman" w:hAnsi="Times New Roman"/>
          <w:rtl/>
          <w:lang w:val="ar-SA"/>
        </w:rPr>
        <w:t xml:space="preserve">1994 </w:t>
      </w:r>
      <w:r>
        <w:rPr>
          <w:rStyle w:val="None"/>
          <w:rtl/>
          <w:lang w:val="ar-SA"/>
        </w:rPr>
        <w:t xml:space="preserve">في المادة الأولى، والقانون رقم </w:t>
      </w:r>
      <w:r>
        <w:rPr>
          <w:rStyle w:val="None"/>
          <w:rFonts w:ascii="Times New Roman" w:hAnsi="Times New Roman"/>
          <w:rtl/>
          <w:lang w:val="ar-SA"/>
        </w:rPr>
        <w:t xml:space="preserve">98-536 </w:t>
      </w:r>
      <w:r>
        <w:rPr>
          <w:rStyle w:val="None"/>
          <w:rtl/>
          <w:lang w:val="ar-SA"/>
        </w:rPr>
        <w:t xml:space="preserve">الصادر في </w:t>
      </w:r>
      <w:r>
        <w:rPr>
          <w:rStyle w:val="None"/>
          <w:rFonts w:ascii="Times New Roman" w:hAnsi="Times New Roman"/>
          <w:rtl/>
          <w:lang w:val="ar-SA"/>
        </w:rPr>
        <w:t xml:space="preserve">1 </w:t>
      </w:r>
      <w:r>
        <w:rPr>
          <w:rStyle w:val="None"/>
          <w:rtl/>
          <w:lang w:val="ar-SA"/>
        </w:rPr>
        <w:t xml:space="preserve">يوليو </w:t>
      </w:r>
      <w:r>
        <w:rPr>
          <w:rStyle w:val="None"/>
          <w:rFonts w:ascii="Times New Roman" w:hAnsi="Times New Roman"/>
          <w:rtl/>
          <w:lang w:val="ar-SA"/>
        </w:rPr>
        <w:t xml:space="preserve">1998 </w:t>
      </w:r>
      <w:r>
        <w:rPr>
          <w:rStyle w:val="None"/>
          <w:rtl/>
          <w:lang w:val="ar-SA"/>
        </w:rPr>
        <w:t xml:space="preserve">في المادة الرابعة، والأمر رقم </w:t>
      </w:r>
      <w:r>
        <w:rPr>
          <w:rStyle w:val="None"/>
          <w:rFonts w:ascii="Times New Roman" w:hAnsi="Times New Roman"/>
          <w:rtl/>
          <w:lang w:val="ar-SA"/>
        </w:rPr>
        <w:t xml:space="preserve">2004-916 </w:t>
      </w:r>
      <w:r>
        <w:rPr>
          <w:rStyle w:val="None"/>
          <w:rtl/>
          <w:lang w:val="ar-SA"/>
        </w:rPr>
        <w:t xml:space="preserve">الصادر في </w:t>
      </w:r>
      <w:r>
        <w:rPr>
          <w:rStyle w:val="None"/>
          <w:rFonts w:ascii="Times New Roman" w:hAnsi="Times New Roman"/>
          <w:rtl/>
          <w:lang w:val="ar-SA"/>
        </w:rPr>
        <w:t xml:space="preserve">19 </w:t>
      </w:r>
      <w:r>
        <w:rPr>
          <w:rStyle w:val="None"/>
          <w:rtl/>
          <w:lang w:val="ar-SA"/>
        </w:rPr>
        <w:t xml:space="preserve">سبتمبر </w:t>
      </w:r>
      <w:r>
        <w:rPr>
          <w:rStyle w:val="None"/>
          <w:rFonts w:ascii="Times New Roman" w:hAnsi="Times New Roman"/>
          <w:rtl/>
          <w:lang w:val="ar-SA"/>
        </w:rPr>
        <w:t>2000</w:t>
      </w:r>
      <w:r>
        <w:rPr>
          <w:rStyle w:val="None"/>
          <w:rtl/>
          <w:lang w:val="ar-SA"/>
        </w:rPr>
        <w:t xml:space="preserve">، المادة </w:t>
      </w:r>
      <w:r>
        <w:rPr>
          <w:rStyle w:val="None"/>
          <w:rFonts w:ascii="Times New Roman" w:hAnsi="Times New Roman"/>
          <w:rtl/>
          <w:lang w:val="ar-SA"/>
        </w:rPr>
        <w:t>3</w:t>
      </w:r>
      <w:r>
        <w:rPr>
          <w:rStyle w:val="None"/>
          <w:rtl/>
          <w:lang w:val="ar-SA"/>
        </w:rPr>
        <w:t xml:space="preserve">، والذي دخل حيز التنفيذ في </w:t>
      </w:r>
      <w:r>
        <w:rPr>
          <w:rStyle w:val="None"/>
          <w:rFonts w:ascii="Times New Roman" w:hAnsi="Times New Roman"/>
          <w:rtl/>
          <w:lang w:val="ar-SA"/>
        </w:rPr>
        <w:t xml:space="preserve">1 </w:t>
      </w:r>
      <w:r>
        <w:rPr>
          <w:rStyle w:val="None"/>
          <w:rtl/>
          <w:lang w:val="ar-SA"/>
        </w:rPr>
        <w:t xml:space="preserve">يناير </w:t>
      </w:r>
      <w:r>
        <w:rPr>
          <w:rStyle w:val="None"/>
          <w:rFonts w:ascii="Times New Roman" w:hAnsi="Times New Roman"/>
          <w:rtl/>
          <w:lang w:val="ar-SA"/>
        </w:rPr>
        <w:t>2002</w:t>
      </w:r>
      <w:r>
        <w:rPr>
          <w:rStyle w:val="None"/>
          <w:rtl/>
          <w:lang w:val="ar-SA"/>
        </w:rPr>
        <w:t xml:space="preserve">، والقانون رقم </w:t>
      </w:r>
      <w:r>
        <w:rPr>
          <w:rStyle w:val="None"/>
          <w:rFonts w:ascii="Times New Roman" w:hAnsi="Times New Roman"/>
          <w:rtl/>
          <w:lang w:val="ar-SA"/>
        </w:rPr>
        <w:t xml:space="preserve">2004-204 </w:t>
      </w:r>
      <w:r>
        <w:rPr>
          <w:rStyle w:val="None"/>
          <w:rtl/>
          <w:lang w:val="ar-SA"/>
        </w:rPr>
        <w:t xml:space="preserve">الصادر في </w:t>
      </w:r>
      <w:r>
        <w:rPr>
          <w:rStyle w:val="None"/>
          <w:rFonts w:ascii="Times New Roman" w:hAnsi="Times New Roman"/>
          <w:rtl/>
          <w:lang w:val="ar-SA"/>
        </w:rPr>
        <w:t xml:space="preserve">9 </w:t>
      </w:r>
      <w:r>
        <w:rPr>
          <w:rStyle w:val="None"/>
          <w:rtl/>
          <w:lang w:val="ar-SA"/>
        </w:rPr>
        <w:t xml:space="preserve">مارس </w:t>
      </w:r>
      <w:r>
        <w:rPr>
          <w:rStyle w:val="None"/>
          <w:rFonts w:ascii="Times New Roman" w:hAnsi="Times New Roman"/>
          <w:rtl/>
          <w:lang w:val="ar-SA"/>
        </w:rPr>
        <w:t>2004</w:t>
      </w:r>
      <w:r>
        <w:rPr>
          <w:rStyle w:val="None"/>
          <w:rtl/>
          <w:lang w:val="ar-SA"/>
        </w:rPr>
        <w:t xml:space="preserve">، المادة </w:t>
      </w:r>
      <w:r>
        <w:rPr>
          <w:rStyle w:val="None"/>
          <w:rFonts w:ascii="Times New Roman" w:hAnsi="Times New Roman"/>
          <w:rtl/>
          <w:lang w:val="ar-SA"/>
        </w:rPr>
        <w:t xml:space="preserve">34 </w:t>
      </w:r>
      <w:r>
        <w:rPr>
          <w:rStyle w:val="None"/>
          <w:rtl/>
          <w:lang w:val="ar-SA"/>
        </w:rPr>
        <w:t xml:space="preserve">ط؛ حيث يُعتبر أي نشر للكتابات، أو المؤلفات الموسيقية، أو الرسومات، أو غيرها من الأعمال الحصرية انتهاكًا، ويُعتبر أي انتهاك جريمة، ويُعاقب كل من يُخالف أحكام هذا القانون في فرنسا، سواءً أكان منشورًا في فرنسا أم خارجها، بالسجن لمدة ثلاث سنواتٍ، وغرامة قدرها </w:t>
      </w:r>
      <w:r>
        <w:rPr>
          <w:rStyle w:val="None"/>
          <w:rFonts w:ascii="Times New Roman" w:hAnsi="Times New Roman"/>
          <w:rtl/>
          <w:lang w:val="ar-SA"/>
        </w:rPr>
        <w:t xml:space="preserve">300,000 </w:t>
      </w:r>
      <w:r>
        <w:rPr>
          <w:rStyle w:val="None"/>
          <w:rtl/>
          <w:lang w:val="ar-SA"/>
        </w:rPr>
        <w:t xml:space="preserve">يورو، ويُعاقب كل من يبيع أو يُصدر أو يُستورد الأعمال المُخالفة بنفس العقوبات، وفي حال ارتكاب جماعة إجرامية منظمة للجرائم المنصوص عليها في هذه المادة، تُشدد العقوبة إلى السجن لمدة خمس سنواتٍ، وغرامة قدرها </w:t>
      </w:r>
      <w:r>
        <w:rPr>
          <w:rStyle w:val="None"/>
          <w:rFonts w:ascii="Times New Roman" w:hAnsi="Times New Roman"/>
          <w:rtl/>
          <w:lang w:val="ar-SA"/>
        </w:rPr>
        <w:t xml:space="preserve">500,000 </w:t>
      </w:r>
      <w:r>
        <w:rPr>
          <w:rStyle w:val="None"/>
          <w:rtl/>
          <w:lang w:val="ar-SA"/>
        </w:rPr>
        <w:t>يورو</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87"/>
      </w:r>
      <w:r>
        <w:rPr>
          <w:rStyle w:val="None"/>
          <w:rFonts w:ascii="Times New Roman" w:hAnsi="Times New Roman"/>
          <w:vertAlign w:val="superscript"/>
          <w:rtl/>
          <w:lang w:val="ar-SA"/>
        </w:rPr>
        <w:t>)</w:t>
      </w:r>
      <w:r w:rsidR="00D61DE9">
        <w:rPr>
          <w:rStyle w:val="None"/>
          <w:rFonts w:ascii="Times New Roman" w:hAnsi="Times New Roman"/>
          <w:vertAlign w:val="superscript"/>
          <w:rtl/>
          <w:lang w:val="ar-SA"/>
        </w:rPr>
        <w:t xml:space="preserve"> </w:t>
      </w:r>
      <w:r>
        <w:rPr>
          <w:rStyle w:val="None"/>
          <w:rtl/>
          <w:lang w:val="ar-SA"/>
        </w:rPr>
        <w:t xml:space="preserve">وفقًا للمادة </w:t>
      </w:r>
      <w:r>
        <w:rPr>
          <w:rStyle w:val="None"/>
          <w:rFonts w:ascii="Times New Roman" w:hAnsi="Times New Roman"/>
        </w:rPr>
        <w:t>L121-1</w:t>
      </w:r>
      <w:r>
        <w:rPr>
          <w:rStyle w:val="None"/>
          <w:rtl/>
          <w:lang w:val="ar-SA"/>
        </w:rPr>
        <w:t xml:space="preserve"> من قانون الملكية الفكرية الفرنسي، </w:t>
      </w:r>
      <w:r>
        <w:rPr>
          <w:rStyle w:val="None"/>
          <w:rtl/>
          <w:lang w:val="ar-SA"/>
        </w:rPr>
        <w:lastRenderedPageBreak/>
        <w:t>يتمتع المؤلف بحق احترام اسمه وأهليته وعمله، هذا الحق مرتبط بشخصه، وهو دائم وغير قابل للتصرف أو التقادم، وينتقل هذا الحق عند وفاته إلى ورثته، ويجوز منح ممارسته لطرف ثالث بموجب أحكام الوصية، ويتمتع المؤلف بالحق الحصري، ويتمتع هذا الحق بالسمات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vertAlign w:val="superscript"/>
          <w:lang w:val="ar-SA"/>
        </w:rPr>
        <w:footnoteReference w:id="488"/>
      </w:r>
      <w:r>
        <w:rPr>
          <w:rStyle w:val="None"/>
          <w:rFonts w:ascii="Times New Roman" w:hAnsi="Times New Roman"/>
          <w:vertAlign w:val="superscript"/>
          <w:rtl/>
          <w:lang w:val="ar-SA"/>
        </w:rPr>
        <w:t>)</w:t>
      </w:r>
    </w:p>
    <w:p w14:paraId="076D419A"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يرتبط هذا الحق بشخص المؤلف</w:t>
      </w:r>
      <w:r>
        <w:rPr>
          <w:rStyle w:val="None"/>
          <w:rFonts w:ascii="Times New Roman" w:hAnsi="Times New Roman"/>
          <w:sz w:val="24"/>
          <w:szCs w:val="24"/>
          <w:rtl/>
          <w:lang w:val="ar-SA"/>
        </w:rPr>
        <w:t>.</w:t>
      </w:r>
    </w:p>
    <w:p w14:paraId="057A53B7"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يعتبر هذا الحق دائم وغير قابل للتصرف أو التقادم</w:t>
      </w:r>
      <w:r>
        <w:rPr>
          <w:rStyle w:val="None"/>
          <w:rFonts w:ascii="Times New Roman" w:hAnsi="Times New Roman"/>
          <w:sz w:val="24"/>
          <w:szCs w:val="24"/>
          <w:rtl/>
          <w:lang w:val="ar-SA"/>
        </w:rPr>
        <w:t>.</w:t>
      </w:r>
    </w:p>
    <w:p w14:paraId="40EA51BF"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وينتقل هذا الحق عند وفاته إلى ورثته</w:t>
      </w:r>
      <w:r>
        <w:rPr>
          <w:rStyle w:val="None"/>
          <w:rFonts w:ascii="Times New Roman" w:hAnsi="Times New Roman"/>
          <w:sz w:val="24"/>
          <w:szCs w:val="24"/>
          <w:rtl/>
          <w:lang w:val="ar-SA"/>
        </w:rPr>
        <w:t>.</w:t>
      </w:r>
    </w:p>
    <w:p w14:paraId="784EE40D"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ويجوز منح ممارسته لطرف ثالث بموجب أحكام الوصية</w:t>
      </w:r>
      <w:r>
        <w:rPr>
          <w:rStyle w:val="None"/>
          <w:rFonts w:ascii="Times New Roman" w:hAnsi="Times New Roman"/>
          <w:sz w:val="24"/>
          <w:szCs w:val="24"/>
          <w:rtl/>
          <w:lang w:val="ar-SA"/>
        </w:rPr>
        <w:t>.</w:t>
      </w:r>
    </w:p>
    <w:p w14:paraId="058FB47F"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يهدف قانون الجمهورية الرقمية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قانون رقم </w:t>
      </w:r>
      <w:r>
        <w:rPr>
          <w:rStyle w:val="None"/>
          <w:rFonts w:ascii="Times New Roman" w:hAnsi="Times New Roman"/>
          <w:sz w:val="24"/>
          <w:szCs w:val="24"/>
          <w:rtl/>
          <w:lang w:val="ar-SA"/>
        </w:rPr>
        <w:t xml:space="preserve">2016-1321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 xml:space="preserve">2016) </w:t>
      </w:r>
      <w:r>
        <w:rPr>
          <w:rStyle w:val="None"/>
          <w:rFonts w:ascii="Arial Unicode MS" w:hAnsi="Arial Unicode MS" w:cs="Times New Roman" w:hint="cs"/>
          <w:sz w:val="24"/>
          <w:szCs w:val="24"/>
          <w:rtl/>
          <w:lang w:val="ar-SA"/>
        </w:rPr>
        <w:t>إلى تعزيز إتاحة البيانات والمعرفة وتداولها، وضمان بيئة رقمية مفتوحة تحترم خصوصية مستخدمي الإنترنت، وتسهيل وصول المواطنين إلى المعلومات الرقمية، وينص القانون على أحكام محددة تتعلق بالوصول المفتوح إلى المنشورات العلمية،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فترات حظر محددة، تُمكّن هذه الأحكام المؤلفين من إيداع أعمالهم في مستودعات الوصول المفتوح بعد انقضاء فترات الحظر المحددة، حتى في حال منحهم حقوقًا حصرية للناشر، معزّزةً الوصول المفتوح مع مراعاة فترات الحظر المحددة في التشريع، والتي تحمي حقوق الملكية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9"/>
      </w:r>
      <w:r>
        <w:rPr>
          <w:rStyle w:val="None"/>
          <w:rFonts w:ascii="Times New Roman" w:hAnsi="Times New Roman"/>
          <w:sz w:val="24"/>
          <w:szCs w:val="24"/>
          <w:vertAlign w:val="superscript"/>
          <w:rtl/>
          <w:lang w:val="ar-SA"/>
        </w:rPr>
        <w:t>)</w:t>
      </w:r>
    </w:p>
    <w:p w14:paraId="750C23A8"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المصدر الرئيسي لتشريعات حقوق الملكية الفكرية في فرنسا هو قانون الملكية الفكرية، الصادر بموجب قانون صادر في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وقت صدور هذا القانون، كان قانون حقوق الطبع والنشر الفرنسي خاضعًا لقانون صادر 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xml:space="preserve">، والذي عُدِّل بقانون صادر في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1985</w:t>
      </w:r>
      <w:r>
        <w:rPr>
          <w:rStyle w:val="None"/>
          <w:rFonts w:ascii="Arial Unicode MS" w:hAnsi="Arial Unicode MS" w:cs="Times New Roman" w:hint="cs"/>
          <w:sz w:val="24"/>
          <w:szCs w:val="24"/>
          <w:rtl/>
          <w:lang w:val="ar-SA"/>
        </w:rPr>
        <w:t xml:space="preserve">، والذي تم دمج أحكامه في قانون الملكية الفكرية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ولأنَّ فرنسا عضو في الاتحاد الأوروبي، يجب أنْ يُقرأ تفسير وتطبيق التشريعات الفرنسية من قِبل السلطة القضائية وفقًا للتوجيهات واللوائح الأوروبية ذات الأثر المباشر،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غالبًا ما تُحيل المحاكم الفرنسية والمحاكم الوطنية الأخرى في الاتحاد الأوروبي المسائل القانونية إلى محكمة العدل الأوروبية، التي تُلزم قراراتها المحاكم الوطنية، ونتيجةً لذلك يُضاف ويُحدَّث قانون حقوق الطبع والنشر الفرنسي باستمرار من مصادر داخلية وخارجية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0"/>
      </w:r>
      <w:r>
        <w:rPr>
          <w:rStyle w:val="None"/>
          <w:rFonts w:ascii="Times New Roman" w:hAnsi="Times New Roman"/>
          <w:sz w:val="24"/>
          <w:szCs w:val="24"/>
          <w:vertAlign w:val="superscript"/>
          <w:rtl/>
          <w:lang w:val="ar-SA"/>
        </w:rPr>
        <w:t>)</w:t>
      </w:r>
    </w:p>
    <w:p w14:paraId="6DC0D4B9"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من ناحية أخرى؛ تفتخر فرنسا بإطار قانوني متطوِّر وشامل لحماية الملكية الفكرية، يتماشى مع توجيهات الاتحاد الأوروبي والمعايير الدولية، ويتجلَّى التزام الدولة بتعزيز الابتكار والإبداع في قوانينها الصارمة، التي تنظم براءات الاختراع، والعلامات التجارية، وحقوق التأليف والنشر، والمؤشرات الجغرافية، وتُدار براءات الاختراع في فرنسا من قِبل المعهد الوطني الفرنسي للملكية الصناعية، الذي يلعب دورًا محوريًا في فحص ومنح براءات الاختراع؛ حيث يوفر المعهد منصةً لتسجيل براءات الاختراع؛ ممَّا يضمن حماية حقوق المخترعين، وبصفتها مشاركة في المحكمة الموحدة لبراءات الاختراع، تُساهم فرنسا في نظام موحد للتقاضي بشأن براءات الاختراع في جميع دول الاتحاد </w:t>
      </w:r>
      <w:r>
        <w:rPr>
          <w:rStyle w:val="None"/>
          <w:rFonts w:ascii="Arial Unicode MS" w:hAnsi="Arial Unicode MS" w:cs="Times New Roman" w:hint="cs"/>
          <w:sz w:val="24"/>
          <w:szCs w:val="24"/>
          <w:rtl/>
          <w:lang w:val="ar-SA"/>
        </w:rPr>
        <w:lastRenderedPageBreak/>
        <w:t>الأوروبي، تُعزّز المحكمة الموحدة للبراءات اليقين القانوني، والاتساق في منازعات براءات الاختراع، كما يحمي قانون حقوق التأليف والنشر، الذي يحكمه قانون الملكية الفكرية الفرنسي، حقوق المؤلفين والمبدعين، ويشمل القانون مجموعةً واسعةً من الأعمال الإبداعية، بما في ذلك الإبداعات الأدبية والفنية والبرمجيات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1"/>
      </w:r>
      <w:r>
        <w:rPr>
          <w:rStyle w:val="None"/>
          <w:rFonts w:ascii="Times New Roman" w:hAnsi="Times New Roman"/>
          <w:sz w:val="24"/>
          <w:szCs w:val="24"/>
          <w:vertAlign w:val="superscript"/>
          <w:rtl/>
          <w:lang w:val="ar-SA"/>
        </w:rPr>
        <w:t>)</w:t>
      </w:r>
    </w:p>
    <w:p w14:paraId="700296AB" w14:textId="69648CAC"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وتُلزم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w:t>
      </w:r>
      <w:r>
        <w:rPr>
          <w:rStyle w:val="None"/>
          <w:rFonts w:ascii="Times New Roman" w:hAnsi="Times New Roman"/>
          <w:sz w:val="24"/>
          <w:szCs w:val="24"/>
          <w:rtl/>
          <w:lang w:val="ar-SA"/>
        </w:rPr>
        <w:t>(</w:t>
      </w:r>
      <w:r>
        <w:rPr>
          <w:rStyle w:val="None"/>
          <w:rFonts w:ascii="Times New Roman" w:hAnsi="Times New Roman"/>
          <w:sz w:val="24"/>
          <w:szCs w:val="24"/>
          <w:lang w:val="fr-FR"/>
        </w:rPr>
        <w:t>TRIPS</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والتي وقعت عليها فرنسا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أعضاءَ منظمة التجارة العالمية  بالنص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تطبيق إجراءات وعقوبات جنائية، على الأقل في حالات التقليد المتعمد للعلامات التجارية أو قرصنة حقوق الطبع والنشر على نطاق تجاري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يجوز لأعضاء منظمة التجارة العالمية تجاوز هذا الالتزام؛ حيث تنص الجملة الأخيرة من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على أنَّ أعضاء منظمة التجارة العالمية يتمتعون بالحرية في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تطبيق إجراءات وعقوبات جنائية في حالات عديدة من انتهاك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2"/>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Pr>
        <w:t>L121-1</w:t>
      </w:r>
      <w:r>
        <w:rPr>
          <w:rStyle w:val="None"/>
          <w:rFonts w:ascii="Arial Unicode MS" w:hAnsi="Arial Unicode MS" w:cs="Times New Roman" w:hint="cs"/>
          <w:sz w:val="24"/>
          <w:szCs w:val="24"/>
          <w:rtl/>
          <w:lang w:val="ar-SA"/>
        </w:rPr>
        <w:t xml:space="preserve"> من قانون الملكية الفكرية الفرنسي، على أنَّ المؤلف يتمتع بحق احترام اسمه وأهليته وعمله؛ بحيث يصبح هذا الحق مرتبطًا بشخصه دون عن غيره، ولا يحق لأي فرد استغلال ذلك الحق دون الإذن من صاحبه،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غير قابل للتصرف أو التقادم، كما يتم توريث هذا الحق إلى ورثة المالك بعد وفاته، ويجوز منح ممارسته لطرف ثالث بموجب أحكام الوصية، ويتمتع المؤلف بالحق الحصري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3"/>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تنقسم الحقوق وفقًا للمادة</w:t>
      </w:r>
      <w:r>
        <w:rPr>
          <w:rStyle w:val="None"/>
          <w:rFonts w:ascii="Times New Roman" w:hAnsi="Times New Roman"/>
          <w:sz w:val="24"/>
          <w:szCs w:val="24"/>
        </w:rPr>
        <w:t xml:space="preserve"> L121-1</w:t>
      </w:r>
      <w:r>
        <w:rPr>
          <w:rStyle w:val="None"/>
          <w:rFonts w:ascii="Arial Unicode MS" w:hAnsi="Arial Unicode MS" w:cs="Times New Roman" w:hint="cs"/>
          <w:sz w:val="24"/>
          <w:szCs w:val="24"/>
          <w:rtl/>
          <w:lang w:val="ar-SA"/>
        </w:rPr>
        <w:t xml:space="preserve"> من قانون الملكية الفكرية الفرنسي إلى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94"/>
      </w:r>
      <w:r>
        <w:rPr>
          <w:rStyle w:val="None"/>
          <w:rFonts w:ascii="Times New Roman" w:hAnsi="Times New Roman"/>
          <w:sz w:val="24"/>
          <w:szCs w:val="24"/>
          <w:vertAlign w:val="superscript"/>
          <w:rtl/>
          <w:lang w:val="ar-SA"/>
        </w:rPr>
        <w:t>)</w:t>
      </w:r>
    </w:p>
    <w:p w14:paraId="2E5B0C31"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المعنوي</w:t>
      </w:r>
      <w:r>
        <w:rPr>
          <w:rStyle w:val="None"/>
          <w:rFonts w:ascii="Times New Roman" w:hAnsi="Times New Roman"/>
          <w:sz w:val="24"/>
          <w:szCs w:val="24"/>
          <w:rtl/>
          <w:lang w:val="ar-SA"/>
        </w:rPr>
        <w:t xml:space="preserve">: </w:t>
      </w:r>
      <w:r>
        <w:rPr>
          <w:rStyle w:val="None"/>
          <w:rFonts w:cs="Times New Roman"/>
          <w:sz w:val="24"/>
          <w:szCs w:val="24"/>
          <w:rtl/>
          <w:lang w:val="ar-SA"/>
        </w:rPr>
        <w:t>تُرسّخ حقوق المؤلفين الرابطة الوثيقة بين المؤلفين وإبداعهم، باعتباره تعبيرًا شخصيًا عنهم، من خلال منحهم امتيازاتٍ معنويةً على أعمالهم، وترتبط هذه الحقوق مباشرةً بالمؤلف كشخص، وهي دائمة، غير قابلة للتصرف، ولا تسقط بالتقادم، كما تظل الحقوق المعنوية ساريةً بعد وفاة المؤلف، وحتى بعد انقضاء الحقوق المادية، ويجوز لورثة المؤلف ممارسة هذه الحقوق</w:t>
      </w:r>
      <w:r>
        <w:rPr>
          <w:rStyle w:val="None"/>
          <w:rFonts w:ascii="Times New Roman" w:hAnsi="Times New Roman"/>
          <w:sz w:val="24"/>
          <w:szCs w:val="24"/>
          <w:rtl/>
          <w:lang w:val="ar-SA"/>
        </w:rPr>
        <w:t>.</w:t>
      </w:r>
    </w:p>
    <w:p w14:paraId="75EF8731"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صلاحيات المؤلف</w:t>
      </w:r>
      <w:r>
        <w:rPr>
          <w:rStyle w:val="None"/>
          <w:rFonts w:ascii="Times New Roman" w:hAnsi="Times New Roman"/>
          <w:sz w:val="24"/>
          <w:szCs w:val="24"/>
          <w:rtl/>
          <w:lang w:val="ar-SA"/>
        </w:rPr>
        <w:t xml:space="preserve">: </w:t>
      </w:r>
      <w:r>
        <w:rPr>
          <w:rStyle w:val="None"/>
          <w:rFonts w:cs="Times New Roman"/>
          <w:sz w:val="24"/>
          <w:szCs w:val="24"/>
          <w:rtl/>
          <w:lang w:val="ar-SA"/>
        </w:rPr>
        <w:t>ينص قانون الملكية الفكرية الفرنسي على أنَّ للمؤلف وحده الحق في الإفصاح عن عمله؛ حيث يُقر قانون الملكية الفكرية الفرنسي بأنَّه وحده من يملك الحق في نشر عمله أو عدم نشره، كما يحق لأي مؤلف لعمل ما أنْ يربط اسمه بهذا العمل، وللمؤلف الحق في الاعتراض على أي تغيير، أو حذف، أو إضافة من شأنها أنْ تُغير العمل الأصلي، كما يتمتع المؤلف بالحق في تعديل العمل، أو التوقف عن استخدامه في أي وقت طوال مدة عقده، ودون أي التزام بتبرير هذا القرار</w:t>
      </w:r>
      <w:r>
        <w:rPr>
          <w:rStyle w:val="None"/>
          <w:rFonts w:ascii="Times New Roman" w:hAnsi="Times New Roman"/>
          <w:sz w:val="24"/>
          <w:szCs w:val="24"/>
          <w:rtl/>
          <w:lang w:val="ar-SA"/>
        </w:rPr>
        <w:t>.</w:t>
      </w:r>
    </w:p>
    <w:p w14:paraId="01226960"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الاقتصادية</w:t>
      </w:r>
      <w:r>
        <w:rPr>
          <w:rStyle w:val="None"/>
          <w:rFonts w:ascii="Times New Roman" w:hAnsi="Times New Roman"/>
          <w:sz w:val="24"/>
          <w:szCs w:val="24"/>
          <w:rtl/>
          <w:lang w:val="ar-SA"/>
        </w:rPr>
        <w:t xml:space="preserve">: </w:t>
      </w:r>
      <w:r>
        <w:rPr>
          <w:rStyle w:val="None"/>
          <w:rFonts w:cs="Times New Roman"/>
          <w:sz w:val="24"/>
          <w:szCs w:val="24"/>
          <w:rtl/>
          <w:lang w:val="ar-SA"/>
        </w:rPr>
        <w:t>حيث يحق للمؤلفين إعادة إنتاج أعمالهم، والحصول على أجر مقابل ذلك، وتُعَدُّ الحقوق الاقتصادية حصريةً، وللمؤلف وحده تحديد شروط استخدام العمل، لا سيما عند ترخيص الآخرين باستخدامه، وتعتبر الحقوق الاقتصادية محدودة زمنيًا، على عكس الحقوق المعنوية التي تُعتبر أبدية</w:t>
      </w:r>
      <w:r>
        <w:rPr>
          <w:rStyle w:val="None"/>
          <w:rFonts w:ascii="Times New Roman" w:hAnsi="Times New Roman"/>
          <w:sz w:val="24"/>
          <w:szCs w:val="24"/>
          <w:rtl/>
          <w:lang w:val="ar-SA"/>
        </w:rPr>
        <w:t>.</w:t>
      </w:r>
    </w:p>
    <w:p w14:paraId="2031440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45C731B"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25" w:name="_Toc227251452"/>
      <w:r>
        <w:rPr>
          <w:rStyle w:val="None"/>
          <w:rFonts w:ascii="Arial Unicode MS" w:hAnsi="Arial Unicode MS" w:cs="Times New Roman" w:hint="cs"/>
          <w:b/>
          <w:bCs/>
          <w:sz w:val="32"/>
          <w:szCs w:val="32"/>
          <w:rtl/>
          <w:lang w:val="ar-SA"/>
        </w:rPr>
        <w:lastRenderedPageBreak/>
        <w:t>الفصل الرابع</w:t>
      </w:r>
      <w:bookmarkEnd w:id="225"/>
    </w:p>
    <w:p w14:paraId="19B8CBF8"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26" w:name="_Toc227251453"/>
      <w:r>
        <w:rPr>
          <w:rStyle w:val="None"/>
          <w:rFonts w:ascii="Arial Unicode MS" w:hAnsi="Arial Unicode MS" w:cs="Times New Roman" w:hint="cs"/>
          <w:b/>
          <w:bCs/>
          <w:sz w:val="32"/>
          <w:szCs w:val="32"/>
          <w:rtl/>
          <w:lang w:val="ar-SA"/>
        </w:rPr>
        <w:t>الحماية الإجرائية للملكية الفكرية في البيئة الرقمية</w:t>
      </w:r>
      <w:bookmarkEnd w:id="226"/>
    </w:p>
    <w:p w14:paraId="6175B7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الإجرائية للملكية الفكرية في البيئة الرقمية تقوم على مجموعة من الإجراءات القانونية، التي تضمن حقوق أصحاب المصنفات الرقمية من الانتهاكات، كما تعمل على تمكين أصحاب الحقوق اللجوء إلى القضاء للمطالبة بحقهم من هذه الانتهاكات، والمطالبة بالتعويض المناسب من جراء التعدي؛ لذا تم تقسيم هذا الفصل إلى مبحثين وهما</w:t>
      </w:r>
      <w:r>
        <w:rPr>
          <w:rStyle w:val="None"/>
          <w:rFonts w:ascii="Times New Roman" w:hAnsi="Times New Roman"/>
          <w:sz w:val="24"/>
          <w:szCs w:val="24"/>
          <w:rtl/>
          <w:lang w:val="ar-SA"/>
        </w:rPr>
        <w:t>:</w:t>
      </w:r>
    </w:p>
    <w:p w14:paraId="7C206F60" w14:textId="77777777" w:rsidR="00454428" w:rsidRDefault="00000000">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الإجراءات القانونية لحماية الملكية الفكرية في البيئة الرقمية</w:t>
      </w:r>
      <w:r>
        <w:rPr>
          <w:rStyle w:val="None"/>
          <w:rFonts w:ascii="Times New Roman" w:hAnsi="Times New Roman"/>
          <w:sz w:val="24"/>
          <w:szCs w:val="24"/>
          <w:rtl/>
          <w:lang w:val="ar-SA"/>
        </w:rPr>
        <w:t>.</w:t>
      </w:r>
    </w:p>
    <w:p w14:paraId="035DA97E" w14:textId="77777777" w:rsidR="00454428" w:rsidRDefault="00000000">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 xml:space="preserve">المبحث الثاني </w:t>
      </w:r>
      <w:r>
        <w:rPr>
          <w:rStyle w:val="None"/>
          <w:rFonts w:ascii="Arial Unicode MS" w:hAnsi="Arial Unicode MS" w:cs="Times New Roman" w:hint="cs"/>
          <w:sz w:val="24"/>
          <w:szCs w:val="24"/>
          <w:rtl/>
          <w:lang w:val="ar-SA"/>
        </w:rPr>
        <w:t>الإجراءات التقنية لحماية الملكية الفكرية في البيئة الرقمية</w:t>
      </w:r>
      <w:r>
        <w:rPr>
          <w:rStyle w:val="None"/>
          <w:rFonts w:ascii="Times New Roman" w:hAnsi="Times New Roman"/>
          <w:sz w:val="24"/>
          <w:szCs w:val="24"/>
          <w:rtl/>
          <w:lang w:val="ar-SA"/>
        </w:rPr>
        <w:t>.</w:t>
      </w:r>
    </w:p>
    <w:p w14:paraId="3B3C04B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8EA8D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3EF31D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56FB3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5F1249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F16392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9B8E2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4A805E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CF6D25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F16F7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04ED43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B31337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98FB65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9521EB6"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E710B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D0303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AD74D4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BBA03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8FD28B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31058D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27" w:name="_Toc227251454"/>
      <w:r>
        <w:rPr>
          <w:rStyle w:val="None"/>
          <w:rFonts w:ascii="Arial Unicode MS" w:hAnsi="Arial Unicode MS" w:cs="Times New Roman" w:hint="cs"/>
          <w:b/>
          <w:bCs/>
          <w:sz w:val="32"/>
          <w:szCs w:val="32"/>
          <w:rtl/>
          <w:lang w:val="ar-SA"/>
        </w:rPr>
        <w:lastRenderedPageBreak/>
        <w:t>المبحث الأول</w:t>
      </w:r>
      <w:bookmarkEnd w:id="227"/>
    </w:p>
    <w:p w14:paraId="752DE25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28" w:name="_Toc227251455"/>
      <w:r>
        <w:rPr>
          <w:rStyle w:val="None"/>
          <w:rFonts w:ascii="Arial Unicode MS" w:hAnsi="Arial Unicode MS" w:cs="Times New Roman" w:hint="cs"/>
          <w:b/>
          <w:bCs/>
          <w:sz w:val="32"/>
          <w:szCs w:val="32"/>
          <w:rtl/>
          <w:lang w:val="ar-SA"/>
        </w:rPr>
        <w:t>الإجراءات القانونية لحماية الملكية الفكرية في البيئة الرقمية</w:t>
      </w:r>
      <w:bookmarkEnd w:id="228"/>
    </w:p>
    <w:p w14:paraId="7C50E5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يلزم لها ضوابط لحمايتها من التلاعب من قبل الأشخاص الذين يريدون أنْ تعدل في محتوى المصنف الإلكتروني أو براءة الاختراع لدى الآخرين وتغير معلوماته الإلكترونية حتى تنسبه لنفسها، وذلك عن طريق وضع ضوابط واضحة لمن يتعدى على حقوق الغير، وتوضيح الترخيص الإجباري للغير، وطرق التصرف في حالته، ونقله، وأحقية التصرف في البيئة الإلكترونية</w:t>
      </w:r>
      <w:r>
        <w:rPr>
          <w:rStyle w:val="None"/>
          <w:rFonts w:ascii="Times New Roman" w:hAnsi="Times New Roman"/>
          <w:sz w:val="24"/>
          <w:szCs w:val="24"/>
          <w:rtl/>
          <w:lang w:val="ar-SA"/>
        </w:rPr>
        <w:t>.</w:t>
      </w:r>
    </w:p>
    <w:p w14:paraId="46719A1E" w14:textId="77777777" w:rsidR="00454428" w:rsidRDefault="00000000">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الترخيص الإجباري</w:t>
      </w:r>
      <w:r>
        <w:rPr>
          <w:rStyle w:val="None"/>
          <w:rFonts w:ascii="Times New Roman" w:hAnsi="Times New Roman"/>
          <w:sz w:val="24"/>
          <w:szCs w:val="24"/>
          <w:rtl/>
          <w:lang w:val="ar-SA"/>
        </w:rPr>
        <w:t>.</w:t>
      </w:r>
    </w:p>
    <w:p w14:paraId="0F3246FF" w14:textId="77777777" w:rsidR="00454428" w:rsidRDefault="00000000">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الإثبات والتحقيق والضبط الفني في البيئة الرقمية</w:t>
      </w:r>
      <w:r>
        <w:rPr>
          <w:rStyle w:val="None"/>
          <w:rFonts w:ascii="Times New Roman" w:hAnsi="Times New Roman"/>
          <w:sz w:val="24"/>
          <w:szCs w:val="24"/>
          <w:rtl/>
          <w:lang w:val="ar-SA"/>
        </w:rPr>
        <w:t>.</w:t>
      </w:r>
    </w:p>
    <w:p w14:paraId="16DA4CC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C115B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D6BAF2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72B4D8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4AE0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95CF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890DBC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4B726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17093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6D6F37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F47A40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6D75E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451812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5D390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065E83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89D8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34096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E0625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E290C4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29" w:name="_Toc227251456"/>
      <w:r>
        <w:rPr>
          <w:rStyle w:val="None"/>
          <w:rFonts w:ascii="Arial Unicode MS" w:hAnsi="Arial Unicode MS" w:cs="Times New Roman" w:hint="cs"/>
          <w:b/>
          <w:bCs/>
          <w:sz w:val="32"/>
          <w:szCs w:val="32"/>
          <w:rtl/>
          <w:lang w:val="ar-SA"/>
        </w:rPr>
        <w:lastRenderedPageBreak/>
        <w:t>المطلب الأول</w:t>
      </w:r>
      <w:bookmarkEnd w:id="229"/>
    </w:p>
    <w:p w14:paraId="37C9D35E"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0" w:name="_Toc227251457"/>
      <w:r>
        <w:rPr>
          <w:rStyle w:val="None"/>
          <w:rFonts w:ascii="Arial Unicode MS" w:hAnsi="Arial Unicode MS" w:cs="Times New Roman" w:hint="cs"/>
          <w:b/>
          <w:bCs/>
          <w:sz w:val="32"/>
          <w:szCs w:val="32"/>
          <w:rtl/>
          <w:lang w:val="ar-SA"/>
        </w:rPr>
        <w:t>الترخيص الإجباري</w:t>
      </w:r>
      <w:bookmarkEnd w:id="230"/>
    </w:p>
    <w:p w14:paraId="54BE9E7B"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إنَّ المخترع منح حق استغلال براءة الاختراع حصريًا، كنتيجة للموازنة بين منفعة المجتمع من هذا الاختراع، وحق المخترع باستغلال الاختراع حصريًا والتصرف به ضمن مدة محددة، إلا أنَّه في حال اختلال هذه الموازنة يستدعى ذلك تدخل الجهة المختصة</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 xml:space="preserve">بإصدار الترخيص الإجباري قانونيًا؛ لإعادة هذا التوازن، ويقع الترخيص الإجباري على مالك براءة الاختراع، ضمن قيود معينة حددها المشرع الدولي وأخذت بها القوانين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D2ACA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الترخيص الإجباري</w:t>
      </w:r>
      <w:r>
        <w:rPr>
          <w:rStyle w:val="None"/>
          <w:rFonts w:ascii="Times New Roman" w:hAnsi="Times New Roman"/>
          <w:b/>
          <w:bCs/>
          <w:sz w:val="28"/>
          <w:szCs w:val="28"/>
          <w:rtl/>
          <w:lang w:val="ar-SA"/>
        </w:rPr>
        <w:t>:</w:t>
      </w:r>
    </w:p>
    <w:p w14:paraId="40363F9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يُعَدُّ الترخيص من أدوات نقل التكنولوجيا المهمة في العصر الحالي، وهو أمر استلزمته العدالة والموازنة بين حق المجتمع وحق المخترع أو المؤلف؛ حيث إنَّ حق المخترع باستغلال اختراع يعتبر غير مطلق، وإنْ كان المنظم أعطاه بعض المزايا لكونه هو صاحب الفضل في وجود الاختراع للمجتمع إلا أنَّه قد يكون ملزمًا بالترخيص، وتنقسم التراخيص إلى نوعين، اختيار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وهو يكون بين رضا الأطراف، وهذا ورد مسماه في النظام السعودي تحت مسمى الترخيص الاتفاق، أما الترخيص الإجباري، الذي تقوم به جهة الإدارة بدون رضا أطرافه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C322AD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فقد عرفت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الترخيص الإجباري من نظام براءات الاختراع والتصميمات التخطيطية للدارات المتكاملة، والأصناف النباتية، والنماذج الصناعية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الإذن للغير باستغلال موضوع حماية، دون موافقة مالك وثيقة الحماية، وفقًا للأحكام المنصوص عليها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جاءت بتعريف الترخيص التعاقدي أيضًا؛ لما له ارتباط بالترخيص الإجباري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عقد يخول بمقتضاه مالك وثيقة الحماية طرفًا آخر بعض أو جميع حقوقه في استغلال تلك الوثيقة، مدة معينة لقاء أجر محدد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A17F2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وأشار هذا التعريف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يمنح من قبل جهة مختصة في حال سوء استعمال البراءة، شريطة توافر المقدرة لدى طالب الترخيص لاستغلال الاختراع، إلا أنَّه قصر الترخيص الإجباري على حالة سوء استعمال البراءة، فلم يتطرق إلى حالات وقوع الترخيص الإجباري في حالات الطوارئ، أو الأمن القومي، أو المصلحة العامة، كما أكتفى بذكر شرط وحيد للترخيص الإجباري، وهو المقدرة على استغلال الاختراع وأهمل باقي الشروط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97AB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لطرف جديد أنْ يستعمل مزايا الاختراع، دون الخضوع؛ لموافقة صاحب براءة الاختراع مع ضوابط معينة وتنظم تلك الضوابط طبقًا للنصوص الواردة في النظام السعودي، والترخيص التعاقدي هنا يعتبر هو اتفاق يتم بين </w:t>
      </w:r>
      <w:r>
        <w:rPr>
          <w:rStyle w:val="None"/>
          <w:rFonts w:ascii="Arial Unicode MS" w:hAnsi="Arial Unicode MS" w:cs="Times New Roman" w:hint="cs"/>
          <w:sz w:val="24"/>
          <w:szCs w:val="24"/>
          <w:rtl/>
          <w:lang w:val="ar-SA"/>
        </w:rPr>
        <w:lastRenderedPageBreak/>
        <w:t>صاحب وثيقة الحماية وشخص آخر، ومن هذا الاتفاق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لهذا الشخص من خلال ذلك الاتفاق أنْ يستعمل مدى حق التصرف في الوثيقة</w:t>
      </w:r>
      <w:r>
        <w:rPr>
          <w:rStyle w:val="None"/>
          <w:rFonts w:ascii="Times New Roman" w:hAnsi="Times New Roman"/>
          <w:sz w:val="24"/>
          <w:szCs w:val="24"/>
          <w:rtl/>
          <w:lang w:val="ar-SA"/>
        </w:rPr>
        <w:t>.</w:t>
      </w:r>
    </w:p>
    <w:p w14:paraId="6EAC46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لا بُدَّ من توضيح اختلاف الترخيص الإجباري لبراءة الاختراع عن الترخيص الاتفاقي لبراءة الاختراع، قبل التطرق لتعريف الترخيص الاجباري؛ حيث إنَّ الترخيص باستغلال الاختراعات هو مفهوم أوسع من أنْ يقتصر على مفهوم الترخيص لإجباري؛ حيث إنَّه يشمل الترخيص الإجباري لبراءة الاختراع، كما يشمل الترخيص الاتفاقي لبراءة الاختراع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10995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الأساس القانوني للترخيص الإجباري</w:t>
      </w:r>
      <w:r>
        <w:rPr>
          <w:rStyle w:val="None"/>
          <w:rFonts w:ascii="Times New Roman" w:hAnsi="Times New Roman"/>
          <w:b/>
          <w:bCs/>
          <w:sz w:val="28"/>
          <w:szCs w:val="28"/>
          <w:rtl/>
          <w:lang w:val="ar-SA"/>
        </w:rPr>
        <w:t>:</w:t>
      </w:r>
    </w:p>
    <w:p w14:paraId="31D8459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بقصد ببراءة الاختراع تلك الشهادة التي تمنحها الجهة المختصة للمخترع، الذي يتقدم باختراع جديد قابل للتطبيق الصناعي، ويمثل خطوةً إبداعيةً، سواء أكان الاختراع متعلقًا بمنتجات صناعية جديدة، أم بطرق صناعية مستحدثة، أم بتطبيق جديد لطرق صناعية معروفة، كما تمنح تلك الشهادة عن كل تعديل، أو تحسين، أو إضافة ترد على اختراع سبق أنْ منحت عنه براءة اختراع، إذا توافرت فيه شروط الجدة، والإبداع، والقابلية للتطبيق الصناعي، ويكون منح تلك الشهادة لصاحب التعديل أو التحسين أو الإضافة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2DC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(23) </w:t>
      </w:r>
      <w:r>
        <w:rPr>
          <w:rStyle w:val="None"/>
          <w:rFonts w:ascii="Arial Unicode MS" w:hAnsi="Arial Unicode MS" w:cs="Times New Roman" w:hint="cs"/>
          <w:sz w:val="24"/>
          <w:szCs w:val="24"/>
          <w:rtl/>
          <w:lang w:val="ar-SA"/>
        </w:rPr>
        <w:t>من نظام الملكية الفكرية السعودية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يترتب على الترخيص أحقية المرخص له في القيام بجميع الأعمال والامتيازات المقررة لمالك وثيقة الحماية، والمتعلقة بموضوع الحماية في جميع أنحاء المملكة طوال مدة سريان الحماية، ما لم ينص في عقد الترخيص على خلاف ذلك، وليس للمرخص له أنْ يتنازل عن الحقوق والامتيازات التي رخص له بها مالك الوثيقة، ما لم ينص عقد الترخيص على ذلك صراحةً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4D10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إنَّ الترخيص يعطي للشخص المرخص له الحق القانوني الكامل في التصرف، من خلال تلك الرخصة، وتتمتع هذه الرخصة بالحماية الكاملة خلال المدة المتفق عليها في النظام السعودي، ولا يجوز للمرخص له أنْ يتنازل لطرف آخر عن الامتيازات التي يتمتع بها، في حين أنَّه لم يذكر أنَّ له الحق لتخويل الامتيازات في عقد التصريح</w:t>
      </w:r>
      <w:r>
        <w:rPr>
          <w:rStyle w:val="None"/>
          <w:rFonts w:ascii="Times New Roman" w:hAnsi="Times New Roman"/>
          <w:sz w:val="24"/>
          <w:szCs w:val="24"/>
          <w:rtl/>
          <w:lang w:val="ar-SA"/>
        </w:rPr>
        <w:t>.</w:t>
      </w:r>
    </w:p>
    <w:p w14:paraId="09A371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يشير إلى ضوابط واضحة بشأن الترخيص الإجباري للغير، وكيفية استعمال الحقوق الخاصة بالمصنف أو ببراءة الاختراع، فيكون العقد المبرم بين صاحب الاختراع أو صاحب المصنف مع الشخص المخول له حق استعمال براءة الاختراع، وتحديد المدة التي يكون له الحق في استعمال المصنف، وعدم تخويل أحقية استعماله لشخص آخر، وذلك في حالة الاتفاق على ذلك في العقد المبرم، ومن هنا يكون للشخص الآخر الذي خول حق استعمال براءة الاختراع سواء في حالة اتفاقه مع صاحب الاختراع، أو عن طريق الترخيص الإجباري، فيمكن له أنْ يمارس أحقية استغلال الاختراع إلكترونية والاستفادة منه في البيئة الرقمية</w:t>
      </w:r>
      <w:r>
        <w:rPr>
          <w:rStyle w:val="None"/>
          <w:rFonts w:ascii="Times New Roman" w:hAnsi="Times New Roman"/>
          <w:sz w:val="24"/>
          <w:szCs w:val="24"/>
          <w:rtl/>
          <w:lang w:val="ar-SA"/>
        </w:rPr>
        <w:t>.</w:t>
      </w:r>
    </w:p>
    <w:p w14:paraId="5E32F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فالترخيص الإجباري هنا يعمل على إثبات الحق للمخترع أو المؤلف الذي يثبت أنَّه صاحب ذلك المحتوى، وله الحق القانوني الكامل في التصرف فيه مع الحق الكامل للدولة في استعمال ذلك الاختراع، في حالة عدم موافقة صاحب </w:t>
      </w:r>
      <w:r>
        <w:rPr>
          <w:rStyle w:val="None"/>
          <w:rFonts w:ascii="Arial Unicode MS" w:hAnsi="Arial Unicode MS" w:cs="Times New Roman" w:hint="cs"/>
          <w:sz w:val="24"/>
          <w:szCs w:val="24"/>
          <w:rtl/>
          <w:lang w:val="ar-SA"/>
        </w:rPr>
        <w:lastRenderedPageBreak/>
        <w:t>الاختراع؛ وذلك لما يعود بالنفع على المصلحة العامة، وكيفية التصرف من خلاله في البيئة الرقمية، وتعتبر المعاهدات الدولية هي السند القانون للكثير من الأنظمة، وهذا الأمر ممتد؛ ليشمل براءة الاختراع وجميع أحكامها، ومنها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الترخيص الإجباري للبراءات، وتعتبر أهم معاهدتين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معاهدة تربس، ومعاهدة برن</w:t>
      </w:r>
      <w:r>
        <w:rPr>
          <w:rStyle w:val="None"/>
          <w:rFonts w:ascii="Times New Roman" w:hAnsi="Times New Roman"/>
          <w:sz w:val="24"/>
          <w:szCs w:val="24"/>
          <w:rtl/>
          <w:lang w:val="ar-SA"/>
        </w:rPr>
        <w:t>.</w:t>
      </w:r>
    </w:p>
    <w:p w14:paraId="637DC460" w14:textId="77777777" w:rsidR="00454428" w:rsidRDefault="00000000">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برن</w:t>
      </w:r>
      <w:r>
        <w:rPr>
          <w:rStyle w:val="None"/>
          <w:rFonts w:ascii="Times New Roman" w:hAnsi="Times New Roman"/>
          <w:b/>
          <w:bCs/>
          <w:sz w:val="28"/>
          <w:szCs w:val="28"/>
          <w:rtl/>
          <w:lang w:val="ar-SA"/>
        </w:rPr>
        <w:t>:</w:t>
      </w:r>
    </w:p>
    <w:p w14:paraId="6AE392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قبل إبرام اتفاق تربس كانت اتفاقية برن هي أبرز اتفاقيات الملكية الصناعية؛ لما تحتويه من نصوص تسهم في توحيد أحكام حماية حقوق الملكية الصناعية بين الدول المختلفة وتسهيل مهمة مالكي هذه الحقوق فيما يتعلق بحمايتها دوليًا، ألزمت اتفاقية برن بموجب المادة </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الدول الأعضاء بمبدأ المعاملة الوطنية، والذي هو حجز الزاوية في حماية حقوق الملكية الصناعية، بموجب هذا المبدأ يتمتع رعايا كل دولة من دول الاتحاد في جميع دول الاتحاد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لحماية الملكية الصناعية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بالمزايا التي تمنحها حاليًا، أو قد تمنحها مستقبلًا قوانين تلك الدول للمواطنين، ولهم نفس الحماية وطرق الطعن المتاحة للمواطنين، ولكن اتفاقية برن لم تتضمن حدًا أدنى من الحماية لحقوق الملكية الصناعية في الدول الأعضاء، وعليه ما لم تمنحه الدولة العضو لمواطنيها لا تلتزم بمنحه للأجانب</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6FB43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وتعتبر اتفاقية برن دستورَ الحماية الدولية لحقوق الملكية الصناعية؛ لأنَّها تشتمل على قواعد حماية لكل عناصر الملكية الصناعية، 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قبل ظهور نظام الترخيص الإجباري كان جزاء عدم استغلال براءة الاختراع، أو إخلال مالك البراءة باستغلالها هو سقوط براءة الاختراع، بعد ذلك ظهرت اتفاقية برن لتخفف من هذا الجزاء نتيجة للمعارضات التي تلقتها، وكانت بدايات فكرة الترخيص الإجباري تتبلور بإقامة عدة مؤتمرات لتطوير نصوصها، وبالأخص نص المادة الخامسة المختص بالترخيص الإجباري، والذي كان يفيد أنَّه عند إخلال صاحب البراءة بالاستغلال يترتب عليه السقوط كجزاء، ومن هذه المؤتمرات التي ساعدت على تنظيم وتطوير المادة الخامسة، المتعلقة بفكرة الترخيص الإجباري؛ لتتناسب مع تطوُّر المجتمع والتكنولوجيا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6176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م أبرمت اتفاقية برن لحماية المصنفات الأدبية والفنية، وهي تعتبر الدستور للملكية الفكرية، ولم تتعرض هذا الاتفاقية إلى الترخيص الإجباري، وإنما جعلت السقوط هو الجزاء المقرر على الإخلال بالالتزام، وقد عارض البلدان هذه المادة المتمثلة في المادة الخامسة؛ حيث يترتب على ذلك ضياع حق المخترع، الأمر الذي رتب بعد ذلك عقد مؤتمر لمراجعة أحكام الاتفاقية، وما يهمنا من هذه التعديلات التي أسفرت في البداية عن ظهور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0EC203"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وفي ذلك الوقت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عد إدخال نظام الترخيص الإجباري، وإنْ لم يكن إلزاميًا كبديل عن نظام سقوط براءة الاختراع، كجزاء للمخترع الذي لا يستغل اختراعه، وانتصار للدول المتقدمة التي كانت تعارض سقوط البراءة كجزاء؛ ممَّا يعني نجاح الدول المتقدمة في استبدال نظام سقوط براءة الاختراع بالترخيص الإجباري، ومؤتمر بروكسل </w:t>
      </w:r>
      <w:r>
        <w:rPr>
          <w:rStyle w:val="None"/>
          <w:rFonts w:ascii="Times New Roman" w:hAnsi="Times New Roman"/>
          <w:sz w:val="24"/>
          <w:szCs w:val="24"/>
          <w:rtl/>
          <w:lang w:val="ar-SA"/>
        </w:rPr>
        <w:t>1900</w:t>
      </w:r>
      <w:r>
        <w:rPr>
          <w:rStyle w:val="None"/>
          <w:rFonts w:ascii="Arial Unicode MS" w:hAnsi="Arial Unicode MS" w:cs="Times New Roman" w:hint="cs"/>
          <w:sz w:val="24"/>
          <w:szCs w:val="24"/>
          <w:rtl/>
          <w:lang w:val="ar-SA"/>
        </w:rPr>
        <w:t xml:space="preserve">، والذي هو </w:t>
      </w:r>
      <w:r>
        <w:rPr>
          <w:rStyle w:val="None"/>
          <w:rFonts w:ascii="Arial Unicode MS" w:hAnsi="Arial Unicode MS" w:cs="Times New Roman" w:hint="cs"/>
          <w:sz w:val="24"/>
          <w:szCs w:val="24"/>
          <w:rtl/>
          <w:lang w:val="ar-SA"/>
        </w:rPr>
        <w:lastRenderedPageBreak/>
        <w:t>أيضًا لم يلزم الدول على التقيد بالترخيص الإجباري إلا أنَّه قيد جزاء سقوط البراءة بأمرين، وهما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صاحب البراءة في المهلة القانونية، وتقديم الأسباب في حالة عدم الاستغلال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35DA6A"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ونستنتج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تهدف إلى توفير الحماية للملكية الفكرية لبراءة الاختراع، سواء كان صاحب الاختراع من المواطنين، أو أجنبي عن تلك الدولة، التي يقدم فيها براءة الاختراع؛ حيث تعمل على الموازنة بين حقوق صاحب براءة الاختراع وبين الصالح العام، ويُعَدُّ الترخيص الإجباري هنا طريقة من طرق الحفاظ على الصالح العام، والاستفادة بقدر الإمكان من الاختراعات مع مراعات حقوق صاحبها، وكيفية استخدام حقوق النشر والطباعة في البيئة الرقمية</w:t>
      </w:r>
      <w:r>
        <w:rPr>
          <w:rStyle w:val="None"/>
          <w:rFonts w:ascii="Times New Roman" w:hAnsi="Times New Roman"/>
          <w:sz w:val="24"/>
          <w:szCs w:val="24"/>
          <w:rtl/>
          <w:lang w:val="ar-SA"/>
        </w:rPr>
        <w:t>.</w:t>
      </w:r>
    </w:p>
    <w:p w14:paraId="1F08C883" w14:textId="77777777" w:rsidR="00454428" w:rsidRDefault="00000000">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تربس</w:t>
      </w:r>
      <w:r>
        <w:rPr>
          <w:rStyle w:val="None"/>
          <w:rFonts w:ascii="Times New Roman" w:hAnsi="Times New Roman"/>
          <w:b/>
          <w:bCs/>
          <w:sz w:val="28"/>
          <w:szCs w:val="28"/>
          <w:rtl/>
          <w:lang w:val="ar-SA"/>
        </w:rPr>
        <w:t>:</w:t>
      </w:r>
    </w:p>
    <w:p w14:paraId="2F00FF5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تعتبر اتفاقية تربس من أهم الاتفاقية التي قررت قواعد الملكية الفكرية، وهي تمثل أهم الصراعات الخفية بين الدول والصناعية في حقوق الملكية الفكرية، وقد انعكس هذا الصراع على العديد من القواعد المنظمة داخل الاتفاقية، وتعتبر الاتفاقية مكملة لاتفاقية برن التي أبرمت بشأن الملكية الصناعية، وقد ورد موضوع براءات الاتفاق من ضمن الموضوعات التي نظمتها الاتفاقية، وقد قامت اتفاقية تربس على أمرين رئيسين،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وجود حقوق تستوجب الحماية، واتخاذ إجراءات تجعل من الحماية موضع التطبيق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4F82F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فتهدف اتفاقية تربس إلى تشجيع الابتكار التكنولوجي، ونقل التكنولوجيا بشكل يحقق المنفعة المشتركة لكل من منتج التكنولوجيا، ومستخدمها، والموازنة بين حقوق وواجبات كل منها، ومن مبادئ اتفاقية تربس حماية الصحة العامة والتغذية، وتحقيق المصلحة العامة في القطاعات المهمة للتنمية الاقتصادية، والاجتماعية، والتكنولوجية، وتلك الأهداف والمبادئ تتحقق من خلال استغلال الاختراع، أو في حالة منح التراخيص الإجبارية عند تحقق إحدى حالاته، وبِناءً على انسجام أهداف الترخيص الإجباري مع أهداف ومبادئ اتفاقية تربس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منحت الاتفاقية الدول الأعضاء استثناءات من الحقوق المطلقة لمالك البراءة، مع مراعاة عدة شروط عند استخدام هذه الاستثناءات، مثل أنْ يتم استخدامها بشكل لا يتعارض بصورة غير معقولة، مع الاستخدام العادي للبراءة، وأيضًا عدم الإخلال بالمصالح المشروعة لصاحب البراءة، ومراعاة مصالح المرخص 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96034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ويجب أنْ تكون المقدرة لا تعني توافر الإمكانيات المادية والتكنولوجية لدى طالب الترخيص، والتي تؤهله لاستغلال اختراعه بنفسه، وإنما يعني هذا الشرط المقدرة على توفير المنتوج موضوع البراءة في السوق المحلية، سواء كان هذا عن طريق الإنتاج، أم عن طريق الاستيراد، ويجيز للبلدان الأعضاء استخدام الاختراع لأغراض توفير المنتج في الأسواق المحلية فيها، فالهدف من منح الترخيص الإجباري هو معالجة المنظم لمسألة عدم استغلال الاختراع من قبل المالك على النحو المطلوب قانونيًا؛ لذلك يعتبر الشخص الذي يمنح هذا الترخيص هو البديل للمالك في القيام بمهمة </w:t>
      </w:r>
      <w:r>
        <w:rPr>
          <w:rStyle w:val="None"/>
          <w:rFonts w:ascii="Arial Unicode MS" w:hAnsi="Arial Unicode MS" w:cs="Times New Roman" w:hint="cs"/>
          <w:sz w:val="24"/>
          <w:szCs w:val="24"/>
          <w:rtl/>
          <w:lang w:val="ar-SA"/>
        </w:rPr>
        <w:lastRenderedPageBreak/>
        <w:t>الاستغلال،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يجب أنْ يكون قادرًا فنيًا وماليًا على استغلال المناط به بموجب الترخيص، من أجل توفير المنتوج في السوق المحلي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DBDB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نرى أنَّ اتفاقية تربس هدفت إلى تشجيع براءة الاختراع؛ حتى يعمل تحسين الوضع العام بشكل عام، واستخدمت البيئة الرقمية كوسيلة لنقل المنفعة بين المخترع والمستخدم أو الجمهور، ونلاحظ هنا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يتماشى مع أهداف الاتفاقية، وهذا ما نصت عليه المادة </w:t>
      </w:r>
      <w:r>
        <w:rPr>
          <w:rStyle w:val="None"/>
          <w:rFonts w:ascii="Times New Roman" w:hAnsi="Times New Roman"/>
          <w:sz w:val="24"/>
          <w:szCs w:val="24"/>
          <w:rtl/>
          <w:lang w:val="ar-SA"/>
        </w:rPr>
        <w:t xml:space="preserve">31 </w:t>
      </w:r>
      <w:r>
        <w:rPr>
          <w:rStyle w:val="None"/>
          <w:rFonts w:ascii="Arial Unicode MS" w:hAnsi="Arial Unicode MS" w:cs="Times New Roman" w:hint="cs"/>
          <w:sz w:val="24"/>
          <w:szCs w:val="24"/>
          <w:rtl/>
          <w:lang w:val="ar-SA"/>
        </w:rPr>
        <w:t>من الاتفاقية على حقوق صاحب براءة الاختراع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له الحق الكامل في التصرف في اختراعه  ولكن ألا تضر هذه الحرية بالصالح العام، ولذلك وضع حدودًا لحرية صاحب الاختراع في التصرف باختراعه؛ حتى لا يخفيه أو يمنعه عن المصلحة العامة وخدمة الجمهور، وهنا يظهر دور الترخيص الإجباري، الذي يأتي مساند للمصلحة العامة، وتماشيه أيضًا عن طريق البيئة الرقمية التي لها عامل كبير في حلقة الوصل بين صاحب الاختراع والجمهور</w:t>
      </w:r>
      <w:r>
        <w:rPr>
          <w:rStyle w:val="None"/>
          <w:rFonts w:ascii="Times New Roman" w:hAnsi="Times New Roman"/>
          <w:sz w:val="24"/>
          <w:szCs w:val="24"/>
          <w:rtl/>
          <w:lang w:val="ar-SA"/>
        </w:rPr>
        <w:t>.</w:t>
      </w:r>
    </w:p>
    <w:p w14:paraId="6F6DFDA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الجهة المختصة بإصدار الترخيص الإجباري</w:t>
      </w:r>
      <w:r>
        <w:rPr>
          <w:rStyle w:val="None"/>
          <w:rFonts w:ascii="Times New Roman" w:hAnsi="Times New Roman"/>
          <w:b/>
          <w:bCs/>
          <w:sz w:val="28"/>
          <w:szCs w:val="28"/>
          <w:rtl/>
          <w:lang w:val="ar-SA"/>
        </w:rPr>
        <w:t>:</w:t>
      </w:r>
    </w:p>
    <w:p w14:paraId="69A890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اختلفت السلطات القانونية فيما يخص الأخذ بجهة قانونية مختصة؛ لإصدار الترخيص الإجباري، فمنهم من ذهب إلى الأخذ بنظام السلطة التنفيذية، ومنهم من أخذ بنظام السلطة القضائية، ويرجع ذلك إلى الخلاف حول مدى فاعلية كل نظام في إحقاق الترخيص الإجباري ومتطلباته، والنظر في إمكانية وقوعه أو منحه، وهناك نظامان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أحدهما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يعطي السلطة التنفيذية، ممثلة في إدارة براءات الاختراع إصدار التراخيص الإجبارية؛ كونها لاحتياجات السوق وأدرى بحال المخترع، أما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فيعطي الاختصاص بإصدار الترخيص الإجباري للسلطة القضائية؛ كونها الضمانات الكافية لأصحاب البراءات من حيث مدى لزوم منح التراخيص الإجبارية، ومن حيث تقدير المقابل الذي يحصل عليه مالك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D13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ولإصدار الترخيص الإجباري يلزم جهات وسلطات تصدق على هذا القرار؛ حتى يمكن تطبيقه بالشكل القانوني السليم، وتماشى مع نظام المملكة، ومن هنا سوف نوضح أهم الجهات المختصة بإصدار الترخيص الإجباري</w:t>
      </w:r>
      <w:r>
        <w:rPr>
          <w:rStyle w:val="None"/>
          <w:rFonts w:ascii="Times New Roman" w:hAnsi="Times New Roman"/>
          <w:sz w:val="24"/>
          <w:szCs w:val="24"/>
          <w:rtl/>
          <w:lang w:val="ar-SA"/>
        </w:rPr>
        <w:t>:</w:t>
      </w:r>
    </w:p>
    <w:p w14:paraId="1073727F" w14:textId="77777777" w:rsidR="00454428" w:rsidRDefault="00000000">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التنفيذية بإصدار الترخيص الإجباري</w:t>
      </w:r>
      <w:r>
        <w:rPr>
          <w:rStyle w:val="None"/>
          <w:rFonts w:ascii="Times New Roman" w:hAnsi="Times New Roman"/>
          <w:sz w:val="28"/>
          <w:szCs w:val="28"/>
          <w:rtl/>
          <w:lang w:val="ar-SA"/>
        </w:rPr>
        <w:t>:</w:t>
      </w:r>
    </w:p>
    <w:p w14:paraId="37FC32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الأخذ بهذا النظام هو الأكثر نجاحًا؛ كون السلطة الإدارية تمتلك المقدرة على معرفة احتياجات السوق، ومطلعة على الأسرار الصناعية، وسرعتها بالفصل في الطلبات المتعلقة بالترخيص الإجباري بحكم عملها؛ لذلك أنَّها الأقدر على تحديد ضرورة منح الترخيص الإجباري من عدمه، ويختلف ممثلو هذه السلطة بحسب نظام كل دولة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190B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الجهة الإدارية في كونها الأقدر على منح التراخيص الإجباري؛ بسبب أنَّها من أصدرت براءة الاختراع،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تكون هي الأقدر على معرفة تفاصيل الاختراع؛ كونها الأكثر اطلاعًا على احتياجات السوق والأسرار الصناعية، وعلى علم بتفاصيل الاختراع والمخترعين التي تجعل منها قادرة على الفصل بسرعة في الإجراءات الإدارية، </w:t>
      </w:r>
      <w:r>
        <w:rPr>
          <w:rStyle w:val="None"/>
          <w:rFonts w:ascii="Arial Unicode MS" w:hAnsi="Arial Unicode MS" w:cs="Times New Roman" w:hint="cs"/>
          <w:sz w:val="24"/>
          <w:szCs w:val="24"/>
          <w:rtl/>
          <w:lang w:val="ar-SA"/>
        </w:rPr>
        <w:lastRenderedPageBreak/>
        <w:t xml:space="preserve">وكذلك تعتبر حلقة وصل بين أصحاب الاختراع أجهزة الإنتاج في الدولة، على أنَّه يجوز الالتجاء للقضاء في الفصل فيما ينتج عن ذلك من نزاع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8D120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فالسلطة التنفيذية تكون جديرة بالتعرف على احتياجات السوق المحلي لكل دولة، ونظام التجارة والصناعة الذي يتماشى مع كل دولة؛ ممَّا يعطيها القدرة والرؤية اللازمة لإعطاء قرار الترخيص الإجباري أم لا، ومعرفة التوقيت المناسب لذلك، ويتم تعين السلطة التنفيذية المسئولين عن ذلك على حسب كل دولة؛ ونظرًا للقرارات التي تتخذها السلطة التنفيذية يمكن أن يحدث بعض النزاع بين صاحب براءة الاختراع، والأجهزة الإدارية في الدولة؛ لذلك يمكن الالتجاء للقضاء، وهنا نوضح دور القضاء في ذلك</w:t>
      </w:r>
      <w:r>
        <w:rPr>
          <w:rStyle w:val="None"/>
          <w:rFonts w:ascii="Times New Roman" w:hAnsi="Times New Roman"/>
          <w:sz w:val="24"/>
          <w:szCs w:val="24"/>
          <w:rtl/>
          <w:lang w:val="ar-SA"/>
        </w:rPr>
        <w:t>.</w:t>
      </w:r>
    </w:p>
    <w:p w14:paraId="29D09DC3" w14:textId="77777777" w:rsidR="00454428" w:rsidRDefault="00000000">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القضائية بإصدار الترخيص الإجباري</w:t>
      </w:r>
      <w:r>
        <w:rPr>
          <w:rStyle w:val="None"/>
          <w:rFonts w:ascii="Times New Roman" w:hAnsi="Times New Roman"/>
          <w:sz w:val="28"/>
          <w:szCs w:val="28"/>
          <w:rtl/>
          <w:lang w:val="ar-SA"/>
        </w:rPr>
        <w:t>:</w:t>
      </w:r>
    </w:p>
    <w:p w14:paraId="43410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بموجب هذا النظام السلطة القضائية تكون مختصةً بالنظر في طلبات الترخيص الإجباري، وفحص مدى توافق هذه الطلبات مع النصوص النظامية والدولية، قبل إصدار القرار بالرفض أو المنح، ويتم توزيع صلاحيات منح الترخيص الإجباري بين الجهتين الإدارة والقضاء معًا، ومثال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تمنح الجهة الإدارية سلطةَ إصدار الترخيص الإجباري في حالات معينة مع ترك بقية الحالات لتختص بها السلطة القضائية، ومنح الترخيص من اختصاصات المحكمة على شكل تقديم طلب الترخيص الإجباري في صورة دعوى يختصم بها مالك البراءة وطالب الترخيص الإجباري، وتمنح المحكمة مهلة للطرفين للوصول إلى اتفاق فيما بينم مع إمكانية مد المهلة إذا رأت المحكمة حاجةً لذلك، وعند انقضاء هذه المدة تنظر المحكمة بالطلب وتقرر الرفض أو المنح مع تحديد شروطه، ويتم إعلان الحكم إلى الطرف الآخر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51BC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وفقًا لمن سار على هذا المنهج، فإنَّ إصدار الترخيص الإجباري يكون من اختصاص المحكمة؛ إذ هي من تقوم بفحص طلبات الترخيص الإجباري المقدمة ومدى توافقها مع النصوص وهل توافرت مع الشروط والحالات حتى يتم منح الترخيص أم لا؟ وسندهم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الجهة القضائية تحقق الضمانات الكافية لأصحاب براءة الاختراع في الأصل، يعتبر تعديًا على حق مالك البراءة الحصري، ومِنْ ثَمَّ تقوم الجهة القضائية بتقدير التعويض العادل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AA1A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ونظرًا للنزاعات التي تتم بين صاحب براءة الاختراع والجهات الإدارية، يتم اللجوء إلى القضاء للفصل في النزاع القائم على إعطاء الترخيص الإجباري، فتعمل الجهة القضائية على فحص حالة الترخيص التي نشأ عليها النزاع، والظروف، والأساس القانوني، الذي قام عليه طلب الترخيص الإجباري وتفصل في صحته أم إلغائه، ومن هنا تكون الجهة القضائية مشتركة مع الجهة التنفيذية في إصدار قرار الترخيص الإجباري</w:t>
      </w:r>
      <w:r>
        <w:rPr>
          <w:rStyle w:val="None"/>
          <w:rFonts w:ascii="Times New Roman" w:hAnsi="Times New Roman"/>
          <w:sz w:val="24"/>
          <w:szCs w:val="24"/>
          <w:rtl/>
          <w:lang w:val="ar-SA"/>
        </w:rPr>
        <w:t>.</w:t>
      </w:r>
    </w:p>
    <w:p w14:paraId="7AC746E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حالات منح الترخيص الإجباري باستغلال براءة الاختراع</w:t>
      </w:r>
      <w:r>
        <w:rPr>
          <w:rStyle w:val="None"/>
          <w:rFonts w:ascii="Times New Roman" w:hAnsi="Times New Roman"/>
          <w:b/>
          <w:bCs/>
          <w:sz w:val="28"/>
          <w:szCs w:val="28"/>
          <w:rtl/>
          <w:lang w:val="ar-SA"/>
        </w:rPr>
        <w:t>:</w:t>
      </w:r>
    </w:p>
    <w:p w14:paraId="49F945F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تتعد حالات إعطاء الترخيص الإجباري وذلك لتعدد متطلبات منح الترخيص الإجباري، كما تختلف شروط كل حالة عن الأخرى، فقد يقع الترخيص الإجباري لأهمية الاختراع وتأثيره بالمجتمع بما يخدم المصلحة العامة، كما قد يمنح </w:t>
      </w:r>
      <w:r>
        <w:rPr>
          <w:rStyle w:val="None"/>
          <w:rFonts w:ascii="Arial Unicode MS" w:hAnsi="Arial Unicode MS" w:cs="Times New Roman" w:hint="cs"/>
          <w:sz w:val="24"/>
          <w:szCs w:val="24"/>
          <w:rtl/>
          <w:lang w:val="ar-SA"/>
        </w:rPr>
        <w:lastRenderedPageBreak/>
        <w:t>ترخيص للغير بالاستغلال المخترع لاختراعه أو لتقصير من المخترع بنقص استغلال اختراعه، كما قد يقع على المخترع لفعله غير المشروع، كما أنَّه من 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وإنْ كانت اتفاقية تربس قد نصت صراحةً على الحالات التي يتعين بموجبها منح تراخيص إجبارية، إلا أنَّه من الفقهاء من يرى أنَّ اتفاقية تربس لم تحد من حق الدول الأعضاء في تحديد حالات أخرى، والأصح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بأنَّ غايات الترخيص الإجباري محددة حصرًا، فهي لا تخرج عن ثلاثة أهداف كالتالي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المصلحة العامة، أو التعسف في استغلال مالك البراءة، أو لمنافسة غير المشروعة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AFF152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فعند طلب إعطاء الترخيص الإجباري يكون له عدة حالات من خلالها يمكن الحصول على الترخيص الإجباري، ومن أهم تلك الحالات سنقوم بعرضها</w:t>
      </w:r>
      <w:r>
        <w:rPr>
          <w:rStyle w:val="None"/>
          <w:rFonts w:ascii="Times New Roman" w:hAnsi="Times New Roman"/>
          <w:sz w:val="24"/>
          <w:szCs w:val="24"/>
          <w:rtl/>
          <w:lang w:val="ar-SA"/>
        </w:rPr>
        <w:t>:</w:t>
      </w:r>
    </w:p>
    <w:p w14:paraId="26DCAC34"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تتطلب ترخيص إجباري لأهمية وحساسيتها بالمجتمع</w:t>
      </w:r>
      <w:r>
        <w:rPr>
          <w:rStyle w:val="None"/>
          <w:rFonts w:ascii="Times New Roman" w:hAnsi="Times New Roman"/>
          <w:sz w:val="28"/>
          <w:szCs w:val="28"/>
          <w:rtl/>
          <w:lang w:val="ar-SA"/>
        </w:rPr>
        <w:t>:</w:t>
      </w:r>
    </w:p>
    <w:p w14:paraId="7AC7119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الطبيعة القانونية للترخيص الإجباري ترتبط بتكييف براءة الاختراع أساسًا، فيعود التزام المخترع باستغلال اختراعه إلى نظرية العقد الاجتماعي التي تفيد بأنَّ المخترع عندما يتقدم بطلب للحصول على براءة اختراع، ويمنح البراءة، فهو يدخل في عقد مع الجماعة مضمونه أنْ يحصل صاحب البراءة على حماية الاختراع مقابل إفشاء إسرار هذا الاختراع، وهذا العقد يولد التزامات متقابلة بين أطرافه على رأسها التزام المخترع باستغلال اختراعه، وأنَّ الترخيص الإجباري يعتبر فسخ لعقد البراءة المبرم بين صاحب</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البراءة وإدارة براءات الاختراع؛ بسبب مخالفة صاحب البراءة لالتزامه باستغلال الاختراع، ويضيف صاحب وجهة النظر هذه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في حالتي الاختراعات المرتبطة وعدم كفاية الاستغلال يكون عقد جديد يبرم بين السلطة العامة والمرخص له إجباريًا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FAD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يتضمن طلب الترخيص الإجباري المقدم من قِبل أي جهة حكومية، باستغلال الاختراع بيانًا باعتبار المصلحة العامة التي اقتضت ذلك، وينص على هذه الاعتبارات في قرار منح الترخيص</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7"/>
      </w:r>
      <w:r>
        <w:rPr>
          <w:rStyle w:val="None"/>
          <w:rFonts w:ascii="Times New Roman" w:hAnsi="Times New Roman"/>
          <w:sz w:val="24"/>
          <w:szCs w:val="24"/>
          <w:vertAlign w:val="superscript"/>
          <w:rtl/>
          <w:lang w:val="ar-SA"/>
        </w:rPr>
        <w:t>)</w:t>
      </w:r>
      <w:r>
        <w:rPr>
          <w:rStyle w:val="None"/>
          <w:rFonts w:ascii="Times New Roman" w:hAnsi="Times New Roman"/>
          <w:b/>
          <w:bCs/>
          <w:sz w:val="24"/>
          <w:szCs w:val="24"/>
          <w:rtl/>
          <w:lang w:val="ar-SA"/>
        </w:rPr>
        <w:t>.</w:t>
      </w:r>
    </w:p>
    <w:p w14:paraId="4E4CC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وعند منح الترخيص الإجباري لاستغلال براءة الاختراع غير المستغلة، أو التي يكون استغلالها غير كاف، فإنَّ ذلك يؤدي إلى إنعاش الاقتصادي المحلي للدولة، ودعم النشاط التجاري، من خلال طرحها بالسوق بأسعار تتناسب مع دخل الفرد، والحفاظ على رؤوس الأموال وعدم إخراجها، ومن خلال أيضًا المساعدة على الحفاظ على الصحة، وتشغيل اليد العاملة والتخفيف نوعًا ما من ظاهرة البطالة، والأصل أنْ يتم منح الاختراع براءة؛ ليتم استغلالها وإفادة المجتمع والدولة من المنتج</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8CAE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الترخيص الإجباري يهدف إلى المصلحة العامة، وهذا رأي فقهي بأنْ يكون الترخيص الإجباري يؤثر على الصالح العامة، من خلال استعمال براءة الاختراع فيما ينفع الجمهور وتأثيره على التطوُّر في جميع المجالات، سواء كانت صناعيةً، أو زراعيةً، أو أي مجال يخدم الجمهور، وخصوصًا في وجود البيئة الرقمية التي تساعد على انتشار المعرفة بين المخترع والجمهور وسرعة انتشار العلم</w:t>
      </w:r>
      <w:r>
        <w:rPr>
          <w:rStyle w:val="None"/>
          <w:rFonts w:ascii="Times New Roman" w:hAnsi="Times New Roman"/>
          <w:sz w:val="24"/>
          <w:szCs w:val="24"/>
          <w:rtl/>
          <w:lang w:val="ar-SA"/>
        </w:rPr>
        <w:t>.</w:t>
      </w:r>
    </w:p>
    <w:p w14:paraId="3D0753D4"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تستدعي إعطاء ترخيص إجباري لعدم استغلال البراءة</w:t>
      </w:r>
      <w:r>
        <w:rPr>
          <w:rStyle w:val="None"/>
          <w:rFonts w:ascii="Times New Roman" w:hAnsi="Times New Roman"/>
          <w:sz w:val="28"/>
          <w:szCs w:val="28"/>
          <w:rtl/>
          <w:lang w:val="ar-SA"/>
        </w:rPr>
        <w:t>:</w:t>
      </w:r>
    </w:p>
    <w:p w14:paraId="5D27CB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أجاز المنظم لإدارة براءات الاختراع الترخيص الإجباري باستغلال البراءة في هذه الحالة للغير الراغب في استغلال الاختراع، وأنْ يقدم شروطًا تجاريةً معقولةً، خلال مدة معقولة للحصول على ترخيص اختياري، أجاز اتفاق تربس أيضًا الترخيص الإجباري في هذه الحالة إذا بذل طالب الترخيص الإجباري جهودًا؛ للحصول على ترخيص من صاحب الحق في البراءة بأسعار وشروط تجارية معقولة، وأنَّ هذه الجهود لم تكلل بالنجاح في غضون فترة زمنية معقولة، والسماح بالترخيص الإجباري في هذه الحالة يهدف إلى تشجيع استغلال الاختراع بجميع تطبيقاته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A76B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تنظيم الدول ضمن تشريعاتها الترخيص الإجباري؛ ليبقى تهديدًا لأصحاب الاختراع؛ لاستغلال اختراعهم، وطرحه بالأسواق بأسعار مناسبة، ومنح التراخيص الاتفاقية، وفي نفس الوقت يعتبر الترخيص الإجباري سلاحًا فعَّالًا، وأداةً رادعةً للممارسات التعسفية، التي يقوم بها مالك البراءة، وتضر المجتمع والدولة؛ لأنَّه في حالة عدم استغلال الاختراع مثلًا، فإنَّ ذلك يرجع بالضرر على كل من الشعب في حالة كان الاختراع دواني ومتعلق بصحتهم وأرواحهم حتى لو كان الاختراع غير دواني يرجع بالضرر على الأطراف، ويرجع بالضرر على الدولة من الناحية الاقتصادية، ومن ناحية عدم دعم الصناعات الوطنية؛ بسبب عدم استغلالها وإفادة المجتمع منها، ومن الأمثلة على الحالات التي استخدمت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C789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فامتناع مالك البراءة عن استغلال اختراعه، أو استغلال الاختراع استغلال لا يفي بحاجة المجتمع يُعَدُّ تعسفًا في استعمال حق الاحتكار الذي منحه إياه القانون؛ لتحقيق غايات اقتصادية واجتماعية؛ ممَّا يجيز للمنظم التدخل، وفرض الترخيص الإجباري؛ لضمان تحقيق مصلحة المجتمع في الانتفاع من ذلك الاختراع، فهذه الحالة جديرة بالالتفات إليه والتوقف عنده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فهو يقدم تفسيرًا منطقيًا للطبيعة القانونية للترخيص الإجباري، وينتقد جانب من الفقه هذه الحالة علة أنَّه لا يأصل لطبيعة الترخيص الإجباري بقدر تأصيله للسبب من منحه، متمثلًا في التعسف في استعمال الحق، كما أنَّه يصور منح الترخيص الإجباري، وكأنَّه جزاء تفرضه السلطة العامة على مالك البراءة؛ لتجاوزه مضمون حقه أو خروجه عنه وهو ما لا يستقيم قانونًا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E61F1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أحيانًا قد لا يستغل صاحب براءة الاختراع الإفادة التي تنتج من الاختراع الذي توصل إليه، وهنا يكون قصر في حق نفسه والمجتمع، وتعتبر هذه الحالة من أهم الحالات التي تعطي الحق في الترخيص الإجباري؛ لعدم استغلال </w:t>
      </w:r>
      <w:r>
        <w:rPr>
          <w:rStyle w:val="None"/>
          <w:rFonts w:ascii="Arial Unicode MS" w:hAnsi="Arial Unicode MS" w:cs="Times New Roman" w:hint="cs"/>
          <w:sz w:val="24"/>
          <w:szCs w:val="24"/>
          <w:rtl/>
          <w:lang w:val="ar-SA"/>
        </w:rPr>
        <w:lastRenderedPageBreak/>
        <w:t>البراءة، ويستطيع أشخاص أخرى استغلال ذلك الاختراع في الاستفادة منه في شتى المجالات، التي تعود بالنفع على المصلحة العامة؛ ممَّا يسهل ذلك ارتباطها بالبيئة الرقمية وسرعة انتشار المعلومات</w:t>
      </w:r>
      <w:r>
        <w:rPr>
          <w:rStyle w:val="None"/>
          <w:rFonts w:ascii="Times New Roman" w:hAnsi="Times New Roman"/>
          <w:sz w:val="24"/>
          <w:szCs w:val="24"/>
          <w:rtl/>
          <w:lang w:val="ar-SA"/>
        </w:rPr>
        <w:t>.</w:t>
      </w:r>
    </w:p>
    <w:p w14:paraId="324B4047"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حالات تستدعي إعطاء ترخيص إجباري للمنافسة غير المشروعة من قبل المخترع</w:t>
      </w:r>
      <w:r>
        <w:rPr>
          <w:rStyle w:val="None"/>
          <w:rFonts w:ascii="Times New Roman" w:hAnsi="Times New Roman"/>
          <w:sz w:val="28"/>
          <w:szCs w:val="28"/>
          <w:rtl/>
          <w:lang w:val="ar-SA"/>
        </w:rPr>
        <w:t>:</w:t>
      </w:r>
    </w:p>
    <w:p w14:paraId="0BEDB5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التزام صاحب البراءة بنقل الأسرار والمعارف التكنولوجية للمرخص له، هو التزام يقتضيه التزام المرخص له باستغلال البراءة، إذ قد تكون هناك صعوبة في استغلال البراءة دون تدخل صاحب البراءة؛ حيث يكون من الصعب أحيانًا استغلال أي براءة اختراع دون التدخل الإيجابي لمالكها، ومشاركته الفعلية فيها، فغالبًا ما تكون المعلومات التي تنشر عن الاختراع في وثيقة البراءة غير كافية بذاتها لاستغلاله، وأنَّ تسليم مالك البراءة للمرخص له الوثائق الفنية والتقنية لبراءة الاختراع، لا تُعَدُّ كافيةً لقيام المرخص له بعرض منتجات ذات جودة، إلا إذا رافق ذلك نقل كافة المعارف الفنية السرية المكملة لبراءة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951AFE1" w14:textId="77777777" w:rsidR="00454428" w:rsidRDefault="00000000" w:rsidP="00C72BA8">
      <w:pPr>
        <w:pStyle w:val="Body"/>
        <w:spacing w:before="120" w:after="120" w:line="360" w:lineRule="auto"/>
        <w:ind w:left="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يحظر على المنشأة أو المنشآت التي تتمتع بوضع مهيمن، أي ممارسة تحد من المنافسة بين المنشآت، وفقًا للشروط والضوابط المبينة في اللائحة، وبخاصة ما يأتي</w:t>
      </w:r>
      <w:r>
        <w:rPr>
          <w:rStyle w:val="None"/>
          <w:rFonts w:ascii="Times New Roman" w:hAnsi="Times New Roman"/>
          <w:sz w:val="24"/>
          <w:szCs w:val="24"/>
          <w:rtl/>
          <w:lang w:val="ar-SA"/>
        </w:rPr>
        <w:t>:</w:t>
      </w:r>
    </w:p>
    <w:p w14:paraId="0DD52135"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التحكم في أسعار السلع والخدمات المعدة للبيع بالزيادة، أو الخفض، أو التثبيت، أو بأي صورة أخرى تضر المنافسة المشروعية</w:t>
      </w:r>
      <w:r>
        <w:rPr>
          <w:rStyle w:val="None"/>
          <w:rFonts w:ascii="Times New Roman" w:hAnsi="Times New Roman"/>
          <w:sz w:val="24"/>
          <w:szCs w:val="24"/>
          <w:rtl/>
          <w:lang w:val="ar-SA"/>
        </w:rPr>
        <w:t>.</w:t>
      </w:r>
    </w:p>
    <w:p w14:paraId="4467B942"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الحد من حرية تدفق السلع والخدمات إلى الأسواق، أو إخراجها منها بصفة كلية أو جزئية، وذلك من خلال إخفائها، أو تخزينها دون وجه حق، أو الامتناع عن التعامل فيها</w:t>
      </w:r>
      <w:r>
        <w:rPr>
          <w:rStyle w:val="None"/>
          <w:rFonts w:ascii="Times New Roman" w:hAnsi="Times New Roman"/>
          <w:sz w:val="24"/>
          <w:szCs w:val="24"/>
          <w:rtl/>
          <w:lang w:val="ar-SA"/>
        </w:rPr>
        <w:t>.</w:t>
      </w:r>
    </w:p>
    <w:p w14:paraId="5A3AEBFF"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افتعال وفرة مفاجئة في السلع والخدمات؛ بحيث يؤدي تداولها إلى سعر غير حقيقي، يؤثر في باقي المتعاملين في السوق</w:t>
      </w:r>
      <w:r>
        <w:rPr>
          <w:rStyle w:val="None"/>
          <w:rFonts w:ascii="Times New Roman" w:hAnsi="Times New Roman"/>
          <w:sz w:val="24"/>
          <w:szCs w:val="24"/>
          <w:rtl/>
          <w:lang w:val="ar-SA"/>
        </w:rPr>
        <w:t>.</w:t>
      </w:r>
    </w:p>
    <w:p w14:paraId="217C795E"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منع أي منشأة من استخدام حقها في دخول السوق، أو الخروج منه، أو عرقلة ذلك في أي وقت</w:t>
      </w:r>
      <w:r>
        <w:rPr>
          <w:rStyle w:val="None"/>
          <w:rFonts w:ascii="Times New Roman" w:hAnsi="Times New Roman"/>
          <w:sz w:val="24"/>
          <w:szCs w:val="24"/>
          <w:rtl/>
          <w:lang w:val="ar-SA"/>
        </w:rPr>
        <w:t>.</w:t>
      </w:r>
    </w:p>
    <w:p w14:paraId="3F48DBEC"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حجب السلع والخدمات المتاحة في السوق بصفة كلية أو جزئية عن منشأة أو منشآت معينة</w:t>
      </w:r>
      <w:r>
        <w:rPr>
          <w:rStyle w:val="None"/>
          <w:rFonts w:ascii="Times New Roman" w:hAnsi="Times New Roman"/>
          <w:sz w:val="24"/>
          <w:szCs w:val="24"/>
          <w:rtl/>
          <w:lang w:val="ar-SA"/>
        </w:rPr>
        <w:t>.</w:t>
      </w:r>
    </w:p>
    <w:p w14:paraId="6929BF3A"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تقسيم الأسواق لبيع أو شراء السلع والخدمات أو التخصيصات</w:t>
      </w:r>
      <w:r>
        <w:rPr>
          <w:rStyle w:val="None"/>
          <w:rFonts w:ascii="Times New Roman" w:hAnsi="Times New Roman"/>
          <w:sz w:val="24"/>
          <w:szCs w:val="24"/>
          <w:rtl/>
          <w:lang w:val="ar-SA"/>
        </w:rPr>
        <w:t>.</w:t>
      </w:r>
    </w:p>
    <w:p w14:paraId="019A13C1"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التأثير في السعر الطبيعي لعروض بيع السلع والخدمات، أو شرائها، أو توريدها، سواء في المنافسات، أو المزايدات الحكومية أو غير الحكومية</w:t>
      </w:r>
      <w:r>
        <w:rPr>
          <w:rStyle w:val="None"/>
          <w:rFonts w:ascii="Times New Roman" w:hAnsi="Times New Roman"/>
          <w:sz w:val="24"/>
          <w:szCs w:val="24"/>
          <w:rtl/>
          <w:lang w:val="ar-SA"/>
        </w:rPr>
        <w:t>.</w:t>
      </w:r>
    </w:p>
    <w:p w14:paraId="0EF47403"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تجميد عمليات التصنيع، والتطوير، والتوزيع، والتسويق، وجميع أوجه الاستثمار الأخرى، أو الحد من ذلك</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134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أ</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أنْ يمنح الترخيص الإجباري أساسًا لأجل توفير الاختراع أو التصميم في الأسواق </w:t>
      </w:r>
      <w:r>
        <w:rPr>
          <w:rStyle w:val="None"/>
          <w:rFonts w:ascii="Arial Unicode MS" w:hAnsi="Arial Unicode MS" w:cs="Times New Roman" w:hint="cs"/>
          <w:sz w:val="24"/>
          <w:szCs w:val="24"/>
          <w:rtl/>
          <w:lang w:val="ar-SA"/>
        </w:rPr>
        <w:lastRenderedPageBreak/>
        <w:t>المحلية، ويستثنى من هذا الحكم إذا كانت الغاية من الترخيص المنع أو الحد من ممارسات صدر بشأنها قرار، أو حكم يقضي بأنَّها من أعمال المنافسة غير الشرعية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A22B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فيجب أنْ يمنح الترخيص الإجباري للأشخاص الذين يكون غايتهم في منفعة الصالح العام، وعدم استغلال الترخيص الإجباري في المنافسات غير المشروعة؛ حتى لا يضر بالسوق المحلي وإلحاق الضرر بتجارة الأشخاص</w:t>
      </w:r>
      <w:r>
        <w:rPr>
          <w:rStyle w:val="None"/>
          <w:rFonts w:ascii="Times New Roman" w:hAnsi="Times New Roman"/>
          <w:sz w:val="24"/>
          <w:szCs w:val="24"/>
          <w:rtl/>
          <w:lang w:val="ar-SA"/>
        </w:rPr>
        <w:t xml:space="preserve">. </w:t>
      </w:r>
    </w:p>
    <w:p w14:paraId="7C5A5E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ويلاحظ أنَّه لم يرد في النظام السعودي تحدٍّ لهذه القواعد غير المشروعة، كذلك يلاحظ أنَّ المنظم السعودي لم يستثنِ هذه الحالة من شرط التفاوض المسبق مع صاحب البراءة، الذي ورد في ذات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الفقرة الثانية، وبخلاف اتفاقية تربس التي استثنت هذه الحالة من التفاوض المسبق مع مالك البراءة، ومِنْ ثَمَّ كان المنظم السعودي أكثر تشددًا من تربس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E63B9E" w14:textId="77777777" w:rsidR="00454428" w:rsidRDefault="00000000">
      <w:pPr>
        <w:pStyle w:val="Body"/>
        <w:numPr>
          <w:ilvl w:val="0"/>
          <w:numId w:val="236"/>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في حالات البراءة المترابطة</w:t>
      </w:r>
      <w:r>
        <w:rPr>
          <w:rStyle w:val="None"/>
          <w:rFonts w:ascii="Times New Roman" w:hAnsi="Times New Roman"/>
          <w:sz w:val="28"/>
          <w:szCs w:val="28"/>
          <w:rtl/>
          <w:lang w:val="ar-SA"/>
        </w:rPr>
        <w:t>:</w:t>
      </w:r>
    </w:p>
    <w:p w14:paraId="6889EE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حالات البراءة المترابطة في الترخيص الإجباري قائمة على التكملة، فيمكن لمن منح له الترخيص الإجباري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استغلال براءة الاختراع بالشكل المناسب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يطلب استخدام براءة اختبار في حالة تكملته للاختراع الأول؛ حيث يكمل كل منهما الآخر؛ حتى يستطيع لمن صرح له استخدام البراءة المترابطة خدمة المرفق العام</w:t>
      </w:r>
      <w:r>
        <w:rPr>
          <w:rStyle w:val="None"/>
          <w:rFonts w:ascii="Times New Roman" w:hAnsi="Times New Roman"/>
          <w:sz w:val="24"/>
          <w:szCs w:val="24"/>
          <w:rtl/>
          <w:lang w:val="ar-SA"/>
        </w:rPr>
        <w:t>.</w:t>
      </w:r>
    </w:p>
    <w:p w14:paraId="0E81E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بالنص على أنَّه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6"/>
      </w:r>
      <w:r>
        <w:rPr>
          <w:rStyle w:val="None"/>
          <w:rFonts w:ascii="Times New Roman" w:hAnsi="Times New Roman"/>
          <w:sz w:val="24"/>
          <w:szCs w:val="24"/>
          <w:vertAlign w:val="superscript"/>
          <w:rtl/>
          <w:lang w:val="ar-SA"/>
        </w:rPr>
        <w:t>)</w:t>
      </w:r>
    </w:p>
    <w:p w14:paraId="27C03F94" w14:textId="77777777" w:rsidR="00454428" w:rsidRDefault="00000000">
      <w:pPr>
        <w:pStyle w:val="Body"/>
        <w:numPr>
          <w:ilvl w:val="0"/>
          <w:numId w:val="23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يجوز للهيئة أنْ تمنح ترخيصًا إجباريًا للغير باستغلال الاختراع المشمول بالبراءة، أو التصميم التخطيطي للدارة المتكاملة المشمول بشهادة التصميم بِناءًً على طلب يقدمه إليها، وفقًا لما يأتي</w:t>
      </w:r>
      <w:r>
        <w:rPr>
          <w:rStyle w:val="None"/>
          <w:rFonts w:ascii="Times New Roman" w:hAnsi="Times New Roman"/>
          <w:sz w:val="24"/>
          <w:szCs w:val="24"/>
          <w:rtl/>
          <w:lang w:val="ar-SA"/>
        </w:rPr>
        <w:t>:</w:t>
      </w:r>
    </w:p>
    <w:p w14:paraId="1553DCE5"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يتم تقديم الطلب بعد مضي أربع سنواتٍ من تاريخ إيداع طلب براءة الاختراع، أو ثلاث سنواتٍ من تاريخ منحها، أيهما ينقضي متأخرًا، دون أنْ يقوم مالك البراءة باستغلال اختراعه، أو يكون استغله على نحو غير كافٍ ما لم يبرر ذلك بعذر مشروع</w:t>
      </w:r>
      <w:r>
        <w:rPr>
          <w:rStyle w:val="None"/>
          <w:rFonts w:ascii="Times New Roman" w:hAnsi="Times New Roman"/>
          <w:sz w:val="24"/>
          <w:szCs w:val="24"/>
          <w:rtl/>
          <w:lang w:val="ar-SA"/>
        </w:rPr>
        <w:t>.</w:t>
      </w:r>
    </w:p>
    <w:p w14:paraId="4D4E05A6"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يثبت طالب الترخيص الإجباري أنَّه قد بذل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مدة معقولة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جهودًا في سبيل الحصول على ترخيص تعاقدي، وفقًا لشروط تجارية معقولة، ومقابل مادي معقول، ويستثنى من هذا الحكم ومن حكم الفقرة السابقة إذا كان طالب الترخيص جهةً حكوميةً، أو شخصًا مخولًا من قبلها، وكانت الغاية منه تحقيق المصلحة العامة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وخاصة الأمن، أو الصحة، أو التغذية، أو تنمية قطاعات حيوية أخرى من الاقتصاد الوطني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 مواجهة حالة طوارئ، أو أوضاع أخرى ملحة جدًا، أو كانت الغاية منه أغراضًا عامةً غير تجارية، وفي الحالة الأخيرة وعند العلم بوجود براءة اختراع أو شهادة 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يتم إبلاغ مالكها فورًا</w:t>
      </w:r>
      <w:r>
        <w:rPr>
          <w:rStyle w:val="None"/>
          <w:rFonts w:ascii="Times New Roman" w:hAnsi="Times New Roman"/>
          <w:sz w:val="24"/>
          <w:szCs w:val="24"/>
          <w:rtl/>
          <w:lang w:val="ar-SA"/>
        </w:rPr>
        <w:t>.</w:t>
      </w:r>
    </w:p>
    <w:p w14:paraId="453B7D95"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أنْ يحدد قرار الترخيص نطاق الترخيص، ومدته بما يقتضيه الغرض الذي منح من أجله، ويكون الترخيص خاضعًا للإنهاء إذا انتهت الأوضاع التي من أجلها منح الترخيص، ولم يكن من المرجح تكرار حدوثها، مع مراعاة المصالح المشروعة للمرخص له</w:t>
      </w:r>
      <w:r>
        <w:rPr>
          <w:rStyle w:val="None"/>
          <w:rFonts w:ascii="Times New Roman" w:hAnsi="Times New Roman"/>
          <w:sz w:val="24"/>
          <w:szCs w:val="24"/>
          <w:rtl/>
          <w:lang w:val="ar-SA"/>
        </w:rPr>
        <w:t>.</w:t>
      </w:r>
    </w:p>
    <w:p w14:paraId="164D9386"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ألا يكون الترخيص حصرًا على من منح له</w:t>
      </w:r>
      <w:r>
        <w:rPr>
          <w:rStyle w:val="None"/>
          <w:rFonts w:ascii="Times New Roman" w:hAnsi="Times New Roman"/>
          <w:sz w:val="24"/>
          <w:szCs w:val="24"/>
          <w:rtl/>
          <w:lang w:val="ar-SA"/>
        </w:rPr>
        <w:t>.</w:t>
      </w:r>
    </w:p>
    <w:p w14:paraId="39213FB7"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يبتَّ في كل طلب على حدة</w:t>
      </w:r>
      <w:r>
        <w:rPr>
          <w:rStyle w:val="None"/>
          <w:rFonts w:ascii="Times New Roman" w:hAnsi="Times New Roman"/>
          <w:sz w:val="24"/>
          <w:szCs w:val="24"/>
          <w:rtl/>
          <w:lang w:val="ar-SA"/>
        </w:rPr>
        <w:t>.</w:t>
      </w:r>
    </w:p>
    <w:p w14:paraId="4B96269F"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يعوض مالك براءة الاختراع أو شهادة التصميم تعويضًا عادلًا، وتتولى اللجنة تحديد مقدار التعويض، على أنْ يلتزم المرخص له بالوفاء به</w:t>
      </w:r>
      <w:r>
        <w:rPr>
          <w:rStyle w:val="None"/>
          <w:rFonts w:ascii="Times New Roman" w:hAnsi="Times New Roman"/>
          <w:sz w:val="24"/>
          <w:szCs w:val="24"/>
          <w:rtl/>
          <w:lang w:val="ar-SA"/>
        </w:rPr>
        <w:t>.</w:t>
      </w:r>
    </w:p>
    <w:p w14:paraId="5A54851E" w14:textId="77777777" w:rsidR="00454428" w:rsidRDefault="00000000">
      <w:pPr>
        <w:pStyle w:val="Body"/>
        <w:numPr>
          <w:ilvl w:val="0"/>
          <w:numId w:val="24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p>
    <w:p w14:paraId="7783A431" w14:textId="77777777" w:rsidR="00454428" w:rsidRDefault="00000000">
      <w:pPr>
        <w:pStyle w:val="Body"/>
        <w:numPr>
          <w:ilvl w:val="0"/>
          <w:numId w:val="24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كانت براءة الاختراع تنطوي على تطوُّر تقني مهم ذي قيمة اقتصادية كبيرة، ولا يمكن استغلالها دون استغلال براءة اختراع أخرى، فإنَّه يجوز للهيئة منح مالك تلك البراءة ترخيصًا إجباريًا باستغلال البراءة الأخرى، ولا يجوز في هذه الحالة التنازل عن الترخيص الإجباري إلا بالتنازل عن البراءة الأخرى، ويكون لصاحب البراءة الأخرى الحق في الحصول على ترخيص مقابل من المرخص له إجباريًا، وفقًا لشروط معقولة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3ED2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يمكننا أنْ نلاحظ</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جمع الأحكام المختلفة التي تحكم الترخيص الإجباري باستغلال الاختراع في مادة واحدة، ولاحظ على هذه المادة أنَّها طويلة جدًا، وكان من الممكن تقسيمها إلى أربع أو خمس موادَّ، ضمن المنظم جميع الأحكام الخاصة بالترخيص الإجباري في النظام؛ ولذلك نجد أنَّ اللائحة التنفيذية أشارت إلى مسألة واحد فقط تتعلق بضرورة بيان اعتبارات المصلحة العامة عند الترخيص ببراءة الاختراع لجهة حكومية، وهذه المادة تتناول حالات، وشروط، وآثار الترخيص الإجباري في وقت واحد، وكان من الأجدى لو نظمت صياغة المادة بشكل يفضل بين حالات الترخيص الإجباري وشروطه؛ منعًا لوقوع أي لبس وزيادة في التوضيح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2DBF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ذلك يمكن لمن صرح له بالترخيص الإجباري وعمل على ربط براءة اختراع ببراءة أخرى ليكونوا مكملين لبعض؛ حتى يمكن الاستفادة منه عمليًا، فيمكن للمستخدم نشر المعلومات أو استغلال المواقع الإلكترونية؛ نظرًا لأهمية البيئة الرقمية في العصر الحديث</w:t>
      </w:r>
      <w:r>
        <w:rPr>
          <w:rStyle w:val="None"/>
          <w:rFonts w:ascii="Times New Roman" w:hAnsi="Times New Roman"/>
          <w:sz w:val="24"/>
          <w:szCs w:val="24"/>
          <w:rtl/>
          <w:lang w:val="ar-SA"/>
        </w:rPr>
        <w:t>.</w:t>
      </w:r>
    </w:p>
    <w:p w14:paraId="57130549" w14:textId="77777777" w:rsidR="00454428" w:rsidRDefault="00000000">
      <w:pPr>
        <w:pStyle w:val="Body"/>
        <w:numPr>
          <w:ilvl w:val="0"/>
          <w:numId w:val="244"/>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عندما يتعلق بتقنية أشباه الموصلات</w:t>
      </w:r>
      <w:r>
        <w:rPr>
          <w:rStyle w:val="None"/>
          <w:rFonts w:ascii="Times New Roman" w:hAnsi="Times New Roman"/>
          <w:sz w:val="28"/>
          <w:szCs w:val="28"/>
          <w:rtl/>
          <w:lang w:val="ar-SA"/>
        </w:rPr>
        <w:t>:</w:t>
      </w:r>
    </w:p>
    <w:p w14:paraId="0FBEAB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بالاختراعات المتعلقة بأشباه الموصلات، ما يتعلق بمادتي السيلكون والجرمانيوم، وهما من المواد التي ليست موصلًا جيدًا للحرارة، وليست في الوقت ذاته عازلةً للحرارة، فهي مركز وسط على أنَّه يمكن تغيير خواص هذه </w:t>
      </w:r>
      <w:r>
        <w:rPr>
          <w:rStyle w:val="None"/>
          <w:rFonts w:ascii="Arial Unicode MS" w:hAnsi="Arial Unicode MS" w:cs="Times New Roman" w:hint="cs"/>
          <w:sz w:val="24"/>
          <w:szCs w:val="24"/>
          <w:rtl/>
          <w:lang w:val="ar-SA"/>
        </w:rPr>
        <w:lastRenderedPageBreak/>
        <w:t>المواد؛ لتصبح موصلًا جيدًا للحرارة في ظروف تكنولوجية معينة، ويصبح لها وظيفة إلكترونية عند تحويل خواصها، والإفادة منها في الصناعات الدقيقة، ومن يتوصل إلى هذه التكنولوجيا في تغيير خواص واستخدامات أشباه الموصلات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0CD8D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وأجاز نظام براءة الاختراع منح ترخيص إجباري للاختراعات المتعلقة بتقنية أشباه الموصلات، وأشباه الموصلات هي مواد،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ولكنها تتميز بعزلها للحرارة كالزجاج، وتزيد قدرة أشباه الموصلات على توصيل التيار بارتفاع درجة حرارتها على عكس المواد المعروفة كالنحاس، التي تنخفض قدرتها على التوصيل بزيادة درجة حرارتها، تُعَدُّ قدرة أشباه الموصلات على توصيل التيار بارتفاع درجة حرارتها على عكس المواد المعروفة كالنحاس التي تنخفض قدرتها على التوصيل بزيادة درجة حرارتها، وتُعَدُّ أشباه الموصلات أساس صناعة الأجهزة الإلكترونية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أجهزة التلفزيون الرقيقة، وشاشات البلازما، وخلايا الطاقة الشمسية، وأشباه الموصلات لها تطبيقات صناعية كثيرة في مجال صناعة الأجهزة الحديثة والحصول على براءة اختراع فيها تدر أرباح كبيرة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C9A0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167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حالة ارتباط براءة الاختراع بتقنية أشباه الموصلات مع الترخيص الإجباري يمكن أنْ يضيف التطوُّر المطلوب في استعمال المواد الخام والتنوع بينها؛ لذلك يجب الحرص على عدم استغلال الترخيص الإجباري في المنافسة غير العادلة التي تضر مصالح المملكة</w:t>
      </w:r>
      <w:r>
        <w:rPr>
          <w:rStyle w:val="None"/>
          <w:rFonts w:ascii="Times New Roman" w:hAnsi="Times New Roman"/>
          <w:sz w:val="24"/>
          <w:szCs w:val="24"/>
          <w:rtl/>
          <w:lang w:val="ar-SA"/>
        </w:rPr>
        <w:t>.</w:t>
      </w:r>
    </w:p>
    <w:p w14:paraId="09EA8F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نستنتج أنَّه يجوز الترخيص الإجباري عندما يتعلق بتقنية أشباه الموصلات؛ نظرًا لأهميتها الكبيرة في الصناعة والتكنولوجيا،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وهنا يكون براءة الاختراع لها دور كبير في تقدم الصناعة وتنوعها وإيجاد حلول مبتكرة جديدة، ويمكن ترويجها عن طريق البيئة الرقمية، ومن خلال الوسائل الإلكترونية يمكن توفير البدائل المتطوِّرة والجديدة للعدد المناسب من الجمهور</w:t>
      </w:r>
      <w:r>
        <w:rPr>
          <w:rStyle w:val="None"/>
          <w:rFonts w:ascii="Times New Roman" w:hAnsi="Times New Roman"/>
          <w:sz w:val="24"/>
          <w:szCs w:val="24"/>
          <w:rtl/>
          <w:lang w:val="ar-SA"/>
        </w:rPr>
        <w:t>.</w:t>
      </w:r>
    </w:p>
    <w:p w14:paraId="068652C9" w14:textId="77777777" w:rsidR="00454428" w:rsidRDefault="00000000">
      <w:pPr>
        <w:pStyle w:val="Body"/>
        <w:numPr>
          <w:ilvl w:val="0"/>
          <w:numId w:val="233"/>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حماية الترخيص الإجباري للملكية الفكرية في البيئة الرقمية</w:t>
      </w:r>
      <w:r>
        <w:rPr>
          <w:rStyle w:val="None"/>
          <w:rFonts w:ascii="Times New Roman" w:hAnsi="Times New Roman"/>
          <w:b/>
          <w:bCs/>
          <w:sz w:val="28"/>
          <w:szCs w:val="28"/>
          <w:rtl/>
          <w:lang w:val="ar-SA"/>
        </w:rPr>
        <w:t>:</w:t>
      </w:r>
    </w:p>
    <w:p w14:paraId="6A2295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للترخيص الإجباري في البيئة الرقمية تعمل على الحفاظ على حقوق المؤلف أو صاحب الاختراع، وفي نفس الوقت المحافظة على المصلحة العامة، فالترخيص الإجباري يعطي الإفادة الكاملة للمصلحة العامة، والاستفادة الكاملة من براءة الاختراع؛ حتى ينتفع به الجمهور بسهولة الوصل إليه عن طريق البيئة الرقمية</w:t>
      </w:r>
      <w:r>
        <w:rPr>
          <w:rStyle w:val="None"/>
          <w:rFonts w:ascii="Times New Roman" w:hAnsi="Times New Roman"/>
          <w:sz w:val="24"/>
          <w:szCs w:val="24"/>
          <w:rtl/>
          <w:lang w:val="ar-SA"/>
        </w:rPr>
        <w:t>.</w:t>
      </w:r>
    </w:p>
    <w:p w14:paraId="4BDD9130"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وجاءت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الالتزامات المتعلقة بالمعلومات الضرورية لإدارة الحقوق بالنص على أنَّه</w:t>
      </w:r>
      <w:r>
        <w:rPr>
          <w:rStyle w:val="None"/>
          <w:rFonts w:ascii="Times New Roman" w:hAnsi="Times New Roman"/>
          <w:sz w:val="24"/>
          <w:szCs w:val="24"/>
          <w:rtl/>
          <w:lang w:val="ar-SA"/>
        </w:rPr>
        <w:t xml:space="preserve">: </w:t>
      </w:r>
    </w:p>
    <w:p w14:paraId="0E17C937" w14:textId="77777777" w:rsidR="00454428" w:rsidRDefault="00000000">
      <w:pPr>
        <w:pStyle w:val="Body"/>
        <w:numPr>
          <w:ilvl w:val="0"/>
          <w:numId w:val="24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على الأطراف المتعاقدة أنْ تنص في قوانينها على جزاءات مناسبة وفعَّالة توقع على أي شخص يباشر عن علم أيًا من الأعمال التالية، أو لديه أسباب كافية ليعلم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إلى الجزاءات المدنية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تلك الأعمال تحمل على ارتكاب تَعَدٍّ على أي حق من الحقوق التي تشملها هذه المعاهدة، أو اتفاقية برن، أو تمكن من ذلك، أو تسهل ذلك، أو تخفيه</w:t>
      </w:r>
      <w:r>
        <w:rPr>
          <w:rStyle w:val="None"/>
          <w:rFonts w:ascii="Times New Roman" w:hAnsi="Times New Roman"/>
          <w:sz w:val="24"/>
          <w:szCs w:val="24"/>
          <w:rtl/>
          <w:lang w:val="ar-SA"/>
        </w:rPr>
        <w:t>:</w:t>
      </w:r>
    </w:p>
    <w:p w14:paraId="418EF03D" w14:textId="77777777" w:rsidR="00454428" w:rsidRDefault="00000000">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23A322E9" w14:textId="77777777" w:rsidR="00454428" w:rsidRDefault="00000000">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وأنْ يوزع أو يستورد لأغراض التوزيع، أو يذيع، أو ينقل إلى الجمهور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مصنفاتٍ أو نُسخًا عن مصنفات،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447F1AD0" w14:textId="77777777" w:rsidR="00454428" w:rsidRDefault="00000000">
      <w:pPr>
        <w:pStyle w:val="Body"/>
        <w:numPr>
          <w:ilvl w:val="0"/>
          <w:numId w:val="24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الضرورية لإدارة الحقوق</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كما وردت في هذه المادة، المعلومات التي تسمح بتعريف المصنف، ومؤلف المصنف، وملك أي حق في المصنف، أو المعلومات المتعلقة بشروط الانتفاع بالمصنف، وأي أرقام أو شفرات ترمز إلى تلك المعلومات، ومتى كان أي عنصر من تلك المعلومات مقترنًا بنسخة عن المصنف أو ظاهرًا لدى نقل المصنف إلى الجمهور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3473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وتوضح المادة السابقة الالتزامات التي يجب أنْ يلتزم بها أطراف التعاقد، وهي التزامات متعلقة بالمعلومات الضرورية لإدارة الحقوق، ومن هذه الالتزامات اسم المؤلف أو صاحب براءة الاختراع وشروط استخدام المصنف، ويوجد عقوبات رادعة لمن يخالف تلك الالتزامات التي ينص عليها القانون، ومن يوزع أو ينقل معلومات عن طريق البيئة الرقمية، بمعنى استخدام نقل الحقوق أو تغيرها أو نشرها إلكتروني، فلممارسة تلك الحقوق من شخص آخر يلزم تصريح لذلك، وتشير المعلومات الضرورية لإدارة الحقوق إلى كل ما يخص المصنف ومؤلفه ومن له الحق في التصرف في ذلك المصنف الإلكتروني، وتوضح أيضًا تلك المعلومات من له حق الانتفاع من المصنف، ويظهر دور المعلومات الضرورية لإدارة الحقوق في حفظ حق المؤلف أو صاحب الاختراع من أي تلاعب قد يتم من خلال معلومات المحتوى في البيئة الرقمية الخاصة بحقوق الملكية الفكرية</w:t>
      </w:r>
      <w:r>
        <w:rPr>
          <w:rStyle w:val="None"/>
          <w:rFonts w:ascii="Times New Roman" w:hAnsi="Times New Roman"/>
          <w:sz w:val="24"/>
          <w:szCs w:val="24"/>
          <w:rtl/>
          <w:lang w:val="ar-SA"/>
        </w:rPr>
        <w:t>.</w:t>
      </w:r>
    </w:p>
    <w:p w14:paraId="062EC39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4B125A16"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1A16DCDB"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7A236F62"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C74FAC9"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6EC5D85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7099451"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520FC80C"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1" w:name="_Toc227251458"/>
      <w:r>
        <w:rPr>
          <w:rStyle w:val="None"/>
          <w:rFonts w:ascii="Arial Unicode MS" w:hAnsi="Arial Unicode MS" w:cs="Times New Roman" w:hint="cs"/>
          <w:b/>
          <w:bCs/>
          <w:sz w:val="32"/>
          <w:szCs w:val="32"/>
          <w:rtl/>
          <w:lang w:val="ar-SA"/>
        </w:rPr>
        <w:lastRenderedPageBreak/>
        <w:t>المطلب الثاني</w:t>
      </w:r>
      <w:bookmarkEnd w:id="231"/>
    </w:p>
    <w:p w14:paraId="427A502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2" w:name="_Toc227251459"/>
      <w:r>
        <w:rPr>
          <w:rStyle w:val="None"/>
          <w:rFonts w:ascii="Arial Unicode MS" w:hAnsi="Arial Unicode MS" w:cs="Times New Roman" w:hint="cs"/>
          <w:b/>
          <w:bCs/>
          <w:sz w:val="32"/>
          <w:szCs w:val="32"/>
          <w:rtl/>
          <w:lang w:val="ar-SA"/>
        </w:rPr>
        <w:t>الإثبات والتحقيق والضبط الفني في البيئة الرقمية</w:t>
      </w:r>
      <w:bookmarkEnd w:id="232"/>
    </w:p>
    <w:p w14:paraId="696188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الإثبات الرقمي</w:t>
      </w:r>
      <w:r>
        <w:rPr>
          <w:rStyle w:val="None"/>
          <w:rFonts w:ascii="Times New Roman" w:hAnsi="Times New Roman"/>
          <w:b/>
          <w:bCs/>
          <w:sz w:val="28"/>
          <w:szCs w:val="28"/>
          <w:rtl/>
          <w:lang w:val="ar-SA"/>
        </w:rPr>
        <w:t>:</w:t>
      </w:r>
    </w:p>
    <w:p w14:paraId="5DCB5B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الإثبات ووسائله أحد أهم مرتكزات حماية الحقوق والدفاع عنها؛ إذْ لا تتصور دعوى خالية من وسيلة من وسائل الإثبات وهو أحد أكثر المشتركات الإنسانية التي عرفتها البشرية على مر العصور وفي مختلف الأقاليم، واكتسبت نظرية الإثبات أهميتها الكبرى؛ لكونها أساس جُل الدعاوي سواء كانت مدنيةً أو تجاريةً، ولا تخلو دعوى إلا وبها واحدة من تلك الوسائل، وفي خضم هذا التطوُّر والصحوة الإلكترونية التي ساهمت بتفعيل دور المستخدمين باختلاف أماكنهم وثقافاتهم بتبادل المعلومات والبيانات بسهولة عبر شبكة الإنترنت من كل أنحاء العالم وقد أثار ذلك تساؤلات عديدة عن قدرة المنظمين في إيجاد حلول تواكب التطوُّر التقني في المجال القانوني وعلى رأسه الدليل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71BF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فالإثبات في البيئة الرقمية يكون معتمدًا على الدليل الرقمي في حماية الحقوق للأفراد والحفاظ عليها، ومن هنا سوف نتعرف على الدليل الرقمي؛ وذلك لما له من أهمية كبيرة في دور الإثبات الرقمي</w:t>
      </w:r>
      <w:r>
        <w:rPr>
          <w:rStyle w:val="None"/>
          <w:rFonts w:ascii="Times New Roman" w:hAnsi="Times New Roman"/>
          <w:sz w:val="24"/>
          <w:szCs w:val="24"/>
          <w:rtl/>
          <w:lang w:val="ar-SA"/>
        </w:rPr>
        <w:t>.</w:t>
      </w:r>
    </w:p>
    <w:p w14:paraId="6FDA8AED" w14:textId="77777777" w:rsidR="00454428" w:rsidRDefault="00000000">
      <w:pPr>
        <w:pStyle w:val="Body"/>
        <w:numPr>
          <w:ilvl w:val="0"/>
          <w:numId w:val="25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الدليل الرقمي</w:t>
      </w:r>
      <w:r>
        <w:rPr>
          <w:rStyle w:val="None"/>
          <w:rFonts w:ascii="Times New Roman" w:hAnsi="Times New Roman"/>
          <w:b/>
          <w:bCs/>
          <w:sz w:val="28"/>
          <w:szCs w:val="28"/>
          <w:rtl/>
          <w:lang w:val="ar-SA"/>
        </w:rPr>
        <w:t>:</w:t>
      </w:r>
    </w:p>
    <w:p w14:paraId="2E1099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عرَّفه المنظم السعودي بأنَّه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كل دليل مستمد من أي بيانات تنشأ، أو تصدر، أو تسلم، أو تحفظ، أو تبلغ بوسيلة رقمية، وتكون قابلةً للاسترجاع أو الحصول عليها بصورة يمكن فهمها، ويؤخذ من التعرُّف أنَّ الدلة الرقمية هي أشبه بالوعاء لعموم الأدلة ما دامت واردةً في شكل رقمي، ويظهر الارتباط بين المعنى اللغوي والاصطلاحي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 أنَّ الأدلة الرقمية بمعناها الاصطلاحي هي مسفرة وموضحة لما تدل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E89F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للدليل الرقمي تعاريف كثيرة منها ما نصت عليه المنظمة العالمية لدليل الكمبيوتر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ذات القيمة المحملة والمخزنة، أو المنقولة في صورة رقمية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ومن التعاريف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الدليل المأخوذ من أجهزة الكمبيوتر، ويكون في شكل مجالات، أو نبضات مغناطيسية أو كهربائية، يمكن تجميعها وتحليلها باستخدام برامج وتطبيقات وتكنولوجيا خاصة، وهو مكون رقمي لتقديم معلومات في أشكال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النصوص المكتوبة، أو الصور، والأصوات، والأشكال، والرسوم، ومنهم من عرَّفه بأنَّه دليل ذو طابع رقمي سواء كانت نصوصًا، أو صورًا، أو أصواتًا ورسوماتٍ، والذي تم ضبطه بالوسائل المشروعة من أجهزة ذات طبيعة رقمية، والتي يمكن تجميعها وتحليلها باستخدام برامج خاصة من قبل المختصين لتحليلها بغرض تقديمه إثبات أمام القضاء المختص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31E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نصت المادة </w:t>
      </w:r>
      <w:r>
        <w:rPr>
          <w:rStyle w:val="None"/>
          <w:rFonts w:ascii="Times New Roman" w:hAnsi="Times New Roman"/>
          <w:sz w:val="24"/>
          <w:szCs w:val="24"/>
          <w:rtl/>
          <w:lang w:val="ar-SA"/>
        </w:rPr>
        <w:t xml:space="preserve">53 </w:t>
      </w:r>
      <w:r>
        <w:rPr>
          <w:rStyle w:val="None"/>
          <w:rFonts w:ascii="Arial Unicode MS" w:hAnsi="Arial Unicode MS" w:cs="Times New Roman" w:hint="cs"/>
          <w:sz w:val="24"/>
          <w:szCs w:val="24"/>
          <w:rtl/>
          <w:lang w:val="ar-SA"/>
        </w:rPr>
        <w:t>من نظام الإثبات على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دليلًا رقميًا كل دليل مستمد من أي بيانات تنشأ، أو تصدر، أو تسلم، أو تحفظ، أو تبلغ بوسيلة رقمية، وتكون قابلةً للاسترجاع، أو الحصول عليها بصورة يمكن فهمها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6"/>
      </w:r>
      <w:r>
        <w:rPr>
          <w:rStyle w:val="None"/>
          <w:rFonts w:ascii="Times New Roman" w:hAnsi="Times New Roman"/>
          <w:sz w:val="24"/>
          <w:szCs w:val="24"/>
          <w:vertAlign w:val="superscript"/>
          <w:rtl/>
          <w:lang w:val="ar-SA"/>
        </w:rPr>
        <w:t>)</w:t>
      </w:r>
    </w:p>
    <w:p w14:paraId="451B513E"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ويمكننا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معلومات ذات قيمة يمكن إثباتها وتكون مخزنةً سواء على الحاسب الآلي أو الشبكات الإلكترونية، ويمكن جمعها وتحليلها سواء ببرامج أو بأدوات لاستخدمها كدليل قانوني</w:t>
      </w:r>
      <w:r>
        <w:rPr>
          <w:rStyle w:val="None"/>
          <w:rFonts w:ascii="Times New Roman" w:hAnsi="Times New Roman"/>
          <w:sz w:val="24"/>
          <w:szCs w:val="24"/>
          <w:rtl/>
          <w:lang w:val="ar-SA"/>
        </w:rPr>
        <w:t>".</w:t>
      </w:r>
    </w:p>
    <w:p w14:paraId="440890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ويعتبر الدليل الرقمي كل فعل ينشأ على أجهزة الكمبيوتر، ويمكن استرجاعها لاحقًا، فالفرق بين تعريف الدليل الرقمي في النظام السعودي والفقهاء في أنَّ النظام قد حدد الدليل الرقمي، وحدد أي وسيلة نشأت على الحاسب الآلي يمكن استخدمها كدليل إثبات، أما الفقهاء</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حددوا أي مستندات، أو أي بيانات تنشأ عن طريق الشبكات الإلكترونية، وكذا التطبيقات، أو الصور، أو الصوت، وهو ما يجعل تعريفتا الفقهاء أعمق من في التعريف</w:t>
      </w:r>
      <w:r>
        <w:rPr>
          <w:rStyle w:val="None"/>
          <w:rFonts w:ascii="Times New Roman" w:hAnsi="Times New Roman"/>
          <w:sz w:val="24"/>
          <w:szCs w:val="24"/>
          <w:rtl/>
          <w:lang w:val="ar-SA"/>
        </w:rPr>
        <w:t xml:space="preserve">. </w:t>
      </w:r>
    </w:p>
    <w:p w14:paraId="1789B0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 السابقة فإنها توضح أن المشرع السعودي قد بين أن الدليل الرقمي هو كل ما يستمد من بيانات رقمية قابلة للاسترجاع فهو دليل صالح للإثبات، وهذا يعكس ملائمة طبيعة الانتهاكات الرقمية المعقدة خاصة في مجال الملكية الفكرية في البيئة الرقمية فلا يمكن الاعتماد على الدليل التقليدي</w:t>
      </w:r>
      <w:r>
        <w:rPr>
          <w:rStyle w:val="None"/>
          <w:rFonts w:ascii="Times New Roman" w:hAnsi="Times New Roman"/>
          <w:sz w:val="24"/>
          <w:szCs w:val="24"/>
          <w:rtl/>
          <w:lang w:val="ar-SA"/>
        </w:rPr>
        <w:t>.</w:t>
      </w:r>
    </w:p>
    <w:p w14:paraId="184FE5DD" w14:textId="77777777" w:rsidR="00454428" w:rsidRDefault="00000000">
      <w:pPr>
        <w:pStyle w:val="Body"/>
        <w:numPr>
          <w:ilvl w:val="0"/>
          <w:numId w:val="25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الشروط اللازمة للإثبات بالدليل الرقمي</w:t>
      </w:r>
      <w:r>
        <w:rPr>
          <w:rStyle w:val="None"/>
          <w:rFonts w:ascii="Times New Roman" w:hAnsi="Times New Roman"/>
          <w:b/>
          <w:bCs/>
          <w:sz w:val="28"/>
          <w:szCs w:val="28"/>
          <w:rtl/>
          <w:lang w:val="ar-SA"/>
        </w:rPr>
        <w:t>:</w:t>
      </w:r>
    </w:p>
    <w:p w14:paraId="4C3216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قبل معرفة شروط الدليل الرقمي لا بُدَّ من معرفة أنواع الدليل الرقمي، فقد نص النظام في المادة </w:t>
      </w:r>
      <w:r>
        <w:rPr>
          <w:rStyle w:val="None"/>
          <w:rFonts w:ascii="Times New Roman" w:hAnsi="Times New Roman"/>
          <w:sz w:val="24"/>
          <w:szCs w:val="24"/>
          <w:rtl/>
          <w:lang w:val="ar-SA"/>
        </w:rPr>
        <w:t xml:space="preserve">(54) </w:t>
      </w:r>
      <w:r>
        <w:rPr>
          <w:rStyle w:val="None"/>
          <w:rFonts w:ascii="Arial Unicode MS" w:hAnsi="Arial Unicode MS" w:cs="Times New Roman" w:hint="cs"/>
          <w:sz w:val="24"/>
          <w:szCs w:val="24"/>
          <w:rtl/>
          <w:lang w:val="ar-SA"/>
        </w:rPr>
        <w:t>من نظام الإثبات السعودي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يشمل الدليل الرقمي الآتي</w:t>
      </w:r>
      <w:r>
        <w:rPr>
          <w:rStyle w:val="None"/>
          <w:rFonts w:ascii="Times New Roman" w:hAnsi="Times New Roman"/>
          <w:sz w:val="24"/>
          <w:szCs w:val="24"/>
          <w:rtl/>
          <w:lang w:val="ar-SA"/>
        </w:rPr>
        <w:t>:</w:t>
      </w:r>
    </w:p>
    <w:p w14:paraId="38A041FC"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السجل الرقمي</w:t>
      </w:r>
      <w:r>
        <w:rPr>
          <w:rStyle w:val="None"/>
          <w:rFonts w:ascii="Times New Roman" w:hAnsi="Times New Roman"/>
          <w:sz w:val="24"/>
          <w:szCs w:val="24"/>
          <w:rtl/>
          <w:lang w:val="ar-SA"/>
        </w:rPr>
        <w:t>.</w:t>
      </w:r>
    </w:p>
    <w:p w14:paraId="77101FC9"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المحرر الرقمي</w:t>
      </w:r>
      <w:r>
        <w:rPr>
          <w:rStyle w:val="None"/>
          <w:rFonts w:ascii="Times New Roman" w:hAnsi="Times New Roman"/>
          <w:sz w:val="24"/>
          <w:szCs w:val="24"/>
          <w:rtl/>
          <w:lang w:val="ar-SA"/>
        </w:rPr>
        <w:t>.</w:t>
      </w:r>
    </w:p>
    <w:p w14:paraId="40A0478C"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التوقيع الرقمي</w:t>
      </w:r>
      <w:r>
        <w:rPr>
          <w:rStyle w:val="None"/>
          <w:rFonts w:ascii="Times New Roman" w:hAnsi="Times New Roman"/>
          <w:sz w:val="24"/>
          <w:szCs w:val="24"/>
          <w:rtl/>
          <w:lang w:val="ar-SA"/>
        </w:rPr>
        <w:t>.</w:t>
      </w:r>
    </w:p>
    <w:p w14:paraId="5FE5A47E"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المراسلات الرقمية بما فيها البريد الرقمي</w:t>
      </w:r>
      <w:r>
        <w:rPr>
          <w:rStyle w:val="None"/>
          <w:rFonts w:ascii="Times New Roman" w:hAnsi="Times New Roman"/>
          <w:sz w:val="24"/>
          <w:szCs w:val="24"/>
          <w:rtl/>
          <w:lang w:val="ar-SA"/>
        </w:rPr>
        <w:t>.</w:t>
      </w:r>
    </w:p>
    <w:p w14:paraId="07E45F6D"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وسائل الاتصال</w:t>
      </w:r>
      <w:r>
        <w:rPr>
          <w:rStyle w:val="None"/>
          <w:rFonts w:ascii="Times New Roman" w:hAnsi="Times New Roman"/>
          <w:sz w:val="24"/>
          <w:szCs w:val="24"/>
          <w:rtl/>
          <w:lang w:val="ar-SA"/>
        </w:rPr>
        <w:t>.</w:t>
      </w:r>
    </w:p>
    <w:p w14:paraId="5F2D906B"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الوسائل الرقمية</w:t>
      </w:r>
      <w:r>
        <w:rPr>
          <w:rStyle w:val="None"/>
          <w:rFonts w:ascii="Times New Roman" w:hAnsi="Times New Roman"/>
          <w:sz w:val="24"/>
          <w:szCs w:val="24"/>
          <w:rtl/>
          <w:lang w:val="ar-SA"/>
        </w:rPr>
        <w:t>.</w:t>
      </w:r>
    </w:p>
    <w:p w14:paraId="720A3F12"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دليل رقني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E228C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الدليل الرقمي أصلًا بذاته عندما تستخدم طرق ووسائل فنية تؤكد سلامة المعلومات الواردة في الدليل الرقمي، ويسمح بالاطلاع على المعلومات التي يتضمنها الدليل الرقمي متى ما طلبت ذلك، فالمعلومات الرقمية سواء كانت على شكل سجل إلكتروني، أو توقيع إلكتروني، أو محرر إلكتروني، أو غيره من صور الأدلة الرقمية، فيتعين عند </w:t>
      </w:r>
      <w:r>
        <w:rPr>
          <w:rStyle w:val="None"/>
          <w:rFonts w:ascii="Arial Unicode MS" w:hAnsi="Arial Unicode MS" w:cs="Times New Roman" w:hint="cs"/>
          <w:sz w:val="24"/>
          <w:szCs w:val="24"/>
          <w:rtl/>
          <w:lang w:val="ar-SA"/>
        </w:rPr>
        <w:lastRenderedPageBreak/>
        <w:t xml:space="preserve">الأخذ بالدليل الرقمي مراعاة بعض الشروط الواجب توافرها في الدليل الرقمي، وهذه الشروط دليل قبولها كوسيلة من وسائل الإثبات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72F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أهم هذه الشروط لسلامة الدليل الرقمي، والتي نصت عليه المادة </w:t>
      </w:r>
      <w:r>
        <w:rPr>
          <w:rStyle w:val="None"/>
          <w:rFonts w:ascii="Times New Roman" w:hAnsi="Times New Roman"/>
          <w:sz w:val="24"/>
          <w:szCs w:val="24"/>
          <w:rtl/>
          <w:lang w:val="ar-SA"/>
        </w:rPr>
        <w:t xml:space="preserve">56 </w:t>
      </w:r>
      <w:r>
        <w:rPr>
          <w:rStyle w:val="None"/>
          <w:rFonts w:ascii="Arial Unicode MS" w:hAnsi="Arial Unicode MS" w:cs="Times New Roman" w:hint="cs"/>
          <w:sz w:val="24"/>
          <w:szCs w:val="24"/>
          <w:rtl/>
          <w:lang w:val="ar-SA"/>
        </w:rPr>
        <w:t>من نظام الإثبات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يكون للدليل الرقمي الرسمي الحجية المقررة للمحرَّر الرسمي، إذا استوفى الشروط المنصوص عليها في الفقرة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من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الخامسة والعشرين</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بما في ذلك ما يصدر آليًا من الأنظمة الرقمية للجهات العامة أو الجهات المكلفة بخدمة عامة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فنظام الإثبات السعودي وضع مواد قانونية توضح الاعتراف القانوني بالدليل الرقمي وحجية في الإثبات أمام القضاء</w:t>
      </w:r>
      <w:r>
        <w:rPr>
          <w:rStyle w:val="None"/>
          <w:rFonts w:ascii="Times New Roman" w:hAnsi="Times New Roman"/>
          <w:sz w:val="24"/>
          <w:szCs w:val="24"/>
          <w:rtl/>
          <w:lang w:val="ar-SA"/>
        </w:rPr>
        <w:t>.</w:t>
      </w:r>
    </w:p>
    <w:p w14:paraId="7C32FA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تعريف هذه الأدلة الرقمية وبيان مفهومها كما يلي، السجل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خلال الأنظمة ذات الصلة يظهر أنَّ معنى السجل الرقمي هو أي بيانات تنشأ، أو تصدر، أو تستلم، أو تحفظ، أو تبلغ بوسيلة رقمية، وتكون قابلةً للاسترجاع أو الحصول عليها بشكل يمكن فهمه، والمحرر الرقمي يختلف عن السجل الرقمي بنشأته، فالمحرر هو ما نشأ ابتداءً بطريقة رقمية، والتوقيع الرقمي هو بيانات إلكترونية مدرجة في تعامل إلكتروني، أو مضاف إليه، أو مرتبط به منطقيًا تستخدم لإثبات هُوِيَّة الموقع وموافقته على التعامل الإلكتروني، والمراسلات الرقمية بما فيها البريد الرقمي هي وثيقة إلكترونية يوجهها شخص، وهو المرسل إلى آخر وهو المرسل إليه، وفي الغالب تذيل بتوقيع المرسل، وتعرف وسائل الاتصال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التخاطب والتجاور بين الأفراد من خلال وسائل الاتصال الحديثة وذلك بالمشافهة، فهي وسائل الاتصال التي تتم من خلال الموقع والبرامج التي تعتمد على شبكة الإنترنت؛ لتسهيل التواصل بين المستخدمين</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AC0290F"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(9) </w:t>
      </w:r>
      <w:r>
        <w:rPr>
          <w:rStyle w:val="None"/>
          <w:rFonts w:ascii="Arial Unicode MS" w:hAnsi="Arial Unicode MS" w:cs="Times New Roman" w:hint="cs"/>
          <w:sz w:val="24"/>
          <w:szCs w:val="24"/>
          <w:rtl/>
          <w:lang w:val="ar-SA"/>
        </w:rPr>
        <w:t>من نظام التعاملات الإلكترونية السعودي التي تنص على أنَّه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1"/>
      </w:r>
      <w:r>
        <w:rPr>
          <w:rStyle w:val="None"/>
          <w:rFonts w:ascii="Times New Roman" w:hAnsi="Times New Roman"/>
          <w:sz w:val="24"/>
          <w:szCs w:val="24"/>
          <w:vertAlign w:val="superscript"/>
          <w:rtl/>
          <w:lang w:val="ar-SA"/>
        </w:rPr>
        <w:t>)</w:t>
      </w:r>
    </w:p>
    <w:p w14:paraId="48F3FF56"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يقبل التعامل الإلكتروني أو التوقيع الإلكتروني دليلًا في الإثبات إذا استوفى سجله الإلكتروني 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53976CBE"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يجوز قبول التعامل الإلكتروني أو التوقيع الإلكتروني قرينة في الإثبات، حتى وإنْ لم يستوفِ سجله الإلكتروني بمتطلبات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7333A171"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يعهد كل من التعامل الإلكتروني، والتوقيع الإلكتروني، والسجل الإلكتروني حجةً يعتد بها في التعاملات، وأنَّ كلًا منها على أصله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لم يتغير منذ إنشائه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لم يظهر خلاف ذلك</w:t>
      </w:r>
      <w:r>
        <w:rPr>
          <w:rStyle w:val="None"/>
          <w:rFonts w:ascii="Times New Roman" w:hAnsi="Times New Roman"/>
          <w:sz w:val="24"/>
          <w:szCs w:val="24"/>
          <w:rtl/>
          <w:lang w:val="ar-SA"/>
        </w:rPr>
        <w:t>.</w:t>
      </w:r>
    </w:p>
    <w:p w14:paraId="1EC565E3"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يراعي عند تقدير حجية التعامل الإلكتروني مدى الثقة في الآتي</w:t>
      </w:r>
      <w:r>
        <w:rPr>
          <w:rStyle w:val="None"/>
          <w:rFonts w:ascii="Times New Roman" w:hAnsi="Times New Roman"/>
          <w:sz w:val="24"/>
          <w:szCs w:val="24"/>
          <w:rtl/>
          <w:lang w:val="ar-SA"/>
        </w:rPr>
        <w:t>:</w:t>
      </w:r>
    </w:p>
    <w:p w14:paraId="15E27648"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إنشاء السجل الإلكتروني أو تخزينه أو إبلاغه، وإمكان التعديل عليه</w:t>
      </w:r>
      <w:r>
        <w:rPr>
          <w:rStyle w:val="None"/>
          <w:rFonts w:ascii="Times New Roman" w:hAnsi="Times New Roman"/>
          <w:sz w:val="24"/>
          <w:szCs w:val="24"/>
          <w:rtl/>
          <w:lang w:val="ar-SA"/>
        </w:rPr>
        <w:t>.</w:t>
      </w:r>
    </w:p>
    <w:p w14:paraId="2BE06034"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المحافظة على سلامة المعلومات</w:t>
      </w:r>
      <w:r>
        <w:rPr>
          <w:rStyle w:val="None"/>
          <w:rFonts w:ascii="Times New Roman" w:hAnsi="Times New Roman"/>
          <w:sz w:val="24"/>
          <w:szCs w:val="24"/>
          <w:rtl/>
          <w:lang w:val="ar-SA"/>
        </w:rPr>
        <w:t>.</w:t>
      </w:r>
    </w:p>
    <w:p w14:paraId="59D77FA2"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حددت بها شخصية المنشئ</w:t>
      </w:r>
      <w:r>
        <w:rPr>
          <w:rStyle w:val="None"/>
          <w:rFonts w:ascii="Times New Roman" w:hAnsi="Times New Roman"/>
          <w:sz w:val="24"/>
          <w:szCs w:val="24"/>
          <w:rtl/>
          <w:lang w:val="ar-SA"/>
        </w:rPr>
        <w:t>.</w:t>
      </w:r>
    </w:p>
    <w:p w14:paraId="3B4854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تعترف الأنظمة بالأخذ بالأدلة الرقمية في الأثبات الإلكتروني، ويجب أنْ تكون تلك الأدلة مستوفيةً الشروط التي نصت عليها المادة الثامنة من نظام التعاملات الإلكترونية السعودية، ويمكن أيضًا الأخذ بالتعامل الإلكتروني والتوقيع الإلكتروني، إذا لم يتوافر فيه شروط المادة الثامنة، فالتعامل الإلكتروني، والتوقيع الإلكتروني، والسجل الإلكتروني يمكن الأخذ بهم أدلة إثبات في البيئة الرقمية وذلك في حالة عدم إثبات عدم صحتهم، وعند الأخذ بهذه الأدلة الرقمية يجب النظر إلى مدى موثوقية الوسائل التي استخدمت في إنشاء السجل الإلكتروني، أو تخزينه، أو إبلاغه، والتحقق أيضًا من الطريقة التي حافظة على صحة المعلومات، وكذلك منشئ السجل الإلكتروني</w:t>
      </w:r>
      <w:r>
        <w:rPr>
          <w:rStyle w:val="None"/>
          <w:rFonts w:ascii="Times New Roman" w:hAnsi="Times New Roman"/>
          <w:sz w:val="24"/>
          <w:szCs w:val="24"/>
          <w:rtl/>
          <w:lang w:val="ar-SA"/>
        </w:rPr>
        <w:t>.</w:t>
      </w:r>
    </w:p>
    <w:p w14:paraId="60DAB2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سوف نوضح نص المادة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نظام التعاملات الإلكتروني السعودي،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السجل الإلكتروني أصلًا بذاته عندما تستخدم وسائل وشروط فنية تؤكد سلامة المعلومات الواردة فيه، من الوقت الذي أنشئ فيه بشكله النهائي على أنَّه سجل إلكتروني، وتسمح بعرض المعلومات المطلوب تقديمها متى طلب ذلك، وتحدد اللائحة الوسائل والشروط الفنية المطلوبة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F09D7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فالسجل الإلكتروني يعتبر مرجع موثوق فيه، وذلك من خلال اتباع السجل التجاري جميع وسائل والشروط التي تؤكد سلامة البيانات التي يحتوي عليها؛ ممَّا يمكن الرجوع إليها كأدلة إثبات بعد ذلك ويمكن تقديمها؛ وذلك لحفاظ السجل الإلكتروني على اتخاذ وسائل الحماية اللازمة للتعامل الإلكتروني</w:t>
      </w:r>
      <w:r>
        <w:rPr>
          <w:rStyle w:val="None"/>
          <w:rFonts w:ascii="Times New Roman" w:hAnsi="Times New Roman"/>
          <w:sz w:val="24"/>
          <w:szCs w:val="24"/>
          <w:rtl/>
          <w:lang w:val="ar-SA"/>
        </w:rPr>
        <w:t>.</w:t>
      </w:r>
    </w:p>
    <w:p w14:paraId="69D5B3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فالاعتماد على الوسائل التقليدية للتعاون الدولي الرسمي في مسائل الجريمة السيبرانية، لا يكفي في الوقت الحاضر للاستجابة في الوقت المناسب لمقتضيات الحصول على أدلة إلكترونية سريعة الزوال والتغير، وبما أنَّ عددًا متزايدًا من الجرائم يشتمل أدلةً إلكترونيةً توجد في أماكن جغرافية متعددة، سيشكل ذلك مشكلةً ليس فقط بشأن الجريمة السيبرانية، وأنَّ القواعد التي تحكم الإثبات الجنائي تهدف جميعًا إلى تحقيق العدالة الجنائية، وذلك بالكشف عن الحقيقة التي تهم المجتمع، باعتبار أنَّ الجريمة ما هي إلا اعتداء على الجماعة، ويمكن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الإثبات هو عملية برهنة أو تدليل على حقيقة واقعة معينة، ويجب أنْ يكون كشف الحقيقة مبنيًّا على يقين وجزم بوقوع الجريمة من المتهم المسند إليه ومِنْ ثَمَّ إدانته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5AE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فالإثبات هنا وسيلة لتأكيد الفعل الذي ارتكبه الشخص المعتدي على حقوق الغير، فمن خلال الإثبات يمكن تأكيد الفعل المخالف الذي قام به الشخص، فمن خلال ذلك يمكن استدعاء المخالف أو المتعدي على حقوق الغير للتحقيق معه</w:t>
      </w:r>
      <w:r>
        <w:rPr>
          <w:rStyle w:val="None"/>
          <w:rFonts w:ascii="Times New Roman" w:hAnsi="Times New Roman"/>
          <w:sz w:val="24"/>
          <w:szCs w:val="24"/>
          <w:rtl/>
          <w:lang w:val="ar-SA"/>
        </w:rPr>
        <w:t>.</w:t>
      </w:r>
    </w:p>
    <w:p w14:paraId="17E8FBC8"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التحقيق الرقمي</w:t>
      </w:r>
      <w:r>
        <w:rPr>
          <w:rStyle w:val="None"/>
          <w:rFonts w:ascii="Times New Roman" w:hAnsi="Times New Roman"/>
          <w:b/>
          <w:bCs/>
          <w:sz w:val="28"/>
          <w:szCs w:val="28"/>
          <w:rtl/>
          <w:lang w:val="ar-SA"/>
        </w:rPr>
        <w:t>:</w:t>
      </w:r>
    </w:p>
    <w:p w14:paraId="600FDBA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التحقيق الرقمي موضوعًا مهمًّا في صلب التحقيقات الجنائية؛ نظرًا لما له من طبيعة مختلفة عن نظيره التحقيق الجنائي التقليدي، وطريقة جمع للأدلة الرقمية، وخصوصًا مع تعاظم دور التقنيات في جميع مناحي الحياة؛ وإذ يكاد لا يخلو تحقيق جنائي اليوم من عمليات جمع لأدلة رقمية ضمن الحواسيب، أو الأجهزة النقالة، أو وسائط التخزين، وعلى الطرف الآخر تتعاظم النداءات التي تتحدث عن أهمية حماية الخصوية، والبيانات الشخصية للأفراد، وكيف أنَّ </w:t>
      </w:r>
      <w:r>
        <w:rPr>
          <w:rStyle w:val="None"/>
          <w:rFonts w:ascii="Arial Unicode MS" w:hAnsi="Arial Unicode MS" w:cs="Times New Roman" w:hint="cs"/>
          <w:sz w:val="24"/>
          <w:szCs w:val="24"/>
          <w:rtl/>
          <w:lang w:val="ar-SA"/>
        </w:rPr>
        <w:lastRenderedPageBreak/>
        <w:t xml:space="preserve">خصوصية الأفراد أصبحت عرضةً للتداول؟ نظرًا لضعف القوانين الناظمة لحماية البيانات من جهة، والتمادي في التعامل مع خصوصية الأفراد في معرض التحقيقات الجنائية أو الإجراءات الحكومية من جهة أخرى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sz w:val="24"/>
          <w:szCs w:val="24"/>
          <w:rtl/>
        </w:rPr>
        <w:t xml:space="preserve"> </w:t>
      </w:r>
    </w:p>
    <w:p w14:paraId="5B6A981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ويقع على عاتق المحقق الجنائي عدة التزامات لها أثر في الحد من هذه المعوقات، كوجوب احترام القواعد النظامية التي تحددها الأنظمة المختلفة للقيام بعملية الضبط والتحقيق، وأنْ يكون القائم بالتحقيق موضوعيًا متجردًا من كل ما يؤثر عليه في تحقيق الواقعة المرتكبة، بالإضافة إلى احترام حقوق المتهم في كل إجراءات التحقيق، كما أنَّه يؤثر في نجاح عملية التحقيق إنجاز المحقق مهام التحقيق بالسرعة والدقة اللازمة، كسرعة الانتقال إلى مسرح الجريمة، وسماع الشهود، وضبط المتهم، واستجوابه، والاستعانة بالمتخصصين في الحاسب الآلي؛ ليكونوا ضمن كوادر الأجهزة الأمنية والقضائية؛ 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لطريقة التحقيق في الجرائم الرقمية أثرًا كبيرًا في الحد من هذه المعوقات والوصول إلى الدليل؛ حيث إنَّ خبير الحاسب الآلي له دور مهم في الحصول على البيانات المخزنة في الحاسب الآلي، وملحقاته، والمتعلقة بالجريمة الرقمية، وعليه فإنَّه يجب على المحقق إجراء التحقيق بحضور الخبير، وتبادل المعلومات معه قبل البدء في التحقيق؛ وذلك لمعرفة الأبعاد الفنية والنقاط التي يجب استجلاؤها أثناء التحقيق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5A99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نظام حماية حقوق المؤلف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يتولى الموظفون المختصون بالهيئة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 وتحدد اللائحة التنفيذية الإجراءات والقواعد التي يلتزم بها هؤلاء الموظفون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5CB44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يعمل الموظفون التابعون لهيئة ضبط المخالفات على متابعة المنشآت الإعلامية، والتجارية، والمستودعات، والمؤسسات العامة والخاصة، والتأكد من أنَّهم يعملون على أحكام الحماية الفكرية الموضوعة من النظام ولوائحه، ويخوَّل لهم القضاء صفة الضبط عند عدم اتباع هذه المنشآت أحكام النظام وضوابطه، في الحدود التي رسمها النظام لشكل الضبط والإجراءات الازمة له</w:t>
      </w:r>
      <w:r>
        <w:rPr>
          <w:rStyle w:val="None"/>
          <w:rFonts w:ascii="Times New Roman" w:hAnsi="Times New Roman"/>
          <w:sz w:val="24"/>
          <w:szCs w:val="24"/>
          <w:rtl/>
          <w:lang w:val="ar-SA"/>
        </w:rPr>
        <w:t>.</w:t>
      </w:r>
    </w:p>
    <w:p w14:paraId="4216C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ويتميز التحقيق الرقمي بضرورة تعامله مع بيئة الحاسب الآلي، وكل ما يتعلق بها؛ ولذلك فمن أهم خصائصه التعامل مع نوع متخصص من الجرائم، وهي الجرائم الرقمية التي ترتكب عبر نظام الحاسوب والشبكة العنكبوتية، تحقيق ما يسمى بالأدلة الرقمية المتعلقة ببيئة الحاسب الآلي والإنترنت، والتعامل مع الاتصال الشبكي، وأنواعه المختلفة، ومعرفة كيفية انتقال البيانات عبر الأجهزة المختلفة وعبر شبكة الإنترنت، والتعامل مع الأنظمة المختلفة لتشغيل الحاسب الآلي، مع صيغ الملفات الإلكترونية المختلفة، وتطبيقات الحاسوب الرئيسية، والتواصل مع خدمة الإنترنت كأداة لجمع البيانات والتحريات عن الجرائم الإلكترونية، والتعامل مع تقنيات أمن الحاسوب والإنترنت لإمكانية ربطها بمجريات التحقيق، واستخدام الأدوات الفنية التي تستخدم في بنية نظم المعلومات وأهمها البريد الإلكتروني وبرامج المحادثة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DE9F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اللائحة التنفيذية لنظام حماية حقوق المؤلف بالنص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يتعين على مأموري الضبط سماع أقوال مَن تنسب إليهم مخالفة أي حكم من أحكام النظام واللائحة، أو مَن يمثلهم عند توفر دلائل ومؤشرات على وجود اعتداء، ولهم في سبيل ذلك</w:t>
      </w:r>
      <w:r>
        <w:rPr>
          <w:rStyle w:val="None"/>
          <w:rFonts w:ascii="Times New Roman" w:hAnsi="Times New Roman"/>
          <w:sz w:val="24"/>
          <w:szCs w:val="24"/>
          <w:rtl/>
          <w:lang w:val="ar-SA"/>
        </w:rPr>
        <w:t>:</w:t>
      </w:r>
    </w:p>
    <w:p w14:paraId="3DA64FA6"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أولى بوجوب مراجعة الإدارة المختصة في الهيئة خلال مدة لا تتجاوز ثلاثة أيامِ عملٍ من تاريخ الاستدعاء</w:t>
      </w:r>
      <w:r>
        <w:rPr>
          <w:rStyle w:val="None"/>
          <w:rFonts w:ascii="Times New Roman" w:hAnsi="Times New Roman"/>
          <w:sz w:val="24"/>
          <w:szCs w:val="24"/>
          <w:rtl/>
          <w:lang w:val="ar-SA"/>
        </w:rPr>
        <w:t>.</w:t>
      </w:r>
    </w:p>
    <w:p w14:paraId="304A5FA8"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نهائي بوجوب مراجعة الإدارة المختصة في الهيئة، خلال مدة لا تتجاوز خمسة أيامِ عملٍ من تاريخ الاستدعاء</w:t>
      </w:r>
      <w:r>
        <w:rPr>
          <w:rStyle w:val="None"/>
          <w:rFonts w:ascii="Times New Roman" w:hAnsi="Times New Roman"/>
          <w:sz w:val="24"/>
          <w:szCs w:val="24"/>
          <w:rtl/>
          <w:lang w:val="ar-SA"/>
        </w:rPr>
        <w:t>.</w:t>
      </w:r>
    </w:p>
    <w:p w14:paraId="30448D65"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أنْ يشتمل محضر التحقيق على البيانات التالية</w:t>
      </w:r>
      <w:r>
        <w:rPr>
          <w:rStyle w:val="None"/>
          <w:rFonts w:ascii="Times New Roman" w:hAnsi="Times New Roman"/>
          <w:sz w:val="24"/>
          <w:szCs w:val="24"/>
          <w:rtl/>
          <w:lang w:val="ar-SA"/>
        </w:rPr>
        <w:t xml:space="preserve">: </w:t>
      </w:r>
    </w:p>
    <w:p w14:paraId="50F11B9B"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ساعة ويوم وتاريخ ومكان سماع الأقوال</w:t>
      </w:r>
      <w:r>
        <w:rPr>
          <w:rStyle w:val="None"/>
          <w:rFonts w:ascii="Times New Roman" w:hAnsi="Times New Roman"/>
          <w:sz w:val="24"/>
          <w:szCs w:val="24"/>
          <w:rtl/>
          <w:lang w:val="ar-SA"/>
        </w:rPr>
        <w:t>.</w:t>
      </w:r>
    </w:p>
    <w:p w14:paraId="4CBCE0D3"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مَن تنسب إليه المخالفة، ورقم هُوِيَّته، وعناوين الاتصال به</w:t>
      </w:r>
      <w:r>
        <w:rPr>
          <w:rStyle w:val="None"/>
          <w:rFonts w:ascii="Times New Roman" w:hAnsi="Times New Roman"/>
          <w:sz w:val="24"/>
          <w:szCs w:val="24"/>
          <w:rtl/>
          <w:lang w:val="ar-SA"/>
        </w:rPr>
        <w:t>.</w:t>
      </w:r>
    </w:p>
    <w:p w14:paraId="0509DE7D"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مواجهته بالمخالفات المنسوبة إليه على وجه التحديد</w:t>
      </w:r>
      <w:r>
        <w:rPr>
          <w:rStyle w:val="None"/>
          <w:rFonts w:ascii="Times New Roman" w:hAnsi="Times New Roman"/>
          <w:sz w:val="24"/>
          <w:szCs w:val="24"/>
          <w:rtl/>
          <w:lang w:val="ar-SA"/>
        </w:rPr>
        <w:t>.</w:t>
      </w:r>
    </w:p>
    <w:p w14:paraId="66A92119"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كامل إجابات من تنسب إليه المخالفة عن الأسئلة الموجهة إليه،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أوجه دفاعه</w:t>
      </w:r>
      <w:r>
        <w:rPr>
          <w:rStyle w:val="None"/>
          <w:rFonts w:ascii="Times New Roman" w:hAnsi="Times New Roman"/>
          <w:sz w:val="24"/>
          <w:szCs w:val="24"/>
          <w:rtl/>
          <w:lang w:val="ar-SA"/>
        </w:rPr>
        <w:t>.</w:t>
      </w:r>
    </w:p>
    <w:p w14:paraId="0167A510" w14:textId="77777777" w:rsidR="00454428" w:rsidRDefault="00000000">
      <w:pPr>
        <w:pStyle w:val="Body"/>
        <w:numPr>
          <w:ilvl w:val="0"/>
          <w:numId w:val="26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تتم مساءلة مَن تنسب له المخالفة عن المدة الزمنية، التي مارس خلالها اعتداءاته على المصنف، ومدى ما حققه من عوائد مالية</w:t>
      </w:r>
      <w:r>
        <w:rPr>
          <w:rStyle w:val="None"/>
          <w:rFonts w:ascii="Times New Roman" w:hAnsi="Times New Roman"/>
          <w:sz w:val="24"/>
          <w:szCs w:val="24"/>
          <w:rtl/>
          <w:lang w:val="ar-SA"/>
        </w:rPr>
        <w:t>.</w:t>
      </w:r>
    </w:p>
    <w:p w14:paraId="0033F649"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لمأمور الضبط إذا اقتضى الحال استدعاء مَن يرى ضرورة سماع أقواله بشأن المخالفة وتدوينها بالمحضر</w:t>
      </w:r>
      <w:r>
        <w:rPr>
          <w:rStyle w:val="None"/>
          <w:rFonts w:ascii="Times New Roman" w:hAnsi="Times New Roman"/>
          <w:sz w:val="24"/>
          <w:szCs w:val="24"/>
          <w:rtl/>
          <w:lang w:val="ar-SA"/>
        </w:rPr>
        <w:t>.</w:t>
      </w:r>
    </w:p>
    <w:p w14:paraId="647C0D15"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للإدارة المختصة في الهيئة الاستعانة بأهل الخبرة في كشف المخالفات، وفقًا للإجراءات الإدارية التي تحكم هذا العمل</w:t>
      </w:r>
      <w:r>
        <w:rPr>
          <w:rStyle w:val="None"/>
          <w:rFonts w:ascii="Times New Roman" w:hAnsi="Times New Roman"/>
          <w:sz w:val="24"/>
          <w:szCs w:val="24"/>
          <w:rtl/>
          <w:lang w:val="ar-SA"/>
        </w:rPr>
        <w:t>.</w:t>
      </w:r>
    </w:p>
    <w:p w14:paraId="060EDDAC"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تقوم الإدارة المختصة برفع القضايا والمخالفات بكامل مستنداتها إلى اللجنة للنظر فيها</w:t>
      </w:r>
      <w:r>
        <w:rPr>
          <w:rStyle w:val="None"/>
          <w:rFonts w:ascii="Times New Roman" w:hAnsi="Times New Roman"/>
          <w:sz w:val="24"/>
          <w:szCs w:val="24"/>
          <w:rtl/>
          <w:lang w:val="ar-SA"/>
        </w:rPr>
        <w:t>.</w:t>
      </w:r>
    </w:p>
    <w:p w14:paraId="035AC0F1"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 عدم حضور الشخص المنسوبة إليه المخالفة، أو من ينوب عنه خلال الفترة المحددة للاستدعاء، يتم إحالة أوراق القضية للجنة لإصدار القرار بشأنها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A88C8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يجب على مأمور الضبط المسئول عن التحقيق في المخالفات الخاصة لنظام حماية حقوق المؤلف بأنْ يستمع إلى من وجه إليه تهم المخالفة، فيجب على مأمور الضبط اتباع تلك الخطوات التي نص عليها النظام، بأنْ يستدعي مراجعة المخالفة التي حدثت في الإدارة خلال مدة من الزمن لا تتجاوز الثلاثة أيامٍ من تاريخ بدء الاستدعاء، ويكون الاستدعاء النهائي المختص بمراجعة الإدارية في مدة لا تتجاوز خمسة أيامٍ من تاريخ الاستدعاء، ويجب أنْ يحتوي محضر التحقيق على تاريخ سماع الأقوال بالتفصيل، واسم مَن اتهم بالمخالفة وتفاصيله بالكامل، وعرض المخالفات المنسوبة إليه، كما يجب أنْ تتم كتابة جميع أقوال المتهم الناتجة عن الأسئلة الموجهة إليه، ومعرفة توقيت ممارسة الاعتداء على المصنف ومعرفة إلى أي مدى حقق أرباح عن طريق ذلك، كما يجوز لمأمور الضبط التحقيق مع من يراه مناسبًا لوقعة الاعتداء </w:t>
      </w:r>
      <w:r>
        <w:rPr>
          <w:rStyle w:val="None"/>
          <w:rFonts w:ascii="Arial Unicode MS" w:hAnsi="Arial Unicode MS" w:cs="Times New Roman" w:hint="cs"/>
          <w:sz w:val="24"/>
          <w:szCs w:val="24"/>
          <w:rtl/>
          <w:lang w:val="ar-SA"/>
        </w:rPr>
        <w:lastRenderedPageBreak/>
        <w:t>على المصنف، ويمكن للإدارة أنْ تلجأ لأصحاب الخبرة في الكشف عن الاعتداء على المصنف الإلكتروني وفقًا للقواعد والقوانين، وفي حالة امتناع الشخص، أو ما ينوب عنه عن حضور التحقيق يتم اصدار القرار من قبل اللجنة المختصة</w:t>
      </w:r>
      <w:r>
        <w:rPr>
          <w:rStyle w:val="None"/>
          <w:rFonts w:ascii="Times New Roman" w:hAnsi="Times New Roman"/>
          <w:sz w:val="24"/>
          <w:szCs w:val="24"/>
          <w:rtl/>
          <w:lang w:val="ar-SA"/>
        </w:rPr>
        <w:t>.</w:t>
      </w:r>
    </w:p>
    <w:p w14:paraId="1C2412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التحقيق الرقمي يهدف إلى جمع الأدلة الرقمية وحفظها من جميع الأجهزة والأنظمة الإلكترونية؛ حتى يمكن إثبات الواقعة من خلال تلك الأدلة التي تجمعها التحقيقات الرقمية، وتقوم التحقيقات على أساس علمي متطوِّر؛ حتى يتيح لها الفرصة في استرجاع البيانات أو المحذوفات، واستخدام البرامج المتطوِّرة في الكشف عن المخالفات الخاصة بانتهاك حقوق الآخرين، والجرائم الإلكترونية، مع مراعاة التوازن بين حماية الخصوصية وحماية الملكية الفكرية</w:t>
      </w:r>
      <w:r>
        <w:rPr>
          <w:rStyle w:val="None"/>
          <w:rFonts w:ascii="Times New Roman" w:hAnsi="Times New Roman"/>
          <w:sz w:val="24"/>
          <w:szCs w:val="24"/>
          <w:rtl/>
          <w:lang w:val="ar-SA"/>
        </w:rPr>
        <w:t>.</w:t>
      </w:r>
    </w:p>
    <w:p w14:paraId="2EF8C4EE"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الضبط الفني</w:t>
      </w:r>
      <w:r>
        <w:rPr>
          <w:rStyle w:val="None"/>
          <w:rFonts w:ascii="Times New Roman" w:hAnsi="Times New Roman"/>
          <w:b/>
          <w:bCs/>
          <w:sz w:val="28"/>
          <w:szCs w:val="28"/>
          <w:rtl/>
          <w:lang w:val="ar-SA"/>
        </w:rPr>
        <w:t>:</w:t>
      </w:r>
    </w:p>
    <w:p w14:paraId="18A7BC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محل الضبط في الجرائم المعلوماتية هو الدليل الرقمي، ويقصد بالدليل الرقمي كل بيانات يمكن إعدادها، أو تخزينها في شكل رقمي؛ بحيث تمكن الحاسوب من إنجاز مهمة ما، أو هو الدليل الذي يجد له أساسًا في العالم الافتراضي ويوقد إلى جريمة، أو هو عبارة عن معطيات مخزنة في نظام إلكتروني، أو معلوماتي يمكن استخدامها في قضية قانونية، ويختلف الضبط في الجرائم المعلوماتية عن الضبط في الجرائم التقليدية من حيث المحل؛ وذلك بسبب أنَّ الضبط الإلكتروني يرد على أشياء ذات طبيعة معنوية وهي البيانات، والضبط التقليدي يرد على أشياء مادية، ففي جريمة القتل مثلًا يتم ضبط أداة الجريمة، وفي جرائم المخدرات يتم ضبط المخدر نفسه، بينما في الجرائم المعلوماتية يمكن أنْ يكون محل الضبط المعلومات الكائنة في جهاز الحاسوب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FA0C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الحماية التي يكفلها المنظم للاتصالات العادية لا يقتصر نطاقها على هذا النوع من الاتصالات فحسب، بل تمتد هذه الحماية إلى الاتصالات الإلكترونية عبر الإنترنت من باب أولى بحسبان أنَّ الغاية من وراء هذه الحماية هي حماية الحياة الخاصة للإنسان بحماية مستودع أسراره الشخصية، وهذه الأسرار تكون أكثر انتهاكا إذا ما استخدمت الوسائل الإلكترونية في الوصول إليها، ومن ثَمَّ فإنَّها تكون في حاجة إلى حماية أكثر من تلك الحماية التي تحتاجها الاتصالات العادية، وإذا اقتضت ضرورة التحقيق مراقبة هذه الاتصالات وتسجيلها، فسنتبع حينها الضمانات نفسها المقررة للمحادثات التليفونية، مع مراعاة خصوصية هذه الاتصالات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AE1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(18)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يكون ضبط ما يقع من مخالفات لأحكام النظام واللائحة في أي من الحالات التالية</w:t>
      </w:r>
      <w:r>
        <w:rPr>
          <w:rStyle w:val="None"/>
          <w:rFonts w:ascii="Times New Roman" w:hAnsi="Times New Roman"/>
          <w:sz w:val="24"/>
          <w:szCs w:val="24"/>
          <w:rtl/>
          <w:lang w:val="ar-SA"/>
        </w:rPr>
        <w:t>:</w:t>
      </w:r>
    </w:p>
    <w:p w14:paraId="18E4D8AA"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شكوى مقدمة من أصحاب الحقوق أو من يمثلهم</w:t>
      </w:r>
      <w:r>
        <w:rPr>
          <w:rStyle w:val="None"/>
          <w:rFonts w:ascii="Times New Roman" w:hAnsi="Times New Roman"/>
          <w:sz w:val="24"/>
          <w:szCs w:val="24"/>
          <w:rtl/>
          <w:lang w:val="ar-SA"/>
        </w:rPr>
        <w:t>.</w:t>
      </w:r>
    </w:p>
    <w:p w14:paraId="1E58B499"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البلاغات الواردة وفق النماذج المعدة لذلك</w:t>
      </w:r>
      <w:r>
        <w:rPr>
          <w:rStyle w:val="None"/>
          <w:rFonts w:ascii="Times New Roman" w:hAnsi="Times New Roman"/>
          <w:sz w:val="24"/>
          <w:szCs w:val="24"/>
          <w:rtl/>
          <w:lang w:val="ar-SA"/>
        </w:rPr>
        <w:t>.</w:t>
      </w:r>
    </w:p>
    <w:p w14:paraId="4C1505F5"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الزيارات الميدانية لمأموري الضبط على المنشآت العامة، والمحلات التجارية التي تستخدم في نشاط أيٍّ من المصنفات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9260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يتم ضبط المخالفات الواقعة على حقوق الغير من خلال الشكوى المقدمة من أصحاب تلك الحقوق أو من ينوب عنهم، أو تقديم البلاغات عن طريق النماذج المخصصة للشكوى، وزيارة مأمور الضبط على كل من المنشآت العامة والمحلات التجارية تعمل على ضبط مخالفات الملكية الفكرية</w:t>
      </w:r>
      <w:r>
        <w:rPr>
          <w:rStyle w:val="None"/>
          <w:rFonts w:ascii="Times New Roman" w:hAnsi="Times New Roman"/>
          <w:sz w:val="24"/>
          <w:szCs w:val="24"/>
          <w:rtl/>
          <w:lang w:val="ar-SA"/>
        </w:rPr>
        <w:t>.</w:t>
      </w:r>
    </w:p>
    <w:p w14:paraId="538F8F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فالأهم بشأن الضبط تظهر حينما يتعين ضبط المعطيات المخزنة على أي وسيط من وسائط التخزين دون توافر إمكانية ضبط الدعامة المادية المخزن عليها هذه المعطيات، كذلك ليس بالإمكان ضبط النظام كله، أو الشبكات المتصلة به عندما تظهر أهمية ذلك في إثبات الجريمة؛ حيث إنَّ إعمال مبدأ التناسب يقتضي قصر الضبط على الأدلة التي تفيد في كشف الحقيقة دون أنْ يؤدي ذلك إلى تعطيل العمل كله في النظام أو في الشبكات المتصلة به؛ لذا يظهر أنَّ النسخ الأسلوب الأمثل الذي يمكن استخدامه في ضبط المعطيات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7AC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لمأموري الضبط عند قيامهم بمهام الضبط والتفتيش مباشرة الإجراءات التالية</w:t>
      </w:r>
      <w:r>
        <w:rPr>
          <w:rStyle w:val="None"/>
          <w:rFonts w:ascii="Times New Roman" w:hAnsi="Times New Roman"/>
          <w:sz w:val="24"/>
          <w:szCs w:val="24"/>
          <w:rtl/>
          <w:lang w:val="ar-SA"/>
        </w:rPr>
        <w:t xml:space="preserve">: </w:t>
      </w:r>
    </w:p>
    <w:p w14:paraId="13709160"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دخول مقارِّ المنشآت التي تنتج، أو تعرض، أو توزع، أو تبيع، أو تستخدم أو تقدم خدمات الصيانة لأي من المصنفات المتمتعة بالحماية، بما في ذلك ملحقات وتوابع تلك المقار وتفتيشها</w:t>
      </w:r>
      <w:r>
        <w:rPr>
          <w:rStyle w:val="None"/>
          <w:rFonts w:ascii="Times New Roman" w:hAnsi="Times New Roman"/>
          <w:sz w:val="24"/>
          <w:szCs w:val="24"/>
          <w:rtl/>
          <w:lang w:val="ar-SA"/>
        </w:rPr>
        <w:t>.</w:t>
      </w:r>
    </w:p>
    <w:p w14:paraId="6085CAC4"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ضبط وتحريز نسخ المصنفات والأجهزة، التي تقوم إزائها أسباب معقولة عند الفحص الأوَّلي على أنَّها محل اعتداء، وعلى المستندات المتعلقة بها عند الاقتضاء</w:t>
      </w:r>
      <w:r>
        <w:rPr>
          <w:rStyle w:val="None"/>
          <w:rFonts w:ascii="Times New Roman" w:hAnsi="Times New Roman"/>
          <w:sz w:val="24"/>
          <w:szCs w:val="24"/>
          <w:rtl/>
          <w:lang w:val="ar-SA"/>
        </w:rPr>
        <w:t>.</w:t>
      </w:r>
    </w:p>
    <w:p w14:paraId="07C0B891"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مساءلة فورية مع من تنسب إليه المخالفة، أو أي من العاملين بالمنشأة وسماع أقوال مالكها، أو مَن يمثله إذا قدر ملاءمة ذلك</w:t>
      </w:r>
      <w:r>
        <w:rPr>
          <w:rStyle w:val="None"/>
          <w:rFonts w:ascii="Times New Roman" w:hAnsi="Times New Roman"/>
          <w:sz w:val="24"/>
          <w:szCs w:val="24"/>
          <w:rtl/>
          <w:lang w:val="ar-SA"/>
        </w:rPr>
        <w:t>.</w:t>
      </w:r>
    </w:p>
    <w:p w14:paraId="077553B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جميع الأحوال يتعين السماح لمن تنسب إليه المخالفة بتقديم دفوعه كتابية أو تدوينها وإرفاق ذلك بمحضر يُعَدُّ لهذا الغرض، إضافةً إلى ما يقدمه من وثائق ومستندات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1960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 لمأمور الضبط الدخول إلى مقرات المنشآت التي تنتج، أو توزع، أو تقدم خدمات الصبانة لأي من المصنفات المتمتعة بالحماية، وما يتبعها من مقرات خاصة بتلك المنشآت وله الصالحية في تفتيشها، وعند إيجاد أحد المخالفات المنصوص عيها يمكن لمأمور الضبط أنْ يصادر تلك الأجهزة والأدوات التي استخدمت في الاعتداء على حقوق الغير، وسماع أقوال المتواجدين في المنشاة خلال ذلك الضبط، ويسمح لمن تنسب إليه المخالفة بتقديم دفوعه كتابية وإرفاقها بالمحضر</w:t>
      </w:r>
      <w:r>
        <w:rPr>
          <w:rStyle w:val="None"/>
          <w:rFonts w:ascii="Times New Roman" w:hAnsi="Times New Roman"/>
          <w:sz w:val="24"/>
          <w:szCs w:val="24"/>
          <w:rtl/>
          <w:lang w:val="ar-SA"/>
        </w:rPr>
        <w:t>.</w:t>
      </w:r>
    </w:p>
    <w:p w14:paraId="57954A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يختص رجال الضبط الجنائي بالتحري وجمع المعلومات في جريمة التنصت الإلكتروني؛ وذلك من خلال منصات البلاغات الإلكترونية، فإنَّ فحص البلاغات الواردة لمنصات البلاغات يقتضي جمع المعلومات المتعلقة بالواقعة الوارد بشأنها البلاغ عن طريق عدة وسائل؛ كون البلاغ خبر يحتمل الصحة والكذب، فضلًا أنَّ الاشتباه قد لا يكون له أساس من الوقائع، وقد منح المنظم الاختصاص الإجرائي فيما يتعلق بكشف هُوِيَّة المتنصت إلكترونيًا للمباحث الجنائية، </w:t>
      </w:r>
      <w:r>
        <w:rPr>
          <w:rStyle w:val="None"/>
          <w:rFonts w:ascii="Arial Unicode MS" w:hAnsi="Arial Unicode MS" w:cs="Times New Roman" w:hint="cs"/>
          <w:sz w:val="24"/>
          <w:szCs w:val="24"/>
          <w:rtl/>
          <w:lang w:val="ar-SA"/>
        </w:rPr>
        <w:lastRenderedPageBreak/>
        <w:t>ويتم ذلك من خلال تحرير البلاغ لإدارة مكافحة الجرائم المعلوماتية للإدارة العامة للتحريات والبحث الجنائي للأمن العام</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5FC711"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w:t>
      </w:r>
    </w:p>
    <w:p w14:paraId="16648B54" w14:textId="77777777" w:rsidR="00454428" w:rsidRDefault="00000000">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تتولى الإدارة المختصة مهام ضبط المخالفات وتحريز الأدلة الثبوتية الدالة على وجود اعتداء على حق المؤلف من أجهزة، أو مصنفات، أو سلع</w:t>
      </w:r>
      <w:r>
        <w:rPr>
          <w:rStyle w:val="None"/>
          <w:rFonts w:ascii="Times New Roman" w:hAnsi="Times New Roman"/>
          <w:sz w:val="24"/>
          <w:szCs w:val="24"/>
          <w:rtl/>
          <w:lang w:val="ar-SA"/>
        </w:rPr>
        <w:t>.</w:t>
      </w:r>
    </w:p>
    <w:p w14:paraId="2A41D92D" w14:textId="77777777" w:rsidR="00454428" w:rsidRDefault="00000000">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يتم إثبات ما تم ضبطه أو تحريزه في محضر الضبط على أنْ يتم توقيعه من قبل مأمور الضبط وصاحب المنشأة، أو من يمثله، ويدخل في ذلك العاملون في المنشأة، ويدون فيه ما يتعلق بحالات الامتناع عن التوقيع أو الهروب من الموقع على أنَّه يتضمن المحضر المعلومات التالية</w:t>
      </w:r>
      <w:r>
        <w:rPr>
          <w:rStyle w:val="None"/>
          <w:rFonts w:ascii="Times New Roman" w:hAnsi="Times New Roman"/>
          <w:sz w:val="24"/>
          <w:szCs w:val="24"/>
          <w:rtl/>
          <w:lang w:val="ar-SA"/>
        </w:rPr>
        <w:t xml:space="preserve">: </w:t>
      </w:r>
    </w:p>
    <w:p w14:paraId="3B356E03"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المنشأة وعنوانها والمعلومات الثبوتية الأساسية الخاصة بها</w:t>
      </w:r>
      <w:r>
        <w:rPr>
          <w:rStyle w:val="None"/>
          <w:rFonts w:ascii="Times New Roman" w:hAnsi="Times New Roman"/>
          <w:sz w:val="24"/>
          <w:szCs w:val="24"/>
          <w:rtl/>
          <w:lang w:val="ar-SA"/>
        </w:rPr>
        <w:t>.</w:t>
      </w:r>
    </w:p>
    <w:p w14:paraId="0BCA3AB1"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موقع وتاريخ الضبط</w:t>
      </w:r>
      <w:r>
        <w:rPr>
          <w:rStyle w:val="None"/>
          <w:rFonts w:ascii="Times New Roman" w:hAnsi="Times New Roman"/>
          <w:sz w:val="24"/>
          <w:szCs w:val="24"/>
          <w:rtl/>
          <w:lang w:val="ar-SA"/>
        </w:rPr>
        <w:t>.</w:t>
      </w:r>
    </w:p>
    <w:p w14:paraId="683A445B"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أسماء العاملين بالموقع</w:t>
      </w:r>
      <w:r>
        <w:rPr>
          <w:rStyle w:val="None"/>
          <w:rFonts w:ascii="Times New Roman" w:hAnsi="Times New Roman"/>
          <w:sz w:val="24"/>
          <w:szCs w:val="24"/>
          <w:rtl/>
          <w:lang w:val="ar-SA"/>
        </w:rPr>
        <w:t>.</w:t>
      </w:r>
    </w:p>
    <w:p w14:paraId="1E5D4FC5"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وطبيعة المصنف محل المخالفة وكمية النسخ المضبوطة ومواصفاتها</w:t>
      </w:r>
      <w:r>
        <w:rPr>
          <w:rStyle w:val="None"/>
          <w:rFonts w:ascii="Times New Roman" w:hAnsi="Times New Roman"/>
          <w:sz w:val="24"/>
          <w:szCs w:val="24"/>
          <w:rtl/>
          <w:lang w:val="ar-SA"/>
        </w:rPr>
        <w:t>.</w:t>
      </w:r>
    </w:p>
    <w:p w14:paraId="7CCA03F1"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62A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تعمل الجهة الإدارية المختصة على ضبط المخالفات المتعلقة بحقوق المؤلف، ويحق لجهة الإدارة تحريز الأجهزة أو المصنفات التي تتعدي على الملكية الفكرية للمؤلف، ويتم ذكر ما تم ضبطه من أحراز في محضر رسمي ويتم التوقيع عليه من قبل صاحب المنشأة، أو من ينوب عنه والعاملين في المنشاة، كما يتم ذكر حالات الامتناع التي تتم في موقع الضبط، ويتضمن المحضر الرسمي اسم المنشاة، وعنونها، والمعلومات الأساسية الخاصة بها، وموقع وتاريخ الضبط، وأسماء العاملين بالموقع، واسم وطبيعة المصنف محل المخالفة، وكمية النسخ المضبوطة ومواصفاتها، ونوع المخالفة، ووقائعها، وأسبابها، وظروفها</w:t>
      </w:r>
      <w:r>
        <w:rPr>
          <w:rStyle w:val="None"/>
          <w:rFonts w:ascii="Times New Roman" w:hAnsi="Times New Roman"/>
          <w:b/>
          <w:bCs/>
          <w:sz w:val="24"/>
          <w:szCs w:val="24"/>
          <w:rtl/>
          <w:lang w:val="ar-SA"/>
        </w:rPr>
        <w:t>.</w:t>
      </w:r>
    </w:p>
    <w:p w14:paraId="2095F3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وتتضمن إجراءات الضبط الجنائي الاختصاص الموضوعي لرجال الضبط الجنائي، وقد سبق الحديث عن مهامهم الإجرائية لضباط جرائم التنصت الإلكتروني في مطلب مهام رجال الضبط الجنائي، وفي هذا المطلب سيتم الحديث عن الإجراءات، الضبطية الملائمة لطبيعة جريمة التنصت الإلكتروني، واختصاص رجال الضبط الجنائي بتلقي البلاغات لجرائم التنصت، إلا أنَّ طبيعة الجرائم الإلكترونية، وجرائم التنصت بصفة خاصة تختلف عن بقية الجرائم التقليدية من حيث سرعة ارتكابها، وسهولة إزالة آثار الجريمة؛ ممَّا يجعل من الأهمية أنْ يتم توسيع دائرة الاختصاص في تلقي البلاغات في تلك الجرائم؛ لتشمل رجال الضبط الجنائي وغيرهم من الفنيين في الحاسب، والمختصين في الجرائم الإلكترونية؛ ليسهل مواكبة تطوُّر أساليب وصور جريمة التنصت الإلكتروني، خاصة أنَّ تلقي البلاغ يمكن أنْ يلحق </w:t>
      </w:r>
      <w:r>
        <w:rPr>
          <w:rStyle w:val="None"/>
          <w:rFonts w:ascii="Arial Unicode MS" w:hAnsi="Arial Unicode MS" w:cs="Times New Roman" w:hint="cs"/>
          <w:sz w:val="24"/>
          <w:szCs w:val="24"/>
          <w:rtl/>
          <w:lang w:val="ar-SA"/>
        </w:rPr>
        <w:lastRenderedPageBreak/>
        <w:t>الإجراء الذي يختص به رجل الضبط الجنائي دون غيره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كإجراء الكشف عن هُوِيَّة المجرم في جريمة التنصت الإلكتروني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B34072" w14:textId="77777777" w:rsidR="00454428" w:rsidRDefault="00000000"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p>
    <w:p w14:paraId="7EBC19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تتولى الإدارة المختصة مباشرة إجراءات ضبط المواقع الإلكترونية في شبكة الإنترنت العالمية عند وجود تَعَدٍّ على حق المؤلف وفق الإجراءات التالية</w:t>
      </w:r>
      <w:r>
        <w:rPr>
          <w:rStyle w:val="None"/>
          <w:rFonts w:ascii="Times New Roman" w:hAnsi="Times New Roman"/>
          <w:sz w:val="24"/>
          <w:szCs w:val="24"/>
          <w:rtl/>
          <w:lang w:val="ar-SA"/>
        </w:rPr>
        <w:t>:</w:t>
      </w:r>
    </w:p>
    <w:p w14:paraId="111DA870" w14:textId="77777777" w:rsidR="00454428" w:rsidRDefault="00000000">
      <w:pPr>
        <w:pStyle w:val="Body"/>
        <w:numPr>
          <w:ilvl w:val="0"/>
          <w:numId w:val="27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القيام بإجراءات ضبط المخالفة عبر تحرير محضر ضبط يتضمن التالي</w:t>
      </w:r>
      <w:r>
        <w:rPr>
          <w:rStyle w:val="None"/>
          <w:rFonts w:ascii="Times New Roman" w:hAnsi="Times New Roman"/>
          <w:sz w:val="24"/>
          <w:szCs w:val="24"/>
          <w:rtl/>
          <w:lang w:val="ar-SA"/>
        </w:rPr>
        <w:t>:</w:t>
      </w:r>
    </w:p>
    <w:p w14:paraId="39D39E3D"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سبب قيام عملية الضغط</w:t>
      </w:r>
      <w:r>
        <w:rPr>
          <w:rStyle w:val="None"/>
          <w:rFonts w:ascii="Times New Roman" w:hAnsi="Times New Roman"/>
          <w:sz w:val="24"/>
          <w:szCs w:val="24"/>
          <w:rtl/>
          <w:lang w:val="ar-SA"/>
        </w:rPr>
        <w:t>.</w:t>
      </w:r>
    </w:p>
    <w:p w14:paraId="066A63EE"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النطاق أو عنوان بروتوكول الإنترنت للمواقع الإلكتروني</w:t>
      </w:r>
      <w:r>
        <w:rPr>
          <w:rStyle w:val="None"/>
          <w:rFonts w:ascii="Times New Roman" w:hAnsi="Times New Roman"/>
          <w:sz w:val="24"/>
          <w:szCs w:val="24"/>
          <w:rtl/>
          <w:lang w:val="ar-SA"/>
        </w:rPr>
        <w:t>.</w:t>
      </w:r>
    </w:p>
    <w:p w14:paraId="3A8845CD"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مكان وقوع المخالفة داخل الموقع الإلكتروني</w:t>
      </w:r>
      <w:r>
        <w:rPr>
          <w:rStyle w:val="None"/>
          <w:rFonts w:ascii="Times New Roman" w:hAnsi="Times New Roman"/>
          <w:sz w:val="24"/>
          <w:szCs w:val="24"/>
          <w:rtl/>
          <w:lang w:val="ar-SA"/>
        </w:rPr>
        <w:t>.</w:t>
      </w:r>
    </w:p>
    <w:p w14:paraId="18EAA6FC"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rtl/>
          <w:lang w:val="ar-SA"/>
        </w:rPr>
        <w:t>.</w:t>
      </w:r>
    </w:p>
    <w:p w14:paraId="7D14DF65" w14:textId="77777777" w:rsidR="00454428" w:rsidRDefault="00000000">
      <w:pPr>
        <w:pStyle w:val="Body"/>
        <w:numPr>
          <w:ilvl w:val="0"/>
          <w:numId w:val="27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تُعِدُّ الإدارة المختصة تقريرًا فنيًا بشأن محضر الضبط، على أنْ يشمل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بحد أدنى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 المعلومات التالية</w:t>
      </w:r>
      <w:r>
        <w:rPr>
          <w:rStyle w:val="None"/>
          <w:rFonts w:ascii="Times New Roman" w:hAnsi="Times New Roman"/>
          <w:sz w:val="24"/>
          <w:szCs w:val="24"/>
          <w:rtl/>
          <w:lang w:val="ar-SA"/>
        </w:rPr>
        <w:t>:</w:t>
      </w:r>
    </w:p>
    <w:p w14:paraId="24CB1B55"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المعلومات الأساسية لقيام عملية الضبط</w:t>
      </w:r>
      <w:r>
        <w:rPr>
          <w:rStyle w:val="None"/>
          <w:rFonts w:ascii="Times New Roman" w:hAnsi="Times New Roman"/>
          <w:sz w:val="24"/>
          <w:szCs w:val="24"/>
          <w:rtl/>
          <w:lang w:val="ar-SA"/>
        </w:rPr>
        <w:t>.</w:t>
      </w:r>
    </w:p>
    <w:p w14:paraId="1EE4461A"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وصف تفصيلي عن الموقع الإلكتروني يتضمن نشاطه وخدماته</w:t>
      </w:r>
      <w:r>
        <w:rPr>
          <w:rStyle w:val="None"/>
          <w:rFonts w:ascii="Times New Roman" w:hAnsi="Times New Roman"/>
          <w:sz w:val="24"/>
          <w:szCs w:val="24"/>
          <w:rtl/>
          <w:lang w:val="ar-SA"/>
        </w:rPr>
        <w:t>.</w:t>
      </w:r>
    </w:p>
    <w:p w14:paraId="36620C18"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المخالفات والاعتداءات التي يشتمل عليها الموقع الإلكتروني</w:t>
      </w:r>
      <w:r>
        <w:rPr>
          <w:rStyle w:val="None"/>
          <w:rFonts w:ascii="Times New Roman" w:hAnsi="Times New Roman"/>
          <w:sz w:val="24"/>
          <w:szCs w:val="24"/>
          <w:rtl/>
          <w:lang w:val="ar-SA"/>
        </w:rPr>
        <w:t>.</w:t>
      </w:r>
    </w:p>
    <w:p w14:paraId="6A76B47B"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طريقة وأسلوب الاعتداء</w:t>
      </w:r>
      <w:r>
        <w:rPr>
          <w:rStyle w:val="None"/>
          <w:rFonts w:ascii="Times New Roman" w:hAnsi="Times New Roman"/>
          <w:sz w:val="24"/>
          <w:szCs w:val="24"/>
          <w:rtl/>
          <w:lang w:val="ar-SA"/>
        </w:rPr>
        <w:t>.</w:t>
      </w:r>
    </w:p>
    <w:p w14:paraId="66F6C2A0"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معلومات أو حقائق فنية أخرى عن المصنف وطريقة الاعتداء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955C34"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تعمل الإدارة المختصة على ضبط المواقع الإلكترونية المتعلقة بالتعدي على حق المؤلف وتتبع الإجراءات الأتية، ضبط المخالفة من خلال محضر رسمي يحتوي على اسم النطاق للمواقع الإلكتروني، وتحديد مكان وقوع المخالفة داخل الموقع الإلكتروني، ونوع المخالفة ووقائعها وأسببها، وتقوم الإدارة المختصة بكتابة تقرير فنيٍّ يحتوي على محضر الضبط، ويشمل ذلك التقرير ما يلي، المعلومات الأساسية لقيام عملية الضبط، ووصف تفصيلي عن المواقع الإلكترونية، وتحديد طريقة وأسلوب الاعتداء، وأي معلومات أو حقائق غنية أخرى عن المصنف وطريقة الاعتداء</w:t>
      </w:r>
      <w:r>
        <w:rPr>
          <w:rStyle w:val="None"/>
          <w:rFonts w:ascii="Times New Roman" w:hAnsi="Times New Roman"/>
          <w:sz w:val="24"/>
          <w:szCs w:val="24"/>
          <w:rtl/>
          <w:lang w:val="ar-SA"/>
        </w:rPr>
        <w:t>.</w:t>
      </w:r>
    </w:p>
    <w:p w14:paraId="33FEF5D5"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يتبن أنَّ الضبط يقوم على جمع الأدلة والمعلومات الإلكترونية من خلال أجهزة والشبكات، مع الحرص على سلامة تلك المعلومات والبيانات التي تم ضبطها؛ حتى تكون صالحةً للاستخدام أمام الهيئة القضائية، ويعتبر الضبط الفني أداةً مهمةً جدًا؛ للحد من الجريمة الإلكترونية، والحفاظ على حقوق الغير من السرقة والأنشطة غير المشروعة على الإنترنت</w:t>
      </w:r>
      <w:r>
        <w:rPr>
          <w:rStyle w:val="None"/>
          <w:rFonts w:ascii="Times New Roman" w:hAnsi="Times New Roman"/>
          <w:sz w:val="24"/>
          <w:szCs w:val="24"/>
          <w:rtl/>
          <w:lang w:val="ar-SA"/>
        </w:rPr>
        <w:t xml:space="preserve">. </w:t>
      </w:r>
    </w:p>
    <w:p w14:paraId="76393FF2" w14:textId="77777777" w:rsidR="00454428" w:rsidRDefault="00000000" w:rsidP="004443D4">
      <w:pPr>
        <w:pStyle w:val="Body"/>
        <w:widowControl w:val="0"/>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b/>
          <w:bCs/>
          <w:sz w:val="24"/>
          <w:szCs w:val="24"/>
          <w:rtl/>
          <w:lang w:val="ar-SA"/>
        </w:rPr>
        <w:lastRenderedPageBreak/>
        <w:t xml:space="preserve">الاثبات الرقمي </w:t>
      </w:r>
      <w:r>
        <w:rPr>
          <w:rStyle w:val="None"/>
          <w:rFonts w:ascii="Times New Roman" w:hAnsi="Times New Roman"/>
          <w:b/>
          <w:bCs/>
          <w:sz w:val="24"/>
          <w:szCs w:val="24"/>
          <w:rtl/>
          <w:lang w:val="ar-SA"/>
        </w:rPr>
        <w:t>(</w:t>
      </w:r>
      <w:r>
        <w:rPr>
          <w:rStyle w:val="None"/>
          <w:rFonts w:ascii="Times New Roman" w:hAnsi="Times New Roman"/>
          <w:b/>
          <w:bCs/>
          <w:sz w:val="24"/>
          <w:szCs w:val="24"/>
        </w:rPr>
        <w:t>Blockchain</w:t>
      </w:r>
      <w:r>
        <w:rPr>
          <w:rStyle w:val="None"/>
          <w:rFonts w:ascii="Times New Roman" w:hAnsi="Times New Roman"/>
          <w:b/>
          <w:bCs/>
          <w:sz w:val="24"/>
          <w:szCs w:val="24"/>
          <w:rtl/>
          <w:lang w:val="ar-SA"/>
        </w:rPr>
        <w:t>)</w:t>
      </w:r>
      <w:r>
        <w:rPr>
          <w:rStyle w:val="None"/>
          <w:rFonts w:ascii="Times New Roman" w:hAnsi="Times New Roman"/>
          <w:sz w:val="24"/>
          <w:szCs w:val="24"/>
          <w:rtl/>
          <w:lang w:val="ar-SA"/>
        </w:rPr>
        <w:t xml:space="preserve"> </w:t>
      </w:r>
    </w:p>
    <w:p w14:paraId="649E2EF8" w14:textId="4E2FBF68"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تطور البيئة الرقمية، برزت تحديات جديدة في مجال الإثبات، حيث لم تعد وسائل الإثبات التقليدية كافية لإثبات الاعتداءات التي تقع على المصنفات الرقمية، الأمر الذي يستدعي تطوير وسائل إثبات تتناسب مع طبيعة هذه البيئة</w:t>
      </w:r>
      <w:r>
        <w:rPr>
          <w:rStyle w:val="None"/>
          <w:rFonts w:ascii="Times New Roman" w:hAnsi="Times New Roman"/>
          <w:sz w:val="24"/>
          <w:szCs w:val="24"/>
          <w:rtl/>
          <w:lang w:val="ar-SA"/>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ومن بين التقنيات الحديثة التي يمكن الاستفادة منها تقنية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البلوكشين</w:t>
      </w:r>
      <w:r>
        <w:rPr>
          <w:rStyle w:val="None"/>
          <w:rFonts w:ascii="Times New Roman" w:hAnsi="Times New Roman"/>
          <w:sz w:val="24"/>
          <w:szCs w:val="24"/>
        </w:rPr>
        <w:t>”</w:t>
      </w:r>
      <w:r>
        <w:rPr>
          <w:rStyle w:val="None"/>
          <w:rFonts w:ascii="Arial Unicode MS" w:hAnsi="Arial Unicode MS" w:cs="Times New Roman" w:hint="cs"/>
          <w:sz w:val="24"/>
          <w:szCs w:val="24"/>
          <w:rtl/>
          <w:lang w:val="ar-SA"/>
        </w:rPr>
        <w:t>، والتي تعتمد على إنشاء سجل رقمي موزع يتميز بعدم القابلية للتعديل، مما يضمن موثوقية البيانات المسجلة</w:t>
      </w:r>
      <w:r>
        <w:rPr>
          <w:rStyle w:val="None"/>
          <w:rFonts w:ascii="Times New Roman" w:hAnsi="Times New Roman"/>
          <w:sz w:val="24"/>
          <w:szCs w:val="24"/>
          <w:rtl/>
        </w:rPr>
        <w:t>.</w:t>
      </w:r>
    </w:p>
    <w:p w14:paraId="6B3D977C" w14:textId="66AE0C80" w:rsidR="00454428" w:rsidRPr="004443D4"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وتكمن أهمية هذه التقنية في إمكانية استخدامها لتوثيق المصنفات الرقمية وتحديد تاريخ إنشائها، بما يسهم في إثبات ملكية المصنف وأسبقية الحق فيه</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تتيح هذه التقنية تتبع تداول المصنفات الرقمية، مما يساعد في الكشف عن أي استخدام غير مشروع لها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إلا أن الاستفادة الفعلية من هذه التقنية تظل مرهونة بوجود إطار قانوني ينظم حجيتها في الإثبات، ويحدد مدى إمكانية الاعتماد عليها كدليل أمام القضاء، بما يضمن توظيفها بشكل فعال ضمن منظومة الإثبات الحديثة</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Fonts w:ascii="Arial Unicode MS" w:hAnsi="Arial Unicode MS" w:cs="Times New Roman" w:hint="cs"/>
          <w:sz w:val="24"/>
          <w:szCs w:val="24"/>
          <w:rtl/>
          <w:lang w:val="ar-SA"/>
        </w:rPr>
        <w:t>في ضوء ما سبق من عرض لوسائل الإثبات في البيئة الرقمية، يبرز جانب مهم يتعلق بتهيئة القضاء للتعامل مع هذه الطبيعة الخاصة من المنازعات</w:t>
      </w:r>
      <w:r>
        <w:rPr>
          <w:rFonts w:ascii="Times New Roman" w:hAnsi="Times New Roman"/>
          <w:sz w:val="24"/>
          <w:szCs w:val="24"/>
          <w:rtl/>
          <w:lang w:val="ar-SA"/>
        </w:rPr>
        <w:t>.</w:t>
      </w:r>
    </w:p>
    <w:p w14:paraId="34E95367" w14:textId="24F97226" w:rsidR="00454428" w:rsidRDefault="00000000" w:rsidP="004443D4">
      <w:pPr>
        <w:pStyle w:val="Body"/>
        <w:widowControl w:val="0"/>
        <w:spacing w:before="120" w:after="120" w:line="360" w:lineRule="auto"/>
        <w:rPr>
          <w:rStyle w:val="None"/>
          <w:rFonts w:ascii="Times New Roman" w:eastAsia="Times New Roman" w:hAnsi="Times New Roman" w:cs="Times New Roman"/>
          <w:b/>
          <w:bCs/>
          <w:sz w:val="24"/>
          <w:szCs w:val="24"/>
          <w:lang w:val="ar-SA"/>
        </w:rPr>
      </w:pPr>
      <w:r>
        <w:rPr>
          <w:rFonts w:ascii="Times New Roman" w:hAnsi="Times New Roman" w:cs="Times New Roman" w:hint="cs"/>
          <w:b/>
          <w:bCs/>
          <w:sz w:val="24"/>
          <w:szCs w:val="24"/>
          <w:rtl/>
          <w:lang w:val="ar-SA"/>
        </w:rPr>
        <w:t xml:space="preserve"> دعم القضاة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تدريب القضاة</w:t>
      </w:r>
      <w:r>
        <w:rPr>
          <w:rFonts w:ascii="Times New Roman" w:hAnsi="Times New Roman"/>
          <w:b/>
          <w:bCs/>
          <w:sz w:val="24"/>
          <w:szCs w:val="24"/>
          <w:rtl/>
          <w:lang w:val="ar-SA"/>
        </w:rPr>
        <w:t xml:space="preserve">) </w:t>
      </w:r>
    </w:p>
    <w:p w14:paraId="60D7AF38" w14:textId="7C9644E9" w:rsidR="00454428"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تفرض المنازعات الرقمية تحديات خاصة على العمل القضائي، نظراً لارتباطها بعناصر تقنية معقدة، مما يتطلب تطوير قدرات القضاة في هذا المجال</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ولا يقتصر ذلك على التدريب النظري، بل يمتد ليشمل برامج تدريبية عملية تتناول كيفية التعامل مع الأدلة الرقمية، وفحص المواقع الإلكترونية، وتحليل البيانات، وفهم طبيعة الجرائم الإلكترونية</w:t>
      </w:r>
      <w:r>
        <w:rPr>
          <w:rFonts w:ascii="Times New Roman" w:hAnsi="Times New Roman"/>
          <w:sz w:val="24"/>
          <w:szCs w:val="24"/>
          <w:rtl/>
          <w:lang w:val="ar-SA"/>
        </w:rPr>
        <w:t>.</w:t>
      </w:r>
    </w:p>
    <w:p w14:paraId="719D4146" w14:textId="13916871" w:rsidR="00454428" w:rsidRPr="004443D4" w:rsidRDefault="00000000" w:rsidP="004443D4">
      <w:pPr>
        <w:pStyle w:val="Body"/>
        <w:widowControl w:val="0"/>
        <w:spacing w:before="120" w:after="120" w:line="360" w:lineRule="auto"/>
        <w:ind w:firstLine="720"/>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كما يبرز دور الخبرة الفنية في دعم القضاء، من خلال إنشاء وحدات متخصصة داخل المحاكم تتولى تحليل الأدلة الرقمية وتقديم الدعم الفني</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ويسهم ذلك في تعزيز كفاءة القضاء في التعامل مع المنازعات الرقمية وتحقيق العدالة بشكل أكثر دقة، ويُعد ذلك من المتطلبات الأساسية لتطوير المنظومة القضائية بما يتلاءم مع التحول الرقمي المتسارع</w:t>
      </w:r>
      <w:r>
        <w:rPr>
          <w:rFonts w:ascii="Times New Roman" w:hAnsi="Times New Roman"/>
          <w:sz w:val="24"/>
          <w:szCs w:val="24"/>
          <w:rtl/>
          <w:lang w:val="ar-SA"/>
        </w:rPr>
        <w:t>.</w:t>
      </w:r>
    </w:p>
    <w:p w14:paraId="38DE031B" w14:textId="6B6407D8" w:rsidR="00454428" w:rsidRDefault="00000000" w:rsidP="004443D4">
      <w:pPr>
        <w:pStyle w:val="Body"/>
        <w:widowControl w:val="0"/>
        <w:spacing w:before="120" w:after="120" w:line="360" w:lineRule="auto"/>
        <w:rPr>
          <w:rStyle w:val="None"/>
          <w:rFonts w:ascii="Times New Roman" w:eastAsia="Times New Roman" w:hAnsi="Times New Roman" w:cs="Times New Roman"/>
          <w:b/>
          <w:bCs/>
          <w:sz w:val="24"/>
          <w:szCs w:val="24"/>
          <w:lang w:val="ar-SA"/>
        </w:rPr>
      </w:pPr>
      <w:r>
        <w:rPr>
          <w:rStyle w:val="None"/>
          <w:rFonts w:ascii="Times New Roman" w:eastAsia="Times New Roman" w:hAnsi="Times New Roman" w:cs="Times New Roman"/>
          <w:b/>
          <w:bCs/>
          <w:sz w:val="24"/>
          <w:szCs w:val="24"/>
          <w:rtl/>
          <w:lang w:val="ar-SA"/>
        </w:rPr>
        <w:t xml:space="preserve">تحديد الاختصاص القضائي </w:t>
      </w:r>
    </w:p>
    <w:p w14:paraId="3C640E46" w14:textId="05CC4F63" w:rsidR="00454428"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تُعد مسألة تحديد الاختصاص القضائي في البيئة الرقمية من أبرز الإشكالات القانونية المعاصرة، وذلك نتيجة للطبيعة العابرة للحدود للفضاء الإلكتروني، حيث قد تتوزع عناصر العلاقة القانونية بين عدة دول، فيقع الفعل الضار في دولة، ويوجد الخادم الإلكتروني في دولة أخرى، بينما يقيم المتضرر في دولة ثالثة، الأمر الذي يؤدي إلى تداخل الاختصاصات القضائية وتعدد القوانين المحتملة التطبيق</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وفي هذا السياق، تختلف الأنظمة القانونية في تحديد الاختصاص القضائي، حيث تعتمد على معايير متعددة، من أهمها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معيار مكان وقوع الضرر، ومعيار مكان ارتكاب الفعل غير المشروع، ومعيار موطن المدعى عليه، إضافة إلى معيار موقع الخادم الإلكتروني</w:t>
      </w:r>
      <w:r>
        <w:rPr>
          <w:rFonts w:ascii="Times New Roman" w:hAnsi="Times New Roman"/>
          <w:sz w:val="24"/>
          <w:szCs w:val="24"/>
          <w:rtl/>
          <w:lang w:val="ar-SA"/>
        </w:rPr>
        <w:t>.</w:t>
      </w:r>
    </w:p>
    <w:p w14:paraId="13D85BBB" w14:textId="4BBD4941"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إلا أن الاعتماد على موقع الخادم الإلكتروني لا يعد معياراً فعالاً في جميع الحالات، نظراً لإمكانية توزيع البيانات عبر خوادم متعددة في دول مختلفة، مما يحد من جدوى هذا المعيار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في المقابل، يُعد معيار مكان تحقق الضرر من أكثر المعايير ملاءمة، لارتباطه المباشر بحقوق المتضرر، إذ يتيح له اللجوء إلى القضاء في الدولة التي تحقق فيها الضرر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وبناءً على ذلك، يرى الباحث أهمية تبني معيار مرن يجمع بين مكان وقوع الضرر ومكان إقامة المدعى عليه، مع دعم التعاون القضائي الدولي، بما يحقق حماية فعالة للحقوق في البيئة الرقمية، كما يسهم هذا التوجه في الحد من تنازع الاختصاصات القضائية وتعزيز الاستقرار القانوني في المعاملات الرقمية</w:t>
      </w:r>
      <w:r>
        <w:rPr>
          <w:rFonts w:ascii="Times New Roman" w:hAnsi="Times New Roman"/>
          <w:sz w:val="24"/>
          <w:szCs w:val="24"/>
          <w:rtl/>
          <w:lang w:val="ar-SA"/>
        </w:rPr>
        <w:t>.</w:t>
      </w:r>
    </w:p>
    <w:p w14:paraId="1E5B07B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33" w:name="_Toc227251460"/>
      <w:r>
        <w:rPr>
          <w:rStyle w:val="None"/>
          <w:rFonts w:ascii="Arial Unicode MS" w:hAnsi="Arial Unicode MS" w:cs="Times New Roman" w:hint="cs"/>
          <w:b/>
          <w:bCs/>
          <w:sz w:val="28"/>
          <w:szCs w:val="28"/>
          <w:rtl/>
          <w:lang w:val="ar-SA"/>
        </w:rPr>
        <w:lastRenderedPageBreak/>
        <w:t>المبحث الثاني</w:t>
      </w:r>
      <w:bookmarkEnd w:id="233"/>
    </w:p>
    <w:p w14:paraId="2543FE5A"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34" w:name="_Toc227251461"/>
      <w:r>
        <w:rPr>
          <w:rStyle w:val="None"/>
          <w:rFonts w:ascii="Arial Unicode MS" w:hAnsi="Arial Unicode MS" w:cs="Times New Roman" w:hint="cs"/>
          <w:b/>
          <w:bCs/>
          <w:sz w:val="28"/>
          <w:szCs w:val="28"/>
          <w:rtl/>
          <w:lang w:val="ar-SA"/>
        </w:rPr>
        <w:t>الإجراءات التقنية لحماية الملكية الفكرية في البيئة الرقمية</w:t>
      </w:r>
      <w:bookmarkEnd w:id="234"/>
    </w:p>
    <w:p w14:paraId="3C819A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الملكية الفكرية أحد الأسس الحيوية للاقتصاد المعرفي في العصر الحالي؛ حيث أصبحت الابتكارات والمصنفات الإبداعية تمثل رأس مال حقيقي للشركات والأفراد، ومع التقدم الكبير في تكنولوجيا المعلومات والاتصالات، زادت الحاجة إلى آليات فعَّالة؛ لحماية هذه الحقوق من الانتهاكات، سواء في البيئة التقليدية أو الرقمية</w:t>
      </w:r>
      <w:r>
        <w:rPr>
          <w:rStyle w:val="None"/>
          <w:rFonts w:ascii="Times New Roman" w:hAnsi="Times New Roman"/>
          <w:sz w:val="24"/>
          <w:szCs w:val="24"/>
          <w:rtl/>
          <w:lang w:val="ar-SA"/>
        </w:rPr>
        <w:t>.</w:t>
      </w:r>
    </w:p>
    <w:p w14:paraId="531A08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يظهر دور الرقابة على المواقع الإلكترونية كوسائل متقدمة لحماية المصنفات من القرصنة والنسخ غير المشروع، وضمان حقوق أصحابها في الاستغلال المشروع، كما تعمل هذه الإجراءات كخط دفاع أساسي مكمل للنظام القانوني؛ حيث لا تقتصر على الحماية النظرية فحسب، بل تقدم تطبيقات عملية تحد من الاعتداءات على حقوق الملكية الفكرية، وتشمل هذه الوسائل مجموعة متنوعة من الأدوات،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أنظمة التشفير، وإدارة الحقوق الرقمية، التي تهدف جميعها إلى منع النسخ غير المصرح به، وضمان وصول المصنفات للجمهور في إطار منظم، وسنتناول ذلك على النحو التالي</w:t>
      </w:r>
      <w:r>
        <w:rPr>
          <w:rStyle w:val="None"/>
          <w:rFonts w:ascii="Times New Roman" w:hAnsi="Times New Roman"/>
          <w:sz w:val="24"/>
          <w:szCs w:val="24"/>
          <w:rtl/>
          <w:lang w:val="ar-SA"/>
        </w:rPr>
        <w:t>:</w:t>
      </w:r>
    </w:p>
    <w:p w14:paraId="28C6AC11" w14:textId="77777777" w:rsidR="00454428" w:rsidRDefault="00000000">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الرقابة على المواقع الإلكترونية</w:t>
      </w:r>
      <w:r>
        <w:rPr>
          <w:rStyle w:val="None"/>
          <w:rFonts w:ascii="Times New Roman" w:hAnsi="Times New Roman"/>
          <w:sz w:val="24"/>
          <w:szCs w:val="24"/>
          <w:rtl/>
          <w:lang w:val="ar-SA"/>
        </w:rPr>
        <w:t>.</w:t>
      </w:r>
    </w:p>
    <w:p w14:paraId="68C3CD68" w14:textId="77777777" w:rsidR="00454428" w:rsidRDefault="00000000">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الحماية التكنولوجية للمنتجات الفكرية في البيئة الرقمية</w:t>
      </w:r>
      <w:r>
        <w:rPr>
          <w:rStyle w:val="None"/>
          <w:rFonts w:ascii="Times New Roman" w:hAnsi="Times New Roman"/>
          <w:sz w:val="24"/>
          <w:szCs w:val="24"/>
          <w:rtl/>
          <w:lang w:val="ar-SA"/>
        </w:rPr>
        <w:t>.</w:t>
      </w:r>
    </w:p>
    <w:p w14:paraId="3AAC08B1"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4D6361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8E59DE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BE8159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190234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1A75A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C368215"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22945E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46BACE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526B76C" w14:textId="77777777" w:rsidR="00454428" w:rsidRPr="00CC3E5F" w:rsidRDefault="00454428" w:rsidP="00C72BA8">
      <w:pPr>
        <w:pStyle w:val="Body"/>
        <w:spacing w:before="120" w:after="120" w:line="360" w:lineRule="auto"/>
        <w:jc w:val="both"/>
        <w:rPr>
          <w:rStyle w:val="None"/>
          <w:rFonts w:ascii="Times New Roman" w:eastAsia="Times New Roman" w:hAnsi="Times New Roman" w:cs="Times New Roman"/>
          <w:sz w:val="24"/>
          <w:szCs w:val="24"/>
        </w:rPr>
      </w:pPr>
    </w:p>
    <w:p w14:paraId="1475941E" w14:textId="77777777" w:rsidR="004443D4" w:rsidRDefault="004443D4">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195787F9" w14:textId="2BDE9136"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35" w:name="_Toc227251462"/>
      <w:r>
        <w:rPr>
          <w:rStyle w:val="None"/>
          <w:rFonts w:ascii="Arial Unicode MS" w:hAnsi="Arial Unicode MS" w:cs="Times New Roman" w:hint="cs"/>
          <w:b/>
          <w:bCs/>
          <w:sz w:val="28"/>
          <w:szCs w:val="28"/>
          <w:rtl/>
          <w:lang w:val="ar-SA"/>
        </w:rPr>
        <w:lastRenderedPageBreak/>
        <w:t>المطلب الأول</w:t>
      </w:r>
      <w:bookmarkEnd w:id="235"/>
    </w:p>
    <w:p w14:paraId="4E0817D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36" w:name="_Toc227251463"/>
      <w:r>
        <w:rPr>
          <w:rStyle w:val="None"/>
          <w:rFonts w:ascii="Arial Unicode MS" w:hAnsi="Arial Unicode MS" w:cs="Times New Roman" w:hint="cs"/>
          <w:b/>
          <w:bCs/>
          <w:sz w:val="28"/>
          <w:szCs w:val="28"/>
          <w:rtl/>
          <w:lang w:val="ar-SA"/>
        </w:rPr>
        <w:t>الرقابة على المواقع الإلكترونية</w:t>
      </w:r>
      <w:bookmarkEnd w:id="236"/>
    </w:p>
    <w:p w14:paraId="2787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الرقابة على المواقع الإلكترونية أحد أهم القضايا التي فرضتها الثورة الرقمية؛ حيث أدى الانتشار الواسع للمحتوى عبر الإنترنت إلى ظهور تحديات تتعلق بحماية النظام العام، وصون القيم الاجتماعية، وحماية حقوق الملكية الفكرية من الانتهاك، فالفضاء الإلكتروني بميزاته من انفتاح وسرعة في نقل المعلومات، يتيح انتشار محتويات غير مشروعة أو مضللة؛ ممَّا يستدعي تدخل السلطات لوضع آليات للرقابة تحقق التوازن بين حرية التعبير من جهة، وحماية الحقوق والمصالح المشروعة من جهة أخرى</w:t>
      </w:r>
      <w:r>
        <w:rPr>
          <w:rStyle w:val="None"/>
          <w:rFonts w:ascii="Times New Roman" w:hAnsi="Times New Roman"/>
          <w:sz w:val="24"/>
          <w:szCs w:val="24"/>
          <w:rtl/>
          <w:lang w:val="ar-SA"/>
        </w:rPr>
        <w:t>.</w:t>
      </w:r>
    </w:p>
    <w:p w14:paraId="1F3AF28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الرقابة الإلكترونية</w:t>
      </w:r>
      <w:r>
        <w:rPr>
          <w:rStyle w:val="None"/>
          <w:rFonts w:ascii="Times New Roman" w:hAnsi="Times New Roman"/>
          <w:b/>
          <w:bCs/>
          <w:sz w:val="28"/>
          <w:szCs w:val="28"/>
          <w:rtl/>
          <w:lang w:val="ar-SA"/>
        </w:rPr>
        <w:t>:</w:t>
      </w:r>
    </w:p>
    <w:p w14:paraId="33768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مفهوم الرقابة الإلكترونية أحد الأسس المهمة في إدارة الفضاء الرقمي، وتنظيم استخدامه؛ حيث يشير إلى مجموعة التدابير والآليات المتبعة لمتابعة المحتوى المنشور عبر الوسائط الإلكترونية المختلفة؛ بهدف التحقق من توافقه مع القوانين والقيم المجتمعية، وتعتبر الرقابة الإلكترونية استجابةً طبيعية للتطوُّر التكنولوجي السريع الذي أدى إلى تدفق غير مسبوق للمعلومات</w:t>
      </w:r>
      <w:r>
        <w:rPr>
          <w:rStyle w:val="None"/>
          <w:rFonts w:ascii="Times New Roman" w:hAnsi="Times New Roman"/>
          <w:sz w:val="24"/>
          <w:szCs w:val="24"/>
          <w:rtl/>
          <w:lang w:val="ar-SA"/>
        </w:rPr>
        <w:t>.</w:t>
      </w:r>
    </w:p>
    <w:p w14:paraId="650EC5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نتيجةً للتقنيات الرقمية في مجال المعلومات وسبل الاتصالات، وُجدت الوسائط الإلكترونية لتجوب المصنفات المحمية الفضاء الكوني، عبر مواقع الشبكة العنكبوتية، التي تتيح لمستخدميها تصفح المصنفات والاستفادة منها، غير أنَّ المستخدمين قد يتجاوزون هذا الغرض ويقومون بنسخ أية مصنفات منشورة إلكترونيًا سواء كانت نصوصًا مكتوبة، أو صورًا أو أفلامًا، وذلك لاستغلالها بشكل أو بآخر دون الحصول على تصريح مسبق من مؤلفي هذه المصنفات بوصفهم أصحاب الحقوق الأدبية والمالية عليها، فإنَّ في ذلك اعتداء على حقوقهم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46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للرقابة الإلكترونية دورًا عظيمًا في حماية المصنفات الفكرية وتأمينها، ومنع الجرائم التي ترتكب في حق المؤلف، فالمواقع يستطيع الأفراد الوصول من خلالها إلى المؤلفات بسهولة وأمان، وتأمين تلك المواقع يجعل المؤلف مطمئن على حقه الفكري والإبداعي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38EFFF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الرقابة لغة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مصدر مشتق من الفعل رقب، فالراء، والقاف، والباء أصل واحد مطرد، يدل على انتصاب لمراعاة شيء، ومن ذلك الرقيب، وهو الحافظ، ويقال منه رقبت أرقب رقبة ورقبانًا، والمرقب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المكان العالي يقف عليه الناظر،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الموكل في الميسر بالضريب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ورقيب القوم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حارسه، وهو الذي يشرف على مرقبة ليحرسهم،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الحارس الحافظ، والرقابة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الرجل الوغد الذي يرقب للقوم رحلهم، إذا غابوا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FE89DC" w14:textId="77777777" w:rsidR="00454428" w:rsidRDefault="00000000"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المعنى المحوري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هو امتداد الشيء</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إلى أعلى</w:t>
      </w:r>
      <w:r>
        <w:rPr>
          <w:rStyle w:val="None"/>
          <w:rFonts w:ascii="Times New Roman" w:hAnsi="Times New Roman"/>
          <w:sz w:val="24"/>
          <w:szCs w:val="24"/>
        </w:rPr>
        <w:t> </w:t>
      </w:r>
      <w:r>
        <w:rPr>
          <w:rStyle w:val="None"/>
          <w:rFonts w:ascii="Arial Unicode MS" w:hAnsi="Arial Unicode MS" w:cs="Times New Roman" w:hint="cs"/>
          <w:sz w:val="24"/>
          <w:szCs w:val="24"/>
          <w:rtl/>
          <w:lang w:val="ar-SA"/>
        </w:rPr>
        <w:t xml:space="preserve">مع دقة نحافة أو انفراد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FBB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 جانب من الفقه الرقابة الإلكترونية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اعتماد النظام الرقابي على استخدام الحاسوب في ممارسة العملية الرقابية، وفق برامج حاسوبية تُعَدُّ خصيصًا لهذا الغرض، بما يحقق الاقتصاد في الجهد والوقت والتكلفة في الوصول إلى النتائج المطلوبة بأقل ما يمكن من الأخطار وبدقة أكبر، كما عُرِّفت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استخدام التكنولوجيا لمراقبة أداء الموظف والإشراف عليه وتقييمه بشكل مباشر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وتتم الرقابة الإلكترونية وفق أساليب متعددة منها مراقبة المكالمات الهاتفية ومراقبة الموظفين بأجهزة الفيديو، ومسح البريد الإلكتروني، وتتبع استخدام الإنترنت، كما توجد أنظمة يمكنها تتبع ضغطات المفاتيح على أطراف الكمبيوتر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0F0C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أشار جانب من الفقه إلى تعريف الرقابة الإلكترونية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عملية تهدف إلى متابعة وملاحظة الأنشطة والمعاملات وأداء العاملين في المنظمة؛ بهدف كشف الانحرافات، من خلال استخدام الحاسوب والوسائل التكنولوجية الحديثة؛ لتحقيق الأهداف المنشودة؛ لإيجاد نظام عمل ذي ميزة تنافسية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55A408" w14:textId="6E904281"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وما أسفرت عنه من وسائط إلكترونية قد وفرت بيئةً ملائمةً لنشر المصنفات الفكرية وتداولها على نطاق عالمي، ومع ذلك فتحت هذه التغيرات المجال لصور متعددة من الاعتداءات على حقوق المؤلفين،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النسخ أو الاستخدام غير المشروع؛ لذا تبرز أهمية الرقابة الإلكترونية كأداة أساسية </w:t>
      </w:r>
      <w:r w:rsidR="0091199A">
        <w:rPr>
          <w:rStyle w:val="None"/>
          <w:rFonts w:ascii="Arial Unicode MS" w:hAnsi="Arial Unicode MS" w:cs="Times New Roman" w:hint="cs"/>
          <w:sz w:val="24"/>
          <w:szCs w:val="24"/>
          <w:rtl/>
          <w:lang w:val="ar-SA"/>
        </w:rPr>
        <w:t>ل</w:t>
      </w:r>
      <w:r>
        <w:rPr>
          <w:rStyle w:val="None"/>
          <w:rFonts w:ascii="Arial Unicode MS" w:hAnsi="Arial Unicode MS" w:cs="Times New Roman" w:hint="cs"/>
          <w:sz w:val="24"/>
          <w:szCs w:val="24"/>
          <w:rtl/>
          <w:lang w:val="ar-SA"/>
        </w:rPr>
        <w:t>لحقوق</w:t>
      </w:r>
      <w:r>
        <w:rPr>
          <w:rStyle w:val="None"/>
          <w:rFonts w:ascii="Times New Roman" w:hAnsi="Times New Roman"/>
          <w:sz w:val="24"/>
          <w:szCs w:val="24"/>
          <w:rtl/>
          <w:lang w:val="ar-SA"/>
        </w:rPr>
        <w:t>.</w:t>
      </w:r>
    </w:p>
    <w:p w14:paraId="1A8283E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أنواع المراقبة الإلكترونية</w:t>
      </w:r>
      <w:r>
        <w:rPr>
          <w:rStyle w:val="None"/>
          <w:rFonts w:ascii="Times New Roman" w:hAnsi="Times New Roman"/>
          <w:b/>
          <w:bCs/>
          <w:sz w:val="28"/>
          <w:szCs w:val="28"/>
          <w:rtl/>
          <w:lang w:val="ar-SA"/>
        </w:rPr>
        <w:t>:</w:t>
      </w:r>
    </w:p>
    <w:p w14:paraId="1C0AE2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المراقبة الإلكترونية من أبرز الأدوات الحديثة التي نتجت عن التطوُّر التكنولوجي؛ حيث لم تَعُدْ تقتصر على شكل واحد، بل تنوعت صورها وفقًا للغرض المستهدف والوسائل المستخدمة، فقد تتخذ المراقبة طابعًا مسبقًا يهدف إلى الوقاية من الانتهاكات قبل حدوثها، أو طابعًا لاحقًا يركز على ضبط المخالفات بعد وقوعها، كما يمكن أنْ تكون المراقبة حكومية، تمارسها السلطات المختصة لحماية الأمن والحقوق، أو ذاتية يقوم بها الأفراد والمؤسسات لحماية مصالحهم الخاصة، ويعكس هذا التنوع مرونة الرقابة الإلكترونية وقدرتها على التكيف مع طبيعة الفضاء الرقمي، بما يضمن تحقيق التوازن بين الحرية المسئولة وحماية النظام القانوني والاجتماعي</w:t>
      </w:r>
      <w:r>
        <w:rPr>
          <w:rStyle w:val="None"/>
          <w:rFonts w:ascii="Times New Roman" w:hAnsi="Times New Roman"/>
          <w:sz w:val="24"/>
          <w:szCs w:val="24"/>
          <w:rtl/>
          <w:lang w:val="ar-SA"/>
        </w:rPr>
        <w:t>.</w:t>
      </w:r>
    </w:p>
    <w:p w14:paraId="68AD85EE"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الرقابة الإلكترونية من الوسائل الحديثة التي ظهرت؛ نتيجةً للتقدم التكنولوجي المعاصر؛ حيث تلعب دورًا مهمًا وفعَّالًا في تحقيق أمن وسلامة المجتمع، وكشف الجرائم التي تقع فيه وتمس أفراده، وتؤثر بالسلب على تحقيق استقراره، وهذه الرقابة إنما تتم من خلال الوسائل المعاصرة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كالإنترنت، والكاميرات الرقمية، والهواتف الذكية، ويرها من الوسائل الأخرى التي يتم من خلالها تسجيل الأصوات، وحفظ الصور وتخزينها لحين استخدامها فيما أعدت لأجله، ولا يقتصر دورها على ذلك، بل يمتد ليكون دليلًا لإثبات الجرائم، ومنع المجرمين من ارتكاب جرائمهم التي تخل بالأمن العام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227E92" w14:textId="5E1AFCAA" w:rsidR="00454428" w:rsidRPr="00EC04AD" w:rsidRDefault="00000000">
      <w:pPr>
        <w:pStyle w:val="Body"/>
        <w:numPr>
          <w:ilvl w:val="0"/>
          <w:numId w:val="279"/>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lastRenderedPageBreak/>
        <w:t>الإنترنت</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يمثل الإنترنت بيئةً رقميةً شاملةً أوجدت أنماطًا جديدةً من المراقبة تتجاوز الحدود التقليدية؛ حيث أصبح وسيلةً رئيسيةً لمتابعة الأنشطة والتفاعلات البشرية في مختلف المجالات، كما يمكن من خلال الإنترنت نشر أعمال تخص بالملكية الفكرية وتكون هذه الأعمال محميةً، فلا بُدَّ أنْ تمتلك الجهات الرقابية القدرة على تتبع المحتوى المنشور، ورصد سلوكيات المستخدمين، وجمع البيانات المتعلقة بحركة الاتصال وتبادل المعلومات، ضد أي أعمال غير قانونية</w:t>
      </w:r>
      <w:r w:rsidRPr="00EC04AD">
        <w:rPr>
          <w:rStyle w:val="None"/>
          <w:rFonts w:ascii="Times New Roman" w:hAnsi="Times New Roman"/>
          <w:sz w:val="24"/>
          <w:szCs w:val="24"/>
          <w:rtl/>
          <w:lang w:val="ar-SA"/>
        </w:rPr>
        <w:t>.</w:t>
      </w:r>
    </w:p>
    <w:p w14:paraId="355E6A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اهتمام الدول والمنظمات الحديثة ينصبُّ على حفظ الخصوصية لنقل البيانات عبر الإنترنت؛ وذلك لتوفير حماية لهذه البيانات وشبكة الاتصال، من خطر استخدامها غير المشروع؛ وذلك لأنَّ شبكة الإنترنت تصل جميع أنحاء العالم، فتقوم المنظمات الحديثة باتخاذ إجراءات وقائية لتأمين الحماية لمحتويات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35EF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ساهمت شبكة الإنترنت بتغيير حياتنا اليومية بعدة طرق، وذلك على اعتبار أنَّ هذه الشبكة أضحت وسيلة الاتصال العالمية، فقد سمحت هذه الشبكة للأفراد والمؤسسات حول العالم بالمشاركة بالمعلومات، وبالتواصل، وتبادل رسائل البريد الإلكتروني؛ ممَّا جعل الاعتماد على شبكة الإنترنت أمرًا ملحًا ولا يمكن تفاديه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2F3E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الإنترنت بيئةً إلكترونيةً عالميةً يمكن من خلاله نشر أي محتويات أو بيانات؛ ممَّا يسهل وصول أي محتوى إلى الأفراد بشكل واسع، كما يمكن نسخ الأعمال المحمية بالملكية الفكرية، دون الحصول على إذن من صاحب الحق؛ لذا لا بُدَّ من وجود رقابة إلكترونية لمراقبة الأعمال غير المشروعة على شبكة الإنترنت</w:t>
      </w:r>
      <w:r>
        <w:rPr>
          <w:rStyle w:val="None"/>
          <w:rFonts w:ascii="Times New Roman" w:hAnsi="Times New Roman"/>
          <w:sz w:val="24"/>
          <w:szCs w:val="24"/>
          <w:rtl/>
          <w:lang w:val="ar-SA"/>
        </w:rPr>
        <w:t>.</w:t>
      </w:r>
    </w:p>
    <w:p w14:paraId="31846C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لذا فإنَّ الرقابة الإلكترونية أكثر قدرةً على معرفة المتغيرات الخاصة بالتنفيذ أولًا بأول؛ من خلال رصدها الانحرافات خلال التنفيذ وإطلاع الإدارة عليها، ما يمكنها من التعرُّف على مواطن الخلل قبل وخلال التنفيذ، واتخاذ الإجراءات التصحيحية المناسبة، فتساهم شبكة الإنترنت التي تعمل كوسيلة آنية لنقل المعلومات بشكل فوري، على تجاوز فجوة الأداء المتوقعة؛ ممَّا يمكن الإدارة من معرفة التنفيذ، والاطلاع بالتالي على اتجاه النشاط خارج السيطرة؛ لاتخاذ ما يلزم من إجراءات التصحيح في نفس الوقت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46E231C" w14:textId="7DF0C77B" w:rsidR="00454428" w:rsidRDefault="00000000" w:rsidP="00EC04AD">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صمم الإنترنت كشبكة مفتوحة، تمتد في أنحاء العالم، تتدفق خلالها المعلومات في صيغة صريحة، فكل ما ينساب عبرها يمكن اعتراضه والاطلاع عليه بسهولة؛ لذا أصبح حفظ خصوصية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تناقلها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هاجسًا للدول والمنظمات المختلفة، وبهدف توفير الحماية للبيانات والأجهزة الملحقة وشبكات الاتصالات، من أخطار الاستخدام غير المشروع، فضلًا عن الإجراءات المتعلقة بالعاملين، توظف المنظمات المختلفة الإجراءات والتدابير الوقائية التي تهدف إلى حماية محتوى الإنترنت، وتختلف هذه الأساليب من منظمة لأخرى، بحسب طبيعة ونوع هذه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الإنترنت رغم كونه وسيلةً عالميةً رائدةً لنقل المعلومات وتبادلها بشكل فوري، قد أوجد تحدياتٍ كبيرةً تتعلق بحماية الملكية الفكرية من أخطار الاستخدام غير المشروع، وهنا تبرز الرقابة الإلكترونية كأداة </w:t>
      </w:r>
      <w:r>
        <w:rPr>
          <w:rStyle w:val="None"/>
          <w:rFonts w:ascii="Arial Unicode MS" w:hAnsi="Arial Unicode MS" w:cs="Times New Roman" w:hint="cs"/>
          <w:sz w:val="24"/>
          <w:szCs w:val="24"/>
          <w:rtl/>
          <w:lang w:val="ar-SA"/>
        </w:rPr>
        <w:lastRenderedPageBreak/>
        <w:t>فعَّالة تمكن الدول والمنظمات من متابعة الأنشطة لحظة بلحظة، وكشف الانحرافات مبكرًا، واتخاذ الإجراءات التصحيحية المناسبة؛ لذا فإنَّ الجمع بين الإجراءات الوقائية والرقابة الإلكترونية يساهم في بناء بيئة رقمية أكثر أمانًا؛ لحماية حقوق الملكية الفكرية سواء للأفراد، أو المؤسسات من أي استغلال غير مشروع دون أخذ الأذن من صاحب الحق</w:t>
      </w:r>
      <w:r>
        <w:rPr>
          <w:rStyle w:val="None"/>
          <w:rFonts w:ascii="Times New Roman" w:hAnsi="Times New Roman"/>
          <w:sz w:val="24"/>
          <w:szCs w:val="24"/>
          <w:rtl/>
          <w:lang w:val="ar-SA"/>
        </w:rPr>
        <w:t>.</w:t>
      </w:r>
    </w:p>
    <w:p w14:paraId="40A307A6" w14:textId="5BB9875F" w:rsidR="00454428" w:rsidRPr="00EC04AD" w:rsidRDefault="00000000">
      <w:pPr>
        <w:pStyle w:val="Body"/>
        <w:numPr>
          <w:ilvl w:val="0"/>
          <w:numId w:val="279"/>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t>الكاميرا الرقمية</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أصبحت الكاميرات الرقمية من الأدوات التقنية الأساسية، التي تعتمد عليها الجهات المعنية؛ لتعزيز أساليب الرقابة الحديثة، فهي تتمتع بقدرة عالية على تسجيل الأحداث والأنشطة بدقة وموضوعية، وتخزينها في وسائط إلكترونية يمكن تحليلها ومراجعتها، وتتمثل أهميتها في كونها واحدةً من أشكال الرقابة الإلكترونية التي تساهم في حماية الحقوق، سواء من خلال كشف محاولات التلاعب بالبيانات أو توثيق الأدلة الرقمية عند حدوث اعتداءات على حقوق الملكية الفكرية</w:t>
      </w:r>
      <w:r w:rsidRPr="00EC04AD">
        <w:rPr>
          <w:rStyle w:val="None"/>
          <w:rFonts w:ascii="Times New Roman" w:hAnsi="Times New Roman"/>
          <w:sz w:val="24"/>
          <w:szCs w:val="24"/>
          <w:rtl/>
          <w:lang w:val="ar-SA"/>
        </w:rPr>
        <w:t>.</w:t>
      </w:r>
      <w:r w:rsidR="00EC04AD" w:rsidRPr="00EC04AD">
        <w:rPr>
          <w:rStyle w:val="None"/>
          <w:rFonts w:ascii="Times New Roman" w:eastAsia="Times New Roman" w:hAnsi="Times New Roman" w:cs="Times New Roman" w:hint="cs"/>
          <w:sz w:val="24"/>
          <w:szCs w:val="24"/>
          <w:rtl/>
        </w:rPr>
        <w:t xml:space="preserve"> </w:t>
      </w:r>
      <w:r w:rsidRPr="00EC04AD">
        <w:rPr>
          <w:rStyle w:val="None"/>
          <w:rFonts w:ascii="Arial Unicode MS" w:hAnsi="Arial Unicode MS" w:cs="Times New Roman" w:hint="cs"/>
          <w:sz w:val="24"/>
          <w:szCs w:val="24"/>
          <w:rtl/>
          <w:lang w:val="ar-SA"/>
        </w:rPr>
        <w:t xml:space="preserve">تستخدم كاميرا المراقبة والوسائل الإلكترونية الحديثة في التصوير والتسجيل؛ لإثبات تلك الجرائم والحد منها، ودفع العدوان الواقع على المجتمع؛ حيث يتم من خلال ذلك تغليب مصلحة المجتمع على مصلحة الأفراد، وذلك عند وجود دلائل كافية تدل على ارتكاب الجرائم من هؤلاء المجرمين؛ حتى لا يفلتون من العقاب؛ ولذا فإنَّ استخدامها وقصرها على الجرائم يعمل على تقليلها، وعدم وقوعها في المجتمع؛ لأنَّ المجرم إذا علم بأنَّه مراقب امتنع عن فعل تلك الجرائم، الأمر الذي يعمل على تقليلها، والبُعد عن الأخطار التي تهدد أمن وسلامة المجتمع </w:t>
      </w:r>
      <w:r w:rsidRPr="00EC04AD">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0"/>
      </w:r>
      <w:r w:rsidRPr="00EC04AD">
        <w:rPr>
          <w:rStyle w:val="None"/>
          <w:rFonts w:ascii="Times New Roman" w:hAnsi="Times New Roman"/>
          <w:sz w:val="24"/>
          <w:szCs w:val="24"/>
          <w:vertAlign w:val="superscript"/>
          <w:rtl/>
          <w:lang w:val="ar-SA"/>
        </w:rPr>
        <w:t>)</w:t>
      </w:r>
      <w:r w:rsidRPr="00EC04AD">
        <w:rPr>
          <w:rStyle w:val="None"/>
          <w:rFonts w:ascii="Times New Roman" w:hAnsi="Times New Roman"/>
          <w:sz w:val="24"/>
          <w:szCs w:val="24"/>
          <w:rtl/>
          <w:lang w:val="ar-SA"/>
        </w:rPr>
        <w:t>.</w:t>
      </w:r>
    </w:p>
    <w:p w14:paraId="4969430C"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استخدام الكاميرات الرقمية له أهمية بارزة في كافة مجالات الحياة، فعلى سبيل المثال</w:t>
      </w:r>
      <w:r>
        <w:rPr>
          <w:rStyle w:val="None"/>
          <w:rFonts w:ascii="Times New Roman" w:hAnsi="Times New Roman"/>
          <w:sz w:val="24"/>
          <w:szCs w:val="24"/>
          <w:rtl/>
          <w:lang w:val="ar-SA"/>
        </w:rPr>
        <w:t>:</w:t>
      </w:r>
    </w:p>
    <w:p w14:paraId="663DF1BB"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يُعَدُّ التصوير عنصرًا مساعدًا لرجال الأمن في كشف بعض أنواع الجرائم وإقامة الدليل عليها، من خلال تمثيل الجاني للجريمة، والنحو الذي سلكه في تنفيذها</w:t>
      </w:r>
      <w:r>
        <w:rPr>
          <w:rStyle w:val="None"/>
          <w:rFonts w:ascii="Times New Roman" w:hAnsi="Times New Roman"/>
          <w:sz w:val="24"/>
          <w:szCs w:val="24"/>
          <w:rtl/>
          <w:lang w:val="ar-SA"/>
        </w:rPr>
        <w:t>.</w:t>
      </w:r>
    </w:p>
    <w:p w14:paraId="716F92FC"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يعطي التصوير انطباع شامل لمسرح الجريمة؛ ممَّا يعمل على معالجة بعض الأخطاء البشرية، فيما قد يغفل عنه المحقق من ملاحظات، أو بيانات لها أهمية، أو يدور حولها بعض التساؤلات، فهو يعطي صورة طبق الأصل لمسرح الجريمة</w:t>
      </w:r>
      <w:r>
        <w:rPr>
          <w:rStyle w:val="None"/>
          <w:rFonts w:ascii="Times New Roman" w:hAnsi="Times New Roman"/>
          <w:sz w:val="24"/>
          <w:szCs w:val="24"/>
          <w:rtl/>
          <w:lang w:val="ar-SA"/>
        </w:rPr>
        <w:t>.</w:t>
      </w:r>
    </w:p>
    <w:p w14:paraId="6066B7A5"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يمكن للتصوير أنْ ينشط ذاكرة الشاهد؛ لاستعادة التفاصيل المهمة التي قد ينساها عند الادلاء بشهادته</w:t>
      </w:r>
      <w:r>
        <w:rPr>
          <w:rStyle w:val="None"/>
          <w:rFonts w:ascii="Times New Roman" w:hAnsi="Times New Roman"/>
          <w:sz w:val="24"/>
          <w:szCs w:val="24"/>
          <w:rtl/>
          <w:lang w:val="ar-SA"/>
        </w:rPr>
        <w:t>.</w:t>
      </w:r>
    </w:p>
    <w:p w14:paraId="5FA01692" w14:textId="77777777" w:rsidR="00454428" w:rsidRDefault="00000000">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التصوير يمثل وسيلةً سريعةً ودقيقةً؛ لتوضيح وبيان واقع الحال، فهو يمنح صورة واقعية أو منظورة للمشاهد؛ ممَّا يقلل حاجة المحكمة إلى الانتقال إلى مسرح الجريمة</w:t>
      </w:r>
      <w:r>
        <w:rPr>
          <w:rStyle w:val="None"/>
          <w:rFonts w:ascii="Times New Roman" w:hAnsi="Times New Roman"/>
          <w:sz w:val="24"/>
          <w:szCs w:val="24"/>
          <w:rtl/>
          <w:lang w:val="ar-SA"/>
        </w:rPr>
        <w:t>.</w:t>
      </w:r>
    </w:p>
    <w:p w14:paraId="1B8ED2E1" w14:textId="77777777" w:rsidR="00454428" w:rsidRDefault="00000000">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يُعَدُّ التصوير الوسيلة المناسبة والأمثل لإعطاء أدق تفاصيل الحادث؛ حيث يتضمن عرضًا واقعيًا للجريمة دون أي مبالغة، أو تقليل عن جسامة 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3CD489" w14:textId="77777777" w:rsidR="00454428" w:rsidRDefault="00000000"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استخدام الكاميرات الرقمية والوسائل الإلكترونية الحديثة، لم يَعُدْ محصورًا في الجانب الأمني فقط، بل أصبح أداةً رقابيةً فعَّالةً تساهم في تحقيق العدالة وحماية حقوق الملكية الفكرية، فهي تتيح كشف الانتهاكات المتعلقة بالمصنفات، فتعتبر وسيلة ردع للانتهاكات المرتبطة بالملكية الفكرية، كما يمكن الاعتماد على الكاميرات </w:t>
      </w:r>
      <w:r>
        <w:rPr>
          <w:rStyle w:val="None"/>
          <w:rFonts w:ascii="Arial Unicode MS" w:hAnsi="Arial Unicode MS" w:cs="Times New Roman" w:hint="cs"/>
          <w:sz w:val="24"/>
          <w:szCs w:val="24"/>
          <w:rtl/>
          <w:lang w:val="ar-SA"/>
        </w:rPr>
        <w:lastRenderedPageBreak/>
        <w:t>والتقنيات المماثلة كوسائل إثبات في حالات الاعتداء على المصنفات أو سرقة الابتكارات الإلكترونية</w:t>
      </w:r>
      <w:r>
        <w:rPr>
          <w:rStyle w:val="None"/>
          <w:rFonts w:ascii="Times New Roman" w:hAnsi="Times New Roman"/>
          <w:sz w:val="24"/>
          <w:szCs w:val="24"/>
          <w:rtl/>
          <w:lang w:val="ar-SA"/>
        </w:rPr>
        <w:t xml:space="preserve">. </w:t>
      </w:r>
    </w:p>
    <w:p w14:paraId="25B25A99" w14:textId="77777777" w:rsidR="00454428" w:rsidRDefault="00000000" w:rsidP="00EC04AD">
      <w:pPr>
        <w:pStyle w:val="Body"/>
        <w:widowControl w:val="0"/>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مشروعية الرقابة الإلكترونية</w:t>
      </w:r>
      <w:r>
        <w:rPr>
          <w:rStyle w:val="None"/>
          <w:rFonts w:ascii="Times New Roman" w:hAnsi="Times New Roman"/>
          <w:b/>
          <w:bCs/>
          <w:sz w:val="28"/>
          <w:szCs w:val="28"/>
          <w:rtl/>
          <w:lang w:val="ar-SA"/>
        </w:rPr>
        <w:t>:</w:t>
      </w:r>
    </w:p>
    <w:p w14:paraId="464A56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الرقمية وتزايد استخدام التقنيات الحديثة في مجالات العمل والإدارة، أصبحت الحاجة المهمة لأدوات رقابية فعَّالة؛ لمواجهة التحديات الجديدة المتعلقة بحماية البيانات والمعلومات، ومن أبرز هذه الأدوات هي الرقابة الإلكترونية التي تعتمد على التكنولوجيا الحديثة؛ لضمان سلامة الأنشطة الإدارية وحماية الحقوق الفكرية، فتكتسب مشروعية هذه الرقابة أهميتها من قدرتها على حماية البيانات من التلاعب، 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حماية المصنفات الرقمية وبرامج الحاسوب من الاعتداءات غير المشروعة</w:t>
      </w:r>
      <w:r>
        <w:rPr>
          <w:rStyle w:val="None"/>
          <w:rFonts w:ascii="Times New Roman" w:hAnsi="Times New Roman"/>
          <w:sz w:val="24"/>
          <w:szCs w:val="24"/>
          <w:rtl/>
          <w:lang w:val="ar-SA"/>
        </w:rPr>
        <w:t>.</w:t>
      </w:r>
    </w:p>
    <w:p w14:paraId="2CDFB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يساهم اعتماد الجهات المعنية بالحماية في نشاطها الرقابي على التقنيات والتكنولوجيا الحديثة في حماية البيانات والمعلومات الإدارية من التلاعب بها، وتغييرها من طرف الأفراد واستعمالها في أغراض شخصية،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الرقابة الإلكترونية كما تعمل باستخدام التكنولوجيات الحديثة على حماية البيانات والمعلومات الإدارية، فإنَّها تساعد أيضًا على اكتشاف مواطن الفساد ومعاقبة المتسببين فيه؛ حيث يتلازم وجود نظام الرقابة الإلكترونية الفعَّال في الإدارات العمومية، مع سرعة إنجاز المعاملات وزيادة دقة الأعمال المنجزة ورفع مستوى جودتها، وفي استغلال ساعات العمل في إنجاز المعاملات،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زيادة في مستوى انضباط العاملين، وسهولة اكتشاف الأخطاء والتجاوزات فور حدوثها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CD09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معاهدة الويبو بشأن حق المؤلف بتوضيح الحماية على برامج الحاسوب، وذلك من خلال المادة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والتي نصت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تتمتع برامج الحاسوب بالحماية باعتبارها مصنفات أدبية بمعنى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وتطبق تلك الحماية على برامج الحاسوب أيًا كانت طريقة التعبير عنها أو شكلها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722B2E" w14:textId="3BBC0C98" w:rsidR="00454428" w:rsidRDefault="00000000"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المشرع الدولي قد حسم الجدل حول الطبيعة القانونية لبرامج الحاسوب؛ حيث أقر بأنَّها تتمتع بالحماية الكاملة كمصنفات أدبية، تمامًا كما هو الحال مع المصنفات المكتوبة الواردة في اتفاقية برن، وهذا يعني أنَّ الحماية لا تقتصر على الشكل التقليدي للكتابة أو أسلوب معين في التعبير، بل تمتد لتشمل أي صياغة أو لغة برمجية تعبر عن البرنامج،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يعتبر الاعتداء على برامج الحاسوب دون ترخيص انتهاكًا صريحًا لحقوق المؤلف؛ ممَّا يجعلها تحت مظلة الحماية القانونية الدولية، ويكفل للمؤلفين حقوقهم الأدبية والمالية على هذه البرامج</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وقد جاء المنظم السعودي بتوضيح الاعتداء على المصنفات الإلكترونية من خلال المادة </w:t>
      </w:r>
      <w:r>
        <w:rPr>
          <w:rStyle w:val="None"/>
          <w:rFonts w:ascii="Times New Roman" w:hAnsi="Times New Roman"/>
          <w:sz w:val="24"/>
          <w:szCs w:val="24"/>
          <w:rtl/>
          <w:lang w:val="ar-SA"/>
        </w:rPr>
        <w:t xml:space="preserve">(25)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74"/>
      </w:r>
      <w:r>
        <w:rPr>
          <w:rStyle w:val="None"/>
          <w:rFonts w:ascii="Times New Roman" w:hAnsi="Times New Roman"/>
          <w:sz w:val="24"/>
          <w:szCs w:val="24"/>
          <w:vertAlign w:val="superscript"/>
          <w:rtl/>
          <w:lang w:val="ar-SA"/>
        </w:rPr>
        <w:t>)</w:t>
      </w:r>
    </w:p>
    <w:p w14:paraId="39EF5DC7" w14:textId="77777777" w:rsidR="00454428" w:rsidRDefault="00000000">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معتديًا على حق المؤلف كل مَن ثبت قيامه عبر المواقع الإلكترونية في شبكة الإنترنت العالمية بأي من المخالفات الواردة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EED66F9" w14:textId="77777777" w:rsidR="00454428" w:rsidRDefault="00000000">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تقع على المواقع الإلكترونية في شبكة الإنترنت العالمية مسئولية الاعتداء على حق المؤلف وفق المحتوى </w:t>
      </w:r>
      <w:r>
        <w:rPr>
          <w:rStyle w:val="None"/>
          <w:rFonts w:ascii="Arial Unicode MS" w:hAnsi="Arial Unicode MS" w:cs="Times New Roman" w:hint="cs"/>
          <w:sz w:val="24"/>
          <w:szCs w:val="24"/>
          <w:rtl/>
          <w:lang w:val="ar-SA"/>
        </w:rPr>
        <w:lastRenderedPageBreak/>
        <w:t xml:space="preserve">الداخلي للموقع، أو ما يبث من خلاله أو ما يرتبط عن طريقه برابط خارجي لموقع آخر تابع له في حالة ثبوت احتوائه على أي من المخالفات المنصوص عليها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221713C" w14:textId="3472E6DE" w:rsidR="00454428" w:rsidRDefault="00000000" w:rsidP="004F34F3">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يتبين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أحاط المصنفات الإلكترونية بحماية خاصة من خلال إرساء مسئولية مزدوجة، فقد اعتبر كل من يقوم بالاعتداء المباشر على حقوق المؤلف عبر المواقع الإلكترونية مخالفًا للنظام، كما حمل هذه المواقع المسئولية عن المحتوى الذي تبثه أو ترتبط به، حتى لو كان عبر روابط خارجية،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وضع النص إطارًا رقابيًا محكمًا يضمن حماية المؤلفين من أشكال الاعتداءات الإلكترونية، ويؤكد في الوقت نفسه على دور المواقع في التحري والتدقيق بمحتواها؛ ممَّا يحقق التوازن بين الانفتاح الذي يتيحه الفضاء الرقمي، وحماية الحقوق الأدبية والمالية للمبدعين</w:t>
      </w:r>
      <w:r>
        <w:rPr>
          <w:rStyle w:val="None"/>
          <w:rFonts w:ascii="Times New Roman" w:hAnsi="Times New Roman"/>
          <w:sz w:val="24"/>
          <w:szCs w:val="24"/>
          <w:rtl/>
          <w:lang w:val="ar-SA"/>
        </w:rPr>
        <w:t>.</w:t>
      </w:r>
      <w:r w:rsidR="004F34F3">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مدى الالتزام بالرقابة من خلال المواقع الإلكترونية لحماية المصنفات الرقمية، واتخاذ إجراءات فعَّالة للتحقق من سلامة أي محتوى قبل بثه، ومتابعة ما يستجد بعد بث هذا المحتوى؛ لكي يتم تحقق التوازن بين حرية النشر وحماية الحقوق الفكرية</w:t>
      </w:r>
      <w:r>
        <w:rPr>
          <w:rStyle w:val="None"/>
          <w:rFonts w:ascii="Times New Roman" w:hAnsi="Times New Roman"/>
          <w:sz w:val="24"/>
          <w:szCs w:val="24"/>
          <w:rtl/>
          <w:lang w:val="ar-SA"/>
        </w:rPr>
        <w:t>.</w:t>
      </w:r>
    </w:p>
    <w:p w14:paraId="7801DEF0"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وسائل الرقابة على المواقع الإلكترونية</w:t>
      </w:r>
      <w:r>
        <w:rPr>
          <w:rStyle w:val="None"/>
          <w:rFonts w:ascii="Times New Roman" w:hAnsi="Times New Roman"/>
          <w:b/>
          <w:bCs/>
          <w:sz w:val="28"/>
          <w:szCs w:val="28"/>
          <w:rtl/>
          <w:lang w:val="ar-SA"/>
        </w:rPr>
        <w:t>:</w:t>
      </w:r>
    </w:p>
    <w:p w14:paraId="7AD29C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تعددت الوسائل التي تستخدمها الدول والمؤسسات لممارسة الرقابة على المواقع الإلكترونية، في ظل التدفق الهائل للمعلومات وتنوع المحتوى المتداول في الفضاء الرقمي، فلم تقتصر الرقابة على المتابعة التقليدية، بل توسعت لتشمل أدوات تقنية متقدمة وأنظمة برمجية قادرة على رصد وتتبع الأنشطة الإلكترونية بشكل فوري، 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الأطر القانونية والتنظيمية التي تحدد معايير الاستخدام المشروع، وتنبع أهمية تلك الوسائل من قدرتها على الحد من الأخطار الناتجة عن انتشار المحتويات غير المشروعة أو المخالفة للقانون، مع السعي لتحقيق التوازن بين إتاحة المعلومات وحماية الحقوق والأمن العام في البيئة الرقمية</w:t>
      </w:r>
      <w:r>
        <w:rPr>
          <w:rStyle w:val="None"/>
          <w:rFonts w:ascii="Times New Roman" w:hAnsi="Times New Roman"/>
          <w:sz w:val="24"/>
          <w:szCs w:val="24"/>
          <w:rtl/>
          <w:lang w:val="ar-SA"/>
        </w:rPr>
        <w:t>.</w:t>
      </w:r>
    </w:p>
    <w:p w14:paraId="7CD2F829" w14:textId="77777777" w:rsidR="00454428" w:rsidRDefault="00000000" w:rsidP="004F34F3">
      <w:pPr>
        <w:pStyle w:val="Body"/>
        <w:widowControl w:val="0"/>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إنَّ استخدام وسائل المراقبة الإلكترونية الحديثة لأجل التوصل إلى الجناة، وكشف غموض الجرائم، والمحافظة على الأمن العام والخاص، أصبح من الأمور الضرورية التي لا غنى عنها في واقعنا المعاصر؛ ولخطورة هذا الأمر فلا بُدَّ أنْ تأذن به الجهات المختصة، أو الجهات القضائية؛ وذلك لأجل المحافظة على حقوق الآخرين، وعدم اختراق خصوصياتهم، أو مراقبتهم بدون حاجة، أو ضرورة تقتضي ذلك؛ ولضمان عدم التلاعب فيما تضمنه تلك الوسائل من أدلة أو معلومات، وكذا لأجل المحافظة على الأدلة ذاتها، وتجنب عدم استبعادها؛ بسبب عيب شاب طريقة جمعها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b/>
          <w:bCs/>
          <w:sz w:val="24"/>
          <w:szCs w:val="24"/>
          <w:rtl/>
          <w:lang w:val="ar-SA"/>
        </w:rPr>
        <w:t xml:space="preserve"> </w:t>
      </w:r>
    </w:p>
    <w:p w14:paraId="13007CAD" w14:textId="6E2D5A00" w:rsidR="00454428" w:rsidRPr="00EC04AD" w:rsidRDefault="00000000">
      <w:pPr>
        <w:pStyle w:val="Body"/>
        <w:numPr>
          <w:ilvl w:val="0"/>
          <w:numId w:val="283"/>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t>التشفير</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يُعَدُّ التشفير من أبرز الوسائل التقنية الحديثة، التي تعزّز حماية البيانات والمعلومات في البيئة الرقمية، فيعتمد التشفير على تحويل البيانات إلى رموز يصعب قراءاتها أو اختراقها إلا من قبل المصرح لهم بذلك، كما تزداد أهمية التشفير في ظل التطوُّرات السريعة في الجرائم الإلكترونية والاعتداءات على الحقوق الرقمية؛ حيث يوفر وسيلةً فعَّالةً؛ لضمان سرية المصنفات الرقمية، وحماية حقوق الملكية الفكرية من النسخ أو الاستغلال غير المشروع</w:t>
      </w:r>
      <w:r w:rsidRPr="00EC04AD">
        <w:rPr>
          <w:rStyle w:val="None"/>
          <w:rFonts w:ascii="Times New Roman" w:hAnsi="Times New Roman"/>
          <w:sz w:val="24"/>
          <w:szCs w:val="24"/>
          <w:rtl/>
          <w:lang w:val="ar-SA"/>
        </w:rPr>
        <w:t>.</w:t>
      </w:r>
    </w:p>
    <w:p w14:paraId="14BBC0C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فالتشفير هو عملية تشكيل البيانات باستخدام خوارزمية معينة تسمى المفتاح، تصبح بها غير قابلة للقراءة إلا بعد استخدام الخوارزمية لفكها، ويتم عادةً تشفير البيانات قبل إرسالها عبر الشبكة؛ وذلك لضمان سلامة وصولها دون </w:t>
      </w:r>
      <w:r>
        <w:rPr>
          <w:rStyle w:val="None"/>
          <w:rFonts w:ascii="Arial Unicode MS" w:hAnsi="Arial Unicode MS" w:cs="Times New Roman" w:hint="cs"/>
          <w:sz w:val="24"/>
          <w:szCs w:val="24"/>
          <w:rtl/>
          <w:lang w:val="ar-SA"/>
        </w:rPr>
        <w:lastRenderedPageBreak/>
        <w:t xml:space="preserve">التعرض لأي عمليات تجسس أو تحريف لمضمونها، على أنْ يتم فك الشفرة لدى مستقبل الرسالة باستخدام مفتاح فك الشفرة، وينبغي الحرص على تشفير البيانات عند الرغبة في إرسالها عبر الشبكة، وكلما كانت سرقة البيانات تمثل خطورةً كانت هناك ضرورة أكبر لتشفيرها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DF7A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جاءت الهيئة الوطنية للأمن السيبراني بتوضيح ضوابط التشفير الذي يهدف إلى ضمان الاستخدام السليم والفعَّال؛ لحماية الأصول المعلوماتية الإلكترونية للجهة، وذلك وفقًا للسياسات والإجراءات التنظيمية للجهة، والمتطلبات التشريعية والتنظيمية ذات العلاقة، وقد أكدت على أهمية تحديد وتوثيق واعتماد متطلبات الأمن السيبراني للتشفير في الجهة، ويجب تطبيق متطلبات الأمن السيبراني للتشفير في الجهة، كما تجب مراجعة تطبيق متطلبات الأمن السيبراني للتشفير في الجهة دوريًا، بالإضافة إلى أنَّه يجب أنْ تعطى متطلبات الأمن السيبراني للتشفير بحد أدنى ما يلي</w:t>
      </w:r>
      <w:r>
        <w:rPr>
          <w:rStyle w:val="None"/>
          <w:rFonts w:ascii="Times New Roman" w:hAnsi="Times New Roman"/>
          <w:sz w:val="24"/>
          <w:szCs w:val="24"/>
          <w:rtl/>
          <w:lang w:val="ar-SA"/>
        </w:rPr>
        <w:t>:</w:t>
      </w:r>
    </w:p>
    <w:p w14:paraId="756C0D31"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معايير حلول التشفير المعتمدة والقيود المطبقة عليها تقنيًا وتنظيميًا</w:t>
      </w:r>
      <w:r>
        <w:rPr>
          <w:rStyle w:val="None"/>
          <w:rFonts w:ascii="Times New Roman" w:hAnsi="Times New Roman"/>
          <w:sz w:val="24"/>
          <w:szCs w:val="24"/>
          <w:rtl/>
          <w:lang w:val="ar-SA"/>
        </w:rPr>
        <w:t>.</w:t>
      </w:r>
    </w:p>
    <w:p w14:paraId="4D42F894"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الإدارة الآمنة لمفاتيح التشفير خلال عمليات دورة حياتها</w:t>
      </w:r>
      <w:r>
        <w:rPr>
          <w:rStyle w:val="None"/>
          <w:rFonts w:ascii="Times New Roman" w:hAnsi="Times New Roman"/>
          <w:sz w:val="24"/>
          <w:szCs w:val="24"/>
          <w:rtl/>
          <w:lang w:val="ar-SA"/>
        </w:rPr>
        <w:t>.</w:t>
      </w:r>
    </w:p>
    <w:p w14:paraId="1D472633"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تشفير البيانات أثناء النقل والتخزين بِناءً على تصنيفها وحسب المتطلبات التشريعية والتنظيمية ذات العلاقة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8DB32F3" w14:textId="15F0E4A4" w:rsidR="00454428" w:rsidRPr="00CC3E5F" w:rsidRDefault="00000000" w:rsidP="00CC3E5F">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قد وضعت إطارًا متكاملًا لضوابط التشفير، بوصفه أداةً أساسيةً لحماية الأصول المعلوماتية وضمان سرية البيانات وسلامتها، وقد أكدت على ضرورة توثيق واعتماد متطلبات التشفير في كل جهة، وتطبيقها بشكل مستمر مع مراجعتها دوريًا؛ لتحقيق الامتثال للمعايير التقنية والتنظيمية ذات الصلة، كما ركزت على عناصر جوهرية،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اعتماد حلول تشفير معترف بها، وضمان الإدارة الآمنة لمفاتيح التشفير طوال دورة حياتها، بالإضافة إلى تشفير البيانات أثناء نقلها أو تخزينها وفقًا لتصنيفها، وبذلك تعتبر هذه الضوابط خطوةً مهمةً لتعزيز الثقة الرقمية، وتوفير بيئة إلكترونية أكثر أمانًا</w:t>
      </w:r>
      <w:r>
        <w:rPr>
          <w:rStyle w:val="None"/>
          <w:rFonts w:ascii="Times New Roman" w:hAnsi="Times New Roman"/>
          <w:sz w:val="24"/>
          <w:szCs w:val="24"/>
          <w:rtl/>
          <w:lang w:val="ar-SA"/>
        </w:rPr>
        <w:t xml:space="preserve">. </w:t>
      </w:r>
    </w:p>
    <w:p w14:paraId="6C3E8378" w14:textId="77777777" w:rsidR="00454428" w:rsidRDefault="00000000"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اتفاقية تريبس بتوضيح الحماية المخصصة للحاسب الآلي، وقد نصت على أنَّه</w:t>
      </w:r>
      <w:r>
        <w:rPr>
          <w:rStyle w:val="None"/>
          <w:rFonts w:ascii="Times New Roman" w:hAnsi="Times New Roman"/>
          <w:sz w:val="24"/>
          <w:szCs w:val="24"/>
          <w:rtl/>
          <w:lang w:val="ar-SA"/>
        </w:rPr>
        <w:t>:</w:t>
      </w:r>
    </w:p>
    <w:p w14:paraId="354681B7" w14:textId="77777777" w:rsidR="00454428" w:rsidRDefault="00000000">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برامج الحاسب الآلي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الكمبيوتر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سواء أكانت بلُغة المصدر أو بلُغة الآلة، بالحماية باعتبارها أعمالًا أدبية بموجب معاهدة برن </w:t>
      </w:r>
      <w:r>
        <w:rPr>
          <w:rStyle w:val="None"/>
          <w:rFonts w:ascii="Times New Roman" w:hAnsi="Times New Roman"/>
          <w:sz w:val="24"/>
          <w:szCs w:val="24"/>
          <w:rtl/>
          <w:lang w:val="ar-SA"/>
        </w:rPr>
        <w:t>(1971).</w:t>
      </w:r>
    </w:p>
    <w:p w14:paraId="6CEB0B57" w14:textId="77777777" w:rsidR="00454428" w:rsidRDefault="00000000">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بالحماية البيانات المجمعة أو المواد الأخرى، سواء أكانت في شكل مقروء آليًا أو أي شكل آخر، إذا كانت تشكل خلقًا فكريًا نتيجة انتقاء أو ترتيب محتوياتها، وهذه الحماية لا تشمل البيانات أو المواد في حد ذاتها، ولا تخل بحقوق المؤلف المتعلقة بهذه البيانات أو المواد ذاتها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EFB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أنَّ اتفاقية تريبس قد أكدت على مكانة برامج الحاسوب كمصنفات أدبية تخضع للحماية، كما هو الحال مع المصنفات التقليدية؛ ممَّا يعزّز حماية المبدعين في المجال التقني والرقمي، كما وسعت الاتفاقية نطاق الحماية ليشمل قواعد البيانات والمجموعات المعلوماتية، متى توافرت فيها سمة الابتكار الفكري المبني على أسلوب الانتقاء أو الترتيب، وقد أكدت الاتفاقية أنَّ هذه الحماية لا تشمل البيانات أو المواد ذاتها في صورتها المجردة،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يتضح أنَّ </w:t>
      </w:r>
      <w:r>
        <w:rPr>
          <w:rStyle w:val="None"/>
          <w:rFonts w:ascii="Arial Unicode MS" w:hAnsi="Arial Unicode MS" w:cs="Times New Roman" w:hint="cs"/>
          <w:sz w:val="24"/>
          <w:szCs w:val="24"/>
          <w:rtl/>
          <w:lang w:val="ar-SA"/>
        </w:rPr>
        <w:lastRenderedPageBreak/>
        <w:t>الاتفاقية قد أرست مبدأ التوازن بين حماية الجهد الفكري للمؤلف من جهة، وضمان وصول المعلومات إلى الجميع من جهة أخرى</w:t>
      </w:r>
      <w:r>
        <w:rPr>
          <w:rStyle w:val="None"/>
          <w:rFonts w:ascii="Times New Roman" w:hAnsi="Times New Roman"/>
          <w:sz w:val="24"/>
          <w:szCs w:val="24"/>
          <w:rtl/>
          <w:lang w:val="ar-SA"/>
        </w:rPr>
        <w:t>.</w:t>
      </w:r>
    </w:p>
    <w:p w14:paraId="7F8EBB50" w14:textId="72ED39C1" w:rsidR="00454428" w:rsidRPr="00EC04AD" w:rsidRDefault="00000000">
      <w:pPr>
        <w:pStyle w:val="Body"/>
        <w:numPr>
          <w:ilvl w:val="0"/>
          <w:numId w:val="288"/>
        </w:numPr>
        <w:spacing w:before="120" w:after="120" w:line="360" w:lineRule="auto"/>
        <w:jc w:val="both"/>
        <w:rPr>
          <w:rStyle w:val="None"/>
          <w:rFonts w:ascii="Arial Unicode MS" w:hAnsi="Arial Unicode MS" w:cs="Times New Roman"/>
          <w:sz w:val="28"/>
          <w:szCs w:val="28"/>
          <w:lang w:val="ar-SA"/>
        </w:rPr>
      </w:pPr>
      <w:r>
        <w:rPr>
          <w:rStyle w:val="None"/>
          <w:rFonts w:ascii="Arial Unicode MS" w:hAnsi="Arial Unicode MS" w:cs="Times New Roman" w:hint="cs"/>
          <w:b/>
          <w:bCs/>
          <w:sz w:val="28"/>
          <w:szCs w:val="28"/>
          <w:rtl/>
          <w:lang w:val="ar-SA"/>
        </w:rPr>
        <w:t>الهيئة الوطنية للأمن السيبراني كجهة مختصة</w:t>
      </w:r>
      <w:r>
        <w:rPr>
          <w:rStyle w:val="None"/>
          <w:rFonts w:ascii="Times New Roman" w:hAnsi="Times New Roman"/>
          <w:b/>
          <w:bCs/>
          <w:sz w:val="28"/>
          <w:szCs w:val="28"/>
          <w:rtl/>
          <w:lang w:val="ar-SA"/>
        </w:rPr>
        <w:t>:</w:t>
      </w:r>
      <w:r w:rsidR="00EC04AD">
        <w:rPr>
          <w:rFonts w:ascii="Arial Unicode MS" w:hAnsi="Arial Unicode MS" w:cs="Times New Roman" w:hint="cs"/>
          <w:sz w:val="28"/>
          <w:szCs w:val="28"/>
          <w:rtl/>
          <w:lang w:val="ar-SA"/>
        </w:rPr>
        <w:t xml:space="preserve"> </w:t>
      </w:r>
      <w:r w:rsidRPr="00EC04AD">
        <w:rPr>
          <w:rStyle w:val="None"/>
          <w:rFonts w:ascii="Arial Unicode MS" w:hAnsi="Arial Unicode MS" w:cs="Times New Roman" w:hint="cs"/>
          <w:sz w:val="24"/>
          <w:szCs w:val="24"/>
          <w:rtl/>
          <w:lang w:val="ar-SA"/>
        </w:rPr>
        <w:t>إنَّ الجهات المختصة بحماية الملكية الفكرية لها أهمية كبيرة؛ حيث إنَّها تمثل النقطة الأساسية في تطبيق القوانين والأنظمة المتعلقة بحقوق المؤلفين والمبدعين، فهي المسئولة عن الإشراف والرقابة، واتخاذ الإجراءات النظامية اللازمة؛ لمواجهة الاعتداءات على الحقوق الفكرية، سواء في صورها التقليدية أو في البيئة الرقمية، كما تلعب هذه الجهات دورًا تنظيميًا من خلال نشر الثقافة القانونية، وتعزيز الوعي المجتمعي بأهمية احترام الملكية الفكرية، بالإضافة إلى التنسيق مع المنظمات الدولية؛ لتحقيق حماية فعَّالة تتماشى مع المعايير العالمية</w:t>
      </w:r>
      <w:r w:rsidRPr="00EC04AD">
        <w:rPr>
          <w:rStyle w:val="None"/>
          <w:rFonts w:ascii="Times New Roman" w:hAnsi="Times New Roman"/>
          <w:sz w:val="24"/>
          <w:szCs w:val="24"/>
          <w:rtl/>
          <w:lang w:val="ar-SA"/>
        </w:rPr>
        <w:t>.</w:t>
      </w:r>
    </w:p>
    <w:p w14:paraId="21B4E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الهيئة الوطنية للأمن السيبراني إحدى أهم الجهات المعنية بحماية الفضاء الرقمي في المملكة العربية السعودية؛ حيث أنشئت لتكون المرجع الوطني المختص بكل ما يتعلق بشؤون الأمن السيبراني، وتكمن أهميتها في وضع السياسات والضوابط الاستراتيجية التي تهدف إلى حماية الشبكات، والأنظمة، والبيانات من التهديدات والهجمات الإلكترونية، بما يضمن تعزيز الثقة في البيئة الرقمية، ودعم التحول الرقمي الذي تشهده المملكة، كما تقوم الهيئة بدور محوري في توعية الجهات الحكومية والخاصة بأهمية الالتزامات بمتطلبات الأمن السيبراني، وتنسيق الجهود الوطنية؛ لضمان مستوى عالٍ من الحماية يواكب المعايير الدولية، ويعزّز حماية الأصول المعلوماتية</w:t>
      </w:r>
      <w:r>
        <w:rPr>
          <w:rStyle w:val="None"/>
          <w:rFonts w:ascii="Times New Roman" w:hAnsi="Times New Roman"/>
          <w:sz w:val="24"/>
          <w:szCs w:val="24"/>
          <w:rtl/>
          <w:lang w:val="ar-SA"/>
        </w:rPr>
        <w:t>.</w:t>
      </w:r>
    </w:p>
    <w:p w14:paraId="34E43D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وجود بنية تحتية رقمية وطنية متكاملة وآمنة يُعَدُّ أحد أهم العوامل الممكنة للنمو والازدهار، إلا أنَّ التوسع في استخدام التقنية يفتح آفاقًا جديدةً للثغرات الأمنية والتهديدات الرقمية؛ ممَّا يستوجب تعزيز الأمن الرقمي لحماية الشبكات، وأنظمة تقنية المعلومات، وأنظمة التقنيات التشغيلية، ومكوناتها من أجهزة وبرمجيات، وحماية ما تقدمه من خدمات، وما تحويه من بيانات من أي اختراق، أو تعطيل، أو تعديل، أو دخول، أو استخدام أو استغلال، وكذلك لتعزيز الربط التقني الآمن بين الخدمات الحكومية، ودعم الاقتصاد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28C9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تنظيم الهيئة الوطنية للأمن السيبراني بتوضيح مفهوم الأمن السيبراني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دخول، أو استخدام، أو استغلال غير مشروع، ويشمل مفهوم الأمن السيبراني أمن المعلومات، والأمن الإلكتروني، والأمن الرقمي ونحو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CEA3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مفهوم الأمن السيبراني شامل وواسع؛ حيث يغطي مختلف عناصر البيئة الرقمية من شبكات، وأنظمة، وأجهزة، وبرمجيات، وبيانات؛ ممَّا يمنع أي استغلال أو استخدام غير مشروع لها، كما أنَّ هذا التعريف لا يقتصر على جوانب تقنية ضيقة، بل يمتد ليشمل أبعادًا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أمن المعلومات، والأمن الإلكتروني، والأمن الرقمي؛ ممَّا يعكس شمولية الرؤية الوطنية لحماية الفضاء السيبراني،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يشكل هذا المفهوم الأساس الذي تُبنى عليه السياسات والضوابط والإجراءات؛ لضمان تعزيز الثقة في البيئة الرقمية</w:t>
      </w:r>
      <w:r>
        <w:rPr>
          <w:rStyle w:val="None"/>
          <w:rFonts w:ascii="Times New Roman" w:hAnsi="Times New Roman"/>
          <w:sz w:val="24"/>
          <w:szCs w:val="24"/>
          <w:rtl/>
          <w:lang w:val="ar-SA"/>
        </w:rPr>
        <w:t xml:space="preserve">. </w:t>
      </w:r>
    </w:p>
    <w:p w14:paraId="18683BE5" w14:textId="77777777" w:rsidR="00454428" w:rsidRDefault="00000000"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جاءت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من تنظيم الهيئة الوطنية للأمن السيبراني بتوضيح اختصاصات ومهمات الهيئة كالآتي</w:t>
      </w:r>
      <w:r>
        <w:rPr>
          <w:rStyle w:val="None"/>
          <w:rFonts w:ascii="Times New Roman" w:hAnsi="Times New Roman"/>
          <w:sz w:val="24"/>
          <w:szCs w:val="24"/>
          <w:rtl/>
          <w:lang w:val="ar-SA"/>
        </w:rPr>
        <w:t>:</w:t>
      </w:r>
    </w:p>
    <w:p w14:paraId="71CE82F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إعداد الاستراتيجية الوطنية للآمن السيبراني، والإشراف على تنفيذها، واقتراح تحديثها</w:t>
      </w:r>
      <w:r>
        <w:rPr>
          <w:rStyle w:val="None"/>
          <w:rFonts w:ascii="Times New Roman" w:hAnsi="Times New Roman"/>
          <w:sz w:val="24"/>
          <w:szCs w:val="24"/>
          <w:rtl/>
          <w:lang w:val="ar-SA"/>
        </w:rPr>
        <w:t>.</w:t>
      </w:r>
    </w:p>
    <w:p w14:paraId="1A829E6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وآليات الحوكمة، والأطر، والمعايير، والضوابط، والإرشادات المتعلقة بالأمن السيبراني، وتعميمها على الجهات ذات العلاقة، ومتابعة الالتزام بها، وتحديثها</w:t>
      </w:r>
      <w:r>
        <w:rPr>
          <w:rStyle w:val="None"/>
          <w:rFonts w:ascii="Times New Roman" w:hAnsi="Times New Roman"/>
          <w:sz w:val="24"/>
          <w:szCs w:val="24"/>
          <w:rtl/>
          <w:lang w:val="ar-SA"/>
        </w:rPr>
        <w:t>.</w:t>
      </w:r>
    </w:p>
    <w:p w14:paraId="2003FED5"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تصنيف وتحديد البنى التحتية الحساسة والجهات المرتبطة بها، وتحديد القطاعات والجهات ذات الأولية بالأمن السيبراني</w:t>
      </w:r>
      <w:r>
        <w:rPr>
          <w:rStyle w:val="None"/>
          <w:rFonts w:ascii="Times New Roman" w:hAnsi="Times New Roman"/>
          <w:sz w:val="24"/>
          <w:szCs w:val="24"/>
          <w:rtl/>
          <w:lang w:val="ar-SA"/>
        </w:rPr>
        <w:t>.</w:t>
      </w:r>
    </w:p>
    <w:p w14:paraId="5453FF4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إدارة الأخطار المتعلقة بالأمن السيبراني، ومتابعة الالتزام بها، وتحديثها</w:t>
      </w:r>
      <w:r>
        <w:rPr>
          <w:rStyle w:val="None"/>
          <w:rFonts w:ascii="Times New Roman" w:hAnsi="Times New Roman"/>
          <w:sz w:val="24"/>
          <w:szCs w:val="24"/>
          <w:rtl/>
          <w:lang w:val="ar-SA"/>
        </w:rPr>
        <w:t>.</w:t>
      </w:r>
    </w:p>
    <w:p w14:paraId="35762994"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إشعار الجهات المعنية بالأخطار والتهديدات ذات العلاقة بالأمن السيبراني</w:t>
      </w:r>
      <w:r>
        <w:rPr>
          <w:rStyle w:val="None"/>
          <w:rFonts w:ascii="Times New Roman" w:hAnsi="Times New Roman"/>
          <w:sz w:val="24"/>
          <w:szCs w:val="24"/>
          <w:rtl/>
          <w:lang w:val="ar-SA"/>
        </w:rPr>
        <w:t>.</w:t>
      </w:r>
    </w:p>
    <w:p w14:paraId="1125EF3B"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الاستجابة للحوادث المتعلقة بالأمن السيبراني، ومتابعة الالتزام بها، وتحديثها</w:t>
      </w:r>
      <w:r>
        <w:rPr>
          <w:rStyle w:val="None"/>
          <w:rFonts w:ascii="Times New Roman" w:hAnsi="Times New Roman"/>
          <w:sz w:val="24"/>
          <w:szCs w:val="24"/>
          <w:rtl/>
          <w:lang w:val="ar-SA"/>
        </w:rPr>
        <w:t>.</w:t>
      </w:r>
    </w:p>
    <w:p w14:paraId="7757637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بناء مراكز العمليات الوطنية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وما في حكمها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بكافة أنواعها، بما في ذلك مراكز التحكم، والسيطرة، والاستطلاع، والرصد، وتبادل، وتحليل المعلومات، وكذلك بناء مراكز العمليات القطاعية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عند الحاجة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وبناء المنصات ذات العلاقة والإشراف عليها، وتشغيلها</w:t>
      </w:r>
      <w:r>
        <w:rPr>
          <w:rStyle w:val="None"/>
          <w:rFonts w:ascii="Times New Roman" w:hAnsi="Times New Roman"/>
          <w:sz w:val="24"/>
          <w:szCs w:val="24"/>
          <w:rtl/>
          <w:lang w:val="ar-SA"/>
        </w:rPr>
        <w:t>.</w:t>
      </w:r>
    </w:p>
    <w:p w14:paraId="6E8F3BB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القيام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بنفسها أو من خلال غيرها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بالأنشطة والعمليات المتعلقة بالأمن السيبراني</w:t>
      </w:r>
      <w:r>
        <w:rPr>
          <w:rStyle w:val="None"/>
          <w:rFonts w:ascii="Times New Roman" w:hAnsi="Times New Roman"/>
          <w:sz w:val="24"/>
          <w:szCs w:val="24"/>
          <w:rtl/>
          <w:lang w:val="ar-SA"/>
        </w:rPr>
        <w:t>.</w:t>
      </w:r>
    </w:p>
    <w:p w14:paraId="07F3E9B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تنظيم آلية مشاركة المعلومات والبيانات المرتبطة بالأمن السيبراني بين الجهات والقطاعات المختلفة في المملكة، والإشراف على ذلك</w:t>
      </w:r>
      <w:r>
        <w:rPr>
          <w:rStyle w:val="None"/>
          <w:rFonts w:ascii="Times New Roman" w:hAnsi="Times New Roman"/>
          <w:sz w:val="24"/>
          <w:szCs w:val="24"/>
          <w:rtl/>
          <w:lang w:val="ar-SA"/>
        </w:rPr>
        <w:t>.</w:t>
      </w:r>
    </w:p>
    <w:p w14:paraId="335A483B"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تقديم المساندة للجهات المختصة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 طلبها وفقًا للإمكانات المتاحة لدى الهيئة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خلال الاستدلال والتحقيق في الجرائم المتعلقة بالأمن السيبراني</w:t>
      </w:r>
      <w:r>
        <w:rPr>
          <w:rStyle w:val="None"/>
          <w:rFonts w:ascii="Times New Roman" w:hAnsi="Times New Roman"/>
          <w:sz w:val="24"/>
          <w:szCs w:val="24"/>
          <w:rtl/>
          <w:lang w:val="ar-SA"/>
        </w:rPr>
        <w:t>.</w:t>
      </w:r>
    </w:p>
    <w:p w14:paraId="2991DA19"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والمعايير الوطنية للتشفير، ومتابعة الالتزام بها، وتحديثها</w:t>
      </w:r>
      <w:r>
        <w:rPr>
          <w:rStyle w:val="None"/>
          <w:rFonts w:ascii="Times New Roman" w:hAnsi="Times New Roman"/>
          <w:sz w:val="24"/>
          <w:szCs w:val="24"/>
          <w:rtl/>
          <w:lang w:val="ar-SA"/>
        </w:rPr>
        <w:t>.</w:t>
      </w:r>
    </w:p>
    <w:p w14:paraId="5B68C2AD"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ما يلزم من معايير أو ضوابط للفسح والترخيص باستيراد وتصدير واستخدام الأجهزة والبرمجيات ذات الحساسية العالية للأمن السيبراني التي تحددها الهيئة، ومتابعة الالتزام بها، وتحديثها، وذلك دون إخلال بأي معايير أو ضوابط معتمدة لدى الجهات الأخرى ذات العلاقة</w:t>
      </w:r>
      <w:r>
        <w:rPr>
          <w:rStyle w:val="None"/>
          <w:rFonts w:ascii="Times New Roman" w:hAnsi="Times New Roman"/>
          <w:sz w:val="24"/>
          <w:szCs w:val="24"/>
          <w:rtl/>
          <w:lang w:val="ar-SA"/>
        </w:rPr>
        <w:t>.</w:t>
      </w:r>
    </w:p>
    <w:p w14:paraId="5D015FA1"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القدرات الوطنية المتخصصة في مجالات الأمن السيبراني، والمشاركة في إعداد البرامج التعليمية والتدريبية الخاصة بها، وإعداد المعايير المهنية والأطر وبناء وتنفيذ المقاييس والاختبارات القياسية المهنية ذات العلاقة</w:t>
      </w:r>
      <w:r>
        <w:rPr>
          <w:rStyle w:val="None"/>
          <w:rFonts w:ascii="Times New Roman" w:hAnsi="Times New Roman"/>
          <w:sz w:val="24"/>
          <w:szCs w:val="24"/>
          <w:rtl/>
          <w:lang w:val="ar-SA"/>
        </w:rPr>
        <w:t>.</w:t>
      </w:r>
    </w:p>
    <w:p w14:paraId="18BE9C3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الترخيص بمزاولة الأفراد والجهات غير الحكومية للأنشطة والعمليات المتعلقة بالأمن السيبراني التي تحددها الهيئة</w:t>
      </w:r>
      <w:r>
        <w:rPr>
          <w:rStyle w:val="None"/>
          <w:rFonts w:ascii="Times New Roman" w:hAnsi="Times New Roman"/>
          <w:sz w:val="24"/>
          <w:szCs w:val="24"/>
          <w:rtl/>
          <w:lang w:val="ar-SA"/>
        </w:rPr>
        <w:t>.</w:t>
      </w:r>
    </w:p>
    <w:p w14:paraId="637B1BE7"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التواصل مع الجهات المماثلة خارج المملكة والجهات الخاصة لتبادل الخبرات وتأسيس آليات للتعاون والشراكة معها، وفقًا للإجراءات المتبعة</w:t>
      </w:r>
      <w:r>
        <w:rPr>
          <w:rStyle w:val="None"/>
          <w:rFonts w:ascii="Times New Roman" w:hAnsi="Times New Roman"/>
          <w:sz w:val="24"/>
          <w:szCs w:val="24"/>
          <w:rtl/>
          <w:lang w:val="ar-SA"/>
        </w:rPr>
        <w:t>.</w:t>
      </w:r>
    </w:p>
    <w:p w14:paraId="04EA62C9"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تبادل الإنتاج التقني والمعرفي وتبادل البيانات والمعلومات مع الجهات المماثلة خارج المملكة</w:t>
      </w:r>
      <w:r>
        <w:rPr>
          <w:rStyle w:val="None"/>
          <w:rFonts w:ascii="Times New Roman" w:hAnsi="Times New Roman"/>
          <w:sz w:val="24"/>
          <w:szCs w:val="24"/>
          <w:rtl/>
          <w:lang w:val="ar-SA"/>
        </w:rPr>
        <w:t>.</w:t>
      </w:r>
    </w:p>
    <w:p w14:paraId="2EDC61C8"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تمثيل المملكة في المنظمات، والهيئات، واللجان، والمجموعات الثنائية، والإقليمية، والدولية ذات الصلة، ومتابعة تنفيذ التزامات المملكة الدولية الخاصة بالأمن السيبراني</w:t>
      </w:r>
      <w:r>
        <w:rPr>
          <w:rStyle w:val="None"/>
          <w:rFonts w:ascii="Times New Roman" w:hAnsi="Times New Roman"/>
          <w:sz w:val="24"/>
          <w:szCs w:val="24"/>
          <w:rtl/>
          <w:lang w:val="ar-SA"/>
        </w:rPr>
        <w:t>.</w:t>
      </w:r>
    </w:p>
    <w:p w14:paraId="57A0084D"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رفع مستوى الوعي بالأمن السيبراني</w:t>
      </w:r>
      <w:r>
        <w:rPr>
          <w:rStyle w:val="None"/>
          <w:rFonts w:ascii="Times New Roman" w:hAnsi="Times New Roman"/>
          <w:sz w:val="24"/>
          <w:szCs w:val="24"/>
          <w:rtl/>
          <w:lang w:val="ar-SA"/>
        </w:rPr>
        <w:t>.</w:t>
      </w:r>
    </w:p>
    <w:p w14:paraId="316B593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تحفيز نمو قطاع الأمن السيبراني في المملكة، وتشجيع الابتكار والاستثمار فيه</w:t>
      </w:r>
      <w:r>
        <w:rPr>
          <w:rStyle w:val="None"/>
          <w:rFonts w:ascii="Times New Roman" w:hAnsi="Times New Roman"/>
          <w:sz w:val="24"/>
          <w:szCs w:val="24"/>
          <w:rtl/>
          <w:lang w:val="ar-SA"/>
        </w:rPr>
        <w:t>.</w:t>
      </w:r>
    </w:p>
    <w:p w14:paraId="7E4AC515"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الدراسات والبحوث والتطوير وعمليات التصنيع، ونقل التقنية وتطويرها، في الأمن السيبراني وما يرتبط به من مجالات</w:t>
      </w:r>
      <w:r>
        <w:rPr>
          <w:rStyle w:val="None"/>
          <w:rFonts w:ascii="Times New Roman" w:hAnsi="Times New Roman"/>
          <w:sz w:val="24"/>
          <w:szCs w:val="24"/>
          <w:rtl/>
          <w:lang w:val="ar-SA"/>
        </w:rPr>
        <w:t>.</w:t>
      </w:r>
    </w:p>
    <w:p w14:paraId="1577AD9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اقتراح آليات رفع كفاءة الإنفاق في مجالات الأمن السيبراني</w:t>
      </w:r>
      <w:r>
        <w:rPr>
          <w:rStyle w:val="None"/>
          <w:rFonts w:ascii="Times New Roman" w:hAnsi="Times New Roman"/>
          <w:sz w:val="24"/>
          <w:szCs w:val="24"/>
          <w:rtl/>
          <w:lang w:val="ar-SA"/>
        </w:rPr>
        <w:t>.</w:t>
      </w:r>
    </w:p>
    <w:p w14:paraId="2B4C4AF6"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تطوير مؤشرات قياس الأداء الخاصة بالأمن السيبراني، وإعداد التقارير الدورية حول حالة الأمن السيبراني في المملكة على المستويين الوطني والقطاعي</w:t>
      </w:r>
      <w:r>
        <w:rPr>
          <w:rStyle w:val="None"/>
          <w:rFonts w:ascii="Times New Roman" w:hAnsi="Times New Roman"/>
          <w:sz w:val="24"/>
          <w:szCs w:val="24"/>
          <w:rtl/>
          <w:lang w:val="ar-SA"/>
        </w:rPr>
        <w:t>.</w:t>
      </w:r>
    </w:p>
    <w:p w14:paraId="28E47A90"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اقتراح إصدار وتعديل الأنظمة واللوائح والقرارات ذات الصلة بالأمن السيبراني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3EAC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تلعب دورًا استراتيجيًا وتنظيميًا يتمثل في إعداد الاستراتيجية الوطنية للأمن السيبراني، ووضع السياسات، والأطر، والمعايير، والضوابط ذات الصلة؛ ممَّا يضمن وجود إطار وطني موحد لحماية الفضاء السيبراني، وهذا يعكس توجه الدولة نحو بناء منظومة مؤسسية متكاملة قادرة على مواجهة التحديات الرقمية بأسس علمية ومنهجية</w:t>
      </w:r>
      <w:r>
        <w:rPr>
          <w:rStyle w:val="None"/>
          <w:rFonts w:ascii="Times New Roman" w:hAnsi="Times New Roman"/>
          <w:sz w:val="24"/>
          <w:szCs w:val="24"/>
          <w:rtl/>
          <w:lang w:val="ar-SA"/>
        </w:rPr>
        <w:t>.</w:t>
      </w:r>
    </w:p>
    <w:p w14:paraId="5F78CB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الهيئة تظهر كجهة رقابية وتنفيذية، من خلال متابعة الالتزام بالسياسات والمعايير المعتمدة، وإشعار الجهات المعنية بالأخطار والتهديدات، بالإضافة إلى إنشاء مراكز العمليات الوطنية والقطاعية؛ لرصد التهديديات والاستجابة للحوادث الأمنية بشكل سريع، وهذا يعزّز قدرتها على مواجهة الأخطار السيبرانية بفاعلية، كما يتضح لنا الدور التنموي والمعرفي للهيئة؛ حيث أكدت على أهمية بناء القدرات الوطنية والمشاركة في البرامج التعليمية والتدريبية، وزيادة مستوى الوعي المجتمعي بالأمن السيبراني، كما أولت اهتمامًا خاصًا بتحفيز الاستثمار والابتكار في هذا المجال؛ ممَّا يساهم في تنمية قطاع الأمن السيبراني محليًا وتحقيق الاكتفاء الذاتي في التقنيات</w:t>
      </w:r>
      <w:r>
        <w:rPr>
          <w:rStyle w:val="None"/>
          <w:rFonts w:ascii="Times New Roman" w:hAnsi="Times New Roman"/>
          <w:sz w:val="24"/>
          <w:szCs w:val="24"/>
          <w:rtl/>
          <w:lang w:val="ar-SA"/>
        </w:rPr>
        <w:t>.</w:t>
      </w:r>
    </w:p>
    <w:p w14:paraId="38187E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يتبين أنَّ للهيئة دورًا دوليًا وتعاونيًا يتمثل في تمثيل المملكة في المحافل الإقليمية والدولية ذات الصلة، وتبادل الخبرات والمعرفة مع الجهات المماثلة خارج المملكة، كما تهتم بمتابعة تنفيذ التزاماتها الدولية، وهذا يعكس إدراكًا بأنَّ الأمن السيبراني قضية عابرة للحدود، تتطلب تنسيقًا دوليًا وشراكاتٍ فعَّالةً</w:t>
      </w:r>
      <w:r>
        <w:rPr>
          <w:rStyle w:val="None"/>
          <w:rFonts w:ascii="Times New Roman" w:hAnsi="Times New Roman"/>
          <w:sz w:val="24"/>
          <w:szCs w:val="24"/>
          <w:rtl/>
          <w:lang w:val="ar-SA"/>
        </w:rPr>
        <w:t>.</w:t>
      </w:r>
    </w:p>
    <w:p w14:paraId="1EC1A0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0525D257"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17030F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B6CD43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42FD1104"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7" w:name="_Toc227251464"/>
      <w:r>
        <w:rPr>
          <w:rStyle w:val="None"/>
          <w:rFonts w:ascii="Arial Unicode MS" w:hAnsi="Arial Unicode MS" w:cs="Times New Roman" w:hint="cs"/>
          <w:b/>
          <w:bCs/>
          <w:sz w:val="32"/>
          <w:szCs w:val="32"/>
          <w:rtl/>
          <w:lang w:val="ar-SA"/>
        </w:rPr>
        <w:lastRenderedPageBreak/>
        <w:t>المطلب الثاني</w:t>
      </w:r>
      <w:bookmarkEnd w:id="237"/>
    </w:p>
    <w:p w14:paraId="0182B0A1"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8" w:name="_Toc227251465"/>
      <w:r>
        <w:rPr>
          <w:rStyle w:val="None"/>
          <w:rFonts w:ascii="Arial Unicode MS" w:hAnsi="Arial Unicode MS" w:cs="Times New Roman" w:hint="cs"/>
          <w:b/>
          <w:bCs/>
          <w:sz w:val="32"/>
          <w:szCs w:val="32"/>
          <w:rtl/>
          <w:lang w:val="ar-SA"/>
        </w:rPr>
        <w:t>الحماية التكنولوجية للمنتجات الفكرية في البيئة الرقمية</w:t>
      </w:r>
      <w:bookmarkEnd w:id="238"/>
    </w:p>
    <w:p w14:paraId="0DBED2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الحماية التكنولوجية للمنتجات الفكرية في البيئة الرقمية ضرورة ملحة في ظل الانتشار الواسع للتقنيات الحديثة؛ ممَّا يسهل نسخ، وتداول، واستغلال المصنفات بطرق غير قانونية، فمع تطوُّر البرمجيات والشبكات الرقمية ظهرت آليات تقنية متعددة تهدف إلى حماية حقوق المبدعين والمؤلفين، وتأتي هذه الحماية التكنولوجية كوسيلة تكميلية للتشريعات القانونية؛ حيث توفر ضمانًا عمليًا وسريعًا للحد من الانتهاكات</w:t>
      </w:r>
      <w:r>
        <w:rPr>
          <w:rStyle w:val="None"/>
          <w:rFonts w:ascii="Times New Roman" w:hAnsi="Times New Roman"/>
          <w:sz w:val="24"/>
          <w:szCs w:val="24"/>
          <w:rtl/>
          <w:lang w:val="ar-SA"/>
        </w:rPr>
        <w:t>.</w:t>
      </w:r>
    </w:p>
    <w:p w14:paraId="6CA6F2E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يُعَدُّ المصنف خلاصةَ جهد المؤلف وثمرة عمله، ومع التطوُّر السريع والمسامر في تكنولوجيا المعلومات ظهر ما يعرف باسم النشر الإلكتروني الذي أتاح النتاج الفكري البشري من خلال وسيط إلكتروني، أو على شبكة الإنترنت، ولكن مع تخوف الناشرين من نشر مصنفاتهم على شبكة الإنترنت؛ نتيجة عمليات النسخ غير المشروعة، أو القرصنة، أو السرقات، كل هذا جعل هناك إحجام بعض الشركات على الاستمرار في عمليات النشر الإلكتروني، وهو ما فرض ضرورة وضع تدابير إلكترونية لحماية هذه المصنفات البيئة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C24C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استراتيجية الحماية بالتقنية</w:t>
      </w:r>
      <w:r>
        <w:rPr>
          <w:rStyle w:val="None"/>
          <w:rFonts w:ascii="Times New Roman" w:hAnsi="Times New Roman"/>
          <w:b/>
          <w:bCs/>
          <w:sz w:val="28"/>
          <w:szCs w:val="28"/>
          <w:rtl/>
          <w:lang w:val="ar-SA"/>
        </w:rPr>
        <w:t>:</w:t>
      </w:r>
    </w:p>
    <w:p w14:paraId="4807FB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الاعتداء على الملكية الفكرية خطرًا عظيمًا على المستقبل الإبداعي للأمة؛ حيث إنَّه يحمل في طياته العديد من الجرائم، وهذا يؤدي بدوره إلى ضياع الحقوق، ولما كان للوسائل الإلكترونية الحديثة أهمية كبيرة في عملية الرقابة، والحماية، والحد من الجرائم، وكشفها عن طريق تسجيلها وإثباتها بالوسائل التقنية، فكان استخدامها أمرًا ضروريًا؛ لأنَّ المجرم أو المعتدي إذا علم أنَّ أفعاله مراقبة ومسجلة، فإنَّه لن يقدم على ارتكاب الجرائم خوفًا من الجزاء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4A5631" w14:textId="77777777" w:rsidR="00454428" w:rsidRDefault="00000000">
      <w:pPr>
        <w:pStyle w:val="Body"/>
        <w:numPr>
          <w:ilvl w:val="0"/>
          <w:numId w:val="292"/>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التوقيع الإلكتروني</w:t>
      </w:r>
      <w:r>
        <w:rPr>
          <w:rStyle w:val="None"/>
          <w:rFonts w:ascii="Times New Roman" w:hAnsi="Times New Roman"/>
          <w:b/>
          <w:bCs/>
          <w:sz w:val="28"/>
          <w:szCs w:val="28"/>
          <w:rtl/>
          <w:lang w:val="ar-SA"/>
        </w:rPr>
        <w:t>:</w:t>
      </w:r>
    </w:p>
    <w:p w14:paraId="3FD98D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التوقيع الإلكتروني من أبرز الوسائل التقنية الحديثة التي أصبحت ضروريةً في البيئة الرقمية؛ وذلك لما تقدمه من ضمانات تتعلق بسلامة المعاملات الإلكترونية، وحماية الحقوق المرتبطة بها، ولا يقتصر دوره على إثبات هُوِيَّة الأطراف المتعاملة، بل يمتد ليكون أداةً فعَّالةً في حماية الملكية الفكرية؛ حيث يتيح للمؤلفين والمبدعين توثيق نتاجهم وإثبات نسبته إليهم بوسيلة رقمية يصعب التلاعب بها أو إنكارها؛ لذا فإنَّ اعتماد التوقيع الإلكتروني في البيئة الرقمية يعزّز من الموثوقية في التعاملات المتعلقة بالمصنفات الفكرية</w:t>
      </w:r>
      <w:r>
        <w:rPr>
          <w:rStyle w:val="None"/>
          <w:rFonts w:ascii="Times New Roman" w:hAnsi="Times New Roman"/>
          <w:sz w:val="24"/>
          <w:szCs w:val="24"/>
          <w:rtl/>
          <w:lang w:val="ar-SA"/>
        </w:rPr>
        <w:t>.</w:t>
      </w:r>
    </w:p>
    <w:p w14:paraId="1343F537" w14:textId="7AEABC46" w:rsidR="00454428" w:rsidRDefault="00000000" w:rsidP="003C42D1">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التوقيع الإلكتروني مكافئًا رقميًّا للتوقيع بخط اليد، ويمكن استخدامه لمصادقة هُوِيَّة الموقع على المستند، وللتأكيد أيضًا على سلامة بيانات المستند، أو من أجل مصادقة هُوِيَّة المرسل والتأكد من أنَّ المحتوى الأصلي للرسالة أو المستند، الذي تم إرساله لم يتغير، ويستخدم لتوقيع وثيقة إلكترونيًا، ويمكن لأي شخص التحقق من التوقيع، وإذا تم </w:t>
      </w:r>
      <w:r>
        <w:rPr>
          <w:rStyle w:val="None"/>
          <w:rFonts w:ascii="Arial Unicode MS" w:hAnsi="Arial Unicode MS" w:cs="Times New Roman" w:hint="cs"/>
          <w:sz w:val="24"/>
          <w:szCs w:val="24"/>
          <w:rtl/>
          <w:lang w:val="ar-SA"/>
        </w:rPr>
        <w:lastRenderedPageBreak/>
        <w:t xml:space="preserve">استخدامه بشكل صحيح، فإنَّه يضمن سلامة الرسالة الموقعة وكذلك هُوِيَّة الموقع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3C42D1">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أنَّ أداة التوقيع الإلكتروني تفيد في توفير إمكانية توقيع المرسل للمعطيات المرسلة من قِبله إلكترونيًا؛ بحيث يمكن للمستقبل أنْ يتحقق من هذا التوقيع عند استلام المعطيات؛ للتأكد من هُوِيَّة المرسل، ويتم ذلك باستخدام المفتاح الخاص بالمرسل؛ لتوقيع المعطيات قبل إرسالها، ثم يستخدم المستقبل المفتاح العام للمرسل والمعروف من قبل الجميع للتحقق من صحة التوقيع على نفس المعطيات المستقبلة من قِبله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23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عرَّفه المنظم في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نظام التعاملات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بيانات إلكترونية مدرجة في تعامل إلكتروني، أو مضافة إليه، أو مرتبطة به منطقيًا تستخدم لإثبات هُوِيَّة الموقِّع وموافقته على التعامل الإلكتروني، واكتشاف أي تعديل يطرأ على هذا التعامل بعد التوقيع عليه</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أوضح المنظم السعودي التوقيع الإلكتروني في المادة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من ذات القانون، والتي نصت على</w:t>
      </w:r>
      <w:r>
        <w:rPr>
          <w:rStyle w:val="None"/>
          <w:rFonts w:ascii="Times New Roman" w:hAnsi="Times New Roman"/>
          <w:sz w:val="24"/>
          <w:szCs w:val="24"/>
          <w:rtl/>
          <w:lang w:val="ar-SA"/>
        </w:rPr>
        <w:t>:</w:t>
      </w:r>
    </w:p>
    <w:p w14:paraId="275CE5EA"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اشترط وجود توقيع خطي على مستند، أو عقد، أو نحوه، فإنَّ 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يتم وفقًا لهذا النظام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يُعَدُّ مستوفيًا لهذا الشرط، ويُعَدُّ التوقيع الإلكتروني بمثابة التوقيع الخطي، وله الآثار النظامية نفسها</w:t>
      </w:r>
      <w:r>
        <w:rPr>
          <w:rStyle w:val="None"/>
          <w:rFonts w:ascii="Times New Roman" w:hAnsi="Times New Roman"/>
          <w:sz w:val="24"/>
          <w:szCs w:val="24"/>
          <w:rtl/>
          <w:lang w:val="ar-SA"/>
        </w:rPr>
        <w:t>.</w:t>
      </w:r>
    </w:p>
    <w:p w14:paraId="31ED1627"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يرغب في إجراء توقيع إلكتروني أنْ يقوم بذلك وفقًا لأحكام هذا النظام والضوابط والشروط والمواصفات التي تحددها اللائحة</w:t>
      </w:r>
      <w:r>
        <w:rPr>
          <w:rStyle w:val="None"/>
          <w:rFonts w:ascii="Times New Roman" w:hAnsi="Times New Roman"/>
          <w:sz w:val="24"/>
          <w:szCs w:val="24"/>
          <w:rtl/>
          <w:lang w:val="ar-SA"/>
        </w:rPr>
        <w:t>.</w:t>
      </w:r>
    </w:p>
    <w:p w14:paraId="6F77A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التوقيع الإلكتروني يعتبر وسيلةً مهمةً لحماية حقوق المؤلف والمبدعين عند تسجيل الأعمال، وإبرام العقود الخاصة بمحتوياتهم، أو عند تسجيل أعمالهم والحصول على الترخيص اللازم لحماية حقوقهم، فالتوقيع الإلكترونية له أهمية في الحفاظ على المحتويات من الانتهاكات غير القانونية</w:t>
      </w:r>
      <w:r>
        <w:rPr>
          <w:rStyle w:val="None"/>
          <w:rFonts w:ascii="Times New Roman" w:hAnsi="Times New Roman"/>
          <w:sz w:val="24"/>
          <w:szCs w:val="24"/>
          <w:rtl/>
          <w:lang w:val="ar-SA"/>
        </w:rPr>
        <w:t>.</w:t>
      </w:r>
    </w:p>
    <w:p w14:paraId="5D8E2F90"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وعليه مراعاة ما يلي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86"/>
      </w:r>
      <w:r>
        <w:rPr>
          <w:rStyle w:val="None"/>
          <w:rFonts w:ascii="Times New Roman" w:hAnsi="Times New Roman"/>
          <w:sz w:val="24"/>
          <w:szCs w:val="24"/>
          <w:vertAlign w:val="superscript"/>
          <w:rtl/>
          <w:lang w:val="ar-SA"/>
        </w:rPr>
        <w:t>)</w:t>
      </w:r>
    </w:p>
    <w:p w14:paraId="32C37F81" w14:textId="77777777" w:rsidR="00454428" w:rsidRDefault="00000000">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اتخاذ الاحتياطات اللازمة لتلافي أي استعمال غير مشروع لبيانات إنشاء التوقيع، أو المعدات الشخصية المتعلقة بتوقيعه، وتحدد اللائحة تلك الاحتياطات</w:t>
      </w:r>
      <w:r>
        <w:rPr>
          <w:rStyle w:val="None"/>
          <w:rFonts w:ascii="Times New Roman" w:hAnsi="Times New Roman"/>
          <w:sz w:val="24"/>
          <w:szCs w:val="24"/>
          <w:rtl/>
          <w:lang w:val="ar-SA"/>
        </w:rPr>
        <w:t>.</w:t>
      </w:r>
    </w:p>
    <w:p w14:paraId="10FF49B0" w14:textId="77777777" w:rsidR="00454428" w:rsidRDefault="00000000">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إبلاغ مقدم خدمات التصديق عن أي استعمال غير مشروع؛ لتوقيعه وفق الإجراءات التي تحددها اللائحة</w:t>
      </w:r>
      <w:r>
        <w:rPr>
          <w:rStyle w:val="None"/>
          <w:rFonts w:ascii="Times New Roman" w:hAnsi="Times New Roman"/>
          <w:sz w:val="24"/>
          <w:szCs w:val="24"/>
          <w:rtl/>
          <w:lang w:val="ar-SA"/>
        </w:rPr>
        <w:t>.</w:t>
      </w:r>
    </w:p>
    <w:p w14:paraId="2CBAA5E7" w14:textId="77777777" w:rsidR="00454428" w:rsidRDefault="00000000">
      <w:pPr>
        <w:pStyle w:val="Body"/>
        <w:numPr>
          <w:ilvl w:val="0"/>
          <w:numId w:val="29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إذا قدم توقيع إلكتروني في أي إجراء شرعي أو نظامي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الأصل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ما لم يثبت العكس أو تتفق الأطراف المعنية على خلاف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صحة الأمور التالية</w:t>
      </w:r>
      <w:r>
        <w:rPr>
          <w:rStyle w:val="None"/>
          <w:rFonts w:ascii="Times New Roman" w:hAnsi="Times New Roman"/>
          <w:sz w:val="24"/>
          <w:szCs w:val="24"/>
          <w:rtl/>
          <w:lang w:val="ar-SA"/>
        </w:rPr>
        <w:t>:</w:t>
      </w:r>
    </w:p>
    <w:p w14:paraId="0F7B54E7"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هو توقيع الشخص المحدد في شهادة التصديق الرقمي</w:t>
      </w:r>
      <w:r>
        <w:rPr>
          <w:rStyle w:val="None"/>
          <w:rFonts w:ascii="Times New Roman" w:hAnsi="Times New Roman"/>
          <w:sz w:val="24"/>
          <w:szCs w:val="24"/>
          <w:rtl/>
          <w:lang w:val="ar-SA"/>
        </w:rPr>
        <w:t>.</w:t>
      </w:r>
    </w:p>
    <w:p w14:paraId="0974EE6C"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قد وضعه الشخص المحدد في شهادة التصديق الرقمي، وبحسب الغرض المحدد فيها</w:t>
      </w:r>
      <w:r>
        <w:rPr>
          <w:rStyle w:val="None"/>
          <w:rFonts w:ascii="Times New Roman" w:hAnsi="Times New Roman"/>
          <w:sz w:val="24"/>
          <w:szCs w:val="24"/>
          <w:rtl/>
          <w:lang w:val="ar-SA"/>
        </w:rPr>
        <w:t>.</w:t>
      </w:r>
    </w:p>
    <w:p w14:paraId="65EB6A2B"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التعامل الإلكتروني لم يطرأ عليه تغيير منذ وضع التوقيع الإلكتروني عليه</w:t>
      </w:r>
      <w:r>
        <w:rPr>
          <w:rStyle w:val="None"/>
          <w:rFonts w:ascii="Times New Roman" w:hAnsi="Times New Roman"/>
          <w:sz w:val="24"/>
          <w:szCs w:val="24"/>
          <w:rtl/>
          <w:lang w:val="ar-SA"/>
        </w:rPr>
        <w:t>.</w:t>
      </w:r>
    </w:p>
    <w:p w14:paraId="1354D1A9" w14:textId="77777777" w:rsidR="00454428" w:rsidRDefault="00000000">
      <w:pPr>
        <w:pStyle w:val="Body"/>
        <w:numPr>
          <w:ilvl w:val="0"/>
          <w:numId w:val="30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إذا لم يستوفِ التوقيع الإلكتروني الضوابط والشروط المحددة في هذا النظام واللائحة، فإنَّ أصل الصحة المقرر بموجب الفقرة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هذه المادة لا يقوم للتوقيع ولا للتعامل الإلكتروني المرتبط به</w:t>
      </w:r>
      <w:r>
        <w:rPr>
          <w:rStyle w:val="None"/>
          <w:rFonts w:ascii="Times New Roman" w:hAnsi="Times New Roman"/>
          <w:sz w:val="24"/>
          <w:szCs w:val="24"/>
          <w:rtl/>
          <w:lang w:val="ar-SA"/>
        </w:rPr>
        <w:t>.</w:t>
      </w:r>
    </w:p>
    <w:p w14:paraId="37FBF24C"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يعتمد التوقيع الإلكتروني لشخص آخر أنْ يبذل العناية اللازمة للتحقق من صحة التوقيع، وذلك باستخدام بيانات التحقق من التوقيع الإلكتروني وفق الإجراءات التي تحددها اللائحة</w:t>
      </w:r>
      <w:r>
        <w:rPr>
          <w:rStyle w:val="None"/>
          <w:rFonts w:ascii="Times New Roman" w:hAnsi="Times New Roman"/>
          <w:sz w:val="24"/>
          <w:szCs w:val="24"/>
          <w:rtl/>
          <w:lang w:val="ar-SA"/>
        </w:rPr>
        <w:t>.</w:t>
      </w:r>
    </w:p>
    <w:p w14:paraId="578B2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التوقيع الإلكتروني يعتبر وسيلةً موثوقةً وفعَّالةً لإضافة الثقة في التعاملات الإلكترونية، بما يعادل التوقيع الخطي من حيث الآثار القانونية، فقد أوضح المنظم السعودي من خلال نظام التعاملات الإلكترونية إطارًا متكاملًا يضمن إثبات هُوِيَّة الموقِّع وحماية محتوى المستندات من أي تعديل أو تلاعب؛ ممَّا يعزّز موثوقية التعاملات الرقمية، كما يلعب التوقيع الإلكتروني دورًا مهمًّا في تعزيز الثقة في البيئة الرقمية، خاصةً في مجال حماية حقوق الملكية الفكرية، فهو يتيح لأصحاب الحقوق توثيق نتاجهم، وإثبات نسبته إليهم بوسيلة يصعب إنكارها أو التلاعب بها؛ ممَّا يساهم في حماية المصنفات الفكرية من الاعتداءات الرقمية</w:t>
      </w:r>
      <w:r>
        <w:rPr>
          <w:rStyle w:val="None"/>
          <w:rFonts w:ascii="Times New Roman" w:hAnsi="Times New Roman"/>
          <w:sz w:val="24"/>
          <w:szCs w:val="24"/>
          <w:rtl/>
          <w:lang w:val="ar-SA"/>
        </w:rPr>
        <w:t>.</w:t>
      </w:r>
    </w:p>
    <w:p w14:paraId="104CFA43" w14:textId="77777777" w:rsidR="00454428" w:rsidRDefault="00000000">
      <w:pPr>
        <w:pStyle w:val="Body"/>
        <w:numPr>
          <w:ilvl w:val="0"/>
          <w:numId w:val="30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فرض أنظمة الحماية الرقمية</w:t>
      </w:r>
      <w:r>
        <w:rPr>
          <w:rStyle w:val="None"/>
          <w:rFonts w:ascii="Times New Roman" w:hAnsi="Times New Roman"/>
          <w:b/>
          <w:bCs/>
          <w:sz w:val="28"/>
          <w:szCs w:val="28"/>
          <w:rtl/>
          <w:lang w:val="ar-SA"/>
        </w:rPr>
        <w:t>:</w:t>
      </w:r>
    </w:p>
    <w:p w14:paraId="7429A2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الكبير في استخدام التقنيات الرقمية إلى ظهور حاجة ملحة لفرض أنظمة حماية رقمية تضمن صون البيانات والمعلومات، ومنع التلاعب بها في بيئة يسهل فيها ارتكاب الانتهاجات، فتعمل هذه الأنظمة كأداة ردع؛ حيث تحمي المعاملات الإلكترونية والمنتجات الفكرية من الأخطار التي تهدد سلامتها</w:t>
      </w:r>
      <w:r>
        <w:rPr>
          <w:rStyle w:val="None"/>
          <w:rFonts w:ascii="Times New Roman" w:hAnsi="Times New Roman"/>
          <w:sz w:val="24"/>
          <w:szCs w:val="24"/>
          <w:rtl/>
          <w:lang w:val="ar-SA"/>
        </w:rPr>
        <w:t>.</w:t>
      </w:r>
    </w:p>
    <w:p w14:paraId="7C5376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عبارة عن أنظمة وبرمجيات معينة تعطي للجهاز الذي يقوم بتنزيل الملفات والمصنفات المحمية من الإنترنت كودًا أو كلمةَ سر معينة تسمح بفتح هذه المصنفات، والاستفادة منها فقط على الجهاز الذي تم تنزيلها عليه، وبذلك لا يتمكن المستفيد من نسخ هذه المصنفات التي قام بتنزيلها ولا حتى إعادة توزيعها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E3016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أنَّها تهدف إلى إعاقة الوصول إلى المصنف والاستفادة منه، إلا لمن يحمل ترخيصًا من صاحب الحق نفسه، وإحصاء جميع المصنفات المنشورة على الإنترنت ومعرفة تداولها ومراقبة كل نشر لها على أنْ يكون قد تم تسجيلها دوليًا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BA4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أنَّها تهتم باستخدام شفرة معينة، أو كلمة مرور توضع على أجهزة الكمبيوتر، أو بعض البرامج فيه، أو على الأقراص المدمجة وما شابهها، أو على بعض مواقع الإنترنت، أو بعض الموضوعات والمصنفات المحمية فيها؛ لتَحُولَ بينَ، أو تعيق وصول أي شخص لها، أو للحيلولة دون إمكانية نسخ هذه البرامج أو المصنفات والتعديل عليها، أو توزيعها أو حتى طباعتها دون إذن من صاحب الحق فيها، بل تقوم بعض المواقع بإجراء استكمالي آخر، وهو نشر </w:t>
      </w:r>
      <w:r>
        <w:rPr>
          <w:rStyle w:val="None"/>
          <w:rFonts w:ascii="Arial Unicode MS" w:hAnsi="Arial Unicode MS" w:cs="Times New Roman" w:hint="cs"/>
          <w:sz w:val="24"/>
          <w:szCs w:val="24"/>
          <w:rtl/>
          <w:lang w:val="ar-SA"/>
        </w:rPr>
        <w:lastRenderedPageBreak/>
        <w:t xml:space="preserve">بيانات صاحب الحق بالمصنف الرقمي المحمي، وإتاحة الفرصة للراغبين بالاستفادة من هذه المصنفات المحمية بالاستفادة الفعلية منها بمقابل مادي معين يدفعه المستفيد بطرق عادية أو 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16B0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تستخدم أنظمةً تتيح تتبُّع الأجهزة التي تم نقل مصنفات محمية لها بصورة غير شرعية أو تم من خلالها إحدى صور استغلال الملكية الفكرية، ومعرفة مزود الخدمة الرئيسي لهذا الجهاز؛ ممَّا يتيح ملاحقة صاحب هذا الجهاز قانونيًا، كما تمكن أنظمة التتبع هذه من تتبع جميع النسخ الإلكترونية لأي من المصنفات المحمية، ومتابعة ما يحدث لها من نسخ أو توزيع وما شابه ذلك؛ ممَّا يمكن صاحب الحق بهذه المصنفات المحمية من ملاحقة منتهكي حقوقه الفكرية، والتي تنتهك وتستغل أيًا من عناصر الملكية الفكرية، أو يتم من خلالها انتهاك عناصر الملكية الفكرية من خلال سماحها وسكوتها عن الاعتداءات التي تحدث لعناصر الملكية الفكرية في هذه المواقع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1D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مسئولية الاعتداء على حق المؤلف في البيئة الرقمية من خلال المادة </w:t>
      </w:r>
      <w:r>
        <w:rPr>
          <w:rStyle w:val="None"/>
          <w:rFonts w:ascii="Times New Roman" w:hAnsi="Times New Roman"/>
          <w:sz w:val="24"/>
          <w:szCs w:val="24"/>
          <w:rtl/>
          <w:lang w:val="ar-SA"/>
        </w:rPr>
        <w:t xml:space="preserve">(15)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يعتبر تعديًا على حق المؤلف كلُّ عمل يؤدي إلى إزالة المعلومات الاحترازية الأصلية من الأجهزة الإلكترونية التي أنتجها الصانع، ويُعَدُّ متعديًا كل من يسهل ذلك مثل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1"/>
      </w:r>
      <w:r>
        <w:rPr>
          <w:rStyle w:val="None"/>
          <w:rFonts w:ascii="Times New Roman" w:hAnsi="Times New Roman"/>
          <w:sz w:val="24"/>
          <w:szCs w:val="24"/>
          <w:vertAlign w:val="superscript"/>
          <w:rtl/>
          <w:lang w:val="ar-SA"/>
        </w:rPr>
        <w:t>)</w:t>
      </w:r>
    </w:p>
    <w:p w14:paraId="380A5AC8" w14:textId="77777777" w:rsidR="00454428" w:rsidRDefault="00000000">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إزالة أو إضافة شرائح إلكترونية أو غير إلكترونية لأجهزة العرض والاستقبال بغرض تجاوز الحدود التي وضعها الصانع</w:t>
      </w:r>
      <w:r>
        <w:rPr>
          <w:rStyle w:val="None"/>
          <w:rFonts w:ascii="Times New Roman" w:hAnsi="Times New Roman"/>
          <w:sz w:val="24"/>
          <w:szCs w:val="24"/>
          <w:rtl/>
          <w:lang w:val="ar-SA"/>
        </w:rPr>
        <w:t>.</w:t>
      </w:r>
    </w:p>
    <w:p w14:paraId="0049888C" w14:textId="77777777" w:rsidR="00454428" w:rsidRDefault="00000000">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إلغاء البرنامج الأصلي المشغل لأجهزة العرض، والاستقبال، وتحميلها ببرامج مزورة بغرض تجاوز الحدود والإمكانيات التي صمم لها الجهاز</w:t>
      </w:r>
      <w:r>
        <w:rPr>
          <w:rStyle w:val="None"/>
          <w:rFonts w:ascii="Times New Roman" w:hAnsi="Times New Roman"/>
          <w:sz w:val="24"/>
          <w:szCs w:val="24"/>
          <w:rtl/>
          <w:lang w:val="ar-SA"/>
        </w:rPr>
        <w:t>.</w:t>
      </w:r>
    </w:p>
    <w:p w14:paraId="200806D4" w14:textId="77777777" w:rsidR="00454428" w:rsidRDefault="00000000" w:rsidP="00C72BA8">
      <w:pPr>
        <w:pStyle w:val="Body"/>
        <w:spacing w:before="120" w:after="120" w:line="360" w:lineRule="auto"/>
        <w:ind w:left="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اتبع نهجًا صارمًا في مواجهة أي محاولة للتحايل على الأنظمة التقنية الموضوعة لحماية المصنفات الرقمية؛ حيث اعتبر أنَّ إزالة أو تعديل المعلومات الاحترازية الأصلية أو استبدال البرامج المشغلة للأجهزة يُعَدُّ تعديًا صريحًا على حق المؤلف، وهذا ما يعكس الوعي بخطورة هذه الأفعال التي قد تفتح المجال أمام نسخ أو استغلال غير مشروع للمصنفات؛ ممَّا يهدد حقوق أصحابها</w:t>
      </w:r>
      <w:r>
        <w:rPr>
          <w:rStyle w:val="None"/>
          <w:rFonts w:ascii="Times New Roman" w:hAnsi="Times New Roman"/>
          <w:sz w:val="24"/>
          <w:szCs w:val="24"/>
          <w:rtl/>
          <w:lang w:val="ar-SA"/>
        </w:rPr>
        <w:t>.</w:t>
      </w:r>
    </w:p>
    <w:p w14:paraId="6EFAAD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تنص المادة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أي تعديل بالأجهزة أو بالبرامج المخصصة للعرض والاستقبال؛ بهدف تجاوز الحدود التي وضعها الصانع يعتبر اعتداءً صريحًا على حقوق المؤلف، سواء بإضافة أو إزالة أي شرائح إلكترونية، أو تزويدها ببرامج مزورة، فمن خلال هذه المادة فقد حرص المنظم السعودي على حماية المصنفات الرقمية من الاستخدام غير القانوني</w:t>
      </w:r>
      <w:r>
        <w:rPr>
          <w:rStyle w:val="None"/>
          <w:rFonts w:ascii="Times New Roman" w:hAnsi="Times New Roman"/>
          <w:sz w:val="24"/>
          <w:szCs w:val="24"/>
          <w:rtl/>
          <w:lang w:val="ar-SA"/>
        </w:rPr>
        <w:t>.</w:t>
      </w:r>
    </w:p>
    <w:p w14:paraId="21E603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اهتم المنظم السعودي بتوضيح الحماية التي تتمتع بها برامج الحاسب الآلي، من خلال المادة </w:t>
      </w:r>
      <w:r>
        <w:rPr>
          <w:rStyle w:val="None"/>
          <w:rFonts w:ascii="Times New Roman" w:hAnsi="Times New Roman"/>
          <w:sz w:val="24"/>
          <w:szCs w:val="24"/>
          <w:rtl/>
          <w:lang w:val="ar-SA"/>
        </w:rPr>
        <w:t xml:space="preserve">(16)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2"/>
      </w:r>
      <w:r>
        <w:rPr>
          <w:rStyle w:val="None"/>
          <w:rFonts w:ascii="Times New Roman" w:hAnsi="Times New Roman"/>
          <w:sz w:val="24"/>
          <w:szCs w:val="24"/>
          <w:vertAlign w:val="superscript"/>
          <w:rtl/>
          <w:lang w:val="ar-SA"/>
        </w:rPr>
        <w:t>)</w:t>
      </w:r>
    </w:p>
    <w:p w14:paraId="666C6A88" w14:textId="08CEB0A9" w:rsidR="00454428" w:rsidRPr="00CC3E5F" w:rsidRDefault="00000000">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تتمتع بالحماية برامج الحاسب الآلي وبرامج ألعاب الحاسوب، سواء كانت بلُغة المصدر، أو بلُغة الآلة باعتبارها أعمالًا أدبيةً</w:t>
      </w:r>
      <w:r>
        <w:rPr>
          <w:rStyle w:val="None"/>
          <w:rFonts w:ascii="Times New Roman" w:hAnsi="Times New Roman"/>
          <w:sz w:val="24"/>
          <w:szCs w:val="24"/>
          <w:rtl/>
          <w:lang w:val="ar-SA"/>
        </w:rPr>
        <w:t>.</w:t>
      </w:r>
    </w:p>
    <w:p w14:paraId="683FD7EB" w14:textId="77777777" w:rsidR="00454428" w:rsidRDefault="00000000">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تعديًا على حق المؤلف كل استخدام للبرامج يخالف الاستخدامات التي يحددها صاحب الحق، مثل</w:t>
      </w:r>
      <w:r>
        <w:rPr>
          <w:rStyle w:val="None"/>
          <w:rFonts w:ascii="Times New Roman" w:hAnsi="Times New Roman"/>
          <w:sz w:val="24"/>
          <w:szCs w:val="24"/>
          <w:rtl/>
          <w:lang w:val="ar-SA"/>
        </w:rPr>
        <w:t>:</w:t>
      </w:r>
    </w:p>
    <w:p w14:paraId="744B3D84"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استنساخ البرامج وبرامج الألعاب</w:t>
      </w:r>
      <w:r>
        <w:rPr>
          <w:rStyle w:val="None"/>
          <w:rFonts w:ascii="Times New Roman" w:hAnsi="Times New Roman"/>
          <w:sz w:val="24"/>
          <w:szCs w:val="24"/>
          <w:rtl/>
          <w:lang w:val="ar-SA"/>
        </w:rPr>
        <w:t>.</w:t>
      </w:r>
    </w:p>
    <w:p w14:paraId="0583E76B"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تأجير البرامج، أو برامج الألعاب، أو الترخيص بالاستخدام الجماعي لها بدون وجود وثائق تخول المؤجر بممارسة هذا الحق</w:t>
      </w:r>
      <w:r>
        <w:rPr>
          <w:rStyle w:val="None"/>
          <w:rFonts w:ascii="Times New Roman" w:hAnsi="Times New Roman"/>
          <w:sz w:val="24"/>
          <w:szCs w:val="24"/>
          <w:rtl/>
          <w:lang w:val="ar-SA"/>
        </w:rPr>
        <w:t>.</w:t>
      </w:r>
    </w:p>
    <w:p w14:paraId="3051AE17"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تحميل الشبكات الداخلية، أو الأجهزة ببرامج مستنسخة</w:t>
      </w:r>
      <w:r>
        <w:rPr>
          <w:rStyle w:val="None"/>
          <w:rFonts w:ascii="Times New Roman" w:hAnsi="Times New Roman"/>
          <w:sz w:val="24"/>
          <w:szCs w:val="24"/>
          <w:rtl/>
          <w:lang w:val="ar-SA"/>
        </w:rPr>
        <w:t>.</w:t>
      </w:r>
    </w:p>
    <w:p w14:paraId="4890875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أقر بحماية شاملة لبرامج الحاسب الآلي وبرامج الألعاب؛ حيث اعتبرها أعمالًا أدبيةً تستفيد من كافة صور الحماية المقررة للملكية الفكرية، ويعكس هذه الإدراك لقيمتها الاقتصادية والفكرية في البيئة الرقمية، كما شدد على تجريم أي استخدام مخالف لحقوق صاحب البرنامج، سواء كان ذلك من خلال النسخ غير المشروع أو التأجير، أو الاستخدام الجماعي، أو التحميل غير المصرح به؛ بهدف منع استغلال هذه البرامج بطرق غير قانونية</w:t>
      </w:r>
      <w:r>
        <w:rPr>
          <w:rStyle w:val="None"/>
          <w:rFonts w:ascii="Times New Roman" w:hAnsi="Times New Roman"/>
          <w:sz w:val="24"/>
          <w:szCs w:val="24"/>
          <w:rtl/>
          <w:lang w:val="ar-SA"/>
        </w:rPr>
        <w:t>.</w:t>
      </w:r>
    </w:p>
    <w:p w14:paraId="6BA5E0E9" w14:textId="77777777" w:rsidR="00454428" w:rsidRDefault="00000000">
      <w:pPr>
        <w:pStyle w:val="Body"/>
        <w:numPr>
          <w:ilvl w:val="0"/>
          <w:numId w:val="306"/>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توقيف أو تجميد أو إلغاء اشتراك المواقع الإلكترونية</w:t>
      </w:r>
      <w:r>
        <w:rPr>
          <w:rStyle w:val="None"/>
          <w:rFonts w:ascii="Times New Roman" w:hAnsi="Times New Roman"/>
          <w:b/>
          <w:bCs/>
          <w:sz w:val="28"/>
          <w:szCs w:val="28"/>
          <w:rtl/>
          <w:lang w:val="ar-SA"/>
        </w:rPr>
        <w:t>:</w:t>
      </w:r>
    </w:p>
    <w:p w14:paraId="55B23A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توقيف المواقع الإلكترونية من أبرز الآليات لمواجهة الاعتداءات التي تتعرض لها حقوق الملكية الفكرية في البيئة الرقمية، فتكتسب هذه الوسيلة أهميتها؛ كونها إجراءً وقائيًّا وردعيًّا في نفس الوقت؛ حيث تُمكن أصحاب الحقوق من حماية مصنفاتهم من التداول غير المشروع</w:t>
      </w:r>
      <w:r>
        <w:rPr>
          <w:rStyle w:val="None"/>
          <w:rFonts w:ascii="Times New Roman" w:hAnsi="Times New Roman"/>
          <w:sz w:val="24"/>
          <w:szCs w:val="24"/>
          <w:rtl/>
          <w:lang w:val="ar-SA"/>
        </w:rPr>
        <w:t xml:space="preserve">. </w:t>
      </w:r>
    </w:p>
    <w:p w14:paraId="317E74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بعض المواقع إيقاف أو تجميد صلاحيات المشارك لفترة زمنية محددة إذا حدث إخلال من جهاز الحاسوب الذي يستخدمه للدخول، أو إلغاء اشتراكه بالمواقع الإلكترونية إذا كان هناك انتهاك واضح، أو تَعَدٍّ على أحد مكونات الملكية الفكرية، أو تنفيذ اعتداء لموقع الخدمة، وهذا بحسب نوع الحدث الناتج من المستخدم وبخاصة إذا تكرر منه، وبعض المواقع توقف حساب المستخدم مع تزايد عدد التحميلات عن الحد المحدد والمسموح به من قِبل الموقع لفترة زمنية، ثم تعيد فتح الحساب مرة أخرى، أما إذا كان التجاوز يُعَدُّ انتهاكًا يؤثر على الملكية الفكرية أو يتضمن اعتداءً على موقع الخدمة؛ فيكون إلغاء الاشتراك هو الجزاء المناسب، وقد يصل الأمر لملاحقة المشترك إذا أصاب الموقع ضررًا جرَّاء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4AC3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أوضح المنظم السعودي إجراءات الحجب المؤقت والإحالة في المادة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تتولى الإدارة المختصة في الهيئة مباشرة إجراءات الاستدعاء والحجب المؤقت للمواقع الإلكترونية في شبكة الإنترنت العالمية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حسب الإجراءات النظامية المتبعة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التي ثبت مخالفتها لأحكام النظام واللائحة، ولها في سبيل ذلك التالي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4D3DD6"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استدعاء مالك الموقع الإلكتروني المنسوب له المخالفة لمراجعة الإدارة المختصة خلال يوم عمل من تاريخ الاستدعاء</w:t>
      </w:r>
      <w:r>
        <w:rPr>
          <w:rStyle w:val="None"/>
          <w:rFonts w:ascii="Times New Roman" w:hAnsi="Times New Roman"/>
          <w:sz w:val="24"/>
          <w:szCs w:val="24"/>
          <w:rtl/>
          <w:lang w:val="ar-SA"/>
        </w:rPr>
        <w:t>.</w:t>
      </w:r>
    </w:p>
    <w:p w14:paraId="544A29C9"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عدم التجاوب مع الاستدعاء أو لم يتبين وجود قنوات محلية للتواصل مع مالك الموقع، يتم حجب الموقع الإلكتروني مؤقتًا، لحين مراجعة الإدارة المختصة، وتقديم ما يثبت نظامية عدم وجود التعدي محل المساءلة</w:t>
      </w:r>
      <w:r>
        <w:rPr>
          <w:rStyle w:val="None"/>
          <w:rFonts w:ascii="Times New Roman" w:hAnsi="Times New Roman"/>
          <w:sz w:val="24"/>
          <w:szCs w:val="24"/>
          <w:rtl/>
          <w:lang w:val="ar-SA"/>
        </w:rPr>
        <w:t>.</w:t>
      </w:r>
    </w:p>
    <w:p w14:paraId="3C31E534"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للهيئة التنسيق مع مقدمي الخدمة والمواقع المستضيفة ومن في حكمهم؛ لتزويد الإدارة المختصة بالبيانات اللازمة للمواقع الإلكترونية، التي يشتبه مخالفاتها لحق المؤلف وفق ما يتوفر من دلائل أولية</w:t>
      </w:r>
      <w:r>
        <w:rPr>
          <w:rStyle w:val="None"/>
          <w:rFonts w:ascii="Times New Roman" w:hAnsi="Times New Roman"/>
          <w:sz w:val="24"/>
          <w:szCs w:val="24"/>
          <w:rtl/>
          <w:lang w:val="ar-SA"/>
        </w:rPr>
        <w:t>.</w:t>
      </w:r>
    </w:p>
    <w:p w14:paraId="6132C5EB"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حالة توفر بيانات مالك الموقع الإلكتروني ولم يتم التجاوب مع الاستدعاء بعد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ثمانية أيامِ عملٍ من بداية الحجب المؤقت، تتم إحالة أوراق القضية إلى الجنة؛ لإصدار القرار بشأنها</w:t>
      </w:r>
      <w:r>
        <w:rPr>
          <w:rStyle w:val="None"/>
          <w:rFonts w:ascii="Times New Roman" w:hAnsi="Times New Roman"/>
          <w:sz w:val="24"/>
          <w:szCs w:val="24"/>
          <w:rtl/>
          <w:lang w:val="ar-SA"/>
        </w:rPr>
        <w:t>.</w:t>
      </w:r>
    </w:p>
    <w:p w14:paraId="73DFB3E4"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الحجب المؤقت بشكل فوري للمواقع الإلكترونية المخالفة، على أنْ يحتوي الموقع الإلكتروني الذي يثبت مخالفته أيًا من العناصر التالي</w:t>
      </w:r>
      <w:r>
        <w:rPr>
          <w:rStyle w:val="None"/>
          <w:rFonts w:ascii="Times New Roman" w:hAnsi="Times New Roman"/>
          <w:sz w:val="24"/>
          <w:szCs w:val="24"/>
          <w:rtl/>
          <w:lang w:val="ar-SA"/>
        </w:rPr>
        <w:t>:</w:t>
      </w:r>
    </w:p>
    <w:p w14:paraId="680524C4"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البث المباشر</w:t>
      </w:r>
      <w:r>
        <w:rPr>
          <w:rStyle w:val="None"/>
          <w:rFonts w:ascii="Times New Roman" w:hAnsi="Times New Roman"/>
          <w:sz w:val="24"/>
          <w:szCs w:val="24"/>
          <w:rtl/>
          <w:lang w:val="ar-SA"/>
        </w:rPr>
        <w:t>.</w:t>
      </w:r>
    </w:p>
    <w:p w14:paraId="28606578"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إتاحة تحميل المصنف</w:t>
      </w:r>
      <w:r>
        <w:rPr>
          <w:rStyle w:val="None"/>
          <w:rFonts w:ascii="Times New Roman" w:hAnsi="Times New Roman"/>
          <w:sz w:val="24"/>
          <w:szCs w:val="24"/>
          <w:rtl/>
          <w:lang w:val="ar-SA"/>
        </w:rPr>
        <w:t>.</w:t>
      </w:r>
    </w:p>
    <w:p w14:paraId="15218683"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توفر طرق السداد؛ ممَّا يدل على قيام هدف ربحي</w:t>
      </w:r>
      <w:r>
        <w:rPr>
          <w:rStyle w:val="None"/>
          <w:rFonts w:ascii="Times New Roman" w:hAnsi="Times New Roman"/>
          <w:sz w:val="24"/>
          <w:szCs w:val="24"/>
          <w:rtl/>
          <w:lang w:val="ar-SA"/>
        </w:rPr>
        <w:t>.</w:t>
      </w:r>
    </w:p>
    <w:p w14:paraId="423201DE"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ظهور إعلانات دعائية</w:t>
      </w:r>
      <w:r>
        <w:rPr>
          <w:rStyle w:val="None"/>
          <w:rFonts w:ascii="Times New Roman" w:hAnsi="Times New Roman"/>
          <w:sz w:val="24"/>
          <w:szCs w:val="24"/>
          <w:rtl/>
          <w:lang w:val="ar-SA"/>
        </w:rPr>
        <w:t>.</w:t>
      </w:r>
    </w:p>
    <w:p w14:paraId="137E76EB"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تعليقات للمستخدمين</w:t>
      </w:r>
      <w:r>
        <w:rPr>
          <w:rStyle w:val="None"/>
          <w:rFonts w:ascii="Times New Roman" w:hAnsi="Times New Roman"/>
          <w:sz w:val="24"/>
          <w:szCs w:val="24"/>
          <w:rtl/>
          <w:lang w:val="ar-SA"/>
        </w:rPr>
        <w:t>.</w:t>
      </w:r>
    </w:p>
    <w:p w14:paraId="75A4E3F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توقيف، أو تجميد، أو إلغاء اشتراك المواقع الإلكترونية يعتبر أداةً عمليةً وفعَّالةً؛ لمواجهة الانتهاكات التي تمس الملكية الفكرية في البيئة الرقمية؛ حيث تمنع استمرار الضرر الناتج عن الاستغلال غير المشروع للمصنفات، والحد من تكرار الاعتداءات، كما أنَّ النصوص النظامية السعودية قد وضعت آليةً دقيقةً للتعامل مع هذه المخالفات، وذلك حرصًا من المنظم السعودي على تحقيق توازن بين حماية حقوق المؤلف، وضمان عدم إساءة استخدام المصنفات الرقمية</w:t>
      </w:r>
      <w:r>
        <w:rPr>
          <w:rStyle w:val="None"/>
          <w:rFonts w:ascii="Times New Roman" w:hAnsi="Times New Roman"/>
          <w:sz w:val="24"/>
          <w:szCs w:val="24"/>
          <w:rtl/>
          <w:lang w:val="ar-SA"/>
        </w:rPr>
        <w:t>.</w:t>
      </w:r>
    </w:p>
    <w:p w14:paraId="08FBAAD4" w14:textId="77777777" w:rsidR="003C42D1" w:rsidRDefault="003C42D1">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51CA8FB0" w14:textId="714541D6"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الإطار القانوني للحماية التكنولوجية</w:t>
      </w:r>
      <w:r>
        <w:rPr>
          <w:rStyle w:val="None"/>
          <w:rFonts w:ascii="Times New Roman" w:hAnsi="Times New Roman"/>
          <w:b/>
          <w:bCs/>
          <w:sz w:val="28"/>
          <w:szCs w:val="28"/>
          <w:rtl/>
          <w:lang w:val="ar-SA"/>
        </w:rPr>
        <w:t>:</w:t>
      </w:r>
    </w:p>
    <w:p w14:paraId="62F730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الإطار القانوني للحماية التكنولوجية من أساسيات ضمان فاعلية الوسائل التقنية المبتكرة في حماية حقوق الملكية الفكرية في البيئة الرقمية، فالأدوات التكنولوجية وحدها لا تكفي للحد من الاعتداءات ما لم تدعمها نصوص قانونية واضحة تجرم التحايل عليها</w:t>
      </w:r>
      <w:r>
        <w:rPr>
          <w:rStyle w:val="None"/>
          <w:rFonts w:ascii="Times New Roman" w:hAnsi="Times New Roman"/>
          <w:sz w:val="24"/>
          <w:szCs w:val="24"/>
          <w:rtl/>
          <w:lang w:val="ar-SA"/>
        </w:rPr>
        <w:t>.</w:t>
      </w:r>
    </w:p>
    <w:p w14:paraId="401319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وضحت اتفاقية برن إمكانية مراقبة تداول المصنفات وتمثيلها وعرضها في المادة </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لا يمكن لأحكام هذه الاتفاقية أنْ تمس بأي شكل بحق حكومة كل دولة من دول الاتحاد في أنْ تسمح، أو تراقب، أو تمنع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 طريق التشريع أو إصدار اللوائح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تداولَ، أو تمثيلَ، أو عرضَ أيِّ مصنف أو إنتاج ترى السلطة المختصة ممارسة هذا الحق بالنسبة إليه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BC2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ويبو بتوضيح الالتزامات المتعلقة بالتدابير التكنولوجية في المادة </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81DE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كلًا من اتفاقية برن واتفاقية الويبو قد أكدوا على الدور الأساسي للتشريعات الوطنية في دعم الحماية التكنولوجية للمصنفات؛ حيث تُمكن هذه التشريعات الدول من مراقبة تداول المصنفات، وضبط استخدامها من جهة، وتفرض التزامات على الدول الأعضاء بتجريم أي محاولة؛ للتحايل على التدابير التقنية التي يعتمدها المؤلفون من جهة أخرى</w:t>
      </w:r>
      <w:r>
        <w:rPr>
          <w:rStyle w:val="None"/>
          <w:rFonts w:ascii="Times New Roman" w:hAnsi="Times New Roman"/>
          <w:sz w:val="24"/>
          <w:szCs w:val="24"/>
          <w:rtl/>
          <w:lang w:val="ar-SA"/>
        </w:rPr>
        <w:t>.</w:t>
      </w:r>
    </w:p>
    <w:p w14:paraId="5C2FAD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الويبو للأداء والتسجيل الصوتي بتوضيح الالتزامات المتعلقة بالمعلومات الضرورية لإدارة الحقوق، وذلك من خلال المادة </w:t>
      </w:r>
      <w:r>
        <w:rPr>
          <w:rStyle w:val="None"/>
          <w:rFonts w:ascii="Times New Roman" w:hAnsi="Times New Roman"/>
          <w:sz w:val="24"/>
          <w:szCs w:val="24"/>
          <w:rtl/>
          <w:lang w:val="ar-SA"/>
        </w:rPr>
        <w:t>(19)</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7"/>
      </w:r>
      <w:r>
        <w:rPr>
          <w:rStyle w:val="None"/>
          <w:rFonts w:ascii="Times New Roman" w:hAnsi="Times New Roman"/>
          <w:sz w:val="24"/>
          <w:szCs w:val="24"/>
          <w:vertAlign w:val="superscript"/>
          <w:rtl/>
          <w:lang w:val="ar-SA"/>
        </w:rPr>
        <w:t>)</w:t>
      </w:r>
    </w:p>
    <w:p w14:paraId="2C1A245F" w14:textId="77777777" w:rsidR="00454428" w:rsidRDefault="00000000">
      <w:pPr>
        <w:pStyle w:val="Body"/>
        <w:numPr>
          <w:ilvl w:val="0"/>
          <w:numId w:val="31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على الأطراف المتعاقدة أنْ تنص في قوانينها على توقيع جزاءات مناسبة وفعَّالة على أي شخص يباشر عن عِلْمٍ أيًا من الأعمال التالية وهو يعرف، أو فيما يتعلق بالجزاءات المدنية، وله أسباب كافية ليعرف أنَّ تلك الأعمال تحمل على ارتكاب تَعَدٍّ على أي حق من الحقوق التي تشملها هذه المعاهدة أو تمكن من ذلك أو تسهل ذلك أو تخفيه</w:t>
      </w:r>
      <w:r>
        <w:rPr>
          <w:rStyle w:val="None"/>
          <w:rFonts w:ascii="Times New Roman" w:hAnsi="Times New Roman"/>
          <w:sz w:val="24"/>
          <w:szCs w:val="24"/>
          <w:rtl/>
          <w:lang w:val="ar-SA"/>
        </w:rPr>
        <w:t>:</w:t>
      </w:r>
    </w:p>
    <w:p w14:paraId="01F21FB7" w14:textId="77777777" w:rsidR="00454428" w:rsidRDefault="00000000">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40B762BB" w14:textId="77777777" w:rsidR="00454428" w:rsidRDefault="00000000">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يوزع أو يستورد لأغراض التوزيع، أو يذيع، أو ينقل إلى الجمهور، أو يتيح له دون إذن أوجه أداء، أو نسخًا عن أوجه أداء مثبتة، أو تسجيلات صوتية،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56538311" w14:textId="77777777" w:rsidR="00454428" w:rsidRDefault="00000000">
      <w:pPr>
        <w:pStyle w:val="Body"/>
        <w:numPr>
          <w:ilvl w:val="0"/>
          <w:numId w:val="31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يقصد بعبارة المعلومات الضرورية لإدارة الحقوق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كما وردت في هذه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التي تسمح بتعريف فنان الأداء، وأدائه، ومنتج التسجيل الصوتي وتسجيله الصوتي، ومالك أي حق في الأداء أو التسجيل الصوتي، أو المعلومات المتعلقة بشروط الانتفاع بالأداء أو التسجيل الصوتي، وأي أرقام أو شفرات ترمز إلى تلك المعلومات، متى كان أي عنصر من تلك المعلومات مقترنًا بنسخة عن أداء مثبت، أو تسجيل صوتي، أو ظاهرًا لدى نقل أداء مثبت، أو تسجيل صوتي إلى الجمهور أو إتاحته له</w:t>
      </w:r>
      <w:r>
        <w:rPr>
          <w:rStyle w:val="None"/>
          <w:rFonts w:ascii="Times New Roman" w:hAnsi="Times New Roman"/>
          <w:sz w:val="24"/>
          <w:szCs w:val="24"/>
          <w:rtl/>
          <w:lang w:val="ar-SA"/>
        </w:rPr>
        <w:t>".</w:t>
      </w:r>
    </w:p>
    <w:p w14:paraId="5CD7F9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الويبو قد أولت أهميةً للمعلومات الضرورية لإدارة الحقوق، باعتبارها أداةً أساسيةً؛ لضمان التعريف الدقيق بأصحاب الحقوق، وتوضيح شروط الانتفاع بالمصنفات، كما شددت الاتفاقية على ضرورة تجريم أي مساس بهذه المعلومات، سواء كان ذلك بالحذف، أو التغيير، أو الاستغلال غير المشروع؛ ممَّا يعتبر اعتداءً على حقوق المؤدين ومنتجي التسجيلات الصوتية، كما يعكس هذه الوعي بالحاجة لحماية البنية التقنية والقانونية معًا؛ ممَّا يعزّز كفاءة منظومة الحماية الرقمية، ويحد من الممارسات التي قد تخل بالحقوق الفكرية في البيئة الرقمية</w:t>
      </w:r>
      <w:r>
        <w:rPr>
          <w:rStyle w:val="None"/>
          <w:rFonts w:ascii="Times New Roman" w:hAnsi="Times New Roman"/>
          <w:sz w:val="24"/>
          <w:szCs w:val="24"/>
          <w:rtl/>
          <w:lang w:val="ar-SA"/>
        </w:rPr>
        <w:t xml:space="preserve">. </w:t>
      </w:r>
    </w:p>
    <w:p w14:paraId="648E1A1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3A8B220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rPr>
      </w:pPr>
    </w:p>
    <w:p w14:paraId="268C5E9D"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63A323AB"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79AFC0C6"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Pr>
      </w:pPr>
    </w:p>
    <w:p w14:paraId="06A5E35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4306D2E5" w14:textId="77777777" w:rsidR="003C42D1" w:rsidRDefault="003C42D1">
      <w:pPr>
        <w:rPr>
          <w:rStyle w:val="None"/>
          <w:rFonts w:ascii="Arial Unicode MS" w:hAnsi="Arial Unicode MS"/>
          <w:b/>
          <w:bCs/>
          <w:color w:val="000000"/>
          <w:sz w:val="32"/>
          <w:szCs w:val="32"/>
          <w:u w:color="000000"/>
          <w:rtl/>
          <w:lang w:val="ar-SA"/>
          <w14:textOutline w14:w="0" w14:cap="flat" w14:cmpd="sng" w14:algn="ctr">
            <w14:noFill/>
            <w14:prstDash w14:val="solid"/>
            <w14:bevel/>
          </w14:textOutline>
        </w:rPr>
      </w:pPr>
      <w:r>
        <w:rPr>
          <w:rStyle w:val="None"/>
          <w:rFonts w:ascii="Arial Unicode MS" w:hAnsi="Arial Unicode MS"/>
          <w:b/>
          <w:bCs/>
          <w:sz w:val="32"/>
          <w:szCs w:val="32"/>
          <w:rtl/>
          <w:lang w:val="ar-SA"/>
        </w:rPr>
        <w:br w:type="page"/>
      </w:r>
    </w:p>
    <w:p w14:paraId="250FC7FE" w14:textId="39D532B3"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9" w:name="_Toc227251466"/>
      <w:r>
        <w:rPr>
          <w:rStyle w:val="None"/>
          <w:rFonts w:ascii="Arial Unicode MS" w:hAnsi="Arial Unicode MS" w:cs="Times New Roman" w:hint="cs"/>
          <w:b/>
          <w:bCs/>
          <w:sz w:val="32"/>
          <w:szCs w:val="32"/>
          <w:rtl/>
          <w:lang w:val="ar-SA"/>
        </w:rPr>
        <w:lastRenderedPageBreak/>
        <w:t>الخاتمة</w:t>
      </w:r>
      <w:bookmarkEnd w:id="239"/>
    </w:p>
    <w:p w14:paraId="69781C0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خلصت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p>
    <w:p w14:paraId="3FD77688"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p>
    <w:p w14:paraId="47EB1845"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p>
    <w:p w14:paraId="210EF93E"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p>
    <w:p w14:paraId="567C81C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p>
    <w:p w14:paraId="018ADF33" w14:textId="77777777" w:rsidR="00454428" w:rsidRDefault="00000000" w:rsidP="003C42D1">
      <w:pPr>
        <w:pStyle w:val="Body"/>
        <w:spacing w:before="120" w:after="120" w:line="360" w:lineRule="auto"/>
        <w:outlineLvl w:val="0"/>
        <w:rPr>
          <w:rStyle w:val="None"/>
          <w:rFonts w:ascii="Times New Roman" w:eastAsia="Times New Roman" w:hAnsi="Times New Roman" w:cs="Times New Roman"/>
          <w:b/>
          <w:bCs/>
          <w:sz w:val="32"/>
          <w:szCs w:val="32"/>
        </w:rPr>
      </w:pPr>
      <w:bookmarkStart w:id="240" w:name="_Toc227251467"/>
      <w:r>
        <w:rPr>
          <w:rStyle w:val="None"/>
          <w:rFonts w:ascii="Arial Unicode MS" w:hAnsi="Arial Unicode MS" w:cs="Times New Roman" w:hint="cs"/>
          <w:b/>
          <w:bCs/>
          <w:sz w:val="32"/>
          <w:szCs w:val="32"/>
          <w:rtl/>
          <w:lang w:val="ar-SA"/>
        </w:rPr>
        <w:t>النتائج والتوصيات</w:t>
      </w:r>
      <w:bookmarkEnd w:id="240"/>
    </w:p>
    <w:p w14:paraId="47A15456"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p>
    <w:p w14:paraId="154E9D49" w14:textId="6683666F"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p>
    <w:p w14:paraId="5B6CD204" w14:textId="76289CC5"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tl/>
          <w:lang w:val="ar-SA"/>
        </w:rPr>
      </w:pPr>
      <w:bookmarkStart w:id="241" w:name="_Toc227251468"/>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النتائج</w:t>
      </w:r>
      <w:bookmarkEnd w:id="241"/>
      <w:r>
        <w:rPr>
          <w:rStyle w:val="None"/>
          <w:rFonts w:ascii="Arial Unicode MS" w:hAnsi="Arial Unicode MS" w:cs="Times New Roman" w:hint="cs"/>
          <w:b/>
          <w:bCs/>
          <w:sz w:val="28"/>
          <w:szCs w:val="28"/>
          <w:rtl/>
          <w:lang w:val="ar-SA"/>
        </w:rPr>
        <w:t xml:space="preserve"> </w:t>
      </w:r>
    </w:p>
    <w:p w14:paraId="3DAF9F16" w14:textId="5F2C89F3"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أسفرت هذه الدراسة، في ضوء التحليل القانوني المقارن للإطار المنظم لحماية حقوق الملكية الفكرية في البيئة الرقمية، عن مجموعة من النتائج الجوهرية، من أبرزها</w:t>
      </w:r>
      <w:r w:rsidRPr="003C42D1">
        <w:rPr>
          <w:rStyle w:val="None"/>
          <w:rFonts w:ascii="Arial Unicode MS" w:hAnsi="Arial Unicode MS" w:cs="Times New Roman"/>
          <w:sz w:val="24"/>
          <w:szCs w:val="24"/>
          <w:rtl/>
          <w:lang w:val="ar-SA"/>
        </w:rPr>
        <w:t>:</w:t>
      </w:r>
    </w:p>
    <w:p w14:paraId="1576F6C5" w14:textId="6C162FEE"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أظهرت الدراسة أن القواعد القانونية التقليدية لم تعد كافية لمواجهة الاعتداءات في البيئة الرقمية، في ظل سهولة نسخ المصنفات وانتشارها عبر نطاق عابر للحدود</w:t>
      </w:r>
      <w:r w:rsidRPr="003C42D1">
        <w:rPr>
          <w:rStyle w:val="None"/>
          <w:rFonts w:ascii="Arial Unicode MS" w:hAnsi="Arial Unicode MS" w:cs="Times New Roman"/>
          <w:sz w:val="24"/>
          <w:szCs w:val="24"/>
          <w:rtl/>
          <w:lang w:val="ar-SA"/>
        </w:rPr>
        <w:t>.</w:t>
      </w:r>
    </w:p>
    <w:p w14:paraId="0FE5AD00" w14:textId="00C9DB91"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lastRenderedPageBreak/>
        <w:t>كشفت الدراسة عن وجود قصور تشريعي في تنظيم مسؤولية المنصات الرقمية ومزودي خدمات الإنترنت، خاصة فيما يتعلق بآليات إزالة المحتوى المخالف وحدود المسؤولية القانونية</w:t>
      </w:r>
      <w:r w:rsidRPr="003C42D1">
        <w:rPr>
          <w:rStyle w:val="None"/>
          <w:rFonts w:ascii="Arial Unicode MS" w:hAnsi="Arial Unicode MS" w:cs="Times New Roman"/>
          <w:sz w:val="24"/>
          <w:szCs w:val="24"/>
          <w:rtl/>
          <w:lang w:val="ar-SA"/>
        </w:rPr>
        <w:t>.</w:t>
      </w:r>
    </w:p>
    <w:p w14:paraId="792A8CC6" w14:textId="1AD88C94"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تبين عدم وجود تعريف قانوني دقيق للمصنف الرقمي في بعض التشريعات، مما يؤدي إلى غموض في نطاق الحماية القانونية المقررة له</w:t>
      </w:r>
      <w:r w:rsidRPr="003C42D1">
        <w:rPr>
          <w:rStyle w:val="None"/>
          <w:rFonts w:ascii="Arial Unicode MS" w:hAnsi="Arial Unicode MS" w:cs="Times New Roman"/>
          <w:sz w:val="24"/>
          <w:szCs w:val="24"/>
          <w:rtl/>
          <w:lang w:val="ar-SA"/>
        </w:rPr>
        <w:t>.</w:t>
      </w:r>
    </w:p>
    <w:p w14:paraId="70677579" w14:textId="0F5B193A"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أثبتت الدراسة وجود صعوبات عملية وقانونية في تحديد الاختصاص القضائي في المنازعات الرقمية، نتيجة لتعدد أطراف العلاقة القانونية وتوزعها بين أكثر من دولة</w:t>
      </w:r>
      <w:r w:rsidRPr="003C42D1">
        <w:rPr>
          <w:rStyle w:val="None"/>
          <w:rFonts w:ascii="Arial Unicode MS" w:hAnsi="Arial Unicode MS" w:cs="Times New Roman"/>
          <w:sz w:val="24"/>
          <w:szCs w:val="24"/>
          <w:rtl/>
          <w:lang w:val="ar-SA"/>
        </w:rPr>
        <w:t>.</w:t>
      </w:r>
    </w:p>
    <w:p w14:paraId="4C12923A" w14:textId="1866EE42"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أكدت الدراسة غياب معيار موحد لتحديد القانون الواجب التطبيق في النزاعات الرقمية ذات الطابع الدولي، مما يؤدي إلى تضارب الأحكام وإضعاف الحماية القانونية</w:t>
      </w:r>
      <w:r w:rsidRPr="003C42D1">
        <w:rPr>
          <w:rStyle w:val="None"/>
          <w:rFonts w:ascii="Arial Unicode MS" w:hAnsi="Arial Unicode MS" w:cs="Times New Roman"/>
          <w:sz w:val="24"/>
          <w:szCs w:val="24"/>
          <w:rtl/>
          <w:lang w:val="ar-SA"/>
        </w:rPr>
        <w:t>.</w:t>
      </w:r>
    </w:p>
    <w:p w14:paraId="7F808ADE" w14:textId="042309D0"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أظهرت النتائج قصور وسائل الإثبات التقليدية في التعامل مع الأدلة الرقمية، خاصة في ظل الطبيعة التقنية المعقدة لهذه الأدلة</w:t>
      </w:r>
      <w:r w:rsidRPr="003C42D1">
        <w:rPr>
          <w:rStyle w:val="None"/>
          <w:rFonts w:ascii="Arial Unicode MS" w:hAnsi="Arial Unicode MS" w:cs="Times New Roman"/>
          <w:sz w:val="24"/>
          <w:szCs w:val="24"/>
          <w:rtl/>
          <w:lang w:val="ar-SA"/>
        </w:rPr>
        <w:t>.</w:t>
      </w:r>
    </w:p>
    <w:p w14:paraId="015C51A6" w14:textId="52E0328D"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أبرزت الدراسة إمكانية الاستفادة من التقنيات الحديثة، مثل تقنية البلوكشين، في توثيق المصنفات الرقمية وإثبات ملكيتها، إلا أن ذلك لا يزال محدوداً في ظل غياب تنظيم تشريعي واضح يحدد حجيتها القانونية</w:t>
      </w:r>
      <w:r w:rsidRPr="003C42D1">
        <w:rPr>
          <w:rStyle w:val="None"/>
          <w:rFonts w:ascii="Arial Unicode MS" w:hAnsi="Arial Unicode MS" w:cs="Times New Roman"/>
          <w:sz w:val="24"/>
          <w:szCs w:val="24"/>
          <w:rtl/>
          <w:lang w:val="ar-SA"/>
        </w:rPr>
        <w:t>.</w:t>
      </w:r>
    </w:p>
    <w:p w14:paraId="4DB50F77" w14:textId="68F92D32"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كشفت الدراسة عن عدم وضوح المركز القانوني للمصنفات الناتجة عن تقنيات الذكاء الاصطناعي، مما يثير إشكالات تتعلق بصفة المؤلف وحدود الحماية</w:t>
      </w:r>
      <w:r w:rsidRPr="003C42D1">
        <w:rPr>
          <w:rStyle w:val="None"/>
          <w:rFonts w:ascii="Arial Unicode MS" w:hAnsi="Arial Unicode MS" w:cs="Times New Roman"/>
          <w:sz w:val="24"/>
          <w:szCs w:val="24"/>
          <w:rtl/>
          <w:lang w:val="ar-SA"/>
        </w:rPr>
        <w:t>.</w:t>
      </w:r>
    </w:p>
    <w:p w14:paraId="361F30FB" w14:textId="6D3B6F91"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توصلت الدراسة إلى وجود فجوة واضحة بين التطور التكنولوجي المتسارع والإطار القانوني المنظم لحماية حقوق الملكية الفكرية في البيئة الرقمية</w:t>
      </w:r>
      <w:r w:rsidRPr="003C42D1">
        <w:rPr>
          <w:rStyle w:val="None"/>
          <w:rFonts w:ascii="Arial Unicode MS" w:hAnsi="Arial Unicode MS" w:cs="Times New Roman"/>
          <w:sz w:val="24"/>
          <w:szCs w:val="24"/>
          <w:rtl/>
          <w:lang w:val="ar-SA"/>
        </w:rPr>
        <w:t>.</w:t>
      </w:r>
    </w:p>
    <w:p w14:paraId="7157B6D8" w14:textId="749B9581"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Pr>
      </w:pPr>
      <w:bookmarkStart w:id="242" w:name="_Toc227251469"/>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التوصيات</w:t>
      </w:r>
      <w:bookmarkEnd w:id="242"/>
    </w:p>
    <w:p w14:paraId="4D0E718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ضوء</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ما</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توصلت</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إليه</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الدراسة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نتائج،</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وبهدف</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تعزيز</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الحماية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القانونية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لحقوق</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الملكية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الفكرية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البيئة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الرقمية،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يوصي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الباحث</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بمجموعة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التدابير</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التشريعية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والقضائية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والتقنية،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وذلك</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على</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النحو</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الآتي</w:t>
      </w:r>
      <w:r w:rsidRPr="003C42D1">
        <w:rPr>
          <w:rStyle w:val="None"/>
          <w:rFonts w:ascii="Arial Unicode MS" w:hAnsi="Arial Unicode MS" w:cs="Times New Roman"/>
          <w:sz w:val="24"/>
          <w:szCs w:val="24"/>
          <w:rtl/>
          <w:lang w:val="ar-SA"/>
        </w:rPr>
        <w:t>:</w:t>
      </w:r>
    </w:p>
    <w:p w14:paraId="3E25576D"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أولاً</w:t>
      </w:r>
      <w:r>
        <w:rPr>
          <w:rFonts w:ascii="Times New Roman" w:hAnsi="Times New Roman"/>
          <w:b/>
          <w:bCs/>
          <w:sz w:val="24"/>
          <w:szCs w:val="24"/>
          <w:rtl/>
          <w:lang w:val="ar-SA"/>
        </w:rPr>
        <w:t xml:space="preserve">: </w:t>
      </w:r>
      <w:r>
        <w:rPr>
          <w:rFonts w:cs="Times New Roman"/>
          <w:b/>
          <w:bCs/>
          <w:sz w:val="24"/>
          <w:szCs w:val="24"/>
          <w:rtl/>
          <w:lang w:val="ar-SA"/>
        </w:rPr>
        <w:t>التوصيات التشريعية</w:t>
      </w:r>
    </w:p>
    <w:p w14:paraId="3997CA36" w14:textId="09FA7D72"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إدراج تعريف قانوني صريح للمصنف الرقمي ضمن التشريعات الوطنية، بما يضمن وضوح نطاق الحماية القانونية</w:t>
      </w:r>
      <w:r>
        <w:rPr>
          <w:rFonts w:ascii="Times New Roman" w:hAnsi="Times New Roman"/>
          <w:sz w:val="24"/>
          <w:szCs w:val="24"/>
          <w:rtl/>
          <w:lang w:val="ar-SA"/>
        </w:rPr>
        <w:t>.</w:t>
      </w:r>
    </w:p>
    <w:p w14:paraId="0F355CC0" w14:textId="679A4A04"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استحداث تنظيم قانوني متكامل لمسؤولية المنصات الرقمية ومزودي خدمات الإنترنت، يتضمن آليات واضحة لإزالة المحتوى المخالف، مع تحديد حدود المسؤولية القانونية بشكل دقيق</w:t>
      </w:r>
      <w:r>
        <w:rPr>
          <w:rFonts w:ascii="Times New Roman" w:hAnsi="Times New Roman"/>
          <w:sz w:val="24"/>
          <w:szCs w:val="24"/>
          <w:rtl/>
          <w:lang w:val="ar-SA"/>
        </w:rPr>
        <w:t>.</w:t>
      </w:r>
    </w:p>
    <w:p w14:paraId="0D33F125" w14:textId="673A143D"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وضع قواعد قانونية خاصة بتنظيم الاختصاص القضائي في المنازعات الرقمية، مع اعتماد معيار مرن يجمع بين مكان وقوع الضرر ومكان إقامة المدعى عليه</w:t>
      </w:r>
      <w:r>
        <w:rPr>
          <w:rFonts w:ascii="Times New Roman" w:hAnsi="Times New Roman"/>
          <w:sz w:val="24"/>
          <w:szCs w:val="24"/>
          <w:rtl/>
          <w:lang w:val="ar-SA"/>
        </w:rPr>
        <w:t>.</w:t>
      </w:r>
    </w:p>
    <w:p w14:paraId="661AE9EF" w14:textId="77777777" w:rsidR="003C42D1"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سنّ نصوص قانونية تنظم حجية الأدلة الرقمية، مع الاعتراف بالتقنيات الحديثة </w:t>
      </w:r>
      <w:r>
        <w:rPr>
          <w:rFonts w:ascii="Times New Roman" w:hAnsi="Times New Roman" w:hint="default"/>
          <w:sz w:val="24"/>
          <w:szCs w:val="24"/>
          <w:rtl/>
          <w:lang w:val="ar-SA"/>
        </w:rPr>
        <w:t xml:space="preserve">– </w:t>
      </w:r>
      <w:r>
        <w:rPr>
          <w:rFonts w:cs="Times New Roman"/>
          <w:sz w:val="24"/>
          <w:szCs w:val="24"/>
          <w:rtl/>
          <w:lang w:val="ar-SA"/>
        </w:rPr>
        <w:t xml:space="preserve">مثل البلوكشين </w:t>
      </w:r>
      <w:r>
        <w:rPr>
          <w:rFonts w:ascii="Times New Roman" w:hAnsi="Times New Roman" w:hint="default"/>
          <w:sz w:val="24"/>
          <w:szCs w:val="24"/>
          <w:rtl/>
          <w:lang w:val="ar-SA"/>
        </w:rPr>
        <w:t xml:space="preserve">– </w:t>
      </w:r>
      <w:r>
        <w:rPr>
          <w:rFonts w:cs="Times New Roman"/>
          <w:sz w:val="24"/>
          <w:szCs w:val="24"/>
          <w:rtl/>
          <w:lang w:val="ar-SA"/>
        </w:rPr>
        <w:t>كوسيلة إثبات معتبرة</w:t>
      </w:r>
      <w:r>
        <w:rPr>
          <w:rFonts w:ascii="Times New Roman" w:hAnsi="Times New Roman"/>
          <w:sz w:val="24"/>
          <w:szCs w:val="24"/>
          <w:rtl/>
          <w:lang w:val="ar-SA"/>
        </w:rPr>
        <w:t>.</w:t>
      </w:r>
    </w:p>
    <w:p w14:paraId="5679D5F9" w14:textId="4BDC8659" w:rsidR="00454428" w:rsidRPr="003C42D1"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sidRPr="003C42D1">
        <w:rPr>
          <w:rFonts w:cs="Times New Roman"/>
          <w:sz w:val="24"/>
          <w:szCs w:val="24"/>
          <w:rtl/>
          <w:lang w:val="ar-SA"/>
        </w:rPr>
        <w:lastRenderedPageBreak/>
        <w:t>تطوير إطار قانوني ينظم المصنفات الناتجة عن تقنيات الذكاء الاصطناعي، من حيث تحديد صفة المؤلف والحقوق المترتبة عليها</w:t>
      </w:r>
      <w:r w:rsidRPr="003C42D1">
        <w:rPr>
          <w:rFonts w:ascii="Times New Roman" w:hAnsi="Times New Roman"/>
          <w:sz w:val="24"/>
          <w:szCs w:val="24"/>
          <w:rtl/>
          <w:lang w:val="ar-SA"/>
        </w:rPr>
        <w:t>.</w:t>
      </w:r>
    </w:p>
    <w:p w14:paraId="1B128CB9"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ثانياً</w:t>
      </w:r>
      <w:r>
        <w:rPr>
          <w:rFonts w:ascii="Times New Roman" w:hAnsi="Times New Roman"/>
          <w:b/>
          <w:bCs/>
          <w:sz w:val="24"/>
          <w:szCs w:val="24"/>
          <w:rtl/>
          <w:lang w:val="ar-SA"/>
        </w:rPr>
        <w:t xml:space="preserve">: </w:t>
      </w:r>
      <w:r>
        <w:rPr>
          <w:rFonts w:cs="Times New Roman"/>
          <w:b/>
          <w:bCs/>
          <w:sz w:val="24"/>
          <w:szCs w:val="24"/>
          <w:rtl/>
          <w:lang w:val="ar-SA"/>
        </w:rPr>
        <w:t>التوصيات القضائية والإجرائية</w:t>
      </w:r>
    </w:p>
    <w:p w14:paraId="31AD51D3" w14:textId="6C005B38"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إنشاء دوائر قضائية متخصصة في منازعات الملكية الفكرية الرقمية، بما يسهم في رفع كفاءة الفصل في هذا النوع من القضايا</w:t>
      </w:r>
      <w:r w:rsidRPr="00D0796A">
        <w:rPr>
          <w:rFonts w:cs="Times New Roman"/>
          <w:sz w:val="24"/>
          <w:szCs w:val="24"/>
          <w:rtl/>
          <w:lang w:val="ar-SA"/>
        </w:rPr>
        <w:t>.</w:t>
      </w:r>
    </w:p>
    <w:p w14:paraId="6128E377" w14:textId="1380503F"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إعداد برامج تدريبية متخصصة للقضاة في مجال الأدلة الرقمية، تشمل الجوانب التقنية والعملية المرتبطة بها</w:t>
      </w:r>
      <w:r w:rsidRPr="00D0796A">
        <w:rPr>
          <w:rFonts w:cs="Times New Roman"/>
          <w:sz w:val="24"/>
          <w:szCs w:val="24"/>
          <w:rtl/>
          <w:lang w:val="ar-SA"/>
        </w:rPr>
        <w:t>.</w:t>
      </w:r>
    </w:p>
    <w:p w14:paraId="5DF397C1" w14:textId="78776C7E"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إنشاء وحدات فنية متخصصة داخل المحاكم لدعم القضاة في تحليل الأدلة الرقمية وتقديم المشورة الفنية</w:t>
      </w:r>
      <w:r w:rsidRPr="00D0796A">
        <w:rPr>
          <w:rFonts w:cs="Times New Roman"/>
          <w:sz w:val="24"/>
          <w:szCs w:val="24"/>
          <w:rtl/>
          <w:lang w:val="ar-SA"/>
        </w:rPr>
        <w:t>.</w:t>
      </w:r>
    </w:p>
    <w:p w14:paraId="6511B196"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ثالثاً</w:t>
      </w:r>
      <w:r>
        <w:rPr>
          <w:rFonts w:ascii="Times New Roman" w:hAnsi="Times New Roman"/>
          <w:b/>
          <w:bCs/>
          <w:sz w:val="24"/>
          <w:szCs w:val="24"/>
          <w:rtl/>
          <w:lang w:val="ar-SA"/>
        </w:rPr>
        <w:t xml:space="preserve">: </w:t>
      </w:r>
      <w:r>
        <w:rPr>
          <w:rFonts w:cs="Times New Roman"/>
          <w:b/>
          <w:bCs/>
          <w:sz w:val="24"/>
          <w:szCs w:val="24"/>
          <w:rtl/>
          <w:lang w:val="ar-SA"/>
        </w:rPr>
        <w:t>التوصيات التقنية والتنظيمية</w:t>
      </w:r>
    </w:p>
    <w:p w14:paraId="72D6A599" w14:textId="2123FF16"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تعزيز التعاون بين الجهات المختصة ومزودي خدمات الإنترنت، بما يسهم في الحد من الانتهاكات الرقمية</w:t>
      </w:r>
      <w:r w:rsidRPr="00D0796A">
        <w:rPr>
          <w:rFonts w:cs="Times New Roman"/>
          <w:sz w:val="24"/>
          <w:szCs w:val="24"/>
          <w:rtl/>
          <w:lang w:val="ar-SA"/>
        </w:rPr>
        <w:t>.</w:t>
      </w:r>
    </w:p>
    <w:p w14:paraId="2F9BE42E" w14:textId="2DC10B0F"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الاستفادة من التقنيات الحديثة، مثل البلوكشين، في إنشاء سجلات رقمية موثوقة لتوثيق المصنفات الفكرية</w:t>
      </w:r>
      <w:r w:rsidRPr="00D0796A">
        <w:rPr>
          <w:rFonts w:cs="Times New Roman"/>
          <w:sz w:val="24"/>
          <w:szCs w:val="24"/>
          <w:rtl/>
          <w:lang w:val="ar-SA"/>
        </w:rPr>
        <w:t>.</w:t>
      </w:r>
    </w:p>
    <w:p w14:paraId="0A8D8D75" w14:textId="2C2BBAB8"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تطوير آليات تقنية فعالة لرصد المحتوى المخالف وإزالته بشكل سريع</w:t>
      </w:r>
      <w:r w:rsidRPr="00D0796A">
        <w:rPr>
          <w:rFonts w:cs="Times New Roman"/>
          <w:sz w:val="24"/>
          <w:szCs w:val="24"/>
          <w:rtl/>
          <w:lang w:val="ar-SA"/>
        </w:rPr>
        <w:t>.</w:t>
      </w:r>
    </w:p>
    <w:p w14:paraId="4D7F9922" w14:textId="3617EAA7" w:rsidR="00C72BA8" w:rsidRPr="00C72BA8" w:rsidRDefault="00000000">
      <w:pPr>
        <w:pStyle w:val="BodyA"/>
        <w:numPr>
          <w:ilvl w:val="0"/>
          <w:numId w:val="323"/>
        </w:numPr>
        <w:spacing w:before="120" w:after="120" w:line="360" w:lineRule="auto"/>
        <w:jc w:val="both"/>
        <w:rPr>
          <w:rStyle w:val="None"/>
          <w:rFonts w:ascii="Times New Roman" w:hAnsi="Times New Roman" w:hint="default"/>
          <w:sz w:val="24"/>
          <w:szCs w:val="24"/>
          <w:lang w:val="ar-SA"/>
        </w:rPr>
      </w:pPr>
      <w:r>
        <w:rPr>
          <w:rFonts w:cs="Times New Roman"/>
          <w:sz w:val="24"/>
          <w:szCs w:val="24"/>
          <w:rtl/>
          <w:lang w:val="ar-SA"/>
        </w:rPr>
        <w:t>العمل على تطوير إطار وطني متكامل لحوكمة البيئة الرقمية، يحقق التوازن بين حماية حقوق الملكية الفكرية وتشجيع الابتكار</w:t>
      </w:r>
      <w:r>
        <w:rPr>
          <w:rFonts w:ascii="Times New Roman" w:hAnsi="Times New Roman"/>
          <w:sz w:val="24"/>
          <w:szCs w:val="24"/>
          <w:rtl/>
          <w:lang w:val="ar-SA"/>
        </w:rPr>
        <w:t>.</w:t>
      </w:r>
    </w:p>
    <w:p w14:paraId="198B985F" w14:textId="4E91CFB3" w:rsidR="00C72BA8" w:rsidRPr="00DB607F"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r w:rsidRPr="00DB607F">
        <w:rPr>
          <w:rStyle w:val="None"/>
          <w:rFonts w:ascii="Times New Roman" w:eastAsia="Times New Roman" w:hAnsi="Times New Roman" w:cs="Times New Roman"/>
          <w:b/>
          <w:bCs/>
          <w:sz w:val="24"/>
          <w:szCs w:val="24"/>
          <w:rtl/>
          <w:lang w:val="ar-SA"/>
        </w:rPr>
        <w:t>المقترحات التشريعية والتقنية المستخلصة من الدراسة:</w:t>
      </w:r>
    </w:p>
    <w:p w14:paraId="1B61345A" w14:textId="655F3C5D"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"تعريف المصنف الرقمي" (تعديل نظام حماية حقوق المؤلف)</w:t>
      </w:r>
    </w:p>
    <w:p w14:paraId="7B22313D"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"يُعدل نظام حماية حقوق المؤلف السعودي بإضافة تعريف للمصنف الرقمي في المادة الأولى كالتالي:</w:t>
      </w:r>
    </w:p>
    <w:p w14:paraId="69C7FB7A"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المصنف الرقمي: هو كل عمل ابتكاري يتم إنشاؤه أو تثبيته أو نقله باستخدام وسائط تقنية، ويشمل ذلك المحتوى المولد برمجياً، وقواعد البيانات الرقمية، والمنشورات عبر المنصات الإلكترونية، وما يماثلها من صور رقمية."  </w:t>
      </w:r>
    </w:p>
    <w:p w14:paraId="38075D00" w14:textId="0CFA870E"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"مسؤولية مزود الخدمة (</w:t>
      </w:r>
      <w:r w:rsidRPr="000315C1">
        <w:rPr>
          <w:rFonts w:cs="Times New Roman"/>
          <w:b/>
          <w:bCs/>
          <w:sz w:val="24"/>
          <w:szCs w:val="24"/>
          <w:lang w:val="ar-SA"/>
        </w:rPr>
        <w:t>ISP</w:t>
      </w:r>
      <w:r w:rsidRPr="000315C1">
        <w:rPr>
          <w:rFonts w:cs="Times New Roman"/>
          <w:b/>
          <w:bCs/>
          <w:sz w:val="24"/>
          <w:szCs w:val="24"/>
          <w:rtl/>
          <w:lang w:val="ar-SA"/>
        </w:rPr>
        <w:t>)" وآلية الإخطار والحذف</w:t>
      </w:r>
    </w:p>
    <w:p w14:paraId="248AE5CB" w14:textId="0165DE46"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"إضافة مادة تنظم مسؤولية الوسيط التقني نصها:</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لا يُسأل مزود الخدمة عن المحتوى المنتهك لحقوق الملكية الفكرية الذي يتم نشره من قبل الغير، شريطة التزامه بآلية (الإخطار والحذف الفوري) فور تبلغه بوجود انتهاك مثبت بالبصمة الرقمية، ووفقاً للمعايير التقنية التي تحددها الهيئة السعودية للملكية الفكرية."  </w:t>
      </w:r>
    </w:p>
    <w:p w14:paraId="7F9E596F" w14:textId="7AA259AC"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"إثبات الانتهاكات عبر البلوكشين" (الجانب القضائي)</w:t>
      </w:r>
    </w:p>
    <w:p w14:paraId="5DB77F41" w14:textId="4394DA4A"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التوصية: "التوصية بتعديل اللائحة التنفيذية لنظام الإثبات لتشمل النص على:</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تُعد سجلات تقنية (البلوكشين) الموثقة دليلاً رقمياً معتبراً في إثبات أسبقية الابتكار وتاريخ النشر الرقمي أمام المحاكم التجارية، ويتم اعتمادها كـ 'معاينة فنية' متى ما استوفت المعايير التقنية للأمان."  </w:t>
      </w:r>
    </w:p>
    <w:p w14:paraId="6399BD99" w14:textId="654E3278" w:rsidR="00C72BA8" w:rsidRPr="000F0174" w:rsidRDefault="00C72BA8">
      <w:pPr>
        <w:pStyle w:val="BodyA"/>
        <w:numPr>
          <w:ilvl w:val="0"/>
          <w:numId w:val="324"/>
        </w:numPr>
        <w:spacing w:before="120" w:after="120" w:line="360" w:lineRule="auto"/>
        <w:jc w:val="both"/>
        <w:rPr>
          <w:rFonts w:cs="Times New Roman" w:hint="default"/>
          <w:b/>
          <w:bCs/>
          <w:sz w:val="24"/>
          <w:szCs w:val="24"/>
          <w:rtl/>
          <w:lang w:val="ar-SA"/>
        </w:rPr>
      </w:pPr>
      <w:r w:rsidRPr="000F0174">
        <w:rPr>
          <w:rFonts w:cs="Times New Roman"/>
          <w:b/>
          <w:bCs/>
          <w:sz w:val="24"/>
          <w:szCs w:val="24"/>
          <w:rtl/>
          <w:lang w:val="ar-SA"/>
        </w:rPr>
        <w:lastRenderedPageBreak/>
        <w:t>حل "المعضلة الإجرائية" (تنازع القوانين)</w:t>
      </w:r>
    </w:p>
    <w:p w14:paraId="1C0B8062" w14:textId="77777777"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التوصية: "نقترح تبني (قاعدة بلد المنشأ الرقمي) في تحديد القانون واجب التطبيق، بحيث ينعقد الاختصاص القضائي للمحكمة التي يقع في دائرتها مقر إقامة المؤلف أو مقر مزود الخدمة الذي استضاف المحتوى المنتهك أول مرة، مع تفعيل اتفاقيات التعاون القضائي الرقمي لتبادل البيانات فور حدوث الاعتداء."  </w:t>
      </w:r>
    </w:p>
    <w:p w14:paraId="0048F55D" w14:textId="01AAAF09" w:rsidR="00C72BA8" w:rsidRPr="000F0174" w:rsidRDefault="00C72BA8">
      <w:pPr>
        <w:pStyle w:val="BodyA"/>
        <w:numPr>
          <w:ilvl w:val="0"/>
          <w:numId w:val="324"/>
        </w:numPr>
        <w:spacing w:before="120" w:after="120" w:line="360" w:lineRule="auto"/>
        <w:jc w:val="both"/>
        <w:rPr>
          <w:rFonts w:cs="Times New Roman" w:hint="default"/>
          <w:b/>
          <w:bCs/>
          <w:sz w:val="24"/>
          <w:szCs w:val="24"/>
          <w:rtl/>
          <w:lang w:val="ar-SA"/>
        </w:rPr>
      </w:pPr>
      <w:r w:rsidRPr="000F0174">
        <w:rPr>
          <w:rFonts w:cs="Times New Roman"/>
          <w:b/>
          <w:bCs/>
          <w:sz w:val="24"/>
          <w:szCs w:val="24"/>
          <w:rtl/>
          <w:lang w:val="ar-SA"/>
        </w:rPr>
        <w:t>⁠معالجة "الذكاء الاصطناعي"</w:t>
      </w:r>
    </w:p>
    <w:p w14:paraId="71AD9603" w14:textId="09F9A863" w:rsidR="0045442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lang w:val="ar-SA"/>
        </w:rPr>
      </w:pPr>
      <w:r w:rsidRPr="00DB607F">
        <w:rPr>
          <w:rStyle w:val="None"/>
          <w:rFonts w:ascii="Times New Roman" w:eastAsia="Times New Roman" w:hAnsi="Times New Roman" w:cs="Times New Roman"/>
          <w:sz w:val="24"/>
          <w:szCs w:val="24"/>
          <w:rtl/>
          <w:lang w:val="ar-SA"/>
        </w:rPr>
        <w:t>النتيجة المقترحة: "خلصت الدراسة إلى ضرورة منح الحماية القانونية للمصنفات المولدة عبر الذكاء الاصطناعي كحقوق مجاورة، مع تحديد مسؤولية قانونية تضامنية بين مبرمج الخوارزمية والمستخدم الذي وجه الذكاء الاصطناعي لإنتاج العمل."</w:t>
      </w:r>
    </w:p>
    <w:p w14:paraId="2B60F2A4" w14:textId="77777777" w:rsidR="00454428" w:rsidRDefault="0045442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56A16CF3"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992EEDC"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4D6E15F5" w14:textId="77777777" w:rsidR="00C72BA8" w:rsidRDefault="00C72BA8" w:rsidP="00B30BC9">
      <w:pPr>
        <w:pStyle w:val="BodyA"/>
        <w:bidi w:val="0"/>
        <w:spacing w:before="120" w:after="120" w:line="360" w:lineRule="auto"/>
        <w:rPr>
          <w:rStyle w:val="None"/>
          <w:rFonts w:ascii="Times New Roman" w:eastAsia="Times New Roman" w:hAnsi="Times New Roman" w:cs="Times New Roman" w:hint="default"/>
          <w:b/>
          <w:bCs/>
          <w:sz w:val="24"/>
          <w:szCs w:val="24"/>
        </w:rPr>
      </w:pPr>
    </w:p>
    <w:p w14:paraId="1A6D0370" w14:textId="77777777" w:rsidR="00DB607F" w:rsidRPr="00B30BC9" w:rsidRDefault="00DB607F" w:rsidP="00DB607F">
      <w:pPr>
        <w:pStyle w:val="BodyA"/>
        <w:bidi w:val="0"/>
        <w:spacing w:before="120" w:after="120" w:line="360" w:lineRule="auto"/>
        <w:rPr>
          <w:rStyle w:val="None"/>
          <w:rFonts w:ascii="Times New Roman" w:eastAsia="Times New Roman" w:hAnsi="Times New Roman" w:cs="Times New Roman" w:hint="default"/>
          <w:b/>
          <w:bCs/>
          <w:sz w:val="24"/>
          <w:szCs w:val="24"/>
        </w:rPr>
      </w:pPr>
    </w:p>
    <w:p w14:paraId="126346BF"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lang w:val="ar-SA"/>
        </w:rPr>
      </w:pPr>
    </w:p>
    <w:p w14:paraId="72F28E89" w14:textId="77777777" w:rsidR="000F0174" w:rsidRDefault="000F017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14959AA" w14:textId="50193AD3" w:rsidR="00454428" w:rsidRDefault="00000000" w:rsidP="00C72BA8">
      <w:pPr>
        <w:pStyle w:val="a4"/>
        <w:rPr>
          <w:rStyle w:val="None"/>
          <w:b w:val="0"/>
          <w:bCs w:val="0"/>
          <w:lang w:val="ar-SA"/>
        </w:rPr>
      </w:pPr>
      <w:bookmarkStart w:id="243" w:name="_Toc227251142"/>
      <w:bookmarkStart w:id="244" w:name="_Toc227251470"/>
      <w:r>
        <w:rPr>
          <w:rStyle w:val="None"/>
          <w:rFonts w:ascii="Arial Unicode MS" w:eastAsia="Arial Unicode MS" w:hAnsi="Arial Unicode MS" w:hint="cs"/>
          <w:rtl/>
          <w:lang w:val="ar-SA"/>
        </w:rPr>
        <w:lastRenderedPageBreak/>
        <w:t>قائمة المراجع</w:t>
      </w:r>
      <w:bookmarkEnd w:id="243"/>
      <w:bookmarkEnd w:id="244"/>
      <w:r>
        <w:rPr>
          <w:rStyle w:val="None"/>
          <w:rFonts w:ascii="Arial Unicode MS" w:eastAsia="Arial Unicode MS" w:hAnsi="Arial Unicode MS" w:hint="cs"/>
          <w:rtl/>
          <w:lang w:val="ar-SA"/>
        </w:rPr>
        <w:t xml:space="preserve"> </w:t>
      </w:r>
    </w:p>
    <w:p w14:paraId="3601B1AA" w14:textId="77777777" w:rsidR="00454428" w:rsidRDefault="00000000" w:rsidP="00C72BA8">
      <w:pPr>
        <w:pStyle w:val="a4"/>
        <w:jc w:val="left"/>
        <w:rPr>
          <w:rStyle w:val="None"/>
          <w:lang w:val="ar-SA"/>
        </w:rPr>
      </w:pPr>
      <w:bookmarkStart w:id="245" w:name="_Toc227251143"/>
      <w:bookmarkStart w:id="246" w:name="_Toc227251471"/>
      <w:r>
        <w:rPr>
          <w:rStyle w:val="None"/>
          <w:rFonts w:ascii="Arial Unicode MS" w:eastAsia="Arial Unicode MS" w:hAnsi="Arial Unicode MS" w:hint="cs"/>
          <w:rtl/>
          <w:lang w:val="ar-SA"/>
        </w:rPr>
        <w:t>أولًا</w:t>
      </w:r>
      <w:r>
        <w:rPr>
          <w:rStyle w:val="None"/>
          <w:rtl/>
          <w:lang w:val="ar-SA"/>
        </w:rPr>
        <w:t xml:space="preserve">: </w:t>
      </w:r>
      <w:r>
        <w:rPr>
          <w:rStyle w:val="None"/>
          <w:rFonts w:ascii="Arial Unicode MS" w:eastAsia="Arial Unicode MS" w:hAnsi="Arial Unicode MS" w:hint="cs"/>
          <w:rtl/>
          <w:lang w:val="ar-SA"/>
        </w:rPr>
        <w:t>المراجع العربية</w:t>
      </w:r>
      <w:r>
        <w:rPr>
          <w:rStyle w:val="None"/>
          <w:rtl/>
          <w:lang w:val="ar-SA"/>
        </w:rPr>
        <w:t>.</w:t>
      </w:r>
      <w:bookmarkEnd w:id="245"/>
      <w:bookmarkEnd w:id="246"/>
    </w:p>
    <w:p w14:paraId="7A09979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إبراهيم محمد إبراهيم المحيميد؛ علياء سعود الشطيطي، الملكية الفكرية للذكاء الاصطناعي، المجلة العلمية بكلية الآداب، ع</w:t>
      </w:r>
      <w:r>
        <w:rPr>
          <w:rStyle w:val="None"/>
          <w:rFonts w:ascii="Times New Roman" w:hAnsi="Times New Roman"/>
          <w:sz w:val="24"/>
          <w:szCs w:val="24"/>
          <w:rtl/>
          <w:lang w:val="ar-SA"/>
        </w:rPr>
        <w:t>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5D09EEC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اثير ذياب عباس الزهيري، دور الوسائل الرقمية في الكشف والإثبات الجنائي، مجلة الفارابي للعلوم الإنسانية،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119F71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إحسان طوير، حماية حقوق الملكية الفكرية على شبكة الإنترنت، رسالة دكتوراه، جامعة جيلالي لياس، سيدي بلعباس، رسالة منشورة، ٢٠٢١</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٢٠٢٢، ص ١٢</w:t>
      </w:r>
      <w:r>
        <w:rPr>
          <w:rStyle w:val="None"/>
          <w:rFonts w:ascii="Times New Roman" w:hAnsi="Times New Roman"/>
          <w:sz w:val="24"/>
          <w:szCs w:val="24"/>
          <w:rtl/>
          <w:lang w:val="ar-SA"/>
        </w:rPr>
        <w:t>.</w:t>
      </w:r>
    </w:p>
    <w:p w14:paraId="3C2A4E4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أحسن بوسقيعة، الوجيز في القانون الجزائي العام، الجزائر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هومه للطباعة والنشر والتوزيع، ط</w:t>
      </w:r>
      <w:r>
        <w:rPr>
          <w:rStyle w:val="None"/>
          <w:rFonts w:ascii="Times New Roman" w:hAnsi="Times New Roman"/>
          <w:sz w:val="24"/>
          <w:szCs w:val="24"/>
          <w:rtl/>
          <w:lang w:val="ar-SA"/>
        </w:rPr>
        <w:t>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E09065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مسند أحمد، مسند البصريين، حديث عمرو بن يثربي،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شعيب الأرنؤوط، عادل مرشد، وآخرون، إشراف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الله بن عبد المحسن التركي، مؤسسة الرسالة،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34/ 560</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(21082).</w:t>
      </w:r>
    </w:p>
    <w:p w14:paraId="7B44A1D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عبد اللاه عبد الحميد عبد الرحيم المراغي، المسؤولية الجنائية لمقدمي خدمات الإنترنت، مجلة حقوق حلوان للدراسات القانونية والاقتصادية، مج</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302F4A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أحمد عبد الله</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مصطفى، حقوق الملكية الفكرية والتأليف في بيئة الإنترنت</w:t>
      </w:r>
      <w:r>
        <w:rPr>
          <w:rStyle w:val="None"/>
          <w:rFonts w:ascii="Times New Roman" w:hAnsi="Times New Roman"/>
          <w:sz w:val="24"/>
          <w:szCs w:val="24"/>
          <w:rtl/>
          <w:lang w:val="ar-SA"/>
        </w:rPr>
        <w:t xml:space="preserve">. </w:t>
      </w:r>
      <w:r>
        <w:rPr>
          <w:rStyle w:val="None"/>
          <w:rFonts w:ascii="Times New Roman" w:hAnsi="Times New Roman"/>
          <w:sz w:val="24"/>
          <w:szCs w:val="24"/>
        </w:rPr>
        <w:t>Cybrarians Journal</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7370824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علي، المكتبة الرقمية الأسس والمفاهيم والتحديات التي تواجه المكتبات الرقمية العربية، مجلة جامعة دمشق، مج</w:t>
      </w:r>
      <w:r>
        <w:rPr>
          <w:rStyle w:val="None"/>
          <w:rFonts w:ascii="Times New Roman" w:hAnsi="Times New Roman"/>
          <w:sz w:val="24"/>
          <w:szCs w:val="24"/>
          <w:rtl/>
          <w:lang w:val="ar-SA"/>
        </w:rPr>
        <w:t>27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3E4204C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غنام، حقوق الملكية الفكرية المفهوم والأهداف، المعرفة، مج</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577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05BE283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فتحي سرور، الوسيط في قانون العقوبات القسم العام،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للنشر والتوزيع، ط</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6B19FC0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ماهر أبو سريع محمد رفاعي، تداخل الاختصاص بين أحكام التصميمات الصناعية أحكام حقوق المؤلف، المجلة العلمية للملكية الفكرية وإدارة الابتكار،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5EE78DC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عبد المعبود أحمد، الجريمة الإلكترونية وآلية مكافحتها في ظل القانون الدولي، جامعة المنوفية،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436423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علي علي الشريف،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097F42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p>
    <w:p w14:paraId="407F504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إرزيل الكاهنة، تأثر المستهلك بحماية حقوق الملكية الفكرية، مجلة الحقوق والحريات،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618-605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6F372C7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أسعد المحاسن لحرش، الملكية الفكرية بين تشجيع الابتكار وتحريم الاحتكار، مجلة دراسات وأبحاث، </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109-86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32B1194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لمين دباغين سطيف، الجزائر، </w:t>
      </w:r>
      <w:r>
        <w:rPr>
          <w:rStyle w:val="None"/>
          <w:rFonts w:ascii="Times New Roman" w:hAnsi="Times New Roman"/>
          <w:sz w:val="24"/>
          <w:szCs w:val="24"/>
          <w:rtl/>
          <w:lang w:val="ar-SA"/>
        </w:rPr>
        <w:t>(2024).</w:t>
      </w:r>
    </w:p>
    <w:p w14:paraId="4F22DEF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أكثم محمد القرعان، إثبات الجريمة الإلكترونية بالدليل الرقمي، رسالة ماجستير، </w:t>
      </w:r>
      <w:r>
        <w:rPr>
          <w:rStyle w:val="None"/>
          <w:rFonts w:ascii="Times New Roman" w:hAnsi="Times New Roman"/>
          <w:sz w:val="24"/>
          <w:szCs w:val="24"/>
          <w:rtl/>
          <w:lang w:val="ar-SA"/>
        </w:rPr>
        <w:t>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7D018A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آمال عبد الجبار حسوني، التعاقد عبر البريد الإلكتروني وإثباته، مجلة الحقوق،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277-294.</w:t>
      </w:r>
    </w:p>
    <w:p w14:paraId="554E624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أماني فوزي أحمد طه، الآثار الاقتصادية للتعدي على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p w14:paraId="3B1C628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AFCCC1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أمير الخوري، أساسيات الملكية الفكرية، منشورات مكتب براءات الاختراع والعلامات التجارية للولايات المتحدة، بدون طبعة، ٢٠٠٥</w:t>
      </w:r>
      <w:r>
        <w:rPr>
          <w:rStyle w:val="None"/>
          <w:rFonts w:ascii="Times New Roman" w:hAnsi="Times New Roman"/>
          <w:sz w:val="24"/>
          <w:szCs w:val="24"/>
          <w:rtl/>
          <w:lang w:val="ar-SA"/>
        </w:rPr>
        <w:t>.</w:t>
      </w:r>
    </w:p>
    <w:p w14:paraId="5F2EF35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أمينة يوسف عثمان البلغزي، الحماية القانونية للمصنفات الرقمية، مجلة الفرطاس،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73A07A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45651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إيمان نصر ذكي السيد، التعويض المستحق للمؤلف عن الاعتداء على مصنفه الإلكتروني، المجلة القانونية الاقتصادية، ع</w:t>
      </w:r>
      <w:r>
        <w:rPr>
          <w:rStyle w:val="None"/>
          <w:rFonts w:ascii="Times New Roman" w:hAnsi="Times New Roman"/>
          <w:sz w:val="24"/>
          <w:szCs w:val="24"/>
          <w:rtl/>
          <w:lang w:val="ar-SA"/>
        </w:rPr>
        <w:t>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19441D1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إيهاب خليفة، مجتمع ما بعد المعلومات تأثير الثورة الصناعية الرابعة على الأمن القومي، العربي للنشر والتوزيع، القاهرة، </w:t>
      </w:r>
      <w:r>
        <w:rPr>
          <w:rStyle w:val="None"/>
          <w:rFonts w:ascii="Times New Roman" w:hAnsi="Times New Roman"/>
          <w:sz w:val="24"/>
          <w:szCs w:val="24"/>
          <w:rtl/>
          <w:lang w:val="ar-SA"/>
        </w:rPr>
        <w:t>(2019).</w:t>
      </w:r>
    </w:p>
    <w:p w14:paraId="651DC1D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41A1586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w:t>
      </w:r>
    </w:p>
    <w:p w14:paraId="65CA1DD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بخوش عائشة؛ بن شريف الحسناء عائشة، البيئة الرقمية وأثرها على الأداء الوظيفي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Pr>
          <w:rStyle w:val="None"/>
          <w:rFonts w:ascii="Times New Roman" w:hAnsi="Times New Roman"/>
          <w:sz w:val="24"/>
          <w:szCs w:val="24"/>
          <w:rtl/>
          <w:lang w:val="ar-SA"/>
        </w:rPr>
        <w:t>(2023).</w:t>
      </w:r>
    </w:p>
    <w:p w14:paraId="15E7D5E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بشاير سعيد عبد الله الوالي، التنظيم القانوني للأسماء التجارية المشهورة في القانون الإماراتي والقوانين المقارنة،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الشارقة، الإمارات</w:t>
      </w:r>
      <w:r>
        <w:rPr>
          <w:rStyle w:val="None"/>
          <w:rFonts w:ascii="Times New Roman" w:hAnsi="Times New Roman"/>
          <w:sz w:val="24"/>
          <w:szCs w:val="24"/>
          <w:rtl/>
          <w:lang w:val="ar-SA"/>
        </w:rPr>
        <w:t>.</w:t>
      </w:r>
    </w:p>
    <w:p w14:paraId="7A0641C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أبو بكر محمود الهوش، نحو حقوق الملكية الفكرية في العصر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الثالث عشر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أكتوبر</w:t>
      </w:r>
      <w:r>
        <w:rPr>
          <w:rStyle w:val="None"/>
          <w:rFonts w:ascii="Times New Roman" w:hAnsi="Times New Roman"/>
          <w:sz w:val="24"/>
          <w:szCs w:val="24"/>
          <w:rtl/>
          <w:lang w:val="ar-SA"/>
        </w:rPr>
        <w:t>-2002).</w:t>
      </w:r>
    </w:p>
    <w:p w14:paraId="5D1766D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٢٠٠٩</w:t>
      </w:r>
      <w:r>
        <w:rPr>
          <w:rStyle w:val="None"/>
          <w:rFonts w:ascii="Times New Roman" w:hAnsi="Times New Roman"/>
          <w:sz w:val="24"/>
          <w:szCs w:val="24"/>
          <w:rtl/>
          <w:lang w:val="ar-SA"/>
        </w:rPr>
        <w:t>.</w:t>
      </w:r>
    </w:p>
    <w:p w14:paraId="65D0E1E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ثامر علي النويران، الجرائم الإلكترونية وطرق الحد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تجربة الأردن، جامعة محمد بن سعود الإسلامي، </w:t>
      </w:r>
      <w:r>
        <w:rPr>
          <w:rStyle w:val="None"/>
          <w:rFonts w:ascii="Times New Roman" w:hAnsi="Times New Roman"/>
          <w:sz w:val="24"/>
          <w:szCs w:val="24"/>
          <w:rtl/>
          <w:lang w:val="ar-SA"/>
        </w:rPr>
        <w:t>174-183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97743A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F6BCE6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جابر بن مرهون فليفل، أهمية حماية الملكية الفكرية تواصل،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69-60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(2006).</w:t>
      </w:r>
    </w:p>
    <w:p w14:paraId="35DA837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جاسم محمد سعيد النقبي، دعوى التعويض عن القرارات الإدارية غير المشروعة، بحث نشر بجامعة الشارقة، </w:t>
      </w:r>
      <w:r>
        <w:rPr>
          <w:rStyle w:val="None"/>
          <w:rFonts w:ascii="Times New Roman" w:hAnsi="Times New Roman"/>
          <w:sz w:val="24"/>
          <w:szCs w:val="24"/>
          <w:rtl/>
          <w:lang w:val="ar-SA"/>
        </w:rPr>
        <w:t>(2021).</w:t>
      </w:r>
    </w:p>
    <w:p w14:paraId="1AF12BB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3127D98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بو جفجوف الزهرة، ملامح البيئة الرقمية في الجزائر بين الواقع والمأمول، مجلة أبحاث،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0D046F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جمال الخولي، إثبات الملكية في الوثائق العربية، الدار المصرية اللبنانية للنشر، الطبعة الأولي، القاهرة، ١٩٩٤</w:t>
      </w:r>
      <w:r>
        <w:rPr>
          <w:rStyle w:val="None"/>
          <w:rFonts w:ascii="Times New Roman" w:hAnsi="Times New Roman"/>
          <w:sz w:val="24"/>
          <w:szCs w:val="24"/>
          <w:rtl/>
          <w:lang w:val="ar-SA"/>
        </w:rPr>
        <w:t>.</w:t>
      </w:r>
    </w:p>
    <w:p w14:paraId="31402DE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حاتم أحمد محمد بطيخ، تطوُّر السياسة التشريعية في مجال مكافحة جرائم تقنية المعلومات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تحليلية مقارنة، مجلة الدراسات القانونية والاقتصادية،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2ECB0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حازم أحمد شوقي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C2F443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حدو محمد،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الحميد بن باديس، الجزائر، </w:t>
      </w:r>
      <w:r>
        <w:rPr>
          <w:rStyle w:val="None"/>
          <w:rFonts w:ascii="Times New Roman" w:hAnsi="Times New Roman"/>
          <w:sz w:val="24"/>
          <w:szCs w:val="24"/>
          <w:rtl/>
          <w:lang w:val="ar-SA"/>
        </w:rPr>
        <w:t>(2017).</w:t>
      </w:r>
    </w:p>
    <w:p w14:paraId="4C583A0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حسام الدين صغير، المنظمة العالمية للملكية الفكرية </w:t>
      </w:r>
      <w:r>
        <w:rPr>
          <w:rStyle w:val="None"/>
          <w:rFonts w:ascii="Times New Roman" w:hAnsi="Times New Roman"/>
          <w:sz w:val="24"/>
          <w:szCs w:val="24"/>
        </w:rPr>
        <w:t>Wipo</w:t>
      </w:r>
      <w:r>
        <w:rPr>
          <w:rStyle w:val="None"/>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w:t>
      </w:r>
      <w:r>
        <w:rPr>
          <w:rStyle w:val="None"/>
          <w:rFonts w:ascii="Times New Roman" w:hAnsi="Times New Roman"/>
          <w:sz w:val="24"/>
          <w:szCs w:val="24"/>
          <w:rtl/>
          <w:lang w:val="ar-SA"/>
        </w:rPr>
        <w:t>.</w:t>
      </w:r>
    </w:p>
    <w:p w14:paraId="6FB644A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Pr>
          <w:rStyle w:val="None"/>
          <w:rFonts w:ascii="Times New Roman" w:hAnsi="Times New Roman"/>
          <w:sz w:val="24"/>
          <w:szCs w:val="24"/>
          <w:rtl/>
          <w:lang w:val="ar-SA"/>
        </w:rPr>
        <w:t>47-70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3E73AF8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حسن البدراوي، إنقاذ حقوق الملكية الفكرية، ملتقى تنظيم المنظمة العالمية للملكية الفكرية جنيف، في ١٨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١٩ جوان ٢٠٠٣</w:t>
      </w:r>
      <w:r>
        <w:rPr>
          <w:rStyle w:val="None"/>
          <w:rFonts w:ascii="Times New Roman" w:hAnsi="Times New Roman"/>
          <w:sz w:val="24"/>
          <w:szCs w:val="24"/>
          <w:rtl/>
          <w:lang w:val="ar-SA"/>
        </w:rPr>
        <w:t>.</w:t>
      </w:r>
    </w:p>
    <w:p w14:paraId="77219C3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أبو الحسين مسلم، </w:t>
      </w:r>
      <w:r>
        <w:rPr>
          <w:rStyle w:val="None"/>
          <w:rFonts w:ascii="Times New Roman" w:hAnsi="Times New Roman"/>
          <w:sz w:val="24"/>
          <w:szCs w:val="24"/>
          <w:rtl/>
          <w:lang w:val="ar-SA"/>
        </w:rPr>
        <w:t>(1955</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صحيح مسلم، كتاب الإيمان، باب قول النبي </w:t>
      </w:r>
      <w:r>
        <w:rPr>
          <w:rStyle w:val="None"/>
          <w:rFonts w:ascii="Arial Unicode MS" w:hAnsi="Arial Unicode MS"/>
          <w:sz w:val="24"/>
          <w:szCs w:val="24"/>
          <w:rtl/>
          <w:lang w:val="ar-SA"/>
        </w:rPr>
        <w:t>ﷺ</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غشنا فليس منا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فؤاد عبد الباقي،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طبعة عيسى البابي الحلبي وشركاه، 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 </w:t>
      </w:r>
      <w:r>
        <w:rPr>
          <w:rStyle w:val="None"/>
          <w:rFonts w:ascii="Times New Roman" w:hAnsi="Times New Roman"/>
          <w:sz w:val="24"/>
          <w:szCs w:val="24"/>
          <w:rtl/>
          <w:lang w:val="ar-SA"/>
        </w:rPr>
        <w:t>1/ 99</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 xml:space="preserve">(102). </w:t>
      </w:r>
    </w:p>
    <w:p w14:paraId="5F71EEF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(2022).</w:t>
      </w:r>
    </w:p>
    <w:p w14:paraId="30E8B06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231-251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241.</w:t>
      </w:r>
    </w:p>
    <w:p w14:paraId="69C3336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حكيمة عطا وشاح؛ خالدة عبد الله، حقوق الملكية الفكرية وتأثيرها على أخلاقيات البحث العلمي في البيئة الرقمية، مجلة آداب المستنصرية، ع </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0970EA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حليمة بودن، القرصنة والملكية الفكرية، مجلة القانون المغربي، ع</w:t>
      </w:r>
      <w:r>
        <w:rPr>
          <w:rStyle w:val="None"/>
          <w:rFonts w:ascii="Times New Roman" w:hAnsi="Times New Roman"/>
          <w:sz w:val="24"/>
          <w:szCs w:val="24"/>
          <w:rtl/>
          <w:lang w:val="ar-SA"/>
        </w:rPr>
        <w:t>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3E1993D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نبيل، بدر الدين،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7648F53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حنان محمد الحسيني، التحقيق الجنائي الرقمي، مجلة جامعة الملك سعود،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129-150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7F45C6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ماي قالمة، الجزائر، </w:t>
      </w:r>
      <w:r>
        <w:rPr>
          <w:rStyle w:val="None"/>
          <w:rFonts w:ascii="Times New Roman" w:hAnsi="Times New Roman"/>
          <w:sz w:val="24"/>
          <w:szCs w:val="24"/>
          <w:rtl/>
          <w:lang w:val="ar-SA"/>
        </w:rPr>
        <w:t>(2018).</w:t>
      </w:r>
    </w:p>
    <w:p w14:paraId="2489CD6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61-95.</w:t>
      </w:r>
    </w:p>
    <w:p w14:paraId="55990D0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حسن أحمد، حقوق الملكية الفكرية دورها في حماية المصنفات الرقمية وأسماء النطاقات على شبكة الإنترنت، دار الفكر الجامعي، ۲۰۲۱، بدون طبعه</w:t>
      </w:r>
      <w:r>
        <w:rPr>
          <w:rStyle w:val="None"/>
          <w:rFonts w:ascii="Times New Roman" w:hAnsi="Times New Roman"/>
          <w:sz w:val="24"/>
          <w:szCs w:val="24"/>
          <w:rtl/>
          <w:lang w:val="ar-SA"/>
        </w:rPr>
        <w:t>.</w:t>
      </w:r>
    </w:p>
    <w:p w14:paraId="6B94C87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زواتين، الذكاء الاصطناعي وحقوق الملكية الفكرية أي علاقة ترابطية؟، مجلة حقوق الإنسان والحريات العامة،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5DC372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C3DBC6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خديجة</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77162F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خضراوي الهادي؛ ايمان بو ناصر، الإطار القانوني للمسؤولية المدنية لمزودي الخدمة المعلوماتية دراسة مقارنة، مجلة البحوث القانونية والسياسية، ع</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33EF0D6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p>
    <w:p w14:paraId="74E2EB0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دليلة خينش، صعوبات النشر الإلكتروني الجامعي المنصة الجزائرية للمجلات العلمية انموذجًا، مجلة دفاتر المخبر،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0607DD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ديما ناجح المجالي؛ أحمد عبد القادر المجالي، أثر الاقتصاد الرقمي على النشاط الاقتصادي في الدول العربية، مجلة الدراسات الاقتصادية،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0C8370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2BF51CC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مجلة الاجتهاد للدراسات القانونية والاقتصادية،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55CFDF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ربحي مصطفي عليان، المكتبات الإلكترونية والمكتبات الرقمية، دار صفاء للنشر والتوزيع، عمان،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B86DAA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رشيد بن راشد؛ حسنية بلحاج،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النظريات الإعلامية والميديا الجديدة، مجلة المعيار، مج</w:t>
      </w:r>
      <w:r>
        <w:rPr>
          <w:rStyle w:val="None"/>
          <w:rFonts w:ascii="Times New Roman" w:hAnsi="Times New Roman"/>
          <w:sz w:val="24"/>
          <w:szCs w:val="24"/>
          <w:rtl/>
          <w:lang w:val="ar-SA"/>
        </w:rPr>
        <w:t>13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F7DD7F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Pr>
          <w:rStyle w:val="None"/>
          <w:rFonts w:ascii="Times New Roman" w:hAnsi="Times New Roman"/>
          <w:sz w:val="24"/>
          <w:szCs w:val="24"/>
          <w:rtl/>
          <w:lang w:val="ar-SA"/>
        </w:rPr>
        <w:t xml:space="preserve">22-23 </w:t>
      </w:r>
      <w:r>
        <w:rPr>
          <w:rStyle w:val="None"/>
          <w:rFonts w:ascii="Arial Unicode MS" w:hAnsi="Arial Unicode MS" w:cs="Times New Roman" w:hint="cs"/>
          <w:sz w:val="24"/>
          <w:szCs w:val="24"/>
          <w:rtl/>
          <w:lang w:val="ar-SA"/>
        </w:rPr>
        <w:t xml:space="preserve">ابريل </w:t>
      </w:r>
      <w:r>
        <w:rPr>
          <w:rStyle w:val="None"/>
          <w:rFonts w:ascii="Times New Roman" w:hAnsi="Times New Roman"/>
          <w:sz w:val="24"/>
          <w:szCs w:val="24"/>
          <w:rtl/>
          <w:lang w:val="ar-SA"/>
        </w:rPr>
        <w:t>2009.</w:t>
      </w:r>
    </w:p>
    <w:p w14:paraId="29D2B5C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رضوان حسان إسخيطة، التحقيق الجنائي الرقمي في ضوء قوانين حماية البيانات الشخصية، مجلة الندوة للدراسات القانونية،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3959DF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رمضان قنفود، المسائل القانونية المتعلقة بالبريد الإلكتروني، مجلة دراسات وأبحاث،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290-315.</w:t>
      </w:r>
    </w:p>
    <w:p w14:paraId="6DD8F4E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p>
    <w:p w14:paraId="373901C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Pr>
          <w:rStyle w:val="None"/>
          <w:rFonts w:ascii="Times New Roman" w:hAnsi="Times New Roman"/>
          <w:sz w:val="24"/>
          <w:szCs w:val="24"/>
          <w:rtl/>
          <w:lang w:val="ar-SA"/>
        </w:rPr>
        <w:t>(2020).</w:t>
      </w:r>
    </w:p>
    <w:p w14:paraId="2106663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ريماني يونس؛ ورحيلة الشيخ، دور القضاء المدني الجزائري في حقوق الملكية الفكرية، رسالة ماجستير غير منشورة، جامعة بلحاح بوشعيب، الجزائر، </w:t>
      </w:r>
      <w:r>
        <w:rPr>
          <w:rStyle w:val="None"/>
          <w:rFonts w:ascii="Times New Roman" w:hAnsi="Times New Roman"/>
          <w:sz w:val="24"/>
          <w:szCs w:val="24"/>
          <w:rtl/>
          <w:lang w:val="ar-SA"/>
        </w:rPr>
        <w:t>2024.</w:t>
      </w:r>
    </w:p>
    <w:p w14:paraId="0D8B4E6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مجلة روح القوانين، ع</w:t>
      </w:r>
      <w:r>
        <w:rPr>
          <w:rStyle w:val="None"/>
          <w:rFonts w:ascii="Times New Roman" w:hAnsi="Times New Roman"/>
          <w:sz w:val="24"/>
          <w:szCs w:val="24"/>
          <w:rtl/>
          <w:lang w:val="ar-SA"/>
        </w:rPr>
        <w:t>106</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44B8EC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مرجع سابق</w:t>
      </w:r>
      <w:r>
        <w:rPr>
          <w:rStyle w:val="None"/>
          <w:rFonts w:ascii="Times New Roman" w:hAnsi="Times New Roman"/>
          <w:sz w:val="24"/>
          <w:szCs w:val="24"/>
          <w:rtl/>
          <w:lang w:val="ar-SA"/>
        </w:rPr>
        <w:t>.</w:t>
      </w:r>
    </w:p>
    <w:p w14:paraId="51B1151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الزبير بلهوشات؛ 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18351C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75E3FB4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462BCC6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194D5DC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زين الدين صلاح سلمان أسمر، الملكية الفكرية نشأتها ونطاقها وعناصرها وأهميتها، 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4812F39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1A176AA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F62719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سامية خوخي، حقوق المؤلفين الأجانب،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4EAD66A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سرباز سعيد رشيد، الحماية القانونية لحقوق الملكية الفكرية، رسالة ماجستير غير منشورة، جامعة الشرق الأردني، الأردن، </w:t>
      </w:r>
      <w:r>
        <w:rPr>
          <w:rStyle w:val="None"/>
          <w:rFonts w:ascii="Times New Roman" w:hAnsi="Times New Roman"/>
          <w:sz w:val="24"/>
          <w:szCs w:val="24"/>
          <w:rtl/>
          <w:lang w:val="ar-SA"/>
        </w:rPr>
        <w:t>2020.</w:t>
      </w:r>
    </w:p>
    <w:p w14:paraId="6D49087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(2016).</w:t>
      </w:r>
    </w:p>
    <w:p w14:paraId="25D67C3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سعد بن علي بن تركي، الدليل الرقمي وأثره في الإثبات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تطبيقية مقارنة بالنظام السعودي، مجلة العلوم الشرعية، جامعة القصيم،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2384-2436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0694D9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سعيد سعد عبد السلام، مصادر الالتزام المدني،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52D23F0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سلمى عزت شاهين نبيل شاهين، دور قانون تشجيع الاستثمار في تنمية الابداعات في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2021.</w:t>
      </w:r>
    </w:p>
    <w:p w14:paraId="66C8804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p w14:paraId="34ED047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سليمان عبد الواحد عبدا لله أحمد محمد، التعاون الأمني لمواجهة الجريمة المنظمة، جامعة المنوفية،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1-45.</w:t>
      </w:r>
    </w:p>
    <w:p w14:paraId="03D24F8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سمية بالعربي؛ حمو فرحات، الوساطة في الملكية الفكرية، دراسات،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641F49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سمير عبد السيد تناغو، مصادر الالتزام،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الوفاء القانونية،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1B520D9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(2014).</w:t>
      </w:r>
    </w:p>
    <w:p w14:paraId="35DF480C" w14:textId="77777777" w:rsidR="00454428" w:rsidRDefault="00000000" w:rsidP="00C72BA8">
      <w:pPr>
        <w:pStyle w:val="10"/>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السيد أحمد عبد الخالق، حماية حقوق الملكية الفكرية في ظل اتفاقية التريس والتشريعات الاقتصادية، الطبعة الأولى، دار الفكر والقانون للنشر بالقاهرة، </w:t>
      </w:r>
      <w:r>
        <w:rPr>
          <w:rStyle w:val="None"/>
          <w:rFonts w:ascii="Times New Roman" w:hAnsi="Times New Roman"/>
          <w:sz w:val="24"/>
          <w:szCs w:val="24"/>
          <w:rtl/>
          <w:lang w:val="ar-SA"/>
        </w:rPr>
        <w:t>2011.</w:t>
      </w:r>
    </w:p>
    <w:p w14:paraId="51DBBC1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سيد عبد الله محمد خليلي، الحماية القانونية والشرعية لحق الترجمة دراسة مقارنة القانون المصري والنظام السعودي، مجلة كلية الشريعة والقانون،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CAAB7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السيد محمد ذكي حسن، الاقتصاد الرقمي، مجلة روح القوانين، ع</w:t>
      </w:r>
      <w:r>
        <w:rPr>
          <w:rStyle w:val="None"/>
          <w:rFonts w:ascii="Times New Roman" w:hAnsi="Times New Roman"/>
          <w:sz w:val="24"/>
          <w:szCs w:val="24"/>
          <w:rtl/>
          <w:lang w:val="ar-SA"/>
        </w:rPr>
        <w:t>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B22005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6275499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p>
    <w:p w14:paraId="489573F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شريهان ممدرح حسن أحمد، حماية حقوق الملكية الفكرية على المستوى الوطني والدولي مقارنة بين القانون المصري والنظام السعودي، المجلة القانونية،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288F58A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Pr>
          <w:rStyle w:val="None"/>
          <w:rFonts w:ascii="Times New Roman" w:hAnsi="Times New Roman"/>
          <w:sz w:val="24"/>
          <w:szCs w:val="24"/>
          <w:rtl/>
          <w:lang w:val="ar-SA"/>
        </w:rPr>
        <w:t>(636)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36-34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1E47AFF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مجلة الحقوق والعلوم الإنسانية،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p>
    <w:p w14:paraId="3F3584C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شنوف معمر،  دور الهيئات الدولية لحماية المليكة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33359B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شهد عبد الرحمن الصبحي، مدى وعي طلبة الدراسات العليا بنظام مكافحة الجرائم المعلوماتية في ظل التحول الرقمي ضمن رؤية المملكة </w:t>
      </w:r>
      <w:r>
        <w:rPr>
          <w:rStyle w:val="None"/>
          <w:rFonts w:ascii="Times New Roman" w:hAnsi="Times New Roman"/>
          <w:sz w:val="24"/>
          <w:szCs w:val="24"/>
          <w:rtl/>
          <w:lang w:val="ar-SA"/>
        </w:rPr>
        <w:t xml:space="preserve">2030 </w:t>
      </w:r>
      <w:r>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Pr>
          <w:rStyle w:val="None"/>
          <w:rFonts w:ascii="Times New Roman" w:hAnsi="Times New Roman"/>
          <w:sz w:val="24"/>
          <w:szCs w:val="24"/>
          <w:rtl/>
          <w:lang w:val="ar-SA"/>
        </w:rPr>
        <w:t>40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405039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(2003).</w:t>
      </w:r>
    </w:p>
    <w:p w14:paraId="2F67905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قطر، </w:t>
      </w:r>
      <w:r>
        <w:rPr>
          <w:rStyle w:val="None"/>
          <w:rFonts w:ascii="Times New Roman" w:hAnsi="Times New Roman"/>
          <w:sz w:val="24"/>
          <w:szCs w:val="24"/>
          <w:rtl/>
          <w:lang w:val="ar-SA"/>
        </w:rPr>
        <w:t>(2023).</w:t>
      </w:r>
    </w:p>
    <w:p w14:paraId="331984A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Pr>
          <w:rStyle w:val="None"/>
          <w:rFonts w:ascii="Times New Roman" w:hAnsi="Times New Roman"/>
          <w:sz w:val="24"/>
          <w:szCs w:val="24"/>
          <w:rtl/>
          <w:lang w:val="ar-SA"/>
        </w:rPr>
        <w:t>(2020).</w:t>
      </w:r>
    </w:p>
    <w:p w14:paraId="750361E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DCF7CD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صابرين حناش، المسؤولية الجنائية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أولحاج، الجزائر، </w:t>
      </w:r>
      <w:r>
        <w:rPr>
          <w:rStyle w:val="None"/>
          <w:rFonts w:ascii="Times New Roman" w:hAnsi="Times New Roman"/>
          <w:sz w:val="24"/>
          <w:szCs w:val="24"/>
          <w:rtl/>
          <w:lang w:val="ar-SA"/>
        </w:rPr>
        <w:t>2023.</w:t>
      </w:r>
    </w:p>
    <w:p w14:paraId="3BF5E8B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صبرينة بلخير، الحماية الدولية لحقوق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الجزائر، </w:t>
      </w:r>
      <w:r>
        <w:rPr>
          <w:rStyle w:val="None"/>
          <w:rFonts w:ascii="Times New Roman" w:hAnsi="Times New Roman"/>
          <w:sz w:val="24"/>
          <w:szCs w:val="24"/>
          <w:rtl/>
          <w:lang w:val="ar-SA"/>
        </w:rPr>
        <w:t>(2020).</w:t>
      </w:r>
    </w:p>
    <w:p w14:paraId="63ED00A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p>
    <w:p w14:paraId="163E060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الدين رجب فتح الباب صميدة،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479A60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سلمان أسمر زين الدين، الملكية الفكرية نشأتها ونطاقها وعناصرها وأهميتها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29E2A3C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76B19ED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صونية حقاص، حماية الملكية الفكرية الأدبية والفنية في البيئة الرقمية في ظل التشريع الجزائري،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منتوري قسنطينة، الجزائر، </w:t>
      </w:r>
      <w:r>
        <w:rPr>
          <w:rStyle w:val="None"/>
          <w:rFonts w:ascii="Times New Roman" w:hAnsi="Times New Roman"/>
          <w:sz w:val="24"/>
          <w:szCs w:val="24"/>
          <w:rtl/>
          <w:lang w:val="ar-SA"/>
        </w:rPr>
        <w:t>(2012).</w:t>
      </w:r>
    </w:p>
    <w:p w14:paraId="1728B6D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(2010).</w:t>
      </w:r>
    </w:p>
    <w:p w14:paraId="0FFB2A4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Pr>
          <w:rStyle w:val="None"/>
          <w:rFonts w:ascii="Times New Roman" w:hAnsi="Times New Roman"/>
          <w:sz w:val="24"/>
          <w:szCs w:val="24"/>
          <w:rtl/>
          <w:lang w:val="ar-SA"/>
        </w:rPr>
        <w:t>43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190B26A" w14:textId="77777777" w:rsidR="00454428" w:rsidRDefault="00000000" w:rsidP="00C72BA8">
      <w:pPr>
        <w:pStyle w:val="10"/>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2020.</w:t>
      </w:r>
    </w:p>
    <w:p w14:paraId="17196C3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حماد عثمان، ضبط الأدلة في مجال الجريمة المعلوماتية، رابطة الأدب الحديث، ج</w:t>
      </w:r>
      <w:r>
        <w:rPr>
          <w:rStyle w:val="None"/>
          <w:rFonts w:ascii="Times New Roman" w:hAnsi="Times New Roman"/>
          <w:sz w:val="24"/>
          <w:szCs w:val="24"/>
          <w:rtl/>
          <w:lang w:val="ar-SA"/>
        </w:rPr>
        <w:t>113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179-247.</w:t>
      </w:r>
    </w:p>
    <w:p w14:paraId="45586BE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محمد صفوت محمد علي، النظام القانوني لحماية حقوق الملكية الصناعية ومردودها الاقتصادي، مجلة روح القوانين، ع</w:t>
      </w:r>
      <w:r>
        <w:rPr>
          <w:rStyle w:val="None"/>
          <w:rFonts w:ascii="Times New Roman" w:hAnsi="Times New Roman"/>
          <w:sz w:val="24"/>
          <w:szCs w:val="24"/>
          <w:rtl/>
          <w:lang w:val="ar-SA"/>
        </w:rPr>
        <w:t>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C30E13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الخالق العاني، اتجاهات جديدة في الحصول على حقوق الملكية الفكرية في سوريا، برنامج الندوة الوطنية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حماية الملكية الفكرية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بدون طبعة، ٢٠١٠</w:t>
      </w:r>
      <w:r>
        <w:rPr>
          <w:rStyle w:val="None"/>
          <w:rFonts w:ascii="Times New Roman" w:hAnsi="Times New Roman"/>
          <w:sz w:val="24"/>
          <w:szCs w:val="24"/>
          <w:rtl/>
          <w:lang w:val="ar-SA"/>
        </w:rPr>
        <w:t>.</w:t>
      </w:r>
    </w:p>
    <w:p w14:paraId="2A3D332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الرحمان زيرق؛ وجعيرن بشير، حقوق الملكية الفكرية والاستثمار على ضوء القانون </w:t>
      </w:r>
      <w:r>
        <w:rPr>
          <w:rStyle w:val="None"/>
          <w:rFonts w:ascii="Times New Roman" w:hAnsi="Times New Roman"/>
          <w:sz w:val="24"/>
          <w:szCs w:val="24"/>
          <w:rtl/>
          <w:lang w:val="ar-SA"/>
        </w:rPr>
        <w:t xml:space="preserve">22/18 </w:t>
      </w:r>
      <w:r>
        <w:rPr>
          <w:rStyle w:val="None"/>
          <w:rFonts w:ascii="Arial Unicode MS" w:hAnsi="Arial Unicode MS" w:cs="Times New Roman" w:hint="cs"/>
          <w:sz w:val="24"/>
          <w:szCs w:val="24"/>
          <w:rtl/>
          <w:lang w:val="ar-SA"/>
        </w:rPr>
        <w:t>المتعلق بالاستثمار، مجلة الدراسات القانونية والسياسية،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8E04B2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سرحاني، الضوابط القانونية للجزاء الجنائي في ضوء مستجدات التشريع الجزائري، مجلة معالم للدراسات القانونية والسياسية، مح</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FAF741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عميمر، الحماية الجنائية للحق في الحياة الخاصة في البيئة الرقمية، مجلة القانون والأعمال،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2905E2F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p>
    <w:p w14:paraId="61E1B9B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عبد الله الشريف، حقوق الملكية الفكرية وعصر تقنيات المعلومات والاتصالات، مجلة الجامعي،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284-261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2B9E3EA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70D5733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47B1DED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0DBDF00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p>
    <w:p w14:paraId="4AAE69A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p>
    <w:p w14:paraId="20170F9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عزة محمد حمزة، المسئولية القانونية لمتعاملي الإنترنت دراسة 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جيلالي ليابس، الجزائر، </w:t>
      </w:r>
      <w:r>
        <w:rPr>
          <w:rStyle w:val="None"/>
          <w:rFonts w:ascii="Times New Roman" w:hAnsi="Times New Roman"/>
          <w:sz w:val="24"/>
          <w:szCs w:val="24"/>
          <w:rtl/>
          <w:lang w:val="ar-SA"/>
        </w:rPr>
        <w:t>2019.</w:t>
      </w:r>
    </w:p>
    <w:p w14:paraId="2FBE065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عطية بدر الدين؛ ناجية قموح،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إشكالية المصطلح، أصله وأبعاده، أعلم،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28064CC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4BCADA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55F02C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8FAC36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علي محمد؛ فتاحي محمد، مفهوم براءة الاختراع وآليات حمايتها في التشريع الجزائري، مجلة الحقيقة،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5727B70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عماد بن محمد يوسف جان، مقدمة في الملكية الفكرية وتطوُّرها في المملكة العربية السعودية، مجلة البحوث الإسلامية، ع</w:t>
      </w:r>
      <w:r>
        <w:rPr>
          <w:rStyle w:val="None"/>
          <w:rFonts w:ascii="Times New Roman" w:hAnsi="Times New Roman"/>
          <w:sz w:val="24"/>
          <w:szCs w:val="24"/>
          <w:rtl/>
          <w:lang w:val="ar-SA"/>
        </w:rPr>
        <w:t>94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9A4D17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p>
    <w:p w14:paraId="3303D6B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مصر</w:t>
      </w:r>
      <w:r>
        <w:rPr>
          <w:rStyle w:val="None"/>
          <w:rFonts w:ascii="Times New Roman" w:hAnsi="Times New Roman"/>
          <w:sz w:val="24"/>
          <w:szCs w:val="24"/>
          <w:rtl/>
          <w:lang w:val="ar-SA"/>
        </w:rPr>
        <w:t>.</w:t>
      </w:r>
    </w:p>
    <w:p w14:paraId="3550C4D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عمر يوسف عبد الله، الإطار القانوني والمؤسساتي لمكافحة التقليد والقرصنة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وهران، الجزائر، </w:t>
      </w:r>
      <w:r>
        <w:rPr>
          <w:rStyle w:val="None"/>
          <w:rFonts w:ascii="Times New Roman" w:hAnsi="Times New Roman"/>
          <w:sz w:val="24"/>
          <w:szCs w:val="24"/>
          <w:rtl/>
          <w:lang w:val="ar-SA"/>
        </w:rPr>
        <w:t>(2022).</w:t>
      </w:r>
    </w:p>
    <w:p w14:paraId="769CDCF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Pr>
          <w:rStyle w:val="None"/>
          <w:rFonts w:ascii="Times New Roman" w:hAnsi="Times New Roman"/>
          <w:sz w:val="24"/>
          <w:szCs w:val="24"/>
          <w:rtl/>
          <w:lang w:val="ar-SA"/>
        </w:rPr>
        <w:t>: 2022/ 2023.</w:t>
      </w:r>
    </w:p>
    <w:p w14:paraId="7AD721D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غادة عبد الكريم جاد، أثر حماية الملكية الفكرية على الاستثمار دراسة مقارنة، مجلة الدراسات القانونية والاقتصادية،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2A3B057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غسان فطوم، حقوق المؤلف والملكية الفكرية والحقوق المجاورة في العالم العربي والشرق الأوسط، الاتحاد الدولي للصحفيين منظمة من اتحاد الاتحاد، </w:t>
      </w:r>
      <w:r>
        <w:rPr>
          <w:rStyle w:val="None"/>
          <w:rFonts w:ascii="Times New Roman" w:hAnsi="Times New Roman"/>
          <w:sz w:val="24"/>
          <w:szCs w:val="24"/>
          <w:rtl/>
          <w:lang w:val="ar-SA"/>
        </w:rPr>
        <w:t>2020.</w:t>
      </w:r>
    </w:p>
    <w:p w14:paraId="354D422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فاتن سعيد مبارك، حماية أمن المعلومات في شبكة المكتبات بجامعة أم القرى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المكتبات العربية في مطلع الألفية الثالثة، الشارقة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الاتحاد العربي للمكتبات والمعلومات وجامعة الشارقة،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(2001).</w:t>
      </w:r>
    </w:p>
    <w:p w14:paraId="6FF0AF0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ابن فارس، </w:t>
      </w:r>
      <w:r>
        <w:rPr>
          <w:rStyle w:val="None"/>
          <w:rFonts w:ascii="Arial Unicode MS" w:hAnsi="Arial Unicode MS" w:cs="Times New Roman" w:hint="cs"/>
          <w:sz w:val="24"/>
          <w:szCs w:val="24"/>
          <w:shd w:val="clear" w:color="auto" w:fill="FFFFFF"/>
          <w:rtl/>
          <w:lang w:val="ar-SA"/>
        </w:rPr>
        <w:t>معجم مقاييس اللغة، تحقيق وضبط</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عبد السلام محمد هارون، مصر</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Pr>
          <w:rStyle w:val="None"/>
          <w:rFonts w:ascii="Times New Roman" w:hAnsi="Times New Roman"/>
          <w:sz w:val="24"/>
          <w:szCs w:val="24"/>
          <w:shd w:val="clear" w:color="auto" w:fill="FFFFFF"/>
          <w:rtl/>
          <w:lang w:val="ar-SA"/>
        </w:rPr>
        <w:t>2</w:t>
      </w:r>
      <w:r>
        <w:rPr>
          <w:rStyle w:val="None"/>
          <w:rFonts w:ascii="Arial Unicode MS" w:hAnsi="Arial Unicode MS" w:cs="Times New Roman" w:hint="cs"/>
          <w:sz w:val="24"/>
          <w:szCs w:val="24"/>
          <w:shd w:val="clear" w:color="auto" w:fill="FFFFFF"/>
          <w:rtl/>
          <w:lang w:val="ar-SA"/>
        </w:rPr>
        <w:t xml:space="preserve">، </w:t>
      </w:r>
      <w:r>
        <w:rPr>
          <w:rStyle w:val="None"/>
          <w:rFonts w:ascii="Times New Roman" w:hAnsi="Times New Roman"/>
          <w:sz w:val="24"/>
          <w:szCs w:val="24"/>
          <w:shd w:val="clear" w:color="auto" w:fill="FFFFFF"/>
          <w:rtl/>
          <w:lang w:val="ar-SA"/>
        </w:rPr>
        <w:t>1972</w:t>
      </w:r>
      <w:r>
        <w:rPr>
          <w:rStyle w:val="None"/>
          <w:rFonts w:ascii="Arial Unicode MS" w:hAnsi="Arial Unicode MS" w:cs="Times New Roman" w:hint="cs"/>
          <w:sz w:val="24"/>
          <w:szCs w:val="24"/>
          <w:shd w:val="clear" w:color="auto" w:fill="FFFFFF"/>
          <w:rtl/>
          <w:lang w:val="ar-SA"/>
        </w:rPr>
        <w:t xml:space="preserve">م، </w:t>
      </w:r>
      <w:r>
        <w:rPr>
          <w:rStyle w:val="None"/>
          <w:rFonts w:ascii="Times New Roman" w:hAnsi="Times New Roman"/>
          <w:sz w:val="24"/>
          <w:szCs w:val="24"/>
          <w:shd w:val="clear" w:color="auto" w:fill="FFFFFF"/>
          <w:rtl/>
          <w:lang w:val="ar-SA"/>
        </w:rPr>
        <w:t>2/ 427.</w:t>
      </w:r>
    </w:p>
    <w:p w14:paraId="7F77BB5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فازية بو علوط، أثر الذكاء الاصطناعي على حقوق الملكية الفكرية، المجلة الأكاديمية للبحث القانوني،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F5A048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B6D148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ميسان، الجزائر، </w:t>
      </w:r>
      <w:r>
        <w:rPr>
          <w:rStyle w:val="None"/>
          <w:rFonts w:ascii="Times New Roman" w:hAnsi="Times New Roman"/>
          <w:sz w:val="24"/>
          <w:szCs w:val="24"/>
          <w:rtl/>
          <w:lang w:val="ar-SA"/>
        </w:rPr>
        <w:t>(2020).</w:t>
      </w:r>
    </w:p>
    <w:p w14:paraId="12BA26B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A6BE48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مصفح؛ وزينة أيت علي، مفهوم الدفع الإلكتروني وتمييزه عن الدفع التقليدي، مجلة البحوث والدراسات القانونية والسياسية، مج</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82A71F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فاطيمة ربوح، الاستثمار والملكية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ابن خلدون، الجزائر، </w:t>
      </w:r>
      <w:r>
        <w:rPr>
          <w:rStyle w:val="None"/>
          <w:rFonts w:ascii="Times New Roman" w:hAnsi="Times New Roman"/>
          <w:sz w:val="24"/>
          <w:szCs w:val="24"/>
          <w:rtl/>
          <w:lang w:val="ar-SA"/>
        </w:rPr>
        <w:t>2023.</w:t>
      </w:r>
    </w:p>
    <w:p w14:paraId="3F63250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98FCFD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D25263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1367-1429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15383E9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الكاهنة ارزيل، تأثر المستهلك بحماية حقوق الملكية الفكرية، مجلة الحقوق والحريات،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29C6C1B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كداوة عبد القادر، البحث الوثائقي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902313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كوثر مازوني؛ 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742608F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الجزائر، </w:t>
      </w:r>
      <w:r>
        <w:rPr>
          <w:rStyle w:val="None"/>
          <w:rFonts w:ascii="Times New Roman" w:hAnsi="Times New Roman"/>
          <w:sz w:val="24"/>
          <w:szCs w:val="24"/>
          <w:rtl/>
          <w:lang w:val="ar-SA"/>
        </w:rPr>
        <w:t>(2013).</w:t>
      </w:r>
    </w:p>
    <w:p w14:paraId="7233596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36F9A48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تسويق المعلومات في البيئة الرقمية، المجلة العربية الدولية لدراسات المكتبات والمعلومات،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22A90DD" w14:textId="77777777" w:rsidR="00454428" w:rsidRDefault="00000000" w:rsidP="00C72BA8">
      <w:pPr>
        <w:pStyle w:val="Body"/>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لفقيه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فتح</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الله؛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وكريمة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كريم،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الجزائية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لقانون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الملكية الفكرية للمصنف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الإلكتروني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بيئة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الأنترنت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ومدى</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استفادة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الصحفي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هذه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مجلة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الصورة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والاتصال، ع</w:t>
      </w:r>
      <w:r>
        <w:rPr>
          <w:rStyle w:val="None"/>
          <w:rFonts w:ascii="Times New Roman" w:hAnsi="Times New Roman"/>
          <w:sz w:val="24"/>
          <w:szCs w:val="24"/>
          <w:rtl/>
          <w:lang w:val="ar-SA"/>
        </w:rPr>
        <w:t>(22)</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Times New Roman" w:hAnsi="Times New Roman"/>
          <w:sz w:val="24"/>
          <w:szCs w:val="24"/>
          <w:rtl/>
          <w:lang w:val="ar-SA"/>
        </w:rPr>
        <w:t>2018.</w:t>
      </w:r>
      <w:r>
        <w:rPr>
          <w:rStyle w:val="None"/>
          <w:rFonts w:ascii="Times New Roman" w:hAnsi="Times New Roman"/>
          <w:sz w:val="24"/>
          <w:szCs w:val="24"/>
          <w:rtl/>
        </w:rPr>
        <w:t xml:space="preserve"> </w:t>
      </w:r>
    </w:p>
    <w:p w14:paraId="5604276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لمى بنت عبد الرزاق بن حميد المحمدي، حماية الملكية الفكرية في مواقع التواصل الاجتماعي، المجلة الدولية لنشر البحوث والدراسات،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الإصدار </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679DC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2014</w:t>
      </w:r>
      <w:r>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Pr>
          <w:rStyle w:val="None"/>
          <w:rFonts w:ascii="Times New Roman" w:hAnsi="Times New Roman"/>
          <w:sz w:val="24"/>
          <w:szCs w:val="24"/>
          <w:rtl/>
          <w:lang w:val="ar-SA"/>
        </w:rPr>
        <w:t>(2014).</w:t>
      </w:r>
    </w:p>
    <w:p w14:paraId="3A1E0BC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لونيس انقراشن؛ سعيد أمقران حاج، حقوق الملكية الفكرية وحماية المستهلك،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تيزي وزو، الجزائر، </w:t>
      </w:r>
      <w:r>
        <w:rPr>
          <w:rStyle w:val="None"/>
          <w:rFonts w:ascii="Times New Roman" w:hAnsi="Times New Roman"/>
          <w:sz w:val="24"/>
          <w:szCs w:val="24"/>
          <w:rtl/>
          <w:lang w:val="ar-SA"/>
        </w:rPr>
        <w:t>(2018).</w:t>
      </w:r>
    </w:p>
    <w:p w14:paraId="2DB6BB9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لؤي الزغبي، الوسائط المتعددة، المشاع المبدع للنشر، سوريا، </w:t>
      </w:r>
      <w:r>
        <w:rPr>
          <w:rStyle w:val="None"/>
          <w:rFonts w:ascii="Times New Roman" w:hAnsi="Times New Roman"/>
          <w:sz w:val="24"/>
          <w:szCs w:val="24"/>
          <w:rtl/>
          <w:lang w:val="ar-SA"/>
        </w:rPr>
        <w:t>(2020).</w:t>
      </w:r>
    </w:p>
    <w:p w14:paraId="56486C9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37A048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مبارك بن محمد الخالدي، الإثبات بالدليل الرقمي وتطبيقاته القضائية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بنظام الإثبات السعودي، مجلة قضاء، جامعة الإمام محمد بن سعود الإسلامي،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329-416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B0C0FD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مبروك العديلي، التسويق الإلكتروني، دار أمجد للنشر والتوزيع، الأردن، </w:t>
      </w:r>
      <w:r>
        <w:rPr>
          <w:rStyle w:val="None"/>
          <w:rFonts w:ascii="Times New Roman" w:hAnsi="Times New Roman"/>
          <w:sz w:val="24"/>
          <w:szCs w:val="24"/>
          <w:rtl/>
          <w:lang w:val="ar-SA"/>
        </w:rPr>
        <w:t>2015.</w:t>
      </w:r>
    </w:p>
    <w:p w14:paraId="48C9C8A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مجمع اللغة العربية، المعجم الوسيط، مكتبة الشروق الدولية، القاهرة، بدون طبعة، ٢٠٠٤</w:t>
      </w:r>
      <w:r>
        <w:rPr>
          <w:rStyle w:val="None"/>
          <w:rFonts w:ascii="Times New Roman" w:hAnsi="Times New Roman"/>
          <w:sz w:val="24"/>
          <w:szCs w:val="24"/>
          <w:rtl/>
          <w:lang w:val="ar-SA"/>
        </w:rPr>
        <w:t>.</w:t>
      </w:r>
    </w:p>
    <w:p w14:paraId="0022DAF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5437606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محمد أحمد آدم أبكر، حقوق الملكية الفكرية وتطبيقاتها الجنائية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2016.</w:t>
      </w:r>
    </w:p>
    <w:p w14:paraId="6B7ABA2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الطيب حمدان، واقع حماية الملكية الفكرية في الاتفاقيات الدولية، مجلة الحقوق والحريات، </w:t>
      </w:r>
      <w:r>
        <w:rPr>
          <w:rStyle w:val="None"/>
          <w:rFonts w:ascii="Times New Roman" w:hAnsi="Times New Roman"/>
          <w:sz w:val="24"/>
          <w:szCs w:val="24"/>
          <w:rtl/>
          <w:lang w:val="ar-SA"/>
        </w:rPr>
        <w:t>10(1)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55-34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E44EEE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العايبي؛ هيبة كنيوة؛ عواطف دودي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58E8B6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بن حدو،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الحمدي ابن باديس، الجزائر، </w:t>
      </w:r>
      <w:r>
        <w:rPr>
          <w:rStyle w:val="None"/>
          <w:rFonts w:ascii="Times New Roman" w:hAnsi="Times New Roman"/>
          <w:sz w:val="24"/>
          <w:szCs w:val="24"/>
          <w:rtl/>
          <w:lang w:val="ar-SA"/>
        </w:rPr>
        <w:t>(2017).</w:t>
      </w:r>
    </w:p>
    <w:p w14:paraId="1886ED0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بن علي بن عبد الله، دور حماية الملكية الفكرية في التنمية الصناعية، التعاون الصناعي في الخليج العربي، مج</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0B40BE2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الآداب،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2/ 838.</w:t>
      </w:r>
    </w:p>
    <w:p w14:paraId="4DCB9B0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حسين منصور، النظرية العامة للالتزام،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الجامعة الجديدة، </w:t>
      </w:r>
      <w:r>
        <w:rPr>
          <w:rStyle w:val="None"/>
          <w:rFonts w:ascii="Times New Roman" w:hAnsi="Times New Roman"/>
          <w:sz w:val="24"/>
          <w:szCs w:val="24"/>
          <w:rtl/>
          <w:lang w:val="ar-SA"/>
        </w:rPr>
        <w:t>(2005).</w:t>
      </w:r>
    </w:p>
    <w:p w14:paraId="17068873"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رضا علي البوسراية، الحماية المدنية للحق المعنوي للمؤلف في التشريعين الأردني والعراقي،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رسالة ماجستير غير منشورة، جامعة الشرق الأوسط، الأردن، </w:t>
      </w:r>
      <w:r>
        <w:rPr>
          <w:rStyle w:val="None"/>
          <w:rFonts w:ascii="Times New Roman" w:hAnsi="Times New Roman"/>
          <w:sz w:val="24"/>
          <w:szCs w:val="24"/>
          <w:rtl/>
          <w:lang w:val="ar-SA"/>
        </w:rPr>
        <w:t>(2018).</w:t>
      </w:r>
    </w:p>
    <w:p w14:paraId="70AD6CC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سلمان محمود، الحماية الدولية لحقوق الملكية الفكرية الإلكترونية، مجلة كلية دجلة الجامعة،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4832252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w:t>
      </w:r>
      <w:r>
        <w:rPr>
          <w:rStyle w:val="None"/>
          <w:rFonts w:ascii="Times New Roman" w:hAnsi="Times New Roman"/>
          <w:sz w:val="24"/>
          <w:szCs w:val="24"/>
          <w:rtl/>
          <w:lang w:val="ar-SA"/>
        </w:rPr>
        <w:t>.</w:t>
      </w:r>
    </w:p>
    <w:p w14:paraId="46C8C29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لعقاب، الأنترنت وعصر ثورة المعلومات، دار هومة للنشر والتوزيع، الطبعة الأولى، ١٩٩٩، ص ٥٤</w:t>
      </w:r>
    </w:p>
    <w:p w14:paraId="1EDE81F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92B8E8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محمد مصباح القاضي، علم العقاب،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بدون دار نشر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(2004).</w:t>
      </w:r>
    </w:p>
    <w:p w14:paraId="7708CA8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مصطفى محمد عمر، النظام القانوني لوسائل الدفع الإلكتروني في العمليات المصرفية، المجلة القانونية، 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74EA14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احمد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p>
    <w:p w14:paraId="0E8E84A7" w14:textId="77777777" w:rsidR="00454428" w:rsidRDefault="00000000" w:rsidP="00C72BA8">
      <w:pPr>
        <w:pStyle w:val="10"/>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العدد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أغسطس </w:t>
      </w:r>
      <w:r>
        <w:rPr>
          <w:rStyle w:val="None"/>
          <w:rFonts w:ascii="Times New Roman" w:hAnsi="Times New Roman"/>
          <w:sz w:val="24"/>
          <w:szCs w:val="24"/>
          <w:rtl/>
          <w:lang w:val="ar-SA"/>
        </w:rPr>
        <w:t>2023.</w:t>
      </w:r>
    </w:p>
    <w:p w14:paraId="0C83BC4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Pr>
          <w:rStyle w:val="None"/>
          <w:rFonts w:ascii="Times New Roman" w:hAnsi="Times New Roman"/>
          <w:sz w:val="24"/>
          <w:szCs w:val="24"/>
          <w:rtl/>
          <w:lang w:val="ar-SA"/>
        </w:rPr>
        <w:t>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34DBDAA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محمود نجيب حسني، شرح قانون العقوبات اللبناني القسم العام، لبنان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منشورات الحلبي الحقوقية،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(1998).</w:t>
      </w:r>
    </w:p>
    <w:p w14:paraId="7160C64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مروة زين العابدين سعد، التحكيم في منازعات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Pr>
          <w:rStyle w:val="None"/>
          <w:rFonts w:ascii="Times New Roman" w:hAnsi="Times New Roman"/>
          <w:sz w:val="24"/>
          <w:szCs w:val="24"/>
          <w:rtl/>
          <w:lang w:val="ar-SA"/>
        </w:rPr>
        <w:t>66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مصر، يناير </w:t>
      </w:r>
      <w:r>
        <w:rPr>
          <w:rStyle w:val="None"/>
          <w:rFonts w:ascii="Times New Roman" w:hAnsi="Times New Roman"/>
          <w:sz w:val="24"/>
          <w:szCs w:val="24"/>
          <w:rtl/>
          <w:lang w:val="ar-SA"/>
        </w:rPr>
        <w:t>2024.</w:t>
      </w:r>
    </w:p>
    <w:p w14:paraId="28A2C0A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زان، التجارة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C55EB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عبد الحكيم رمضان، مدى وعي الباحثين بحقوق الملكية الفكرية للمؤلف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CCF9E7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بن أحمد الحكيم؛ وخالد صلاح حنفي، كتاب المؤتمر الدولي المحكم الاتجاهات العالمية المعاصرة في العلوم الإنسانية والاجتماعية، </w:t>
      </w:r>
      <w:r>
        <w:rPr>
          <w:rStyle w:val="None"/>
          <w:rFonts w:ascii="Times New Roman" w:hAnsi="Times New Roman"/>
          <w:sz w:val="24"/>
          <w:szCs w:val="24"/>
          <w:rtl/>
          <w:lang w:val="ar-SA"/>
        </w:rPr>
        <w:t xml:space="preserve">6-7 </w:t>
      </w:r>
      <w:r>
        <w:rPr>
          <w:rStyle w:val="None"/>
          <w:rFonts w:ascii="Arial Unicode MS" w:hAnsi="Arial Unicode MS" w:cs="Times New Roman" w:hint="cs"/>
          <w:sz w:val="24"/>
          <w:szCs w:val="24"/>
          <w:rtl/>
          <w:lang w:val="ar-SA"/>
        </w:rPr>
        <w:t xml:space="preserve">نوفمبر تركيا، </w:t>
      </w:r>
      <w:r>
        <w:rPr>
          <w:rStyle w:val="None"/>
          <w:rFonts w:ascii="Times New Roman" w:hAnsi="Times New Roman"/>
          <w:sz w:val="24"/>
          <w:szCs w:val="24"/>
          <w:rtl/>
          <w:lang w:val="ar-SA"/>
        </w:rPr>
        <w:t>(2019).</w:t>
      </w:r>
    </w:p>
    <w:p w14:paraId="23FE60F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رحبي؛ ويوسف حمين، الطبيعة القانونية لحق المؤلف والحقوق المجاورة، رسالة ماجستير غير منشورة، جامعة زيان عاشور بالحلفة، الجزائر، </w:t>
      </w:r>
      <w:r>
        <w:rPr>
          <w:rStyle w:val="None"/>
          <w:rFonts w:ascii="Times New Roman" w:hAnsi="Times New Roman"/>
          <w:sz w:val="24"/>
          <w:szCs w:val="24"/>
          <w:rtl/>
          <w:lang w:val="ar-SA"/>
        </w:rPr>
        <w:t>2015.</w:t>
      </w:r>
    </w:p>
    <w:p w14:paraId="70D9DC1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مصعب علي أبو صلاح، واقع الملكية الفكرية وأثره على الاستثمار قطاع تكنولوجيا المعلومات في فلسطين، رسالة ماجستير، جامعة النجاح الوطنية،٢٠١٦</w:t>
      </w:r>
      <w:r>
        <w:rPr>
          <w:rStyle w:val="None"/>
          <w:rFonts w:ascii="Times New Roman" w:hAnsi="Times New Roman"/>
          <w:sz w:val="24"/>
          <w:szCs w:val="24"/>
          <w:rtl/>
          <w:lang w:val="ar-SA"/>
        </w:rPr>
        <w:t>.</w:t>
      </w:r>
    </w:p>
    <w:p w14:paraId="70DE00D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مليكة شبيشب؛ وميمونة بن عروسي، واقع النشر الإلكتروني لدى الأساتذة الجامعيين،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65.</w:t>
      </w:r>
    </w:p>
    <w:p w14:paraId="0FD38D9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معاذ فيغو، حقوق المصنفات الفكرية الرقمية، مجلة عدالة للدراسات القانونية والقضائية، المركز المتوسطي للدراسات القانونية والقضائية، المغرب، ع </w:t>
      </w:r>
      <w:r>
        <w:rPr>
          <w:rStyle w:val="None"/>
          <w:rFonts w:ascii="Times New Roman" w:hAnsi="Times New Roman"/>
          <w:sz w:val="24"/>
          <w:szCs w:val="24"/>
          <w:rtl/>
          <w:lang w:val="ar-SA"/>
        </w:rPr>
        <w:t>(44) 2025.</w:t>
      </w:r>
    </w:p>
    <w:p w14:paraId="41EB2D4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منال جابر محمد عكاشة، وعي اختصاص المكتبات والمعلومات في مكتبة الملك عبد الله بجامعة أم القرص</w:t>
      </w:r>
      <w:r>
        <w:rPr>
          <w:rStyle w:val="None"/>
          <w:rFonts w:ascii="Times New Roman" w:hAnsi="Times New Roman"/>
          <w:sz w:val="24"/>
          <w:szCs w:val="24"/>
          <w:rtl/>
          <w:lang w:val="ar-SA"/>
        </w:rPr>
        <w:t>.</w:t>
      </w:r>
    </w:p>
    <w:p w14:paraId="7634AD5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ابن منظور، لسان العرب دار صادر، بيروت، لبنان، ط ٣، المجلد الخامس، ١٩٩٤</w:t>
      </w:r>
      <w:r>
        <w:rPr>
          <w:rStyle w:val="None"/>
          <w:rFonts w:ascii="Times New Roman" w:hAnsi="Times New Roman"/>
          <w:sz w:val="24"/>
          <w:szCs w:val="24"/>
          <w:rtl/>
          <w:lang w:val="ar-SA"/>
        </w:rPr>
        <w:t>.</w:t>
      </w:r>
    </w:p>
    <w:p w14:paraId="5DEAFDC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1B16C26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منى علي زهير؛ وعزوزي قويدر، معاهدة الويبو لحق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بالجلفة، الجزائر، </w:t>
      </w:r>
      <w:r>
        <w:rPr>
          <w:rStyle w:val="None"/>
          <w:rFonts w:ascii="Times New Roman" w:hAnsi="Times New Roman"/>
          <w:sz w:val="24"/>
          <w:szCs w:val="24"/>
          <w:rtl/>
          <w:lang w:val="ar-SA"/>
        </w:rPr>
        <w:t>(2017).</w:t>
      </w:r>
    </w:p>
    <w:p w14:paraId="532C3CE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غازي حسان إبراهيم، فاعلية السياسية الجنائية في مواجهة الجرائم المعلوماتية، مجلة الشريعة والقانون بالقاهرة،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6329948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D33EFB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مها بنت مخلد العتيبي، الابتكار في حقوق الملكية الأدبية والفنية، رسالة ماجستير غير منشورة،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C80E05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مؤيد زيدان، حقوق الملكية الفكرية، المشاع المبدع للنشر، سوريا، </w:t>
      </w:r>
      <w:r>
        <w:rPr>
          <w:rStyle w:val="None"/>
          <w:rFonts w:ascii="Times New Roman" w:hAnsi="Times New Roman"/>
          <w:sz w:val="24"/>
          <w:szCs w:val="24"/>
          <w:rtl/>
          <w:lang w:val="ar-SA"/>
        </w:rPr>
        <w:t>2020.</w:t>
      </w:r>
    </w:p>
    <w:p w14:paraId="572AD8F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مي أكرم ياسين، المكتبات الرقمية المفاهيم والتحديات، المجلة العربية للنشر العلمي، ع</w:t>
      </w:r>
      <w:r>
        <w:rPr>
          <w:rStyle w:val="None"/>
          <w:rFonts w:ascii="Times New Roman" w:hAnsi="Times New Roman"/>
          <w:sz w:val="24"/>
          <w:szCs w:val="24"/>
          <w:rtl/>
          <w:lang w:val="ar-SA"/>
        </w:rPr>
        <w:t>84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1D295D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ميسر طارق يوسف جرار، المسؤولية المدنية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72. / </w:t>
      </w:r>
      <w:r>
        <w:rPr>
          <w:rStyle w:val="None"/>
          <w:rFonts w:ascii="Arial Unicode MS" w:hAnsi="Arial Unicode MS" w:cs="Times New Roman" w:hint="cs"/>
          <w:sz w:val="24"/>
          <w:szCs w:val="24"/>
          <w:rtl/>
          <w:lang w:val="ar-SA"/>
        </w:rPr>
        <w:t>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w:t>
      </w:r>
      <w:r>
        <w:rPr>
          <w:rStyle w:val="None"/>
          <w:rFonts w:ascii="Times New Roman" w:hAnsi="Times New Roman"/>
          <w:sz w:val="24"/>
          <w:szCs w:val="24"/>
          <w:rtl/>
          <w:lang w:val="ar-SA"/>
        </w:rPr>
        <w:t>.</w:t>
      </w:r>
    </w:p>
    <w:p w14:paraId="26CBE4C0"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وصفية تطبيقية على برامج الحاسوب والوسائط المتعددة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77136CB1"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نادية حدادو؛ وراضية بعوالي، النظام القانوني لقواعد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أمحمد بوقرة، الجزائر، </w:t>
      </w:r>
      <w:r>
        <w:rPr>
          <w:rStyle w:val="None"/>
          <w:rFonts w:ascii="Times New Roman" w:hAnsi="Times New Roman"/>
          <w:sz w:val="24"/>
          <w:szCs w:val="24"/>
          <w:rtl/>
          <w:lang w:val="ar-SA"/>
        </w:rPr>
        <w:t>(2023).</w:t>
      </w:r>
    </w:p>
    <w:p w14:paraId="3F3DC56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زواني، الاعتداء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p>
    <w:p w14:paraId="3FCBBB7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ناصر بن محمد الشريف، أخلاقيات العمل وحقوق الملكية الفكرية، الطبعة الأولى، بدون ناشر، ١٤٤٤ هـ، ٢٠٢٣</w:t>
      </w:r>
      <w:r>
        <w:rPr>
          <w:rStyle w:val="None"/>
          <w:rFonts w:ascii="Times New Roman" w:hAnsi="Times New Roman"/>
          <w:sz w:val="24"/>
          <w:szCs w:val="24"/>
          <w:rtl/>
          <w:lang w:val="ar-SA"/>
        </w:rPr>
        <w:t>.</w:t>
      </w:r>
    </w:p>
    <w:p w14:paraId="05E4A2E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نايف عبد الله العمادي،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الزرقاء، الأردن، </w:t>
      </w:r>
      <w:r>
        <w:rPr>
          <w:rStyle w:val="None"/>
          <w:rFonts w:ascii="Times New Roman" w:hAnsi="Times New Roman"/>
          <w:sz w:val="24"/>
          <w:szCs w:val="24"/>
          <w:rtl/>
          <w:lang w:val="ar-SA"/>
        </w:rPr>
        <w:t xml:space="preserve">(2020). </w:t>
      </w:r>
    </w:p>
    <w:p w14:paraId="2F4A080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نبيل بدر الدين، 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4622D06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نبيلة بركان، الملكية الفكرية وتأثيرها في الاقتصاد العالمي، رسالة ماجستير غير منشورة، جامعة دالي إبراهيم، الجزائر، </w:t>
      </w:r>
      <w:r>
        <w:rPr>
          <w:rStyle w:val="None"/>
          <w:rFonts w:ascii="Times New Roman" w:hAnsi="Times New Roman"/>
          <w:sz w:val="24"/>
          <w:szCs w:val="24"/>
          <w:rtl/>
          <w:lang w:val="ar-SA"/>
        </w:rPr>
        <w:t>2010.</w:t>
      </w:r>
    </w:p>
    <w:p w14:paraId="40A1F3C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نجاة سامي هادف، إدارة وتسيير الموارد البشرية في البيئة الرقمية تحديات وآفاق، مجلة علوم الإنسان والمجتمع،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0121CD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p>
    <w:p w14:paraId="71EA48F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نزيه محمد الصادق المهدي، آلية حماية حقوق الملكية الفكرية، كلية الحقوق جامعة القاهرة، دار النهضة العربية للنشر، القاهرة، الطبعة الثانية، </w:t>
      </w:r>
      <w:r>
        <w:rPr>
          <w:rStyle w:val="None"/>
          <w:rFonts w:ascii="Times New Roman" w:hAnsi="Times New Roman"/>
          <w:sz w:val="24"/>
          <w:szCs w:val="24"/>
          <w:rtl/>
          <w:lang w:val="ar-SA"/>
        </w:rPr>
        <w:t>2017.</w:t>
      </w:r>
    </w:p>
    <w:p w14:paraId="43FEF1A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sz w:val="24"/>
          <w:szCs w:val="24"/>
          <w:rtl/>
          <w:lang w:val="ar-SA"/>
        </w:rPr>
        <w:t>(2018).</w:t>
      </w:r>
    </w:p>
    <w:p w14:paraId="268A0C3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نسيمة فتحي،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الجزائر، </w:t>
      </w:r>
      <w:r>
        <w:rPr>
          <w:rStyle w:val="None"/>
          <w:rFonts w:ascii="Times New Roman" w:hAnsi="Times New Roman"/>
          <w:sz w:val="24"/>
          <w:szCs w:val="24"/>
          <w:rtl/>
          <w:lang w:val="ar-SA"/>
        </w:rPr>
        <w:t>(2012).</w:t>
      </w:r>
    </w:p>
    <w:p w14:paraId="190313F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نضال عطا بدوي الدويك، التعويض عن الأضرار المادية المستقبلية الناجمة عن الإصابات الجسدية، رسالة ماجستير غير منشورة، جامعة الشرق الأوسط، الأردن، </w:t>
      </w:r>
      <w:r>
        <w:rPr>
          <w:rStyle w:val="None"/>
          <w:rFonts w:ascii="Times New Roman" w:hAnsi="Times New Roman"/>
          <w:sz w:val="24"/>
          <w:szCs w:val="24"/>
          <w:rtl/>
          <w:lang w:val="ar-SA"/>
        </w:rPr>
        <w:t>(2016).</w:t>
      </w:r>
    </w:p>
    <w:p w14:paraId="2622965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نعيمة سحقي، الاقتصاد الرقمي في الجزائر الفرص والتحديات،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ولحاج، الجزائر، </w:t>
      </w:r>
      <w:r>
        <w:rPr>
          <w:rStyle w:val="None"/>
          <w:rFonts w:ascii="Times New Roman" w:hAnsi="Times New Roman"/>
          <w:sz w:val="24"/>
          <w:szCs w:val="24"/>
          <w:rtl/>
          <w:lang w:val="ar-SA"/>
        </w:rPr>
        <w:t>2015.</w:t>
      </w:r>
    </w:p>
    <w:p w14:paraId="17EF7C9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598BDB5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هبة الله ربحي الدويكات، الترخيص الإجباري في الاختراعات المتعلقة بالأدوية، رسالة ماجستير، جامعة الزرقاء، </w:t>
      </w:r>
      <w:r>
        <w:rPr>
          <w:rStyle w:val="None"/>
          <w:rFonts w:ascii="Times New Roman" w:hAnsi="Times New Roman"/>
          <w:sz w:val="24"/>
          <w:szCs w:val="24"/>
          <w:rtl/>
          <w:lang w:val="ar-SA"/>
        </w:rPr>
        <w:t>1-116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656B5A3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270211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مح</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02B1F23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هلال إبراهيم هلال الخطيب، القيود التي تحكم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Pr>
          <w:rStyle w:val="None"/>
          <w:rFonts w:ascii="Times New Roman" w:hAnsi="Times New Roman"/>
          <w:sz w:val="24"/>
          <w:szCs w:val="24"/>
          <w:rtl/>
          <w:lang w:val="ar-SA"/>
        </w:rPr>
        <w:t>(2004).</w:t>
      </w:r>
    </w:p>
    <w:p w14:paraId="7FA58AF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هناء عودة خضري أحمد عودة، دليل ضوابط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دراسات في التعليم الجامعي، </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462-420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0CD1B41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87-127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63F6151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وائل محمد رفعت إبراهيم علي، الحماية القانونية للتصميمات التخطيطية للدوائر المتكاملة، مجلة العلوم الاقتصادية والإدارية والقانونية،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2940B8A"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وثيقة الاستراتيجية الوطنية للأمن السيبراني، الهيئة الوطنية للأمن السيبراني، </w:t>
      </w:r>
      <w:r>
        <w:rPr>
          <w:rStyle w:val="None"/>
          <w:rFonts w:ascii="Times New Roman" w:hAnsi="Times New Roman"/>
          <w:sz w:val="24"/>
          <w:szCs w:val="24"/>
          <w:rtl/>
          <w:lang w:val="ar-SA"/>
        </w:rPr>
        <w:t>(2020).</w:t>
      </w:r>
    </w:p>
    <w:p w14:paraId="348B947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وثيقة الضوابط الأساسية للأمن السيبراني، الهيئة الوطنية للأمن السيبراني، </w:t>
      </w:r>
      <w:r>
        <w:rPr>
          <w:rStyle w:val="None"/>
          <w:rFonts w:ascii="Times New Roman" w:hAnsi="Times New Roman"/>
          <w:sz w:val="24"/>
          <w:szCs w:val="24"/>
          <w:rtl/>
          <w:lang w:val="ar-SA"/>
        </w:rPr>
        <w:t>(2018).</w:t>
      </w:r>
    </w:p>
    <w:p w14:paraId="69CB38E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453AF9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ولاء الدين محمد إبراهيم، التحكيم في منازعات المليكة الفكرية، المجلة المصرية للقانون الدولي، </w:t>
      </w:r>
      <w:r>
        <w:rPr>
          <w:rStyle w:val="None"/>
          <w:rFonts w:ascii="Times New Roman" w:hAnsi="Times New Roman"/>
          <w:sz w:val="24"/>
          <w:szCs w:val="24"/>
          <w:rtl/>
          <w:lang w:val="ar-SA"/>
        </w:rPr>
        <w:t>72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384-428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098334DB"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Pr>
          <w:rStyle w:val="None"/>
          <w:rFonts w:ascii="Times New Roman" w:hAnsi="Times New Roman"/>
          <w:sz w:val="24"/>
          <w:szCs w:val="24"/>
          <w:rtl/>
          <w:lang w:val="ar-SA"/>
        </w:rPr>
        <w:t>41</w:t>
      </w:r>
      <w:r>
        <w:rPr>
          <w:rStyle w:val="None"/>
          <w:rFonts w:ascii="Arial Unicode MS" w:hAnsi="Arial Unicode MS" w:cs="Times New Roman" w:hint="cs"/>
          <w:sz w:val="24"/>
          <w:szCs w:val="24"/>
          <w:rtl/>
          <w:lang w:val="ar-SA"/>
        </w:rPr>
        <w:t xml:space="preserve">، الإصدار الثاني، </w:t>
      </w:r>
      <w:r>
        <w:rPr>
          <w:rStyle w:val="None"/>
          <w:rFonts w:ascii="Times New Roman" w:hAnsi="Times New Roman"/>
          <w:sz w:val="24"/>
          <w:szCs w:val="24"/>
          <w:rtl/>
          <w:lang w:val="ar-SA"/>
        </w:rPr>
        <w:t>(2025).</w:t>
      </w:r>
    </w:p>
    <w:p w14:paraId="098F6D9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عبد جامعة الرحمان ميرة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بجاية، الجزائر، </w:t>
      </w:r>
      <w:r>
        <w:rPr>
          <w:rStyle w:val="None"/>
          <w:rFonts w:ascii="Times New Roman" w:hAnsi="Times New Roman"/>
          <w:sz w:val="24"/>
          <w:szCs w:val="24"/>
          <w:rtl/>
          <w:lang w:val="ar-SA"/>
        </w:rPr>
        <w:t>(2018).</w:t>
      </w:r>
    </w:p>
    <w:p w14:paraId="5E6CA80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172-228.</w:t>
      </w:r>
    </w:p>
    <w:p w14:paraId="0977E54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57A36D2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 بن نافلة، النشر الإلكتروني وأهميته في تحقيق البحوث العلمية والتعليمية، مجلة أدبيات،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39EFF8E"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BEBFA0" w14:textId="77777777" w:rsidR="00454428" w:rsidRDefault="00000000" w:rsidP="00C72BA8">
      <w:pPr>
        <w:pStyle w:val="a4"/>
        <w:jc w:val="left"/>
        <w:rPr>
          <w:rStyle w:val="None"/>
          <w:lang w:val="ar-SA"/>
        </w:rPr>
      </w:pPr>
      <w:bookmarkStart w:id="247" w:name="_Toc227251144"/>
      <w:bookmarkStart w:id="248" w:name="_Toc227251472"/>
      <w:r>
        <w:rPr>
          <w:rStyle w:val="None"/>
          <w:rFonts w:ascii="Arial Unicode MS" w:eastAsia="Arial Unicode MS" w:hAnsi="Arial Unicode MS" w:hint="cs"/>
          <w:rtl/>
          <w:lang w:val="ar-SA"/>
        </w:rPr>
        <w:t>ثانيًا</w:t>
      </w:r>
      <w:r>
        <w:rPr>
          <w:rStyle w:val="None"/>
          <w:rtl/>
          <w:lang w:val="ar-SA"/>
        </w:rPr>
        <w:t xml:space="preserve">: </w:t>
      </w:r>
      <w:r>
        <w:rPr>
          <w:rStyle w:val="None"/>
          <w:rFonts w:ascii="Arial Unicode MS" w:eastAsia="Arial Unicode MS" w:hAnsi="Arial Unicode MS" w:hint="cs"/>
          <w:rtl/>
          <w:lang w:val="ar-SA"/>
        </w:rPr>
        <w:t>المراجع الأجنبية</w:t>
      </w:r>
      <w:r>
        <w:rPr>
          <w:rStyle w:val="None"/>
          <w:rtl/>
          <w:lang w:val="ar-SA"/>
        </w:rPr>
        <w:t>.</w:t>
      </w:r>
      <w:bookmarkEnd w:id="247"/>
      <w:bookmarkEnd w:id="248"/>
    </w:p>
    <w:p w14:paraId="31CA638C"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AIPPI International. (2025). A Century of Excellence: The French Legacy in Global Intellectual Property. Retrieved from </w:t>
      </w:r>
      <w:hyperlink r:id="rId14" w:history="1">
        <w:r w:rsidR="00454428">
          <w:rPr>
            <w:rStyle w:val="Hyperlink7"/>
            <w:rFonts w:eastAsia="Arial Unicode MS"/>
          </w:rPr>
          <w:t>https://www.aippi.org/news/a-century-of-excellence-the-french-legacy-in-global-intellectual-property/</w:t>
        </w:r>
      </w:hyperlink>
    </w:p>
    <w:p w14:paraId="3C59C67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Ajakaye, O., &amp; Lawal, A. (2025). Digital Justice and IP Protection: A Transatlantic Approach to Regulating NFTs, Blockchain and Copyright Infringement. Engineering and Technology Journal, 10(9). </w:t>
      </w:r>
    </w:p>
    <w:p w14:paraId="5B1F2CC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al Dajeh, B</w:t>
      </w:r>
      <w:r>
        <w:rPr>
          <w:rStyle w:val="None"/>
          <w:rFonts w:ascii="Times New Roman" w:hAnsi="Times New Roman"/>
          <w:sz w:val="24"/>
          <w:szCs w:val="24"/>
          <w:rtl/>
          <w:lang w:val="ar-SA"/>
        </w:rPr>
        <w:t>.</w:t>
      </w:r>
      <w:r>
        <w:rPr>
          <w:rStyle w:val="None"/>
          <w:rFonts w:ascii="Times New Roman" w:hAnsi="Times New Roman"/>
          <w:sz w:val="24"/>
          <w:szCs w:val="24"/>
        </w:rPr>
        <w:t>, Aloun, D</w:t>
      </w:r>
      <w:r>
        <w:rPr>
          <w:rStyle w:val="None"/>
          <w:rFonts w:ascii="Times New Roman" w:hAnsi="Times New Roman"/>
          <w:sz w:val="24"/>
          <w:szCs w:val="24"/>
          <w:rtl/>
          <w:lang w:val="ar-SA"/>
        </w:rPr>
        <w:t>.</w:t>
      </w:r>
      <w:r>
        <w:rPr>
          <w:rStyle w:val="None"/>
          <w:rFonts w:ascii="Times New Roman" w:hAnsi="Times New Roman"/>
          <w:sz w:val="24"/>
          <w:szCs w:val="24"/>
        </w:rPr>
        <w:t xml:space="preserve"> &amp; Manaseer, S. (2024). Protecting digital intellectual property. Zarqa University (Jordan).</w:t>
      </w:r>
    </w:p>
    <w:p w14:paraId="5604AF1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ALA. (2025). Digital Millennium Copyright Act. Retrieved from </w:t>
      </w:r>
      <w:hyperlink r:id="rId15" w:history="1">
        <w:r w:rsidR="00454428">
          <w:rPr>
            <w:rStyle w:val="Hyperlink7"/>
            <w:rFonts w:eastAsia="Arial Unicode MS"/>
          </w:rPr>
          <w:t>https://www.ala.org/advocacy/copyright/dmca?utm_source</w:t>
        </w:r>
      </w:hyperlink>
    </w:p>
    <w:p w14:paraId="0CBD1FE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Al-Musallamawi, F. A. R. A., &amp; Al-Dulaimi, M. M. K. A. Protecting Intellectual Property Rights in Civil Legislation: A Comparative Study Between French Civil Law and Iraqi Civil Law. 2024</w:t>
      </w:r>
      <w:r>
        <w:rPr>
          <w:rStyle w:val="None"/>
          <w:rFonts w:ascii="Times New Roman" w:hAnsi="Times New Roman"/>
          <w:color w:val="222222"/>
          <w:sz w:val="24"/>
          <w:szCs w:val="24"/>
          <w:u w:color="222222"/>
          <w:shd w:val="clear" w:color="auto" w:fill="FFFFFF"/>
          <w:rtl/>
          <w:lang w:val="ar-SA"/>
        </w:rPr>
        <w:t>.</w:t>
      </w:r>
    </w:p>
    <w:p w14:paraId="4E7DBD01"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(1), 13-22.</w:t>
      </w:r>
      <w:r>
        <w:rPr>
          <w:rStyle w:val="None"/>
          <w:rFonts w:ascii="Times New Roman" w:hAnsi="Times New Roman"/>
          <w:color w:val="222222"/>
          <w:sz w:val="24"/>
          <w:szCs w:val="24"/>
          <w:u w:color="222222"/>
          <w:shd w:val="clear" w:color="auto" w:fill="FFFFFF"/>
          <w:rtl/>
          <w:lang w:val="ar-SA"/>
        </w:rPr>
        <w:t xml:space="preserve"> </w:t>
      </w:r>
      <w:r>
        <w:rPr>
          <w:rStyle w:val="None"/>
          <w:rFonts w:ascii="Times New Roman" w:hAnsi="Times New Roman"/>
          <w:color w:val="222222"/>
          <w:sz w:val="24"/>
          <w:szCs w:val="24"/>
          <w:u w:color="222222"/>
          <w:shd w:val="clear" w:color="auto" w:fill="FFFFFF"/>
        </w:rPr>
        <w:t xml:space="preserve"> </w:t>
      </w:r>
    </w:p>
    <w:p w14:paraId="48C8B24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(1), 13-22. </w:t>
      </w:r>
    </w:p>
    <w:p w14:paraId="566BD1E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 xml:space="preserve">Balganesh, S. (Ed.). </w:t>
      </w:r>
      <w:r>
        <w:rPr>
          <w:rStyle w:val="None"/>
          <w:rFonts w:ascii="Times New Roman" w:hAnsi="Times New Roman"/>
          <w:i/>
          <w:iCs/>
          <w:color w:val="222222"/>
          <w:sz w:val="24"/>
          <w:szCs w:val="24"/>
          <w:u w:color="222222"/>
          <w:shd w:val="clear" w:color="auto" w:fill="FFFFFF"/>
        </w:rPr>
        <w:t>Intellectual property and the common law</w:t>
      </w:r>
      <w:r>
        <w:rPr>
          <w:rStyle w:val="None"/>
          <w:rFonts w:ascii="Times New Roman" w:hAnsi="Times New Roman"/>
          <w:color w:val="222222"/>
          <w:sz w:val="24"/>
          <w:szCs w:val="24"/>
          <w:u w:color="222222"/>
          <w:shd w:val="clear" w:color="auto" w:fill="FFFFFF"/>
        </w:rPr>
        <w:t xml:space="preserve">. Cambridge University Press. 2013, PP. </w:t>
      </w:r>
    </w:p>
    <w:p w14:paraId="0160D77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BENHAMOU, Yaniv. Compensation of Prejudice for Infringements of Intellectual Property Rights in France, under the Directive 2004/48/EC and Its Transposition Law: New Notions? International Review of Intellectual Property and Competition Law (IIC), 2009, no. 2</w:t>
      </w:r>
      <w:r>
        <w:rPr>
          <w:rStyle w:val="None"/>
          <w:rFonts w:ascii="Times New Roman" w:hAnsi="Times New Roman"/>
          <w:sz w:val="24"/>
          <w:szCs w:val="24"/>
          <w:rtl/>
          <w:lang w:val="ar-SA"/>
        </w:rPr>
        <w:t>.</w:t>
      </w:r>
    </w:p>
    <w:p w14:paraId="7B37122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lastRenderedPageBreak/>
        <w:t xml:space="preserve">Benvenuti, S., Macmillan, F., E &amp; Zolea, S. (2024). </w:t>
      </w:r>
      <w:r>
        <w:rPr>
          <w:rStyle w:val="None"/>
          <w:rFonts w:ascii="Times New Roman" w:hAnsi="Times New Roman"/>
          <w:i/>
          <w:iCs/>
          <w:sz w:val="24"/>
          <w:szCs w:val="24"/>
        </w:rPr>
        <w:t>INTELLECTUAL PROPERTY IN THE DIGITAL AGE</w:t>
      </w:r>
      <w:r>
        <w:rPr>
          <w:rStyle w:val="None"/>
          <w:rFonts w:ascii="Times New Roman" w:hAnsi="Times New Roman"/>
          <w:sz w:val="24"/>
          <w:szCs w:val="24"/>
        </w:rPr>
        <w:t>.</w:t>
      </w:r>
    </w:p>
    <w:p w14:paraId="0AC029C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sz w:val="24"/>
          <w:szCs w:val="24"/>
        </w:rPr>
      </w:pPr>
      <w:r>
        <w:rPr>
          <w:rStyle w:val="None"/>
          <w:rFonts w:ascii="Times New Roman" w:hAnsi="Times New Roman"/>
          <w:sz w:val="24"/>
          <w:szCs w:val="24"/>
        </w:rPr>
        <w:t>Boshkov, T. (2020). Intellectual property in digital environment.</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Paper presented at </w:t>
      </w:r>
      <w:r>
        <w:rPr>
          <w:rStyle w:val="None"/>
          <w:rFonts w:ascii="Times New Roman" w:hAnsi="Times New Roman"/>
          <w:i/>
          <w:iCs/>
          <w:sz w:val="24"/>
          <w:szCs w:val="24"/>
        </w:rPr>
        <w:t>Third International Scientific Conference CHALLENGES OF TOURISM AND BUSINESS LOGISTICS IN THE 21ST CENTURY »ISCTBL 2020</w:t>
      </w:r>
      <w:r>
        <w:rPr>
          <w:rStyle w:val="None"/>
          <w:rFonts w:ascii="Times New Roman" w:hAnsi="Times New Roman"/>
          <w:sz w:val="24"/>
          <w:szCs w:val="24"/>
          <w:rtl/>
          <w:lang w:val="ar-SA"/>
        </w:rPr>
        <w:t>.</w:t>
      </w:r>
    </w:p>
    <w:p w14:paraId="0910755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Bronzo, Nicolas. "Remedies for Intellectual property rights infringement in France and Europe: have we gone too far?" In </w:t>
      </w:r>
      <w:r>
        <w:rPr>
          <w:rStyle w:val="None"/>
          <w:rFonts w:ascii="Times New Roman" w:hAnsi="Times New Roman"/>
          <w:i/>
          <w:iCs/>
          <w:color w:val="222222"/>
          <w:sz w:val="24"/>
          <w:szCs w:val="24"/>
          <w:u w:color="222222"/>
          <w:shd w:val="clear" w:color="auto" w:fill="FFFFFF"/>
        </w:rPr>
        <w:t>Second Property Remedies Discussion Forum Aix-en-Provence</w:t>
      </w:r>
      <w:r>
        <w:rPr>
          <w:rStyle w:val="None"/>
          <w:rFonts w:ascii="Times New Roman" w:hAnsi="Times New Roman"/>
          <w:color w:val="222222"/>
          <w:sz w:val="24"/>
          <w:szCs w:val="24"/>
          <w:u w:color="222222"/>
          <w:shd w:val="clear" w:color="auto" w:fill="FFFFFF"/>
        </w:rPr>
        <w:t xml:space="preserve">. 2014. </w:t>
      </w:r>
    </w:p>
    <w:p w14:paraId="57734D19"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Bureau of Justice Assistance. (2025). Intellectual Property Enforcement Program. Retrieved from  </w:t>
      </w:r>
      <w:hyperlink r:id="rId16" w:history="1">
        <w:r w:rsidR="00454428">
          <w:rPr>
            <w:rStyle w:val="Hyperlink7"/>
            <w:rFonts w:eastAsia="Arial Unicode MS"/>
          </w:rPr>
          <w:t>https://bja.ojp.gov/program/intellectual-property-enforcement-program/overview?utm_</w:t>
        </w:r>
      </w:hyperlink>
      <w:r>
        <w:rPr>
          <w:rStyle w:val="None"/>
          <w:rFonts w:ascii="Times New Roman" w:hAnsi="Times New Roman"/>
          <w:sz w:val="24"/>
          <w:szCs w:val="24"/>
        </w:rPr>
        <w:t xml:space="preserve"> </w:t>
      </w:r>
    </w:p>
    <w:p w14:paraId="7D61898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Center for Strategic &amp; International Studies. (2025). </w:t>
      </w:r>
      <w:r>
        <w:rPr>
          <w:rStyle w:val="None"/>
          <w:rFonts w:ascii="Times New Roman" w:hAnsi="Times New Roman"/>
          <w:i/>
          <w:iCs/>
          <w:sz w:val="24"/>
          <w:szCs w:val="24"/>
        </w:rPr>
        <w:t>Intellectual Property Rights and the Future of U.S. Technological Leadership</w:t>
      </w:r>
      <w:r>
        <w:rPr>
          <w:rStyle w:val="None"/>
          <w:rFonts w:ascii="Times New Roman" w:hAnsi="Times New Roman"/>
          <w:sz w:val="24"/>
          <w:szCs w:val="24"/>
        </w:rPr>
        <w:t xml:space="preserve">. Retrieved from </w:t>
      </w:r>
      <w:hyperlink r:id="rId17" w:history="1">
        <w:r w:rsidR="00454428">
          <w:rPr>
            <w:rStyle w:val="Hyperlink7"/>
            <w:rFonts w:eastAsia="Arial Unicode MS"/>
          </w:rPr>
          <w:t>https://www.csis.org/analysis/intellectual-property-rights-and-future-us-technological-leadership</w:t>
        </w:r>
      </w:hyperlink>
    </w:p>
    <w:p w14:paraId="21E5EAE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Chang, H. J. (2001). Intellectual Property Rights and Economic Development: historical lessons and emerging issues. Third World Network, Malaysia. </w:t>
      </w:r>
    </w:p>
    <w:p w14:paraId="0C71076B"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Chen, L. The evolution of intellectual property protection in China. </w:t>
      </w:r>
      <w:r>
        <w:rPr>
          <w:rStyle w:val="None"/>
          <w:rFonts w:ascii="Times New Roman" w:hAnsi="Times New Roman"/>
          <w:i/>
          <w:iCs/>
          <w:color w:val="222222"/>
          <w:sz w:val="24"/>
          <w:szCs w:val="24"/>
          <w:u w:color="222222"/>
          <w:shd w:val="clear" w:color="auto" w:fill="FFFFFF"/>
        </w:rPr>
        <w:t>Ibusiness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Pr>
        <w:t>(01), 2015</w:t>
      </w:r>
      <w:r>
        <w:rPr>
          <w:rStyle w:val="None"/>
          <w:rFonts w:ascii="Times New Roman" w:hAnsi="Times New Roman"/>
          <w:color w:val="222222"/>
          <w:sz w:val="24"/>
          <w:szCs w:val="24"/>
          <w:u w:color="222222"/>
          <w:shd w:val="clear" w:color="auto" w:fill="FFFFFF"/>
          <w:rtl/>
          <w:lang w:val="ar-SA"/>
        </w:rPr>
        <w:t>.</w:t>
      </w:r>
    </w:p>
    <w:p w14:paraId="67365E7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CIO Hub. (2025). A Brief History: How Intellectual Property Protection Evolved Over Time. Retrieved from </w:t>
      </w:r>
      <w:hyperlink r:id="rId18" w:history="1">
        <w:r w:rsidR="00454428">
          <w:rPr>
            <w:rStyle w:val="Hyperlink7"/>
            <w:rFonts w:eastAsia="Arial Unicode MS"/>
          </w:rPr>
          <w:t>https://ciohub.org/post/2023/06/a-brief-history-how-intellectual-property-protection-evolved-over-time/?utm_source</w:t>
        </w:r>
      </w:hyperlink>
    </w:p>
    <w:p w14:paraId="2BD42B0B"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Communications of the ACM. (2025). </w:t>
      </w:r>
      <w:r>
        <w:rPr>
          <w:rStyle w:val="None"/>
          <w:rFonts w:ascii="Times New Roman" w:hAnsi="Times New Roman"/>
          <w:i/>
          <w:iCs/>
          <w:sz w:val="24"/>
          <w:szCs w:val="24"/>
        </w:rPr>
        <w:t>Statutory Damages As a Threat to Innovation</w:t>
      </w:r>
      <w:r>
        <w:rPr>
          <w:rStyle w:val="None"/>
          <w:rFonts w:ascii="Times New Roman" w:hAnsi="Times New Roman"/>
          <w:sz w:val="24"/>
          <w:szCs w:val="24"/>
        </w:rPr>
        <w:t xml:space="preserve">. Retrieved from </w:t>
      </w:r>
      <w:hyperlink r:id="rId19" w:history="1">
        <w:r w:rsidR="00454428">
          <w:rPr>
            <w:rStyle w:val="Hyperlink7"/>
            <w:rFonts w:eastAsia="Arial Unicode MS"/>
          </w:rPr>
          <w:t>https://cacm.acm.org/opinion/statutory-damages-as-a-threat-to-innovation/?utm_source</w:t>
        </w:r>
      </w:hyperlink>
      <w:r>
        <w:rPr>
          <w:rStyle w:val="None"/>
          <w:rFonts w:ascii="Times New Roman" w:hAnsi="Times New Roman"/>
          <w:sz w:val="24"/>
          <w:szCs w:val="24"/>
        </w:rPr>
        <w:t xml:space="preserve"> </w:t>
      </w:r>
    </w:p>
    <w:p w14:paraId="058416F9"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 xml:space="preserve">Congress. Gov. (2025). Intellectual Property Law: A Brief Introduction. Retrieved from </w:t>
      </w:r>
      <w:hyperlink r:id="rId20" w:history="1">
        <w:r w:rsidR="00454428">
          <w:rPr>
            <w:rStyle w:val="Hyperlink8"/>
            <w:rFonts w:eastAsia="Arial Unicode MS"/>
          </w:rPr>
          <w:t>https://www.congress.gov/crs-product/IF10986</w:t>
        </w:r>
      </w:hyperlink>
    </w:p>
    <w:p w14:paraId="3771F6F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congress.gov. (2025). Intellectual Property Rights (IPR) and U.S. Trade Policy. Retrieved from </w:t>
      </w:r>
      <w:hyperlink r:id="rId21" w:history="1">
        <w:r w:rsidR="00454428">
          <w:rPr>
            <w:rStyle w:val="Hyperlink7"/>
            <w:rFonts w:eastAsia="Arial Unicode MS"/>
          </w:rPr>
          <w:t>https://www.congress.gov/crs-product/IF10033</w:t>
        </w:r>
      </w:hyperlink>
    </w:p>
    <w:p w14:paraId="2A1D5261"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Cooper, J. M. (2022). Intellectual property piracy in the time of the metaverse. IDEA, 63. Available at: </w:t>
      </w:r>
      <w:hyperlink r:id="rId22" w:history="1">
        <w:r w:rsidR="00454428">
          <w:rPr>
            <w:rStyle w:val="Hyperlink9"/>
          </w:rPr>
          <w:t>https://scholarlycommons.law.cwsl.edu/fs/422</w:t>
        </w:r>
      </w:hyperlink>
      <w:r>
        <w:rPr>
          <w:rStyle w:val="None"/>
          <w:rFonts w:ascii="Times New Roman" w:hAnsi="Times New Roman"/>
          <w:i/>
          <w:iCs/>
          <w:color w:val="222222"/>
          <w:sz w:val="24"/>
          <w:szCs w:val="24"/>
          <w:u w:color="222222"/>
          <w:shd w:val="clear" w:color="auto" w:fill="FFFFFF"/>
        </w:rPr>
        <w:t xml:space="preserve">. </w:t>
      </w:r>
    </w:p>
    <w:p w14:paraId="41EE207D"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Copyright Alliance. (2025). </w:t>
      </w:r>
      <w:r>
        <w:rPr>
          <w:rStyle w:val="None"/>
          <w:rFonts w:ascii="Times New Roman" w:hAnsi="Times New Roman"/>
          <w:i/>
          <w:iCs/>
          <w:sz w:val="24"/>
          <w:szCs w:val="24"/>
        </w:rPr>
        <w:t>Copyright Statutory Damages.</w:t>
      </w:r>
      <w:r>
        <w:rPr>
          <w:rStyle w:val="None"/>
          <w:rFonts w:ascii="Times New Roman" w:hAnsi="Times New Roman"/>
          <w:sz w:val="24"/>
          <w:szCs w:val="24"/>
        </w:rPr>
        <w:t xml:space="preserve"> Retrieved from </w:t>
      </w:r>
      <w:hyperlink r:id="rId23" w:history="1">
        <w:r w:rsidR="00454428">
          <w:rPr>
            <w:rStyle w:val="Hyperlink7"/>
            <w:rFonts w:eastAsia="Arial Unicode MS"/>
          </w:rPr>
          <w:t>https://copyrightalliance.org/education/copyright-law-explained/copyright-infringement/copyright-statutory-damages/?utm_source</w:t>
        </w:r>
      </w:hyperlink>
    </w:p>
    <w:p w14:paraId="67613FA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copyright.gov. (2025). The Digital Millennium Copyright Act. Retrieved from </w:t>
      </w:r>
      <w:hyperlink r:id="rId24" w:history="1">
        <w:r w:rsidR="00454428">
          <w:rPr>
            <w:rStyle w:val="Hyperlink7"/>
            <w:rFonts w:eastAsia="Arial Unicode MS"/>
          </w:rPr>
          <w:t>https://www.copyright.gov/dmca/</w:t>
        </w:r>
      </w:hyperlink>
    </w:p>
    <w:p w14:paraId="18D437F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Crestpoint University. (2025). History and Sources of Intellectual Property Law. Law shelf educational media. Retrieved from </w:t>
      </w:r>
      <w:hyperlink r:id="rId25" w:history="1">
        <w:r w:rsidR="00454428">
          <w:rPr>
            <w:rStyle w:val="Hyperlink7"/>
            <w:rFonts w:eastAsia="Arial Unicode MS"/>
          </w:rPr>
          <w:t>https://www.lawshelf.com/coursewarecontentview/history-and-sources-of-intellectual-property-law</w:t>
        </w:r>
      </w:hyperlink>
    </w:p>
    <w:p w14:paraId="20731AE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t xml:space="preserve">Dalloz.fr. (2025). Code de la propriété intellectuelle. </w:t>
      </w:r>
      <w:r>
        <w:rPr>
          <w:rStyle w:val="None"/>
          <w:rFonts w:ascii="Times New Roman" w:hAnsi="Times New Roman"/>
          <w:sz w:val="24"/>
          <w:szCs w:val="24"/>
        </w:rPr>
        <w:t xml:space="preserve">Retrieved from </w:t>
      </w:r>
      <w:hyperlink r:id="rId26" w:history="1">
        <w:r w:rsidR="00454428">
          <w:rPr>
            <w:rStyle w:val="Hyperlink7"/>
            <w:rFonts w:eastAsia="Arial Unicode MS"/>
          </w:rPr>
          <w:t>https://www.dalloz.fr/documentation/Document?id=CODE_CPPI_ARTI_L331-1-3&amp;scrll=CPPI008882&amp;FromId=CODES_SECS_CPPI_TALPHA</w:t>
        </w:r>
      </w:hyperlink>
    </w:p>
    <w:p w14:paraId="7ADCD20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Danis, 2022. </w:t>
      </w:r>
      <w:r>
        <w:rPr>
          <w:rStyle w:val="None"/>
          <w:rFonts w:ascii="Times New Roman" w:hAnsi="Times New Roman"/>
          <w:i/>
          <w:iCs/>
          <w:sz w:val="24"/>
          <w:szCs w:val="24"/>
        </w:rPr>
        <w:t>Trade secrets better protected by French law and by the courts</w:t>
      </w:r>
      <w:r>
        <w:rPr>
          <w:rStyle w:val="None"/>
          <w:rFonts w:ascii="Times New Roman" w:hAnsi="Times New Roman"/>
          <w:sz w:val="24"/>
          <w:szCs w:val="24"/>
        </w:rPr>
        <w:t xml:space="preserve">. </w:t>
      </w:r>
      <w:hyperlink r:id="rId27" w:history="1">
        <w:r w:rsidR="00454428">
          <w:rPr>
            <w:rStyle w:val="Hyperlink7"/>
            <w:rFonts w:eastAsia="Arial Unicode MS"/>
          </w:rPr>
          <w:t>https://www.august-debouzy.com/en/blog/1258-trade-secrets-better-protected-by-french-law-and-by-the-courts</w:t>
        </w:r>
      </w:hyperlink>
    </w:p>
    <w:p w14:paraId="0472783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De Beer (J.), Gold (E. R.), "International Trade, Intellectual Property, and Innovation Policy: Lessons from a Pandemic", in Vulnerable: The Policy, Law and Ethics of COVID-19, University of Ottawa Press, janvier 2020. </w:t>
      </w:r>
      <w:hyperlink r:id="rId28" w:history="1">
        <w:r w:rsidR="00454428">
          <w:rPr>
            <w:rStyle w:val="Hyperlink7"/>
            <w:rFonts w:eastAsia="Arial Unicode MS"/>
          </w:rPr>
          <w:t>https://2u.pw/g1P5N</w:t>
        </w:r>
      </w:hyperlink>
    </w:p>
    <w:p w14:paraId="367B954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Di Palma, J. (2013). The digital millenium copyright act and the clash between authors and innovators: the need for a legislative amendment to the safe harbor provisions.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47</w:t>
      </w:r>
      <w:r>
        <w:rPr>
          <w:rStyle w:val="None"/>
          <w:rFonts w:ascii="Times New Roman" w:hAnsi="Times New Roman"/>
          <w:color w:val="222222"/>
          <w:sz w:val="24"/>
          <w:szCs w:val="24"/>
          <w:u w:color="222222"/>
          <w:shd w:val="clear" w:color="auto" w:fill="FFFFFF"/>
          <w:rtl/>
          <w:lang w:val="ar-SA"/>
        </w:rPr>
        <w:t>.</w:t>
      </w:r>
    </w:p>
    <w:p w14:paraId="3E1990F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Dreyfus. (2025). </w:t>
      </w:r>
      <w:r>
        <w:rPr>
          <w:rStyle w:val="None"/>
          <w:rFonts w:ascii="Times New Roman" w:hAnsi="Times New Roman"/>
          <w:i/>
          <w:iCs/>
          <w:sz w:val="24"/>
          <w:szCs w:val="24"/>
        </w:rPr>
        <w:t>The French Intellectual Property Legal Framework: A Comprehensive Overview</w:t>
      </w:r>
      <w:r>
        <w:rPr>
          <w:rStyle w:val="None"/>
          <w:rFonts w:ascii="Times New Roman" w:hAnsi="Times New Roman"/>
          <w:sz w:val="24"/>
          <w:szCs w:val="24"/>
        </w:rPr>
        <w:t xml:space="preserve">. Retrieved from </w:t>
      </w:r>
      <w:hyperlink r:id="rId29" w:history="1">
        <w:r w:rsidR="00454428">
          <w:rPr>
            <w:rStyle w:val="Hyperlink7"/>
            <w:rFonts w:eastAsia="Arial Unicode MS"/>
          </w:rPr>
          <w:t>https://www.dreyfus.fr/en/2024/10/21/frances-ip-legislation-mastering-trademarks-in-a-global-playground/</w:t>
        </w:r>
      </w:hyperlink>
    </w:p>
    <w:p w14:paraId="75DB2FF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Dreyfus. </w:t>
      </w:r>
      <w:r>
        <w:rPr>
          <w:rStyle w:val="None"/>
          <w:rFonts w:ascii="Times New Roman" w:hAnsi="Times New Roman"/>
          <w:i/>
          <w:iCs/>
          <w:sz w:val="24"/>
          <w:szCs w:val="24"/>
        </w:rPr>
        <w:t>France’s IP Legislation: Mastering Trademarks in a Global Playground</w:t>
      </w:r>
      <w:r>
        <w:rPr>
          <w:rStyle w:val="None"/>
          <w:rFonts w:ascii="Times New Roman" w:hAnsi="Times New Roman"/>
          <w:sz w:val="24"/>
          <w:szCs w:val="24"/>
        </w:rPr>
        <w:t xml:space="preserve">. 2024, Retrieved from  </w:t>
      </w:r>
      <w:hyperlink r:id="rId30" w:history="1">
        <w:r w:rsidR="00454428">
          <w:rPr>
            <w:rStyle w:val="Hyperlink7"/>
            <w:rFonts w:eastAsia="Arial Unicode MS"/>
          </w:rPr>
          <w:t>https://www.dreyfus.fr/en/2024/10/21/frances-ip-legislation-mastering-trademarks-in-a-global-playground/</w:t>
        </w:r>
      </w:hyperlink>
    </w:p>
    <w:p w14:paraId="74CC079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Fisher, W.W. (2025, July 26). intellectual-property law. </w:t>
      </w:r>
      <w:r w:rsidRPr="00FF4D9D">
        <w:rPr>
          <w:rStyle w:val="None"/>
          <w:rFonts w:ascii="Times New Roman" w:hAnsi="Times New Roman"/>
          <w:sz w:val="24"/>
          <w:szCs w:val="24"/>
          <w:lang w:val="it-IT"/>
        </w:rPr>
        <w:t xml:space="preserve">Encyclopedia Britannica. </w:t>
      </w:r>
      <w:hyperlink r:id="rId31" w:history="1">
        <w:r w:rsidR="00454428" w:rsidRPr="00FF4D9D">
          <w:rPr>
            <w:rStyle w:val="Hyperlink7"/>
            <w:rFonts w:eastAsia="Arial Unicode MS"/>
            <w:lang w:val="it-IT"/>
          </w:rPr>
          <w:t>https://www.britannica.com/topic/intellectual-property-law</w:t>
        </w:r>
      </w:hyperlink>
    </w:p>
    <w:p w14:paraId="524B5B0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french-business-law. (2025). French Intellectual Property Code. Retrieved from </w:t>
      </w:r>
      <w:hyperlink r:id="rId32" w:history="1">
        <w:r w:rsidR="00454428">
          <w:rPr>
            <w:rStyle w:val="Hyperlink7"/>
            <w:rFonts w:eastAsia="Arial Unicode MS"/>
          </w:rPr>
          <w:t>https://french-business-law.com/french-legislation/legitext000006069414-french-intellectual-property-code/page/3/</w:t>
        </w:r>
      </w:hyperlink>
    </w:p>
    <w:p w14:paraId="2FEF360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Galvez-Behar, G. (2019). The patent system during the French industrial revolution: Institutional change and economic effects. </w:t>
      </w:r>
      <w:r>
        <w:rPr>
          <w:rStyle w:val="None"/>
          <w:rFonts w:ascii="Times New Roman" w:hAnsi="Times New Roman"/>
          <w:i/>
          <w:iCs/>
          <w:color w:val="222222"/>
          <w:sz w:val="24"/>
          <w:szCs w:val="24"/>
          <w:u w:color="222222"/>
          <w:shd w:val="clear" w:color="auto" w:fill="FFFFFF"/>
        </w:rPr>
        <w:t>Jahrbuch für Wirtschaftsgeschichte/Economic History Yearbook</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60</w:t>
      </w:r>
      <w:r>
        <w:rPr>
          <w:rStyle w:val="None"/>
          <w:rFonts w:ascii="Times New Roman" w:hAnsi="Times New Roman"/>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tl/>
          <w:lang w:val="ar-SA"/>
        </w:rPr>
        <w:t>(</w:t>
      </w:r>
    </w:p>
    <w:p w14:paraId="06F80C9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Georgetown Law. (2025). Intellectual Property Law. Retrieved from  </w:t>
      </w:r>
      <w:hyperlink r:id="rId33" w:history="1">
        <w:r w:rsidR="00454428">
          <w:rPr>
            <w:rStyle w:val="Hyperlink7"/>
            <w:rFonts w:eastAsia="Arial Unicode MS"/>
          </w:rPr>
          <w:t>https://www.law.georgetown.edu/your-life-career/career-exploration-professional-development/for-jd-students/explore-legal-careers/practice-areas/intellectual-property-law/\</w:t>
        </w:r>
      </w:hyperlink>
    </w:p>
    <w:p w14:paraId="7507241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Gov, U. S. (1998). The Digital Millennium Copyright Act of 1998—US Copyright Office Summary. </w:t>
      </w:r>
      <w:r>
        <w:rPr>
          <w:rStyle w:val="None"/>
          <w:rFonts w:ascii="Times New Roman" w:hAnsi="Times New Roman"/>
          <w:i/>
          <w:iCs/>
          <w:color w:val="222222"/>
          <w:sz w:val="24"/>
          <w:szCs w:val="24"/>
          <w:u w:color="222222"/>
          <w:shd w:val="clear" w:color="auto" w:fill="FFFFFF"/>
        </w:rPr>
        <w:t>Dec</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 1-18. </w:t>
      </w:r>
    </w:p>
    <w:p w14:paraId="2DFF70A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34" w:history="1">
        <w:r w:rsidR="00454428">
          <w:rPr>
            <w:rStyle w:val="Hyperlink7"/>
            <w:rFonts w:eastAsia="Arial Unicode MS"/>
          </w:rPr>
          <w:t>https://cyber.harvard.edu/property00/alternatives/dmca.html?utm_source</w:t>
        </w:r>
      </w:hyperlink>
    </w:p>
    <w:p w14:paraId="3B916D4B"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Hassan, M. U. (2025). The Rise of Digital Piracy: Implications for Intellectual Property Rights, Economic Losses, and Global Legal Challenges. QIT Press - International Journal of Intellectual Property Rights Law (QITP-IJIPR), 5(2)</w:t>
      </w:r>
      <w:r>
        <w:rPr>
          <w:rStyle w:val="None"/>
          <w:rFonts w:ascii="Times New Roman" w:hAnsi="Times New Roman"/>
          <w:i/>
          <w:iCs/>
          <w:color w:val="222222"/>
          <w:sz w:val="24"/>
          <w:szCs w:val="24"/>
          <w:u w:color="222222"/>
          <w:shd w:val="clear" w:color="auto" w:fill="FFFFFF"/>
          <w:rtl/>
          <w:lang w:val="ar-SA"/>
        </w:rPr>
        <w:t>.</w:t>
      </w:r>
    </w:p>
    <w:p w14:paraId="551A99A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Helen Dods &amp; Emily Haves. World Intellectual Property Day 26 April 2018. House of Lords Library briefings. 2017</w:t>
      </w:r>
      <w:r>
        <w:rPr>
          <w:rStyle w:val="None"/>
          <w:rFonts w:ascii="Times New Roman" w:hAnsi="Times New Roman"/>
          <w:sz w:val="24"/>
          <w:szCs w:val="24"/>
          <w:rtl/>
          <w:lang w:val="ar-SA"/>
        </w:rPr>
        <w:t>.</w:t>
      </w:r>
    </w:p>
    <w:p w14:paraId="7886945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i/>
          <w:iCs/>
          <w:color w:val="222222"/>
          <w:sz w:val="24"/>
          <w:szCs w:val="24"/>
          <w:u w:color="222222"/>
          <w:shd w:val="clear" w:color="auto" w:fill="FFFFFF"/>
        </w:rPr>
        <w:t xml:space="preserve">HG. (2025). What Is Intellectual Property Law? Retrieved from </w:t>
      </w:r>
      <w:hyperlink r:id="rId35" w:history="1">
        <w:r w:rsidR="00454428">
          <w:rPr>
            <w:rStyle w:val="Hyperlink8"/>
            <w:rFonts w:eastAsia="Arial Unicode MS"/>
          </w:rPr>
          <w:t>https://www.hg.org/intell.html</w:t>
        </w:r>
      </w:hyperlink>
    </w:p>
    <w:p w14:paraId="5DF55ED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Hong, J., Edler, J., &amp; Massini, S. Evolution of the Chinese intellectual property rights system: IPR law revisions and enforcement.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2022, </w:t>
      </w:r>
      <w:r>
        <w:rPr>
          <w:rStyle w:val="None"/>
          <w:rFonts w:ascii="Times New Roman" w:hAnsi="Times New Roman"/>
          <w:i/>
          <w:iCs/>
          <w:color w:val="222222"/>
          <w:sz w:val="24"/>
          <w:szCs w:val="24"/>
          <w:u w:color="222222"/>
          <w:shd w:val="clear" w:color="auto" w:fill="FFFFFF"/>
        </w:rPr>
        <w:t>18</w:t>
      </w:r>
      <w:r>
        <w:rPr>
          <w:rStyle w:val="None"/>
          <w:rFonts w:ascii="Times New Roman" w:hAnsi="Times New Roman"/>
          <w:color w:val="222222"/>
          <w:sz w:val="24"/>
          <w:szCs w:val="24"/>
          <w:u w:color="222222"/>
          <w:shd w:val="clear" w:color="auto" w:fill="FFFFFF"/>
        </w:rPr>
        <w:t>(4)</w:t>
      </w:r>
      <w:r>
        <w:rPr>
          <w:rStyle w:val="None"/>
          <w:rFonts w:ascii="Times New Roman" w:hAnsi="Times New Roman"/>
          <w:color w:val="222222"/>
          <w:sz w:val="24"/>
          <w:szCs w:val="24"/>
          <w:u w:color="222222"/>
          <w:shd w:val="clear" w:color="auto" w:fill="FFFFFF"/>
          <w:rtl/>
          <w:lang w:val="ar-SA"/>
        </w:rPr>
        <w:t>.</w:t>
      </w:r>
    </w:p>
    <w:p w14:paraId="29442F6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Hubanov, O., Hubanova, T., Kotliarevska, H., Vikhliaiev, M., Donenko, V., &amp; Lepekh, Y. (2021). International legal regulation of copyright and related rights protection in the digital environment. </w:t>
      </w:r>
      <w:r>
        <w:rPr>
          <w:rStyle w:val="None"/>
          <w:rFonts w:ascii="Times New Roman" w:hAnsi="Times New Roman"/>
          <w:i/>
          <w:iCs/>
          <w:color w:val="222222"/>
          <w:sz w:val="24"/>
          <w:szCs w:val="24"/>
          <w:u w:color="222222"/>
          <w:shd w:val="clear" w:color="auto" w:fill="FFFFFF"/>
        </w:rPr>
        <w:t>Studies of Applied Economics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39</w:t>
      </w:r>
      <w:r>
        <w:rPr>
          <w:rStyle w:val="None"/>
          <w:rFonts w:ascii="Times New Roman" w:hAnsi="Times New Roman"/>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tl/>
          <w:lang w:val="ar-SA"/>
        </w:rPr>
        <w:t>.</w:t>
      </w:r>
    </w:p>
    <w:p w14:paraId="37DB5F5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IPLAC. (2025). </w:t>
      </w:r>
      <w:r>
        <w:rPr>
          <w:rStyle w:val="None"/>
          <w:rFonts w:ascii="Times New Roman" w:hAnsi="Times New Roman"/>
          <w:i/>
          <w:iCs/>
          <w:sz w:val="24"/>
          <w:szCs w:val="24"/>
        </w:rPr>
        <w:t>Intellectual Property Timeline</w:t>
      </w:r>
      <w:r>
        <w:rPr>
          <w:rStyle w:val="None"/>
          <w:rFonts w:ascii="Times New Roman" w:hAnsi="Times New Roman"/>
          <w:sz w:val="24"/>
          <w:szCs w:val="24"/>
        </w:rPr>
        <w:t xml:space="preserve">. Retrieved from </w:t>
      </w:r>
      <w:hyperlink r:id="rId36" w:history="1">
        <w:r w:rsidR="00454428">
          <w:rPr>
            <w:rStyle w:val="Hyperlink7"/>
            <w:rFonts w:eastAsia="Arial Unicode MS"/>
          </w:rPr>
          <w:t>https://iplac.org/about/history/intellectual-property-timeline/</w:t>
        </w:r>
      </w:hyperlink>
    </w:p>
    <w:p w14:paraId="75E4FC5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 (2025). Intellectual Property Rights in the USA. Intellectual Property Office. </w:t>
      </w:r>
      <w:hyperlink r:id="rId37" w:history="1">
        <w:r w:rsidR="00454428">
          <w:rPr>
            <w:rStyle w:val="Hyperlink7"/>
            <w:rFonts w:eastAsia="Arial Unicode MS"/>
          </w:rPr>
          <w:t>https://assets.publishing.service.gov.uk/media/5a80bf68e5274a2e87dbb972/IP_rights_in_USA.pdf</w:t>
        </w:r>
      </w:hyperlink>
      <w:r>
        <w:rPr>
          <w:rStyle w:val="None"/>
          <w:rFonts w:ascii="Times New Roman" w:hAnsi="Times New Roman"/>
          <w:sz w:val="24"/>
          <w:szCs w:val="24"/>
        </w:rPr>
        <w:t xml:space="preserve">  </w:t>
      </w:r>
    </w:p>
    <w:p w14:paraId="6CB1AC3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IPOI. (2025). </w:t>
      </w:r>
      <w:r>
        <w:rPr>
          <w:rStyle w:val="None"/>
          <w:rFonts w:ascii="Times New Roman" w:hAnsi="Times New Roman"/>
          <w:i/>
          <w:iCs/>
          <w:sz w:val="24"/>
          <w:szCs w:val="24"/>
        </w:rPr>
        <w:t>What is intellectual property?</w:t>
      </w:r>
      <w:r>
        <w:rPr>
          <w:rStyle w:val="None"/>
          <w:rFonts w:ascii="Times New Roman" w:hAnsi="Times New Roman"/>
          <w:sz w:val="24"/>
          <w:szCs w:val="24"/>
        </w:rPr>
        <w:t xml:space="preserve"> Intellectual Property Office of Ireland, Government Offices, Hebron Road, Kilkenny, Ireland. Retrieved from </w:t>
      </w:r>
      <w:hyperlink r:id="rId38" w:history="1">
        <w:r w:rsidR="00454428">
          <w:rPr>
            <w:rStyle w:val="Hyperlink7"/>
            <w:rFonts w:eastAsia="Arial Unicode MS"/>
          </w:rPr>
          <w:t>https://www.ipoi.gov.ie/en/commercialise-your-ip/using-ip-to-grow-your-business/what-is-intellectual-property-/</w:t>
        </w:r>
      </w:hyperlink>
    </w:p>
    <w:p w14:paraId="7728713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Irrational (2025). The No Electronic Theft ("NET") ActSummary of Changes to the Criminal Copyright and Trademark Laws. Retrieved from </w:t>
      </w:r>
      <w:hyperlink r:id="rId39" w:history="1">
        <w:r w:rsidR="00454428">
          <w:rPr>
            <w:rStyle w:val="Hyperlink7"/>
            <w:rFonts w:eastAsia="Arial Unicode MS"/>
          </w:rPr>
          <w:t>https://www.irational.org/APD/CCIPS/netsum.htm?utm_source</w:t>
        </w:r>
      </w:hyperlink>
    </w:p>
    <w:p w14:paraId="658BACC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ITALIAN COPYRIGHT STATUTE. Law for the Protection of Copyright and Neighbouring Rights (Law No. 633 of April 22, 1941, as last amended by Legislative Decree No. 68, of April 9, 2003). </w:t>
      </w:r>
    </w:p>
    <w:p w14:paraId="3A706D3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Joyce, C. (2020). Intellectual Property: United States Law. University of Houston Law Center Institute for Intellectual Property &amp; Information Law. </w:t>
      </w:r>
    </w:p>
    <w:p w14:paraId="061ABAC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Justice.Pappers. (2025). Article L331-1-3 du Code de la propriété intellectuelle. </w:t>
      </w:r>
      <w:r>
        <w:rPr>
          <w:rStyle w:val="None"/>
          <w:rFonts w:ascii="Times New Roman" w:hAnsi="Times New Roman"/>
          <w:sz w:val="24"/>
          <w:szCs w:val="24"/>
        </w:rPr>
        <w:t xml:space="preserve">Retrieved from </w:t>
      </w:r>
      <w:hyperlink r:id="rId40" w:history="1">
        <w:r w:rsidR="00454428">
          <w:rPr>
            <w:rStyle w:val="Hyperlink7"/>
            <w:rFonts w:eastAsia="Arial Unicode MS"/>
          </w:rPr>
          <w:t>https://justice.pappers.fr/loi/LEGITEXT000006069414/article/LEGIARTI000028716676?utm_source</w:t>
        </w:r>
      </w:hyperlink>
    </w:p>
    <w:p w14:paraId="4A7C88C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Kharchenko, O., Kronda, O., Kryvosheyina, I., &amp; Zerov, K. (2021). Protection of intellectual property rights on the Internet: New challenges. </w:t>
      </w:r>
      <w:r>
        <w:rPr>
          <w:rStyle w:val="None"/>
          <w:rFonts w:ascii="Times New Roman" w:hAnsi="Times New Roman"/>
          <w:i/>
          <w:iCs/>
          <w:color w:val="222222"/>
          <w:sz w:val="24"/>
          <w:szCs w:val="24"/>
          <w:u w:color="222222"/>
          <w:shd w:val="clear" w:color="auto" w:fill="FFFFFF"/>
        </w:rPr>
        <w:t>Amazonia Investiga</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10</w:t>
      </w:r>
      <w:r>
        <w:rPr>
          <w:rStyle w:val="None"/>
          <w:rFonts w:ascii="Times New Roman" w:hAnsi="Times New Roman"/>
          <w:color w:val="222222"/>
          <w:sz w:val="24"/>
          <w:szCs w:val="24"/>
          <w:u w:color="222222"/>
          <w:shd w:val="clear" w:color="auto" w:fill="FFFFFF"/>
        </w:rPr>
        <w:t xml:space="preserve">(41), 224-236. </w:t>
      </w:r>
    </w:p>
    <w:p w14:paraId="26976F3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Kmetyk, K., &amp; Beluga, Y. TYPES OF INTELLECTUAL PROPERTY RIGHTS IN THE UNITED KINGDOM. </w:t>
      </w:r>
      <w:r>
        <w:rPr>
          <w:rStyle w:val="None"/>
          <w:rFonts w:ascii="Times New Roman" w:hAnsi="Times New Roman"/>
          <w:i/>
          <w:iCs/>
          <w:color w:val="222222"/>
          <w:sz w:val="24"/>
          <w:szCs w:val="24"/>
          <w:u w:color="222222"/>
          <w:shd w:val="clear" w:color="auto" w:fill="FFFFFF"/>
        </w:rPr>
        <w:t>Scientific works of National Aviation University. Series: Law Journal" Air and Space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(62)</w:t>
      </w:r>
      <w:r>
        <w:rPr>
          <w:rStyle w:val="None"/>
          <w:rFonts w:ascii="Times New Roman" w:hAnsi="Times New Roman"/>
          <w:color w:val="222222"/>
          <w:sz w:val="24"/>
          <w:szCs w:val="24"/>
          <w:u w:color="222222"/>
          <w:shd w:val="clear" w:color="auto" w:fill="FFFFFF"/>
          <w:rtl/>
          <w:lang w:val="ar-SA"/>
        </w:rPr>
        <w:t>.</w:t>
      </w:r>
    </w:p>
    <w:p w14:paraId="1A926AAC"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Laurence R. Hefter </w:t>
      </w:r>
      <w:r>
        <w:rPr>
          <w:rStyle w:val="None"/>
          <w:rFonts w:ascii="Times New Roman" w:hAnsi="Times New Roman"/>
          <w:sz w:val="24"/>
          <w:szCs w:val="24"/>
          <w:rtl/>
          <w:lang w:val="ar-SA"/>
        </w:rPr>
        <w:t>&amp;</w:t>
      </w:r>
      <w:r>
        <w:rPr>
          <w:rStyle w:val="None"/>
          <w:rFonts w:ascii="Times New Roman" w:hAnsi="Times New Roman"/>
          <w:sz w:val="24"/>
          <w:szCs w:val="24"/>
        </w:rPr>
        <w:t xml:space="preserve"> Robert D. Litowitz. (2025). PROTECTING INTELLECTUAL PROPERTY. Retrieved from </w:t>
      </w:r>
      <w:hyperlink r:id="rId41" w:history="1">
        <w:r w:rsidR="00454428">
          <w:rPr>
            <w:rStyle w:val="Hyperlink10"/>
            <w:rFonts w:eastAsia="Arial Unicode MS"/>
          </w:rPr>
          <w:t>https://usinfo.org/trade/bg9515e.htm</w:t>
        </w:r>
      </w:hyperlink>
    </w:p>
    <w:p w14:paraId="7E130C3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Lawjournalnewsletter. (2025). No Electronic Theft Act Is A Partial Success. Retrieved from </w:t>
      </w:r>
      <w:hyperlink r:id="rId42" w:history="1">
        <w:r w:rsidR="00454428">
          <w:rPr>
            <w:rStyle w:val="Hyperlink7"/>
            <w:rFonts w:eastAsia="Arial Unicode MS"/>
          </w:rPr>
          <w:t>https://www.lawjournalnewsletters.com/2003/08/22/no-electronic-theft-act-is-a-partial-success/?utm_source=</w:t>
        </w:r>
      </w:hyperlink>
    </w:p>
    <w:p w14:paraId="3BC8A1F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lawyersitaly.eu. </w:t>
      </w:r>
      <w:r>
        <w:rPr>
          <w:rStyle w:val="None"/>
          <w:rFonts w:ascii="Times New Roman" w:hAnsi="Times New Roman"/>
          <w:i/>
          <w:iCs/>
          <w:sz w:val="24"/>
          <w:szCs w:val="24"/>
        </w:rPr>
        <w:t>Intellectual Property in Italy</w:t>
      </w:r>
      <w:r>
        <w:rPr>
          <w:rStyle w:val="None"/>
          <w:rFonts w:ascii="Times New Roman" w:hAnsi="Times New Roman"/>
          <w:sz w:val="24"/>
          <w:szCs w:val="24"/>
        </w:rPr>
        <w:t xml:space="preserve">. 2025, Retrieved from </w:t>
      </w:r>
      <w:hyperlink r:id="rId43" w:history="1">
        <w:r w:rsidR="00454428">
          <w:rPr>
            <w:rStyle w:val="Hyperlink7"/>
            <w:rFonts w:eastAsia="Arial Unicode MS"/>
          </w:rPr>
          <w:t>https://lawyersitaly.eu/intellectual-property-in-italy/</w:t>
        </w:r>
      </w:hyperlink>
    </w:p>
    <w:p w14:paraId="1AFAC16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Legifrance. (2025). Article L716-14. Retrieved from </w:t>
      </w:r>
      <w:hyperlink r:id="rId44" w:history="1">
        <w:r w:rsidR="00454428">
          <w:rPr>
            <w:rStyle w:val="Hyperlink7"/>
            <w:rFonts w:eastAsia="Arial Unicode MS"/>
          </w:rPr>
          <w:t>https://www.legifrance.gouv.fr/codes/article_lc/LEGIARTI000028716663/2016-06-05</w:t>
        </w:r>
      </w:hyperlink>
    </w:p>
    <w:p w14:paraId="20D9334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Legifrance. (2025). Code de la propriété intellectuelle. </w:t>
      </w:r>
      <w:r>
        <w:rPr>
          <w:rStyle w:val="None"/>
          <w:rFonts w:ascii="Times New Roman" w:hAnsi="Times New Roman"/>
          <w:sz w:val="24"/>
          <w:szCs w:val="24"/>
        </w:rPr>
        <w:t xml:space="preserve">Retrieved from </w:t>
      </w:r>
      <w:hyperlink r:id="rId45" w:history="1">
        <w:r w:rsidR="00454428">
          <w:rPr>
            <w:rStyle w:val="Hyperlink7"/>
            <w:rFonts w:eastAsia="Arial Unicode MS"/>
          </w:rPr>
          <w:t>https://www.legifrance.gouv.fr/codes/article_lc/LEGIARTI000032655082</w:t>
        </w:r>
      </w:hyperlink>
    </w:p>
    <w:p w14:paraId="4790F57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shd w:val="clear" w:color="auto" w:fill="FFFFFF"/>
          <w:lang w:val="it-IT"/>
        </w:rPr>
        <w:t xml:space="preserve">legifrance. (2025). Code de la propriété intellectuelle.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46" w:history="1">
        <w:r w:rsidR="00454428">
          <w:rPr>
            <w:rStyle w:val="Hyperlink7"/>
            <w:rFonts w:eastAsia="Arial Unicode MS"/>
          </w:rPr>
          <w:t>https://www.legifrance.gouv.fr/codes/article_lc/LEGIARTI000006278891/</w:t>
        </w:r>
      </w:hyperlink>
    </w:p>
    <w:p w14:paraId="1F26E6A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t xml:space="preserve">legifrance.gouv. (2025). </w:t>
      </w:r>
      <w:r w:rsidRPr="00FF4D9D">
        <w:rPr>
          <w:rStyle w:val="None"/>
          <w:rFonts w:ascii="Times New Roman" w:hAnsi="Times New Roman"/>
          <w:i/>
          <w:iCs/>
          <w:sz w:val="24"/>
          <w:szCs w:val="24"/>
          <w:lang w:val="it-IT"/>
        </w:rPr>
        <w:t>Code de la propriété intellectuelle</w:t>
      </w:r>
      <w:r w:rsidRPr="00FF4D9D">
        <w:rPr>
          <w:rStyle w:val="None"/>
          <w:rFonts w:ascii="Times New Roman" w:hAnsi="Times New Roman"/>
          <w:sz w:val="24"/>
          <w:szCs w:val="24"/>
          <w:lang w:val="it-IT"/>
        </w:rPr>
        <w:t xml:space="preserve">. </w:t>
      </w:r>
      <w:r>
        <w:rPr>
          <w:rStyle w:val="None"/>
          <w:rFonts w:ascii="Times New Roman" w:hAnsi="Times New Roman"/>
          <w:sz w:val="24"/>
          <w:szCs w:val="24"/>
        </w:rPr>
        <w:t xml:space="preserve">Retrieved from </w:t>
      </w:r>
      <w:hyperlink r:id="rId47" w:history="1">
        <w:r w:rsidR="00454428">
          <w:rPr>
            <w:rStyle w:val="Hyperlink7"/>
            <w:rFonts w:eastAsia="Arial Unicode MS"/>
          </w:rPr>
          <w:t>https://www.legifrance.gouv.fr/codes/article_lc/LEGIARTI000006278958</w:t>
        </w:r>
      </w:hyperlink>
    </w:p>
    <w:p w14:paraId="326B3C2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Lemercier,</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L., Blanchet, T. &amp; Dundon, C. (2021). </w:t>
      </w:r>
      <w:r>
        <w:rPr>
          <w:rStyle w:val="None"/>
          <w:rFonts w:ascii="Times New Roman" w:hAnsi="Times New Roman"/>
          <w:i/>
          <w:iCs/>
          <w:sz w:val="24"/>
          <w:szCs w:val="24"/>
        </w:rPr>
        <w:t>Private Acquisitions: Intellectual Property Issues (France)</w:t>
      </w:r>
      <w:r>
        <w:rPr>
          <w:rStyle w:val="None"/>
          <w:rFonts w:ascii="Times New Roman" w:hAnsi="Times New Roman"/>
          <w:sz w:val="24"/>
          <w:szCs w:val="24"/>
        </w:rPr>
        <w:t xml:space="preserve">. Practical Law. Thomson Reuters. </w:t>
      </w:r>
    </w:p>
    <w:p w14:paraId="56EF99C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Licensing Executives Society. (2025). IP-Related Aspects Of The French Law On Modernization Of The Economy. Retrieved from </w:t>
      </w:r>
      <w:hyperlink r:id="rId48" w:history="1">
        <w:r w:rsidR="00454428">
          <w:rPr>
            <w:rStyle w:val="Hyperlink7"/>
            <w:rFonts w:eastAsia="Arial Unicode MS"/>
          </w:rPr>
          <w:t>https://lesi.org/ip-related-aspects-of-the-french-law-on-modernization-of-the-economy/</w:t>
        </w:r>
      </w:hyperlink>
    </w:p>
    <w:p w14:paraId="40EC546B"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Liemer, S. P. (2011). On the origins of Le Droit moral: how non-economic rights came to be protected in French IP law. </w:t>
      </w:r>
      <w:r>
        <w:rPr>
          <w:rStyle w:val="None"/>
          <w:rFonts w:ascii="Times New Roman" w:hAnsi="Times New Roman"/>
          <w:i/>
          <w:iCs/>
          <w:color w:val="222222"/>
          <w:sz w:val="24"/>
          <w:szCs w:val="24"/>
          <w:u w:color="222222"/>
          <w:shd w:val="clear" w:color="auto" w:fill="FFFFFF"/>
        </w:rPr>
        <w:t>J. Intell. Prop. L.</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19</w:t>
      </w:r>
      <w:r>
        <w:rPr>
          <w:rStyle w:val="None"/>
          <w:rFonts w:ascii="Times New Roman" w:hAnsi="Times New Roman"/>
          <w:color w:val="222222"/>
          <w:sz w:val="24"/>
          <w:szCs w:val="24"/>
          <w:u w:color="222222"/>
          <w:shd w:val="clear" w:color="auto" w:fill="FFFFFF"/>
        </w:rPr>
        <w:t>:65</w:t>
      </w:r>
      <w:r>
        <w:rPr>
          <w:rStyle w:val="None"/>
          <w:rFonts w:ascii="Times New Roman" w:hAnsi="Times New Roman"/>
          <w:color w:val="222222"/>
          <w:sz w:val="24"/>
          <w:szCs w:val="24"/>
          <w:u w:color="222222"/>
          <w:shd w:val="clear" w:color="auto" w:fill="FFFFFF"/>
          <w:rtl/>
          <w:lang w:val="ar-SA"/>
        </w:rPr>
        <w:t>.</w:t>
      </w:r>
    </w:p>
    <w:p w14:paraId="456F6BE1"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LII. (2025). </w:t>
      </w:r>
      <w:r>
        <w:rPr>
          <w:rStyle w:val="None"/>
          <w:rFonts w:ascii="Times New Roman" w:hAnsi="Times New Roman"/>
          <w:i/>
          <w:iCs/>
          <w:sz w:val="24"/>
          <w:szCs w:val="24"/>
        </w:rPr>
        <w:t>17 U.S. Code § 504 - Remedies for infringement: Damages and profits</w:t>
      </w:r>
      <w:r>
        <w:rPr>
          <w:rStyle w:val="None"/>
          <w:rFonts w:ascii="Times New Roman" w:hAnsi="Times New Roman"/>
          <w:sz w:val="24"/>
          <w:szCs w:val="24"/>
        </w:rPr>
        <w:t xml:space="preserve">. Retrieved from </w:t>
      </w:r>
      <w:hyperlink r:id="rId49" w:history="1">
        <w:r w:rsidR="00454428">
          <w:rPr>
            <w:rStyle w:val="Hyperlink7"/>
            <w:rFonts w:eastAsia="Arial Unicode MS"/>
          </w:rPr>
          <w:t>https://www.law.cornell.edu/uscode/text/17/504?utm_source</w:t>
        </w:r>
      </w:hyperlink>
    </w:p>
    <w:p w14:paraId="5E8A7CDD"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Limbong, A. H. (2025). ESPN's Broadcast Rights Protection in Intellectual Property Law Over World Cup Broadcast Piracy. Journal of Law, Politic and Humanities, 5(4), P. 3114.</w:t>
      </w:r>
    </w:p>
    <w:p w14:paraId="01E51A3B"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Lucchi (N.)</w:t>
      </w:r>
      <w:r>
        <w:rPr>
          <w:rStyle w:val="None"/>
          <w:rFonts w:ascii="Arial Unicode MS" w:hAnsi="Arial Unicode MS" w:cs="Times New Roman" w:hint="cs"/>
          <w:sz w:val="24"/>
          <w:szCs w:val="24"/>
          <w:rtl/>
          <w:lang w:val="ar-SA"/>
        </w:rPr>
        <w:t>،</w:t>
      </w:r>
      <w:r>
        <w:rPr>
          <w:rStyle w:val="None"/>
          <w:rFonts w:ascii="Times New Roman" w:hAnsi="Times New Roman"/>
          <w:sz w:val="24"/>
          <w:szCs w:val="24"/>
        </w:rPr>
        <w:t xml:space="preserve"> "Intellectual Property Rights in Digital Media: A Comparative Analysis of Legal Protection, Technological Measures, and New Business Models under EU and US Law", Buffalo Law Review, vol. 53, 2005</w:t>
      </w:r>
      <w:r>
        <w:rPr>
          <w:rStyle w:val="None"/>
          <w:rFonts w:ascii="Times New Roman" w:hAnsi="Times New Roman"/>
          <w:sz w:val="24"/>
          <w:szCs w:val="24"/>
          <w:rtl/>
          <w:lang w:val="ar-SA"/>
        </w:rPr>
        <w:t>.</w:t>
      </w:r>
    </w:p>
    <w:p w14:paraId="4D2C0B2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lastRenderedPageBreak/>
        <w:t>Mbah, G. O. (2024). US Intellectual Property Law and Its Impact on Business: Recent Developments and Trends. International Journal of Science and Research Archive, 13, 3279-3280.</w:t>
      </w:r>
    </w:p>
    <w:p w14:paraId="2DB46FC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Mbah, G. O. US Intellectual Property Law and its Impact on Business: Recent Developments and Trends. </w:t>
      </w:r>
      <w:r>
        <w:rPr>
          <w:rStyle w:val="None"/>
          <w:rFonts w:ascii="Times New Roman" w:hAnsi="Times New Roman"/>
          <w:i/>
          <w:iCs/>
          <w:color w:val="222222"/>
          <w:sz w:val="24"/>
          <w:szCs w:val="24"/>
          <w:u w:color="222222"/>
          <w:shd w:val="clear" w:color="auto" w:fill="FFFFFF"/>
        </w:rPr>
        <w:t>International Journal of science and Research Archive</w:t>
      </w:r>
      <w:r>
        <w:rPr>
          <w:rStyle w:val="None"/>
          <w:rFonts w:ascii="Times New Roman" w:hAnsi="Times New Roman"/>
          <w:color w:val="222222"/>
          <w:sz w:val="24"/>
          <w:szCs w:val="24"/>
          <w:u w:color="222222"/>
          <w:shd w:val="clear" w:color="auto" w:fill="FFFFFF"/>
        </w:rPr>
        <w:t>, 2024</w:t>
      </w:r>
      <w:r>
        <w:rPr>
          <w:rStyle w:val="None"/>
          <w:rFonts w:ascii="Times New Roman" w:hAnsi="Times New Roman"/>
          <w:color w:val="222222"/>
          <w:sz w:val="24"/>
          <w:szCs w:val="24"/>
          <w:u w:color="222222"/>
          <w:shd w:val="clear" w:color="auto" w:fill="FFFFFF"/>
          <w:rtl/>
          <w:lang w:val="ar-SA"/>
        </w:rPr>
        <w:t>.</w:t>
      </w:r>
    </w:p>
    <w:p w14:paraId="7E2FD30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Michael Dudzik (2022).  “Inventors and the French business environment (1791–1798)”, e-Phaïstos, Revue d’histoire des techniques / Journal of the history of technology</w:t>
      </w:r>
      <w:r>
        <w:rPr>
          <w:rStyle w:val="None"/>
          <w:rFonts w:ascii="Times New Roman" w:hAnsi="Times New Roman"/>
          <w:sz w:val="24"/>
          <w:szCs w:val="24"/>
          <w:rtl/>
          <w:lang w:val="ar-SA"/>
        </w:rPr>
        <w:t>.</w:t>
      </w:r>
      <w:r>
        <w:rPr>
          <w:rStyle w:val="None"/>
          <w:rFonts w:ascii="Times New Roman" w:hAnsi="Times New Roman"/>
          <w:sz w:val="24"/>
          <w:szCs w:val="24"/>
        </w:rPr>
        <w:t xml:space="preserve"> </w:t>
      </w:r>
    </w:p>
    <w:p w14:paraId="0BC032FA"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National University. (2025). INTELLECTUAL PROPERTY OBJECTS PROTECTION IN FRANCE. Retrieved from </w:t>
      </w:r>
      <w:hyperlink r:id="rId50" w:history="1">
        <w:r w:rsidR="00454428">
          <w:rPr>
            <w:rStyle w:val="Hyperlink7"/>
            <w:rFonts w:eastAsia="Arial Unicode MS"/>
          </w:rPr>
          <w:t>https://reposit.nupp.edu.ua/bitstream/PoltNTU/12441/1/75%20%D0%A2.1-441-442.pdf</w:t>
        </w:r>
      </w:hyperlink>
    </w:p>
    <w:p w14:paraId="67705C89"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NCL. (2025). Copyright laws and Digital Rights Management – National Consumers League. Retrieved from </w:t>
      </w:r>
      <w:hyperlink r:id="rId51" w:history="1">
        <w:r w:rsidR="00454428">
          <w:rPr>
            <w:rStyle w:val="Hyperlink7"/>
            <w:rFonts w:eastAsia="Arial Unicode MS"/>
          </w:rPr>
          <w:t>https://nclnet.org/drm/</w:t>
        </w:r>
      </w:hyperlink>
    </w:p>
    <w:p w14:paraId="5C9AEB0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Nicola Lucchi, Intellectual Property Rights in Digital Media: A Comparative Analysis of Legal Protection, Technological Measures, and New Business Models under EU and U.S. Law, 53 Buff. L. Rev. 1111 (2005). </w:t>
      </w:r>
    </w:p>
    <w:p w14:paraId="3E38588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Nicolas Bronzo. Remedies for Intellectual property rights infringement in France and Europe: have we gone too far? Second Property Remedies Discussion Forum Aix-en-Provence, Russel L. Weaver; François Lichere, Jun 2014, Aix-en -Provence, France</w:t>
      </w:r>
      <w:r>
        <w:rPr>
          <w:rStyle w:val="None"/>
          <w:rFonts w:ascii="Times New Roman" w:hAnsi="Times New Roman"/>
          <w:sz w:val="24"/>
          <w:szCs w:val="24"/>
          <w:rtl/>
          <w:lang w:val="ar-SA"/>
        </w:rPr>
        <w:t>.</w:t>
      </w:r>
    </w:p>
    <w:p w14:paraId="12A8B76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OECD </w:t>
      </w:r>
      <w:r>
        <w:rPr>
          <w:rStyle w:val="None"/>
          <w:rFonts w:ascii="Times New Roman" w:hAnsi="Times New Roman"/>
          <w:sz w:val="24"/>
          <w:szCs w:val="24"/>
          <w:rtl/>
          <w:lang w:val="ar-SA"/>
        </w:rPr>
        <w:t>)</w:t>
      </w:r>
      <w:r>
        <w:rPr>
          <w:rStyle w:val="None"/>
          <w:rFonts w:ascii="Times New Roman" w:hAnsi="Times New Roman"/>
          <w:sz w:val="24"/>
          <w:szCs w:val="24"/>
        </w:rPr>
        <w:t>2025</w:t>
      </w:r>
      <w:r>
        <w:rPr>
          <w:rStyle w:val="None"/>
          <w:rFonts w:ascii="Times New Roman" w:hAnsi="Times New Roman"/>
          <w:sz w:val="24"/>
          <w:szCs w:val="24"/>
          <w:rtl/>
          <w:lang w:val="ar-SA"/>
        </w:rPr>
        <w:t>(</w:t>
      </w:r>
      <w:r>
        <w:rPr>
          <w:rStyle w:val="None"/>
          <w:rFonts w:ascii="Times New Roman" w:hAnsi="Times New Roman"/>
          <w:sz w:val="24"/>
          <w:szCs w:val="24"/>
        </w:rPr>
        <w:t xml:space="preserve">. Law for a Digital Republic. Retrieved from </w:t>
      </w:r>
      <w:hyperlink r:id="rId52" w:history="1">
        <w:r w:rsidR="00454428">
          <w:rPr>
            <w:rStyle w:val="Hyperlink10"/>
            <w:rFonts w:eastAsia="Arial Unicode MS"/>
          </w:rPr>
          <w:t>https://www.oecd.org/en/publications/access-to-public-research-data-toolkit_a12e8998-en/law-for-a-digital-republic_b99868b0-en.html</w:t>
        </w:r>
      </w:hyperlink>
    </w:p>
    <w:p w14:paraId="6D903F5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Ortega, S. (2023). The Digital Millennium Copyright Act-In Need of a Major Software Update. </w:t>
      </w:r>
      <w:r>
        <w:rPr>
          <w:rStyle w:val="None"/>
          <w:rFonts w:ascii="Times New Roman" w:hAnsi="Times New Roman"/>
          <w:i/>
          <w:iCs/>
          <w:color w:val="222222"/>
          <w:sz w:val="24"/>
          <w:szCs w:val="24"/>
          <w:u w:color="222222"/>
          <w:shd w:val="clear" w:color="auto" w:fill="FFFFFF"/>
        </w:rPr>
        <w:t>Mich. Bus. &amp; Entrepreneurial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12</w:t>
      </w:r>
      <w:r>
        <w:rPr>
          <w:rStyle w:val="None"/>
          <w:rFonts w:ascii="Times New Roman" w:hAnsi="Times New Roman"/>
          <w:color w:val="222222"/>
          <w:sz w:val="24"/>
          <w:szCs w:val="24"/>
          <w:u w:color="222222"/>
          <w:shd w:val="clear" w:color="auto" w:fill="FFFFFF"/>
          <w:rtl/>
          <w:lang w:val="ar-SA"/>
        </w:rPr>
        <w:t>.</w:t>
      </w:r>
    </w:p>
    <w:p w14:paraId="51DA8F1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 </w:t>
      </w: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48AF94A8"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12E6D92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lastRenderedPageBreak/>
        <w:t>Peukert, A. Introduction to Intellectual Property Law in Germany. 2023, </w:t>
      </w:r>
      <w:r>
        <w:rPr>
          <w:rStyle w:val="None"/>
          <w:rFonts w:ascii="Times New Roman" w:hAnsi="Times New Roman"/>
          <w:i/>
          <w:iCs/>
          <w:color w:val="222222"/>
          <w:sz w:val="24"/>
          <w:szCs w:val="24"/>
          <w:u w:color="222222"/>
          <w:shd w:val="clear" w:color="auto" w:fill="FFFFFF"/>
        </w:rPr>
        <w:t>Available at SSRN 4599740</w:t>
      </w:r>
      <w:r>
        <w:rPr>
          <w:rStyle w:val="None"/>
          <w:rFonts w:ascii="Times New Roman" w:hAnsi="Times New Roman"/>
          <w:color w:val="222222"/>
          <w:sz w:val="24"/>
          <w:szCs w:val="24"/>
          <w:u w:color="222222"/>
          <w:shd w:val="clear" w:color="auto" w:fill="FFFFFF"/>
        </w:rPr>
        <w:t xml:space="preserve">. </w:t>
      </w:r>
    </w:p>
    <w:p w14:paraId="3D26A5FC"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Piette Coudol (T.), Bertrand (A.), Internet et la loi, Dalloz, 1997</w:t>
      </w:r>
      <w:r>
        <w:rPr>
          <w:rStyle w:val="None"/>
          <w:rFonts w:ascii="Times New Roman" w:hAnsi="Times New Roman"/>
          <w:sz w:val="24"/>
          <w:szCs w:val="24"/>
          <w:rtl/>
          <w:lang w:val="ar-SA"/>
        </w:rPr>
        <w:t>.</w:t>
      </w:r>
    </w:p>
    <w:p w14:paraId="0EBA7A1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Piotraut, J. Des extraits de textes et des décisions</w:t>
      </w:r>
      <w:r>
        <w:rPr>
          <w:rStyle w:val="None"/>
          <w:rFonts w:ascii="Times New Roman" w:hAnsi="Times New Roman"/>
          <w:sz w:val="24"/>
          <w:szCs w:val="24"/>
          <w:rtl/>
          <w:lang w:val="ar-SA"/>
        </w:rPr>
        <w:t xml:space="preserve"> </w:t>
      </w:r>
      <w:r>
        <w:rPr>
          <w:rStyle w:val="None"/>
          <w:rFonts w:ascii="Times New Roman" w:hAnsi="Times New Roman"/>
          <w:sz w:val="24"/>
          <w:szCs w:val="24"/>
        </w:rPr>
        <w:t>(4e ed.). Ellipse</w:t>
      </w:r>
      <w:r>
        <w:rPr>
          <w:rStyle w:val="None"/>
          <w:rFonts w:ascii="Times New Roman" w:hAnsi="Times New Roman"/>
          <w:sz w:val="24"/>
          <w:szCs w:val="24"/>
          <w:rtl/>
          <w:lang w:val="ar-SA"/>
        </w:rPr>
        <w:t xml:space="preserve"> </w:t>
      </w:r>
      <w:r>
        <w:rPr>
          <w:rStyle w:val="None"/>
          <w:rFonts w:ascii="Times New Roman" w:hAnsi="Times New Roman"/>
          <w:sz w:val="24"/>
          <w:szCs w:val="24"/>
        </w:rPr>
        <w:t>2004</w:t>
      </w:r>
      <w:r>
        <w:rPr>
          <w:rStyle w:val="None"/>
          <w:rFonts w:ascii="Times New Roman" w:hAnsi="Times New Roman"/>
          <w:sz w:val="24"/>
          <w:szCs w:val="24"/>
          <w:rtl/>
          <w:lang w:val="ar-SA"/>
        </w:rPr>
        <w:t>.</w:t>
      </w:r>
    </w:p>
    <w:p w14:paraId="22EA40B0"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Project MUSE. (2025). A Politics of Intellectual Property. Creating a Patent System in Revolutionary France. </w:t>
      </w:r>
      <w:hyperlink r:id="rId53" w:history="1">
        <w:r w:rsidR="00454428">
          <w:rPr>
            <w:rStyle w:val="Hyperlink7"/>
            <w:rFonts w:eastAsia="Arial Unicode MS"/>
          </w:rPr>
          <w:t>https://muse.jhu.edu/pub/1/article/777601</w:t>
        </w:r>
      </w:hyperlink>
    </w:p>
    <w:p w14:paraId="0FC0573D"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Prospect Law LTD. </w:t>
      </w:r>
      <w:r>
        <w:rPr>
          <w:rStyle w:val="None"/>
          <w:rFonts w:ascii="Times New Roman" w:hAnsi="Times New Roman"/>
          <w:i/>
          <w:iCs/>
          <w:sz w:val="24"/>
          <w:szCs w:val="24"/>
        </w:rPr>
        <w:t xml:space="preserve">Intellectual Property in the UK: A Brief Overview, </w:t>
      </w:r>
      <w:r>
        <w:rPr>
          <w:rStyle w:val="None"/>
          <w:rFonts w:ascii="Times New Roman" w:hAnsi="Times New Roman"/>
          <w:sz w:val="24"/>
          <w:szCs w:val="24"/>
        </w:rPr>
        <w:t xml:space="preserve">2025. Retrieved from </w:t>
      </w:r>
      <w:hyperlink r:id="rId54" w:history="1">
        <w:r w:rsidR="00454428">
          <w:rPr>
            <w:rStyle w:val="Hyperlink7"/>
            <w:rFonts w:eastAsia="Arial Unicode MS"/>
          </w:rPr>
          <w:t>https://prospectlaw.co.uk/news/article/protecting-and-exploiting-uk-intellectual-property/</w:t>
        </w:r>
      </w:hyperlink>
    </w:p>
    <w:p w14:paraId="60DF749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Qiwei, L., Zhang, S., Pratt, S. P., Kasper, A. T., Gilbert, E., &amp; Schoenebeck, S. (2025, April). A Law of One's Own: The Inefficacy of the DMCA for Non-Consensual Intimate Media. In </w:t>
      </w:r>
      <w:r>
        <w:rPr>
          <w:rStyle w:val="None"/>
          <w:rFonts w:ascii="Times New Roman" w:hAnsi="Times New Roman"/>
          <w:i/>
          <w:iCs/>
          <w:color w:val="222222"/>
          <w:sz w:val="24"/>
          <w:szCs w:val="24"/>
          <w:u w:color="222222"/>
          <w:shd w:val="clear" w:color="auto" w:fill="FFFFFF"/>
        </w:rPr>
        <w:t>Proceedings of the 2025 CHI Conference on Human Factors in Computing Systems</w:t>
      </w:r>
      <w:r>
        <w:rPr>
          <w:rStyle w:val="None"/>
          <w:rFonts w:ascii="Times New Roman" w:hAnsi="Times New Roman"/>
          <w:color w:val="222222"/>
          <w:sz w:val="24"/>
          <w:szCs w:val="24"/>
          <w:u w:color="222222"/>
          <w:shd w:val="clear" w:color="auto" w:fill="FFFFFF"/>
        </w:rPr>
        <w:t xml:space="preserve"> (pp. 1-17). </w:t>
      </w:r>
    </w:p>
    <w:p w14:paraId="77886585" w14:textId="77777777" w:rsidR="00454428" w:rsidRPr="00FF4D9D"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lang w:val="it-IT"/>
        </w:rPr>
      </w:pPr>
      <w:r w:rsidRPr="00FF4D9D">
        <w:rPr>
          <w:rStyle w:val="None"/>
          <w:rFonts w:ascii="Times New Roman" w:hAnsi="Times New Roman"/>
          <w:sz w:val="24"/>
          <w:szCs w:val="24"/>
          <w:lang w:val="it-IT"/>
        </w:rPr>
        <w:t>Roma TrE-Press, Roma, Settembre</w:t>
      </w:r>
      <w:r>
        <w:rPr>
          <w:rStyle w:val="None"/>
          <w:rFonts w:ascii="Times New Roman" w:hAnsi="Times New Roman"/>
          <w:sz w:val="24"/>
          <w:szCs w:val="24"/>
          <w:rtl/>
          <w:lang w:val="ar-SA"/>
        </w:rPr>
        <w:t>.</w:t>
      </w:r>
    </w:p>
    <w:p w14:paraId="46ABA70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RPC. (2018). Cross-Border Copyright Guide 2018. </w:t>
      </w:r>
      <w:hyperlink r:id="rId55" w:history="1">
        <w:r w:rsidR="00454428">
          <w:rPr>
            <w:rStyle w:val="Hyperlink7"/>
            <w:rFonts w:eastAsia="Arial Unicode MS"/>
          </w:rPr>
          <w:t>https://www.rpclegal.com/-/media/rpc/files/perspectives/ip/france.pdf</w:t>
        </w:r>
      </w:hyperlink>
    </w:p>
    <w:p w14:paraId="4232F621"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Rubio Alfageme, B. M. (2025). Intellectual property challenges in the 21st century: A study of digital piracy in the European Union. Intangible Capital, 21(2)</w:t>
      </w:r>
      <w:r>
        <w:rPr>
          <w:rStyle w:val="None"/>
          <w:rFonts w:ascii="Times New Roman" w:hAnsi="Times New Roman"/>
          <w:i/>
          <w:iCs/>
          <w:color w:val="222222"/>
          <w:sz w:val="24"/>
          <w:szCs w:val="24"/>
          <w:u w:color="222222"/>
          <w:shd w:val="clear" w:color="auto" w:fill="FFFFFF"/>
          <w:rtl/>
          <w:lang w:val="ar-SA"/>
        </w:rPr>
        <w:t>.</w:t>
      </w:r>
    </w:p>
    <w:p w14:paraId="38193A3D"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 xml:space="preserve">SACD </w:t>
      </w:r>
      <w:r>
        <w:rPr>
          <w:rStyle w:val="None"/>
          <w:rFonts w:ascii="Times New Roman" w:hAnsi="Times New Roman"/>
          <w:sz w:val="24"/>
          <w:szCs w:val="24"/>
          <w:shd w:val="clear" w:color="auto" w:fill="FFFFFF"/>
          <w:rtl/>
          <w:lang w:val="ar-SA"/>
        </w:rPr>
        <w:t>)</w:t>
      </w:r>
      <w:r>
        <w:rPr>
          <w:rStyle w:val="None"/>
          <w:rFonts w:ascii="Times New Roman" w:hAnsi="Times New Roman"/>
          <w:sz w:val="24"/>
          <w:szCs w:val="24"/>
          <w:shd w:val="clear" w:color="auto" w:fill="FFFFFF"/>
        </w:rPr>
        <w:t>2021</w:t>
      </w:r>
      <w:r>
        <w:rPr>
          <w:rStyle w:val="None"/>
          <w:rFonts w:ascii="Times New Roman" w:hAnsi="Times New Roman"/>
          <w:sz w:val="24"/>
          <w:szCs w:val="24"/>
          <w:shd w:val="clear" w:color="auto" w:fill="FFFFFF"/>
          <w:rtl/>
          <w:lang w:val="ar-SA"/>
        </w:rPr>
        <w:t>. (</w:t>
      </w:r>
      <w:r>
        <w:rPr>
          <w:rStyle w:val="None"/>
          <w:rFonts w:ascii="Times New Roman" w:hAnsi="Times New Roman"/>
          <w:sz w:val="24"/>
          <w:szCs w:val="24"/>
          <w:shd w:val="clear" w:color="auto" w:fill="FFFFFF"/>
        </w:rPr>
        <w:t>Authors' rights and their work</w:t>
      </w:r>
      <w:r>
        <w:rPr>
          <w:rStyle w:val="None"/>
          <w:rFonts w:ascii="Times New Roman" w:hAnsi="Times New Roman"/>
          <w:sz w:val="24"/>
          <w:szCs w:val="24"/>
          <w:shd w:val="clear" w:color="auto" w:fill="FFFFFF"/>
          <w:rtl/>
          <w:lang w:val="ar-SA"/>
        </w:rPr>
        <w:t xml:space="preserv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56" w:history="1">
        <w:r w:rsidR="00454428">
          <w:rPr>
            <w:rStyle w:val="Hyperlink10"/>
            <w:rFonts w:eastAsia="Arial Unicode MS"/>
          </w:rPr>
          <w:t>https://www.sacd.fr/en/authors-rights-and-their-work</w:t>
        </w:r>
      </w:hyperlink>
    </w:p>
    <w:p w14:paraId="3ADBFF5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Sadhana, G. S. (2025). Protecting creative rights: Addressing digital piracy and copyright issues in Indian media. International Journal of Law, Justice and Jurisprudence. 5(1)</w:t>
      </w:r>
      <w:r>
        <w:rPr>
          <w:rStyle w:val="None"/>
          <w:rFonts w:ascii="Times New Roman" w:hAnsi="Times New Roman"/>
          <w:i/>
          <w:iCs/>
          <w:color w:val="222222"/>
          <w:sz w:val="24"/>
          <w:szCs w:val="24"/>
          <w:u w:color="222222"/>
          <w:shd w:val="clear" w:color="auto" w:fill="FFFFFF"/>
          <w:rtl/>
          <w:lang w:val="ar-SA"/>
        </w:rPr>
        <w:t>.</w:t>
      </w:r>
    </w:p>
    <w:p w14:paraId="24E07E6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Salman Mahmood, M. (2023, June). Penal and International Protection of Electronic Intellectual Property Rights. Paper presented at </w:t>
      </w:r>
      <w:r>
        <w:rPr>
          <w:rStyle w:val="None"/>
          <w:rFonts w:ascii="Times New Roman" w:hAnsi="Times New Roman"/>
          <w:i/>
          <w:iCs/>
          <w:sz w:val="24"/>
          <w:szCs w:val="24"/>
        </w:rPr>
        <w:t>1st International Conference on Legal Sciences: (Intellectual property -Contemporary Problems and Legal Solutions, ICLS’23),</w:t>
      </w:r>
      <w:r>
        <w:rPr>
          <w:rStyle w:val="None"/>
          <w:rFonts w:ascii="Times New Roman" w:hAnsi="Times New Roman"/>
          <w:sz w:val="24"/>
          <w:szCs w:val="24"/>
        </w:rPr>
        <w:t xml:space="preserve"> Fallujah, Iraq</w:t>
      </w:r>
      <w:r>
        <w:rPr>
          <w:rStyle w:val="None"/>
          <w:rFonts w:ascii="Times New Roman" w:hAnsi="Times New Roman"/>
          <w:color w:val="222222"/>
          <w:sz w:val="24"/>
          <w:szCs w:val="24"/>
          <w:u w:color="222222"/>
          <w:shd w:val="clear" w:color="auto" w:fill="FFFFFF"/>
        </w:rPr>
        <w:t xml:space="preserve">. </w:t>
      </w:r>
    </w:p>
    <w:p w14:paraId="535D492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Samuelson, P., &amp; Wheatland, T. (2009). Statutory damages in copyright law: A remedy in need of reform. </w:t>
      </w:r>
      <w:r>
        <w:rPr>
          <w:rStyle w:val="None"/>
          <w:rFonts w:ascii="Times New Roman" w:hAnsi="Times New Roman"/>
          <w:i/>
          <w:iCs/>
          <w:color w:val="222222"/>
          <w:sz w:val="24"/>
          <w:szCs w:val="24"/>
          <w:u w:color="222222"/>
          <w:shd w:val="clear" w:color="auto" w:fill="FFFFFF"/>
        </w:rPr>
        <w:t>Wm. &amp; Mary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51</w:t>
      </w:r>
      <w:r>
        <w:rPr>
          <w:rStyle w:val="None"/>
          <w:rFonts w:ascii="Times New Roman" w:hAnsi="Times New Roman"/>
          <w:color w:val="222222"/>
          <w:sz w:val="24"/>
          <w:szCs w:val="24"/>
          <w:u w:color="222222"/>
          <w:shd w:val="clear" w:color="auto" w:fill="FFFFFF"/>
        </w:rPr>
        <w:t xml:space="preserve">, 439. </w:t>
      </w:r>
    </w:p>
    <w:p w14:paraId="3CCBFE9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lastRenderedPageBreak/>
        <w:t>Sell, S. (2004). Intellectual property and public policy in historical perspective: Contestation and settlement.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38</w:t>
      </w:r>
      <w:r>
        <w:rPr>
          <w:rStyle w:val="None"/>
          <w:rFonts w:ascii="Times New Roman" w:hAnsi="Times New Roman"/>
          <w:color w:val="222222"/>
          <w:sz w:val="24"/>
          <w:szCs w:val="24"/>
          <w:u w:color="222222"/>
          <w:shd w:val="clear" w:color="auto" w:fill="FFFFFF"/>
        </w:rPr>
        <w:t xml:space="preserve">, 267. </w:t>
      </w:r>
    </w:p>
    <w:p w14:paraId="78F29AC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Sunwater Capital. (2025). Adoption of Intellectual Property Laws across the globe: Timeline. Retrieved from </w:t>
      </w:r>
      <w:hyperlink r:id="rId57" w:history="1">
        <w:r w:rsidR="00454428">
          <w:rPr>
            <w:rStyle w:val="Hyperlink7"/>
            <w:rFonts w:eastAsia="Arial Unicode MS"/>
          </w:rPr>
          <w:t>https://sunwater.org/adoption-of-intellectual-property-laws-across-the-globe-timeline/</w:t>
        </w:r>
      </w:hyperlink>
    </w:p>
    <w:p w14:paraId="0E28BFC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TERTEREANU, P., GÎNGU, A. I., &amp; ȚÎȚU, A. M. (2021). Counterfeiting and Infringements Upon Intellectual Property Rights. Review of Management and Economic Engineering, 20(2)</w:t>
      </w:r>
      <w:r>
        <w:rPr>
          <w:rStyle w:val="None"/>
          <w:rFonts w:ascii="Times New Roman" w:hAnsi="Times New Roman"/>
          <w:i/>
          <w:iCs/>
          <w:color w:val="222222"/>
          <w:sz w:val="24"/>
          <w:szCs w:val="24"/>
          <w:u w:color="222222"/>
          <w:shd w:val="clear" w:color="auto" w:fill="FFFFFF"/>
          <w:rtl/>
          <w:lang w:val="ar-SA"/>
        </w:rPr>
        <w:t>.</w:t>
      </w:r>
    </w:p>
    <w:p w14:paraId="4C51F5F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testu-avocat. (2025). La méthode de calcul des dommages et intérêts au titre de la contrefaçon de droits d’auteur. Retrieved from </w:t>
      </w:r>
      <w:hyperlink r:id="rId58" w:history="1">
        <w:r w:rsidR="00454428">
          <w:rPr>
            <w:rStyle w:val="Hyperlink7"/>
            <w:rFonts w:eastAsia="Arial Unicode MS"/>
          </w:rPr>
          <w:t>https://www.testu-avocat.fr/droit-auteur-avocat-bordeaux/les-sanctions-de-l-atteinte-aux-droits-d-auteur</w:t>
        </w:r>
      </w:hyperlink>
    </w:p>
    <w:p w14:paraId="7F558879"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Federalist Society. (2025). The Forgotten History of the Intellectual Property Clause. Retrieved from </w:t>
      </w:r>
      <w:hyperlink r:id="rId59" w:history="1">
        <w:r w:rsidR="00454428">
          <w:rPr>
            <w:rStyle w:val="Hyperlink7"/>
            <w:rFonts w:eastAsia="Arial Unicode MS"/>
          </w:rPr>
          <w:t>https://fedsoc.org/commentary/fedsoc-blog/the-forgotten-history-of-the-intellectual-property-clause</w:t>
        </w:r>
      </w:hyperlink>
    </w:p>
    <w:p w14:paraId="0F618D4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The George Mason Law Review. (2023). The Future of Criminal Enforcement of Copyright: The Promise of Civil Enforcement. Retrieved from </w:t>
      </w:r>
      <w:hyperlink r:id="rId60" w:history="1">
        <w:r w:rsidR="00454428">
          <w:rPr>
            <w:rStyle w:val="Hyperlink7"/>
            <w:rFonts w:eastAsia="Arial Unicode MS"/>
          </w:rPr>
          <w:t>https://lawreview.gmu.edu/print__issues/the-future-of-criminal-enforcement-of-copyright-the-promise-of-civil-enforcement/?utm_source</w:t>
        </w:r>
      </w:hyperlink>
      <w:r>
        <w:rPr>
          <w:rStyle w:val="None"/>
          <w:rFonts w:ascii="Times New Roman" w:hAnsi="Times New Roman"/>
          <w:sz w:val="24"/>
          <w:szCs w:val="24"/>
        </w:rPr>
        <w:t xml:space="preserve"> </w:t>
      </w:r>
    </w:p>
    <w:p w14:paraId="2C76D33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Thuy, L. T. B. (2020). PROTECTION OF COPYRIGHT IN THE DIGITAL ENVIRONMENT IN VIET NAM. WIPO-WTO Colloquium Papers, 2020, Special Edition. </w:t>
      </w:r>
    </w:p>
    <w:p w14:paraId="65918B5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Toole, A., Miller, R. &amp; Rada, N. (2025). Intellectual property and the U.S. economy: Third edition. U.S. Patent and Trademark Office. </w:t>
      </w:r>
      <w:hyperlink r:id="rId61" w:history="1">
        <w:r w:rsidR="00454428">
          <w:rPr>
            <w:rStyle w:val="Hyperlink7"/>
            <w:rFonts w:eastAsia="Arial Unicode MS"/>
          </w:rPr>
          <w:t>https://www.uspto.gov/sites/default/files/documents/uspto-ip-us-economy-third-edition.pdf</w:t>
        </w:r>
      </w:hyperlink>
      <w:r>
        <w:rPr>
          <w:rStyle w:val="None"/>
          <w:rFonts w:ascii="Times New Roman" w:hAnsi="Times New Roman"/>
          <w:sz w:val="24"/>
          <w:szCs w:val="24"/>
        </w:rPr>
        <w:t xml:space="preserve"> </w:t>
      </w:r>
    </w:p>
    <w:p w14:paraId="1B9B88C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Traverso, M. INTELLECTUAL PROPERTY A tool for economic growth in the third millennium An Overview of Italian IP Law. </w:t>
      </w:r>
      <w:r w:rsidRPr="00FF4D9D">
        <w:rPr>
          <w:rStyle w:val="None"/>
          <w:rFonts w:ascii="Times New Roman" w:hAnsi="Times New Roman"/>
          <w:sz w:val="24"/>
          <w:szCs w:val="24"/>
          <w:lang w:val="it-IT"/>
        </w:rPr>
        <w:t xml:space="preserve">UffICIO ITALIANO BREvETTI E MARChI. The Licensing Executives Society (LES). ministero dello sviluppo economico dipArtimento per l’impresA e l’internAzionAlizzAzione direzione generAle per lA lottA AllA contrAffAzione. </w:t>
      </w:r>
      <w:r>
        <w:rPr>
          <w:rStyle w:val="None"/>
          <w:rFonts w:ascii="Times New Roman" w:hAnsi="Times New Roman"/>
          <w:sz w:val="24"/>
          <w:szCs w:val="24"/>
        </w:rPr>
        <w:t>2010</w:t>
      </w:r>
      <w:r>
        <w:rPr>
          <w:rStyle w:val="None"/>
          <w:rFonts w:ascii="Times New Roman" w:hAnsi="Times New Roman"/>
          <w:sz w:val="24"/>
          <w:szCs w:val="24"/>
          <w:rtl/>
          <w:lang w:val="ar-SA"/>
        </w:rPr>
        <w:t>.</w:t>
      </w:r>
    </w:p>
    <w:p w14:paraId="38DC3EDF"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lastRenderedPageBreak/>
        <w:t>Tumalavičius, V., Prykhodkina, N., Vovk, M., Mytych, S., &amp; Kustovska, O. (2024). Legal impacts of digitization on intellectual property.Amazonia Investiga,13(74)</w:t>
      </w:r>
      <w:r>
        <w:rPr>
          <w:rStyle w:val="None"/>
          <w:rFonts w:ascii="Times New Roman" w:hAnsi="Times New Roman"/>
          <w:sz w:val="24"/>
          <w:szCs w:val="24"/>
          <w:shd w:val="clear" w:color="auto" w:fill="FFFFFF"/>
          <w:rtl/>
          <w:lang w:val="ar-SA"/>
        </w:rPr>
        <w:t>.</w:t>
      </w:r>
    </w:p>
    <w:p w14:paraId="7464CA6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 Amazonia Investiga,13(74)</w:t>
      </w:r>
      <w:r>
        <w:rPr>
          <w:rStyle w:val="None"/>
          <w:rFonts w:ascii="Times New Roman" w:hAnsi="Times New Roman"/>
          <w:sz w:val="24"/>
          <w:szCs w:val="24"/>
          <w:shd w:val="clear" w:color="auto" w:fill="FFFFFF"/>
          <w:rtl/>
          <w:lang w:val="ar-SA"/>
        </w:rPr>
        <w:t>.</w:t>
      </w:r>
    </w:p>
    <w:p w14:paraId="59B59FA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Copyright Office. (2025). United States Intellectual Property Organization Act of 1996 (S. 1961). Retrieved from </w:t>
      </w:r>
      <w:hyperlink r:id="rId62" w:history="1">
        <w:r w:rsidR="00454428">
          <w:rPr>
            <w:rStyle w:val="Hyperlink7"/>
            <w:rFonts w:eastAsia="Arial Unicode MS"/>
          </w:rPr>
          <w:t>https://www.copyright.gov/docs/ipo.html</w:t>
        </w:r>
      </w:hyperlink>
    </w:p>
    <w:p w14:paraId="27BA48B2"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Department Of state. (2025). </w:t>
      </w:r>
      <w:r>
        <w:rPr>
          <w:rStyle w:val="None"/>
          <w:rFonts w:ascii="Times New Roman" w:hAnsi="Times New Roman"/>
          <w:i/>
          <w:iCs/>
          <w:sz w:val="24"/>
          <w:szCs w:val="24"/>
        </w:rPr>
        <w:t>Intellectual Property Enforcement</w:t>
      </w:r>
      <w:r>
        <w:rPr>
          <w:rStyle w:val="None"/>
          <w:rFonts w:ascii="Times New Roman" w:hAnsi="Times New Roman"/>
          <w:sz w:val="24"/>
          <w:szCs w:val="24"/>
        </w:rPr>
        <w:t xml:space="preserve">. Retrieved from </w:t>
      </w:r>
      <w:hyperlink r:id="rId63" w:history="1">
        <w:r w:rsidR="00454428">
          <w:rPr>
            <w:rStyle w:val="Hyperlink7"/>
            <w:rFonts w:eastAsia="Arial Unicode MS"/>
          </w:rPr>
          <w:t>https://www.state.gov/intellectual-property-enforcement</w:t>
        </w:r>
      </w:hyperlink>
    </w:p>
    <w:p w14:paraId="3083A0A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United States Code, 2023. </w:t>
      </w:r>
      <w:r>
        <w:rPr>
          <w:rStyle w:val="None"/>
          <w:rFonts w:ascii="Times New Roman" w:hAnsi="Times New Roman"/>
          <w:i/>
          <w:iCs/>
          <w:sz w:val="24"/>
          <w:szCs w:val="24"/>
        </w:rPr>
        <w:t>504. Remedies for infringement: Damages and profits</w:t>
      </w:r>
      <w:r>
        <w:rPr>
          <w:rStyle w:val="None"/>
          <w:rFonts w:ascii="Times New Roman" w:hAnsi="Times New Roman"/>
          <w:sz w:val="24"/>
          <w:szCs w:val="24"/>
        </w:rPr>
        <w:t xml:space="preserve">. Retrieved from </w:t>
      </w:r>
      <w:hyperlink r:id="rId64" w:history="1">
        <w:r w:rsidR="00454428">
          <w:rPr>
            <w:rStyle w:val="Hyperlink7"/>
            <w:rFonts w:eastAsia="Arial Unicode MS"/>
          </w:rPr>
          <w:t>https://www.govinfo.gov/content/pkg/USCODE-2023-title17/html/USCODE-2023-title17-chap5-sec504.htm?utm_source</w:t>
        </w:r>
      </w:hyperlink>
    </w:p>
    <w:p w14:paraId="44B69476"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United States District Court Judgment February 2, 2000, </w:t>
      </w:r>
      <w:hyperlink r:id="rId65" w:history="1">
        <w:r w:rsidR="00454428">
          <w:rPr>
            <w:rStyle w:val="Hyperlink7"/>
            <w:rFonts w:eastAsia="Arial Unicode MS"/>
          </w:rPr>
          <w:t>https://www.law.uh.edu/faculty/cjoyce/copyright/release10/universal.html</w:t>
        </w:r>
      </w:hyperlink>
      <w:r>
        <w:rPr>
          <w:rStyle w:val="None"/>
          <w:rFonts w:ascii="Times New Roman" w:hAnsi="Times New Roman"/>
          <w:sz w:val="24"/>
          <w:szCs w:val="24"/>
        </w:rPr>
        <w:t xml:space="preserve"> .</w:t>
      </w:r>
    </w:p>
    <w:p w14:paraId="2B6A4763"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USPTO. (2025). </w:t>
      </w:r>
      <w:r>
        <w:rPr>
          <w:rStyle w:val="None"/>
          <w:rFonts w:ascii="Times New Roman" w:hAnsi="Times New Roman"/>
          <w:i/>
          <w:iCs/>
          <w:sz w:val="24"/>
          <w:szCs w:val="24"/>
        </w:rPr>
        <w:t>Enforcement initiatives</w:t>
      </w:r>
      <w:r>
        <w:rPr>
          <w:rStyle w:val="None"/>
          <w:rFonts w:ascii="Times New Roman" w:hAnsi="Times New Roman"/>
          <w:sz w:val="24"/>
          <w:szCs w:val="24"/>
        </w:rPr>
        <w:t xml:space="preserve">. United States Patent and Trademark Office. Retrieved from </w:t>
      </w:r>
      <w:hyperlink r:id="rId66" w:history="1">
        <w:r w:rsidR="00454428">
          <w:rPr>
            <w:rStyle w:val="Hyperlink7"/>
            <w:rFonts w:eastAsia="Arial Unicode MS"/>
          </w:rPr>
          <w:t>https://www.uspto.gov/ip-policy/enforcement-policy/enforcement-initiatives?utm_</w:t>
        </w:r>
      </w:hyperlink>
      <w:r>
        <w:rPr>
          <w:rStyle w:val="None"/>
          <w:rFonts w:ascii="Times New Roman" w:hAnsi="Times New Roman"/>
          <w:sz w:val="24"/>
          <w:szCs w:val="24"/>
        </w:rPr>
        <w:t xml:space="preserve"> </w:t>
      </w:r>
    </w:p>
    <w:p w14:paraId="2741769C"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shd w:val="clear" w:color="auto" w:fill="FFFFFF"/>
          <w:rtl/>
        </w:rPr>
      </w:pPr>
      <w:r>
        <w:rPr>
          <w:rStyle w:val="None"/>
          <w:rFonts w:ascii="Times New Roman" w:hAnsi="Times New Roman"/>
          <w:sz w:val="24"/>
          <w:szCs w:val="24"/>
          <w:shd w:val="clear" w:color="auto" w:fill="FFFFFF"/>
        </w:rPr>
        <w:t xml:space="preserve">WIPO. (2024). THE PROSECUTION OF INTELLECTUAL PROPERTY CRIME: REPORT ON RESULTS OF SURVEY.  World Intellectual Property Organization. </w:t>
      </w:r>
    </w:p>
    <w:p w14:paraId="157009C1"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WIPO. (2025). Intellectual Property Code (consolidated version of March 2, 2006), France. Retrieved from </w:t>
      </w:r>
      <w:hyperlink r:id="rId67" w:history="1">
        <w:r w:rsidR="00454428">
          <w:rPr>
            <w:rStyle w:val="Hyperlink7"/>
            <w:rFonts w:eastAsia="Arial Unicode MS"/>
          </w:rPr>
          <w:t>https://www.wipo.int/wipolex/en/legislation/details/14446</w:t>
        </w:r>
      </w:hyperlink>
    </w:p>
    <w:p w14:paraId="0632E4BE"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Hacker Lexicon: What Is the Digital Millennium Copyright Act? Retrieved from </w:t>
      </w:r>
      <w:hyperlink r:id="rId68" w:history="1">
        <w:r w:rsidR="00454428">
          <w:rPr>
            <w:rStyle w:val="Hyperlink7"/>
            <w:rFonts w:eastAsia="Arial Unicode MS"/>
          </w:rPr>
          <w:t>https://www.wired.com/2016/06/hacker-lexicon-digital-millennium-copyright-act/?utm_source</w:t>
        </w:r>
      </w:hyperlink>
    </w:p>
    <w:p w14:paraId="697E0644"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w:t>
      </w:r>
      <w:r>
        <w:rPr>
          <w:rStyle w:val="None"/>
          <w:rFonts w:ascii="Times New Roman" w:hAnsi="Times New Roman"/>
          <w:i/>
          <w:iCs/>
          <w:sz w:val="24"/>
          <w:szCs w:val="24"/>
        </w:rPr>
        <w:t>Industry 1, Academics 0: Clinton Signs Copyright Bill</w:t>
      </w:r>
      <w:r>
        <w:rPr>
          <w:rStyle w:val="None"/>
          <w:rFonts w:ascii="Times New Roman" w:hAnsi="Times New Roman"/>
          <w:sz w:val="24"/>
          <w:szCs w:val="24"/>
        </w:rPr>
        <w:t xml:space="preserve">. Retrieved from </w:t>
      </w:r>
      <w:hyperlink r:id="rId69" w:history="1">
        <w:r w:rsidR="00454428">
          <w:rPr>
            <w:rStyle w:val="Hyperlink7"/>
            <w:rFonts w:eastAsia="Arial Unicode MS"/>
          </w:rPr>
          <w:t>https://www.wired.com/1997/12/industry-1-academics-0-clinton-signs-copyright-bill/?utm_source</w:t>
        </w:r>
      </w:hyperlink>
    </w:p>
    <w:p w14:paraId="22C3563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World Intellectual Property Organization (WIPO), Understanding Copyright and Related Rights, (2rd ed.), 2020, Available at: </w:t>
      </w:r>
      <w:hyperlink r:id="rId70" w:history="1">
        <w:r w:rsidR="00454428">
          <w:rPr>
            <w:rStyle w:val="Hyperlink11"/>
            <w:rFonts w:eastAsia="Arial Unicode MS"/>
          </w:rPr>
          <w:t>https://www.wipo.int/edocs/pubdocs/en/wipo_pub_909_2016.pdf</w:t>
        </w:r>
      </w:hyperlink>
      <w:r>
        <w:rPr>
          <w:rStyle w:val="None"/>
          <w:rFonts w:ascii="Times New Roman" w:hAnsi="Times New Roman"/>
          <w:sz w:val="24"/>
          <w:szCs w:val="24"/>
        </w:rPr>
        <w:t xml:space="preserve"> ,Date of visit: 10/15/2024.</w:t>
      </w:r>
    </w:p>
    <w:p w14:paraId="3ACF4AF5"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color w:val="2E3136"/>
          <w:sz w:val="24"/>
          <w:szCs w:val="24"/>
          <w:u w:color="2E3136"/>
          <w:shd w:val="clear" w:color="auto" w:fill="FFFFFF"/>
          <w:rtl/>
        </w:rPr>
      </w:pPr>
      <w:r>
        <w:rPr>
          <w:rStyle w:val="None"/>
          <w:rFonts w:ascii="Times New Roman" w:hAnsi="Times New Roman"/>
          <w:sz w:val="24"/>
          <w:szCs w:val="24"/>
        </w:rPr>
        <w:lastRenderedPageBreak/>
        <w:t xml:space="preserve">WTO. (2025). What are intellectual property rights? </w:t>
      </w:r>
      <w:r>
        <w:rPr>
          <w:rStyle w:val="None"/>
          <w:rFonts w:ascii="Times New Roman" w:hAnsi="Times New Roman"/>
          <w:color w:val="2E3136"/>
          <w:sz w:val="24"/>
          <w:szCs w:val="24"/>
          <w:u w:color="2E3136"/>
          <w:shd w:val="clear" w:color="auto" w:fill="FFFFFF"/>
        </w:rPr>
        <w:t xml:space="preserve">World Trade Organization. Retrieved from </w:t>
      </w:r>
      <w:hyperlink r:id="rId71" w:history="1">
        <w:r w:rsidR="00454428">
          <w:rPr>
            <w:rStyle w:val="Hyperlink12"/>
            <w:rFonts w:eastAsia="Arial Unicode MS"/>
          </w:rPr>
          <w:t>https://www.wto.org/English/tratop_e/trips_e/intel1_e.htm</w:t>
        </w:r>
      </w:hyperlink>
    </w:p>
    <w:p w14:paraId="3D7B5DB7" w14:textId="77777777" w:rsidR="00454428" w:rsidRDefault="00000000" w:rsidP="00C72BA8">
      <w:pPr>
        <w:pStyle w:val="a6"/>
        <w:bidi w:val="0"/>
        <w:spacing w:before="120" w:after="120" w:line="360" w:lineRule="auto"/>
        <w:ind w:left="720" w:hanging="720"/>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Yager, L. (2004). Intellectual Property: US Efforts Have Contributed to Strengthened Laws Overseas, But Challenges Remain: Testimony Before the Committee on Government Reform, House of Representatives. US Government Accountability Office</w:t>
      </w:r>
      <w:r>
        <w:rPr>
          <w:rStyle w:val="None"/>
          <w:rFonts w:ascii="Times New Roman" w:hAnsi="Times New Roman"/>
          <w:i/>
          <w:iCs/>
          <w:color w:val="222222"/>
          <w:sz w:val="24"/>
          <w:szCs w:val="24"/>
          <w:u w:color="222222"/>
          <w:shd w:val="clear" w:color="auto" w:fill="FFFFFF"/>
          <w:rtl/>
          <w:lang w:val="ar-SA"/>
        </w:rPr>
        <w:t>.</w:t>
      </w:r>
    </w:p>
    <w:p w14:paraId="40C6FE9C" w14:textId="77777777" w:rsidR="00454428" w:rsidRDefault="00000000" w:rsidP="00C72BA8">
      <w:pPr>
        <w:pStyle w:val="a4"/>
        <w:jc w:val="left"/>
        <w:rPr>
          <w:rStyle w:val="None"/>
          <w:lang w:val="ar-SA"/>
        </w:rPr>
      </w:pPr>
      <w:bookmarkStart w:id="249" w:name="_Toc227251145"/>
      <w:bookmarkStart w:id="250" w:name="_Toc227251473"/>
      <w:r>
        <w:rPr>
          <w:rStyle w:val="None"/>
          <w:rFonts w:ascii="Arial Unicode MS" w:eastAsia="Arial Unicode MS" w:hAnsi="Arial Unicode MS" w:hint="cs"/>
          <w:rtl/>
          <w:lang w:val="ar-SA"/>
        </w:rPr>
        <w:t>ثالثًا</w:t>
      </w:r>
      <w:r>
        <w:rPr>
          <w:rStyle w:val="None"/>
          <w:rtl/>
          <w:lang w:val="ar-SA"/>
        </w:rPr>
        <w:t xml:space="preserve">: </w:t>
      </w:r>
      <w:r>
        <w:rPr>
          <w:rStyle w:val="None"/>
          <w:rFonts w:ascii="Arial Unicode MS" w:eastAsia="Arial Unicode MS" w:hAnsi="Arial Unicode MS" w:hint="cs"/>
          <w:rtl/>
          <w:lang w:val="ar-SA"/>
        </w:rPr>
        <w:t>القوانين</w:t>
      </w:r>
      <w:r>
        <w:rPr>
          <w:rStyle w:val="None"/>
          <w:rtl/>
          <w:lang w:val="ar-SA"/>
        </w:rPr>
        <w:t>.</w:t>
      </w:r>
      <w:bookmarkEnd w:id="249"/>
      <w:bookmarkEnd w:id="250"/>
    </w:p>
    <w:p w14:paraId="2D228B4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p w14:paraId="2146E0A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عام </w:t>
      </w:r>
      <w:r>
        <w:rPr>
          <w:rStyle w:val="None"/>
          <w:rFonts w:ascii="Times New Roman" w:hAnsi="Times New Roman"/>
          <w:sz w:val="24"/>
          <w:szCs w:val="24"/>
          <w:rtl/>
          <w:lang w:val="ar-SA"/>
        </w:rPr>
        <w:t>1967.</w:t>
      </w:r>
    </w:p>
    <w:p w14:paraId="3724BAF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w:t>
      </w:r>
      <w:r>
        <w:rPr>
          <w:rStyle w:val="None"/>
          <w:rFonts w:ascii="Times New Roman" w:hAnsi="Times New Roman"/>
          <w:sz w:val="24"/>
          <w:szCs w:val="24"/>
          <w:rtl/>
          <w:lang w:val="ar-SA"/>
        </w:rPr>
        <w:t>.</w:t>
      </w:r>
    </w:p>
    <w:p w14:paraId="1726335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عام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عام </w:t>
      </w:r>
      <w:r>
        <w:rPr>
          <w:rStyle w:val="None"/>
          <w:rFonts w:ascii="Times New Roman" w:hAnsi="Times New Roman"/>
          <w:sz w:val="24"/>
          <w:szCs w:val="24"/>
          <w:rtl/>
          <w:lang w:val="ar-SA"/>
        </w:rPr>
        <w:t>1979.</w:t>
      </w:r>
    </w:p>
    <w:p w14:paraId="2F8D13C9"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p w14:paraId="523CC4C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تنظيم الهيئة السعودية للملكية الفكرية قرار مجلس الوزراء رقم </w:t>
      </w:r>
      <w:r>
        <w:rPr>
          <w:rStyle w:val="None"/>
          <w:rFonts w:ascii="Times New Roman" w:hAnsi="Times New Roman"/>
          <w:sz w:val="24"/>
          <w:szCs w:val="24"/>
          <w:rtl/>
          <w:lang w:val="ar-SA"/>
        </w:rPr>
        <w:t xml:space="preserve">(496)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1439/9/14 </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0571B49" w14:textId="77777777" w:rsidR="00454428" w:rsidRDefault="00000000" w:rsidP="00C72BA8">
      <w:pPr>
        <w:pStyle w:val="Body"/>
        <w:spacing w:before="120" w:after="120" w:line="360" w:lineRule="auto"/>
        <w:rPr>
          <w:rStyle w:val="None"/>
          <w:rFonts w:ascii="Times New Roman" w:eastAsia="Times New Roman" w:hAnsi="Times New Roman" w:cs="Times New Roman"/>
        </w:rPr>
      </w:pPr>
      <w:r>
        <w:rPr>
          <w:rStyle w:val="None"/>
          <w:rFonts w:ascii="Arial Unicode MS" w:hAnsi="Arial Unicode MS" w:cs="Times New Roman" w:hint="cs"/>
          <w:rtl/>
          <w:lang w:val="ar-SA"/>
        </w:rPr>
        <w:t xml:space="preserve">تنظيم الهيئة الوطنية للأمن السيبراني، الصادر بالأمر الملكي رقم </w:t>
      </w:r>
      <w:r>
        <w:rPr>
          <w:rStyle w:val="None"/>
          <w:rFonts w:ascii="Times New Roman" w:hAnsi="Times New Roman"/>
          <w:rtl/>
          <w:lang w:val="ar-SA"/>
        </w:rPr>
        <w:t xml:space="preserve">6801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11/2/1439</w:t>
      </w:r>
      <w:r>
        <w:rPr>
          <w:rStyle w:val="None"/>
          <w:rFonts w:ascii="Arial Unicode MS" w:hAnsi="Arial Unicode MS" w:cs="Times New Roman" w:hint="cs"/>
          <w:rtl/>
          <w:lang w:val="ar-SA"/>
        </w:rPr>
        <w:t xml:space="preserve">هـ المعدل بالأمر الملكي رقم </w:t>
      </w:r>
      <w:r>
        <w:rPr>
          <w:rStyle w:val="None"/>
          <w:rFonts w:ascii="Times New Roman" w:hAnsi="Times New Roman"/>
          <w:rtl/>
          <w:lang w:val="ar-SA"/>
        </w:rPr>
        <w:t xml:space="preserve">7053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2/2/1443</w:t>
      </w:r>
      <w:r>
        <w:rPr>
          <w:rStyle w:val="None"/>
          <w:rFonts w:ascii="Arial Unicode MS" w:hAnsi="Arial Unicode MS" w:cs="Times New Roman" w:hint="cs"/>
          <w:rtl/>
          <w:lang w:val="ar-SA"/>
        </w:rPr>
        <w:t>هـ</w:t>
      </w:r>
      <w:r>
        <w:rPr>
          <w:rStyle w:val="None"/>
          <w:rFonts w:ascii="Times New Roman" w:hAnsi="Times New Roman"/>
          <w:rtl/>
          <w:lang w:val="ar-SA"/>
        </w:rPr>
        <w:t>.</w:t>
      </w:r>
    </w:p>
    <w:p w14:paraId="28BE6A15"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آن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قانون حقوق الطبع والنشر ١٧٠٩</w:t>
      </w:r>
      <w:r>
        <w:rPr>
          <w:rStyle w:val="None"/>
          <w:rFonts w:ascii="Times New Roman" w:hAnsi="Times New Roman"/>
          <w:sz w:val="24"/>
          <w:szCs w:val="24"/>
          <w:rtl/>
          <w:lang w:val="ar-SA"/>
        </w:rPr>
        <w:t>.</w:t>
      </w:r>
    </w:p>
    <w:p w14:paraId="2BF861B4" w14:textId="77777777" w:rsidR="00454428" w:rsidRDefault="00000000" w:rsidP="00C72BA8">
      <w:pPr>
        <w:pStyle w:val="Body"/>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القانون الفرنسي الصادر في 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مبدأ حماية حقوق المؤلف في فرنسا</w:t>
      </w:r>
      <w:r>
        <w:rPr>
          <w:rStyle w:val="None"/>
          <w:rFonts w:ascii="Times New Roman" w:hAnsi="Times New Roman"/>
          <w:sz w:val="24"/>
          <w:szCs w:val="24"/>
          <w:rtl/>
          <w:lang w:val="ar-SA"/>
        </w:rPr>
        <w:t>.</w:t>
      </w:r>
    </w:p>
    <w:p w14:paraId="72C8EF7C"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حقوق المؤلف الصادرة بقرار رقم 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والمعدل برقم </w:t>
      </w:r>
      <w:r>
        <w:rPr>
          <w:rStyle w:val="None"/>
          <w:rFonts w:ascii="Times New Roman" w:hAnsi="Times New Roman"/>
          <w:sz w:val="24"/>
          <w:szCs w:val="24"/>
          <w:rtl/>
          <w:lang w:val="ar-SA"/>
        </w:rPr>
        <w:t>3/31/2022.</w:t>
      </w:r>
    </w:p>
    <w:p w14:paraId="2198519F"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6B80180D"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معاهدة الويبو بشأن حق المؤلف جنيف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w:t>
      </w:r>
      <w:r>
        <w:rPr>
          <w:rStyle w:val="None"/>
          <w:rFonts w:ascii="Times New Roman" w:hAnsi="Times New Roman"/>
          <w:sz w:val="24"/>
          <w:szCs w:val="24"/>
          <w:rtl/>
          <w:lang w:val="ar-SA"/>
        </w:rPr>
        <w:t>1996.</w:t>
      </w:r>
    </w:p>
    <w:p w14:paraId="2C279C04"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 نظام الأسماء التجارية الصادر بالمرسوم الملكي رقم م</w:t>
      </w:r>
      <w:r>
        <w:rPr>
          <w:rStyle w:val="None"/>
          <w:rFonts w:ascii="Times New Roman" w:hAnsi="Times New Roman"/>
          <w:sz w:val="24"/>
          <w:szCs w:val="24"/>
          <w:rtl/>
          <w:lang w:val="ar-SA"/>
        </w:rPr>
        <w:t>/83.</w:t>
      </w:r>
    </w:p>
    <w:p w14:paraId="0699118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الإثبات رقم م</w:t>
      </w:r>
      <w:r>
        <w:rPr>
          <w:rStyle w:val="None"/>
          <w:rFonts w:ascii="Times New Roman" w:hAnsi="Times New Roman"/>
          <w:sz w:val="24"/>
          <w:szCs w:val="24"/>
          <w:rtl/>
          <w:lang w:val="ar-SA"/>
        </w:rPr>
        <w:t>/43.</w:t>
      </w:r>
    </w:p>
    <w:p w14:paraId="394169B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1D8161E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العلامات التجارية مرسوم ملكي رقم م</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28/5/1423.</w:t>
      </w:r>
    </w:p>
    <w:p w14:paraId="0794CAC2"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نظام المعاملات المدنية، مرسوم 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/191)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29/11/1444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2333C08"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3292EAA7"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حماية حقوق المؤلف مرسوم ملكي رقم م</w:t>
      </w:r>
      <w:r>
        <w:rPr>
          <w:rStyle w:val="None"/>
          <w:rFonts w:ascii="Times New Roman" w:hAnsi="Times New Roman"/>
          <w:sz w:val="24"/>
          <w:szCs w:val="24"/>
          <w:rtl/>
          <w:lang w:val="ar-SA"/>
        </w:rPr>
        <w:t>/41.</w:t>
      </w:r>
    </w:p>
    <w:p w14:paraId="4940EA26" w14:textId="77777777" w:rsidR="00454428" w:rsidRDefault="00000000" w:rsidP="00C72BA8">
      <w:pPr>
        <w:pStyle w:val="a6"/>
        <w:spacing w:before="120" w:after="120"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الهيئة السعودية للملكية الفكرية</w:t>
      </w:r>
      <w:r>
        <w:rPr>
          <w:rStyle w:val="None"/>
          <w:rFonts w:ascii="Times New Roman" w:hAnsi="Times New Roman"/>
          <w:sz w:val="24"/>
          <w:szCs w:val="24"/>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٢٠٢٣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تقارير ومبادرات الحماية الفكرية</w:t>
      </w:r>
      <w:r>
        <w:rPr>
          <w:rStyle w:val="None"/>
          <w:rFonts w:ascii="Times New Roman" w:hAnsi="Times New Roman"/>
          <w:sz w:val="24"/>
          <w:szCs w:val="24"/>
          <w:rtl/>
          <w:lang w:val="ar-SA"/>
        </w:rPr>
        <w:t>.</w:t>
      </w:r>
    </w:p>
    <w:p w14:paraId="5A6399B5" w14:textId="77777777" w:rsidR="00454428" w:rsidRDefault="00000000" w:rsidP="00C72BA8">
      <w:pPr>
        <w:pStyle w:val="a6"/>
        <w:spacing w:before="120" w:after="120" w:line="360" w:lineRule="auto"/>
        <w:ind w:left="720" w:hanging="720"/>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الاستثمار الصادر بموجب المرسوم الملكي رقم م</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16/1/1446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3A0C8FCB" w14:textId="77777777" w:rsidR="00454428" w:rsidRDefault="00000000" w:rsidP="00C72BA8">
      <w:pPr>
        <w:pStyle w:val="a6"/>
        <w:spacing w:before="120" w:after="120" w:line="360" w:lineRule="auto"/>
        <w:ind w:left="720" w:hanging="720"/>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الاتصالات وتقنية المعلومات الصادر بالمرسوم الملكي رقم م</w:t>
      </w:r>
      <w:r>
        <w:rPr>
          <w:rStyle w:val="None"/>
          <w:rFonts w:ascii="Times New Roman" w:hAnsi="Times New Roman"/>
          <w:sz w:val="24"/>
          <w:szCs w:val="24"/>
          <w:rtl/>
          <w:lang w:val="ar-SA"/>
        </w:rPr>
        <w:t xml:space="preserve">/106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EF52CD3" w14:textId="77777777" w:rsidR="00454428" w:rsidRDefault="00000000" w:rsidP="00C72BA8">
      <w:pPr>
        <w:pStyle w:val="a4"/>
        <w:jc w:val="left"/>
        <w:rPr>
          <w:rStyle w:val="None"/>
          <w:lang w:val="ar-SA"/>
        </w:rPr>
      </w:pPr>
      <w:bookmarkStart w:id="251" w:name="_Toc227251146"/>
      <w:bookmarkStart w:id="252" w:name="_Toc227251474"/>
      <w:r>
        <w:rPr>
          <w:rStyle w:val="None"/>
          <w:rFonts w:ascii="Arial Unicode MS" w:eastAsia="Arial Unicode MS" w:hAnsi="Arial Unicode MS" w:hint="cs"/>
          <w:rtl/>
          <w:lang w:val="ar-SA"/>
        </w:rPr>
        <w:t>رابعًا</w:t>
      </w:r>
      <w:r>
        <w:rPr>
          <w:rStyle w:val="None"/>
          <w:rtl/>
          <w:lang w:val="ar-SA"/>
        </w:rPr>
        <w:t xml:space="preserve">: </w:t>
      </w:r>
      <w:r>
        <w:rPr>
          <w:rStyle w:val="None"/>
          <w:rFonts w:ascii="Arial Unicode MS" w:eastAsia="Arial Unicode MS" w:hAnsi="Arial Unicode MS" w:hint="cs"/>
          <w:rtl/>
          <w:lang w:val="ar-SA"/>
        </w:rPr>
        <w:t>المواقع الإلكترونية</w:t>
      </w:r>
      <w:r>
        <w:rPr>
          <w:rStyle w:val="None"/>
          <w:rtl/>
          <w:lang w:val="ar-SA"/>
        </w:rPr>
        <w:t>.</w:t>
      </w:r>
      <w:bookmarkEnd w:id="251"/>
      <w:bookmarkEnd w:id="252"/>
    </w:p>
    <w:p w14:paraId="6EC55877" w14:textId="77777777" w:rsidR="00454428" w:rsidRDefault="00000000" w:rsidP="00C72BA8">
      <w:pPr>
        <w:pStyle w:val="a6"/>
        <w:spacing w:before="288" w:after="288" w:line="360" w:lineRule="auto"/>
        <w:ind w:left="720" w:hanging="720"/>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التقرير العالمي للملكية الفكرية الويبو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w:t>
      </w:r>
      <w:hyperlink r:id="rId72" w:history="1">
        <w:r w:rsidR="00454428">
          <w:rPr>
            <w:rStyle w:val="Hyperlink10"/>
            <w:rFonts w:eastAsia="Arial Unicode MS"/>
          </w:rPr>
          <w:t>https://www.wipo.int/pressroom/ar/articles/2024/article_0004.html?utm_source=chatgpt.com</w:t>
        </w:r>
      </w:hyperlink>
      <w:r>
        <w:rPr>
          <w:rStyle w:val="None"/>
          <w:rFonts w:ascii="Times New Roman" w:hAnsi="Times New Roman"/>
          <w:sz w:val="24"/>
          <w:szCs w:val="24"/>
          <w:rtl/>
          <w:lang w:val="ar-SA"/>
        </w:rPr>
        <w:t xml:space="preserve"> .</w:t>
      </w:r>
    </w:p>
    <w:p w14:paraId="23DFC7D1"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المنظمة العالمية للملكية الفكرية، اليوم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Pr>
          <w:rStyle w:val="None"/>
          <w:rFonts w:ascii="Times New Roman" w:hAnsi="Times New Roman"/>
          <w:sz w:val="24"/>
          <w:szCs w:val="24"/>
          <w:rtl/>
          <w:lang w:val="ar-SA"/>
        </w:rPr>
        <w:t>:</w:t>
      </w:r>
    </w:p>
    <w:p w14:paraId="5B0156B2"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 xml:space="preserve"> </w:t>
      </w:r>
      <w:hyperlink r:id="rId73" w:history="1">
        <w:r w:rsidR="00454428">
          <w:rPr>
            <w:rStyle w:val="Hyperlink13"/>
            <w:rFonts w:eastAsia="Arial Unicode MS"/>
          </w:rPr>
          <w:t>https://www.wipo.int/pressroom/ar/articles/2024/article_0003.html</w:t>
        </w:r>
      </w:hyperlink>
      <w:r>
        <w:rPr>
          <w:rStyle w:val="None"/>
          <w:rFonts w:ascii="Arial Unicode MS" w:hAnsi="Arial Unicode MS" w:cs="Times New Roman" w:hint="cs"/>
          <w:sz w:val="24"/>
          <w:szCs w:val="24"/>
          <w:rtl/>
          <w:lang w:val="ar-SA"/>
        </w:rPr>
        <w:t>،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p>
    <w:p w14:paraId="5D67C63A"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4" w:history="1">
        <w:r w:rsidR="00454428">
          <w:rPr>
            <w:rStyle w:val="Hyperlink10"/>
            <w:rFonts w:eastAsia="Arial Unicode MS"/>
          </w:rPr>
          <w:t>https://www.saip.gov.sa/committees-secretariat/1457</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712C778F"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5" w:history="1">
        <w:r w:rsidR="00454428">
          <w:rPr>
            <w:rStyle w:val="Hyperlink10"/>
            <w:rFonts w:eastAsia="Arial Unicode MS"/>
          </w:rPr>
          <w:t>https://www.saip.gov.sa/committees-secretariat/1412</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51F396A5"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6" w:history="1">
        <w:r w:rsidR="00454428">
          <w:rPr>
            <w:rStyle w:val="Hyperlink10"/>
            <w:rFonts w:eastAsia="Arial Unicode MS"/>
          </w:rPr>
          <w:t>https://www.saip.gov.sa/committees-secretariat</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08E70EC9"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7" w:history="1">
        <w:r w:rsidR="00454428">
          <w:rPr>
            <w:rStyle w:val="Hyperlink10"/>
            <w:rFonts w:eastAsia="Arial Unicode MS"/>
          </w:rPr>
          <w:t>https://www.saip.gov.sa/committees-secretariat/1456</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232EFC81"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الموقع الرسمي للمنصة الوطنية التابعة لحومة المملكة العربية السعودية، تم دخول الموقع يوم </w:t>
      </w:r>
      <w:r>
        <w:rPr>
          <w:rStyle w:val="None"/>
          <w:rFonts w:ascii="Times New Roman" w:hAnsi="Times New Roman"/>
          <w:sz w:val="24"/>
          <w:szCs w:val="24"/>
          <w:rtl/>
          <w:lang w:val="ar-SA"/>
        </w:rPr>
        <w:t>29/7/2025</w:t>
      </w:r>
      <w:r>
        <w:rPr>
          <w:rStyle w:val="None"/>
          <w:rFonts w:ascii="Arial Unicode MS" w:hAnsi="Arial Unicode MS" w:cs="Times New Roman" w:hint="cs"/>
          <w:sz w:val="24"/>
          <w:szCs w:val="24"/>
          <w:rtl/>
          <w:lang w:val="ar-SA"/>
        </w:rPr>
        <w:t xml:space="preserve">، </w:t>
      </w:r>
      <w:hyperlink r:id="rId78" w:history="1">
        <w:r w:rsidR="00454428">
          <w:rPr>
            <w:rStyle w:val="Hyperlink10"/>
            <w:rFonts w:eastAsia="Arial Unicode MS"/>
          </w:rPr>
          <w:t>https://eparticipation.my.gov.sa/e-consultations/consultations/legal/legal-consultation-25811</w:t>
        </w:r>
      </w:hyperlink>
      <w:r>
        <w:rPr>
          <w:rStyle w:val="None"/>
          <w:rFonts w:ascii="Times New Roman" w:hAnsi="Times New Roman"/>
          <w:sz w:val="24"/>
          <w:szCs w:val="24"/>
          <w:rtl/>
          <w:lang w:val="ar-SA"/>
        </w:rPr>
        <w:t xml:space="preserve"> </w:t>
      </w:r>
    </w:p>
    <w:p w14:paraId="5C999F47"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الدخول على الموقع بتاريخ </w:t>
      </w:r>
      <w:r>
        <w:rPr>
          <w:rStyle w:val="None"/>
          <w:rFonts w:ascii="Times New Roman" w:hAnsi="Times New Roman"/>
          <w:sz w:val="24"/>
          <w:szCs w:val="24"/>
          <w:rtl/>
          <w:lang w:val="ar-SA"/>
        </w:rPr>
        <w:t xml:space="preserve">18/8/2025 </w:t>
      </w:r>
      <w:r>
        <w:rPr>
          <w:rStyle w:val="None"/>
          <w:rFonts w:ascii="Arial Unicode MS" w:hAnsi="Arial Unicode MS" w:cs="Times New Roman" w:hint="cs"/>
          <w:sz w:val="24"/>
          <w:szCs w:val="24"/>
          <w:rtl/>
          <w:lang w:val="ar-SA"/>
        </w:rPr>
        <w:t>من خلال الرابط التالي</w:t>
      </w:r>
      <w:r>
        <w:rPr>
          <w:rStyle w:val="None"/>
          <w:rFonts w:ascii="Times New Roman" w:hAnsi="Times New Roman"/>
          <w:sz w:val="24"/>
          <w:szCs w:val="24"/>
          <w:rtl/>
          <w:lang w:val="ar-SA"/>
        </w:rPr>
        <w:t xml:space="preserve">: </w:t>
      </w:r>
      <w:hyperlink r:id="rId79" w:history="1">
        <w:r w:rsidR="00454428">
          <w:rPr>
            <w:rStyle w:val="Hyperlink10"/>
            <w:rFonts w:eastAsia="Arial Unicode MS"/>
          </w:rPr>
          <w:t>https://www.saip.gov.sa/about/brief</w:t>
        </w:r>
        <w:r w:rsidR="00454428">
          <w:rPr>
            <w:rStyle w:val="Link"/>
            <w:rFonts w:ascii="Times New Roman" w:hAnsi="Times New Roman"/>
            <w:sz w:val="24"/>
            <w:szCs w:val="24"/>
            <w:rtl/>
            <w:lang w:val="ar-SA"/>
          </w:rPr>
          <w:t>/</w:t>
        </w:r>
      </w:hyperlink>
      <w:r>
        <w:rPr>
          <w:rStyle w:val="None"/>
          <w:rFonts w:ascii="Times New Roman" w:hAnsi="Times New Roman"/>
          <w:sz w:val="24"/>
          <w:szCs w:val="24"/>
          <w:rtl/>
          <w:lang w:val="ar-SA"/>
        </w:rPr>
        <w:t xml:space="preserve"> </w:t>
      </w:r>
    </w:p>
    <w:p w14:paraId="0C804C66"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Pr>
          <w:rStyle w:val="None"/>
          <w:rFonts w:ascii="Times New Roman" w:hAnsi="Times New Roman"/>
          <w:sz w:val="24"/>
          <w:szCs w:val="24"/>
          <w:rtl/>
          <w:lang w:val="ar-SA"/>
        </w:rPr>
        <w:t>19/7/2025</w:t>
      </w:r>
      <w:r>
        <w:rPr>
          <w:rStyle w:val="None"/>
          <w:rFonts w:ascii="Arial Unicode MS" w:hAnsi="Arial Unicode MS" w:cs="Times New Roman" w:hint="cs"/>
          <w:sz w:val="24"/>
          <w:szCs w:val="24"/>
          <w:rtl/>
          <w:lang w:val="ar-SA"/>
        </w:rPr>
        <w:t xml:space="preserve">، </w:t>
      </w:r>
      <w:hyperlink r:id="rId80" w:history="1">
        <w:r w:rsidR="00454428">
          <w:rPr>
            <w:rStyle w:val="Hyperlink10"/>
            <w:rFonts w:eastAsia="Arial Unicode MS"/>
          </w:rPr>
          <w:t>https://www.saip.gov.sa/pct</w:t>
        </w:r>
      </w:hyperlink>
      <w:r>
        <w:rPr>
          <w:rStyle w:val="None"/>
          <w:rFonts w:ascii="Times New Roman" w:hAnsi="Times New Roman"/>
          <w:sz w:val="24"/>
          <w:szCs w:val="24"/>
          <w:rtl/>
          <w:lang w:val="ar-SA"/>
        </w:rPr>
        <w:t xml:space="preserve"> </w:t>
      </w:r>
    </w:p>
    <w:p w14:paraId="30FFA438"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موقع منظمة الويبو، مقال حق المؤلف، متاح من </w:t>
      </w:r>
      <w:hyperlink r:id="rId81" w:history="1">
        <w:r w:rsidR="00454428">
          <w:rPr>
            <w:rStyle w:val="Hyperlink13"/>
            <w:rFonts w:eastAsia="Arial Unicode MS"/>
          </w:rPr>
          <w:t>https://www.wipo.int/copyright/ar</w:t>
        </w:r>
      </w:hyperlink>
      <w:r>
        <w:rPr>
          <w:rStyle w:val="None"/>
          <w:rFonts w:ascii="Arial Unicode MS" w:hAnsi="Arial Unicode MS" w:cs="Times New Roman" w:hint="cs"/>
          <w:sz w:val="24"/>
          <w:szCs w:val="24"/>
          <w:rtl/>
          <w:lang w:val="ar-SA"/>
        </w:rPr>
        <w:t xml:space="preserve"> ،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p w14:paraId="5A4BD6E7" w14:textId="77777777" w:rsidR="00454428" w:rsidRDefault="00000000" w:rsidP="00C72BA8">
      <w:pPr>
        <w:pStyle w:val="a6"/>
        <w:spacing w:before="288" w:after="288" w:line="360" w:lineRule="auto"/>
        <w:ind w:left="720" w:hanging="720"/>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البنك المركزي السعودي،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2" w:history="1">
        <w:r w:rsidR="00454428">
          <w:rPr>
            <w:rStyle w:val="Hyperlink10"/>
            <w:rFonts w:eastAsia="Arial Unicode MS"/>
          </w:rPr>
          <w:t>https://www.sama.gov.sa/ar-sa/News/Pages/news-1083.aspx</w:t>
        </w:r>
      </w:hyperlink>
      <w:r>
        <w:rPr>
          <w:rStyle w:val="None"/>
          <w:rFonts w:ascii="Times New Roman" w:hAnsi="Times New Roman"/>
          <w:sz w:val="24"/>
          <w:szCs w:val="24"/>
          <w:rtl/>
          <w:lang w:val="ar-SA"/>
        </w:rPr>
        <w:t xml:space="preserve"> </w:t>
      </w:r>
    </w:p>
    <w:p w14:paraId="2A803E9A"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 </w:t>
      </w:r>
      <w:r>
        <w:rPr>
          <w:rStyle w:val="None"/>
          <w:rFonts w:ascii="Times New Roman" w:hAnsi="Times New Roman"/>
          <w:sz w:val="24"/>
          <w:szCs w:val="24"/>
        </w:rPr>
        <w:t>mordor intelligence</w:t>
      </w:r>
      <w:r>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w:t>
      </w:r>
    </w:p>
    <w:p w14:paraId="14EE55E4" w14:textId="77777777" w:rsidR="00454428" w:rsidRDefault="00000000" w:rsidP="00C72BA8">
      <w:pPr>
        <w:pStyle w:val="a6"/>
        <w:spacing w:before="288" w:after="288" w:line="360" w:lineRule="auto"/>
        <w:ind w:left="720" w:hanging="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3" w:history="1">
        <w:r w:rsidR="00454428">
          <w:rPr>
            <w:rStyle w:val="Hyperlink10"/>
            <w:rFonts w:eastAsia="Arial Unicode MS"/>
          </w:rPr>
          <w:t>https://www.mordorintelligence.com/ar/industry-reports/saudi-arabia-ecommerce-market</w:t>
        </w:r>
      </w:hyperlink>
    </w:p>
    <w:p w14:paraId="1661CB4C" w14:textId="77777777" w:rsidR="00454428" w:rsidRDefault="00454428" w:rsidP="00C72BA8">
      <w:pPr>
        <w:pStyle w:val="a6"/>
        <w:spacing w:before="288" w:after="288" w:line="360" w:lineRule="auto"/>
        <w:ind w:left="720" w:hanging="720"/>
        <w:jc w:val="both"/>
      </w:pPr>
    </w:p>
    <w:sectPr w:rsidR="00454428" w:rsidSect="00464D24">
      <w:footerReference w:type="default" r:id="rId84"/>
      <w:footnotePr>
        <w:numRestart w:val="eachPage"/>
      </w:footnotePr>
      <w:pgSz w:w="11900" w:h="16840"/>
      <w:pgMar w:top="1418" w:right="1701" w:bottom="1418" w:left="1418" w:header="709" w:footer="709"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784D5" w14:textId="77777777" w:rsidR="00353050" w:rsidRDefault="00353050">
      <w:r>
        <w:separator/>
      </w:r>
    </w:p>
  </w:endnote>
  <w:endnote w:type="continuationSeparator" w:id="0">
    <w:p w14:paraId="3EE0F90A" w14:textId="77777777" w:rsidR="00353050" w:rsidRDefault="00353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B911" w14:textId="6BFA46F9" w:rsidR="00454428" w:rsidRPr="00A663DE" w:rsidRDefault="00A663DE" w:rsidP="00A663DE">
    <w:pPr>
      <w:pStyle w:val="a3"/>
      <w:jc w:val="center"/>
    </w:pPr>
    <w:r>
      <w:rPr>
        <w:rtl/>
      </w:rPr>
      <w:fldChar w:fldCharType="begin"/>
    </w:r>
    <w:r>
      <w:rPr>
        <w:rtl/>
      </w:rPr>
      <w:instrText xml:space="preserve"> </w:instrText>
    </w:r>
    <w:r>
      <w:rPr>
        <w:rFonts w:hint="cs"/>
      </w:rPr>
      <w:instrText>PAGE  \* ArabicAbjad  \* MERGEFORMAT</w:instrText>
    </w:r>
    <w:r>
      <w:rPr>
        <w:rtl/>
      </w:rPr>
      <w:instrText xml:space="preserve"> </w:instrText>
    </w:r>
    <w:r>
      <w:rPr>
        <w:rtl/>
      </w:rPr>
      <w:fldChar w:fldCharType="separate"/>
    </w:r>
    <w:r>
      <w:rPr>
        <w:rFonts w:ascii="Arial" w:hAnsi="Arial" w:cs="Arial" w:hint="cs"/>
        <w:noProof/>
        <w:rtl/>
      </w:rPr>
      <w:t>‌ظ‌ظ‌ظ</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D44C5" w14:textId="77777777" w:rsidR="00454428" w:rsidRDefault="00000000">
    <w:pPr>
      <w:pStyle w:val="a3"/>
      <w:tabs>
        <w:tab w:val="clear" w:pos="9026"/>
        <w:tab w:val="right" w:pos="8761"/>
      </w:tabs>
      <w:jc w:val="center"/>
    </w:pPr>
    <w:r>
      <w:rPr>
        <w:rtl/>
      </w:rPr>
      <w:fldChar w:fldCharType="begin"/>
    </w:r>
    <w:r>
      <w:rPr>
        <w:rtl/>
      </w:rPr>
      <w:instrText xml:space="preserve"> PAGE </w:instrText>
    </w:r>
    <w:r>
      <w:rPr>
        <w:rtl/>
      </w:rPr>
      <w:fldChar w:fldCharType="separate"/>
    </w:r>
    <w:r w:rsidR="00C72BA8">
      <w:rPr>
        <w:noProof/>
        <w:rtl/>
      </w:rPr>
      <w:t>1</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BD2E" w14:textId="77777777" w:rsidR="00464D24" w:rsidRDefault="00464D24">
    <w:pPr>
      <w:pStyle w:val="a3"/>
      <w:tabs>
        <w:tab w:val="clear" w:pos="9026"/>
        <w:tab w:val="right" w:pos="8761"/>
      </w:tabs>
      <w:jc w:val="center"/>
    </w:pPr>
    <w:r>
      <w:rPr>
        <w:rtl/>
      </w:rPr>
      <w:fldChar w:fldCharType="begin"/>
    </w:r>
    <w:r>
      <w:rPr>
        <w:rtl/>
      </w:rPr>
      <w:instrText xml:space="preserve"> PAGE </w:instrText>
    </w:r>
    <w:r>
      <w:rPr>
        <w:rtl/>
      </w:rPr>
      <w:fldChar w:fldCharType="separate"/>
    </w:r>
    <w:r>
      <w:rPr>
        <w:noProof/>
        <w:rtl/>
      </w:rPr>
      <w:t>1</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418A1" w14:textId="77777777" w:rsidR="00353050" w:rsidRDefault="00353050" w:rsidP="00066A55">
      <w:pPr>
        <w:bidi/>
      </w:pPr>
      <w:r>
        <w:separator/>
      </w:r>
    </w:p>
  </w:footnote>
  <w:footnote w:type="continuationSeparator" w:id="0">
    <w:p w14:paraId="6FAE46F3" w14:textId="77777777" w:rsidR="00353050" w:rsidRDefault="00353050">
      <w:r>
        <w:continuationSeparator/>
      </w:r>
    </w:p>
  </w:footnote>
  <w:footnote w:type="continuationNotice" w:id="1">
    <w:p w14:paraId="64438496" w14:textId="77777777" w:rsidR="00353050" w:rsidRDefault="00353050"/>
  </w:footnote>
  <w:footnote w:id="2">
    <w:p w14:paraId="143C7A6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Pr>
        <w:t>(</w:t>
      </w:r>
      <w:r w:rsidRPr="00A663DE">
        <w:rPr>
          <w:rFonts w:ascii="Times New Roman" w:hAnsi="Times New Roman" w:cs="Times New Roman"/>
          <w:sz w:val="24"/>
          <w:szCs w:val="24"/>
          <w:rtl/>
          <w:lang w:val="ar-SA"/>
        </w:rPr>
        <w:t xml:space="preserve"> كوثر مازوني، ومبروك مشونشي، نطاق الملكية الفكرية في البيئة الرقمية، مجلة العلوم الإنسانية، جامعة العربي بن مهيدي، أم البواقي، 9 (3) 2022، ص 1273</w:t>
      </w:r>
    </w:p>
  </w:footnote>
  <w:footnote w:id="3">
    <w:p w14:paraId="6F2FF33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صلاح سلمان أسمر زين الدين،  الملكية الفكرية نشأتها ونطاقها وعناصرها وأهميتها. المؤتمر العلمي الثالث: موقف الإسلام من مسألة الملكية الفكرية، الأردن، 2001، ص 3.</w:t>
      </w:r>
    </w:p>
  </w:footnote>
  <w:footnote w:id="4">
    <w:p w14:paraId="1D9186BB" w14:textId="6A5AC461"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7E301C">
        <w:rPr>
          <w:rFonts w:ascii="Times New Roman" w:hAnsi="Times New Roman" w:cs="Times New Roman" w:hint="cs"/>
          <w:sz w:val="24"/>
          <w:szCs w:val="24"/>
          <w:vertAlign w:val="superscript"/>
          <w:rtl/>
          <w:lang w:val="ar-SA"/>
        </w:rPr>
        <w:t>2</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نزيه محمد الصادق المهدي، آلية حماية حقوق الملكية الفكرية، كلية الحقوق جامعة القاهرة، دار النهضة العربية للنشر، القاهرة، الطبعة الثانية، 2017, ص3.</w:t>
      </w:r>
    </w:p>
  </w:footnote>
  <w:footnote w:id="5">
    <w:p w14:paraId="72EA6502"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3، العدد 5، أغسطس 2023، ص 19-22.</w:t>
      </w:r>
    </w:p>
  </w:footnote>
  <w:footnote w:id="6">
    <w:p w14:paraId="2531FCF5"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السيد أحمد عبد الخالق، حماية حقوق الملكية الفكرية في ظل اتفاقية التريس والتشريعات الاقتصادية، الطبعة الأولى، دار الفكر والقانون للنشر بالقاهرة، 2011، ص:43-58.</w:t>
      </w:r>
    </w:p>
  </w:footnote>
  <w:footnote w:id="7">
    <w:p w14:paraId="09C206D1"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(2)</w:t>
      </w:r>
      <w:r w:rsidRPr="00A663DE">
        <w:rPr>
          <w:rFonts w:ascii="Times New Roman" w:hAnsi="Times New Roman" w:cs="Times New Roman"/>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ص:39-42.</w:t>
      </w:r>
    </w:p>
  </w:footnote>
  <w:footnote w:id="8">
    <w:p w14:paraId="738C4229"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 31-53.</w:t>
      </w:r>
    </w:p>
  </w:footnote>
  <w:footnote w:id="9">
    <w:p w14:paraId="66D30E9C"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 2022/ 2023. ص 7-87.</w:t>
      </w:r>
    </w:p>
  </w:footnote>
  <w:footnote w:id="10">
    <w:p w14:paraId="49E4704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 مروة زين العابدين سعد، التحكيم في منازعات الملكية الفكرية: ما بين النظام العام ومبدأ سلطان الإرادة، جامعة عين شمس، كلية الحقوق، الناشر مجلة العلوم القانونية والاقتصادية مج66، ع1، مصر، يناير 2024، ص 1069 - 1163.</w:t>
      </w:r>
    </w:p>
  </w:footnote>
  <w:footnote w:id="11">
    <w:p w14:paraId="5BB44C6D" w14:textId="77777777" w:rsidR="00454428" w:rsidRPr="00A663DE" w:rsidRDefault="00000000">
      <w:pPr>
        <w:pStyle w:val="a6"/>
        <w:bidi w:val="0"/>
        <w:jc w:val="both"/>
        <w:rPr>
          <w:rFonts w:ascii="Times New Roman" w:hAnsi="Times New Roman" w:cs="Times New Roman"/>
        </w:rPr>
      </w:pPr>
      <w:r w:rsidRPr="00A663DE">
        <w:rPr>
          <w:rFonts w:ascii="Times New Roman" w:hAnsi="Times New Roman" w:cs="Times New Roman"/>
          <w:sz w:val="24"/>
          <w:szCs w:val="24"/>
          <w:rtl/>
          <w:lang w:val="ar-SA"/>
        </w:rPr>
        <w:t xml:space="preserve"> (</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w:t>
      </w:r>
      <w:r w:rsidRPr="00A663DE">
        <w:rPr>
          <w:rFonts w:ascii="Times New Roman" w:hAnsi="Times New Roman" w:cs="Times New Roman"/>
        </w:rPr>
        <w:t xml:space="preserve">De Beer (J.), Gold (E. R.), "International Trade, Intellectual Property, and Innovation Policy: Lessons from a Pandemic", in Vulnerable: The Policy, Law and Ethics of COVID-19, University of Ottawa Press, janvier 2020. </w:t>
      </w:r>
      <w:hyperlink r:id="rId1" w:history="1">
        <w:r w:rsidR="00454428" w:rsidRPr="00A663DE">
          <w:rPr>
            <w:rStyle w:val="Hyperlink0"/>
            <w:rFonts w:eastAsia="Arial Unicode MS"/>
          </w:rPr>
          <w:t>https://2u.pw/g1P5N</w:t>
        </w:r>
      </w:hyperlink>
    </w:p>
  </w:footnote>
  <w:footnote w:id="12">
    <w:p w14:paraId="2EE4DC5F" w14:textId="70D0B1E6"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 xml:space="preserve"> ولاء الدين محمد إبراهيم، التحكيم في منازعات المليكة الفكرية، المجلة المصرية للقانون الدولي، 72، 384-428، 2016، ص 388-389.</w:t>
      </w:r>
    </w:p>
  </w:footnote>
  <w:footnote w:id="13">
    <w:p w14:paraId="1CE6FC22" w14:textId="296DBEA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٢</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أسعد المحاسن لحرش، الملكية الفكرية بين تشجيع الابتكار وتحريم الاحتكار، مجلة دراسات وأبحاث، (6)، 109-86، 2012، ص 90.</w:t>
      </w:r>
    </w:p>
  </w:footnote>
  <w:footnote w:id="14">
    <w:p w14:paraId="64637319" w14:textId="461F2D2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١٣</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هناء عودة خضري أحمد عودة، دليل ضوابط الملكية الفكرية. دراسات في التعليم الجامعي، (23)، 462-420، 2012، ص424.</w:t>
      </w:r>
    </w:p>
  </w:footnote>
  <w:footnote w:id="15">
    <w:p w14:paraId="5643829D" w14:textId="09E19864"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١٤</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ابن منظور، لسان العرب دار صادر، بيروت، لبنان، ط ٣، المجلد الخامس، ١٩٩٤، ص ٦٥.</w:t>
      </w:r>
    </w:p>
  </w:footnote>
  <w:footnote w:id="16">
    <w:p w14:paraId="76F69686" w14:textId="2D4448D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١٥</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مجمع اللغة العربية، المعجم الوسيط، مكتبة الشروق الدولية، القاهرة، بدون طبعة، ٢٠٠٤، ص ٦٩٨.</w:t>
      </w:r>
    </w:p>
  </w:footnote>
  <w:footnote w:id="17">
    <w:p w14:paraId="6CF99C8C" w14:textId="5A690AE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١٦</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محمد أحمد آدم أبكر، حقوق الملكية الفكرية وتطبيقاتها الجنائية: دراسة مقارنة. (رسالة دكتوراه غير منشورة)، جامعة أم درمان الإسلامية، السودان، 2016، ص 2.</w:t>
      </w:r>
    </w:p>
  </w:footnote>
  <w:footnote w:id="18">
    <w:p w14:paraId="3EF78917" w14:textId="1B4F0472"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١٧</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أخلاقيات العمل وحقوق الملكية الفكرية، الطبعة الأولى، بدون ناشر، ١٤٤٤ هـ، ٢٠٢٣، ص ٢٦٩.</w:t>
      </w:r>
    </w:p>
  </w:footnote>
  <w:footnote w:id="19">
    <w:p w14:paraId="3953164A" w14:textId="5B33EFCB"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١٨</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مرجع سابق، ص، -٥٨.</w:t>
      </w:r>
    </w:p>
  </w:footnote>
  <w:footnote w:id="20">
    <w:p w14:paraId="438AF40B"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بلقاسمي كهينة، استقلالية النظام القانوني للملكية الفكرية، مذكرة من أجل الحصول على شهادة الماجستير في الحقوق، كلية الحقوق جامعة الجزائر بن يوسف بن خدة، ٢٠٠٨-٢٠٠٩، ص.</w:t>
      </w:r>
    </w:p>
  </w:footnote>
  <w:footnote w:id="21">
    <w:p w14:paraId="44C117B2"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حسام الدين صغير، المنظمة العالمية للملكية الفكرية </w:t>
      </w:r>
      <w:r w:rsidRPr="00A663DE">
        <w:rPr>
          <w:rFonts w:ascii="Times New Roman" w:hAnsi="Times New Roman" w:cs="Times New Roman"/>
        </w:rPr>
        <w:t>Wipo</w:t>
      </w:r>
      <w:r w:rsidRPr="00A663DE">
        <w:rPr>
          <w:rFonts w:ascii="Times New Roman" w:hAnsi="Times New Roman" w:cs="Times New Roman"/>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 ص ٢.</w:t>
      </w:r>
    </w:p>
  </w:footnote>
  <w:footnote w:id="22">
    <w:p w14:paraId="3EB6EF5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3">
    <w:p w14:paraId="0B09AB9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4">
    <w:p w14:paraId="0D095DE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5">
    <w:p w14:paraId="3B6560A2"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إثبات الملكية في الوثائق العربية، الدار المصرية اللبنانية للنشر، الطبعة الأولي، القاهرة، ١٩٩٤، ص٥٨.</w:t>
      </w:r>
    </w:p>
  </w:footnote>
  <w:footnote w:id="26">
    <w:p w14:paraId="3B38F347"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مرجع سابق، ص، -٥٨.</w:t>
      </w:r>
    </w:p>
  </w:footnote>
  <w:footnote w:id="27">
    <w:p w14:paraId="340BCC93" w14:textId="77777777" w:rsidR="005B098D" w:rsidRDefault="005B098D" w:rsidP="005B098D">
      <w:pPr>
        <w:pStyle w:val="a6"/>
        <w:bidi w:val="0"/>
      </w:pPr>
      <w:r w:rsidRPr="005B098D">
        <w:rPr>
          <w:vertAlign w:val="superscript"/>
        </w:rPr>
        <w:t>(</w:t>
      </w:r>
      <w:r w:rsidRPr="005B098D">
        <w:rPr>
          <w:rStyle w:val="aa"/>
        </w:rPr>
        <w:footnoteRef/>
      </w:r>
      <w:r w:rsidRPr="005B098D">
        <w:rPr>
          <w:vertAlign w:val="superscript"/>
        </w:rPr>
        <w:t>)</w:t>
      </w:r>
      <w:r>
        <w:t xml:space="preserve"> </w:t>
      </w:r>
      <w:r w:rsidRPr="00A663DE">
        <w:rPr>
          <w:rFonts w:ascii="Times New Roman" w:hAnsi="Times New Roman" w:cs="Times New Roman"/>
        </w:rPr>
        <w:t>Lucchi (N.)</w:t>
      </w:r>
      <w:r w:rsidRPr="00A663DE">
        <w:rPr>
          <w:rFonts w:ascii="Times New Roman" w:hAnsi="Times New Roman" w:cs="Times New Roman"/>
          <w:sz w:val="24"/>
          <w:szCs w:val="24"/>
          <w:rtl/>
          <w:lang w:val="ar-SA"/>
        </w:rPr>
        <w:t>،</w:t>
      </w:r>
      <w:r w:rsidRPr="00A663DE">
        <w:rPr>
          <w:rFonts w:ascii="Times New Roman" w:hAnsi="Times New Roman" w:cs="Times New Roman"/>
        </w:rPr>
        <w:t xml:space="preserve"> "Intellectual Property Rights in Digital Media: A Comparative Analysis of Legal Protection, Technological Measures, and New Business Models under EU and US Law", Buffalo Law Review, vol. 53, 2005, p. 1111</w:t>
      </w:r>
    </w:p>
  </w:footnote>
  <w:footnote w:id="28">
    <w:p w14:paraId="48EBBA6B"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الأنترنت وعصر ثورة المعلومات، دار هومة للنشر والتوزيع، الطبعة الأولى، ١٩٩٩، ص ٥٤.</w:t>
      </w:r>
    </w:p>
  </w:footnote>
  <w:footnote w:id="29">
    <w:p w14:paraId="165B72C4"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232.</w:t>
      </w:r>
    </w:p>
  </w:footnote>
  <w:footnote w:id="30">
    <w:p w14:paraId="4D4E7F27" w14:textId="6EA222D1" w:rsidR="00454428" w:rsidRPr="00A663DE" w:rsidRDefault="00FD2A46">
      <w:pPr>
        <w:pStyle w:val="a6"/>
        <w:bidi w:val="0"/>
        <w:jc w:val="both"/>
        <w:rPr>
          <w:rFonts w:ascii="Times New Roman" w:hAnsi="Times New Roman" w:cs="Times New Roman"/>
          <w:lang w:val="it-IT"/>
        </w:rPr>
      </w:pPr>
      <w:r>
        <w:rPr>
          <w:rFonts w:ascii="Times New Roman" w:hAnsi="Times New Roman" w:cs="Times New Roman"/>
          <w:vertAlign w:val="superscript"/>
          <w:lang w:val="it-IT"/>
        </w:rPr>
        <w:t xml:space="preserve"> (</w:t>
      </w:r>
      <w:r w:rsidRPr="00FD2A46">
        <w:rPr>
          <w:rFonts w:ascii="Times New Roman" w:hAnsi="Times New Roman" w:cs="Times New Roman"/>
          <w:vertAlign w:val="superscript"/>
          <w:lang w:val="it-IT"/>
        </w:rPr>
        <w:t>1</w:t>
      </w:r>
      <w:r w:rsidR="00000000" w:rsidRPr="00A663DE">
        <w:rPr>
          <w:rFonts w:ascii="Times New Roman" w:hAnsi="Times New Roman" w:cs="Times New Roman"/>
          <w:vertAlign w:val="superscript"/>
          <w:lang w:val="it-IT"/>
        </w:rPr>
        <w:t>)</w:t>
      </w:r>
      <w:r w:rsidR="00000000" w:rsidRPr="00A663DE">
        <w:rPr>
          <w:rFonts w:ascii="Times New Roman" w:hAnsi="Times New Roman" w:cs="Times New Roman"/>
          <w:sz w:val="24"/>
          <w:szCs w:val="24"/>
          <w:rtl/>
          <w:lang w:val="ar-SA"/>
        </w:rPr>
        <w:t xml:space="preserve"> </w:t>
      </w:r>
      <w:r w:rsidR="00000000" w:rsidRPr="00A663DE">
        <w:rPr>
          <w:rFonts w:ascii="Times New Roman" w:hAnsi="Times New Roman" w:cs="Times New Roman"/>
          <w:lang w:val="it-IT"/>
        </w:rPr>
        <w:t>Piette Coudol (T.), Bertrand (A.), Internet et la loi, Dalloz, 1997, p. 141</w:t>
      </w:r>
    </w:p>
  </w:footnote>
  <w:footnote w:id="31">
    <w:p w14:paraId="5770CC9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مرجع سابق، ص ٥٤.</w:t>
      </w:r>
    </w:p>
  </w:footnote>
  <w:footnote w:id="32">
    <w:p w14:paraId="1D668DE3" w14:textId="070B7AE6" w:rsidR="00454428" w:rsidRPr="00A663DE" w:rsidRDefault="00FD2A46">
      <w:pPr>
        <w:pStyle w:val="a6"/>
        <w:bidi w:val="0"/>
        <w:jc w:val="both"/>
        <w:rPr>
          <w:rFonts w:ascii="Times New Roman" w:hAnsi="Times New Roman" w:cs="Times New Roman"/>
          <w:lang w:val="it-IT"/>
        </w:rPr>
      </w:pPr>
      <w:r>
        <w:rPr>
          <w:rFonts w:ascii="Times New Roman" w:hAnsi="Times New Roman" w:cs="Times New Roman"/>
          <w:vertAlign w:val="superscript"/>
          <w:lang w:val="it-IT"/>
        </w:rPr>
        <w:t>(</w:t>
      </w: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00000000" w:rsidRPr="00A663DE">
        <w:rPr>
          <w:rFonts w:ascii="Times New Roman" w:hAnsi="Times New Roman" w:cs="Times New Roman"/>
          <w:sz w:val="24"/>
          <w:szCs w:val="24"/>
          <w:rtl/>
          <w:lang w:val="ar-SA"/>
        </w:rPr>
        <w:t xml:space="preserve"> </w:t>
      </w:r>
      <w:r w:rsidR="00000000" w:rsidRPr="00A663DE">
        <w:rPr>
          <w:rFonts w:ascii="Times New Roman" w:hAnsi="Times New Roman" w:cs="Times New Roman"/>
          <w:lang w:val="it-IT"/>
        </w:rPr>
        <w:t>Piette Coudol (T.), Bertrand (A.), Internet et la loi, Dalloz, 1997, p. 141</w:t>
      </w:r>
      <w:r w:rsidR="00000000" w:rsidRPr="00A663DE">
        <w:rPr>
          <w:rFonts w:ascii="Times New Roman" w:hAnsi="Times New Roman" w:cs="Times New Roman"/>
          <w:sz w:val="24"/>
          <w:szCs w:val="24"/>
          <w:rtl/>
          <w:lang w:val="ar-SA"/>
        </w:rPr>
        <w:t>.</w:t>
      </w:r>
    </w:p>
  </w:footnote>
  <w:footnote w:id="33">
    <w:p w14:paraId="025DF1B2" w14:textId="77777777" w:rsidR="00454428" w:rsidRPr="00A663DE" w:rsidRDefault="00000000">
      <w:pPr>
        <w:pStyle w:val="Body"/>
        <w:spacing w:after="0" w:line="240" w:lineRule="auto"/>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0"/>
          <w:szCs w:val="20"/>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لفقيه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فتح</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الله؛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وكريمة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كريم،</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الجزائية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لقانون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الملكية الفكرية للمصنف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الإلكتروني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بيئة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الأنترنت</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ومدى</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استفادة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الصحفي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هذه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مجلة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الصورة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والاتصال، ع(22)،</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2018، ص40.</w:t>
      </w:r>
      <w:r w:rsidRPr="00A663DE">
        <w:rPr>
          <w:rFonts w:ascii="Times New Roman" w:hAnsi="Times New Roman" w:cs="Times New Roman"/>
          <w:sz w:val="20"/>
          <w:szCs w:val="20"/>
          <w:rtl/>
        </w:rPr>
        <w:t xml:space="preserve"> </w:t>
      </w:r>
    </w:p>
  </w:footnote>
  <w:footnote w:id="34">
    <w:p w14:paraId="690DDDE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حماية حقوق الملكية الفكرية على شبكة الإنترنت، رسالة دكتوراه، جامعة جيلالي لياس، سيدي بلعباس، رسالة منشورة، ٢٠٢١-٢٠٢٢، ص ١٢.</w:t>
      </w:r>
    </w:p>
  </w:footnote>
  <w:footnote w:id="35">
    <w:p w14:paraId="5407CA0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أغسطس- 2006، مصر، ص 4.</w:t>
      </w:r>
    </w:p>
  </w:footnote>
  <w:footnote w:id="36">
    <w:p w14:paraId="49DD715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احسان طوير، مرجع سابق، ص ١٢</w:t>
      </w:r>
      <w:r w:rsidRPr="00A663DE">
        <w:rPr>
          <w:rFonts w:ascii="Times New Roman" w:hAnsi="Times New Roman" w:cs="Times New Roman"/>
        </w:rPr>
        <w:t>.</w:t>
      </w:r>
    </w:p>
  </w:footnote>
  <w:footnote w:id="37">
    <w:p w14:paraId="4F51DC70"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2.</w:t>
      </w:r>
    </w:p>
  </w:footnote>
  <w:footnote w:id="38">
    <w:p w14:paraId="1282999E"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عبد الله الشريف، حقوق الملكية الفكرية وعصر تقنيات المعلومات والاتصالات، مجلة الجامعي، (5)، 284-261، 2003، ص267.</w:t>
      </w:r>
    </w:p>
  </w:footnote>
  <w:footnote w:id="39">
    <w:p w14:paraId="374C0F9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أحمد عبد الله</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 xml:space="preserve">مصطفى، حقوق الملكية الفكرية والتأليف في بيئة الإنترنت. </w:t>
      </w:r>
      <w:r w:rsidRPr="00A663DE">
        <w:rPr>
          <w:rFonts w:ascii="Times New Roman" w:hAnsi="Times New Roman" w:cs="Times New Roman"/>
        </w:rPr>
        <w:t xml:space="preserve">Cybrarians Journal </w:t>
      </w:r>
      <w:r w:rsidRPr="00A663DE">
        <w:rPr>
          <w:rFonts w:ascii="Times New Roman" w:hAnsi="Times New Roman" w:cs="Times New Roman"/>
          <w:sz w:val="24"/>
          <w:szCs w:val="24"/>
          <w:rtl/>
          <w:lang w:val="ar-SA"/>
        </w:rPr>
        <w:t>، (21) ، 1-35، 2009، ص2.</w:t>
      </w:r>
    </w:p>
  </w:footnote>
  <w:footnote w:id="40">
    <w:p w14:paraId="7BFE57A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1">
    <w:p w14:paraId="6776DA3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2">
    <w:p w14:paraId="559F7E8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ص538.</w:t>
      </w:r>
    </w:p>
  </w:footnote>
  <w:footnote w:id="43">
    <w:p w14:paraId="62C5BA2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٢٠.</w:t>
      </w:r>
    </w:p>
  </w:footnote>
  <w:footnote w:id="44">
    <w:p w14:paraId="5682BA4A"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سرباز سعيد رشيد، الحماية القانونية لحقوق الملكية الفكرية، رسالة ماجستير غير منشورة، جامعة الشرق الأردني، الأردن، 2020، ص46.</w:t>
      </w:r>
    </w:p>
  </w:footnote>
  <w:footnote w:id="45">
    <w:p w14:paraId="70318019"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هناء عودة خضري أحمد عودة، دليل ضوابط الملكية الفكرية، دراسات في التعليم الجماعي، ع (23)، 420-462، 2012، ص429.</w:t>
      </w:r>
    </w:p>
  </w:footnote>
  <w:footnote w:id="46">
    <w:p w14:paraId="360C296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7">
    <w:p w14:paraId="0B9D4B0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ص560.</w:t>
      </w:r>
    </w:p>
  </w:footnote>
  <w:footnote w:id="48">
    <w:p w14:paraId="2C5439F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9">
    <w:p w14:paraId="36416EB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ص1369.</w:t>
      </w:r>
    </w:p>
  </w:footnote>
  <w:footnote w:id="50">
    <w:p w14:paraId="074100C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موقع منظمة الويبو، مقال حق المؤلف، متاح من </w:t>
      </w:r>
      <w:hyperlink r:id="rId2" w:history="1">
        <w:r w:rsidR="00454428" w:rsidRPr="00A663DE">
          <w:rPr>
            <w:rStyle w:val="Hyperlink1"/>
            <w:rFonts w:eastAsia="Arial Unicode MS"/>
          </w:rPr>
          <w:t>https://www.wipo.int/copyright/ar</w:t>
        </w:r>
      </w:hyperlink>
      <w:r w:rsidRPr="00A663DE">
        <w:rPr>
          <w:rStyle w:val="None"/>
          <w:rFonts w:ascii="Times New Roman" w:hAnsi="Times New Roman" w:cs="Times New Roman"/>
          <w:sz w:val="24"/>
          <w:szCs w:val="24"/>
          <w:rtl/>
          <w:lang w:val="ar-SA"/>
        </w:rPr>
        <w:t xml:space="preserve"> ، تاريخ الزيارة: ٠٩/١٠/٢٠٢٤.</w:t>
      </w:r>
    </w:p>
  </w:footnote>
  <w:footnote w:id="51">
    <w:p w14:paraId="63C6AE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اليوم العالمي للملكية الفكرية 2024 الملكية الفكرية وأهداف الأمم المتحدة للتنمية المستدامة، متاح من خلال: </w:t>
      </w:r>
      <w:hyperlink r:id="rId3" w:history="1">
        <w:r w:rsidR="00454428" w:rsidRPr="00A663DE">
          <w:rPr>
            <w:rStyle w:val="Hyperlink1"/>
            <w:rFonts w:eastAsia="Arial Unicode MS"/>
          </w:rPr>
          <w:t>https://www.wipo.int/pressroom/ar/articles/2024/article_0003.html</w:t>
        </w:r>
      </w:hyperlink>
      <w:r w:rsidRPr="00A663DE">
        <w:rPr>
          <w:rStyle w:val="None"/>
          <w:rFonts w:ascii="Times New Roman" w:hAnsi="Times New Roman" w:cs="Times New Roman"/>
          <w:sz w:val="24"/>
          <w:szCs w:val="24"/>
          <w:rtl/>
          <w:lang w:val="ar-SA"/>
        </w:rPr>
        <w:t>، تاريخ الزيارة: ٠٩/١٠/٢٠٢٤.</w:t>
      </w:r>
    </w:p>
  </w:footnote>
  <w:footnote w:id="52">
    <w:p w14:paraId="58189C2E" w14:textId="77777777" w:rsidR="00454428" w:rsidRPr="00A663DE" w:rsidRDefault="00000000" w:rsidP="006F4C04">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World Intellectual Property Organization (WIPO), Understanding Copyright and Related Rights, (2rd ed.), 2020, Available at: </w:t>
      </w:r>
      <w:hyperlink r:id="rId4" w:history="1">
        <w:r w:rsidR="00454428" w:rsidRPr="00A663DE">
          <w:rPr>
            <w:rStyle w:val="Hyperlink1"/>
            <w:rFonts w:eastAsia="Arial Unicode MS"/>
          </w:rPr>
          <w:t>https://www.wipo.int/edocs/pubdocs/en/wipo_pub_909_2016.pdf</w:t>
        </w:r>
      </w:hyperlink>
      <w:r w:rsidRPr="00A663DE">
        <w:rPr>
          <w:rStyle w:val="None"/>
          <w:rFonts w:ascii="Times New Roman" w:hAnsi="Times New Roman" w:cs="Times New Roman"/>
        </w:rPr>
        <w:t xml:space="preserve"> ,Date of visit: 10/15/2024.</w:t>
      </w:r>
    </w:p>
  </w:footnote>
  <w:footnote w:id="53">
    <w:p w14:paraId="432C680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الثالثة من اتفاقية إنشاء المنظمة العالمية للملكية الفكرية عام 1967.</w:t>
      </w:r>
    </w:p>
  </w:footnote>
  <w:footnote w:id="54">
    <w:p w14:paraId="199EB94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مؤيد زيدان، حقوق الملكية الفكرية، المشاع المبدع للنشر، سوريا، 2020، ص33.</w:t>
      </w:r>
    </w:p>
  </w:footnote>
  <w:footnote w:id="55">
    <w:p w14:paraId="79373E4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ع9، 2019، 61-95، ص75.</w:t>
      </w:r>
    </w:p>
  </w:footnote>
  <w:footnote w:id="56">
    <w:p w14:paraId="575DD1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٣٥٧.</w:t>
      </w:r>
    </w:p>
  </w:footnote>
  <w:footnote w:id="57">
    <w:p w14:paraId="45396C4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الحق الأدبي للمؤلف وأثر النشر الرقمي عليه، مجلة الأستاذ الباحث للدراسات القانونية والسياسية، مج7، ع1، 2022، ص579.</w:t>
      </w:r>
    </w:p>
  </w:footnote>
  <w:footnote w:id="58">
    <w:p w14:paraId="46FB42B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رحبي؛ ويوسف حمين، الطبيعة القانونية لحق المؤلف والحقوق المجاورة، رسالة ماجستير غير منشورة، جامعة زيان عاشور بالحلفة، الجزائر، 2015، ص11.</w:t>
      </w:r>
    </w:p>
  </w:footnote>
  <w:footnote w:id="59">
    <w:p w14:paraId="303B7AC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حسن البدراوي، إنقاذ حقوق الملكية الفكرية، ملتقى تنظيم المنظمة العالمية للملكية الفكرية جنيف، في ١٨-١٩ جوان ٢٠٠٣، ص ٣.</w:t>
      </w:r>
    </w:p>
  </w:footnote>
  <w:footnote w:id="60">
    <w:p w14:paraId="74E176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1">
    <w:p w14:paraId="088F39F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2">
    <w:p w14:paraId="79AFEB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سيد عبد الله محمد خليلي، الحماية القانونية والشرعية لحق الترجمة دراسة مقارنة القانون المصري والنظام السعودي، مجلة كلية الشريعة والقانون، مج33، ع4، 2018، ص1891.</w:t>
      </w:r>
    </w:p>
  </w:footnote>
  <w:footnote w:id="63">
    <w:p w14:paraId="6CE7E3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٢٩٦-٢٩٧.</w:t>
      </w:r>
    </w:p>
  </w:footnote>
  <w:footnote w:id="64">
    <w:p w14:paraId="1708FDD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وحمدين سعيد، الحق الأدبي للمؤلف وأثر النشر الرقمي عليه، مجلة الأستاذ الباحث للدراسات القانونية والسياسية، مج7، ع1، 2022، ص583.</w:t>
      </w:r>
    </w:p>
  </w:footnote>
  <w:footnote w:id="65">
    <w:p w14:paraId="4EFEB90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٢٧٥.</w:t>
      </w:r>
    </w:p>
  </w:footnote>
  <w:footnote w:id="66">
    <w:p w14:paraId="1D0C596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عادل محمد صفوت محمد علي، النظام القانوني لحماية حقوق الملكية الصناعية ومردودها الاقتصادي، مجلة روح القوانين، ع96، 2021، ص581.</w:t>
      </w:r>
    </w:p>
  </w:footnote>
  <w:footnote w:id="67">
    <w:p w14:paraId="7DCE3F1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 المادة رقم (١): [إنشاء الاتحاد ونطاق الملكية الصناعية]: "(١) تشكِّل الدول التي تسري عليها هذه الاتفاقية اتحادًا لحماية الملكية الصناعية. (٢) تشمل حماية الملكية الصناعية براءات الاختراع، ونماذج المنفعة، والرسوم، والنماذج الصناعية، والعلامات الصناعية أو التجارية، وعلامات الخدمة، والاسم التجاري، وبيانات المصدر أو تسميات المنشأ، وكذلك قمع المنافسة غير المشروعة. (٣) تؤخذ الملكية الصناعية بأوسع معانيها، فلا يقتصر تطبيقها على الصناعة والتجارة بمعناها الحرفي، وإنما تطبق كذلك على الصناعات الزراعية والاستخراجية، وعلى جميع المنتجات المصنعة أو الطبيعية، مثل: الأنبذة، والحبوب، وأوراق التبغ، والفواكه، والمواشي، والمعادن، والمياه المعدنية، والبيرة، والزهور، والدقيق. (٤) تشمل براءات الاختراع مختلف أنواع البراءات الصناعية التي تقرها تشريعات دول الاتحاد كبَرَاءات الاستيراد، وبراءات التحسين، وبراءات وشهادات الإضافة وغيرها".</w:t>
      </w:r>
    </w:p>
  </w:footnote>
  <w:footnote w:id="68">
    <w:p w14:paraId="6C577F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ريماني يونس؛ ورحيلة الشيخ، دور القضاء المدني الجزائري في حقوق الملكية الفكرية، رسالة ماجستير غير منشورة، جامعة بلحاح بوشعيب، الجزائر، 2024، ص28.</w:t>
      </w:r>
    </w:p>
  </w:footnote>
  <w:footnote w:id="69">
    <w:p w14:paraId="73D237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٤.</w:t>
      </w:r>
    </w:p>
  </w:footnote>
  <w:footnote w:id="70">
    <w:p w14:paraId="62AA017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٧-٨.</w:t>
      </w:r>
    </w:p>
  </w:footnote>
  <w:footnote w:id="71">
    <w:p w14:paraId="2F0681E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علي محمد؛ فتاحي محمد، مفهوم براءة الاختراع وآليات حمايتها في التشريع الجزائري، مجلة الحقيقة، ع38، 2015، ص3.</w:t>
      </w:r>
    </w:p>
  </w:footnote>
  <w:footnote w:id="72">
    <w:p w14:paraId="27B24EB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3">
    <w:p w14:paraId="7E8192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أحمد علي أحمد عبيد، شروط منح براءة الاختراع، المجلة العملية للملكية الفكرية وإدارة الابتكار، ع2، 2022، ص189.</w:t>
      </w:r>
    </w:p>
  </w:footnote>
  <w:footnote w:id="74">
    <w:p w14:paraId="4BE2D20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ماهر أبو سريع محمد رفاعي، تداخل الاختصاص بين أحكام التصميمات الصناعية أحكام حقوق المؤلف، المجلة العلمية للملكية الفكرية وإدارة الابتكار، مج1، ع1، 2018، ص211.</w:t>
      </w:r>
    </w:p>
  </w:footnote>
  <w:footnote w:id="75">
    <w:p w14:paraId="57A112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6">
    <w:p w14:paraId="59616A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ص5.</w:t>
      </w:r>
    </w:p>
  </w:footnote>
  <w:footnote w:id="77">
    <w:p w14:paraId="0933B93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عبد المحسن حسن، مفهوم العلامة التجارية، مجلة الفكر القانون والاقتصادي، ع 1، 2022، ص754.</w:t>
      </w:r>
    </w:p>
  </w:footnote>
  <w:footnote w:id="78">
    <w:p w14:paraId="205422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الأولى من نظام العلامات التجارية مرسوم ملكي رقم م/21 بتاريخ 28/5/1423.</w:t>
      </w:r>
    </w:p>
  </w:footnote>
  <w:footnote w:id="79">
    <w:p w14:paraId="56C3488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نبيلة بركان، الملكية الفكرية وتأثيرها في الاقتصاد العالمي، رسالة ماجستير غير منشورة، جامعة دالي إبراهيم، الجزائر، 2010، ص16.</w:t>
      </w:r>
    </w:p>
  </w:footnote>
  <w:footnote w:id="80">
    <w:p w14:paraId="1CC30CC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حقوق الملكية الفكرية دورها في حماية المصنفات الرقمية وأسماء النطاقات على شبكة الإنترنت، دار الفكر الجامعي، ۲۰۲۱، بدون طبعه، ص ١٣.</w:t>
      </w:r>
    </w:p>
  </w:footnote>
  <w:footnote w:id="81">
    <w:p w14:paraId="01CF34E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البصريين، حديث عمرو بن يثربي، ت: شعيب الأرنؤوط، عادل مرشد، وآخرون، إشراف: عبد الله بن عبد المحسن التركي، مؤسسة الرسالة، ط1، 34/ 560، رقم (21082).</w:t>
      </w:r>
    </w:p>
  </w:footnote>
  <w:footnote w:id="82">
    <w:p w14:paraId="052D0A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أبو الحسين مسلم، (1955م). صحيح مسلم، كتاب الإيمان، باب قول النبي ﷺ "من غشنا فليس منا"، ت: محمد فؤاد عبد الباقي، القاهرة: طبعة عيسى البابي الحلبي وشركاه، د. ط، 1/ 99، رقم (102). </w:t>
      </w:r>
    </w:p>
  </w:footnote>
  <w:footnote w:id="83">
    <w:p w14:paraId="2C085EB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المكثرين من الصحابة، مسند عبد الله بن مسعود رضي الله تعالى عنه، 7/ 221، رقم (4157)، / انظر الترمذي، أبو عيسى محمد بن عيسى. (1996م). سنن الترمذي. أبواب العلم عن رسول الله ﷺ، باب ما جاء في الحث على تبليغ السماع، حققه وعلق عليه: بشار عواد معروف، بيروت: دار الغرب الإسلامي، ط1، 4/ 394، رقم (2657).</w:t>
      </w:r>
    </w:p>
  </w:footnote>
  <w:footnote w:id="84">
    <w:p w14:paraId="5825992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حقاص صونية، مرجع سابق، ص ٢٢-٢٣.</w:t>
      </w:r>
    </w:p>
  </w:footnote>
  <w:footnote w:id="85">
    <w:p w14:paraId="3571D5E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قانون "آن" قانون حقوق الطبع والنشر ١٧٠٩.</w:t>
      </w:r>
    </w:p>
  </w:footnote>
  <w:footnote w:id="86">
    <w:p w14:paraId="6B2792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١٥-١٦.</w:t>
      </w:r>
    </w:p>
  </w:footnote>
  <w:footnote w:id="87">
    <w:p w14:paraId="683694F0" w14:textId="77777777" w:rsidR="00454428" w:rsidRPr="00A663DE" w:rsidRDefault="00000000">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القانون الفرنسي الصادر في يناير 1791 مبدأ حماية حقوق المؤلف في فرنسا.</w:t>
      </w:r>
    </w:p>
  </w:footnote>
  <w:footnote w:id="88">
    <w:p w14:paraId="10FCA15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ص16.</w:t>
      </w:r>
    </w:p>
  </w:footnote>
  <w:footnote w:id="89">
    <w:p w14:paraId="46C56A0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مصعب علي أبو صلاح، واقع الملكية الفكرية وأثره على الاستثمار قطاع تكنولوجيا المعلومات في فلسطين، رسالة ماجستير، جامعة النجاح الوطنية،٢٠١٦، ص ٢٦.</w:t>
      </w:r>
    </w:p>
  </w:footnote>
  <w:footnote w:id="90">
    <w:p w14:paraId="1E80907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أمير الخوري، أساسيات الملكية الفكرية، منشورات مكتب براءات الاختراع والعلامات التجارية للولايات المتحدة، بدون طبعة، ٢٠٠٥، ص ٣٤ – ٣٥.</w:t>
      </w:r>
    </w:p>
  </w:footnote>
  <w:footnote w:id="91">
    <w:p w14:paraId="4531FD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١٧-١٨.</w:t>
      </w:r>
    </w:p>
  </w:footnote>
  <w:footnote w:id="92">
    <w:p w14:paraId="29E9C2E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 ص ٦٧٠ – ٦٧٢.</w:t>
      </w:r>
    </w:p>
  </w:footnote>
  <w:footnote w:id="93">
    <w:p w14:paraId="07E7ED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4">
    <w:p w14:paraId="67815F4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5">
    <w:p w14:paraId="6930575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6">
    <w:p w14:paraId="7E949C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7">
    <w:p w14:paraId="264B3F1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اتجاهات جديدة في الحصول على حقوق الملكية الفكرية في سوريا، برنامج الندوة الوطنية (حماية الملكية الفكرية)، بدون طبعة، ٢٠١٠، ص ٦ – ٨.</w:t>
      </w:r>
    </w:p>
  </w:footnote>
  <w:footnote w:id="98">
    <w:p w14:paraId="2FBF14B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99">
    <w:p w14:paraId="508A8A6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100">
    <w:p w14:paraId="6DEC1D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غسان فطوم، حقوق المؤلف والملكية الفكرية والحقوق المجاورة في العالم العربي والشرق الأوسط، الاتحاد الدولي للصحفيين منظمة من اتحاد الاتحاد، 2020، ص9.</w:t>
      </w:r>
    </w:p>
  </w:footnote>
  <w:footnote w:id="101">
    <w:p w14:paraId="162E1B2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المركز الديمقراطي العربي للدراسات الاستراتيجية والسياسية والاقتصادية، ألمانيا، برلين، الطبعة الأولى، ٢٠٢١، ص ٥٥- ٦٦.</w:t>
      </w:r>
    </w:p>
  </w:footnote>
  <w:footnote w:id="102">
    <w:p w14:paraId="01D44F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3">
    <w:p w14:paraId="48F7110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4">
    <w:p w14:paraId="49547DD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Piotraut, J. Des extraits de textes et des décisions (4e ed.). Ellipses, </w:t>
      </w:r>
      <w:r w:rsidRPr="00A663DE">
        <w:rPr>
          <w:rStyle w:val="None"/>
          <w:rFonts w:ascii="Times New Roman" w:hAnsi="Times New Roman" w:cs="Times New Roman"/>
        </w:rPr>
        <w:t xml:space="preserve"> 2004, </w:t>
      </w:r>
      <w:r w:rsidRPr="00A663DE">
        <w:rPr>
          <w:rStyle w:val="None"/>
          <w:rFonts w:ascii="Times New Roman" w:hAnsi="Times New Roman" w:cs="Times New Roman"/>
          <w:sz w:val="24"/>
          <w:szCs w:val="24"/>
          <w:rtl/>
          <w:lang w:val="ar-SA"/>
        </w:rPr>
        <w:t xml:space="preserve">  p</w:t>
      </w:r>
      <w:r w:rsidRPr="00A663DE">
        <w:rPr>
          <w:rStyle w:val="None"/>
          <w:rFonts w:ascii="Times New Roman" w:hAnsi="Times New Roman" w:cs="Times New Roman"/>
        </w:rPr>
        <w:t>67.</w:t>
      </w:r>
    </w:p>
  </w:footnote>
  <w:footnote w:id="105">
    <w:p w14:paraId="496C016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Prospect Law LTD. </w:t>
      </w:r>
      <w:r w:rsidRPr="00A663DE">
        <w:rPr>
          <w:rStyle w:val="None"/>
          <w:rFonts w:ascii="Times New Roman" w:hAnsi="Times New Roman" w:cs="Times New Roman"/>
          <w:i/>
          <w:iCs/>
        </w:rPr>
        <w:t xml:space="preserve">Intellectual Property in the UK: A Brief Overview, </w:t>
      </w:r>
      <w:r w:rsidRPr="00A663DE">
        <w:rPr>
          <w:rStyle w:val="None"/>
          <w:rFonts w:ascii="Times New Roman" w:hAnsi="Times New Roman" w:cs="Times New Roman"/>
        </w:rPr>
        <w:t xml:space="preserve">2025. Retrieved from </w:t>
      </w:r>
      <w:hyperlink r:id="rId5" w:history="1">
        <w:r w:rsidR="00454428" w:rsidRPr="00A663DE">
          <w:rPr>
            <w:rStyle w:val="Hyperlink0"/>
            <w:rFonts w:eastAsia="Arial Unicode MS"/>
          </w:rPr>
          <w:t>https://prospectlaw.co.uk/news/article/protecting-and-exploiting-uk-intellectual-property/</w:t>
        </w:r>
      </w:hyperlink>
    </w:p>
  </w:footnote>
  <w:footnote w:id="106">
    <w:p w14:paraId="4F7EF95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Helen Dods &amp; Emily Haves. World Intellectual Property Day 26 April 2018. House of Lords Library briefings. 2017, PP 2-3.</w:t>
      </w:r>
    </w:p>
  </w:footnote>
  <w:footnote w:id="107">
    <w:p w14:paraId="5530D43A" w14:textId="0EEC8FE5"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sz w:val="24"/>
          <w:szCs w:val="24"/>
          <w:rtl/>
          <w:lang w:val="ar-SA"/>
        </w:rPr>
        <w:t xml:space="preserve"> </w:t>
      </w:r>
      <w:r w:rsidR="00000000" w:rsidRPr="00A663DE">
        <w:rPr>
          <w:rStyle w:val="None"/>
          <w:rFonts w:ascii="Times New Roman" w:hAnsi="Times New Roman" w:cs="Times New Roman"/>
          <w:color w:val="222222"/>
          <w:u w:color="222222"/>
          <w:shd w:val="clear" w:color="auto" w:fill="FFFFFF"/>
        </w:rPr>
        <w:t>Al-Musallamawi, F. A. R. A., &amp; Al-Dulaimi, M. M. K. A. Protecting Intellectual Property Rights in Civil Legislation: A Comparative Study Between French Civil Law and Iraqi Civil Law. 2024, PP. 159-160.</w:t>
      </w:r>
    </w:p>
  </w:footnote>
  <w:footnote w:id="108">
    <w:p w14:paraId="4D4A8970" w14:textId="2E14CF2C"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w:t>
      </w: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rPr>
        <w:t xml:space="preserve">Dreyfus. </w:t>
      </w:r>
      <w:r w:rsidR="00000000" w:rsidRPr="00A663DE">
        <w:rPr>
          <w:rStyle w:val="None"/>
          <w:rFonts w:ascii="Times New Roman" w:hAnsi="Times New Roman" w:cs="Times New Roman"/>
          <w:i/>
          <w:iCs/>
        </w:rPr>
        <w:t>France’s IP Legislation: Mastering Trademarks in a Global Playground</w:t>
      </w:r>
      <w:r w:rsidR="00000000" w:rsidRPr="00A663DE">
        <w:rPr>
          <w:rStyle w:val="None"/>
          <w:rFonts w:ascii="Times New Roman" w:hAnsi="Times New Roman" w:cs="Times New Roman"/>
        </w:rPr>
        <w:t xml:space="preserve">. 2024, Retrieved from  </w:t>
      </w:r>
      <w:hyperlink r:id="rId6" w:history="1">
        <w:r w:rsidR="00454428" w:rsidRPr="00A663DE">
          <w:rPr>
            <w:rStyle w:val="Hyperlink0"/>
            <w:rFonts w:eastAsia="Arial Unicode MS"/>
          </w:rPr>
          <w:t>https://www.dreyfus.fr/en/2024/10/21/frances-ip-legislation-mastering-trademarks-in-a-global-playground/</w:t>
        </w:r>
      </w:hyperlink>
    </w:p>
  </w:footnote>
  <w:footnote w:id="109">
    <w:p w14:paraId="3F877BC2" w14:textId="4D0448A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color w:val="222222"/>
          <w:u w:color="222222"/>
          <w:shd w:val="clear" w:color="auto" w:fill="FFFFFF"/>
        </w:rPr>
        <w:t>Mbah, G. O. US Intellectual Property Law and its Impact on Business: Recent Developments and Trends. </w:t>
      </w:r>
      <w:r w:rsidR="00000000" w:rsidRPr="00A663DE">
        <w:rPr>
          <w:rStyle w:val="None"/>
          <w:rFonts w:ascii="Times New Roman" w:hAnsi="Times New Roman" w:cs="Times New Roman"/>
          <w:i/>
          <w:iCs/>
          <w:color w:val="222222"/>
          <w:u w:color="222222"/>
          <w:shd w:val="clear" w:color="auto" w:fill="FFFFFF"/>
        </w:rPr>
        <w:t>International Journal of science and Research Archive</w:t>
      </w:r>
      <w:r w:rsidR="00000000" w:rsidRPr="00A663DE">
        <w:rPr>
          <w:rStyle w:val="None"/>
          <w:rFonts w:ascii="Times New Roman" w:hAnsi="Times New Roman" w:cs="Times New Roman"/>
          <w:color w:val="222222"/>
          <w:u w:color="222222"/>
          <w:shd w:val="clear" w:color="auto" w:fill="FFFFFF"/>
        </w:rPr>
        <w:t>, 2024, P. 3281.</w:t>
      </w:r>
    </w:p>
  </w:footnote>
  <w:footnote w:id="110">
    <w:p w14:paraId="4BA394CC" w14:textId="76865F83"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w:t>
      </w: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sz w:val="24"/>
          <w:szCs w:val="24"/>
          <w:rtl/>
          <w:lang w:val="ar-SA"/>
        </w:rPr>
        <w:t xml:space="preserve"> </w:t>
      </w:r>
      <w:r w:rsidR="00000000" w:rsidRPr="00A663DE">
        <w:rPr>
          <w:rStyle w:val="None"/>
          <w:rFonts w:ascii="Times New Roman" w:hAnsi="Times New Roman" w:cs="Times New Roman"/>
          <w:color w:val="222222"/>
          <w:u w:color="222222"/>
          <w:shd w:val="clear" w:color="auto" w:fill="FFFFFF"/>
        </w:rPr>
        <w:t xml:space="preserve">Balganesh, S. (Ed.). </w:t>
      </w:r>
      <w:r w:rsidR="00000000" w:rsidRPr="00A663DE">
        <w:rPr>
          <w:rStyle w:val="None"/>
          <w:rFonts w:ascii="Times New Roman" w:hAnsi="Times New Roman" w:cs="Times New Roman"/>
          <w:i/>
          <w:iCs/>
          <w:color w:val="222222"/>
          <w:u w:color="222222"/>
          <w:shd w:val="clear" w:color="auto" w:fill="FFFFFF"/>
        </w:rPr>
        <w:t>Intellectual property and the common law</w:t>
      </w:r>
      <w:r w:rsidR="00000000" w:rsidRPr="00A663DE">
        <w:rPr>
          <w:rStyle w:val="None"/>
          <w:rFonts w:ascii="Times New Roman" w:hAnsi="Times New Roman" w:cs="Times New Roman"/>
          <w:color w:val="222222"/>
          <w:u w:color="222222"/>
          <w:shd w:val="clear" w:color="auto" w:fill="FFFFFF"/>
        </w:rPr>
        <w:t>. Cambridge University Press. 2013, PP. 64-65.</w:t>
      </w:r>
    </w:p>
  </w:footnote>
  <w:footnote w:id="111">
    <w:p w14:paraId="5D902F59" w14:textId="70088EA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3</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color w:val="222222"/>
          <w:u w:color="222222"/>
          <w:shd w:val="clear" w:color="auto" w:fill="FFFFFF"/>
        </w:rPr>
        <w:t>Kmetyk, K., &amp; Beluga, Y. TYPES OF INTELLECTUAL PROPERTY RIGHTS IN THE UNITED KINGDOM. </w:t>
      </w:r>
      <w:r w:rsidR="00000000" w:rsidRPr="00A663DE">
        <w:rPr>
          <w:rStyle w:val="None"/>
          <w:rFonts w:ascii="Times New Roman" w:hAnsi="Times New Roman" w:cs="Times New Roman"/>
          <w:i/>
          <w:iCs/>
          <w:color w:val="222222"/>
          <w:u w:color="222222"/>
          <w:shd w:val="clear" w:color="auto" w:fill="FFFFFF"/>
        </w:rPr>
        <w:t>Scientific works of National Aviation University. Series: Law Journal" Air and Space Law"</w:t>
      </w:r>
      <w:r w:rsidR="00000000" w:rsidRPr="00A663DE">
        <w:rPr>
          <w:rStyle w:val="None"/>
          <w:rFonts w:ascii="Times New Roman" w:hAnsi="Times New Roman" w:cs="Times New Roman"/>
          <w:color w:val="222222"/>
          <w:u w:color="222222"/>
          <w:shd w:val="clear" w:color="auto" w:fill="FFFFFF"/>
        </w:rPr>
        <w:t>, </w:t>
      </w:r>
      <w:r w:rsidR="00000000" w:rsidRPr="00A663DE">
        <w:rPr>
          <w:rStyle w:val="None"/>
          <w:rFonts w:ascii="Times New Roman" w:hAnsi="Times New Roman" w:cs="Times New Roman"/>
          <w:i/>
          <w:iCs/>
          <w:color w:val="222222"/>
          <w:u w:color="222222"/>
          <w:shd w:val="clear" w:color="auto" w:fill="FFFFFF"/>
        </w:rPr>
        <w:t>1</w:t>
      </w:r>
      <w:r w:rsidR="00000000" w:rsidRPr="00A663DE">
        <w:rPr>
          <w:rStyle w:val="None"/>
          <w:rFonts w:ascii="Times New Roman" w:hAnsi="Times New Roman" w:cs="Times New Roman"/>
          <w:color w:val="222222"/>
          <w:u w:color="222222"/>
          <w:shd w:val="clear" w:color="auto" w:fill="FFFFFF"/>
        </w:rPr>
        <w:t>(62), P. 106.</w:t>
      </w:r>
    </w:p>
  </w:footnote>
  <w:footnote w:id="112">
    <w:p w14:paraId="7F754FFB" w14:textId="64EEE1DF"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rPr>
        <w:t xml:space="preserve">lawyersitaly.eu. </w:t>
      </w:r>
      <w:r w:rsidR="00000000" w:rsidRPr="00A663DE">
        <w:rPr>
          <w:rStyle w:val="None"/>
          <w:rFonts w:ascii="Times New Roman" w:hAnsi="Times New Roman" w:cs="Times New Roman"/>
          <w:i/>
          <w:iCs/>
        </w:rPr>
        <w:t>Intellectual Property in Italy</w:t>
      </w:r>
      <w:r w:rsidR="00000000" w:rsidRPr="00A663DE">
        <w:rPr>
          <w:rStyle w:val="None"/>
          <w:rFonts w:ascii="Times New Roman" w:hAnsi="Times New Roman" w:cs="Times New Roman"/>
        </w:rPr>
        <w:t xml:space="preserve">. 2025, Retrieved from </w:t>
      </w:r>
      <w:hyperlink r:id="rId7" w:history="1">
        <w:r w:rsidR="00454428" w:rsidRPr="00A663DE">
          <w:rPr>
            <w:rStyle w:val="Hyperlink0"/>
            <w:rFonts w:eastAsia="Arial Unicode MS"/>
          </w:rPr>
          <w:t>https://lawyersitaly.eu/intellectual-property-in-italy/</w:t>
        </w:r>
      </w:hyperlink>
    </w:p>
  </w:footnote>
  <w:footnote w:id="113">
    <w:p w14:paraId="528A4A8A" w14:textId="787C5E9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2</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00000000" w:rsidRPr="00A663DE">
        <w:rPr>
          <w:rStyle w:val="None"/>
          <w:rFonts w:ascii="Times New Roman" w:hAnsi="Times New Roman" w:cs="Times New Roman"/>
        </w:rPr>
        <w:t xml:space="preserve">Traverso, M. INTELLECTUAL PROPERTY A tool for economic growth in the third millennium An Overview of Italian IP Law. </w:t>
      </w:r>
      <w:r w:rsidR="00000000" w:rsidRPr="00A663DE">
        <w:rPr>
          <w:rStyle w:val="None"/>
          <w:rFonts w:ascii="Times New Roman" w:hAnsi="Times New Roman" w:cs="Times New Roman"/>
          <w:lang w:val="it-IT"/>
        </w:rPr>
        <w:t xml:space="preserve">UffICIO ITALIANO BREvETTI E MARChI. The Licensing Executives Society (LES). ministero dello sviluppo economico dipArtimento per l’impresA e l’internAzionAlizzAzione direzione generAle per lA lottA AllA contrAffAzione. </w:t>
      </w:r>
      <w:r w:rsidR="00000000" w:rsidRPr="00A663DE">
        <w:rPr>
          <w:rStyle w:val="None"/>
          <w:rFonts w:ascii="Times New Roman" w:hAnsi="Times New Roman" w:cs="Times New Roman"/>
        </w:rPr>
        <w:t>2010, PP.8-9.</w:t>
      </w:r>
    </w:p>
  </w:footnote>
  <w:footnote w:id="114">
    <w:p w14:paraId="1E5A81CD" w14:textId="60B2C438"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w:t>
      </w: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00000000" w:rsidRPr="00A663DE">
        <w:rPr>
          <w:rStyle w:val="None"/>
          <w:rFonts w:ascii="Times New Roman" w:hAnsi="Times New Roman" w:cs="Times New Roman"/>
          <w:vertAlign w:val="superscript"/>
        </w:rPr>
        <w:t>)</w:t>
      </w:r>
      <w:r w:rsidR="00000000" w:rsidRPr="00A663DE">
        <w:rPr>
          <w:rStyle w:val="None"/>
          <w:rFonts w:ascii="Times New Roman" w:hAnsi="Times New Roman" w:cs="Times New Roman"/>
        </w:rPr>
        <w:t>ITALIAN COPYRIGHT STATUTE. Law for the Protection of Copyright and Neighbouring Rights (Law No. 633 of April 22, 1941, as last amended by Legislative Decree No. 68, of April 9, 2003). P. 3.</w:t>
      </w:r>
    </w:p>
  </w:footnote>
  <w:footnote w:id="115">
    <w:p w14:paraId="11325E0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Peukert, A. Introduction to Intellectual Property Law in Germany. 2023, </w:t>
      </w:r>
      <w:r w:rsidRPr="00A663DE">
        <w:rPr>
          <w:rStyle w:val="None"/>
          <w:rFonts w:ascii="Times New Roman" w:hAnsi="Times New Roman" w:cs="Times New Roman"/>
          <w:i/>
          <w:iCs/>
          <w:color w:val="222222"/>
          <w:u w:color="222222"/>
          <w:shd w:val="clear" w:color="auto" w:fill="FFFFFF"/>
        </w:rPr>
        <w:t>Available at SSRN 4599740</w:t>
      </w:r>
      <w:r w:rsidRPr="00A663DE">
        <w:rPr>
          <w:rStyle w:val="None"/>
          <w:rFonts w:ascii="Times New Roman" w:hAnsi="Times New Roman" w:cs="Times New Roman"/>
          <w:color w:val="222222"/>
          <w:u w:color="222222"/>
          <w:shd w:val="clear" w:color="auto" w:fill="FFFFFF"/>
        </w:rPr>
        <w:t>. P. 2</w:t>
      </w:r>
    </w:p>
  </w:footnote>
  <w:footnote w:id="116">
    <w:p w14:paraId="544D1F9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Hong, J., Edler, J., &amp; Massini, S. Evolution of the Chinese intellectual property rights system: IPR law revisions and enforcement.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2022, </w:t>
      </w:r>
      <w:r w:rsidRPr="00A663DE">
        <w:rPr>
          <w:rStyle w:val="None"/>
          <w:rFonts w:ascii="Times New Roman" w:hAnsi="Times New Roman" w:cs="Times New Roman"/>
          <w:i/>
          <w:iCs/>
          <w:color w:val="222222"/>
          <w:u w:color="222222"/>
          <w:shd w:val="clear" w:color="auto" w:fill="FFFFFF"/>
        </w:rPr>
        <w:t>18</w:t>
      </w:r>
      <w:r w:rsidRPr="00A663DE">
        <w:rPr>
          <w:rStyle w:val="None"/>
          <w:rFonts w:ascii="Times New Roman" w:hAnsi="Times New Roman" w:cs="Times New Roman"/>
          <w:color w:val="222222"/>
          <w:u w:color="222222"/>
          <w:shd w:val="clear" w:color="auto" w:fill="FFFFFF"/>
        </w:rPr>
        <w:t>(4), PP. 1-2.</w:t>
      </w:r>
    </w:p>
  </w:footnote>
  <w:footnote w:id="117">
    <w:p w14:paraId="2DC275F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Chen, L. The evolution of intellectual property protection in China. </w:t>
      </w:r>
      <w:r w:rsidRPr="00A663DE">
        <w:rPr>
          <w:rStyle w:val="None"/>
          <w:rFonts w:ascii="Times New Roman" w:hAnsi="Times New Roman" w:cs="Times New Roman"/>
          <w:i/>
          <w:iCs/>
          <w:color w:val="222222"/>
          <w:u w:color="222222"/>
          <w:shd w:val="clear" w:color="auto" w:fill="FFFFFF"/>
        </w:rPr>
        <w:t>Ibusiness</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7</w:t>
      </w:r>
      <w:r w:rsidRPr="00A663DE">
        <w:rPr>
          <w:rStyle w:val="None"/>
          <w:rFonts w:ascii="Times New Roman" w:hAnsi="Times New Roman" w:cs="Times New Roman"/>
          <w:color w:val="222222"/>
          <w:u w:color="222222"/>
          <w:shd w:val="clear" w:color="auto" w:fill="FFFFFF"/>
        </w:rPr>
        <w:t>(01), 2015, PP. 66-67.</w:t>
      </w:r>
    </w:p>
  </w:footnote>
  <w:footnote w:id="118">
    <w:p w14:paraId="183389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الهيئة السعودية للملكية الفكرية</w:t>
      </w:r>
      <w:r w:rsidRPr="00A663DE">
        <w:rPr>
          <w:rStyle w:val="None"/>
          <w:rFonts w:ascii="Times New Roman" w:hAnsi="Times New Roman" w:cs="Times New Roman"/>
        </w:rPr>
        <w:t>.</w:t>
      </w:r>
      <w:r w:rsidRPr="00A663DE">
        <w:rPr>
          <w:rStyle w:val="None"/>
          <w:rFonts w:ascii="Times New Roman" w:hAnsi="Times New Roman" w:cs="Times New Roman"/>
          <w:sz w:val="24"/>
          <w:szCs w:val="24"/>
          <w:rtl/>
          <w:lang w:val="ar-SA"/>
        </w:rPr>
        <w:t xml:space="preserve"> (٢٠٢٣) تقارير ومبادرات الحماية الفكرية.</w:t>
      </w:r>
    </w:p>
  </w:footnote>
  <w:footnote w:id="119">
    <w:p w14:paraId="0C2808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منال جابر محمد عكاشة، وعي اختصاص المكتبات والمعلومات في مكتبة الملك عبد الله بجامعة أم القرص153.</w:t>
      </w:r>
    </w:p>
  </w:footnote>
  <w:footnote w:id="120">
    <w:p w14:paraId="76E562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121">
    <w:p w14:paraId="5907836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3 من تنظيم الهيئة السعودية للملكية الفكرية قرار مجلس الوزراء رقم (496) بتاريخ 1439/9/14 هـ.</w:t>
      </w:r>
    </w:p>
  </w:footnote>
  <w:footnote w:id="122">
    <w:p w14:paraId="1047F5B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8" w:history="1">
        <w:r w:rsidR="00454428" w:rsidRPr="00A663DE">
          <w:rPr>
            <w:rStyle w:val="Hyperlink0"/>
            <w:rFonts w:eastAsia="Arial Unicode MS"/>
          </w:rPr>
          <w:t>https://www.saip.gov.sa/committees-secretariat</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3">
    <w:p w14:paraId="33AAEA7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9" w:history="1">
        <w:r w:rsidR="00454428" w:rsidRPr="00A663DE">
          <w:rPr>
            <w:rStyle w:val="Hyperlink0"/>
            <w:rFonts w:eastAsia="Arial Unicode MS"/>
          </w:rPr>
          <w:t>https://www.saip.gov.sa/committees-secretariat/1457</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4">
    <w:p w14:paraId="3EF0AC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0" w:history="1">
        <w:r w:rsidR="00454428" w:rsidRPr="00A663DE">
          <w:rPr>
            <w:rStyle w:val="Hyperlink0"/>
            <w:rFonts w:eastAsia="Arial Unicode MS"/>
          </w:rPr>
          <w:t>https://www.saip.gov.sa/committees-secretariat/1456</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5">
    <w:p w14:paraId="3226923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1" w:history="1">
        <w:r w:rsidR="00454428" w:rsidRPr="00A663DE">
          <w:rPr>
            <w:rStyle w:val="Hyperlink0"/>
            <w:rFonts w:eastAsia="Arial Unicode MS"/>
          </w:rPr>
          <w:t>https://www.saip.gov.sa/committees-secretariat/1412</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6">
    <w:p w14:paraId="0CC4B9A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خديجة</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حسان، حماية حق المؤلف رقميًا في إطار المعاهدات الدولية ذات الصلة. مجلة الفكر القانوني والسياسي، 6(1)، 1037-1048، 2022، ص 1044.</w:t>
      </w:r>
    </w:p>
  </w:footnote>
  <w:footnote w:id="127">
    <w:p w14:paraId="721200F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128">
    <w:p w14:paraId="37BB2B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نبيل بدر الدين، حماية حقوق الملكية الفكرية: توجهات انتقائية، المؤتمر العربي الثاني: التوجهات المستقبلية لمنظمة التجارة العالمي: الفرص والتحديات أمام الدول العربية، مسقط: المنظمة العربية للتنمية الإدارية، 191-215، 2007، ص193.</w:t>
      </w:r>
    </w:p>
  </w:footnote>
  <w:footnote w:id="129">
    <w:p w14:paraId="2276AF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رشيد بن راشد؛ حسنية بلحاج، البيئة الرقمية: النظريات الإعلامية والميديا الجديدة، مجلة المعيار، مج13، ع1، (2022)، ص797.</w:t>
      </w:r>
    </w:p>
  </w:footnote>
  <w:footnote w:id="130">
    <w:p w14:paraId="3E3ABA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لحواطي عتيقة، استرجاع المعلومات العلمية والتقنية في ظل البيئة الرقمية ودوره في دعم الاتصال العلمي بين الباحثين، رسالة دكتوراه غير منشورة، جامعة قسنطينة 2، الجزائر، (2013)، ص50.</w:t>
      </w:r>
    </w:p>
  </w:footnote>
  <w:footnote w:id="131">
    <w:p w14:paraId="6E1566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تسويق المعلومات في البيئة الرقمية، المجلة العربية الدولية لدراسات المكتبات والمعلومات، مج1، ع4، (2022)، ص57.</w:t>
      </w:r>
    </w:p>
  </w:footnote>
  <w:footnote w:id="132">
    <w:p w14:paraId="4613FE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عبد الحكيم رمضان، مدى وعي الباحثين بحقوق الملكية الفكرية للمؤلف في البيئة الرقمية: طلاب الدراسات العليا بكلية الآداب جامعة جنوب الوادي نموذجًا، مجلة كلية الآداب، 16، (2024)، ص791.</w:t>
      </w:r>
    </w:p>
  </w:footnote>
  <w:footnote w:id="133">
    <w:p w14:paraId="08261F3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عطية بدر الدين؛ ناجية قموح، البيئة الرقمية: إشكالية المصطلح، أصله وأبعاده، أعلم، ع24، (2019)، ص119.</w:t>
      </w:r>
    </w:p>
  </w:footnote>
  <w:footnote w:id="134">
    <w:p w14:paraId="39881E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ص109.</w:t>
      </w:r>
    </w:p>
  </w:footnote>
  <w:footnote w:id="135">
    <w:p w14:paraId="361283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للفجوة الرقمية بين دول العالم: واقع الفجوة الرقمية بين الدول النامية والدول المتقدمة، المجلة العلمية للاقتصاد والتجارة، ع2، (2014)، ص31.</w:t>
      </w:r>
    </w:p>
  </w:footnote>
  <w:footnote w:id="136">
    <w:p w14:paraId="7F4D93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نجاة سامي هادف، إدارة وتسيير الموارد البشرية في البيئة الرقمية تحديات وآفاق، مجلة علوم الإنسان والمجتمع، مج1، ع2، (2022)، ص244.</w:t>
      </w:r>
    </w:p>
  </w:footnote>
  <w:footnote w:id="137">
    <w:p w14:paraId="5E1A1F4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ص266.</w:t>
      </w:r>
    </w:p>
  </w:footnote>
  <w:footnote w:id="138">
    <w:p w14:paraId="2B2F13A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ص266.</w:t>
      </w:r>
    </w:p>
  </w:footnote>
  <w:footnote w:id="139">
    <w:p w14:paraId="4811C93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بوجفجوف الزهرة، ملامح البيئة الرقمية في الجزائر بين الواقع والمأمول، مجلة أبحاث، مج6، ع2، (2021)، ص54.</w:t>
      </w:r>
    </w:p>
  </w:footnote>
  <w:footnote w:id="140">
    <w:p w14:paraId="6D61B4E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حاتم أحمد محمد بطيخ، تطور السياسة التشريعية في مجال مكافحة جرائم تقنية المعلومات: دراسة تحليلية مقارنة، مجلة الدراسات القانونية والاقتصادية، مج7، ع1، (2021)، ص2.</w:t>
      </w:r>
    </w:p>
  </w:footnote>
  <w:footnote w:id="141">
    <w:p w14:paraId="5866AF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142">
    <w:p w14:paraId="7664E5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بخوش عائشة؛ بن شريف الحسناء عائشة، البيئة الرقمية وأثرها على الأداء الوظيفي: دراسة ميدانية بجامعة زيان عاشور الجلفة، رسالة ماجستير غير منشورة، جامعة زيان عاشور بالجلفة، الجزائر، (2023)، ص أ.</w:t>
      </w:r>
    </w:p>
  </w:footnote>
  <w:footnote w:id="143">
    <w:p w14:paraId="17D0D75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ص95.</w:t>
      </w:r>
    </w:p>
  </w:footnote>
  <w:footnote w:id="144">
    <w:p w14:paraId="41E123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ص110.</w:t>
      </w:r>
    </w:p>
  </w:footnote>
  <w:footnote w:id="145">
    <w:p w14:paraId="7510677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ص94.</w:t>
      </w:r>
    </w:p>
  </w:footnote>
  <w:footnote w:id="146">
    <w:p w14:paraId="115F324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ص336.</w:t>
      </w:r>
    </w:p>
  </w:footnote>
  <w:footnote w:id="147">
    <w:p w14:paraId="0C19929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مجلة روح القوانين، ع106، ج2، 2024، ص1180.</w:t>
      </w:r>
    </w:p>
  </w:footnote>
  <w:footnote w:id="148">
    <w:p w14:paraId="4C1A2D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القطب مسعد سعيد، دور قواعد الملكية الفكرية في مواجهة تحديات الذكاء الاصطناعي دراسة قانونية تحليلية مقارنة، مجلة البحوث القانونية والاقتصادية، ع75، 2021، ص1641.</w:t>
      </w:r>
    </w:p>
  </w:footnote>
  <w:footnote w:id="149">
    <w:p w14:paraId="2361EE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براءات الاختراع والتصميمات التخطيطية للدارات المتكاملة والأصناف النباتية والنماذج الصناعية الصادر بالمرسوم مرسوم ملكي رقم م/27 بتاريخ 29 / 5 / 1425.</w:t>
      </w:r>
    </w:p>
  </w:footnote>
  <w:footnote w:id="150">
    <w:p w14:paraId="7EFB8DA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إبراهيم محمد إبراهيم المحيميد؛ علياء سعود الشطيطي، الملكية الفكرية للذكاء الاصطناعي، المجلة العلمية بكلية الآداب، ع60، 2025، ص1880.</w:t>
      </w:r>
    </w:p>
  </w:footnote>
  <w:footnote w:id="151">
    <w:p w14:paraId="13759D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مرجع سابق، ص1194.</w:t>
      </w:r>
    </w:p>
  </w:footnote>
  <w:footnote w:id="152">
    <w:p w14:paraId="2219B8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فازية بو علوط، أثر الذكاء الاصطناعي على حقوق الملكية الفكرية، المجلة الأكاديمية للبحث القانوني، مج16، ع1، 2025، ص386.</w:t>
      </w:r>
    </w:p>
  </w:footnote>
  <w:footnote w:id="153">
    <w:p w14:paraId="4FCDCB5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زان، التجارة الإلكترونية: المزايا والأخطار، التعاقد في الفضاء الرقمي، إصدارات المركز الديمقراطي العربي للدراسات الاستراتيجية والسياسية والاقتصادية، المانيا، ط1، (2021)، ص119.</w:t>
      </w:r>
    </w:p>
  </w:footnote>
  <w:footnote w:id="154">
    <w:p w14:paraId="24FDA47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ص29.</w:t>
      </w:r>
    </w:p>
  </w:footnote>
  <w:footnote w:id="155">
    <w:p w14:paraId="319A378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ص35.</w:t>
      </w:r>
    </w:p>
  </w:footnote>
  <w:footnote w:id="156">
    <w:p w14:paraId="045009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w:t>
      </w:r>
    </w:p>
  </w:footnote>
  <w:footnote w:id="157">
    <w:p w14:paraId="0D77687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ألمانيا، ط1، (2021)، ص136.</w:t>
      </w:r>
    </w:p>
  </w:footnote>
  <w:footnote w:id="158">
    <w:p w14:paraId="38EED6E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ص1543.</w:t>
      </w:r>
    </w:p>
  </w:footnote>
  <w:footnote w:id="159">
    <w:p w14:paraId="3DB613B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نطاق الملكية الفكرية في البيئة الرقمية، مجلة العلوم الإنسانية لجامعة أم البواقي، مج6، ع3، (2022)، ص1281.</w:t>
      </w:r>
    </w:p>
  </w:footnote>
  <w:footnote w:id="160">
    <w:p w14:paraId="0D1EF9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ص35.</w:t>
      </w:r>
    </w:p>
  </w:footnote>
  <w:footnote w:id="161">
    <w:p w14:paraId="7860CD6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ص48.</w:t>
      </w:r>
    </w:p>
  </w:footnote>
  <w:footnote w:id="162">
    <w:p w14:paraId="34B617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زين الدين صلاح سلمان أسمر، الملكية الفكرية نشأتها ونطاقها وعناصرها وأهميتها، المؤتمر العلمي الثالث: موقف الإسلام من مسألة الملكية الفكرية، الأردن، (2001)، ص3.</w:t>
      </w:r>
    </w:p>
  </w:footnote>
  <w:footnote w:id="163">
    <w:p w14:paraId="48AFA2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164">
    <w:p w14:paraId="15045EA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جابر بن مرهون فليفل، أهمية حماية الملكية الفكرية، تواصل، ع3، (2006)، ص61. </w:t>
      </w:r>
    </w:p>
  </w:footnote>
  <w:footnote w:id="165">
    <w:p w14:paraId="63AFBC2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سمية بالعربي؛ حمو فرحات، الوساطة في الملكية الفكرية، دراسات، ع75، (2019)، ص127.</w:t>
      </w:r>
    </w:p>
  </w:footnote>
  <w:footnote w:id="166">
    <w:p w14:paraId="67D2FB30"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التقرير العالمي للملكية الفكرية الويبو 2024، </w:t>
      </w:r>
      <w:hyperlink r:id="rId12" w:history="1">
        <w:r w:rsidR="00454428" w:rsidRPr="00A663DE">
          <w:rPr>
            <w:rStyle w:val="Hyperlink0"/>
            <w:rFonts w:eastAsia="Arial Unicode MS"/>
          </w:rPr>
          <w:t>https://www.wipo.int/pressroom/ar/articles/2024/article_0004.html?utm_source=chatgpt.com</w:t>
        </w:r>
      </w:hyperlink>
      <w:r w:rsidRPr="00A663DE">
        <w:rPr>
          <w:rStyle w:val="None"/>
          <w:rFonts w:ascii="Times New Roman" w:hAnsi="Times New Roman" w:cs="Times New Roman"/>
          <w:sz w:val="24"/>
          <w:szCs w:val="24"/>
          <w:rtl/>
          <w:lang w:val="ar-SA"/>
        </w:rPr>
        <w:t xml:space="preserve"> .</w:t>
      </w:r>
    </w:p>
  </w:footnote>
  <w:footnote w:id="167">
    <w:p w14:paraId="23FB4F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وخالدة عبد الله، حقوق الملكية الفكرية وتأثيرها على اخلاقيات البحث العلمي في البيئة الرقمية، مجلة آداب المستنصرية، ع108، (2014)، ص518.</w:t>
      </w:r>
    </w:p>
  </w:footnote>
  <w:footnote w:id="168">
    <w:p w14:paraId="7B2222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 </w:t>
      </w:r>
    </w:p>
  </w:footnote>
  <w:footnote w:id="169">
    <w:p w14:paraId="67A55EC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نايف عبد الله العمادي، الحماية الدولية لحقوق الملكية الفكرية، (رسالة ماجستير غير منشورة)، جامعة الزرقاء، الأردن، (2020)، ص4. </w:t>
      </w:r>
    </w:p>
  </w:footnote>
  <w:footnote w:id="170">
    <w:p w14:paraId="4E3230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مبروك لمشونشي، نطاق الملكية الفكرية في البيئة الرقمية، مجلة العلوم الإنسانية لجامعة أم البواقي، مج9، ع3، (2022)، ص1281.</w:t>
      </w:r>
    </w:p>
  </w:footnote>
  <w:footnote w:id="171">
    <w:p w14:paraId="7671919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2">
    <w:p w14:paraId="7DEB2A3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مجلة جامعة الملك عبد العزيز: الآداب والعلوم الإنسانية، مج29، ع4، (2021)، ص499.</w:t>
      </w:r>
    </w:p>
  </w:footnote>
  <w:footnote w:id="173">
    <w:p w14:paraId="41C0650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ص91.</w:t>
      </w:r>
    </w:p>
  </w:footnote>
  <w:footnote w:id="174">
    <w:p w14:paraId="0CF011D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7 من اتفاقية تريبس.</w:t>
      </w:r>
    </w:p>
  </w:footnote>
  <w:footnote w:id="175">
    <w:p w14:paraId="70EA02B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6">
    <w:p w14:paraId="5C77A9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رضا علي البوسراية، الحماية المدنية للحق المعنوي للمؤلف في التشريعين الأردني والعراقي، (رسالة ماجستير غير منشورة، جامعة الشرق الأوسط، الأردن، (2018)، ص81.</w:t>
      </w:r>
    </w:p>
  </w:footnote>
  <w:footnote w:id="177">
    <w:p w14:paraId="75B4774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ديما ناجح المجالي؛ أحمد عبد القادر المجالي، أثر الاقتصاد الرقمي على النشاط الاقتصادي في الدول العربية، مجلة الدراسات الاقتصادية، مج16، ع1، 2024، ص34.</w:t>
      </w:r>
    </w:p>
  </w:footnote>
  <w:footnote w:id="178">
    <w:p w14:paraId="2750080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ع46، 2023، ص118.</w:t>
      </w:r>
    </w:p>
  </w:footnote>
  <w:footnote w:id="179">
    <w:p w14:paraId="4450C15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السيد محمد ذكي حسن، الاقتصاد الرقمي، مجلة روح القوانين، ع85، 2019، ص10.</w:t>
      </w:r>
    </w:p>
  </w:footnote>
  <w:footnote w:id="180">
    <w:p w14:paraId="69162D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نعيمة سحقي، الاقتصاد الرقمي في الجزائر الفرص والتحديات، (رسالة ماجستير غير منشورة)، جامعة أكلي محند ولحاج، الجزائر، 2015، ص37.</w:t>
      </w:r>
    </w:p>
  </w:footnote>
  <w:footnote w:id="181">
    <w:p w14:paraId="12E6F8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مصفح؛ وزينة أيت علي، مفهوم الدفع الإلكتروني وتمييزه عن الدفع التقليدي، مجلة البحوث والدراسات القانونية والسياسية، مج11، ع2، 2022، ص224.</w:t>
      </w:r>
    </w:p>
  </w:footnote>
  <w:footnote w:id="182">
    <w:p w14:paraId="41E550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مصطفى محمد عمر، النظام القانوني لوسائل الدفع الإلكتروني في العمليات المصرفية، المجلة القانونية، ج6، ع12، 2022، ص1486.</w:t>
      </w:r>
    </w:p>
  </w:footnote>
  <w:footnote w:id="183">
    <w:p w14:paraId="1543D8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البنك المركزي السعودي، تم دخول الموقع يوم 24/3/2026، </w:t>
      </w:r>
      <w:hyperlink r:id="rId13" w:history="1">
        <w:r w:rsidR="00454428" w:rsidRPr="00A663DE">
          <w:rPr>
            <w:rStyle w:val="Hyperlink2"/>
            <w:rFonts w:ascii="Times New Roman" w:hAnsi="Times New Roman" w:cs="Times New Roman"/>
          </w:rPr>
          <w:t>https://www.sama.gov.sa/ar-sa/News/Pages/news-1083.aspx</w:t>
        </w:r>
      </w:hyperlink>
      <w:r w:rsidRPr="00A663DE">
        <w:rPr>
          <w:rStyle w:val="None"/>
          <w:rFonts w:ascii="Times New Roman" w:hAnsi="Times New Roman" w:cs="Times New Roman"/>
          <w:sz w:val="24"/>
          <w:szCs w:val="24"/>
          <w:rtl/>
          <w:lang w:val="ar-SA"/>
        </w:rPr>
        <w:t xml:space="preserve"> </w:t>
      </w:r>
    </w:p>
  </w:footnote>
  <w:footnote w:id="184">
    <w:p w14:paraId="66D5840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ع26، 2019، ص317.</w:t>
      </w:r>
    </w:p>
  </w:footnote>
  <w:footnote w:id="185">
    <w:p w14:paraId="283634F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مبروك العديلي، التسويق الإلكتروني، دار أمجد للنشر والتوزيع، الأردن، 2015، ص13.</w:t>
      </w:r>
    </w:p>
  </w:footnote>
  <w:footnote w:id="186">
    <w:p w14:paraId="4299D0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 </w:t>
      </w:r>
      <w:r w:rsidRPr="00A663DE">
        <w:rPr>
          <w:rStyle w:val="None"/>
          <w:rFonts w:ascii="Times New Roman" w:hAnsi="Times New Roman" w:cs="Times New Roman"/>
          <w:sz w:val="24"/>
          <w:szCs w:val="24"/>
        </w:rPr>
        <w:t>mordor intelligence</w:t>
      </w:r>
      <w:r w:rsidRPr="00A663DE">
        <w:rPr>
          <w:rStyle w:val="None"/>
          <w:rFonts w:ascii="Times New Roman" w:hAnsi="Times New Roman" w:cs="Times New Roman"/>
          <w:sz w:val="24"/>
          <w:szCs w:val="24"/>
          <w:rtl/>
          <w:lang w:val="ar-SA"/>
        </w:rPr>
        <w:t xml:space="preserve">، بعنوان حجم سوق التجارة الإلكترونية في المملكة العربية السعودية، تم دخول الموقع يوم 24/3/2026، </w:t>
      </w:r>
      <w:hyperlink r:id="rId14" w:history="1">
        <w:r w:rsidR="00454428" w:rsidRPr="00A663DE">
          <w:rPr>
            <w:rStyle w:val="Hyperlink2"/>
            <w:rFonts w:ascii="Times New Roman" w:hAnsi="Times New Roman" w:cs="Times New Roman"/>
          </w:rPr>
          <w:t>https://www.mordorintelligence.com/ar/industry-reports/saudi-arabia-ecommerce-market</w:t>
        </w:r>
      </w:hyperlink>
      <w:r w:rsidRPr="00A663DE">
        <w:rPr>
          <w:rStyle w:val="None"/>
          <w:rFonts w:ascii="Times New Roman" w:hAnsi="Times New Roman" w:cs="Times New Roman"/>
          <w:sz w:val="24"/>
          <w:szCs w:val="24"/>
          <w:rtl/>
          <w:lang w:val="ar-SA"/>
        </w:rPr>
        <w:t xml:space="preserve"> </w:t>
      </w:r>
    </w:p>
  </w:footnote>
  <w:footnote w:id="187">
    <w:p w14:paraId="21ED0F3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سلمى عزت شاهين نبيل شاهين، دور قانون تشجيع الاستثمار في تنمية الابداعات في الملكية الفكرية، (رسالة ماجستير غير منشورة)، جامعة النجاح الوطنية، فلسطين، 2021، ص23.</w:t>
      </w:r>
    </w:p>
  </w:footnote>
  <w:footnote w:id="188">
    <w:p w14:paraId="1E6E4FC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الرحمان زيرق؛ وجعيرن بشير، حقوق الملكية الفكرية والاستثمار على ضوء القانون 22/18 المتعلق بالاستثمار، مجلة الدراسات القانونية والسياسية، مج9، ع2، 2023، ص225.</w:t>
      </w:r>
    </w:p>
  </w:footnote>
  <w:footnote w:id="189">
    <w:p w14:paraId="08F877F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فاطيمة ربوح، الاستثمار والملكية الفكرية، (رسالة ماجستير غير منشورة)، جامعة ابن خلدون، الجزائر، 2023، ص28.</w:t>
      </w:r>
    </w:p>
  </w:footnote>
  <w:footnote w:id="190">
    <w:p w14:paraId="3F1F084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اللائحة التنفيذية لنظام الاستثمار الصادر بموجب المرسوم الملكي رقم م/19 بتاريخ 16/1/1446هـ.</w:t>
      </w:r>
    </w:p>
  </w:footnote>
  <w:footnote w:id="191">
    <w:p w14:paraId="248EA6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غادة عبد الكريم جاد، أثر حماية الملكية الفكرية على الاستثمار دراسة مقارنة، مجلة الدراسات القانونية والاقتصادية، مج10، ع1، 2024، ص2391.</w:t>
      </w:r>
    </w:p>
  </w:footnote>
  <w:footnote w:id="192">
    <w:p w14:paraId="0FA0DF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ص856.</w:t>
      </w:r>
    </w:p>
  </w:footnote>
  <w:footnote w:id="193">
    <w:p w14:paraId="29A0CA7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ص1540.</w:t>
      </w:r>
    </w:p>
  </w:footnote>
  <w:footnote w:id="194">
    <w:p w14:paraId="18838C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صميدة، أثر استخدام تقنيات الذكاء الاصطناعي على النظام العام، الفكر الشرطي، مج33، ع131، (2024)، ص100.</w:t>
      </w:r>
    </w:p>
  </w:footnote>
  <w:footnote w:id="195">
    <w:p w14:paraId="09BE35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من نظام حماية حقوق المؤلف مرسوم ملكي رقم م/41.</w:t>
      </w:r>
    </w:p>
  </w:footnote>
  <w:footnote w:id="196">
    <w:p w14:paraId="61162CF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ع1، (2018)، ص215.</w:t>
      </w:r>
    </w:p>
  </w:footnote>
  <w:footnote w:id="197">
    <w:p w14:paraId="2AC8AB1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لونيس انقراشن؛ سعيد أمقران حاج، حقوق الملكية الفكرية وحماية المستهلك، (رسالة ماجستير غير منشورة)، جامعة مولود معمري تيزي وزو، الجزائر، (2018)، ص1.</w:t>
      </w:r>
    </w:p>
  </w:footnote>
  <w:footnote w:id="198">
    <w:p w14:paraId="6F579E1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ص43.</w:t>
      </w:r>
    </w:p>
  </w:footnote>
  <w:footnote w:id="199">
    <w:p w14:paraId="0F59B0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مح8، ع2، (2022)، ص857.</w:t>
      </w:r>
    </w:p>
  </w:footnote>
  <w:footnote w:id="200">
    <w:p w14:paraId="7EE082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ص289.</w:t>
      </w:r>
    </w:p>
  </w:footnote>
  <w:footnote w:id="201">
    <w:p w14:paraId="05F9C8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كداوة عبد القادر، البحث الوثائقي في البيئة الرقمية: شبكة الإنترنت أنموذجا، مجلة حقول معرفية للعلوم الاجتماعية والإنسانية، مج2، ع3، (2021)، ص128.</w:t>
      </w:r>
    </w:p>
  </w:footnote>
  <w:footnote w:id="202">
    <w:p w14:paraId="5A8CC17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ص26.</w:t>
      </w:r>
    </w:p>
  </w:footnote>
  <w:footnote w:id="203">
    <w:p w14:paraId="64E6E79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ص46.</w:t>
      </w:r>
    </w:p>
  </w:footnote>
  <w:footnote w:id="204">
    <w:p w14:paraId="094E90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05">
    <w:p w14:paraId="2613DEE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ص235.</w:t>
      </w:r>
    </w:p>
  </w:footnote>
  <w:footnote w:id="206">
    <w:p w14:paraId="635A425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دار صفاء للنشر والتوزيع، عمان، ط2، (2015)، ص294.</w:t>
      </w:r>
    </w:p>
  </w:footnote>
  <w:footnote w:id="207">
    <w:p w14:paraId="18B0E7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علي، المكتبة الرقمية الأسس والمفاهيم والتحديات التي تواجه المكتبات الرقمية العربية، مجلة جامعة دمشق، مج27، ع1، (2011)، ص647.</w:t>
      </w:r>
    </w:p>
  </w:footnote>
  <w:footnote w:id="208">
    <w:p w14:paraId="55BA04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 أكرم ياسين، المكتبات الرقمية المفاهيم والتحديات، المجلة العربية للنشر العلمي، ع84، (2022)، ص308.</w:t>
      </w:r>
    </w:p>
  </w:footnote>
  <w:footnote w:id="209">
    <w:p w14:paraId="5C450E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جبريل حسن العريشي؛ وفاتن سعيد مبارك بامفلح، نحو إنشاء مكتبة رقمية للدوريات العلمية العربية المحكمة، دراسات عربية في المكتبات وعلم المعلومات، مج8، ع3، (2003)، ص84.</w:t>
      </w:r>
    </w:p>
  </w:footnote>
  <w:footnote w:id="210">
    <w:p w14:paraId="60515FA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47-70، (2013)، ص20.</w:t>
      </w:r>
    </w:p>
  </w:footnote>
  <w:footnote w:id="211">
    <w:p w14:paraId="2CCFBB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لمى بنت عبد الرزاق بن حميد المحمدي، حماية الملكية الفكرية في مواقع التواصل الاجتماعي، المجلة الدولية لنشر البحوث والدراسات، مج5، الإصدار 49، (2023)، ص336.</w:t>
      </w:r>
    </w:p>
  </w:footnote>
  <w:footnote w:id="212">
    <w:p w14:paraId="385ACBF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22-23 ابريل 2009، ص14.</w:t>
      </w:r>
    </w:p>
  </w:footnote>
  <w:footnote w:id="213">
    <w:p w14:paraId="0E4EAD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(رسالة ماجستير غير منشورة)، جامعة محمد لمين دباغين سطيف، الجزائر، (2024)، ص30.</w:t>
      </w:r>
    </w:p>
  </w:footnote>
  <w:footnote w:id="214">
    <w:p w14:paraId="7B61DB6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رمضان قنفود، المسائل القانونية المتعلقة بالبريد الإلكتروني، مجلة دراسات وأبحاث، ع1، 2009، 290-315، ص290.</w:t>
      </w:r>
    </w:p>
  </w:footnote>
  <w:footnote w:id="215">
    <w:p w14:paraId="742A5C6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مج7، ع24، 2018، 172-228، ص199.</w:t>
      </w:r>
    </w:p>
  </w:footnote>
  <w:footnote w:id="216">
    <w:p w14:paraId="1827A3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آمال عبد الجبار حسوني، التعاقد عبر البريد الإلكتروني وإثباته، مجلة الحقوق، مج5، ع20، 2013، 277-294، ص278.</w:t>
      </w:r>
    </w:p>
  </w:footnote>
  <w:footnote w:id="217">
    <w:p w14:paraId="43B555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18">
    <w:p w14:paraId="1E9E059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انظر المادة 22 من نظام حقوق المؤلف مرسوم ملكي رقم م/41.</w:t>
      </w:r>
    </w:p>
  </w:footnote>
  <w:footnote w:id="219">
    <w:p w14:paraId="2F492F8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5 من نظام الإثبات رقم م/43.</w:t>
      </w:r>
    </w:p>
  </w:footnote>
  <w:footnote w:id="220">
    <w:p w14:paraId="25B0ED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فاطمة لواعر، الملكية الفكرية في البيئة الرقمية، مجلة الحوكمة والقانون الاقتصادي، (2023)، ص22.</w:t>
      </w:r>
    </w:p>
  </w:footnote>
  <w:footnote w:id="221">
    <w:p w14:paraId="0FA5DEB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شوقي محمد، الحماية القانونية لقواعد بيانات مراكز معلومات المؤسسات الإعلامية المرئية، المجلة العلمية للملكية الفكرية وإدارة الابتكار، ع4، (2021)، ص195.</w:t>
      </w:r>
    </w:p>
  </w:footnote>
  <w:footnote w:id="222">
    <w:p w14:paraId="695EF9D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شوفي محمد، الحماية القانونية لقواعد بيانات مراكز معلومات المؤسسات الإعلامية المرئية، المجلة العلمية للملكية الفكرية وإدارة الابتكار، ع4، (2021)، ص194.</w:t>
      </w:r>
    </w:p>
  </w:footnote>
  <w:footnote w:id="223">
    <w:p w14:paraId="7BA366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الخامسة من معاهدة الويبو بشأن حق المؤلف جنيف 20 ديسمبر 1996.</w:t>
      </w:r>
    </w:p>
  </w:footnote>
  <w:footnote w:id="224">
    <w:p w14:paraId="46977BF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فقرة خامسة من اتفاقية برن لحماية المصنفات الأدبية والفنية عام 1971 والمعدلة عام 1979.</w:t>
      </w:r>
    </w:p>
  </w:footnote>
  <w:footnote w:id="225">
    <w:p w14:paraId="3C7BD2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ص288.</w:t>
      </w:r>
    </w:p>
  </w:footnote>
  <w:footnote w:id="226">
    <w:p w14:paraId="754955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حدادو؛ وراضية بعوالي، النظام القانوني لقواعد البيانات، (رسالة ماجستير غير منشورة)، جامعة أمحمد بوقرة، الجزائر، (2023)، ص7.</w:t>
      </w:r>
    </w:p>
  </w:footnote>
  <w:footnote w:id="227">
    <w:p w14:paraId="19720B6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العاشرة من اللائحة التنفيذية لنظام حقوق المؤلف الصادرة بقرار رقم م/و/1688/1 والمعدل برقم 3/31/2022.</w:t>
      </w:r>
    </w:p>
  </w:footnote>
  <w:footnote w:id="228">
    <w:p w14:paraId="472BA7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مجلة القانون والأعمال، ع116، (2025)، ص100.</w:t>
      </w:r>
    </w:p>
  </w:footnote>
  <w:footnote w:id="229">
    <w:p w14:paraId="70D5726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زواتين، الذكاء الاصطناعي وحقوق الملكية الفكرية أي علاقة ترابطية؟، مجلة حقوق الإنسان والحريات العامة، مج7، ع2، (2022)، ص139.</w:t>
      </w:r>
    </w:p>
  </w:footnote>
  <w:footnote w:id="230">
    <w:p w14:paraId="4792D4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أمينة يوسف عثمان البلغزي، الحماية القانونية للمصنفات الرقمية، مجلة الفرطاس، ع26، مج6، (2025)، ص190.</w:t>
      </w:r>
    </w:p>
  </w:footnote>
  <w:footnote w:id="231">
    <w:p w14:paraId="66F5C30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صونية حقاص، حماية الملكية الفكرية الأدبية والفنية في البيئة الرقمية في ظل التشريع الجزائري، ({سالة ماجستير غير منشورة)، جامعة منتوري قسنطينة، الجزائر، (2012)، ص60.</w:t>
      </w:r>
    </w:p>
  </w:footnote>
  <w:footnote w:id="232">
    <w:p w14:paraId="7D4860C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خالدة عبد الله، حقوق الملكية الفكرية وتأثيرها على أخلاقيات البحث العلمي في البيئة الرقمية، مجلة آداب المستنصرية، ع 108، (2024)، ص524.</w:t>
      </w:r>
    </w:p>
  </w:footnote>
  <w:footnote w:id="233">
    <w:p w14:paraId="5CB6703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الاعتداء على حق الملكية الفكرية: التقليد والقرصنة، رسالة ماجستير غير منشورة، كلية الحقوق والعلوم الإدارية، جامعة الجزائر، الجزائر، (2002)، ص15.</w:t>
      </w:r>
    </w:p>
  </w:footnote>
  <w:footnote w:id="234">
    <w:p w14:paraId="5DFBBC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ص496.</w:t>
      </w:r>
    </w:p>
  </w:footnote>
  <w:footnote w:id="235">
    <w:p w14:paraId="1D78A8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حليمة بودن، القرصنة والملكية الفكرية، مجلة القانون المغربي، ع15، (2010)، ص78.</w:t>
      </w:r>
    </w:p>
  </w:footnote>
  <w:footnote w:id="236">
    <w:p w14:paraId="38E99B6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يوسف عبد الله، الإطار القانوني والمؤسساتي لمكافحة التقليد والقرصنة الإلكترونية، (رسالة دكتوراه غير منشورة)، جامعة وهران، الجزائر، (2022)، ص3.</w:t>
      </w:r>
    </w:p>
  </w:footnote>
  <w:footnote w:id="237">
    <w:p w14:paraId="74FA93E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إيهاب خليفة، مجتمع ما بعد المعلومات تأثير الثورة الصناعية الرابعة على الأمن القومي، العربي للنشر والتوزيع، القاهرة، (2019)، ص136.</w:t>
      </w:r>
    </w:p>
  </w:footnote>
  <w:footnote w:id="238">
    <w:p w14:paraId="4C080F0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Hassan, M. U. (2025). The Rise of Digital Piracy: Implications for Intellectual Property Rights, Economic Losses, and Global Legal Challenges. QIT Press - </w:t>
      </w:r>
      <w:r w:rsidRPr="00A663DE">
        <w:rPr>
          <w:rStyle w:val="None"/>
          <w:rFonts w:ascii="Times New Roman" w:hAnsi="Times New Roman" w:cs="Times New Roman"/>
          <w:i/>
          <w:iCs/>
          <w:sz w:val="24"/>
          <w:szCs w:val="24"/>
        </w:rPr>
        <w:t xml:space="preserve">International Journal of Intellectual Property Rights Law (QITP-IJIPR), 5(2), </w:t>
      </w:r>
      <w:r w:rsidRPr="00A663DE">
        <w:rPr>
          <w:rStyle w:val="None"/>
          <w:rFonts w:ascii="Times New Roman" w:hAnsi="Times New Roman" w:cs="Times New Roman"/>
          <w:sz w:val="24"/>
          <w:szCs w:val="24"/>
        </w:rPr>
        <w:t>P. 2.</w:t>
      </w:r>
    </w:p>
  </w:footnote>
  <w:footnote w:id="239">
    <w:p w14:paraId="6C3670B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Rubio Alfageme, B. M. (2025). Intellectual property challenges in the 21st century: A study of digital piracy in the European Union. </w:t>
      </w:r>
      <w:r w:rsidRPr="00A663DE">
        <w:rPr>
          <w:rStyle w:val="None"/>
          <w:rFonts w:ascii="Times New Roman" w:hAnsi="Times New Roman" w:cs="Times New Roman"/>
          <w:i/>
          <w:iCs/>
          <w:sz w:val="24"/>
          <w:szCs w:val="24"/>
        </w:rPr>
        <w:t>Intangible Capital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21</w:t>
      </w:r>
      <w:r w:rsidRPr="00A663DE">
        <w:rPr>
          <w:rStyle w:val="None"/>
          <w:rFonts w:ascii="Times New Roman" w:hAnsi="Times New Roman" w:cs="Times New Roman"/>
          <w:sz w:val="24"/>
          <w:szCs w:val="24"/>
        </w:rPr>
        <w:t>(2), P. 342.</w:t>
      </w:r>
    </w:p>
  </w:footnote>
  <w:footnote w:id="240">
    <w:p w14:paraId="7F8EF42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TERTEREANU, P., GÎNGU, A. I., &amp; ȚÎȚU, A. M. (2021). Counterfeiting and Infringements Upon Intellectual Property Rights. </w:t>
      </w:r>
      <w:r w:rsidRPr="00A663DE">
        <w:rPr>
          <w:rStyle w:val="None"/>
          <w:rFonts w:ascii="Times New Roman" w:hAnsi="Times New Roman" w:cs="Times New Roman"/>
          <w:i/>
          <w:iCs/>
          <w:sz w:val="24"/>
          <w:szCs w:val="24"/>
        </w:rPr>
        <w:t>Review of Management and Economic Engineering</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20</w:t>
      </w:r>
      <w:r w:rsidRPr="00A663DE">
        <w:rPr>
          <w:rStyle w:val="None"/>
          <w:rFonts w:ascii="Times New Roman" w:hAnsi="Times New Roman" w:cs="Times New Roman"/>
          <w:sz w:val="24"/>
          <w:szCs w:val="24"/>
        </w:rPr>
        <w:t>(2), P. 94.</w:t>
      </w:r>
    </w:p>
  </w:footnote>
  <w:footnote w:id="241">
    <w:p w14:paraId="2A391D3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Sadhana, G. S. (2025). Protecting creative rights: Addressing digital piracy and copyright issues in Indian media. </w:t>
      </w:r>
      <w:r w:rsidRPr="00A663DE">
        <w:rPr>
          <w:rStyle w:val="None"/>
          <w:rFonts w:ascii="Times New Roman" w:hAnsi="Times New Roman" w:cs="Times New Roman"/>
          <w:i/>
          <w:iCs/>
          <w:sz w:val="24"/>
          <w:szCs w:val="24"/>
        </w:rPr>
        <w:t>International Journal of Law, Justice and Jurisprudence.</w:t>
      </w:r>
      <w:r w:rsidRPr="00A663DE">
        <w:rPr>
          <w:rStyle w:val="None"/>
          <w:rFonts w:ascii="Times New Roman" w:hAnsi="Times New Roman" w:cs="Times New Roman"/>
          <w:sz w:val="24"/>
          <w:szCs w:val="24"/>
        </w:rPr>
        <w:t xml:space="preserve"> 5(1), P. 182.</w:t>
      </w:r>
    </w:p>
  </w:footnote>
  <w:footnote w:id="242">
    <w:p w14:paraId="6C227E8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Limbong, A. H. (2025). ESPN's Broadcast Rights Protection in Intellectual Property Law Over World Cup Broadcast Piracy. </w:t>
      </w:r>
      <w:r w:rsidRPr="00A663DE">
        <w:rPr>
          <w:rStyle w:val="None"/>
          <w:rFonts w:ascii="Times New Roman" w:hAnsi="Times New Roman" w:cs="Times New Roman"/>
          <w:i/>
          <w:iCs/>
          <w:sz w:val="24"/>
          <w:szCs w:val="24"/>
        </w:rPr>
        <w:t>Journal of Law, Politic and Humanities</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5</w:t>
      </w:r>
      <w:r w:rsidRPr="00A663DE">
        <w:rPr>
          <w:rStyle w:val="None"/>
          <w:rFonts w:ascii="Times New Roman" w:hAnsi="Times New Roman" w:cs="Times New Roman"/>
          <w:sz w:val="24"/>
          <w:szCs w:val="24"/>
        </w:rPr>
        <w:t>(4), P. 3114.</w:t>
      </w:r>
    </w:p>
  </w:footnote>
  <w:footnote w:id="243">
    <w:p w14:paraId="025BE53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Cooper, J. M. (2022). Intellectual property piracy in the time of the metaverse. </w:t>
      </w:r>
      <w:r w:rsidRPr="00A663DE">
        <w:rPr>
          <w:rStyle w:val="None"/>
          <w:rFonts w:ascii="Times New Roman" w:hAnsi="Times New Roman" w:cs="Times New Roman"/>
          <w:i/>
          <w:iCs/>
          <w:sz w:val="24"/>
          <w:szCs w:val="24"/>
        </w:rPr>
        <w:t>IDEA</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63</w:t>
      </w:r>
      <w:r w:rsidRPr="00A663DE">
        <w:rPr>
          <w:rStyle w:val="None"/>
          <w:rFonts w:ascii="Times New Roman" w:hAnsi="Times New Roman" w:cs="Times New Roman"/>
          <w:sz w:val="24"/>
          <w:szCs w:val="24"/>
        </w:rPr>
        <w:t xml:space="preserve">. Available at: </w:t>
      </w:r>
      <w:hyperlink r:id="rId15" w:history="1">
        <w:r w:rsidR="00454428" w:rsidRPr="00A663DE">
          <w:rPr>
            <w:rStyle w:val="Hyperlink3"/>
            <w:rFonts w:ascii="Times New Roman" w:hAnsi="Times New Roman" w:cs="Times New Roman"/>
          </w:rPr>
          <w:t>https://scholarlycommons.law.cwsl.edu/fs/422</w:t>
        </w:r>
      </w:hyperlink>
      <w:r w:rsidRPr="00A663DE">
        <w:rPr>
          <w:rStyle w:val="None"/>
          <w:rFonts w:ascii="Times New Roman" w:hAnsi="Times New Roman" w:cs="Times New Roman"/>
          <w:sz w:val="24"/>
          <w:szCs w:val="24"/>
        </w:rPr>
        <w:t>. P. 507.</w:t>
      </w:r>
    </w:p>
  </w:footnote>
  <w:footnote w:id="244">
    <w:p w14:paraId="1A7469D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Ajakaye, O., &amp; Lawal, A. (2025). Digital Justice and IP Protection: A Transatlantic Approach to Regulating NFTs, Blockchain and Copyright Infringement. </w:t>
      </w:r>
      <w:r w:rsidRPr="00A663DE">
        <w:rPr>
          <w:rStyle w:val="None"/>
          <w:rFonts w:ascii="Times New Roman" w:hAnsi="Times New Roman" w:cs="Times New Roman"/>
          <w:i/>
          <w:iCs/>
          <w:sz w:val="24"/>
          <w:szCs w:val="24"/>
        </w:rPr>
        <w:t>Engineering and Technology Journal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10</w:t>
      </w:r>
      <w:r w:rsidRPr="00A663DE">
        <w:rPr>
          <w:rStyle w:val="None"/>
          <w:rFonts w:ascii="Times New Roman" w:hAnsi="Times New Roman" w:cs="Times New Roman"/>
          <w:sz w:val="24"/>
          <w:szCs w:val="24"/>
        </w:rPr>
        <w:t>(9). P. p. 6932-6933.</w:t>
      </w:r>
    </w:p>
  </w:footnote>
  <w:footnote w:id="245">
    <w:p w14:paraId="7F0CF2D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246">
    <w:p w14:paraId="2ECCE02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يوسفي علاء الدين؛ سي حمدي عبد المؤمن، الحماية القانونية لحقوق الملكية الفكرية في ظل تحديات البيئة الرقمية الراهنة، مجلة طبة، للدراسات العلمية الأكاديمية، مج1، ع1، (2018)، ص226.</w:t>
      </w:r>
    </w:p>
  </w:footnote>
  <w:footnote w:id="247">
    <w:p w14:paraId="04BFD49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(2020)، ص243.</w:t>
      </w:r>
    </w:p>
  </w:footnote>
  <w:footnote w:id="248">
    <w:p w14:paraId="4E4A92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بن أحمد الحكيم؛ وخالد صلاح حنفي، كتاب المؤتمر الدولي المحكم الاتجاهات العالمية المعاصرة في العلوم الإنسانية والاجتماعية، 6-7 نوفمبر تركيا، (2019)، ص328.</w:t>
      </w:r>
    </w:p>
  </w:footnote>
  <w:footnote w:id="249">
    <w:p w14:paraId="1DE0FC1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مرجع سابق، ص16-17.</w:t>
      </w:r>
    </w:p>
  </w:footnote>
  <w:footnote w:id="250">
    <w:p w14:paraId="5B343F5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 بن نافلة، النشر الإلكتروني وأهميته في تحقيق البحوث العلمية والتعليمية، مجلة أدبيات، مج1، ع1، (2019)، ص71.</w:t>
      </w:r>
    </w:p>
  </w:footnote>
  <w:footnote w:id="251">
    <w:p w14:paraId="7E6FF5C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مج7، ع2، (2020)، ص314.</w:t>
      </w:r>
    </w:p>
  </w:footnote>
  <w:footnote w:id="252">
    <w:p w14:paraId="2833C99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دار صفاء للنشر والتوزيع، عمان، (2014)، ص34.</w:t>
      </w:r>
    </w:p>
  </w:footnote>
  <w:footnote w:id="253">
    <w:p w14:paraId="65C8EBC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دليلة خينش، صعوبات النشر الإلكتروني الجامعي المنصة الجزائرية للمجلات العلمية انموذجًا، مجلة دفاتر المخبر، مج16، ع1، (2021)، ص173.</w:t>
      </w:r>
    </w:p>
  </w:footnote>
  <w:footnote w:id="254">
    <w:p w14:paraId="680A60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مرجع سابق، ص40.</w:t>
      </w:r>
    </w:p>
  </w:footnote>
  <w:footnote w:id="255">
    <w:p w14:paraId="7129B5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عباس ناجي حسن، الوسائط المتعددة في الاعلام الإلكتروني، مرجع سابق، ص131.</w:t>
      </w:r>
    </w:p>
  </w:footnote>
  <w:footnote w:id="256">
    <w:p w14:paraId="682359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مليكة شبيشب؛ وميمونة بن عروسي، واقع النشر الإلكتروني لدى الأساتذة الجامعيين، (رسالة ماجستير غير منشورة)، جامعة محمد خضير بسكرة، (2020)، ص65.</w:t>
      </w:r>
    </w:p>
  </w:footnote>
  <w:footnote w:id="257">
    <w:p w14:paraId="2F397A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لؤي الزغبي، الوسائط المتعددة، المشاع المبدع للنشر، سوريا، (2020)، ص7.</w:t>
      </w:r>
    </w:p>
  </w:footnote>
  <w:footnote w:id="258">
    <w:p w14:paraId="4B21FB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غنام، حقوق الملكية الفكرية المفهوم والأهداف، المعرفة، مج50، ع577، (2011)، ص371.</w:t>
      </w:r>
    </w:p>
  </w:footnote>
  <w:footnote w:id="259">
    <w:p w14:paraId="71B96FB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سلمان محمود، الحماية الدولية لحقوق الملكية الفكرية الإلكترونية، مجلة كلية دجلة الجامعة، مج6، ع1، (2023)، ص426.</w:t>
      </w:r>
    </w:p>
  </w:footnote>
  <w:footnote w:id="260">
    <w:p w14:paraId="72002EC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w:t>
      </w:r>
    </w:p>
  </w:footnote>
  <w:footnote w:id="261">
    <w:p w14:paraId="0C104E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لمياء صلاح الدين محمد إبراهيم، الإعلام الإلكتروني ودوره في تعزيز الملكية الفكرية: دراسة حالة الصحافة الإلكترونية السودانية الفترة من 2011م – 2014م، رسالة دكتوراه غير منشورة، جامعة أم درمان الإسلامية، السودان، (2014)، ص2.</w:t>
      </w:r>
    </w:p>
  </w:footnote>
  <w:footnote w:id="262">
    <w:p w14:paraId="689EAC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(أكتوبر – 2010)، ص1180.</w:t>
      </w:r>
    </w:p>
  </w:footnote>
  <w:footnote w:id="263">
    <w:p w14:paraId="2A412E9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للتعدي على حقوق الملكية الفكرية: واقع حقوق الملكية الفكرية في مصر ولبنان، المجلة العلمية للاقتصاد والتجارة، ع2، (2014)، ص1.</w:t>
      </w:r>
    </w:p>
  </w:footnote>
  <w:footnote w:id="264">
    <w:p w14:paraId="21A53F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هلال إبراهيم هلال الخطيب، القيود التي تحكم حقوق الملكية الفكرية: دراسة مقارنة، رسالة ماجستير غير منشورة، جامعة آل البيت، الأردن، (2004)، ص1.</w:t>
      </w:r>
    </w:p>
  </w:footnote>
  <w:footnote w:id="265">
    <w:p w14:paraId="5B88D47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الكاهنة ارزيل، تأثر المستهلك بحماية حقوق الملكية الفكرية، مجلة الحقوق والحريات، ع4، (2017)، ص611.</w:t>
      </w:r>
    </w:p>
  </w:footnote>
  <w:footnote w:id="266">
    <w:p w14:paraId="2B4BECC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267">
    <w:p w14:paraId="1AC6E7A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بن علي بن عبد الله، دور حماية الملكية الفكرية في التنمية الصناعية، التعاون الصناعي في الخليج العربي، مج23، ع88، (2002)، ص3.</w:t>
      </w:r>
    </w:p>
  </w:footnote>
  <w:footnote w:id="268">
    <w:p w14:paraId="5BB0EF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محمد رحايلي، حقوق المؤلف والحقوق المجاورة في البيئة الرقمية: الحالة الجزائرية، مجلة جامعة الأمير عبد القادر للعلوم الإسلامية، ع34، (2015)، ص428.</w:t>
      </w:r>
    </w:p>
  </w:footnote>
  <w:footnote w:id="269">
    <w:p w14:paraId="2DED071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الإعتداء على حق الملكية الفكرية: التقليد والقرصنة، رسالة ماجستير غير منشورة، كلية الحقوق والعلوم الإدارية، جامعة الجزائر، الجزائر، (2002)، ص56.</w:t>
      </w:r>
    </w:p>
  </w:footnote>
  <w:footnote w:id="270">
    <w:p w14:paraId="7935888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ص120.</w:t>
      </w:r>
    </w:p>
  </w:footnote>
  <w:footnote w:id="271">
    <w:p w14:paraId="15C332A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ص132.</w:t>
      </w:r>
    </w:p>
  </w:footnote>
  <w:footnote w:id="272">
    <w:p w14:paraId="7C7A1BE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(2022)، ص846.</w:t>
      </w:r>
    </w:p>
  </w:footnote>
  <w:footnote w:id="273">
    <w:p w14:paraId="738E8A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ص1537.</w:t>
      </w:r>
    </w:p>
  </w:footnote>
  <w:footnote w:id="274">
    <w:p w14:paraId="3E6AC313"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الويبو بشأن حق المؤلف عام 1996.</w:t>
      </w:r>
    </w:p>
  </w:footnote>
  <w:footnote w:id="275">
    <w:p w14:paraId="20CA7A9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76">
    <w:p w14:paraId="12CE69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زينب جاب الله؛ فاطمة عثمان، أهمية التعاون الدولي في مجال تعزيز ودعم حقوق الملكية الفكرية، (رسالة ماجستير غير منشورة)، جامعة زيان عاشور، الجزائر، (2017)، ص10.</w:t>
      </w:r>
    </w:p>
  </w:footnote>
  <w:footnote w:id="277">
    <w:p w14:paraId="13BE6B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6(1)، 1037-1048، (2022)، ص 1044.</w:t>
      </w:r>
    </w:p>
  </w:footnote>
  <w:footnote w:id="278">
    <w:p w14:paraId="0B2113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279">
    <w:p w14:paraId="0EF0444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80">
    <w:p w14:paraId="327836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الطيب حمدان، واقع حماية الملكية الفكرية في الاتفاقيات الدولية، مجلة الحقوق والحريات، 10(1)، 55-34، (2022)، ص45-46.</w:t>
      </w:r>
    </w:p>
  </w:footnote>
  <w:footnote w:id="281">
    <w:p w14:paraId="48DB3C9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مرجع سابق، ص 1038.</w:t>
      </w:r>
    </w:p>
  </w:footnote>
  <w:footnote w:id="282">
    <w:p w14:paraId="1DB0A9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مؤيد زيدان، حقوق الملكية الفكرية، المشاع المبدع للنشر، سوريا، ص60.</w:t>
      </w:r>
    </w:p>
  </w:footnote>
  <w:footnote w:id="283">
    <w:p w14:paraId="1D6461C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مج6، ع1، (2022)، ص1039.</w:t>
      </w:r>
    </w:p>
  </w:footnote>
  <w:footnote w:id="284">
    <w:p w14:paraId="2F070E6B"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حسن عبد الحسيني، الحماية الدولية للمصنفات المكتوبة، (رسالة ماجستير غير منشورة)، جامعة ميسان، الجزائر، (2020)، ص76.</w:t>
      </w:r>
    </w:p>
  </w:footnote>
  <w:footnote w:id="285">
    <w:p w14:paraId="3CC0E8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سامية خوخي، حقوق المؤلفين الأجانب، (رسالة ماجستير غير منشورة)، جامعة زيان عاشور، الجزائر، (2017)، ص18.</w:t>
      </w:r>
    </w:p>
  </w:footnote>
  <w:footnote w:id="286">
    <w:p w14:paraId="4FA54BB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سميرة مسعودي، الحق المالي للمؤلف في ظل القانون الجزائري والقانون المقارن، (رسالة ماجستير غير منشورة)، جامعة الجزائر، الجزائر، (2014)، ص155.</w:t>
      </w:r>
    </w:p>
  </w:footnote>
  <w:footnote w:id="287">
    <w:p w14:paraId="1356D96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نسيمة فتحي، الحماية الدولية لحقوق الملكية الفكرية، (رسالة ماجستير غير منشورة)، جامعة مولود معمري، الجزائر، (2012)، ص36.</w:t>
      </w:r>
    </w:p>
  </w:footnote>
  <w:footnote w:id="288">
    <w:p w14:paraId="05DE9B5C"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الخامسة من اتفاقية برن عام 1986 وتعديلاتها.</w:t>
      </w:r>
    </w:p>
  </w:footnote>
  <w:footnote w:id="289">
    <w:p w14:paraId="47FADD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بن حدو، الحماية الدولية لحقوق الملكية الفكرية، (رسالة ماجستير غير منشورة)، جامعة عبد الحمدي ابن باديس، الجزائر، (2017)، ص49.</w:t>
      </w:r>
    </w:p>
  </w:footnote>
  <w:footnote w:id="290">
    <w:p w14:paraId="7E1369B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نسيمة فتحي، الحماية الدولية لحقوق الملكية الفكرية، مرجع سابق، ص37.</w:t>
      </w:r>
    </w:p>
  </w:footnote>
  <w:footnote w:id="291">
    <w:p w14:paraId="49CB10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62.</w:t>
      </w:r>
    </w:p>
  </w:footnote>
  <w:footnote w:id="292">
    <w:p w14:paraId="0E4AD70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أبو بكر محمود الهوش، نحو حقوق الملكية الفكرية في العصر الرقمي. المؤتمر الثالث عشر: إدارة المعلومات في البيئة الرقمية المعارف والكفاءات والجودة، المنعقد في أكتوبر، لبنان، (أكتوبر-2002)، ص 341.</w:t>
      </w:r>
    </w:p>
  </w:footnote>
  <w:footnote w:id="293">
    <w:p w14:paraId="6827BA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شويرب خالد، الملكية الفكرية في ظل المنظمة العالمية للتجارة، (رسالة ماجستير غير منشورة)، جامعة الجزائر، الجزائر، (2003)، ص73.</w:t>
      </w:r>
    </w:p>
  </w:footnote>
  <w:footnote w:id="294">
    <w:p w14:paraId="5727B8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295">
    <w:p w14:paraId="29E7465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 234.</w:t>
      </w:r>
    </w:p>
  </w:footnote>
  <w:footnote w:id="296">
    <w:p w14:paraId="2883227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صبرينة بلخير، الحماية الدولية لحقوق المؤلف، (رسالة ماجستير غير منشورة)، جامعة محمد خضير بسكرة، الجزائر، (2020)، ص57.</w:t>
      </w:r>
    </w:p>
  </w:footnote>
  <w:footnote w:id="297">
    <w:p w14:paraId="49CF2B4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380.</w:t>
      </w:r>
    </w:p>
  </w:footnote>
  <w:footnote w:id="298">
    <w:p w14:paraId="2BBBB4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شعبان فرج، التحكيم وأثره على الملكية الفكرية، الاقتصاد والمحاسبة، (636)، 36-34، (2011)، ص 34.</w:t>
      </w:r>
    </w:p>
  </w:footnote>
  <w:footnote w:id="299">
    <w:p w14:paraId="5B01F8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300">
    <w:p w14:paraId="75A8DA4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(رسالة ماجستير غير منشورة)، جامعة عبد جامعة الرحمان ميرة-بجاية، الجزائر، (2018)، ص 7.</w:t>
      </w:r>
    </w:p>
  </w:footnote>
  <w:footnote w:id="301">
    <w:p w14:paraId="69CA408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94.</w:t>
      </w:r>
    </w:p>
  </w:footnote>
  <w:footnote w:id="302">
    <w:p w14:paraId="0F19CB5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(3) من اتفاقية إنشاء المنظمة العالمية للملكية الفكرية (الويبو) الموقعة في استوك هولم 14 يوليو 1967 والمعدلة 28 سبتمبر 1979.</w:t>
      </w:r>
    </w:p>
  </w:footnote>
  <w:footnote w:id="303">
    <w:p w14:paraId="6B99A13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(4) من اتفاقية إنشاء المنظمة العالمية للملكية الفكرية (الويبو) الموقعة في استوك هولم 14 يوليو 1967 والمعدلة 28 سبتمبر 1979.</w:t>
      </w:r>
    </w:p>
  </w:footnote>
  <w:footnote w:id="304">
    <w:p w14:paraId="7FCA9D0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393.</w:t>
      </w:r>
    </w:p>
  </w:footnote>
  <w:footnote w:id="305">
    <w:p w14:paraId="1AF83F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مرجع سابق، ص 11.</w:t>
      </w:r>
    </w:p>
  </w:footnote>
  <w:footnote w:id="306">
    <w:p w14:paraId="40B4CFAD" w14:textId="77777777" w:rsidR="00454428" w:rsidRPr="00A663DE" w:rsidRDefault="00000000">
      <w:pPr>
        <w:pStyle w:val="a6"/>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علي زهير؛ وعزوزي قويدر، معاهدة الويبو لحق المؤلف، (رسالة ماجستير غير منشورة)، جامعة زيان عاشور بالجلفة، الجزائر، (2017)، ص31.</w:t>
      </w:r>
    </w:p>
  </w:footnote>
  <w:footnote w:id="307">
    <w:p w14:paraId="738FF3C4" w14:textId="77777777" w:rsidR="00454428" w:rsidRPr="00A663DE" w:rsidRDefault="00000000">
      <w:pPr>
        <w:pStyle w:val="a6"/>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قطر، (2023)، ص64.</w:t>
      </w:r>
    </w:p>
  </w:footnote>
  <w:footnote w:id="308">
    <w:p w14:paraId="748790D3" w14:textId="77777777" w:rsidR="00454428" w:rsidRPr="00A663DE" w:rsidRDefault="00000000">
      <w:pPr>
        <w:pStyle w:val="a6"/>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حدو محمد، الحماية الدولية لحقوق الملكية الفكرية، (رسالة ماجستير غير منشورة)، جامعة عبد الحميد بن باديس، الجزائر، (2017)، ص67.</w:t>
      </w:r>
    </w:p>
  </w:footnote>
  <w:footnote w:id="309">
    <w:p w14:paraId="0FCBDA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شمامة بوترعة، الحماية الدولية للعلامات التجارية وفقًا لاتفاق مدريد للتسجيل الدولي للعاملات التجارية لعام 1891، مجلة الحقوق والعلوم الإنسانية، مج16، ع1، ص964.</w:t>
      </w:r>
    </w:p>
  </w:footnote>
  <w:footnote w:id="310">
    <w:p w14:paraId="1A94BBF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الموقع الرسمي للمنصة الوطنية التابعة لحومة المملكة العربية السعودية، تم دخول الموقع يوم 29/7/2025، </w:t>
      </w:r>
      <w:hyperlink r:id="rId16" w:history="1">
        <w:r w:rsidR="00454428" w:rsidRPr="00A663DE">
          <w:rPr>
            <w:rStyle w:val="Hyperlink0"/>
            <w:rFonts w:eastAsia="Arial Unicode MS"/>
          </w:rPr>
          <w:t>https://eparticipation.my.gov.sa/e-consultations/consultations/legal/legal-consultation-25811</w:t>
        </w:r>
      </w:hyperlink>
      <w:r w:rsidRPr="00A663DE">
        <w:rPr>
          <w:rStyle w:val="None"/>
          <w:rFonts w:ascii="Times New Roman" w:hAnsi="Times New Roman" w:cs="Times New Roman"/>
          <w:sz w:val="24"/>
          <w:szCs w:val="24"/>
          <w:rtl/>
          <w:lang w:val="ar-SA"/>
        </w:rPr>
        <w:t xml:space="preserve"> </w:t>
      </w:r>
    </w:p>
  </w:footnote>
  <w:footnote w:id="311">
    <w:p w14:paraId="56FBCAF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فيصل بن عبد الله بن عبد العزيز الطيار، الحماية الدولية التجارية غير التقليدية دراسة تحليلية، مجلة البحوث الفقهية والقانونية، ع45، (2024)، ص2000.</w:t>
      </w:r>
    </w:p>
  </w:footnote>
  <w:footnote w:id="312">
    <w:p w14:paraId="14A771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المرجع السابق، ص2001.</w:t>
      </w:r>
    </w:p>
  </w:footnote>
  <w:footnote w:id="313">
    <w:p w14:paraId="76B745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باره سعيدة، نظام مدريد كآلية للتسجيل الدولي للعلامات التجارية، المجلة الأكاديمية للبحث القانوني، مج14، ع2، (2016)، ص421.</w:t>
      </w:r>
    </w:p>
  </w:footnote>
  <w:footnote w:id="314">
    <w:p w14:paraId="6FFDB6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باسم عبد الرازق محمد الشيخ، براءة الاختراع وتطور حمايتها في إطار القانون الدولي، مجلة كلية الشريعة والقانون، ع38، (202)، ص51.</w:t>
      </w:r>
    </w:p>
  </w:footnote>
  <w:footnote w:id="315">
    <w:p w14:paraId="7343653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مج4، ع4، (2019)، ص510.</w:t>
      </w:r>
    </w:p>
  </w:footnote>
  <w:footnote w:id="316">
    <w:p w14:paraId="7B8EF31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الموقع الرسمي للهيئة السعودية للملكية الفكرية، تم دخول الموقع يوم 19/7/2025، </w:t>
      </w:r>
      <w:hyperlink r:id="rId17" w:history="1">
        <w:r w:rsidR="00454428" w:rsidRPr="00A663DE">
          <w:rPr>
            <w:rStyle w:val="Hyperlink0"/>
            <w:rFonts w:eastAsia="Arial Unicode MS"/>
          </w:rPr>
          <w:t>https://www.saip.gov.sa/pct</w:t>
        </w:r>
      </w:hyperlink>
      <w:r w:rsidRPr="00A663DE">
        <w:rPr>
          <w:rStyle w:val="None"/>
          <w:rFonts w:ascii="Times New Roman" w:hAnsi="Times New Roman" w:cs="Times New Roman"/>
          <w:sz w:val="24"/>
          <w:szCs w:val="24"/>
          <w:rtl/>
          <w:lang w:val="ar-SA"/>
        </w:rPr>
        <w:t xml:space="preserve"> </w:t>
      </w:r>
    </w:p>
  </w:footnote>
  <w:footnote w:id="317">
    <w:p w14:paraId="3610291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ثامر علي النويران، الجرائم الإلكترونية وطرق الحد منها: تجربة الأردن، جامعة محمد بن سعود الإسلامي، 174-183، (2015)، ص174.</w:t>
      </w:r>
    </w:p>
  </w:footnote>
  <w:footnote w:id="318">
    <w:p w14:paraId="25056E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ع5، (2022)، ص248.</w:t>
      </w:r>
    </w:p>
  </w:footnote>
  <w:footnote w:id="319">
    <w:p w14:paraId="5C5B33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حسين دوحاجي، تشريعات المصنفات الرقمية في المغرب العربي، دراسة تحليلية لنماذج من القوانين في كل من الجزائر وتونس والمغرب، (رسالة دكتوره غير منشورة)، جامعة الجزائر، الجزائر، (2022)، ص168.</w:t>
      </w:r>
    </w:p>
  </w:footnote>
  <w:footnote w:id="320">
    <w:p w14:paraId="31DFF65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مجلة المجتمع العربي لنشر الدراسات العلمية، الإصدار 43، (2024)، ص227.</w:t>
      </w:r>
    </w:p>
  </w:footnote>
  <w:footnote w:id="321">
    <w:p w14:paraId="77FAA63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الزهراء علي عبد العظيم، التحديات القانونية للحوكمة الرقمية في المؤسسات العامة، مجلة القانون والدراسات الاجتماعية، ع4، (2025)، ص334.</w:t>
      </w:r>
    </w:p>
  </w:footnote>
  <w:footnote w:id="322">
    <w:p w14:paraId="65C7B62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سعاد جواهره، حماية الملكية الفكرية في البيئة الرقمية من خلال التشريع الجزائري والقانون الدولي، (رسالة دكتوراه غير منشورة)، جامعة الجزائر، الجزائر، (2016)، ص137.</w:t>
      </w:r>
    </w:p>
  </w:footnote>
  <w:footnote w:id="323">
    <w:p w14:paraId="39A3706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غازي حسان إبراهيم، فاعلية السياسية الجنائية في مواجهة الجرائم المعلوماتية، مجلة الشريعة والقانون بالقاهرة، ع45، (2025)، ص2664.</w:t>
      </w:r>
    </w:p>
  </w:footnote>
  <w:footnote w:id="324">
    <w:p w14:paraId="4E1BD36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مرجع سابق، ص230.</w:t>
      </w:r>
    </w:p>
  </w:footnote>
  <w:footnote w:id="325">
    <w:p w14:paraId="1C8A8BF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(2023)، ص53.</w:t>
      </w:r>
    </w:p>
  </w:footnote>
  <w:footnote w:id="326">
    <w:p w14:paraId="0A2818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سليمان عبد الواحد عبدا لله أحمد محمد، التعاون الأمني لمواجهة الجريمة المنظمة، جامعة المنوفية، ع49، (2019)، 1-45، ص7.</w:t>
      </w:r>
    </w:p>
  </w:footnote>
  <w:footnote w:id="327">
    <w:p w14:paraId="3F50737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عبد المعبود أحمد، الجريمة الإلكترونية وآلية مكافحتها في ظل القانون الدولي، جامعة المنوفية، ع50، 1-71، (2019)، ص44.</w:t>
      </w:r>
    </w:p>
  </w:footnote>
  <w:footnote w:id="328">
    <w:p w14:paraId="0C6B82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إرزيل الكاهنة، تأثر المستهلك بحماية حقوق الملكية الفكرية، مجلة الحقوق والحريات، (4)، 618-605، (2017)، ص 606.</w:t>
      </w:r>
    </w:p>
  </w:footnote>
  <w:footnote w:id="329">
    <w:p w14:paraId="137033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(2010)، ص1207.</w:t>
      </w:r>
    </w:p>
  </w:footnote>
  <w:footnote w:id="330">
    <w:p w14:paraId="526EF1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142.</w:t>
      </w:r>
    </w:p>
  </w:footnote>
  <w:footnote w:id="331">
    <w:p w14:paraId="053ADF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 1369.</w:t>
      </w:r>
    </w:p>
  </w:footnote>
  <w:footnote w:id="332">
    <w:p w14:paraId="3EA2E70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رانا مصباح عبد المحسن عبد الرازق، الحماية الجنائية لحقوق التأليف في المملكة العربية السعودية على ضوء رؤية 2030، مجلة الاجتهاد للدراسات القانونية والاقتصادية، مج12، ع3، (2023)، ص21.</w:t>
      </w:r>
    </w:p>
  </w:footnote>
  <w:footnote w:id="333">
    <w:p w14:paraId="0A85DD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334">
    <w:p w14:paraId="4C9B98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و3 من نظام حماية حقوق المؤلف مرسوم ملكي رقم م/41.</w:t>
      </w:r>
    </w:p>
  </w:footnote>
  <w:footnote w:id="335">
    <w:p w14:paraId="0841F6A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19 من نظام حماية حقوق المؤلف مرسوم ملكي رقم م/41.</w:t>
      </w:r>
    </w:p>
  </w:footnote>
  <w:footnote w:id="336">
    <w:p w14:paraId="65A0E42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سيف حسين عوض آل سلطان القحطاني، الحماية المدنية لحقوق المؤلف في النظام السعودي، مجلة الاندلس للعلوم الإنسانية والاجتماعية، مج10، ع83، (2023)، ص147.</w:t>
      </w:r>
    </w:p>
  </w:footnote>
  <w:footnote w:id="337">
    <w:p w14:paraId="685E54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نظام براءات الاختراع والتصميمات التخطيطية للدارات المتكاملة والأصناف النباتية والنماذج الصناعية مرسوم ملكي رقم م/27.</w:t>
      </w:r>
    </w:p>
  </w:footnote>
  <w:footnote w:id="338">
    <w:p w14:paraId="05EE27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هديل علي أحمد فرج، التنظيم القانوني لحماية تصميم الدارة المتكاملة في ضوء النظام السعودي، المجلة الدولية للعلوم المالية والإدارية والاقتصادية، الإصدار 3، ع11، (2024)، ص17.</w:t>
      </w:r>
    </w:p>
  </w:footnote>
  <w:footnote w:id="339">
    <w:p w14:paraId="1C62B4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وائل محمد رفعت إبراهيم علي، الحماية القانونية للتصميمات التخطيطية للدوائر المتكاملة، مجلة العلوم الاقتصادية والإدارية والقانونية، مج2، ع14، (2018)، ص86.</w:t>
      </w:r>
    </w:p>
  </w:footnote>
  <w:footnote w:id="340">
    <w:p w14:paraId="11B1B9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بشاير سعيد عبد الله الوالي، التنظيم القانوني للأسماء التجارية المشهورة في القانون الإماراتي والقوانين المقارنة، (رسالة ماجستير غير منشورة)، جامعة الشارقة، الإمارات، ص17.</w:t>
      </w:r>
    </w:p>
  </w:footnote>
  <w:footnote w:id="341">
    <w:p w14:paraId="6A2D257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سارة عدلي حسين، حماية الاسم التجاري وفقًا لأحكام القانون المصري، المجلة العلمية للملكية الفكرية وإدارة الابتكار، ع4، (2021)، ص72.</w:t>
      </w:r>
    </w:p>
  </w:footnote>
  <w:footnote w:id="342">
    <w:p w14:paraId="610458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المادة الأولى والثانية من نظام الأسماء التجارية الصادر بالمرسوم الملكي رقم م/83.</w:t>
      </w:r>
    </w:p>
  </w:footnote>
  <w:footnote w:id="343">
    <w:p w14:paraId="7EC1E90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السادسة والسابعة من نظام من نظام الأسماء التجارية الصادر بالمرسوم الملكي رقم م/83.</w:t>
      </w:r>
    </w:p>
  </w:footnote>
  <w:footnote w:id="344">
    <w:p w14:paraId="7016772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شهد عبد الرحمن الصبحي، مدى وعي طلبة الدراسات العليا بنظام مكافحة الجرائم المعلوماتية في ظل التحول الرقمي ضمن رؤية المملكة 2030 دراسة مسحية لدى طلبة كلية الآداب والعلوم الإنسانية بجامعة الملك عبد العزيز بجدة، المجلة العربية للنشر العلمي، ع40، (2022)، ص777.</w:t>
      </w:r>
    </w:p>
  </w:footnote>
  <w:footnote w:id="345">
    <w:p w14:paraId="28E7094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ع46، (2024)، ص387.</w:t>
      </w:r>
    </w:p>
  </w:footnote>
  <w:footnote w:id="346">
    <w:p w14:paraId="425C0C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توبي؛ وعمر كحل الراس، أثر العلامة التجارية على إدارة العلاقة مع الزبائن، (رسالة ماجستير غير منشورة)، جامعة ماي قالمة، الجزائر، (2018)، ص3.</w:t>
      </w:r>
    </w:p>
  </w:footnote>
  <w:footnote w:id="347">
    <w:p w14:paraId="6064527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ص1.</w:t>
      </w:r>
    </w:p>
  </w:footnote>
  <w:footnote w:id="348">
    <w:p w14:paraId="03BD77D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ع50، (2021)، ص54.</w:t>
      </w:r>
    </w:p>
  </w:footnote>
  <w:footnote w:id="349">
    <w:p w14:paraId="16AAC1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ع41، الإصدار الثاني، (2025)، ص1643.</w:t>
      </w:r>
    </w:p>
  </w:footnote>
  <w:footnote w:id="350">
    <w:p w14:paraId="2FCE424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عماد بن محمد يوسف جان، مقدمة في الملكية الفكرية وتطورها في المملكة العربية السعودية، مجلة البحوث الإسلامية، ع94، (2022)، ص151.</w:t>
      </w:r>
    </w:p>
  </w:footnote>
  <w:footnote w:id="351">
    <w:p w14:paraId="16D0DA5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Toole, A., Miller, R. &amp; Rada, N. (2025). </w:t>
      </w:r>
      <w:r w:rsidRPr="00A663DE">
        <w:rPr>
          <w:rStyle w:val="None"/>
          <w:rFonts w:ascii="Times New Roman" w:hAnsi="Times New Roman" w:cs="Times New Roman"/>
        </w:rPr>
        <w:t xml:space="preserve">Intellectual property and the U.S. economy: Third edition. U.S. Patent and Trademark Office. </w:t>
      </w:r>
      <w:hyperlink r:id="rId18" w:history="1">
        <w:r w:rsidR="00454428" w:rsidRPr="00A663DE">
          <w:rPr>
            <w:rStyle w:val="Hyperlink4"/>
            <w:rFonts w:eastAsia="Arial Unicode MS"/>
          </w:rPr>
          <w:t>https://www.uspto.gov/sites/default/files/documents/uspto-ip-us-economy-third-edition.pdf</w:t>
        </w:r>
      </w:hyperlink>
      <w:r w:rsidRPr="00A663DE">
        <w:rPr>
          <w:rStyle w:val="None"/>
          <w:rFonts w:ascii="Times New Roman" w:hAnsi="Times New Roman" w:cs="Times New Roman"/>
        </w:rPr>
        <w:t xml:space="preserve"> P. 1.</w:t>
      </w:r>
    </w:p>
  </w:footnote>
  <w:footnote w:id="352">
    <w:p w14:paraId="6555C2F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Georgetown Law. (2025). Intellectual Property Law. Retrieved from  </w:t>
      </w:r>
      <w:hyperlink r:id="rId19" w:history="1">
        <w:r w:rsidR="00454428" w:rsidRPr="00A663DE">
          <w:rPr>
            <w:rStyle w:val="Hyperlink4"/>
            <w:rFonts w:eastAsia="Arial Unicode MS"/>
          </w:rPr>
          <w:t>https://www.law.georgetown.edu/your-life-career/career-exploration-professional-development/for-jd-students/explore-legal-careers/practice-areas/intellectual-property-law/\</w:t>
        </w:r>
      </w:hyperlink>
    </w:p>
  </w:footnote>
  <w:footnote w:id="353">
    <w:p w14:paraId="2625DC9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Sell, S. (2004). Intellectual property and public policy in historical perspective: Contestation and settlement. </w:t>
      </w:r>
      <w:r w:rsidRPr="00A663DE">
        <w:rPr>
          <w:rStyle w:val="None"/>
          <w:rFonts w:ascii="Times New Roman" w:hAnsi="Times New Roman" w:cs="Times New Roman"/>
          <w:i/>
          <w:iCs/>
          <w:color w:val="222222"/>
          <w:u w:color="222222"/>
          <w:shd w:val="clear" w:color="auto" w:fill="FFFFFF"/>
        </w:rPr>
        <w:t>Loy. LAL Rev.</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38</w:t>
      </w:r>
      <w:r w:rsidRPr="00A663DE">
        <w:rPr>
          <w:rStyle w:val="None"/>
          <w:rFonts w:ascii="Times New Roman" w:hAnsi="Times New Roman" w:cs="Times New Roman"/>
          <w:color w:val="222222"/>
          <w:u w:color="222222"/>
          <w:shd w:val="clear" w:color="auto" w:fill="FFFFFF"/>
        </w:rPr>
        <w:t>, 267. P. 60.</w:t>
      </w:r>
    </w:p>
  </w:footnote>
  <w:footnote w:id="354">
    <w:p w14:paraId="158B882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Joyce, C. (2020). Intellectual Property: United States Law. University of Houston Law Center Institute for Intellectual Property &amp; Information Law. P. 2.</w:t>
      </w:r>
    </w:p>
  </w:footnote>
  <w:footnote w:id="355">
    <w:p w14:paraId="24F34C7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Crestpoint University. (2025). History and Sources of Intellectual Property Law. Law shelf educational media. Retrieved from </w:t>
      </w:r>
      <w:hyperlink r:id="rId20" w:history="1">
        <w:r w:rsidR="00454428" w:rsidRPr="00A663DE">
          <w:rPr>
            <w:rStyle w:val="Hyperlink4"/>
            <w:rFonts w:eastAsia="Arial Unicode MS"/>
          </w:rPr>
          <w:t>https://www.lawshelf.com/coursewarecontentview/history-and-sources-of-intellectual-property-law</w:t>
        </w:r>
      </w:hyperlink>
    </w:p>
  </w:footnote>
  <w:footnote w:id="356">
    <w:p w14:paraId="24C8195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IPLAC. (2025). </w:t>
      </w:r>
      <w:r w:rsidRPr="00A663DE">
        <w:rPr>
          <w:rStyle w:val="None"/>
          <w:rFonts w:ascii="Times New Roman" w:hAnsi="Times New Roman" w:cs="Times New Roman"/>
          <w:i/>
          <w:iCs/>
        </w:rPr>
        <w:t>Intellectual Property Timeline</w:t>
      </w:r>
      <w:r w:rsidRPr="00A663DE">
        <w:rPr>
          <w:rStyle w:val="None"/>
          <w:rFonts w:ascii="Times New Roman" w:hAnsi="Times New Roman" w:cs="Times New Roman"/>
        </w:rPr>
        <w:t xml:space="preserve">. Retrieved from </w:t>
      </w:r>
      <w:hyperlink r:id="rId21" w:history="1">
        <w:r w:rsidR="00454428" w:rsidRPr="00A663DE">
          <w:rPr>
            <w:rStyle w:val="Hyperlink4"/>
            <w:rFonts w:eastAsia="Arial Unicode MS"/>
          </w:rPr>
          <w:t>https://iplac.org/about/history/intellectual-property-timeline/</w:t>
        </w:r>
      </w:hyperlink>
    </w:p>
  </w:footnote>
  <w:footnote w:id="357">
    <w:p w14:paraId="2B81D2D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Federalist Society. (2025). The Forgotten History of the Intellectual Property Clause. Retrieved from </w:t>
      </w:r>
      <w:hyperlink r:id="rId22" w:history="1">
        <w:r w:rsidR="00454428" w:rsidRPr="00A663DE">
          <w:rPr>
            <w:rStyle w:val="Hyperlink4"/>
            <w:rFonts w:eastAsia="Arial Unicode MS"/>
          </w:rPr>
          <w:t>https://fedsoc.org/commentary/fedsoc-blog/the-forgotten-history-of-the-intellectual-property-clause</w:t>
        </w:r>
      </w:hyperlink>
    </w:p>
  </w:footnote>
  <w:footnote w:id="358">
    <w:p w14:paraId="2E83261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13</w:t>
      </w:r>
      <w:r w:rsidRPr="00A663DE">
        <w:rPr>
          <w:rStyle w:val="None"/>
          <w:rFonts w:ascii="Times New Roman" w:hAnsi="Times New Roman" w:cs="Times New Roman"/>
          <w:color w:val="222222"/>
          <w:u w:color="222222"/>
          <w:shd w:val="clear" w:color="auto" w:fill="FFFFFF"/>
        </w:rPr>
        <w:t>(1), 15-38. P. 20.</w:t>
      </w:r>
    </w:p>
  </w:footnote>
  <w:footnote w:id="359">
    <w:p w14:paraId="785987A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 (2025). Intellectual Property Rights in the USA. Intellectual Property Office. </w:t>
      </w:r>
      <w:hyperlink r:id="rId23" w:history="1">
        <w:r w:rsidR="00454428" w:rsidRPr="00A663DE">
          <w:rPr>
            <w:rStyle w:val="Hyperlink4"/>
            <w:rFonts w:eastAsia="Arial Unicode MS"/>
          </w:rPr>
          <w:t>https://assets.publishing.service.gov.uk/media/5a80bf68e5274a2e87dbb972/IP_rights_in_USA.pdf</w:t>
        </w:r>
      </w:hyperlink>
      <w:r w:rsidRPr="00A663DE">
        <w:rPr>
          <w:rStyle w:val="None"/>
          <w:rFonts w:ascii="Times New Roman" w:hAnsi="Times New Roman" w:cs="Times New Roman"/>
        </w:rPr>
        <w:t xml:space="preserve">  P. 4</w:t>
      </w:r>
    </w:p>
  </w:footnote>
  <w:footnote w:id="360">
    <w:p w14:paraId="1DB664E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Mbah, G. O. (2024). US Intellectual Property Law and Its Impact on Business: Recent Developments and Trends. International Journal of Science and Research Archive, 13, 3279-3280.</w:t>
      </w:r>
    </w:p>
  </w:footnote>
  <w:footnote w:id="361">
    <w:p w14:paraId="79495A7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Yager, L. (2004). Intellectual Property: US Efforts Have Contributed to Strengthened Laws Overseas, But Challenges Remain: Testimony Before the Committee on Government Reform, House of Representatives. US Government Accountability Office. P. 7.</w:t>
      </w:r>
    </w:p>
  </w:footnote>
  <w:footnote w:id="362">
    <w:p w14:paraId="0E2066B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xml:space="preserve">) Congress. Gov. (2025). Intellectual Property Law: A Brief Introduction. Retrieved from </w:t>
      </w:r>
      <w:hyperlink r:id="rId24" w:history="1">
        <w:r w:rsidR="00454428" w:rsidRPr="00A663DE">
          <w:rPr>
            <w:rStyle w:val="Hyperlink5"/>
            <w:rFonts w:eastAsia="Arial Unicode MS"/>
          </w:rPr>
          <w:t>https://www.congress.gov/crs-product/IF10986</w:t>
        </w:r>
      </w:hyperlink>
    </w:p>
  </w:footnote>
  <w:footnote w:id="363">
    <w:p w14:paraId="0C105784" w14:textId="77777777" w:rsidR="00454428" w:rsidRPr="00A663DE" w:rsidRDefault="00000000">
      <w:pPr>
        <w:pStyle w:val="a6"/>
        <w:bidi w:val="0"/>
        <w:jc w:val="both"/>
        <w:rPr>
          <w:rFonts w:ascii="Times New Roman" w:hAnsi="Times New Roman" w:cs="Times New Roman"/>
        </w:rPr>
      </w:pPr>
      <w:r w:rsidRPr="00A663DE">
        <w:rPr>
          <w:rStyle w:val="Hyperlink5"/>
          <w:rFonts w:eastAsia="Arial Unicode MS"/>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Hyperlink5"/>
          <w:rFonts w:eastAsia="Arial Unicode MS"/>
        </w:rPr>
        <w:t xml:space="preserve">) HG. (2025). What Is Intellectual Property Law? Retrieved from </w:t>
      </w:r>
      <w:hyperlink r:id="rId25" w:history="1">
        <w:r w:rsidR="00454428" w:rsidRPr="00A663DE">
          <w:rPr>
            <w:rStyle w:val="Hyperlink5"/>
            <w:rFonts w:eastAsia="Arial Unicode MS"/>
          </w:rPr>
          <w:t>https://www.hg.org/intell.html</w:t>
        </w:r>
      </w:hyperlink>
    </w:p>
  </w:footnote>
  <w:footnote w:id="364">
    <w:p w14:paraId="69FA13C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Center for Strategic &amp; International Studies. (2025). </w:t>
      </w:r>
      <w:r w:rsidRPr="00A663DE">
        <w:rPr>
          <w:rStyle w:val="None"/>
          <w:rFonts w:ascii="Times New Roman" w:hAnsi="Times New Roman" w:cs="Times New Roman"/>
          <w:i/>
          <w:iCs/>
        </w:rPr>
        <w:t>Intellectual Property Rights and the Future of U.S. Technological Leadership</w:t>
      </w:r>
      <w:r w:rsidRPr="00A663DE">
        <w:rPr>
          <w:rStyle w:val="None"/>
          <w:rFonts w:ascii="Times New Roman" w:hAnsi="Times New Roman" w:cs="Times New Roman"/>
        </w:rPr>
        <w:t xml:space="preserve">. Retrieved from </w:t>
      </w:r>
      <w:hyperlink r:id="rId26" w:history="1">
        <w:r w:rsidR="00454428" w:rsidRPr="00A663DE">
          <w:rPr>
            <w:rStyle w:val="Hyperlink4"/>
            <w:rFonts w:eastAsia="Arial Unicode MS"/>
          </w:rPr>
          <w:t>https://www.csis.org/analysis/intellectual-property-rights-and-future-us-technological-leadership</w:t>
        </w:r>
      </w:hyperlink>
    </w:p>
  </w:footnote>
  <w:footnote w:id="365">
    <w:p w14:paraId="39D6B02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Copyright Office. (2025). United States Intellectual Property Organization Act of 1996 (S. 1961). Retrieved from </w:t>
      </w:r>
      <w:hyperlink r:id="rId27" w:history="1">
        <w:r w:rsidR="00454428" w:rsidRPr="00A663DE">
          <w:rPr>
            <w:rStyle w:val="Hyperlink4"/>
            <w:rFonts w:eastAsia="Arial Unicode MS"/>
          </w:rPr>
          <w:t>https://www.copyright.gov/docs/ipo.html</w:t>
        </w:r>
      </w:hyperlink>
    </w:p>
  </w:footnote>
  <w:footnote w:id="366">
    <w:p w14:paraId="7C30E51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Department Of state. (2025). </w:t>
      </w:r>
      <w:r w:rsidRPr="00A663DE">
        <w:rPr>
          <w:rStyle w:val="None"/>
          <w:rFonts w:ascii="Times New Roman" w:hAnsi="Times New Roman" w:cs="Times New Roman"/>
          <w:i/>
          <w:iCs/>
        </w:rPr>
        <w:t>Intellectual Property Enforcement</w:t>
      </w:r>
      <w:r w:rsidRPr="00A663DE">
        <w:rPr>
          <w:rStyle w:val="None"/>
          <w:rFonts w:ascii="Times New Roman" w:hAnsi="Times New Roman" w:cs="Times New Roman"/>
        </w:rPr>
        <w:t xml:space="preserve">. Retrieved from </w:t>
      </w:r>
      <w:hyperlink r:id="rId28" w:history="1">
        <w:r w:rsidR="00454428" w:rsidRPr="00A663DE">
          <w:rPr>
            <w:rStyle w:val="Hyperlink4"/>
            <w:rFonts w:eastAsia="Arial Unicode MS"/>
          </w:rPr>
          <w:t>https://www.state.gov/intellectual-property-enforcement</w:t>
        </w:r>
      </w:hyperlink>
    </w:p>
  </w:footnote>
  <w:footnote w:id="367">
    <w:p w14:paraId="7AD0A4A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Michael Dudzik (2022).  “Inventors and the French business environment (1791–1798)”, e-Phaïstos, Revue d’histoire des techniques / Journal of the history of technology, P. 4. </w:t>
      </w:r>
    </w:p>
  </w:footnote>
  <w:footnote w:id="368">
    <w:p w14:paraId="31496EA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IPOI. (2025). </w:t>
      </w:r>
      <w:r w:rsidRPr="00A663DE">
        <w:rPr>
          <w:rStyle w:val="None"/>
          <w:rFonts w:ascii="Times New Roman" w:hAnsi="Times New Roman" w:cs="Times New Roman"/>
          <w:i/>
          <w:iCs/>
        </w:rPr>
        <w:t>What is intellectual property?</w:t>
      </w:r>
      <w:r w:rsidRPr="00A663DE">
        <w:rPr>
          <w:rStyle w:val="None"/>
          <w:rFonts w:ascii="Times New Roman" w:hAnsi="Times New Roman" w:cs="Times New Roman"/>
        </w:rPr>
        <w:t xml:space="preserve"> Intellectual Property Office of Ireland, Government Offices, Hebron Road, Kilkenny, Ireland. Retrieved from </w:t>
      </w:r>
      <w:hyperlink r:id="rId29" w:history="1">
        <w:r w:rsidR="00454428" w:rsidRPr="00A663DE">
          <w:rPr>
            <w:rStyle w:val="Hyperlink4"/>
            <w:rFonts w:eastAsia="Arial Unicode MS"/>
          </w:rPr>
          <w:t>https://www.ipoi.gov.ie/en/commercialise-your-ip/using-ip-to-grow-your-business/what-is-intellectual-property-/</w:t>
        </w:r>
      </w:hyperlink>
    </w:p>
  </w:footnote>
  <w:footnote w:id="369">
    <w:p w14:paraId="69273B0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Project MUSE. (2025). A Politics of Intellectual Property. Creating a Patent System in Revolutionary France. </w:t>
      </w:r>
      <w:hyperlink r:id="rId30" w:history="1">
        <w:r w:rsidR="00454428" w:rsidRPr="00A663DE">
          <w:rPr>
            <w:rStyle w:val="Hyperlink4"/>
            <w:rFonts w:eastAsia="Arial Unicode MS"/>
          </w:rPr>
          <w:t>https://muse.jhu.edu/pub/1/article/777601</w:t>
        </w:r>
      </w:hyperlink>
    </w:p>
  </w:footnote>
  <w:footnote w:id="370">
    <w:p w14:paraId="21119D5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Galvez-Behar, G. (2019). The patent system during the French industrial revolution: Institutional change and economic effects. </w:t>
      </w:r>
      <w:r w:rsidRPr="00A663DE">
        <w:rPr>
          <w:rStyle w:val="Hyperlink5"/>
          <w:rFonts w:eastAsia="Arial Unicode MS"/>
        </w:rPr>
        <w:t>Jahrbuch für Wirtschaftsgeschichte/Economic History Yearbook</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60</w:t>
      </w:r>
      <w:r w:rsidRPr="00A663DE">
        <w:rPr>
          <w:rStyle w:val="None"/>
          <w:rFonts w:ascii="Times New Roman" w:hAnsi="Times New Roman" w:cs="Times New Roman"/>
          <w:color w:val="222222"/>
          <w:u w:color="222222"/>
          <w:shd w:val="clear" w:color="auto" w:fill="FFFFFF"/>
        </w:rPr>
        <w:t xml:space="preserve">(1), P. 3. </w:t>
      </w:r>
    </w:p>
  </w:footnote>
  <w:footnote w:id="371">
    <w:p w14:paraId="3BCE0C3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Sunwater Capital. (2025). Adoption of Intellectual Property Laws across the globe: Timeline. Retrieved from </w:t>
      </w:r>
      <w:hyperlink r:id="rId31" w:history="1">
        <w:r w:rsidR="00454428" w:rsidRPr="00A663DE">
          <w:rPr>
            <w:rStyle w:val="Hyperlink4"/>
            <w:rFonts w:eastAsia="Arial Unicode MS"/>
          </w:rPr>
          <w:t>https://sunwater.org/adoption-of-intellectual-property-laws-across-the-globe-timeline/</w:t>
        </w:r>
      </w:hyperlink>
    </w:p>
  </w:footnote>
  <w:footnote w:id="372">
    <w:p w14:paraId="6AB76C4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Chang, H. J. (2001). Intellectual Property Rights and Economic Development: historical lessons and emerging issues. Third World Network, Malaysia. PP. 9-10</w:t>
      </w:r>
    </w:p>
  </w:footnote>
  <w:footnote w:id="373">
    <w:p w14:paraId="19C0BE07" w14:textId="77777777" w:rsidR="00454428" w:rsidRPr="00A663DE" w:rsidRDefault="00000000">
      <w:pPr>
        <w:pStyle w:val="a6"/>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AIPPI International. (2025). A Century of Excellence: The French Legacy in Global Intellectual Property. Retrieved from </w:t>
      </w:r>
      <w:hyperlink r:id="rId32" w:history="1">
        <w:r w:rsidR="00454428" w:rsidRPr="00A663DE">
          <w:rPr>
            <w:rStyle w:val="Hyperlink4"/>
            <w:rFonts w:eastAsia="Arial Unicode MS"/>
          </w:rPr>
          <w:t>https://www.aippi.org/news/a-century-of-excellence-the-french-legacy-in-global-intellectual-property/</w:t>
        </w:r>
      </w:hyperlink>
    </w:p>
  </w:footnote>
  <w:footnote w:id="374">
    <w:p w14:paraId="1246BFC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Liemer, S. P. (2011). On the origins of Le Droit moral: how non-economic rights came to be protected in French IP law. </w:t>
      </w:r>
      <w:r w:rsidRPr="00A663DE">
        <w:rPr>
          <w:rStyle w:val="Hyperlink5"/>
          <w:rFonts w:eastAsia="Arial Unicode MS"/>
        </w:rPr>
        <w:t>J. Intell. Prop. L.</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19</w:t>
      </w:r>
      <w:r w:rsidRPr="00A663DE">
        <w:rPr>
          <w:rStyle w:val="None"/>
          <w:rFonts w:ascii="Times New Roman" w:hAnsi="Times New Roman" w:cs="Times New Roman"/>
          <w:color w:val="222222"/>
          <w:u w:color="222222"/>
          <w:shd w:val="clear" w:color="auto" w:fill="FFFFFF"/>
        </w:rPr>
        <w:t>:65, PP. 69-70.</w:t>
      </w:r>
    </w:p>
  </w:footnote>
  <w:footnote w:id="375">
    <w:p w14:paraId="3F38EA3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Lemercier,</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L., Blanchet, T. &amp; Dundon, C. (2021). </w:t>
      </w:r>
      <w:r w:rsidRPr="00A663DE">
        <w:rPr>
          <w:rStyle w:val="None"/>
          <w:rFonts w:ascii="Times New Roman" w:hAnsi="Times New Roman" w:cs="Times New Roman"/>
          <w:i/>
          <w:iCs/>
        </w:rPr>
        <w:t>Private Acquisitions: Intellectual Property Issues (France)</w:t>
      </w:r>
      <w:r w:rsidRPr="00A663DE">
        <w:rPr>
          <w:rStyle w:val="None"/>
          <w:rFonts w:ascii="Times New Roman" w:hAnsi="Times New Roman" w:cs="Times New Roman"/>
        </w:rPr>
        <w:t>. Practical Law. Thomson Reuters. PP. 1-2.</w:t>
      </w:r>
    </w:p>
  </w:footnote>
  <w:footnote w:id="376">
    <w:p w14:paraId="057E62E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Laurence R. Hefter </w:t>
      </w:r>
      <w:r w:rsidRPr="00A663DE">
        <w:rPr>
          <w:rStyle w:val="None"/>
          <w:rFonts w:ascii="Times New Roman" w:hAnsi="Times New Roman" w:cs="Times New Roman"/>
          <w:sz w:val="24"/>
          <w:szCs w:val="24"/>
          <w:rtl/>
          <w:lang w:val="ar-SA"/>
        </w:rPr>
        <w:t>&amp;</w:t>
      </w:r>
      <w:r w:rsidRPr="00A663DE">
        <w:rPr>
          <w:rStyle w:val="None"/>
          <w:rFonts w:ascii="Times New Roman" w:hAnsi="Times New Roman" w:cs="Times New Roman"/>
        </w:rPr>
        <w:t xml:space="preserve"> Robert D. Litowitz. (2025). PROTECTING INTELLECTUAL PROPERTY. Retrieved from </w:t>
      </w:r>
      <w:hyperlink r:id="rId33" w:history="1">
        <w:r w:rsidR="00454428" w:rsidRPr="00A663DE">
          <w:rPr>
            <w:rStyle w:val="Hyperlink0"/>
            <w:rFonts w:eastAsia="Arial Unicode MS"/>
          </w:rPr>
          <w:t>https://usinfo.org/trade/bg9515e.htm</w:t>
        </w:r>
      </w:hyperlink>
    </w:p>
  </w:footnote>
  <w:footnote w:id="377">
    <w:p w14:paraId="5CA400D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National University. (2025). INTELLECTUAL PROPERTY OBJECTS PROTECTION IN FRANCE. Retrieved from </w:t>
      </w:r>
      <w:hyperlink r:id="rId34" w:history="1">
        <w:r w:rsidR="00454428" w:rsidRPr="00A663DE">
          <w:rPr>
            <w:rStyle w:val="Hyperlink4"/>
            <w:rFonts w:eastAsia="Arial Unicode MS"/>
          </w:rPr>
          <w:t>https://reposit.nupp.edu.ua/bitstream/PoltNTU/12441/1/75%20%D0%A2.1-441-442.pdf</w:t>
        </w:r>
      </w:hyperlink>
    </w:p>
  </w:footnote>
  <w:footnote w:id="378">
    <w:p w14:paraId="1AC2282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Licensing Executives Society. (2025). IP-Related Aspects Of The French Law On Modernization Of The Economy. Retrieved from </w:t>
      </w:r>
      <w:hyperlink r:id="rId35" w:history="1">
        <w:r w:rsidR="00454428" w:rsidRPr="00A663DE">
          <w:rPr>
            <w:rStyle w:val="Hyperlink4"/>
            <w:rFonts w:eastAsia="Arial Unicode MS"/>
          </w:rPr>
          <w:t>https://lesi.org/ip-related-aspects-of-the-french-law-on-modernization-of-the-economy/</w:t>
        </w:r>
      </w:hyperlink>
    </w:p>
  </w:footnote>
  <w:footnote w:id="379">
    <w:p w14:paraId="258B426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Dreyfus. (2025). </w:t>
      </w:r>
      <w:r w:rsidRPr="00A663DE">
        <w:rPr>
          <w:rStyle w:val="None"/>
          <w:rFonts w:ascii="Times New Roman" w:hAnsi="Times New Roman" w:cs="Times New Roman"/>
          <w:i/>
          <w:iCs/>
        </w:rPr>
        <w:t>The French Intellectual Property Legal Framework: A Comprehensive Overview</w:t>
      </w:r>
      <w:r w:rsidRPr="00A663DE">
        <w:rPr>
          <w:rStyle w:val="None"/>
          <w:rFonts w:ascii="Times New Roman" w:hAnsi="Times New Roman" w:cs="Times New Roman"/>
        </w:rPr>
        <w:t xml:space="preserve">. Retrieved from </w:t>
      </w:r>
      <w:hyperlink r:id="rId36" w:history="1">
        <w:r w:rsidR="00454428" w:rsidRPr="00A663DE">
          <w:rPr>
            <w:rStyle w:val="Hyperlink4"/>
            <w:rFonts w:eastAsia="Arial Unicode MS"/>
          </w:rPr>
          <w:t>https://www.dreyfus.fr/en/2024/10/21/frances-ip-legislation-mastering-trademarks-in-a-global-playground/</w:t>
        </w:r>
      </w:hyperlink>
    </w:p>
  </w:footnote>
  <w:footnote w:id="380">
    <w:p w14:paraId="6A7F21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النظرية العامة للالتزام، مصر: دار الجامعة الجديدة، (2005)، ص371.</w:t>
      </w:r>
    </w:p>
  </w:footnote>
  <w:footnote w:id="381">
    <w:p w14:paraId="2A44E63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ص373.</w:t>
      </w:r>
    </w:p>
  </w:footnote>
  <w:footnote w:id="382">
    <w:p w14:paraId="3040045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(2020)، ص52.</w:t>
      </w:r>
    </w:p>
  </w:footnote>
  <w:footnote w:id="383">
    <w:p w14:paraId="22F3B1A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مرجع سابق، ص382.</w:t>
      </w:r>
    </w:p>
  </w:footnote>
  <w:footnote w:id="384">
    <w:p w14:paraId="79F3666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ص386.</w:t>
      </w:r>
    </w:p>
  </w:footnote>
  <w:footnote w:id="385">
    <w:p w14:paraId="09AB63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مصادر الالتزام المدني، مصر: دار النهضة العربية، ط1، (2002)، ص247.</w:t>
      </w:r>
    </w:p>
  </w:footnote>
  <w:footnote w:id="386">
    <w:p w14:paraId="0F1E350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ص53.</w:t>
      </w:r>
    </w:p>
  </w:footnote>
  <w:footnote w:id="387">
    <w:p w14:paraId="14E558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سمير عبد السيد تناغو، مصادر الإلتزام، مصر: مكتبة الوفاء القانونية، ط1، (2009)، ص169.</w:t>
      </w:r>
    </w:p>
  </w:footnote>
  <w:footnote w:id="388">
    <w:p w14:paraId="3D90B6C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ص251.</w:t>
      </w:r>
    </w:p>
  </w:footnote>
  <w:footnote w:id="389">
    <w:p w14:paraId="73C13C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ص54.</w:t>
      </w:r>
    </w:p>
  </w:footnote>
  <w:footnote w:id="390">
    <w:p w14:paraId="573CA6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ص255.</w:t>
      </w:r>
    </w:p>
  </w:footnote>
  <w:footnote w:id="391">
    <w:p w14:paraId="4CCDFA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ص57.</w:t>
      </w:r>
    </w:p>
  </w:footnote>
  <w:footnote w:id="392">
    <w:p w14:paraId="151703C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المجلة القانونية الاقتصادية، ع48، (2025)، ص123.</w:t>
      </w:r>
    </w:p>
  </w:footnote>
  <w:footnote w:id="393">
    <w:p w14:paraId="2EF810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جاسم محمد سعيد النقبي، دعوى التعويض عن القرارات الإدارية غير المشروعة، بحث نشر بجامعة الشارقة، (2021)، ص9.</w:t>
      </w:r>
    </w:p>
  </w:footnote>
  <w:footnote w:id="394">
    <w:p w14:paraId="7DA974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نضال عطا بدوي الدويك، التعويض عن الأضرار المادية المستقبلية الناجمة عن الإصابات الجسدية، رسالة ماجستير غير منشورة، جامعة الشرق الأوسط، الأردن، (2016)، ص28.</w:t>
      </w:r>
    </w:p>
  </w:footnote>
  <w:footnote w:id="395">
    <w:p w14:paraId="68F368C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مرجع سابق، ص135.</w:t>
      </w:r>
    </w:p>
  </w:footnote>
  <w:footnote w:id="396">
    <w:p w14:paraId="5D07F8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ص282.</w:t>
      </w:r>
    </w:p>
  </w:footnote>
  <w:footnote w:id="397">
    <w:p w14:paraId="15DEE91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(119) من نظام المعاملات المدنية، مرسوم ملكي رقم (م/191) وتاريخ 29/11/1444هـ.</w:t>
      </w:r>
    </w:p>
  </w:footnote>
  <w:footnote w:id="398">
    <w:p w14:paraId="23A1F80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1424هـ، المعدل بقرار مجلس الوزراء رقم 536 وتاريخ 19/10/1439هـ.</w:t>
      </w:r>
    </w:p>
  </w:footnote>
  <w:footnote w:id="399">
    <w:p w14:paraId="17B5972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(45) من اتفاقية الجوانب المتصلة بالتجارة من حقوق الملكية الفكرية والمعرفة باسم تريبس.</w:t>
      </w:r>
    </w:p>
  </w:footnote>
  <w:footnote w:id="400">
    <w:p w14:paraId="2C74DF9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مجلة جامعة الملك عبد العزيز: الآداب والعلوم الإنسانية، م29، ع4، (2021)، ص505.</w:t>
      </w:r>
    </w:p>
  </w:footnote>
  <w:footnote w:id="401">
    <w:p w14:paraId="1AB208E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لجامعة أم البواقي، مج9، ع3، (2022)، ص1281.</w:t>
      </w:r>
    </w:p>
  </w:footnote>
  <w:footnote w:id="402">
    <w:p w14:paraId="3B0B90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الأردن: دار اليازوري العلمية للنشر والتوزيع، (2019)، ص278.</w:t>
      </w:r>
    </w:p>
  </w:footnote>
  <w:footnote w:id="403">
    <w:p w14:paraId="45C4CC1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نظام حماية حقوق المؤلف، الصادر بالمرسوم الملكي رقم م/41 بتاريخ 2 رجب 1424هـ، المعدل بقرار مجلس الوزراء رقم 536 وتاريخ 19/10/1439هـ.</w:t>
      </w:r>
    </w:p>
  </w:footnote>
  <w:footnote w:id="404">
    <w:p w14:paraId="29D653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(29)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05">
    <w:p w14:paraId="1E5FFAC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(6 ثانيًا) من اتفاقية برن لحماية المصنفات الأدبية والفنية، وثيقة باريس المؤرخة 24 يوليو/ تموز 1971 والمعدلة في 28 سبتمبر/ أيلول 1979.</w:t>
      </w:r>
    </w:p>
  </w:footnote>
  <w:footnote w:id="406">
    <w:p w14:paraId="632397A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عبد اللاه عبد الحميد عبد الرحيم المراغي، المسؤولية الجنائية لمقدمي خدمات الإنترنت، مجلة حقوق حلوان للدراسات القانونية والاقتصادية، مج42، ع42، 2020، ص108.</w:t>
      </w:r>
    </w:p>
  </w:footnote>
  <w:footnote w:id="407">
    <w:p w14:paraId="677DBDD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أنظر: 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ع42، 2010، ص42.</w:t>
      </w:r>
    </w:p>
  </w:footnote>
  <w:footnote w:id="408">
    <w:p w14:paraId="5DE857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عزة محمد حمزة، المسئولية القانونية لمتعاملي الإنترنت دراسة مقارنة، (رسالة دكتوراه غير منشورة)، جامعة جيلالي ليابس، الجزائر، 2019، ص136.</w:t>
      </w:r>
    </w:p>
  </w:footnote>
  <w:footnote w:id="409">
    <w:p w14:paraId="358092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نظام الاتصالات وتقنية المعلومات الصادر بالمرسوم الملكي رقم م/106 بتاريخ 2/11/1443هـ.</w:t>
      </w:r>
    </w:p>
  </w:footnote>
  <w:footnote w:id="410">
    <w:p w14:paraId="20832B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مج4، ع2، 2020، ص166.</w:t>
      </w:r>
    </w:p>
  </w:footnote>
  <w:footnote w:id="411">
    <w:p w14:paraId="6325C64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صابرين حناش، المسؤولية الجنائية لمزودي خدمة الإنترنت، (رسالة ماجستير غير منشورة)، جامعة أكلي محند أولحاج، الجزائر، 2023، ص38.</w:t>
      </w:r>
    </w:p>
  </w:footnote>
  <w:footnote w:id="412">
    <w:p w14:paraId="3B341E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ميسر طارق يوسف جرار، المسؤولية المدنية لمزودي خدمة الإنترنت، (رسالة ماجستير غير منشورة)، جامعة النجاح الوطنية، فلسطين، 2023، ص72. / أنظر: عبد الفتاح محمود كيلاني، مدى المسئولية القانونية لمقدمي خدمة الإنترنت، ص482.</w:t>
      </w:r>
    </w:p>
  </w:footnote>
  <w:footnote w:id="413">
    <w:p w14:paraId="59813CB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خضراوي الهادي؛ ايمان بو ناصر، الإطار القانوني للمسؤولية المدنية لمزودي الخدمة المعلوماتية دراسة مقارنة، مجلة البحوث القانونية والسياسية، ع7، 2016، ص401.</w:t>
      </w:r>
    </w:p>
  </w:footnote>
  <w:footnote w:id="414">
    <w:p w14:paraId="4E039D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ص34.</w:t>
      </w:r>
    </w:p>
  </w:footnote>
  <w:footnote w:id="415">
    <w:p w14:paraId="7BC534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للهيئة السعودية للملكية الفكرية، تم الدخول على الموقع بتاريخ 18/8/2025 من خلال الرابط التالي: </w:t>
      </w:r>
      <w:hyperlink r:id="rId37" w:history="1">
        <w:r w:rsidR="00454428" w:rsidRPr="00A663DE">
          <w:rPr>
            <w:rStyle w:val="Hyperlink0"/>
            <w:rFonts w:eastAsia="Arial Unicode MS"/>
          </w:rPr>
          <w:t>https://www.saip.gov.sa/about/brief</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w:t>
      </w:r>
    </w:p>
  </w:footnote>
  <w:footnote w:id="416">
    <w:p w14:paraId="578BD5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مرجع سابق، ص512.</w:t>
      </w:r>
    </w:p>
  </w:footnote>
  <w:footnote w:id="417">
    <w:p w14:paraId="2A9960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(26)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18">
    <w:p w14:paraId="5914EBD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أثر استخدام تقنيات الذكاء الاصطناعي على النظام العام، الفكر الشرطي، مج33، ع131، (2024)، ص99.</w:t>
      </w:r>
    </w:p>
  </w:footnote>
  <w:footnote w:id="419">
    <w:p w14:paraId="12A8AAC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(8/1)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20">
    <w:p w14:paraId="6BACE1B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Kharchenko, O., Kronda, O., Kryvosheyina, I., &amp; Zerov, K. (2021). Protection of intellectual property rights on the Internet: New challenges. </w:t>
      </w:r>
      <w:r w:rsidRPr="00A663DE">
        <w:rPr>
          <w:rStyle w:val="Hyperlink5"/>
          <w:rFonts w:eastAsia="Arial Unicode MS"/>
        </w:rPr>
        <w:t>Amazonia Investiga</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10</w:t>
      </w:r>
      <w:r w:rsidRPr="00A663DE">
        <w:rPr>
          <w:rStyle w:val="None"/>
          <w:rFonts w:ascii="Times New Roman" w:hAnsi="Times New Roman" w:cs="Times New Roman"/>
          <w:color w:val="222222"/>
          <w:u w:color="222222"/>
          <w:shd w:val="clear" w:color="auto" w:fill="FFFFFF"/>
        </w:rPr>
        <w:t>(41), 224-236. P. 225.</w:t>
      </w:r>
    </w:p>
  </w:footnote>
  <w:footnote w:id="421">
    <w:p w14:paraId="625D387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Thuy, L. T. B. (2020). PROTECTION OF COPYRIGHT IN THE DIGITAL ENVIRONMENT IN VIET NAM. WIPO-WTO Colloquium Papers, 2020, Special Edition. P. 223</w:t>
      </w:r>
    </w:p>
  </w:footnote>
  <w:footnote w:id="422">
    <w:p w14:paraId="2D4C5CF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w:t>
      </w:r>
      <w:r w:rsidRPr="00A663DE">
        <w:rPr>
          <w:rStyle w:val="None"/>
          <w:rFonts w:ascii="Times New Roman" w:hAnsi="Times New Roman" w:cs="Times New Roman"/>
          <w:color w:val="222222"/>
          <w:sz w:val="24"/>
          <w:szCs w:val="24"/>
          <w:u w:color="222222"/>
          <w:shd w:val="clear" w:color="auto" w:fill="FFFFFF"/>
          <w:rtl/>
          <w:lang w:val="ar-SA"/>
        </w:rPr>
        <w:t xml:space="preserve"> </w:t>
      </w:r>
      <w:r w:rsidRPr="00A663DE">
        <w:rPr>
          <w:rStyle w:val="None"/>
          <w:rFonts w:ascii="Times New Roman" w:hAnsi="Times New Roman" w:cs="Times New Roman"/>
          <w:color w:val="222222"/>
          <w:u w:color="222222"/>
          <w:shd w:val="clear" w:color="auto" w:fill="FFFFFF"/>
        </w:rPr>
        <w:t xml:space="preserve"> P. 17.</w:t>
      </w:r>
    </w:p>
  </w:footnote>
  <w:footnote w:id="423">
    <w:p w14:paraId="65963B0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Nicolas Bronzo. Remedies for Intellectual property rights infringement in France and Europe: have we gone too far? Second Property Remedies Discussion Forum Aix-en-Provence, Russel L. Weaver; François Lichere, Jun 2014, Aix-en -Provence, France.</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 P. 4.</w:t>
      </w:r>
    </w:p>
  </w:footnote>
  <w:footnote w:id="424">
    <w:p w14:paraId="4F626AB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Danis, 2022. </w:t>
      </w:r>
      <w:r w:rsidRPr="00A663DE">
        <w:rPr>
          <w:rStyle w:val="None"/>
          <w:rFonts w:ascii="Times New Roman" w:hAnsi="Times New Roman" w:cs="Times New Roman"/>
          <w:i/>
          <w:iCs/>
        </w:rPr>
        <w:t>Trade secrets better protected by French law and by the courts</w:t>
      </w:r>
      <w:r w:rsidRPr="00A663DE">
        <w:rPr>
          <w:rStyle w:val="None"/>
          <w:rFonts w:ascii="Times New Roman" w:hAnsi="Times New Roman" w:cs="Times New Roman"/>
        </w:rPr>
        <w:t xml:space="preserve">. </w:t>
      </w:r>
      <w:hyperlink r:id="rId38" w:history="1">
        <w:r w:rsidR="00454428" w:rsidRPr="00A663DE">
          <w:rPr>
            <w:rStyle w:val="Hyperlink4"/>
            <w:rFonts w:eastAsia="Arial Unicode MS"/>
          </w:rPr>
          <w:t>https://www.august-debouzy.com/en/blog/1258-trade-secrets-better-protected-by-french-law-and-by-the-courts</w:t>
        </w:r>
      </w:hyperlink>
    </w:p>
  </w:footnote>
  <w:footnote w:id="425">
    <w:p w14:paraId="0DA47753"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legifrance.gouv. (2025). </w:t>
      </w:r>
      <w:r w:rsidRPr="00A663DE">
        <w:rPr>
          <w:rStyle w:val="None"/>
          <w:rFonts w:ascii="Times New Roman" w:hAnsi="Times New Roman" w:cs="Times New Roman"/>
          <w:i/>
          <w:iCs/>
          <w:lang w:val="it-IT"/>
        </w:rPr>
        <w:t>Code de la propriété intellectuelle</w:t>
      </w:r>
      <w:r w:rsidRPr="00A663DE">
        <w:rPr>
          <w:rStyle w:val="None"/>
          <w:rFonts w:ascii="Times New Roman" w:hAnsi="Times New Roman" w:cs="Times New Roman"/>
          <w:lang w:val="it-IT"/>
        </w:rPr>
        <w:t xml:space="preserve">. </w:t>
      </w:r>
      <w:r w:rsidRPr="00A663DE">
        <w:rPr>
          <w:rStyle w:val="None"/>
          <w:rFonts w:ascii="Times New Roman" w:hAnsi="Times New Roman" w:cs="Times New Roman"/>
        </w:rPr>
        <w:t xml:space="preserve">Retrieved from </w:t>
      </w:r>
      <w:hyperlink r:id="rId39" w:history="1">
        <w:r w:rsidR="00454428" w:rsidRPr="00A663DE">
          <w:rPr>
            <w:rStyle w:val="Hyperlink4"/>
            <w:rFonts w:eastAsia="Arial Unicode MS"/>
          </w:rPr>
          <w:t>https://www.legifrance.gouv.fr/codes/article_lc/LEGIARTI000006278958</w:t>
        </w:r>
      </w:hyperlink>
    </w:p>
  </w:footnote>
  <w:footnote w:id="426">
    <w:p w14:paraId="79826F4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Justice.Pappers. (2025). Article L331-1-3 du Code de la propriété intellectuelle. </w:t>
      </w:r>
      <w:r w:rsidRPr="00A663DE">
        <w:rPr>
          <w:rStyle w:val="None"/>
          <w:rFonts w:ascii="Times New Roman" w:hAnsi="Times New Roman" w:cs="Times New Roman"/>
        </w:rPr>
        <w:t xml:space="preserve">Retrieved from </w:t>
      </w:r>
      <w:hyperlink r:id="rId40" w:history="1">
        <w:r w:rsidR="00454428" w:rsidRPr="00A663DE">
          <w:rPr>
            <w:rStyle w:val="Hyperlink4"/>
            <w:rFonts w:eastAsia="Arial Unicode MS"/>
          </w:rPr>
          <w:t>https://justice.pappers.fr/loi/LEGITEXT000006069414/article/LEGIARTI000028716676?utm_source</w:t>
        </w:r>
      </w:hyperlink>
    </w:p>
  </w:footnote>
  <w:footnote w:id="427">
    <w:p w14:paraId="1BF33B7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Dalloz.fr. (2025). Code de la propriété intellectuelle. </w:t>
      </w:r>
      <w:r w:rsidRPr="00A663DE">
        <w:rPr>
          <w:rStyle w:val="None"/>
          <w:rFonts w:ascii="Times New Roman" w:hAnsi="Times New Roman" w:cs="Times New Roman"/>
        </w:rPr>
        <w:t xml:space="preserve">Retrieved from </w:t>
      </w:r>
      <w:hyperlink r:id="rId41" w:history="1">
        <w:r w:rsidR="00454428" w:rsidRPr="00A663DE">
          <w:rPr>
            <w:rStyle w:val="Hyperlink4"/>
            <w:rFonts w:eastAsia="Arial Unicode MS"/>
          </w:rPr>
          <w:t>https://www.dalloz.fr/documentation/Document?id=CODE_CPPI_ARTI_L331-1-3&amp;scrll=CPPI008882&amp;FromId=CODES_SECS_CPPI_TALPHA</w:t>
        </w:r>
      </w:hyperlink>
    </w:p>
  </w:footnote>
  <w:footnote w:id="428">
    <w:p w14:paraId="5D3C8A0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testu-avocat. (2025). La méthode de calcul des dommages et intérêts au titre de la contrefaçon de droits d’auteur. </w:t>
      </w:r>
      <w:r w:rsidRPr="00A663DE">
        <w:rPr>
          <w:rStyle w:val="None"/>
          <w:rFonts w:ascii="Times New Roman" w:hAnsi="Times New Roman" w:cs="Times New Roman"/>
        </w:rPr>
        <w:t xml:space="preserve">Retrieved from </w:t>
      </w:r>
      <w:hyperlink r:id="rId42" w:history="1">
        <w:r w:rsidR="00454428" w:rsidRPr="00A663DE">
          <w:rPr>
            <w:rStyle w:val="Hyperlink4"/>
            <w:rFonts w:eastAsia="Arial Unicode MS"/>
          </w:rPr>
          <w:t>https://www.testu-avocat.fr/droit-auteur-avocat-bordeaux/les-sanctions-de-l-atteinte-aux-droits-d-auteur</w:t>
        </w:r>
      </w:hyperlink>
    </w:p>
  </w:footnote>
  <w:footnote w:id="429">
    <w:p w14:paraId="768769C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 (2025). Code de la propriété intellectuelle. </w:t>
      </w:r>
      <w:r w:rsidRPr="00A663DE">
        <w:rPr>
          <w:rStyle w:val="None"/>
          <w:rFonts w:ascii="Times New Roman" w:hAnsi="Times New Roman" w:cs="Times New Roman"/>
        </w:rPr>
        <w:t xml:space="preserve">Retrieved from </w:t>
      </w:r>
      <w:hyperlink r:id="rId43" w:history="1">
        <w:r w:rsidR="00454428" w:rsidRPr="00A663DE">
          <w:rPr>
            <w:rStyle w:val="Hyperlink4"/>
            <w:rFonts w:eastAsia="Arial Unicode MS"/>
          </w:rPr>
          <w:t>https://www.legifrance.gouv.fr/codes/article_lc/LEGIARTI000032655082</w:t>
        </w:r>
      </w:hyperlink>
    </w:p>
  </w:footnote>
  <w:footnote w:id="430">
    <w:p w14:paraId="43F11B0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Legifrance. (2025). Article L716-14. Retrieved from </w:t>
      </w:r>
      <w:hyperlink r:id="rId44" w:history="1">
        <w:r w:rsidR="00454428" w:rsidRPr="00A663DE">
          <w:rPr>
            <w:rStyle w:val="Hyperlink4"/>
            <w:rFonts w:eastAsia="Arial Unicode MS"/>
          </w:rPr>
          <w:t>https://www.legifrance.gouv.fr/codes/article_lc/LEGIARTI000028716663/2016-06-05</w:t>
        </w:r>
      </w:hyperlink>
    </w:p>
  </w:footnote>
  <w:footnote w:id="431">
    <w:p w14:paraId="13A7D15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United States Code, 2023. </w:t>
      </w:r>
      <w:r w:rsidRPr="00A663DE">
        <w:rPr>
          <w:rStyle w:val="None"/>
          <w:rFonts w:ascii="Times New Roman" w:hAnsi="Times New Roman" w:cs="Times New Roman"/>
          <w:i/>
          <w:iCs/>
        </w:rPr>
        <w:t>504. Remedies for infringement: Damages and profits</w:t>
      </w:r>
      <w:r w:rsidRPr="00A663DE">
        <w:rPr>
          <w:rStyle w:val="None"/>
          <w:rFonts w:ascii="Times New Roman" w:hAnsi="Times New Roman" w:cs="Times New Roman"/>
        </w:rPr>
        <w:t xml:space="preserve">. Retrieved from </w:t>
      </w:r>
      <w:hyperlink r:id="rId45" w:history="1">
        <w:r w:rsidR="00454428" w:rsidRPr="00A663DE">
          <w:rPr>
            <w:rStyle w:val="Hyperlink4"/>
            <w:rFonts w:eastAsia="Arial Unicode MS"/>
          </w:rPr>
          <w:t>https://www.govinfo.gov/content/pkg/USCODE-2023-title17/html/USCODE-2023-title17-chap5-sec504.htm?utm_source</w:t>
        </w:r>
      </w:hyperlink>
    </w:p>
  </w:footnote>
  <w:footnote w:id="432">
    <w:p w14:paraId="2817982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LII. (2025). </w:t>
      </w:r>
      <w:r w:rsidRPr="00A663DE">
        <w:rPr>
          <w:rStyle w:val="None"/>
          <w:rFonts w:ascii="Times New Roman" w:hAnsi="Times New Roman" w:cs="Times New Roman"/>
          <w:i/>
          <w:iCs/>
        </w:rPr>
        <w:t>17 U.S. Code § 504 - Remedies for infringement: Damages and profits</w:t>
      </w:r>
      <w:r w:rsidRPr="00A663DE">
        <w:rPr>
          <w:rStyle w:val="None"/>
          <w:rFonts w:ascii="Times New Roman" w:hAnsi="Times New Roman" w:cs="Times New Roman"/>
        </w:rPr>
        <w:t xml:space="preserve">. Retrieved from </w:t>
      </w:r>
      <w:hyperlink r:id="rId46" w:history="1">
        <w:r w:rsidR="00454428" w:rsidRPr="00A663DE">
          <w:rPr>
            <w:rStyle w:val="Hyperlink4"/>
            <w:rFonts w:eastAsia="Arial Unicode MS"/>
          </w:rPr>
          <w:t>https://www.law.cornell.edu/uscode/text/17/504?utm_source</w:t>
        </w:r>
      </w:hyperlink>
    </w:p>
  </w:footnote>
  <w:footnote w:id="433">
    <w:p w14:paraId="2C33FE6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 Alliance. (2025). </w:t>
      </w:r>
      <w:r w:rsidRPr="00A663DE">
        <w:rPr>
          <w:rStyle w:val="None"/>
          <w:rFonts w:ascii="Times New Roman" w:hAnsi="Times New Roman" w:cs="Times New Roman"/>
          <w:i/>
          <w:iCs/>
        </w:rPr>
        <w:t>Copyright Statutory Damages.</w:t>
      </w:r>
      <w:r w:rsidRPr="00A663DE">
        <w:rPr>
          <w:rStyle w:val="None"/>
          <w:rFonts w:ascii="Times New Roman" w:hAnsi="Times New Roman" w:cs="Times New Roman"/>
        </w:rPr>
        <w:t xml:space="preserve"> Retrieved from </w:t>
      </w:r>
      <w:hyperlink r:id="rId47" w:history="1">
        <w:r w:rsidR="00454428" w:rsidRPr="00A663DE">
          <w:rPr>
            <w:rStyle w:val="Hyperlink4"/>
            <w:rFonts w:eastAsia="Arial Unicode MS"/>
          </w:rPr>
          <w:t>https://copyrightalliance.org/education/copyright-law-explained/copyright-infringement/copyright-statutory-damages/?utm_source</w:t>
        </w:r>
      </w:hyperlink>
    </w:p>
  </w:footnote>
  <w:footnote w:id="434">
    <w:p w14:paraId="61B4B6F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George Mason Law Review. (2023). The Future of Criminal Enforcement of Copyright: The Promise of Civil Enforcement. Retrieved from </w:t>
      </w:r>
      <w:hyperlink r:id="rId48" w:history="1">
        <w:r w:rsidR="00454428" w:rsidRPr="00A663DE">
          <w:rPr>
            <w:rStyle w:val="Hyperlink4"/>
            <w:rFonts w:eastAsia="Arial Unicode MS"/>
          </w:rPr>
          <w:t>https://lawreview.gmu.edu/print__issues/the-future-of-criminal-enforcement-of-copyright-the-promise-of-civil-enforcement/?utm_source</w:t>
        </w:r>
      </w:hyperlink>
      <w:r w:rsidRPr="00A663DE">
        <w:rPr>
          <w:rStyle w:val="None"/>
          <w:rFonts w:ascii="Times New Roman" w:hAnsi="Times New Roman" w:cs="Times New Roman"/>
        </w:rPr>
        <w:t xml:space="preserve"> </w:t>
      </w:r>
    </w:p>
  </w:footnote>
  <w:footnote w:id="435">
    <w:p w14:paraId="6CDD4A3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w:t>
      </w:r>
      <w:r w:rsidRPr="00A663DE">
        <w:rPr>
          <w:rStyle w:val="None"/>
          <w:rFonts w:ascii="Times New Roman" w:hAnsi="Times New Roman" w:cs="Times New Roman"/>
          <w:i/>
          <w:iCs/>
        </w:rPr>
        <w:t>Industry 1, Academics 0: Clinton Signs Copyright Bill</w:t>
      </w:r>
      <w:r w:rsidRPr="00A663DE">
        <w:rPr>
          <w:rStyle w:val="None"/>
          <w:rFonts w:ascii="Times New Roman" w:hAnsi="Times New Roman" w:cs="Times New Roman"/>
        </w:rPr>
        <w:t xml:space="preserve">. Retrieved from </w:t>
      </w:r>
      <w:hyperlink r:id="rId49" w:history="1">
        <w:r w:rsidR="00454428" w:rsidRPr="00A663DE">
          <w:rPr>
            <w:rStyle w:val="Hyperlink4"/>
            <w:rFonts w:eastAsia="Arial Unicode MS"/>
          </w:rPr>
          <w:t>https://www.wired.com/1997/12/industry-1-academics-0-clinton-signs-copyright-bill/?utm_source</w:t>
        </w:r>
      </w:hyperlink>
    </w:p>
  </w:footnote>
  <w:footnote w:id="436">
    <w:p w14:paraId="0074602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Lawjournalnewsletter. (2025). No Electronic Theft Act Is A Partial Success. Retrieved from </w:t>
      </w:r>
      <w:hyperlink r:id="rId50" w:history="1">
        <w:r w:rsidR="00454428" w:rsidRPr="00A663DE">
          <w:rPr>
            <w:rStyle w:val="Hyperlink4"/>
            <w:rFonts w:eastAsia="Arial Unicode MS"/>
          </w:rPr>
          <w:t>https://www.lawjournalnewsletters.com/2003/08/22/no-electronic-theft-act-is-a-partial-success/?utm_source=</w:t>
        </w:r>
      </w:hyperlink>
    </w:p>
  </w:footnote>
  <w:footnote w:id="437">
    <w:p w14:paraId="0B99283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Irrational (2025). The No Electronic Theft ("NET") ActSummary of Changes to the Criminal Copyright and Trademark Laws. Retrieved from </w:t>
      </w:r>
      <w:hyperlink r:id="rId51" w:history="1">
        <w:r w:rsidR="00454428" w:rsidRPr="00A663DE">
          <w:rPr>
            <w:rStyle w:val="Hyperlink0"/>
            <w:rFonts w:eastAsia="Arial Unicode MS"/>
          </w:rPr>
          <w:t>https://www.irational.org/APD/CCIPS/netsum.htm?utm_source</w:t>
        </w:r>
      </w:hyperlink>
    </w:p>
  </w:footnote>
  <w:footnote w:id="438">
    <w:p w14:paraId="0DA85F03"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52" w:history="1">
        <w:r w:rsidR="00454428" w:rsidRPr="00A663DE">
          <w:rPr>
            <w:rStyle w:val="Hyperlink4"/>
            <w:rFonts w:eastAsia="Arial Unicode MS"/>
          </w:rPr>
          <w:t>https://cyber.harvard.edu/property00/alternatives/dmca.html?utm_source</w:t>
        </w:r>
      </w:hyperlink>
    </w:p>
  </w:footnote>
  <w:footnote w:id="439">
    <w:p w14:paraId="0F51A85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Samuelson, P., &amp; Wheatland, T. (2009). Statutory damages in copyright law: A remedy in need of reform. </w:t>
      </w:r>
      <w:r w:rsidRPr="00A663DE">
        <w:rPr>
          <w:rStyle w:val="Hyperlink5"/>
          <w:rFonts w:eastAsia="Arial Unicode MS"/>
        </w:rPr>
        <w:t>Wm. &amp; Mary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51</w:t>
      </w:r>
      <w:r w:rsidRPr="00A663DE">
        <w:rPr>
          <w:rStyle w:val="None"/>
          <w:rFonts w:ascii="Times New Roman" w:hAnsi="Times New Roman" w:cs="Times New Roman"/>
          <w:color w:val="222222"/>
          <w:u w:color="222222"/>
          <w:shd w:val="clear" w:color="auto" w:fill="FFFFFF"/>
        </w:rPr>
        <w:t>, 439. P. 1.</w:t>
      </w:r>
    </w:p>
  </w:footnote>
  <w:footnote w:id="440">
    <w:p w14:paraId="4AB3837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Communications of the ACM. (2025). </w:t>
      </w:r>
      <w:r w:rsidRPr="00A663DE">
        <w:rPr>
          <w:rStyle w:val="None"/>
          <w:rFonts w:ascii="Times New Roman" w:hAnsi="Times New Roman" w:cs="Times New Roman"/>
          <w:i/>
          <w:iCs/>
        </w:rPr>
        <w:t>Statutory Damages As a Threat to Innovation</w:t>
      </w:r>
      <w:r w:rsidRPr="00A663DE">
        <w:rPr>
          <w:rStyle w:val="None"/>
          <w:rFonts w:ascii="Times New Roman" w:hAnsi="Times New Roman" w:cs="Times New Roman"/>
        </w:rPr>
        <w:t xml:space="preserve">. Retrieved from </w:t>
      </w:r>
      <w:hyperlink r:id="rId53" w:history="1">
        <w:r w:rsidR="00454428" w:rsidRPr="00A663DE">
          <w:rPr>
            <w:rStyle w:val="Hyperlink4"/>
            <w:rFonts w:eastAsia="Arial Unicode MS"/>
          </w:rPr>
          <w:t>https://cacm.acm.org/opinion/statutory-damages-as-a-threat-to-innovation/?utm_source</w:t>
        </w:r>
      </w:hyperlink>
      <w:r w:rsidRPr="00A663DE">
        <w:rPr>
          <w:rStyle w:val="None"/>
          <w:rFonts w:ascii="Times New Roman" w:hAnsi="Times New Roman" w:cs="Times New Roman"/>
        </w:rPr>
        <w:t xml:space="preserve"> </w:t>
      </w:r>
    </w:p>
  </w:footnote>
  <w:footnote w:id="441">
    <w:p w14:paraId="63C7E98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Gov, U. S. (1998). The Digital Millennium Copyright Act of 1998—US Copyright Office Summary. </w:t>
      </w:r>
      <w:r w:rsidRPr="00A663DE">
        <w:rPr>
          <w:rStyle w:val="Hyperlink5"/>
          <w:rFonts w:eastAsia="Arial Unicode MS"/>
        </w:rPr>
        <w:t>Dec</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w:t>
      </w:r>
      <w:r w:rsidRPr="00A663DE">
        <w:rPr>
          <w:rStyle w:val="None"/>
          <w:rFonts w:ascii="Times New Roman" w:hAnsi="Times New Roman" w:cs="Times New Roman"/>
          <w:color w:val="222222"/>
          <w:u w:color="222222"/>
          <w:shd w:val="clear" w:color="auto" w:fill="FFFFFF"/>
        </w:rPr>
        <w:t>, 1-18. P. 7.</w:t>
      </w:r>
    </w:p>
  </w:footnote>
  <w:footnote w:id="442">
    <w:p w14:paraId="0756A8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سرحاني، الضوابط القانونية للجزاء الجنائي في ضوء مستجدات التشريع الجزائري، مجلة معالم للدراسات القانونية والسياسية، مح3، ع1، (2019)، ص117.</w:t>
      </w:r>
    </w:p>
  </w:footnote>
  <w:footnote w:id="443">
    <w:p w14:paraId="227CA3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مصر: دار النهضة العربية للنشر والتوزيع، ط6، (2015)، ص913.</w:t>
      </w:r>
    </w:p>
  </w:footnote>
  <w:footnote w:id="444">
    <w:p w14:paraId="229651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الجزائر: دار هومه للطباعة والنشر والتوزيع، ط18، (2019)، ص289.</w:t>
      </w:r>
    </w:p>
  </w:footnote>
  <w:footnote w:id="445">
    <w:p w14:paraId="7BB72C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ص1085.</w:t>
      </w:r>
    </w:p>
  </w:footnote>
  <w:footnote w:id="446">
    <w:p w14:paraId="3D449B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مرجع سابق، ص290.</w:t>
      </w:r>
    </w:p>
  </w:footnote>
  <w:footnote w:id="447">
    <w:p w14:paraId="0C1812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ص924.</w:t>
      </w:r>
    </w:p>
  </w:footnote>
  <w:footnote w:id="448">
    <w:p w14:paraId="1286EAB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(بدون دار نشر)، (2004)، ص72.</w:t>
      </w:r>
    </w:p>
  </w:footnote>
  <w:footnote w:id="449">
    <w:p w14:paraId="5CE7142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لبنان: منشورات الحلبي الحقوقية، ط3، (1998)، ص954.</w:t>
      </w:r>
    </w:p>
  </w:footnote>
  <w:footnote w:id="450">
    <w:p w14:paraId="27FD9D7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ص925.</w:t>
      </w:r>
    </w:p>
  </w:footnote>
  <w:footnote w:id="451">
    <w:p w14:paraId="478EFB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مرجع سابق، ص71.</w:t>
      </w:r>
    </w:p>
  </w:footnote>
  <w:footnote w:id="452">
    <w:p w14:paraId="534DA81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مرجع سابق، ص953.</w:t>
      </w:r>
    </w:p>
  </w:footnote>
  <w:footnote w:id="453">
    <w:p w14:paraId="6535CE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العايبي محمد؛ وهيبة كنيوة؛ وعواطف دودي، الملكية الفكرية وحقوق المؤلف في ظل الثورة المعلوماتية والتطور التكنولوجي، مرجع سابق، ص62.</w:t>
      </w:r>
    </w:p>
  </w:footnote>
  <w:footnote w:id="454">
    <w:p w14:paraId="5C4C3A0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عميمر، الحماية الجنائية للحق في الحياة الخاصة في البيئة الرقمية، مجلة القانون والأعمال، ع20، (2018)، ص70.</w:t>
      </w:r>
    </w:p>
  </w:footnote>
  <w:footnote w:id="455">
    <w:p w14:paraId="735B4CC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مرجع سابق، ص106.</w:t>
      </w:r>
    </w:p>
  </w:footnote>
  <w:footnote w:id="456">
    <w:p w14:paraId="109C47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ج3، (2023)، ص31.</w:t>
      </w:r>
    </w:p>
  </w:footnote>
  <w:footnote w:id="457">
    <w:p w14:paraId="5675ACB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المركز الجامعي بريكة، الجزائر، (2018)، ص218.</w:t>
      </w:r>
    </w:p>
  </w:footnote>
  <w:footnote w:id="458">
    <w:p w14:paraId="7B6F69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ومحمد رحايلي، حقوق المؤلف والحقوق المجاورة في البيئة الرقمية: الحالة الجزائرية، مجلة جامعة الأمير عبد القادر للعلوم الإسلامية، ع34، (2015)، ص442.</w:t>
      </w:r>
    </w:p>
  </w:footnote>
  <w:footnote w:id="459">
    <w:p w14:paraId="7C3BCE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1434هـ.</w:t>
      </w:r>
    </w:p>
  </w:footnote>
  <w:footnote w:id="460">
    <w:p w14:paraId="1D6228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(42)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1">
    <w:p w14:paraId="59B6F7A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2">
    <w:p w14:paraId="5B48AC9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Hubanov, O., Hubanova, T., Kotliarevska, H., Vikhliaiev, M., Donenko, V., &amp; Lepekh, Y. (2021). International legal regulation of copyright and related rights protection in the digital environment. </w:t>
      </w:r>
      <w:r w:rsidRPr="00A663DE">
        <w:rPr>
          <w:rStyle w:val="Hyperlink5"/>
          <w:rFonts w:eastAsia="Arial Unicode MS"/>
        </w:rPr>
        <w:t>Studies of Applied Economics</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39</w:t>
      </w:r>
      <w:r w:rsidRPr="00A663DE">
        <w:rPr>
          <w:rStyle w:val="None"/>
          <w:rFonts w:ascii="Times New Roman" w:hAnsi="Times New Roman" w:cs="Times New Roman"/>
          <w:color w:val="222222"/>
          <w:u w:color="222222"/>
          <w:shd w:val="clear" w:color="auto" w:fill="FFFFFF"/>
        </w:rPr>
        <w:t>(7), P. 3.</w:t>
      </w:r>
    </w:p>
  </w:footnote>
  <w:footnote w:id="463">
    <w:p w14:paraId="0E13248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 Lucchi, Intellectual Property Rights in Digital Media: A Comparative Analysis of Legal Protection, Technological Measures, and New Business Models under EU and U.S. Law, 53 Buff. L. Rev. 1111 (2005). P. 1113.</w:t>
      </w:r>
    </w:p>
  </w:footnote>
  <w:footnote w:id="464">
    <w:p w14:paraId="0F6C536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 Dajeh, B</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Aloun, D</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&amp; Manaseer, S. (2024). Protecting digital intellectual property. Zarqa University (Jordan).</w:t>
      </w:r>
    </w:p>
  </w:footnote>
  <w:footnote w:id="465">
    <w:p w14:paraId="49C8C83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WTO. (2025). What are intellectual property rights? </w:t>
      </w:r>
      <w:r w:rsidRPr="00A663DE">
        <w:rPr>
          <w:rStyle w:val="None"/>
          <w:rFonts w:ascii="Times New Roman" w:hAnsi="Times New Roman" w:cs="Times New Roman"/>
          <w:color w:val="2E3136"/>
          <w:u w:color="2E3136"/>
          <w:shd w:val="clear" w:color="auto" w:fill="FFFFFF"/>
        </w:rPr>
        <w:t xml:space="preserve">World Trade Organization. Retrieved from </w:t>
      </w:r>
      <w:hyperlink r:id="rId54" w:history="1">
        <w:r w:rsidR="00454428" w:rsidRPr="00A663DE">
          <w:rPr>
            <w:rStyle w:val="Hyperlink6"/>
            <w:rFonts w:eastAsia="Arial Unicode MS"/>
          </w:rPr>
          <w:t>https://www.wto.org/English/tratop_e/trips_e/intel1_e.htm</w:t>
        </w:r>
      </w:hyperlink>
    </w:p>
  </w:footnote>
  <w:footnote w:id="466">
    <w:p w14:paraId="36B60DD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Bronzo, Nicolas. "Remedies for Intellectual property rights infringement in France and Europe: have we gone too far?" In </w:t>
      </w:r>
      <w:r w:rsidRPr="00A663DE">
        <w:rPr>
          <w:rStyle w:val="Hyperlink5"/>
          <w:rFonts w:eastAsia="Arial Unicode MS"/>
        </w:rPr>
        <w:t>Second Property Remedies Discussion Forum Aix-en-Provence</w:t>
      </w:r>
      <w:r w:rsidRPr="00A663DE">
        <w:rPr>
          <w:rStyle w:val="None"/>
          <w:rFonts w:ascii="Times New Roman" w:hAnsi="Times New Roman" w:cs="Times New Roman"/>
          <w:color w:val="222222"/>
          <w:u w:color="222222"/>
          <w:shd w:val="clear" w:color="auto" w:fill="FFFFFF"/>
        </w:rPr>
        <w:t>. 2014. P. 1.</w:t>
      </w:r>
    </w:p>
  </w:footnote>
  <w:footnote w:id="467">
    <w:p w14:paraId="013D065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Boshkov, T. (2020). Intellectual property in digital environment.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Paper presented at </w:t>
      </w:r>
      <w:r w:rsidRPr="00A663DE">
        <w:rPr>
          <w:rStyle w:val="None"/>
          <w:rFonts w:ascii="Times New Roman" w:hAnsi="Times New Roman" w:cs="Times New Roman"/>
          <w:i/>
          <w:iCs/>
        </w:rPr>
        <w:t>Third International Scientific Conference CHALLENGES OF TOURISM AND BUSINESS LOGISTICS IN THE 21ST CENTURY »ISCTBL 2020</w:t>
      </w:r>
      <w:r w:rsidRPr="00A663DE">
        <w:rPr>
          <w:rStyle w:val="None"/>
          <w:rFonts w:ascii="Times New Roman" w:hAnsi="Times New Roman" w:cs="Times New Roman"/>
        </w:rPr>
        <w:t>« P. 96.</w:t>
      </w:r>
    </w:p>
  </w:footnote>
  <w:footnote w:id="468">
    <w:p w14:paraId="1D28CAF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property.Amazonia Investiga,13(74), P. 21</w:t>
      </w:r>
      <w:r w:rsidRPr="00A663DE">
        <w:rPr>
          <w:rStyle w:val="None"/>
          <w:rFonts w:ascii="Times New Roman" w:hAnsi="Times New Roman" w:cs="Times New Roman"/>
          <w:sz w:val="24"/>
          <w:szCs w:val="24"/>
          <w:shd w:val="clear" w:color="auto" w:fill="FFFFFF"/>
          <w:rtl/>
          <w:lang w:val="ar-SA"/>
        </w:rPr>
        <w:t>8</w:t>
      </w:r>
      <w:r w:rsidRPr="00A663DE">
        <w:rPr>
          <w:rStyle w:val="None"/>
          <w:rFonts w:ascii="Times New Roman" w:hAnsi="Times New Roman" w:cs="Times New Roman"/>
          <w:shd w:val="clear" w:color="auto" w:fill="FFFFFF"/>
        </w:rPr>
        <w:t>.</w:t>
      </w:r>
    </w:p>
  </w:footnote>
  <w:footnote w:id="469">
    <w:p w14:paraId="40FE2DC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CIO Hub. (2025). A Brief History: How Intellectual Property Protection Evolved Over Time. Retrieved from </w:t>
      </w:r>
      <w:hyperlink r:id="rId55" w:history="1">
        <w:r w:rsidR="00454428" w:rsidRPr="00A663DE">
          <w:rPr>
            <w:rStyle w:val="Hyperlink4"/>
            <w:rFonts w:eastAsia="Arial Unicode MS"/>
          </w:rPr>
          <w:t>https://ciohub.org/post/2023/06/a-brief-history-how-intellectual-property-protection-evolved-over-time/?utm_source</w:t>
        </w:r>
      </w:hyperlink>
    </w:p>
  </w:footnote>
  <w:footnote w:id="470">
    <w:p w14:paraId="722F39C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Hyperlink5"/>
          <w:rFonts w:eastAsia="Arial Unicode MS"/>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13</w:t>
      </w:r>
      <w:r w:rsidRPr="00A663DE">
        <w:rPr>
          <w:rStyle w:val="None"/>
          <w:rFonts w:ascii="Times New Roman" w:hAnsi="Times New Roman" w:cs="Times New Roman"/>
          <w:color w:val="222222"/>
          <w:u w:color="222222"/>
          <w:shd w:val="clear" w:color="auto" w:fill="FFFFFF"/>
        </w:rPr>
        <w:t>(1), 15-38. P. 20.</w:t>
      </w:r>
    </w:p>
  </w:footnote>
  <w:footnote w:id="471">
    <w:p w14:paraId="18C8103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Fisher, W.W. (2025, July 26). intellectual-property law. Encyclopedia Britannica. </w:t>
      </w:r>
      <w:hyperlink r:id="rId56" w:history="1">
        <w:r w:rsidR="00454428" w:rsidRPr="00A663DE">
          <w:rPr>
            <w:rStyle w:val="Hyperlink4"/>
            <w:rFonts w:eastAsia="Arial Unicode MS"/>
          </w:rPr>
          <w:t>https://www.britannica.com/topic/intellectual-property-law</w:t>
        </w:r>
      </w:hyperlink>
    </w:p>
  </w:footnote>
  <w:footnote w:id="472">
    <w:p w14:paraId="4E22B2C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ALA. (2025). Digital Millennium Copyright Act. Retrieved from </w:t>
      </w:r>
      <w:hyperlink r:id="rId57" w:history="1">
        <w:r w:rsidR="00454428" w:rsidRPr="00A663DE">
          <w:rPr>
            <w:rStyle w:val="Hyperlink4"/>
            <w:rFonts w:eastAsia="Arial Unicode MS"/>
          </w:rPr>
          <w:t>https://www.ala.org/advocacy/copyright/dmca?utm_source</w:t>
        </w:r>
      </w:hyperlink>
    </w:p>
  </w:footnote>
  <w:footnote w:id="473">
    <w:p w14:paraId="2431108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Qiwei, L., Zhang, S., Pratt, S. P., Kasper, A. T., Gilbert, E., &amp; Schoenebeck, S. (2025, April). A Law of One's Own: The Inefficacy of the DMCA for Non-Consensual Intimate Media. In </w:t>
      </w:r>
      <w:r w:rsidRPr="00A663DE">
        <w:rPr>
          <w:rStyle w:val="Hyperlink5"/>
          <w:rFonts w:eastAsia="Arial Unicode MS"/>
        </w:rPr>
        <w:t>Proceedings of the 2025 CHI Conference on Human Factors in Computing Systems</w:t>
      </w:r>
      <w:r w:rsidRPr="00A663DE">
        <w:rPr>
          <w:rStyle w:val="None"/>
          <w:rFonts w:ascii="Times New Roman" w:hAnsi="Times New Roman" w:cs="Times New Roman"/>
          <w:color w:val="222222"/>
          <w:u w:color="222222"/>
          <w:shd w:val="clear" w:color="auto" w:fill="FFFFFF"/>
        </w:rPr>
        <w:t> (pp. 1-17). P. 1.</w:t>
      </w:r>
    </w:p>
  </w:footnote>
  <w:footnote w:id="474">
    <w:p w14:paraId="0953C02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Hacker Lexicon: What Is the Digital Millennium Copyright Act? Retrieved from </w:t>
      </w:r>
      <w:hyperlink r:id="rId58" w:history="1">
        <w:r w:rsidR="00454428" w:rsidRPr="00A663DE">
          <w:rPr>
            <w:rStyle w:val="Hyperlink4"/>
            <w:rFonts w:eastAsia="Arial Unicode MS"/>
          </w:rPr>
          <w:t>https://www.wired.com/2016/06/hacker-lexicon-digital-millennium-copyright-act/?utm_source</w:t>
        </w:r>
      </w:hyperlink>
    </w:p>
  </w:footnote>
  <w:footnote w:id="475">
    <w:p w14:paraId="6D00032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Di Palma, J. (2013). The digital millenium copyright act and the clash between authors and innovators: the need for a legislative amendment to the safe harbor provisions. </w:t>
      </w:r>
      <w:r w:rsidRPr="00A663DE">
        <w:rPr>
          <w:rStyle w:val="Hyperlink5"/>
          <w:rFonts w:eastAsia="Arial Unicode MS"/>
        </w:rPr>
        <w:t>Loy. LAL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47</w:t>
      </w:r>
      <w:r w:rsidRPr="00A663DE">
        <w:rPr>
          <w:rStyle w:val="None"/>
          <w:rFonts w:ascii="Times New Roman" w:hAnsi="Times New Roman" w:cs="Times New Roman"/>
          <w:color w:val="222222"/>
          <w:u w:color="222222"/>
          <w:shd w:val="clear" w:color="auto" w:fill="FFFFFF"/>
        </w:rPr>
        <w:t>, P. 797.</w:t>
      </w:r>
    </w:p>
  </w:footnote>
  <w:footnote w:id="476">
    <w:p w14:paraId="34856DE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 P. 1</w:t>
      </w:r>
      <w:r w:rsidRPr="00A663DE">
        <w:rPr>
          <w:rStyle w:val="None"/>
          <w:rFonts w:ascii="Times New Roman" w:hAnsi="Times New Roman" w:cs="Times New Roman"/>
          <w:color w:val="222222"/>
          <w:sz w:val="24"/>
          <w:szCs w:val="24"/>
          <w:u w:color="222222"/>
          <w:shd w:val="clear" w:color="auto" w:fill="FFFFFF"/>
          <w:rtl/>
          <w:lang w:val="ar-SA"/>
        </w:rPr>
        <w:t>4</w:t>
      </w:r>
      <w:r w:rsidRPr="00A663DE">
        <w:rPr>
          <w:rStyle w:val="None"/>
          <w:rFonts w:ascii="Times New Roman" w:hAnsi="Times New Roman" w:cs="Times New Roman"/>
          <w:color w:val="222222"/>
          <w:u w:color="222222"/>
          <w:shd w:val="clear" w:color="auto" w:fill="FFFFFF"/>
        </w:rPr>
        <w:t>.</w:t>
      </w:r>
    </w:p>
  </w:footnote>
  <w:footnote w:id="477">
    <w:p w14:paraId="7DD5C0B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congress.gov. (2025). Intellectual Property Rights (IPR) and U.S. Trade Policy. Retrieved from </w:t>
      </w:r>
      <w:hyperlink r:id="rId59" w:history="1">
        <w:r w:rsidR="00454428" w:rsidRPr="00A663DE">
          <w:rPr>
            <w:rStyle w:val="Hyperlink4"/>
            <w:rFonts w:eastAsia="Arial Unicode MS"/>
          </w:rPr>
          <w:t>https://www.congress.gov/crs-product/IF10033</w:t>
        </w:r>
      </w:hyperlink>
    </w:p>
  </w:footnote>
  <w:footnote w:id="478">
    <w:p w14:paraId="0C4FBE4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Ortega, S. (2023). The Digital Millennium Copyright Act-In Need of a Major Software Update. </w:t>
      </w:r>
      <w:r w:rsidRPr="00A663DE">
        <w:rPr>
          <w:rStyle w:val="Hyperlink5"/>
          <w:rFonts w:eastAsia="Arial Unicode MS"/>
        </w:rPr>
        <w:t>Mich. Bus. &amp; Entrepreneurial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12</w:t>
      </w:r>
      <w:r w:rsidRPr="00A663DE">
        <w:rPr>
          <w:rStyle w:val="None"/>
          <w:rFonts w:ascii="Times New Roman" w:hAnsi="Times New Roman" w:cs="Times New Roman"/>
          <w:color w:val="222222"/>
          <w:u w:color="222222"/>
          <w:shd w:val="clear" w:color="auto" w:fill="FFFFFF"/>
        </w:rPr>
        <w:t>, P. 80.</w:t>
      </w:r>
    </w:p>
  </w:footnote>
  <w:footnote w:id="479">
    <w:p w14:paraId="6A432BF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copyright.gov. (2025). The Digital Millennium Copyright Act. Retrieved from </w:t>
      </w:r>
      <w:hyperlink r:id="rId60" w:history="1">
        <w:r w:rsidR="00454428" w:rsidRPr="00A663DE">
          <w:rPr>
            <w:rStyle w:val="Hyperlink4"/>
            <w:rFonts w:eastAsia="Arial Unicode MS"/>
          </w:rPr>
          <w:t>https://www.copyright.gov/dmca/</w:t>
        </w:r>
      </w:hyperlink>
    </w:p>
  </w:footnote>
  <w:footnote w:id="480">
    <w:p w14:paraId="2DFA86D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Bureau of Justice Assistance. (2025). Intellectual Property Enforcement Program. Retrieved from  </w:t>
      </w:r>
      <w:hyperlink r:id="rId61" w:history="1">
        <w:r w:rsidR="00454428" w:rsidRPr="00A663DE">
          <w:rPr>
            <w:rStyle w:val="Hyperlink4"/>
            <w:rFonts w:eastAsia="Arial Unicode MS"/>
          </w:rPr>
          <w:t>https://bja.ojp.gov/program/intellectual-property-enforcement-program/overview?utm_</w:t>
        </w:r>
      </w:hyperlink>
      <w:r w:rsidRPr="00A663DE">
        <w:rPr>
          <w:rStyle w:val="None"/>
          <w:rFonts w:ascii="Times New Roman" w:hAnsi="Times New Roman" w:cs="Times New Roman"/>
        </w:rPr>
        <w:t xml:space="preserve"> </w:t>
      </w:r>
    </w:p>
  </w:footnote>
  <w:footnote w:id="481">
    <w:p w14:paraId="7F138CF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USPTO. (2025). </w:t>
      </w:r>
      <w:r w:rsidRPr="00A663DE">
        <w:rPr>
          <w:rStyle w:val="None"/>
          <w:rFonts w:ascii="Times New Roman" w:hAnsi="Times New Roman" w:cs="Times New Roman"/>
          <w:i/>
          <w:iCs/>
        </w:rPr>
        <w:t>Enforcement initiatives</w:t>
      </w:r>
      <w:r w:rsidRPr="00A663DE">
        <w:rPr>
          <w:rStyle w:val="None"/>
          <w:rFonts w:ascii="Times New Roman" w:hAnsi="Times New Roman" w:cs="Times New Roman"/>
        </w:rPr>
        <w:t xml:space="preserve">. United States Patent and Trademark Office. Retrieved from </w:t>
      </w:r>
      <w:hyperlink r:id="rId62" w:history="1">
        <w:r w:rsidR="00454428" w:rsidRPr="00A663DE">
          <w:rPr>
            <w:rStyle w:val="Hyperlink4"/>
            <w:rFonts w:eastAsia="Arial Unicode MS"/>
          </w:rPr>
          <w:t>https://www.uspto.gov/ip-policy/enforcement-policy/enforcement-initiatives?utm_</w:t>
        </w:r>
      </w:hyperlink>
      <w:r w:rsidRPr="00A663DE">
        <w:rPr>
          <w:rStyle w:val="None"/>
          <w:rFonts w:ascii="Times New Roman" w:hAnsi="Times New Roman" w:cs="Times New Roman"/>
        </w:rPr>
        <w:t xml:space="preserve"> </w:t>
      </w:r>
    </w:p>
  </w:footnote>
  <w:footnote w:id="482">
    <w:p w14:paraId="2C14D08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Benvenuti, S., Macmillan, F., E &amp; Zolea, S. (2024). </w:t>
      </w:r>
      <w:r w:rsidRPr="00A663DE">
        <w:rPr>
          <w:rStyle w:val="None"/>
          <w:rFonts w:ascii="Times New Roman" w:hAnsi="Times New Roman" w:cs="Times New Roman"/>
          <w:i/>
          <w:iCs/>
        </w:rPr>
        <w:t>INTELLECTUAL PROPERTY IN THE DIGITAL AGE</w:t>
      </w:r>
      <w:r w:rsidRPr="00A663DE">
        <w:rPr>
          <w:rStyle w:val="None"/>
          <w:rFonts w:ascii="Times New Roman" w:hAnsi="Times New Roman" w:cs="Times New Roman"/>
        </w:rPr>
        <w:t>.Roma TrE-Press, Roma, settembre. PP. 7-8.</w:t>
      </w:r>
    </w:p>
  </w:footnote>
  <w:footnote w:id="483">
    <w:p w14:paraId="3590A63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NCL. (2025). Copyright laws and Digital Rights Management – National Consumers League. Retrieved from </w:t>
      </w:r>
      <w:hyperlink r:id="rId63" w:history="1">
        <w:r w:rsidR="00454428" w:rsidRPr="00A663DE">
          <w:rPr>
            <w:rStyle w:val="Hyperlink4"/>
            <w:rFonts w:eastAsia="Arial Unicode MS"/>
          </w:rPr>
          <w:t>https://nclnet.org/drm/</w:t>
        </w:r>
      </w:hyperlink>
    </w:p>
  </w:footnote>
  <w:footnote w:id="484">
    <w:p w14:paraId="09460173" w14:textId="77777777" w:rsidR="00454428" w:rsidRPr="00A663DE" w:rsidRDefault="00000000">
      <w:pPr>
        <w:pStyle w:val="a6"/>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United States District Court Judgment February 2, 2000, </w:t>
      </w:r>
      <w:hyperlink r:id="rId64" w:history="1">
        <w:r w:rsidR="00454428" w:rsidRPr="00A663DE">
          <w:rPr>
            <w:rStyle w:val="Hyperlink0"/>
            <w:rFonts w:eastAsia="Arial Unicode MS"/>
          </w:rPr>
          <w:t>https://www.law.uh.edu/faculty/cjoyce/copyright/release10/universal.html</w:t>
        </w:r>
      </w:hyperlink>
      <w:r w:rsidRPr="00A663DE">
        <w:rPr>
          <w:rStyle w:val="None"/>
          <w:rFonts w:ascii="Times New Roman" w:hAnsi="Times New Roman" w:cs="Times New Roman"/>
        </w:rPr>
        <w:t xml:space="preserve"> .</w:t>
      </w:r>
    </w:p>
  </w:footnote>
  <w:footnote w:id="485">
    <w:p w14:paraId="5DB24E5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Salman Mahmood, M. (2023, June). Penal and International Protection of Electronic Intellectual Property Rights. Paper presented at </w:t>
      </w:r>
      <w:r w:rsidRPr="00A663DE">
        <w:rPr>
          <w:rStyle w:val="None"/>
          <w:rFonts w:ascii="Times New Roman" w:hAnsi="Times New Roman" w:cs="Times New Roman"/>
          <w:i/>
          <w:iCs/>
        </w:rPr>
        <w:t>1st International Conference on Legal Sciences: (Intellectual property -Contemporary Problems and Legal Solutions, ICLS’23),</w:t>
      </w:r>
      <w:r w:rsidRPr="00A663DE">
        <w:rPr>
          <w:rStyle w:val="None"/>
          <w:rFonts w:ascii="Times New Roman" w:hAnsi="Times New Roman" w:cs="Times New Roman"/>
        </w:rPr>
        <w:t xml:space="preserve"> Fallujah, Iraq</w:t>
      </w:r>
      <w:r w:rsidRPr="00A663DE">
        <w:rPr>
          <w:rStyle w:val="None"/>
          <w:rFonts w:ascii="Times New Roman" w:hAnsi="Times New Roman" w:cs="Times New Roman"/>
          <w:color w:val="222222"/>
          <w:u w:color="222222"/>
          <w:shd w:val="clear" w:color="auto" w:fill="FFFFFF"/>
        </w:rPr>
        <w:t>. P. 8.</w:t>
      </w:r>
    </w:p>
  </w:footnote>
  <w:footnote w:id="486">
    <w:p w14:paraId="1C74A7A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BENHAMOU, Yaniv. Compensation of Prejudice for Infringements of Intellectual Property Rights in France, under the Directive 2004/48/EC and Its Transposition Law: New Notions? International Review of Intellectual Property and Competition Law (IIC), 2009, no. 2, PP. 125-126.</w:t>
      </w:r>
    </w:p>
  </w:footnote>
  <w:footnote w:id="487">
    <w:p w14:paraId="4250FDD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WIPO. (2025). Intellectual Property Code (consolidated version of March 2, 2006), France. Retrieved from </w:t>
      </w:r>
      <w:hyperlink r:id="rId65" w:history="1">
        <w:r w:rsidR="00454428" w:rsidRPr="00A663DE">
          <w:rPr>
            <w:rStyle w:val="Hyperlink4"/>
            <w:rFonts w:eastAsia="Arial Unicode MS"/>
          </w:rPr>
          <w:t>https://www.wipo.int/wipolex/en/legislation/details/14446</w:t>
        </w:r>
      </w:hyperlink>
    </w:p>
  </w:footnote>
  <w:footnote w:id="488">
    <w:p w14:paraId="3827468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french-business-law. (2025). French Intellectual Property Code. Retrieved from </w:t>
      </w:r>
      <w:hyperlink r:id="rId66" w:history="1">
        <w:r w:rsidR="00454428" w:rsidRPr="00A663DE">
          <w:rPr>
            <w:rStyle w:val="Hyperlink4"/>
            <w:rFonts w:eastAsia="Arial Unicode MS"/>
          </w:rPr>
          <w:t>https://french-business-law.com/french-legislation/legitext000006069414-french-intellectual-property-code/page/3/</w:t>
        </w:r>
      </w:hyperlink>
    </w:p>
  </w:footnote>
  <w:footnote w:id="489">
    <w:p w14:paraId="55CA451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OECD </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2025</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Law for a Digital Republic. Retrieved from </w:t>
      </w:r>
      <w:hyperlink r:id="rId67" w:history="1">
        <w:r w:rsidR="00454428" w:rsidRPr="00A663DE">
          <w:rPr>
            <w:rStyle w:val="Hyperlink0"/>
            <w:rFonts w:eastAsia="Arial Unicode MS"/>
          </w:rPr>
          <w:t>https://www.oecd.org/en/publications/access-to-public-research-data-toolkit_a12e8998-en/law-for-a-digital-republic_b99868b0-en.html</w:t>
        </w:r>
      </w:hyperlink>
    </w:p>
  </w:footnote>
  <w:footnote w:id="490">
    <w:p w14:paraId="4BC99A8F" w14:textId="77777777" w:rsidR="00454428" w:rsidRPr="00A663DE" w:rsidRDefault="00000000">
      <w:pPr>
        <w:pStyle w:val="a6"/>
        <w:bidi w:val="0"/>
        <w:jc w:val="both"/>
        <w:rPr>
          <w:rStyle w:val="None"/>
          <w:rFonts w:ascii="Times New Roman" w:eastAsia="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RPC. (2018). Cross-Border Copyright Guide 2018. </w:t>
      </w:r>
      <w:hyperlink r:id="rId68" w:history="1">
        <w:r w:rsidR="00454428" w:rsidRPr="00A663DE">
          <w:rPr>
            <w:rStyle w:val="Hyperlink0"/>
            <w:rFonts w:eastAsia="Arial Unicode MS"/>
          </w:rPr>
          <w:t>https://www.rpclegal.com/-/media/rpc/files/perspectives/ip/france.pdf</w:t>
        </w:r>
      </w:hyperlink>
    </w:p>
    <w:p w14:paraId="103B4EE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rPr>
        <w:t xml:space="preserve"> P. 1</w:t>
      </w:r>
    </w:p>
  </w:footnote>
  <w:footnote w:id="491">
    <w:p w14:paraId="4E4F679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 Amazonia Investiga,13(74), P. 220.</w:t>
      </w:r>
    </w:p>
  </w:footnote>
  <w:footnote w:id="492">
    <w:p w14:paraId="5745B3A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WIPO. (2024). THE PROSECUTION OF INTELLECTUAL PROPERTY CRIME: REPORT ON RESULTS OF SURVEY.  World Intellectual Property Organization. P. 3</w:t>
      </w:r>
    </w:p>
  </w:footnote>
  <w:footnote w:id="493">
    <w:p w14:paraId="280985B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hd w:val="clear" w:color="auto" w:fill="FFFFFF"/>
        </w:rPr>
        <w:t>) legifrance. (2025). Code de la propriété intellectuelle. Retrieved from</w:t>
      </w:r>
      <w:r w:rsidRPr="00A663DE">
        <w:rPr>
          <w:rStyle w:val="None"/>
          <w:rFonts w:ascii="Times New Roman" w:hAnsi="Times New Roman" w:cs="Times New Roman"/>
        </w:rPr>
        <w:t xml:space="preserve"> </w:t>
      </w:r>
      <w:hyperlink r:id="rId69" w:history="1">
        <w:r w:rsidR="00454428" w:rsidRPr="00A663DE">
          <w:rPr>
            <w:rStyle w:val="Hyperlink4"/>
            <w:rFonts w:eastAsia="Arial Unicode MS"/>
          </w:rPr>
          <w:t>https://www.legifrance.gouv.fr/codes/article_lc/LEGIARTI000006278891/</w:t>
        </w:r>
      </w:hyperlink>
    </w:p>
  </w:footnote>
  <w:footnote w:id="494">
    <w:p w14:paraId="105C00A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 xml:space="preserve">SACD </w:t>
      </w:r>
      <w:r w:rsidRPr="00A663DE">
        <w:rPr>
          <w:rStyle w:val="None"/>
          <w:rFonts w:ascii="Times New Roman" w:hAnsi="Times New Roman" w:cs="Times New Roman"/>
          <w:sz w:val="24"/>
          <w:szCs w:val="24"/>
          <w:shd w:val="clear" w:color="auto" w:fill="FFFFFF"/>
          <w:rtl/>
          <w:lang w:val="ar-SA"/>
        </w:rPr>
        <w:t>)</w:t>
      </w:r>
      <w:r w:rsidRPr="00A663DE">
        <w:rPr>
          <w:rStyle w:val="None"/>
          <w:rFonts w:ascii="Times New Roman" w:hAnsi="Times New Roman" w:cs="Times New Roman"/>
          <w:shd w:val="clear" w:color="auto" w:fill="FFFFFF"/>
        </w:rPr>
        <w:t>2021</w:t>
      </w:r>
      <w:r w:rsidRPr="00A663DE">
        <w:rPr>
          <w:rStyle w:val="None"/>
          <w:rFonts w:ascii="Times New Roman" w:hAnsi="Times New Roman" w:cs="Times New Roman"/>
          <w:sz w:val="24"/>
          <w:szCs w:val="24"/>
          <w:shd w:val="clear" w:color="auto" w:fill="FFFFFF"/>
          <w:rtl/>
          <w:lang w:val="ar-SA"/>
        </w:rPr>
        <w:t>. (</w:t>
      </w:r>
      <w:r w:rsidRPr="00A663DE">
        <w:rPr>
          <w:rStyle w:val="None"/>
          <w:rFonts w:ascii="Times New Roman" w:hAnsi="Times New Roman" w:cs="Times New Roman"/>
          <w:shd w:val="clear" w:color="auto" w:fill="FFFFFF"/>
        </w:rPr>
        <w:t>Authors' rights and their work</w:t>
      </w:r>
      <w:r w:rsidRPr="00A663DE">
        <w:rPr>
          <w:rStyle w:val="None"/>
          <w:rFonts w:ascii="Times New Roman" w:hAnsi="Times New Roman" w:cs="Times New Roman"/>
          <w:sz w:val="24"/>
          <w:szCs w:val="24"/>
          <w:shd w:val="clear" w:color="auto" w:fill="FFFFFF"/>
          <w:rtl/>
          <w:lang w:val="ar-SA"/>
        </w:rPr>
        <w:t xml:space="preserve">. </w:t>
      </w:r>
      <w:r w:rsidRPr="00A663DE">
        <w:rPr>
          <w:rStyle w:val="None"/>
          <w:rFonts w:ascii="Times New Roman" w:hAnsi="Times New Roman" w:cs="Times New Roman"/>
          <w:shd w:val="clear" w:color="auto" w:fill="FFFFFF"/>
        </w:rPr>
        <w:t>Retrieved from</w:t>
      </w:r>
      <w:r w:rsidRPr="00A663DE">
        <w:rPr>
          <w:rStyle w:val="None"/>
          <w:rFonts w:ascii="Times New Roman" w:hAnsi="Times New Roman" w:cs="Times New Roman"/>
        </w:rPr>
        <w:t xml:space="preserve"> </w:t>
      </w:r>
      <w:hyperlink r:id="rId70" w:history="1">
        <w:r w:rsidR="00454428" w:rsidRPr="00A663DE">
          <w:rPr>
            <w:rStyle w:val="Hyperlink0"/>
            <w:rFonts w:eastAsia="Arial Unicode MS"/>
          </w:rPr>
          <w:t>https://www.sacd.fr/en/authors-rights-and-their-work</w:t>
        </w:r>
      </w:hyperlink>
    </w:p>
  </w:footnote>
  <w:footnote w:id="495">
    <w:p w14:paraId="349280A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ص33.</w:t>
      </w:r>
    </w:p>
  </w:footnote>
  <w:footnote w:id="496">
    <w:p w14:paraId="735D78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ص1533.</w:t>
      </w:r>
    </w:p>
  </w:footnote>
  <w:footnote w:id="497">
    <w:p w14:paraId="63E5BD4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w:t>
      </w:r>
      <w:r w:rsidRPr="00A663DE">
        <w:rPr>
          <w:rStyle w:val="None"/>
          <w:rFonts w:ascii="Times New Roman" w:hAnsi="Times New Roman" w:cs="Times New Roman"/>
          <w:sz w:val="24"/>
          <w:szCs w:val="24"/>
          <w:rtl/>
          <w:lang w:val="ar-SA"/>
        </w:rPr>
        <w:t>المادة الثانية من نظام براءات الاختراع والتصميمات التخطيطية للدارات المتكاملة والأصناف النباتية والنماذج الصناعية، مرسوم ملكي رقم م/27 بتاريخ 29/5/1425.</w:t>
      </w:r>
    </w:p>
  </w:footnote>
  <w:footnote w:id="498">
    <w:p w14:paraId="7F9BAF73"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(2) من نظام براءات الاختراع والتصميمات التخطيطية للدارات المتكاملة والأصناف النباتية والنماذج الصناعية.</w:t>
      </w:r>
    </w:p>
  </w:footnote>
  <w:footnote w:id="499">
    <w:p w14:paraId="12A6BA6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ص40.</w:t>
      </w:r>
    </w:p>
  </w:footnote>
  <w:footnote w:id="500">
    <w:p w14:paraId="2148C8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ص34.</w:t>
      </w:r>
    </w:p>
  </w:footnote>
  <w:footnote w:id="501">
    <w:p w14:paraId="003D9F0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سامي عبد الصادق، الوجيز في حقوق الملكية الفكرية، بدون دار نشر، القاهرة، 2007، ص20.</w:t>
      </w:r>
    </w:p>
  </w:footnote>
  <w:footnote w:id="502">
    <w:p w14:paraId="570A36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(23) من نظام براءات الاختراع والتصميمات التخطيطية للدارات المتكاملة والأصناف النباتية والنماذج الصناعية.</w:t>
      </w:r>
    </w:p>
  </w:footnote>
  <w:footnote w:id="503">
    <w:p w14:paraId="3DE2EC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04">
    <w:p w14:paraId="458A167E"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ص30.</w:t>
      </w:r>
    </w:p>
  </w:footnote>
  <w:footnote w:id="505">
    <w:p w14:paraId="5D8DAB7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ص1536.</w:t>
      </w:r>
    </w:p>
  </w:footnote>
  <w:footnote w:id="506">
    <w:p w14:paraId="1EF7462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ص44.</w:t>
      </w:r>
    </w:p>
  </w:footnote>
  <w:footnote w:id="507">
    <w:p w14:paraId="0F4B04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ص1537.</w:t>
      </w:r>
    </w:p>
  </w:footnote>
  <w:footnote w:id="508">
    <w:p w14:paraId="4C044D58"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ص33.</w:t>
      </w:r>
    </w:p>
  </w:footnote>
  <w:footnote w:id="509">
    <w:p w14:paraId="5C180222"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مج17، ع3، 231-251، (2024)، ص241.</w:t>
      </w:r>
    </w:p>
  </w:footnote>
  <w:footnote w:id="510">
    <w:p w14:paraId="2016B20A"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ص48.</w:t>
      </w:r>
    </w:p>
  </w:footnote>
  <w:footnote w:id="511">
    <w:p w14:paraId="21B8DB63"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ص54.</w:t>
      </w:r>
    </w:p>
  </w:footnote>
  <w:footnote w:id="512">
    <w:p w14:paraId="4BC52FD1"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ص1540.</w:t>
      </w:r>
    </w:p>
  </w:footnote>
  <w:footnote w:id="513">
    <w:p w14:paraId="66C8505F"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ص56.</w:t>
      </w:r>
    </w:p>
  </w:footnote>
  <w:footnote w:id="514">
    <w:p w14:paraId="2DC0387C"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ص1539.</w:t>
      </w:r>
    </w:p>
  </w:footnote>
  <w:footnote w:id="515">
    <w:p w14:paraId="4243BD1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ص54.</w:t>
      </w:r>
    </w:p>
  </w:footnote>
  <w:footnote w:id="516">
    <w:p w14:paraId="3BB93514"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ص80.</w:t>
      </w:r>
    </w:p>
  </w:footnote>
  <w:footnote w:id="517">
    <w:p w14:paraId="4B361C6D"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(52) من اللائحة التنفيذية لنظام براءات الاختراع والتصميمات التخطيطية للدارات المتكاملة والأصناف النباتية والنماذج الصناعية مرسوم ملكي رقم م/27 بتاريخ 29 / 5 / 1425.</w:t>
      </w:r>
    </w:p>
  </w:footnote>
  <w:footnote w:id="518">
    <w:p w14:paraId="75ED6B78"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ص40.</w:t>
      </w:r>
    </w:p>
  </w:footnote>
  <w:footnote w:id="519">
    <w:p w14:paraId="3040CD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ص109.</w:t>
      </w:r>
    </w:p>
  </w:footnote>
  <w:footnote w:id="520">
    <w:p w14:paraId="411F8C6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هبة الله ربحي الدويكات، الترخيص الإجباري في الاختراعات المتعلقة بالأدوية، رسالة ماجستير، جامعة الزرقاء، 1-116، (2020)، ص40.</w:t>
      </w:r>
    </w:p>
  </w:footnote>
  <w:footnote w:id="521">
    <w:p w14:paraId="725A902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ص82.</w:t>
      </w:r>
    </w:p>
  </w:footnote>
  <w:footnote w:id="522">
    <w:p w14:paraId="175A0E1A"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ص67.</w:t>
      </w:r>
    </w:p>
  </w:footnote>
  <w:footnote w:id="523">
    <w:p w14:paraId="74DBC9BE"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ص112.</w:t>
      </w:r>
    </w:p>
  </w:footnote>
  <w:footnote w:id="524">
    <w:p w14:paraId="2ED7771C"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(24/أ/3) تنظيم براءات الاختراع والتصميمات التخطيطية للدارات المتكاملة والأصناف النباتية والنماذج الصناعية مرسوم ملكي رقم م/27 بتاريخ 29 / 5 / 1425.</w:t>
      </w:r>
    </w:p>
  </w:footnote>
  <w:footnote w:id="525">
    <w:p w14:paraId="1B013508"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ص1545.</w:t>
      </w:r>
    </w:p>
  </w:footnote>
  <w:footnote w:id="526">
    <w:p w14:paraId="185C2ECD" w14:textId="77777777" w:rsidR="00454428" w:rsidRPr="00A663DE" w:rsidRDefault="00000000">
      <w:pPr>
        <w:pStyle w:val="a6"/>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نظام براءات الاختراع والتصميمات التخطيطية للدارات المتكاملة والأصناف النباتية والنماذج الصناعية، مرسوم ملكي رقم م/27 بتاريخ 29 / 5 / 1425.</w:t>
      </w:r>
    </w:p>
  </w:footnote>
  <w:footnote w:id="527">
    <w:p w14:paraId="237C3F79" w14:textId="77777777" w:rsidR="00454428" w:rsidRPr="00A663DE" w:rsidRDefault="00000000">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تنظيم براءات الاختراع والتصميمات التخطيطية للدارات المتكاملة والأصناف النباتية والنماذج الصناعية مرسوم ملكي رقم م/27 بتاريخ 29 / 5 / 1425.</w:t>
      </w:r>
    </w:p>
  </w:footnote>
  <w:footnote w:id="528">
    <w:p w14:paraId="709BC5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29">
    <w:p w14:paraId="2307949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ص56.</w:t>
      </w:r>
    </w:p>
  </w:footnote>
  <w:footnote w:id="530">
    <w:p w14:paraId="74DC2D4F"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ص116.</w:t>
      </w:r>
    </w:p>
  </w:footnote>
  <w:footnote w:id="531">
    <w:p w14:paraId="3DC32257"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(24/ب) تنظيم براءات الاختراع والتصميمات التخطيطية للدارات المتكاملة والأصناف النباتية والنماذج الصناعية مرسوم ملكي رقم م/27 بتاريخ 29 / 5 / 1425.</w:t>
      </w:r>
    </w:p>
  </w:footnote>
  <w:footnote w:id="532">
    <w:p w14:paraId="02093A0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(12) من معاهدة الويبو بشأن حق المؤلف كما اعتمدها في جنيف في 20 ديسمبر/ كانون الأول 1996.</w:t>
      </w:r>
    </w:p>
  </w:footnote>
  <w:footnote w:id="533">
    <w:p w14:paraId="3702D609"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ص133.</w:t>
      </w:r>
    </w:p>
  </w:footnote>
  <w:footnote w:id="534">
    <w:p w14:paraId="02D9EE6B"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مبارك بن محمد الخالدي، الإثبات بالدليل الرقمي وتطبيقاته القضائية: دراسة فقهية مقارنة بنظام الإثبات السعودي، مجلة قضاء، جامعة الإمام محمد بن سعود الإسلامي، ع34، 329-416، (2024)، ص370.</w:t>
      </w:r>
    </w:p>
  </w:footnote>
  <w:footnote w:id="535">
    <w:p w14:paraId="7D9C2C80"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ص135.</w:t>
      </w:r>
    </w:p>
  </w:footnote>
  <w:footnote w:id="536">
    <w:p w14:paraId="6B641C17" w14:textId="77777777" w:rsidR="00454428" w:rsidRPr="00B62CC6" w:rsidRDefault="00000000">
      <w:pPr>
        <w:pStyle w:val="a6"/>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53 من نظام الإثبات السعودي مرسوم ملكي رقم (م/43) وتاريخ 26/5/1443هـ.</w:t>
      </w:r>
    </w:p>
  </w:footnote>
  <w:footnote w:id="537">
    <w:p w14:paraId="7A969D35"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(54) من نظام الإثبات السعودي مرسوم ملكي رقم (م/43) وتاريخ 26/5/1443هـ.</w:t>
      </w:r>
    </w:p>
  </w:footnote>
  <w:footnote w:id="538">
    <w:p w14:paraId="7F19E805"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أنظر: عبد الهادي بن موفق العنزي، أحكام الدليل الرقمي وفق نظام الإثبات السعودي، مجلة كلية الشريعة والقانون، ج3، ع38، 2024، ص695.</w:t>
      </w:r>
    </w:p>
  </w:footnote>
  <w:footnote w:id="539">
    <w:p w14:paraId="1FE70C11" w14:textId="77777777" w:rsidR="00454428" w:rsidRPr="00B62CC6" w:rsidRDefault="00000000">
      <w:pPr>
        <w:pStyle w:val="a6"/>
        <w:rPr>
          <w:rFonts w:ascii="Times New Roman" w:hAnsi="Times New Roman" w:cs="Times New Roman"/>
          <w:sz w:val="24"/>
          <w:szCs w:val="24"/>
        </w:rPr>
      </w:pP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rtl/>
          <w:lang w:val="ar-SA"/>
        </w:rPr>
        <w:t xml:space="preserve"> المادة 56 من نظام الإثبات السعودي مرسوم ملكي رقم (م/43) وتاريخ 26/5/1443هـ.</w:t>
      </w:r>
    </w:p>
  </w:footnote>
  <w:footnote w:id="540">
    <w:p w14:paraId="7DC6B293"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سعد بن علي بن تركي، الدليل الرقمي وأثره في الإثبات: دراسة فقهية تطبيقية مقارنة بالنظام السعودي، مجلة العلوم الشرعية، جامعة القصيم، مج17، ع3، 2384-2436، (2024)، ص2408.</w:t>
      </w:r>
    </w:p>
  </w:footnote>
  <w:footnote w:id="541">
    <w:p w14:paraId="4ABDBFC4"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(9) من نظام التعاملات الإلكترونية مرسوم ملكي رقم م/18 بتاريخ 8/3/1428هـ.</w:t>
      </w:r>
    </w:p>
  </w:footnote>
  <w:footnote w:id="542">
    <w:p w14:paraId="6C72A089"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(8) من نظام التعاملات الإلكترونية مرسوم ملكي رقم //18 بتاريخ 8/3/1428هـ.</w:t>
      </w:r>
    </w:p>
  </w:footnote>
  <w:footnote w:id="543">
    <w:p w14:paraId="04859BEA"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أكثم محمد القرعان، إثبات الجريمة الإلكترونية بالدليل الرقمي، رسالة ماجستير، 1-83، (2023)، ص71.</w:t>
      </w:r>
    </w:p>
  </w:footnote>
  <w:footnote w:id="544">
    <w:p w14:paraId="14BB01F4"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رضوان حسان إسخيطة، التحقيق الجنائي الرقمي في ضوء قوانين حماية البيانات الشخصية، مجلة الندوة للدراسات القانونية، ع26، 3-17، (2019)، ص4.</w:t>
      </w:r>
    </w:p>
  </w:footnote>
  <w:footnote w:id="545">
    <w:p w14:paraId="6546ABFB"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ص134.</w:t>
      </w:r>
    </w:p>
  </w:footnote>
  <w:footnote w:id="546">
    <w:p w14:paraId="63409AD1"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نظام حماية حقوق المؤلف 1424هـ، مرسوم ملكي رقم م/41 بتاريخ 2/7/1424.</w:t>
      </w:r>
    </w:p>
  </w:footnote>
  <w:footnote w:id="547">
    <w:p w14:paraId="40802D93"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ص133.</w:t>
      </w:r>
    </w:p>
  </w:footnote>
  <w:footnote w:id="548">
    <w:p w14:paraId="10613E9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49">
    <w:p w14:paraId="7DAAE6B1"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عادل حماد عثمان، ضبط الأدلة في مجال الجريمة المعلوماتية، رابطة الأدب الحديث، ج113، 179-247، ص213.</w:t>
      </w:r>
    </w:p>
  </w:footnote>
  <w:footnote w:id="550">
    <w:p w14:paraId="20610B3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ص117.</w:t>
      </w:r>
    </w:p>
  </w:footnote>
  <w:footnote w:id="551">
    <w:p w14:paraId="45F7FAA5"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(18)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2">
    <w:p w14:paraId="55577896"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ص97.</w:t>
      </w:r>
    </w:p>
  </w:footnote>
  <w:footnote w:id="553">
    <w:p w14:paraId="17B9FADF"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(19)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4">
    <w:p w14:paraId="54D9F1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ص33.</w:t>
      </w:r>
    </w:p>
  </w:footnote>
  <w:footnote w:id="555">
    <w:p w14:paraId="48111B6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(20)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6">
    <w:p w14:paraId="535508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ص30.</w:t>
      </w:r>
    </w:p>
  </w:footnote>
  <w:footnote w:id="557">
    <w:p w14:paraId="0037A8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(27)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8">
    <w:p w14:paraId="724EDF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مج9، ع3، (2022)، ص1283.</w:t>
      </w:r>
    </w:p>
  </w:footnote>
  <w:footnote w:id="559">
    <w:p w14:paraId="56E2CA8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ص668.</w:t>
      </w:r>
    </w:p>
  </w:footnote>
  <w:footnote w:id="560">
    <w:p w14:paraId="557FE4C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ابن فارس، </w:t>
      </w:r>
      <w:r w:rsidRPr="00A663DE">
        <w:rPr>
          <w:rStyle w:val="None"/>
          <w:rFonts w:ascii="Times New Roman" w:hAnsi="Times New Roman" w:cs="Times New Roman"/>
          <w:sz w:val="24"/>
          <w:szCs w:val="24"/>
          <w:shd w:val="clear" w:color="auto" w:fill="FFFFFF"/>
          <w:rtl/>
          <w:lang w:val="ar-SA"/>
        </w:rPr>
        <w:t>معجم مقاييس اللغة، تحقيق وضبط: عبد السلام محمد هارون، مصر: شركه مكتبة ومطبعة مصطفى البابي الحلبي وأولاده، ط2، 1972م، 2/ 427.</w:t>
      </w:r>
    </w:p>
  </w:footnote>
  <w:footnote w:id="561">
    <w:p w14:paraId="267849F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ابن منظور، لسان العرب، بيروت: دار صادر، ط3، 1414هـ، 1/ 425.</w:t>
      </w:r>
    </w:p>
  </w:footnote>
  <w:footnote w:id="562">
    <w:p w14:paraId="6FBA278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حسن جبل، المعجم الاشتقاقي المؤصل لألفاظ القرآن الكريم، القاهرة: مكتبة الآداب، ط1، 2010م، 2/ 838.</w:t>
      </w:r>
    </w:p>
  </w:footnote>
  <w:footnote w:id="563">
    <w:p w14:paraId="538B329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ص60.</w:t>
      </w:r>
    </w:p>
  </w:footnote>
  <w:footnote w:id="564">
    <w:p w14:paraId="1E21C9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ص17.</w:t>
      </w:r>
    </w:p>
  </w:footnote>
  <w:footnote w:id="565">
    <w:p w14:paraId="114258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ص637.</w:t>
      </w:r>
    </w:p>
  </w:footnote>
  <w:footnote w:id="566">
    <w:p w14:paraId="3950972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مناع العدوان؛ وأحمد أمين السرحان، أثر الرقابة الإلكترونية على مستوى أداء العاملين في مؤسسات التمويل الحكومية الأردنية، مجلة جرش للبحوث والدراسات، مج21، ع1، (2020)، ص323.</w:t>
      </w:r>
    </w:p>
  </w:footnote>
  <w:footnote w:id="567">
    <w:p w14:paraId="63C27B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ص2.</w:t>
      </w:r>
    </w:p>
  </w:footnote>
  <w:footnote w:id="568">
    <w:p w14:paraId="3717CEC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ص18.</w:t>
      </w:r>
    </w:p>
  </w:footnote>
  <w:footnote w:id="569">
    <w:p w14:paraId="276509F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مرجع سابق، ص22.</w:t>
      </w:r>
    </w:p>
  </w:footnote>
  <w:footnote w:id="570">
    <w:p w14:paraId="6A3C99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ص664.</w:t>
      </w:r>
    </w:p>
  </w:footnote>
  <w:footnote w:id="571">
    <w:p w14:paraId="31DBBF5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اثير ذياب عباس الزهيري، دور الوسائل الرقمية في الكشف والإثبات الجنائي، مجلة الفارابي للعلوم الإنسانية، ع5، (2024)، ص393.</w:t>
      </w:r>
    </w:p>
  </w:footnote>
  <w:footnote w:id="572">
    <w:p w14:paraId="564855E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ص63.</w:t>
      </w:r>
    </w:p>
  </w:footnote>
  <w:footnote w:id="573">
    <w:p w14:paraId="30137A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اتفاقية معاهدة الويبو بشأن حق المؤلف لسنة (1996). </w:t>
      </w:r>
    </w:p>
  </w:footnote>
  <w:footnote w:id="574">
    <w:p w14:paraId="764D3BD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75">
    <w:p w14:paraId="0BFE359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الشريف، الرقابة الإلكترونية ودورها في تحقيق الأمن: دارسة فقهية مقارنة، مجلة البحوث الفقهية والقانونية، ع38، (2022)، ص662.</w:t>
      </w:r>
    </w:p>
  </w:footnote>
  <w:footnote w:id="576">
    <w:p w14:paraId="325AFDC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فاتن سعيد مبارك، حماية أمن المعلومات في شبكة المكتبات بجامعة أم القرى: دراسة حالة، وقائع المؤتمر العربي الثاني عشر للاتحاد العربي للمكتبات والمعلومات – المكتبات العربية في مطلع الألفية الثالثة، الشارقة: الاتحاد العربي للمكتبات والمعلومات وجامعة الشارقة، مج2، (2001)، ص560.</w:t>
      </w:r>
    </w:p>
  </w:footnote>
  <w:footnote w:id="577">
    <w:p w14:paraId="67C6BB4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الضوابط الأساسية للأمن السيبراني، الهيئة الوطنية للأمن السيبراني، (2018)، ص22.</w:t>
      </w:r>
    </w:p>
  </w:footnote>
  <w:footnote w:id="578">
    <w:p w14:paraId="4E0B293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اتفاقية الجوانب المتصلة بالتجارة من حقوق الملكية الفكرية والمعروفة باسم تريبس.</w:t>
      </w:r>
    </w:p>
  </w:footnote>
  <w:footnote w:id="579">
    <w:p w14:paraId="1D3848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الاستراتيجية الوطنية للأمن السيبراني، الهيئة الوطنية للأمن السيبراني، (2020)، ص13.</w:t>
      </w:r>
    </w:p>
  </w:footnote>
  <w:footnote w:id="580">
    <w:p w14:paraId="13522C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 من تنظيم الهيئة الوطنية للأمن السيبراني، الصادر بالأمر الملكي رقم 6801 بتاريخ 11/2/1439هـ المعدل بالأمر الملكي رقم 7053 بتاريخ 2/2/1443هـ.</w:t>
      </w:r>
    </w:p>
  </w:footnote>
  <w:footnote w:id="581">
    <w:p w14:paraId="5280F4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تنظيم الهيئة الوطنية للأمن السيبراني، الصادر بالأمر الملكي رقم 6801 بتاريخ 11/2/1439هـ المعدل بالأمر الملكي رقم 7053 بتاريخ 2/2/1443هـ.</w:t>
      </w:r>
    </w:p>
  </w:footnote>
  <w:footnote w:id="582">
    <w:p w14:paraId="382804D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3">
    <w:p w14:paraId="724F472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ص687.</w:t>
      </w:r>
    </w:p>
  </w:footnote>
  <w:footnote w:id="584">
    <w:p w14:paraId="666AB90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ص30.</w:t>
      </w:r>
    </w:p>
  </w:footnote>
  <w:footnote w:id="585">
    <w:p w14:paraId="274A25F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ص8.</w:t>
      </w:r>
    </w:p>
  </w:footnote>
  <w:footnote w:id="586">
    <w:p w14:paraId="629FC4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(14) من نظام التعاملات الإلكترونية، مرسوم ملكي رقم م/18 بتاريخ 8/3/1428هـ.</w:t>
      </w:r>
    </w:p>
  </w:footnote>
  <w:footnote w:id="587">
    <w:p w14:paraId="26341D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88">
    <w:p w14:paraId="386805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9">
    <w:p w14:paraId="09B962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ص251.</w:t>
      </w:r>
    </w:p>
  </w:footnote>
  <w:footnote w:id="590">
    <w:p w14:paraId="28082B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91">
    <w:p w14:paraId="5C86FA5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2">
    <w:p w14:paraId="414006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(16)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3">
    <w:p w14:paraId="505381B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ص31.</w:t>
      </w:r>
    </w:p>
  </w:footnote>
  <w:footnote w:id="594">
    <w:p w14:paraId="2EA4C7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(28)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5">
    <w:p w14:paraId="027497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(17) من اتفاقية برن لحماية المصنفات الأدبية والفنية، وثيقة باريس المؤرخة 24 يوليه/ تموز 1971، والمعدلة في 28 سبتمبر/ أيلول 1979.</w:t>
      </w:r>
    </w:p>
  </w:footnote>
  <w:footnote w:id="596">
    <w:p w14:paraId="4DF39D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معاهدة الويبو بشأن حق المؤلف لسنة (1996).</w:t>
      </w:r>
    </w:p>
  </w:footnote>
  <w:footnote w:id="597">
    <w:p w14:paraId="15E8874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(19) من معاهدة الويبو بشأن الأداء والتسجيل الصوتي (1996).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AD3A" w14:textId="77777777" w:rsidR="00454428" w:rsidRDefault="00454428">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C832" w14:textId="77777777" w:rsidR="00454428" w:rsidRDefault="0045442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CCE"/>
    <w:multiLevelType w:val="hybridMultilevel"/>
    <w:tmpl w:val="88E65394"/>
    <w:numStyleLink w:val="ImportedStyle48"/>
  </w:abstractNum>
  <w:abstractNum w:abstractNumId="1" w15:restartNumberingAfterBreak="0">
    <w:nsid w:val="01361177"/>
    <w:multiLevelType w:val="hybridMultilevel"/>
    <w:tmpl w:val="6E0AE508"/>
    <w:styleLink w:val="ImportedStyle71"/>
    <w:lvl w:ilvl="0" w:tplc="19680F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0B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ACF90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D46BC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32E7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8A4A7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5861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CBB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A7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60680F"/>
    <w:multiLevelType w:val="hybridMultilevel"/>
    <w:tmpl w:val="25DCBB5C"/>
    <w:numStyleLink w:val="ImportedStyle11"/>
  </w:abstractNum>
  <w:abstractNum w:abstractNumId="3" w15:restartNumberingAfterBreak="0">
    <w:nsid w:val="016D6E2E"/>
    <w:multiLevelType w:val="hybridMultilevel"/>
    <w:tmpl w:val="416E95DC"/>
    <w:numStyleLink w:val="ImportedStyle58"/>
  </w:abstractNum>
  <w:abstractNum w:abstractNumId="4" w15:restartNumberingAfterBreak="0">
    <w:nsid w:val="01E9081B"/>
    <w:multiLevelType w:val="hybridMultilevel"/>
    <w:tmpl w:val="ABF2E404"/>
    <w:numStyleLink w:val="ImportedStyle108"/>
  </w:abstractNum>
  <w:abstractNum w:abstractNumId="5" w15:restartNumberingAfterBreak="0">
    <w:nsid w:val="02D311BB"/>
    <w:multiLevelType w:val="hybridMultilevel"/>
    <w:tmpl w:val="B568D658"/>
    <w:numStyleLink w:val="ImportedStyle9"/>
  </w:abstractNum>
  <w:abstractNum w:abstractNumId="6" w15:restartNumberingAfterBreak="0">
    <w:nsid w:val="03557991"/>
    <w:multiLevelType w:val="hybridMultilevel"/>
    <w:tmpl w:val="18306F10"/>
    <w:styleLink w:val="ImportedStyle107"/>
    <w:lvl w:ilvl="0" w:tplc="3A507F7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DE590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28AD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920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306CD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1BCCC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F8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044E0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3BC4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965360"/>
    <w:multiLevelType w:val="hybridMultilevel"/>
    <w:tmpl w:val="24C864AA"/>
    <w:numStyleLink w:val="ImportedStyle84"/>
  </w:abstractNum>
  <w:abstractNum w:abstractNumId="8" w15:restartNumberingAfterBreak="0">
    <w:nsid w:val="048B7629"/>
    <w:multiLevelType w:val="hybridMultilevel"/>
    <w:tmpl w:val="B40E1A96"/>
    <w:numStyleLink w:val="ImportedStyle110"/>
  </w:abstractNum>
  <w:abstractNum w:abstractNumId="9" w15:restartNumberingAfterBreak="0">
    <w:nsid w:val="05135570"/>
    <w:multiLevelType w:val="hybridMultilevel"/>
    <w:tmpl w:val="D01AEABE"/>
    <w:styleLink w:val="ImportedStyle66"/>
    <w:lvl w:ilvl="0" w:tplc="1646FF1C">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D90C4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76294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05C7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245FE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A360AD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C90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7E029A">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05CDA2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5850232"/>
    <w:multiLevelType w:val="hybridMultilevel"/>
    <w:tmpl w:val="EAE63B9C"/>
    <w:styleLink w:val="ImportedStyle113"/>
    <w:lvl w:ilvl="0" w:tplc="299208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4C2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6CA5F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7C6E0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ABD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E6145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F6846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B46B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F6BC70">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8D1653"/>
    <w:multiLevelType w:val="hybridMultilevel"/>
    <w:tmpl w:val="99861332"/>
    <w:numStyleLink w:val="ImportedStyle88"/>
  </w:abstractNum>
  <w:abstractNum w:abstractNumId="12" w15:restartNumberingAfterBreak="0">
    <w:nsid w:val="05AE1EF5"/>
    <w:multiLevelType w:val="hybridMultilevel"/>
    <w:tmpl w:val="57EA2914"/>
    <w:numStyleLink w:val="ImportedStyle81"/>
  </w:abstractNum>
  <w:abstractNum w:abstractNumId="13" w15:restartNumberingAfterBreak="0">
    <w:nsid w:val="05BE734B"/>
    <w:multiLevelType w:val="hybridMultilevel"/>
    <w:tmpl w:val="913C413C"/>
    <w:styleLink w:val="ImportedStyle126"/>
    <w:lvl w:ilvl="0" w:tplc="26A2593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D0A5E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52E5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25C417B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854E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FA69C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5832F4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DE292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09610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5D32DCF"/>
    <w:multiLevelType w:val="hybridMultilevel"/>
    <w:tmpl w:val="23247C82"/>
    <w:numStyleLink w:val="ImportedStyle92"/>
  </w:abstractNum>
  <w:abstractNum w:abstractNumId="15" w15:restartNumberingAfterBreak="0">
    <w:nsid w:val="05F10C29"/>
    <w:multiLevelType w:val="hybridMultilevel"/>
    <w:tmpl w:val="24A06B02"/>
    <w:numStyleLink w:val="ImportedStyle13"/>
  </w:abstractNum>
  <w:abstractNum w:abstractNumId="16" w15:restartNumberingAfterBreak="0">
    <w:nsid w:val="06051F9F"/>
    <w:multiLevelType w:val="hybridMultilevel"/>
    <w:tmpl w:val="E93EA242"/>
    <w:numStyleLink w:val="ImportedStyle112"/>
  </w:abstractNum>
  <w:abstractNum w:abstractNumId="17" w15:restartNumberingAfterBreak="0">
    <w:nsid w:val="063C64FC"/>
    <w:multiLevelType w:val="hybridMultilevel"/>
    <w:tmpl w:val="BE74EEDE"/>
    <w:styleLink w:val="ImportedStyle99"/>
    <w:lvl w:ilvl="0" w:tplc="5E44E3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D4193E">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B82C1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546D6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2A2EF6">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7C58D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EE5CE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65A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AC80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665111C"/>
    <w:multiLevelType w:val="hybridMultilevel"/>
    <w:tmpl w:val="0096CAF2"/>
    <w:styleLink w:val="ImportedStyle76"/>
    <w:lvl w:ilvl="0" w:tplc="1B2CEC78">
      <w:start w:val="1"/>
      <w:numFmt w:val="bullet"/>
      <w:lvlText w:val="-"/>
      <w:lvlJc w:val="left"/>
      <w:pPr>
        <w:ind w:left="70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F1E66F8">
      <w:start w:val="1"/>
      <w:numFmt w:val="bullet"/>
      <w:lvlText w:val="o"/>
      <w:lvlJc w:val="left"/>
      <w:pPr>
        <w:ind w:left="14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584FE3E">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AD35E">
      <w:start w:val="1"/>
      <w:numFmt w:val="bullet"/>
      <w:lvlText w:val="•"/>
      <w:lvlJc w:val="left"/>
      <w:pPr>
        <w:ind w:left="286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C025C2">
      <w:start w:val="1"/>
      <w:numFmt w:val="bullet"/>
      <w:lvlText w:val="o"/>
      <w:lvlJc w:val="left"/>
      <w:pPr>
        <w:ind w:left="358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756E156">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E049BC">
      <w:start w:val="1"/>
      <w:numFmt w:val="bullet"/>
      <w:lvlText w:val="•"/>
      <w:lvlJc w:val="left"/>
      <w:pPr>
        <w:ind w:left="50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BE8078">
      <w:start w:val="1"/>
      <w:numFmt w:val="bullet"/>
      <w:lvlText w:val="o"/>
      <w:lvlJc w:val="left"/>
      <w:pPr>
        <w:ind w:left="574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196F73C">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7643B12"/>
    <w:multiLevelType w:val="hybridMultilevel"/>
    <w:tmpl w:val="1AC8F37A"/>
    <w:numStyleLink w:val="ImportedStyle4"/>
  </w:abstractNum>
  <w:abstractNum w:abstractNumId="20" w15:restartNumberingAfterBreak="0">
    <w:nsid w:val="081303FD"/>
    <w:multiLevelType w:val="hybridMultilevel"/>
    <w:tmpl w:val="416E95DC"/>
    <w:styleLink w:val="ImportedStyle58"/>
    <w:lvl w:ilvl="0" w:tplc="B744456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140E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922AB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8707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9A598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6E9FC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7ACDD4">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C6727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F4073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8F60119"/>
    <w:multiLevelType w:val="hybridMultilevel"/>
    <w:tmpl w:val="3FB69FE2"/>
    <w:numStyleLink w:val="ImportedStyle25"/>
  </w:abstractNum>
  <w:abstractNum w:abstractNumId="22" w15:restartNumberingAfterBreak="0">
    <w:nsid w:val="0A6E414A"/>
    <w:multiLevelType w:val="hybridMultilevel"/>
    <w:tmpl w:val="091002DA"/>
    <w:styleLink w:val="ImportedStyle86"/>
    <w:lvl w:ilvl="0" w:tplc="ABFEA98A">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B8012A">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E23ED0">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EA7EB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E6770C">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6E6D24">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F8C482">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88C31A">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E2D4F8">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A854698"/>
    <w:multiLevelType w:val="hybridMultilevel"/>
    <w:tmpl w:val="DCFC2BA6"/>
    <w:numStyleLink w:val="ImportedStyle122"/>
  </w:abstractNum>
  <w:abstractNum w:abstractNumId="24" w15:restartNumberingAfterBreak="0">
    <w:nsid w:val="0B67146F"/>
    <w:multiLevelType w:val="hybridMultilevel"/>
    <w:tmpl w:val="1AC8F37A"/>
    <w:styleLink w:val="ImportedStyle4"/>
    <w:lvl w:ilvl="0" w:tplc="3F6EC74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0A8699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21CA7F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8A5C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3E88E2A">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5FC42D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A86B9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BAD8E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54EFCE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B671477"/>
    <w:multiLevelType w:val="hybridMultilevel"/>
    <w:tmpl w:val="9CF039C8"/>
    <w:styleLink w:val="ImportedStyle69"/>
    <w:lvl w:ilvl="0" w:tplc="09B48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A6AA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643B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2AA5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709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8AF0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DA56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902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809E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B724B86"/>
    <w:multiLevelType w:val="hybridMultilevel"/>
    <w:tmpl w:val="3D1CB888"/>
    <w:styleLink w:val="ImportedStyle31"/>
    <w:lvl w:ilvl="0" w:tplc="D88648F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64A8C8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CC9FD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147D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736DB0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D5CBB0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DDC01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CEE25D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2A05716">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B93485D"/>
    <w:multiLevelType w:val="hybridMultilevel"/>
    <w:tmpl w:val="B7FCADF0"/>
    <w:styleLink w:val="ImportedStyle123"/>
    <w:lvl w:ilvl="0" w:tplc="520AAAB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34AF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AE9DB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452AF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D81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E84D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0D4BC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5411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4ED9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C9137E7"/>
    <w:multiLevelType w:val="hybridMultilevel"/>
    <w:tmpl w:val="9D9634E6"/>
    <w:styleLink w:val="ImportedStyle87"/>
    <w:lvl w:ilvl="0" w:tplc="E286BD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2A8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308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82E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A0B4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E99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BCA4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044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FC70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E3D6BED"/>
    <w:multiLevelType w:val="hybridMultilevel"/>
    <w:tmpl w:val="B8BA2DE0"/>
    <w:numStyleLink w:val="ImportedStyle37"/>
  </w:abstractNum>
  <w:abstractNum w:abstractNumId="30" w15:restartNumberingAfterBreak="0">
    <w:nsid w:val="0E4D5705"/>
    <w:multiLevelType w:val="hybridMultilevel"/>
    <w:tmpl w:val="A16E8B4A"/>
    <w:numStyleLink w:val="ImportedStyle2"/>
  </w:abstractNum>
  <w:abstractNum w:abstractNumId="31" w15:restartNumberingAfterBreak="0">
    <w:nsid w:val="0E9B7673"/>
    <w:multiLevelType w:val="hybridMultilevel"/>
    <w:tmpl w:val="52C84060"/>
    <w:numStyleLink w:val="ImportedStyle78"/>
  </w:abstractNum>
  <w:abstractNum w:abstractNumId="32" w15:restartNumberingAfterBreak="0">
    <w:nsid w:val="0F49037B"/>
    <w:multiLevelType w:val="hybridMultilevel"/>
    <w:tmpl w:val="690EBB38"/>
    <w:numStyleLink w:val="ImportedStyle138"/>
  </w:abstractNum>
  <w:abstractNum w:abstractNumId="33" w15:restartNumberingAfterBreak="0">
    <w:nsid w:val="0FA31966"/>
    <w:multiLevelType w:val="hybridMultilevel"/>
    <w:tmpl w:val="1638BCE0"/>
    <w:styleLink w:val="ImportedStyle103"/>
    <w:lvl w:ilvl="0" w:tplc="77A8DA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D0A3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740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5AFB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56A9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74DA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EC63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069D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FC6C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0037BD2"/>
    <w:multiLevelType w:val="hybridMultilevel"/>
    <w:tmpl w:val="EB7C7BAC"/>
    <w:styleLink w:val="ImportedStyle17"/>
    <w:lvl w:ilvl="0" w:tplc="1782533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3FC35B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A46F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5093B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DC8794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7E61F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EC720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4084D8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D52981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01A6575"/>
    <w:multiLevelType w:val="hybridMultilevel"/>
    <w:tmpl w:val="23247C82"/>
    <w:styleLink w:val="ImportedStyle92"/>
    <w:lvl w:ilvl="0" w:tplc="12C688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BC028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B69B9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C9CF9B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6AE6B2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D02800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C39488C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502EE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486B34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12610EB"/>
    <w:multiLevelType w:val="hybridMultilevel"/>
    <w:tmpl w:val="5942959A"/>
    <w:styleLink w:val="ImportedStyle136"/>
    <w:lvl w:ilvl="0" w:tplc="DBD89BD0">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C8A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CE4C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96A9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2EA2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C581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7CB0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3653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D8136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1CD2A99"/>
    <w:multiLevelType w:val="hybridMultilevel"/>
    <w:tmpl w:val="EB7C7BAC"/>
    <w:numStyleLink w:val="ImportedStyle17"/>
  </w:abstractNum>
  <w:abstractNum w:abstractNumId="38" w15:restartNumberingAfterBreak="0">
    <w:nsid w:val="11FB6ACE"/>
    <w:multiLevelType w:val="hybridMultilevel"/>
    <w:tmpl w:val="75F221C6"/>
    <w:styleLink w:val="ImportedStyle94"/>
    <w:lvl w:ilvl="0" w:tplc="08948696">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CAD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8F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1431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9A75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60EAB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8D8B5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182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478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29C28D2"/>
    <w:multiLevelType w:val="hybridMultilevel"/>
    <w:tmpl w:val="0ACED8CA"/>
    <w:numStyleLink w:val="ImportedStyle105"/>
  </w:abstractNum>
  <w:abstractNum w:abstractNumId="40" w15:restartNumberingAfterBreak="0">
    <w:nsid w:val="12CF5025"/>
    <w:multiLevelType w:val="hybridMultilevel"/>
    <w:tmpl w:val="B6D47E76"/>
    <w:styleLink w:val="ImportedStyle128"/>
    <w:lvl w:ilvl="0" w:tplc="FF6090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820B3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12C90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4F1683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1DA96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0949046">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BE78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5478A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392B6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37237AC"/>
    <w:multiLevelType w:val="hybridMultilevel"/>
    <w:tmpl w:val="BAACFC30"/>
    <w:numStyleLink w:val="ImportedStyle134"/>
  </w:abstractNum>
  <w:abstractNum w:abstractNumId="42" w15:restartNumberingAfterBreak="0">
    <w:nsid w:val="14083BA2"/>
    <w:multiLevelType w:val="hybridMultilevel"/>
    <w:tmpl w:val="CB762CA6"/>
    <w:styleLink w:val="ImportedStyle132"/>
    <w:lvl w:ilvl="0" w:tplc="57EA42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5424FD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684C0A2">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A418C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FA65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CAB63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79279F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BACD9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B80C9D4">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41A5EC4"/>
    <w:multiLevelType w:val="hybridMultilevel"/>
    <w:tmpl w:val="9A10F9AC"/>
    <w:styleLink w:val="ImportedStyle39"/>
    <w:lvl w:ilvl="0" w:tplc="D97C130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B2E202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6F247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5F07DA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0CEC8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DB8C1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5B249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DE9E5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49E637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44B26F4"/>
    <w:multiLevelType w:val="hybridMultilevel"/>
    <w:tmpl w:val="1F764348"/>
    <w:styleLink w:val="ImportedStyle14"/>
    <w:lvl w:ilvl="0" w:tplc="953A5F9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5AECA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6F64D5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8EE7F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4810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264CB1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AA654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8E2EE5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4ECC3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4FD74BA"/>
    <w:multiLevelType w:val="hybridMultilevel"/>
    <w:tmpl w:val="B96E3522"/>
    <w:styleLink w:val="ImportedStyle118"/>
    <w:lvl w:ilvl="0" w:tplc="A73C3B76">
      <w:start w:val="1"/>
      <w:numFmt w:val="arabicAlpha"/>
      <w:lvlText w:val="%1."/>
      <w:lvlJc w:val="left"/>
      <w:pPr>
        <w:ind w:left="113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005F10">
      <w:start w:val="1"/>
      <w:numFmt w:val="lowerLetter"/>
      <w:lvlText w:val="%2."/>
      <w:lvlJc w:val="left"/>
      <w:pPr>
        <w:ind w:left="185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0DB3C">
      <w:start w:val="1"/>
      <w:numFmt w:val="lowerRoman"/>
      <w:lvlText w:val="%3."/>
      <w:lvlJc w:val="left"/>
      <w:pPr>
        <w:ind w:left="257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6001BEE">
      <w:start w:val="1"/>
      <w:numFmt w:val="decimal"/>
      <w:lvlText w:val="%4."/>
      <w:lvlJc w:val="left"/>
      <w:pPr>
        <w:ind w:left="329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A0FF48">
      <w:start w:val="1"/>
      <w:numFmt w:val="lowerLetter"/>
      <w:lvlText w:val="%5."/>
      <w:lvlJc w:val="left"/>
      <w:pPr>
        <w:ind w:left="401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0B8BA">
      <w:start w:val="1"/>
      <w:numFmt w:val="lowerRoman"/>
      <w:lvlText w:val="%6."/>
      <w:lvlJc w:val="left"/>
      <w:pPr>
        <w:ind w:left="473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B3C84EC">
      <w:start w:val="1"/>
      <w:numFmt w:val="decimal"/>
      <w:lvlText w:val="%7."/>
      <w:lvlJc w:val="left"/>
      <w:pPr>
        <w:ind w:left="545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29D0C">
      <w:start w:val="1"/>
      <w:numFmt w:val="lowerLetter"/>
      <w:lvlText w:val="%8."/>
      <w:lvlJc w:val="left"/>
      <w:pPr>
        <w:ind w:left="617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2CE984">
      <w:start w:val="1"/>
      <w:numFmt w:val="lowerRoman"/>
      <w:lvlText w:val="%9."/>
      <w:lvlJc w:val="left"/>
      <w:pPr>
        <w:ind w:left="689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5075537"/>
    <w:multiLevelType w:val="hybridMultilevel"/>
    <w:tmpl w:val="CC4E7A42"/>
    <w:styleLink w:val="ImportedStyle98"/>
    <w:lvl w:ilvl="0" w:tplc="964A3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0CE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06E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0A7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E2C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63C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8C9D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A62E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CEA0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55D5460"/>
    <w:multiLevelType w:val="hybridMultilevel"/>
    <w:tmpl w:val="3946B2BA"/>
    <w:numStyleLink w:val="ImportedStyle139"/>
  </w:abstractNum>
  <w:abstractNum w:abstractNumId="48" w15:restartNumberingAfterBreak="0">
    <w:nsid w:val="15D24C58"/>
    <w:multiLevelType w:val="hybridMultilevel"/>
    <w:tmpl w:val="EB06D1C2"/>
    <w:numStyleLink w:val="ImportedStyle43"/>
  </w:abstractNum>
  <w:abstractNum w:abstractNumId="49" w15:restartNumberingAfterBreak="0">
    <w:nsid w:val="16323237"/>
    <w:multiLevelType w:val="hybridMultilevel"/>
    <w:tmpl w:val="89981E14"/>
    <w:numStyleLink w:val="ImportedStyle49"/>
  </w:abstractNum>
  <w:abstractNum w:abstractNumId="50" w15:restartNumberingAfterBreak="0">
    <w:nsid w:val="16684CF1"/>
    <w:multiLevelType w:val="hybridMultilevel"/>
    <w:tmpl w:val="9A10F9AC"/>
    <w:numStyleLink w:val="ImportedStyle39"/>
  </w:abstractNum>
  <w:abstractNum w:abstractNumId="51" w15:restartNumberingAfterBreak="0">
    <w:nsid w:val="16963245"/>
    <w:multiLevelType w:val="hybridMultilevel"/>
    <w:tmpl w:val="C7FA37D4"/>
    <w:numStyleLink w:val="ImportedStyle53"/>
  </w:abstractNum>
  <w:abstractNum w:abstractNumId="52" w15:restartNumberingAfterBreak="0">
    <w:nsid w:val="16CE0FCD"/>
    <w:multiLevelType w:val="hybridMultilevel"/>
    <w:tmpl w:val="B8BA2DE0"/>
    <w:styleLink w:val="ImportedStyle37"/>
    <w:lvl w:ilvl="0" w:tplc="471ECD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1B29E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306A4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E4B0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707B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78C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4C2E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D622F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2BA6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17B8204E"/>
    <w:multiLevelType w:val="hybridMultilevel"/>
    <w:tmpl w:val="CC4E7A42"/>
    <w:numStyleLink w:val="ImportedStyle98"/>
  </w:abstractNum>
  <w:abstractNum w:abstractNumId="54" w15:restartNumberingAfterBreak="0">
    <w:nsid w:val="184C5E25"/>
    <w:multiLevelType w:val="hybridMultilevel"/>
    <w:tmpl w:val="081A5074"/>
    <w:styleLink w:val="ImportedStyle74"/>
    <w:lvl w:ilvl="0" w:tplc="EF4E1E6C">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54F24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9B6CF4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C450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8C96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F8ED35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660C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C1B2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9A32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18AB7D2C"/>
    <w:multiLevelType w:val="hybridMultilevel"/>
    <w:tmpl w:val="AF48E096"/>
    <w:styleLink w:val="ImportedStyle40"/>
    <w:lvl w:ilvl="0" w:tplc="900473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6852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E431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49AA5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B8D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5CB78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55AD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18DD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B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198007AC"/>
    <w:multiLevelType w:val="hybridMultilevel"/>
    <w:tmpl w:val="0ACED8CA"/>
    <w:styleLink w:val="ImportedStyle105"/>
    <w:lvl w:ilvl="0" w:tplc="56741B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AB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D08F6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1846A1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EA6E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4E2370">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C394AA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6A96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4120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9842585"/>
    <w:multiLevelType w:val="hybridMultilevel"/>
    <w:tmpl w:val="868C50D4"/>
    <w:numStyleLink w:val="ImportedStyle100"/>
  </w:abstractNum>
  <w:abstractNum w:abstractNumId="58" w15:restartNumberingAfterBreak="0">
    <w:nsid w:val="198F395F"/>
    <w:multiLevelType w:val="hybridMultilevel"/>
    <w:tmpl w:val="16227C5C"/>
    <w:numStyleLink w:val="ImportedStyle80"/>
  </w:abstractNum>
  <w:abstractNum w:abstractNumId="59" w15:restartNumberingAfterBreak="0">
    <w:nsid w:val="19CC524C"/>
    <w:multiLevelType w:val="hybridMultilevel"/>
    <w:tmpl w:val="B6602150"/>
    <w:numStyleLink w:val="ImportedStyle8"/>
  </w:abstractNum>
  <w:abstractNum w:abstractNumId="60" w15:restartNumberingAfterBreak="0">
    <w:nsid w:val="19E40616"/>
    <w:multiLevelType w:val="hybridMultilevel"/>
    <w:tmpl w:val="EAE63B9C"/>
    <w:numStyleLink w:val="ImportedStyle113"/>
  </w:abstractNum>
  <w:abstractNum w:abstractNumId="61" w15:restartNumberingAfterBreak="0">
    <w:nsid w:val="19F168E4"/>
    <w:multiLevelType w:val="hybridMultilevel"/>
    <w:tmpl w:val="7408E5A0"/>
    <w:numStyleLink w:val="ImportedStyle44"/>
  </w:abstractNum>
  <w:abstractNum w:abstractNumId="62" w15:restartNumberingAfterBreak="0">
    <w:nsid w:val="1A724924"/>
    <w:multiLevelType w:val="hybridMultilevel"/>
    <w:tmpl w:val="356CD198"/>
    <w:numStyleLink w:val="ImportedStyle41"/>
  </w:abstractNum>
  <w:abstractNum w:abstractNumId="63" w15:restartNumberingAfterBreak="0">
    <w:nsid w:val="1B0F4D35"/>
    <w:multiLevelType w:val="hybridMultilevel"/>
    <w:tmpl w:val="3DFC49B0"/>
    <w:styleLink w:val="ImportedStyle65"/>
    <w:lvl w:ilvl="0" w:tplc="6E9CD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E89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5AB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02CC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4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661C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DCF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3473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68C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1B3E4CDD"/>
    <w:multiLevelType w:val="hybridMultilevel"/>
    <w:tmpl w:val="24A06B02"/>
    <w:styleLink w:val="ImportedStyle13"/>
    <w:lvl w:ilvl="0" w:tplc="AAFAA8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7B8FC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6008F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A65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4EB7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CE9C4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AA3BD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834B3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222500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1B6406C0"/>
    <w:multiLevelType w:val="hybridMultilevel"/>
    <w:tmpl w:val="18306F10"/>
    <w:numStyleLink w:val="ImportedStyle107"/>
  </w:abstractNum>
  <w:abstractNum w:abstractNumId="66" w15:restartNumberingAfterBreak="0">
    <w:nsid w:val="1B7D45C3"/>
    <w:multiLevelType w:val="hybridMultilevel"/>
    <w:tmpl w:val="869A45BE"/>
    <w:numStyleLink w:val="ImportedStyle141"/>
  </w:abstractNum>
  <w:abstractNum w:abstractNumId="67" w15:restartNumberingAfterBreak="0">
    <w:nsid w:val="1BB2237B"/>
    <w:multiLevelType w:val="hybridMultilevel"/>
    <w:tmpl w:val="A19C83F0"/>
    <w:styleLink w:val="ImportedStyle61"/>
    <w:lvl w:ilvl="0" w:tplc="F1EC8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048C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204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1260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CE47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20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F60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4E1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E68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1D5C7A7D"/>
    <w:multiLevelType w:val="hybridMultilevel"/>
    <w:tmpl w:val="9F620ED8"/>
    <w:styleLink w:val="ImportedStyle104"/>
    <w:lvl w:ilvl="0" w:tplc="BF3635E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2472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F4836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8CDE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5CA656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EEAD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7075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4407C1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6648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1DA1653E"/>
    <w:multiLevelType w:val="hybridMultilevel"/>
    <w:tmpl w:val="ABF2E404"/>
    <w:styleLink w:val="ImportedStyle108"/>
    <w:lvl w:ilvl="0" w:tplc="E856D53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BCAB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5D1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6882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96A3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B08F3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2743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EE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16B55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1DB4271C"/>
    <w:multiLevelType w:val="hybridMultilevel"/>
    <w:tmpl w:val="0BAE54B8"/>
    <w:styleLink w:val="ImportedStyle127"/>
    <w:lvl w:ilvl="0" w:tplc="A45288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FA54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B4D8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E7C0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670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4C31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4845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767A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0A66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DC11BE7"/>
    <w:multiLevelType w:val="hybridMultilevel"/>
    <w:tmpl w:val="1638BCE0"/>
    <w:numStyleLink w:val="ImportedStyle103"/>
  </w:abstractNum>
  <w:abstractNum w:abstractNumId="72" w15:restartNumberingAfterBreak="0">
    <w:nsid w:val="1E8A5638"/>
    <w:multiLevelType w:val="hybridMultilevel"/>
    <w:tmpl w:val="DCA2CBF4"/>
    <w:styleLink w:val="ImportedStyle95"/>
    <w:lvl w:ilvl="0" w:tplc="F0C8EFF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2382B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E921AE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4BAA2A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EE145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39CA60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1EBDD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16AD30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4010E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1E97498F"/>
    <w:multiLevelType w:val="hybridMultilevel"/>
    <w:tmpl w:val="690EBB38"/>
    <w:styleLink w:val="ImportedStyle138"/>
    <w:lvl w:ilvl="0" w:tplc="EB1C17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16C5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7E21A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CF3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1A20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36F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38237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1C7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E4D74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1EAD1BD6"/>
    <w:multiLevelType w:val="hybridMultilevel"/>
    <w:tmpl w:val="9CA26F32"/>
    <w:numStyleLink w:val="ImportedStyle124"/>
  </w:abstractNum>
  <w:abstractNum w:abstractNumId="75" w15:restartNumberingAfterBreak="0">
    <w:nsid w:val="1F0A6DAC"/>
    <w:multiLevelType w:val="hybridMultilevel"/>
    <w:tmpl w:val="5C26A3D6"/>
    <w:numStyleLink w:val="ImportedStyle45"/>
  </w:abstractNum>
  <w:abstractNum w:abstractNumId="76" w15:restartNumberingAfterBreak="0">
    <w:nsid w:val="1FAB0BA5"/>
    <w:multiLevelType w:val="hybridMultilevel"/>
    <w:tmpl w:val="D8FA88DE"/>
    <w:styleLink w:val="ImportedStyle54"/>
    <w:lvl w:ilvl="0" w:tplc="31389C5C">
      <w:start w:val="1"/>
      <w:numFmt w:val="decimal"/>
      <w:lvlText w:val="%1."/>
      <w:lvlJc w:val="left"/>
      <w:pPr>
        <w:ind w:left="70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8E3F5A">
      <w:start w:val="1"/>
      <w:numFmt w:val="lowerLetter"/>
      <w:lvlText w:val="%2."/>
      <w:lvlJc w:val="left"/>
      <w:pPr>
        <w:ind w:left="142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8406A0">
      <w:start w:val="1"/>
      <w:numFmt w:val="lowerRoman"/>
      <w:lvlText w:val="%3."/>
      <w:lvlJc w:val="left"/>
      <w:pPr>
        <w:ind w:left="214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96F560">
      <w:start w:val="1"/>
      <w:numFmt w:val="decimal"/>
      <w:lvlText w:val="%4."/>
      <w:lvlJc w:val="left"/>
      <w:pPr>
        <w:ind w:left="286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027B0">
      <w:start w:val="1"/>
      <w:numFmt w:val="lowerLetter"/>
      <w:lvlText w:val="%5."/>
      <w:lvlJc w:val="left"/>
      <w:pPr>
        <w:ind w:left="358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7C97F4">
      <w:start w:val="1"/>
      <w:numFmt w:val="lowerRoman"/>
      <w:lvlText w:val="%6."/>
      <w:lvlJc w:val="left"/>
      <w:pPr>
        <w:ind w:left="430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A84B7A">
      <w:start w:val="1"/>
      <w:numFmt w:val="decimal"/>
      <w:lvlText w:val="%7."/>
      <w:lvlJc w:val="left"/>
      <w:pPr>
        <w:ind w:left="502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F4FC7E">
      <w:start w:val="1"/>
      <w:numFmt w:val="lowerLetter"/>
      <w:lvlText w:val="%8."/>
      <w:lvlJc w:val="left"/>
      <w:pPr>
        <w:ind w:left="57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6E1684">
      <w:start w:val="1"/>
      <w:numFmt w:val="lowerRoman"/>
      <w:lvlText w:val="%9."/>
      <w:lvlJc w:val="left"/>
      <w:pPr>
        <w:ind w:left="646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1FBC3647"/>
    <w:multiLevelType w:val="hybridMultilevel"/>
    <w:tmpl w:val="E93EA242"/>
    <w:styleLink w:val="ImportedStyle112"/>
    <w:lvl w:ilvl="0" w:tplc="6172C01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4A82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63E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5805A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FE04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E76F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805DC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5629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079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206F0557"/>
    <w:multiLevelType w:val="hybridMultilevel"/>
    <w:tmpl w:val="AF48E096"/>
    <w:numStyleLink w:val="ImportedStyle40"/>
  </w:abstractNum>
  <w:abstractNum w:abstractNumId="79" w15:restartNumberingAfterBreak="0">
    <w:nsid w:val="20D66E21"/>
    <w:multiLevelType w:val="hybridMultilevel"/>
    <w:tmpl w:val="488EC068"/>
    <w:styleLink w:val="ImportedStyle133"/>
    <w:lvl w:ilvl="0" w:tplc="0054F9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76043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72E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8CA2C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B26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0E8F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583A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7CEF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8A4A4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21114D26"/>
    <w:multiLevelType w:val="hybridMultilevel"/>
    <w:tmpl w:val="DA50AD7A"/>
    <w:styleLink w:val="ImportedStyle62"/>
    <w:lvl w:ilvl="0" w:tplc="CA468F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482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949A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7621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EAFF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604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6003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30AD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46F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217243DE"/>
    <w:multiLevelType w:val="hybridMultilevel"/>
    <w:tmpl w:val="D4705628"/>
    <w:styleLink w:val="ImportedStyle130"/>
    <w:lvl w:ilvl="0" w:tplc="C5E0E032">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441510">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E2E3A">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B180806">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F6A19A">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02AA8">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150AC6A">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20389E">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2C5B6C">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21FD26EC"/>
    <w:multiLevelType w:val="hybridMultilevel"/>
    <w:tmpl w:val="DCA2CBF4"/>
    <w:numStyleLink w:val="ImportedStyle95"/>
  </w:abstractNum>
  <w:abstractNum w:abstractNumId="83" w15:restartNumberingAfterBreak="0">
    <w:nsid w:val="22123962"/>
    <w:multiLevelType w:val="hybridMultilevel"/>
    <w:tmpl w:val="10CE2F36"/>
    <w:numStyleLink w:val="ImportedStyle97"/>
  </w:abstractNum>
  <w:abstractNum w:abstractNumId="84" w15:restartNumberingAfterBreak="0">
    <w:nsid w:val="2259589C"/>
    <w:multiLevelType w:val="hybridMultilevel"/>
    <w:tmpl w:val="66D213F8"/>
    <w:numStyleLink w:val="ImportedStyle121"/>
  </w:abstractNum>
  <w:abstractNum w:abstractNumId="85" w15:restartNumberingAfterBreak="0">
    <w:nsid w:val="22653139"/>
    <w:multiLevelType w:val="hybridMultilevel"/>
    <w:tmpl w:val="AE0EEDA4"/>
    <w:numStyleLink w:val="ImportedStyle21"/>
  </w:abstractNum>
  <w:abstractNum w:abstractNumId="86" w15:restartNumberingAfterBreak="0">
    <w:nsid w:val="227A4825"/>
    <w:multiLevelType w:val="hybridMultilevel"/>
    <w:tmpl w:val="DAFA38EC"/>
    <w:styleLink w:val="ImportedStyle73"/>
    <w:lvl w:ilvl="0" w:tplc="20CCB18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FEB2B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7460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8DA8F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CC4FC3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88AD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628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AC5AC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B3AF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22D74BF9"/>
    <w:multiLevelType w:val="hybridMultilevel"/>
    <w:tmpl w:val="B40E1A96"/>
    <w:styleLink w:val="ImportedStyle110"/>
    <w:lvl w:ilvl="0" w:tplc="437E87C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B0D1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12280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4FCF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C9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CE22D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728A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05C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7A96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231D5183"/>
    <w:multiLevelType w:val="hybridMultilevel"/>
    <w:tmpl w:val="C79A0480"/>
    <w:styleLink w:val="ImportedStyle18"/>
    <w:lvl w:ilvl="0" w:tplc="F63C10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F825A4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8446DD5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3" w:tplc="97C49ED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37BCA9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5" w:tplc="D9B817D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3DBCE4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2FEA6F6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C7496B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89" w15:restartNumberingAfterBreak="0">
    <w:nsid w:val="239E277F"/>
    <w:multiLevelType w:val="hybridMultilevel"/>
    <w:tmpl w:val="D28250F2"/>
    <w:styleLink w:val="ImportedStyle7"/>
    <w:lvl w:ilvl="0" w:tplc="D7E6197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1941AE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0241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7A44F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24405D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B044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BE2A6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E4D5F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8C25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2400526D"/>
    <w:multiLevelType w:val="hybridMultilevel"/>
    <w:tmpl w:val="F6F26860"/>
    <w:numStyleLink w:val="ImportedStyle96"/>
  </w:abstractNum>
  <w:abstractNum w:abstractNumId="91" w15:restartNumberingAfterBreak="0">
    <w:nsid w:val="244F1E9D"/>
    <w:multiLevelType w:val="hybridMultilevel"/>
    <w:tmpl w:val="D4DEE7F4"/>
    <w:numStyleLink w:val="ImportedStyle90"/>
  </w:abstractNum>
  <w:abstractNum w:abstractNumId="92" w15:restartNumberingAfterBreak="0">
    <w:nsid w:val="248D7C64"/>
    <w:multiLevelType w:val="hybridMultilevel"/>
    <w:tmpl w:val="B9546428"/>
    <w:numStyleLink w:val="ImportedStyle109"/>
  </w:abstractNum>
  <w:abstractNum w:abstractNumId="93" w15:restartNumberingAfterBreak="0">
    <w:nsid w:val="24BA2371"/>
    <w:multiLevelType w:val="hybridMultilevel"/>
    <w:tmpl w:val="DFC407C6"/>
    <w:styleLink w:val="ImportedStyle29"/>
    <w:lvl w:ilvl="0" w:tplc="A386D8E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26BA1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2A32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8A9BF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714A86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80FF0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76273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4A2C0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14F0A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25F85232"/>
    <w:multiLevelType w:val="hybridMultilevel"/>
    <w:tmpl w:val="2174DD90"/>
    <w:styleLink w:val="ImportedStyle35"/>
    <w:lvl w:ilvl="0" w:tplc="9CB0B4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CE21B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350E2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4C8928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596B44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78A8A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686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F4C9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52B59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25FA23F5"/>
    <w:multiLevelType w:val="hybridMultilevel"/>
    <w:tmpl w:val="34AE72B8"/>
    <w:styleLink w:val="ImportedStyle68"/>
    <w:lvl w:ilvl="0" w:tplc="9E20D7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0E2A64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03AC5A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22EEE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F6699D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AAA96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A188E9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990E4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748CE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2673484E"/>
    <w:multiLevelType w:val="hybridMultilevel"/>
    <w:tmpl w:val="75F221C6"/>
    <w:numStyleLink w:val="ImportedStyle94"/>
  </w:abstractNum>
  <w:abstractNum w:abstractNumId="97" w15:restartNumberingAfterBreak="0">
    <w:nsid w:val="26F24ACC"/>
    <w:multiLevelType w:val="hybridMultilevel"/>
    <w:tmpl w:val="B6D47E76"/>
    <w:numStyleLink w:val="ImportedStyle128"/>
  </w:abstractNum>
  <w:abstractNum w:abstractNumId="98" w15:restartNumberingAfterBreak="0">
    <w:nsid w:val="279114D8"/>
    <w:multiLevelType w:val="hybridMultilevel"/>
    <w:tmpl w:val="C7ACA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27D42862"/>
    <w:multiLevelType w:val="hybridMultilevel"/>
    <w:tmpl w:val="43CC49A2"/>
    <w:numStyleLink w:val="ImportedStyle82"/>
  </w:abstractNum>
  <w:abstractNum w:abstractNumId="100" w15:restartNumberingAfterBreak="0">
    <w:nsid w:val="2844685D"/>
    <w:multiLevelType w:val="hybridMultilevel"/>
    <w:tmpl w:val="0352AC5C"/>
    <w:styleLink w:val="ImportedStyle23"/>
    <w:lvl w:ilvl="0" w:tplc="BE92659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6E31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FD08B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D848FD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2B0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AA4F4AA">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3CDF9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18D9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DF8D68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285E6651"/>
    <w:multiLevelType w:val="hybridMultilevel"/>
    <w:tmpl w:val="FC888D22"/>
    <w:styleLink w:val="ImportedStyle27"/>
    <w:lvl w:ilvl="0" w:tplc="B3985D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E9EAA18">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92518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E6D7E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CEBE5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7F8599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437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0029A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2CA59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28AB5B90"/>
    <w:multiLevelType w:val="hybridMultilevel"/>
    <w:tmpl w:val="D9D41572"/>
    <w:styleLink w:val="ImportedStyle79"/>
    <w:lvl w:ilvl="0" w:tplc="124419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541F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66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838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AC3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80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479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3895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9C5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295679A5"/>
    <w:multiLevelType w:val="hybridMultilevel"/>
    <w:tmpl w:val="EA963F22"/>
    <w:styleLink w:val="ImportedStyle137"/>
    <w:lvl w:ilvl="0" w:tplc="5658E58A">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A1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4886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212B6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A030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E2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523B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E81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8C8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29F437EF"/>
    <w:multiLevelType w:val="hybridMultilevel"/>
    <w:tmpl w:val="BBF4F20A"/>
    <w:numStyleLink w:val="ImportedStyle1"/>
  </w:abstractNum>
  <w:abstractNum w:abstractNumId="105" w15:restartNumberingAfterBreak="0">
    <w:nsid w:val="2AC51372"/>
    <w:multiLevelType w:val="hybridMultilevel"/>
    <w:tmpl w:val="AD5C285A"/>
    <w:numStyleLink w:val="ImportedStyle32"/>
  </w:abstractNum>
  <w:abstractNum w:abstractNumId="106" w15:restartNumberingAfterBreak="0">
    <w:nsid w:val="2B82470B"/>
    <w:multiLevelType w:val="hybridMultilevel"/>
    <w:tmpl w:val="43CC49A2"/>
    <w:styleLink w:val="ImportedStyle82"/>
    <w:lvl w:ilvl="0" w:tplc="408801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7C1E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9EB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F6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F6B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25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2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C402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9CA7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2BBA312D"/>
    <w:multiLevelType w:val="hybridMultilevel"/>
    <w:tmpl w:val="36920CE0"/>
    <w:numStyleLink w:val="ImportedStyle6"/>
  </w:abstractNum>
  <w:abstractNum w:abstractNumId="108" w15:restartNumberingAfterBreak="0">
    <w:nsid w:val="2C920736"/>
    <w:multiLevelType w:val="hybridMultilevel"/>
    <w:tmpl w:val="A112C0A0"/>
    <w:styleLink w:val="ImportedStyle52"/>
    <w:lvl w:ilvl="0" w:tplc="5A608714">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0B0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ACFC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DA5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5EF1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A6936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02A1C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02A3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AC015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2CA20D2F"/>
    <w:multiLevelType w:val="hybridMultilevel"/>
    <w:tmpl w:val="1AB4CBA4"/>
    <w:numStyleLink w:val="ImportedStyle72"/>
  </w:abstractNum>
  <w:abstractNum w:abstractNumId="110" w15:restartNumberingAfterBreak="0">
    <w:nsid w:val="2CB600DE"/>
    <w:multiLevelType w:val="hybridMultilevel"/>
    <w:tmpl w:val="EF787A78"/>
    <w:styleLink w:val="ImportedStyle117"/>
    <w:lvl w:ilvl="0" w:tplc="C9D465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2B5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16F9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86A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0F5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F201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930BC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1E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448E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2CE20EA2"/>
    <w:multiLevelType w:val="hybridMultilevel"/>
    <w:tmpl w:val="0EEA9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2CEC08A5"/>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E08201C"/>
    <w:multiLevelType w:val="hybridMultilevel"/>
    <w:tmpl w:val="124AE1AE"/>
    <w:numStyleLink w:val="ImportedStyle36"/>
  </w:abstractNum>
  <w:abstractNum w:abstractNumId="114" w15:restartNumberingAfterBreak="0">
    <w:nsid w:val="2E731BC6"/>
    <w:multiLevelType w:val="hybridMultilevel"/>
    <w:tmpl w:val="3DFC49B0"/>
    <w:numStyleLink w:val="ImportedStyle65"/>
  </w:abstractNum>
  <w:abstractNum w:abstractNumId="115" w15:restartNumberingAfterBreak="0">
    <w:nsid w:val="2E970BC5"/>
    <w:multiLevelType w:val="hybridMultilevel"/>
    <w:tmpl w:val="824863A6"/>
    <w:styleLink w:val="ImportedStyle47"/>
    <w:lvl w:ilvl="0" w:tplc="5F1AC134">
      <w:start w:val="1"/>
      <w:numFmt w:val="bullet"/>
      <w:lvlText w:val="·"/>
      <w:lvlJc w:val="left"/>
      <w:pPr>
        <w:ind w:left="113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56361E">
      <w:start w:val="1"/>
      <w:numFmt w:val="bullet"/>
      <w:lvlText w:val="o"/>
      <w:lvlJc w:val="left"/>
      <w:pPr>
        <w:ind w:left="18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4E9F02">
      <w:start w:val="1"/>
      <w:numFmt w:val="bullet"/>
      <w:lvlText w:val="▪"/>
      <w:lvlJc w:val="left"/>
      <w:pPr>
        <w:ind w:left="25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03024">
      <w:start w:val="1"/>
      <w:numFmt w:val="bullet"/>
      <w:lvlText w:val="·"/>
      <w:lvlJc w:val="left"/>
      <w:pPr>
        <w:ind w:left="32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9A8C80">
      <w:start w:val="1"/>
      <w:numFmt w:val="bullet"/>
      <w:lvlText w:val="o"/>
      <w:lvlJc w:val="left"/>
      <w:pPr>
        <w:ind w:left="401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C89FEE">
      <w:start w:val="1"/>
      <w:numFmt w:val="bullet"/>
      <w:lvlText w:val="▪"/>
      <w:lvlJc w:val="left"/>
      <w:pPr>
        <w:ind w:left="473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5C0008">
      <w:start w:val="1"/>
      <w:numFmt w:val="bullet"/>
      <w:lvlText w:val="·"/>
      <w:lvlJc w:val="left"/>
      <w:pPr>
        <w:ind w:left="545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2AC6D8">
      <w:start w:val="1"/>
      <w:numFmt w:val="bullet"/>
      <w:lvlText w:val="o"/>
      <w:lvlJc w:val="left"/>
      <w:pPr>
        <w:ind w:left="61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2948E">
      <w:start w:val="1"/>
      <w:numFmt w:val="bullet"/>
      <w:lvlText w:val="▪"/>
      <w:lvlJc w:val="left"/>
      <w:pPr>
        <w:ind w:left="689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2ECE4BBC"/>
    <w:multiLevelType w:val="hybridMultilevel"/>
    <w:tmpl w:val="57EA2914"/>
    <w:styleLink w:val="ImportedStyle81"/>
    <w:lvl w:ilvl="0" w:tplc="5E24E934">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4A24B8">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D8037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90BD6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322C84">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4AC60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AB800">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A60686">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661ED2">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2F063EFD"/>
    <w:multiLevelType w:val="hybridMultilevel"/>
    <w:tmpl w:val="49AA6148"/>
    <w:styleLink w:val="ImportedStyle51"/>
    <w:lvl w:ilvl="0" w:tplc="A48E5718">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DCE4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4DF1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E96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A99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D098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430F7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F265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52F4E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2F9A5E5B"/>
    <w:multiLevelType w:val="hybridMultilevel"/>
    <w:tmpl w:val="419EC5FE"/>
    <w:styleLink w:val="ImportedStyle22"/>
    <w:lvl w:ilvl="0" w:tplc="322878E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E633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558B39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24F9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D066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96EE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F4E06A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32035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C7AB83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302A03B8"/>
    <w:multiLevelType w:val="hybridMultilevel"/>
    <w:tmpl w:val="CD8C01A6"/>
    <w:styleLink w:val="ImportedStyle75"/>
    <w:lvl w:ilvl="0" w:tplc="96884F24">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A4AFD9C">
      <w:start w:val="1"/>
      <w:numFmt w:val="bullet"/>
      <w:lvlText w:val="-"/>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823FE6">
      <w:start w:val="1"/>
      <w:numFmt w:val="bullet"/>
      <w:lvlText w:val="-"/>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94AEAC8">
      <w:start w:val="1"/>
      <w:numFmt w:val="bullet"/>
      <w:lvlText w:val="-"/>
      <w:lvlJc w:val="left"/>
      <w:pPr>
        <w:ind w:left="28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AEA348">
      <w:start w:val="1"/>
      <w:numFmt w:val="bullet"/>
      <w:lvlText w:val="-"/>
      <w:lvlJc w:val="left"/>
      <w:pPr>
        <w:ind w:left="36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90D0DE">
      <w:start w:val="1"/>
      <w:numFmt w:val="bullet"/>
      <w:lvlText w:val="-"/>
      <w:lvlJc w:val="left"/>
      <w:pPr>
        <w:ind w:left="43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3564872">
      <w:start w:val="1"/>
      <w:numFmt w:val="bullet"/>
      <w:lvlText w:val="-"/>
      <w:lvlJc w:val="left"/>
      <w:pPr>
        <w:ind w:left="50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358087C">
      <w:start w:val="1"/>
      <w:numFmt w:val="bullet"/>
      <w:lvlText w:val="-"/>
      <w:lvlJc w:val="left"/>
      <w:pPr>
        <w:ind w:left="57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62C526">
      <w:start w:val="1"/>
      <w:numFmt w:val="bullet"/>
      <w:lvlText w:val="-"/>
      <w:lvlJc w:val="left"/>
      <w:pPr>
        <w:ind w:left="64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306A1FC0"/>
    <w:multiLevelType w:val="hybridMultilevel"/>
    <w:tmpl w:val="A442E2BE"/>
    <w:numStyleLink w:val="ImportedStyle89"/>
  </w:abstractNum>
  <w:abstractNum w:abstractNumId="121" w15:restartNumberingAfterBreak="0">
    <w:nsid w:val="30765259"/>
    <w:multiLevelType w:val="hybridMultilevel"/>
    <w:tmpl w:val="E1D07BC4"/>
    <w:numStyleLink w:val="ImportedStyle115"/>
  </w:abstractNum>
  <w:abstractNum w:abstractNumId="122" w15:restartNumberingAfterBreak="0">
    <w:nsid w:val="3089225D"/>
    <w:multiLevelType w:val="hybridMultilevel"/>
    <w:tmpl w:val="86723BCC"/>
    <w:numStyleLink w:val="ImportedStyle3"/>
  </w:abstractNum>
  <w:abstractNum w:abstractNumId="123" w15:restartNumberingAfterBreak="0">
    <w:nsid w:val="312818DE"/>
    <w:multiLevelType w:val="hybridMultilevel"/>
    <w:tmpl w:val="8B2CB5A4"/>
    <w:numStyleLink w:val="ImportedStyle85"/>
  </w:abstractNum>
  <w:abstractNum w:abstractNumId="124" w15:restartNumberingAfterBreak="0">
    <w:nsid w:val="316C2FA9"/>
    <w:multiLevelType w:val="hybridMultilevel"/>
    <w:tmpl w:val="14E87B36"/>
    <w:numStyleLink w:val="ImportedStyle63"/>
  </w:abstractNum>
  <w:abstractNum w:abstractNumId="125" w15:restartNumberingAfterBreak="0">
    <w:nsid w:val="31B3567E"/>
    <w:multiLevelType w:val="hybridMultilevel"/>
    <w:tmpl w:val="272C3CB8"/>
    <w:numStyleLink w:val="ImportedStyle135"/>
  </w:abstractNum>
  <w:abstractNum w:abstractNumId="126" w15:restartNumberingAfterBreak="0">
    <w:nsid w:val="3245411A"/>
    <w:multiLevelType w:val="hybridMultilevel"/>
    <w:tmpl w:val="D9D41572"/>
    <w:numStyleLink w:val="ImportedStyle79"/>
  </w:abstractNum>
  <w:abstractNum w:abstractNumId="127" w15:restartNumberingAfterBreak="0">
    <w:nsid w:val="32E659C6"/>
    <w:multiLevelType w:val="hybridMultilevel"/>
    <w:tmpl w:val="3D1CB888"/>
    <w:numStyleLink w:val="ImportedStyle31"/>
  </w:abstractNum>
  <w:abstractNum w:abstractNumId="128" w15:restartNumberingAfterBreak="0">
    <w:nsid w:val="33772B11"/>
    <w:multiLevelType w:val="hybridMultilevel"/>
    <w:tmpl w:val="D28250F2"/>
    <w:numStyleLink w:val="ImportedStyle7"/>
  </w:abstractNum>
  <w:abstractNum w:abstractNumId="129" w15:restartNumberingAfterBreak="0">
    <w:nsid w:val="33B846CE"/>
    <w:multiLevelType w:val="hybridMultilevel"/>
    <w:tmpl w:val="BCAA45E6"/>
    <w:numStyleLink w:val="ImportedStyle19"/>
  </w:abstractNum>
  <w:abstractNum w:abstractNumId="130" w15:restartNumberingAfterBreak="0">
    <w:nsid w:val="345B3953"/>
    <w:multiLevelType w:val="hybridMultilevel"/>
    <w:tmpl w:val="8B825DCC"/>
    <w:numStyleLink w:val="ImportedStyle102"/>
  </w:abstractNum>
  <w:abstractNum w:abstractNumId="131" w15:restartNumberingAfterBreak="0">
    <w:nsid w:val="3492136F"/>
    <w:multiLevelType w:val="hybridMultilevel"/>
    <w:tmpl w:val="590A5884"/>
    <w:styleLink w:val="ImportedStyle125"/>
    <w:lvl w:ilvl="0" w:tplc="45AC4B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CA45F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B28C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4ED4C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3A62A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5B067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0CFB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39A49E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907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35234940"/>
    <w:multiLevelType w:val="hybridMultilevel"/>
    <w:tmpl w:val="A442E2BE"/>
    <w:styleLink w:val="ImportedStyle89"/>
    <w:lvl w:ilvl="0" w:tplc="1916AA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82B27E">
      <w:start w:val="1"/>
      <w:numFmt w:val="decimal"/>
      <w:lvlText w:val="(%2)"/>
      <w:lvlJc w:val="left"/>
      <w:pPr>
        <w:tabs>
          <w:tab w:val="left" w:pos="720"/>
        </w:tabs>
        <w:ind w:left="145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2C67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A47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6E13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C79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174DF4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663A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7256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35AD6E55"/>
    <w:multiLevelType w:val="hybridMultilevel"/>
    <w:tmpl w:val="DA50AD7A"/>
    <w:numStyleLink w:val="ImportedStyle62"/>
  </w:abstractNum>
  <w:abstractNum w:abstractNumId="134" w15:restartNumberingAfterBreak="0">
    <w:nsid w:val="36767DBF"/>
    <w:multiLevelType w:val="hybridMultilevel"/>
    <w:tmpl w:val="AD68DA28"/>
    <w:styleLink w:val="ImportedStyle30"/>
    <w:lvl w:ilvl="0" w:tplc="CC6ABB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B095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45B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502D7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D46E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C075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B04B9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48A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6ED92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36BF0EC5"/>
    <w:multiLevelType w:val="hybridMultilevel"/>
    <w:tmpl w:val="8E12B894"/>
    <w:styleLink w:val="ImportedStyle111"/>
    <w:lvl w:ilvl="0" w:tplc="A19A0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7A9C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66D11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82252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FCB0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0771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867E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AAB9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4E65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37305C31"/>
    <w:multiLevelType w:val="hybridMultilevel"/>
    <w:tmpl w:val="10CE2F36"/>
    <w:styleLink w:val="ImportedStyle97"/>
    <w:lvl w:ilvl="0" w:tplc="B94E81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FA62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DC44B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21AE2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6CA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D4651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6E621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B2D1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967FA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7CC5AD0"/>
    <w:multiLevelType w:val="hybridMultilevel"/>
    <w:tmpl w:val="B7FCADF0"/>
    <w:numStyleLink w:val="ImportedStyle123"/>
  </w:abstractNum>
  <w:abstractNum w:abstractNumId="138" w15:restartNumberingAfterBreak="0">
    <w:nsid w:val="383208DF"/>
    <w:multiLevelType w:val="hybridMultilevel"/>
    <w:tmpl w:val="F6F26860"/>
    <w:styleLink w:val="ImportedStyle96"/>
    <w:lvl w:ilvl="0" w:tplc="B914B2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0A4E2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0EA07E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88669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53E44A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C8E263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012E28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4CAE3FA">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F44D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391D41DD"/>
    <w:multiLevelType w:val="hybridMultilevel"/>
    <w:tmpl w:val="D01AEABE"/>
    <w:numStyleLink w:val="ImportedStyle66"/>
  </w:abstractNum>
  <w:abstractNum w:abstractNumId="140" w15:restartNumberingAfterBreak="0">
    <w:nsid w:val="39484199"/>
    <w:multiLevelType w:val="hybridMultilevel"/>
    <w:tmpl w:val="BE74EEDE"/>
    <w:numStyleLink w:val="ImportedStyle99"/>
  </w:abstractNum>
  <w:abstractNum w:abstractNumId="141" w15:restartNumberingAfterBreak="0">
    <w:nsid w:val="398B4C14"/>
    <w:multiLevelType w:val="hybridMultilevel"/>
    <w:tmpl w:val="4E2A2E3E"/>
    <w:numStyleLink w:val="ImportedStyle70"/>
  </w:abstractNum>
  <w:abstractNum w:abstractNumId="142" w15:restartNumberingAfterBreak="0">
    <w:nsid w:val="3A300245"/>
    <w:multiLevelType w:val="hybridMultilevel"/>
    <w:tmpl w:val="A4EEAFAA"/>
    <w:styleLink w:val="ImportedStyle16"/>
    <w:lvl w:ilvl="0" w:tplc="812CE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CBEF0D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4903E6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3FC749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C3A8D3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A861D3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9A68001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C99E42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DFCE95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3" w15:restartNumberingAfterBreak="0">
    <w:nsid w:val="3A5474E1"/>
    <w:multiLevelType w:val="hybridMultilevel"/>
    <w:tmpl w:val="11B24F8A"/>
    <w:numStyleLink w:val="ImportedStyle55"/>
  </w:abstractNum>
  <w:abstractNum w:abstractNumId="144" w15:restartNumberingAfterBreak="0">
    <w:nsid w:val="3AB60535"/>
    <w:multiLevelType w:val="hybridMultilevel"/>
    <w:tmpl w:val="EB06D1C2"/>
    <w:styleLink w:val="ImportedStyle43"/>
    <w:lvl w:ilvl="0" w:tplc="AC720C5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282D9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4B9C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798452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390C4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48841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15A15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880B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5AF71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3ABC7E45"/>
    <w:multiLevelType w:val="hybridMultilevel"/>
    <w:tmpl w:val="A72E30A8"/>
    <w:numStyleLink w:val="ImportedStyle38"/>
  </w:abstractNum>
  <w:abstractNum w:abstractNumId="146" w15:restartNumberingAfterBreak="0">
    <w:nsid w:val="3AD13339"/>
    <w:multiLevelType w:val="hybridMultilevel"/>
    <w:tmpl w:val="9CA26F32"/>
    <w:styleLink w:val="ImportedStyle124"/>
    <w:lvl w:ilvl="0" w:tplc="37BEEB3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2883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803D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72AF7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F2CC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C4ED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D6C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B6C5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D8E1D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3BA97AA5"/>
    <w:multiLevelType w:val="hybridMultilevel"/>
    <w:tmpl w:val="49AA6148"/>
    <w:numStyleLink w:val="ImportedStyle51"/>
  </w:abstractNum>
  <w:abstractNum w:abstractNumId="148" w15:restartNumberingAfterBreak="0">
    <w:nsid w:val="3BF308A7"/>
    <w:multiLevelType w:val="hybridMultilevel"/>
    <w:tmpl w:val="04128108"/>
    <w:numStyleLink w:val="ImportedStyle67"/>
  </w:abstractNum>
  <w:abstractNum w:abstractNumId="149" w15:restartNumberingAfterBreak="0">
    <w:nsid w:val="3C717E40"/>
    <w:multiLevelType w:val="hybridMultilevel"/>
    <w:tmpl w:val="819A95FC"/>
    <w:styleLink w:val="ImportedStyle15"/>
    <w:lvl w:ilvl="0" w:tplc="4C1660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2E39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7CF53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B6E31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27D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BF6F8C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E598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B89C7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A52049E">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0" w15:restartNumberingAfterBreak="0">
    <w:nsid w:val="3CA11FE1"/>
    <w:multiLevelType w:val="hybridMultilevel"/>
    <w:tmpl w:val="89981E14"/>
    <w:styleLink w:val="ImportedStyle49"/>
    <w:lvl w:ilvl="0" w:tplc="3BAA7AA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E47FA6">
      <w:start w:val="1"/>
      <w:numFmt w:val="bullet"/>
      <w:lvlText w:val="o"/>
      <w:lvlJc w:val="left"/>
      <w:pPr>
        <w:tabs>
          <w:tab w:val="left" w:pos="720"/>
        </w:tabs>
        <w:ind w:left="144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F25842">
      <w:start w:val="1"/>
      <w:numFmt w:val="bullet"/>
      <w:lvlText w:val="▪"/>
      <w:lvlJc w:val="left"/>
      <w:pPr>
        <w:tabs>
          <w:tab w:val="left" w:pos="720"/>
        </w:tabs>
        <w:ind w:left="21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481FE0">
      <w:start w:val="1"/>
      <w:numFmt w:val="bullet"/>
      <w:lvlText w:val="·"/>
      <w:lvlJc w:val="left"/>
      <w:pPr>
        <w:tabs>
          <w:tab w:val="left" w:pos="720"/>
        </w:tabs>
        <w:ind w:left="288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8E9938">
      <w:start w:val="1"/>
      <w:numFmt w:val="bullet"/>
      <w:lvlText w:val="o"/>
      <w:lvlJc w:val="left"/>
      <w:pPr>
        <w:tabs>
          <w:tab w:val="left" w:pos="720"/>
        </w:tabs>
        <w:ind w:left="360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86175A">
      <w:start w:val="1"/>
      <w:numFmt w:val="bullet"/>
      <w:lvlText w:val="▪"/>
      <w:lvlJc w:val="left"/>
      <w:pPr>
        <w:tabs>
          <w:tab w:val="left" w:pos="720"/>
        </w:tabs>
        <w:ind w:left="432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D041E6">
      <w:start w:val="1"/>
      <w:numFmt w:val="bullet"/>
      <w:lvlText w:val="·"/>
      <w:lvlJc w:val="left"/>
      <w:pPr>
        <w:tabs>
          <w:tab w:val="left" w:pos="720"/>
        </w:tabs>
        <w:ind w:left="504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0C4DAA">
      <w:start w:val="1"/>
      <w:numFmt w:val="bullet"/>
      <w:lvlText w:val="o"/>
      <w:lvlJc w:val="left"/>
      <w:pPr>
        <w:tabs>
          <w:tab w:val="left" w:pos="720"/>
        </w:tabs>
        <w:ind w:left="57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7EE452">
      <w:start w:val="1"/>
      <w:numFmt w:val="bullet"/>
      <w:lvlText w:val="▪"/>
      <w:lvlJc w:val="left"/>
      <w:pPr>
        <w:tabs>
          <w:tab w:val="left" w:pos="720"/>
        </w:tabs>
        <w:ind w:left="648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3CDB6DDF"/>
    <w:multiLevelType w:val="hybridMultilevel"/>
    <w:tmpl w:val="369AF984"/>
    <w:numStyleLink w:val="ImportedStyle64"/>
  </w:abstractNum>
  <w:abstractNum w:abstractNumId="152" w15:restartNumberingAfterBreak="0">
    <w:nsid w:val="3CF117B8"/>
    <w:multiLevelType w:val="hybridMultilevel"/>
    <w:tmpl w:val="6E0AE508"/>
    <w:numStyleLink w:val="ImportedStyle71"/>
  </w:abstractNum>
  <w:abstractNum w:abstractNumId="153" w15:restartNumberingAfterBreak="0">
    <w:nsid w:val="3CF41110"/>
    <w:multiLevelType w:val="hybridMultilevel"/>
    <w:tmpl w:val="AB7AF8EC"/>
    <w:numStyleLink w:val="ImportedStyle120"/>
  </w:abstractNum>
  <w:abstractNum w:abstractNumId="154" w15:restartNumberingAfterBreak="0">
    <w:nsid w:val="3E515D4E"/>
    <w:multiLevelType w:val="hybridMultilevel"/>
    <w:tmpl w:val="9F620ED8"/>
    <w:numStyleLink w:val="ImportedStyle104"/>
  </w:abstractNum>
  <w:abstractNum w:abstractNumId="155" w15:restartNumberingAfterBreak="0">
    <w:nsid w:val="3E8D5A5C"/>
    <w:multiLevelType w:val="hybridMultilevel"/>
    <w:tmpl w:val="88E65394"/>
    <w:styleLink w:val="ImportedStyle48"/>
    <w:lvl w:ilvl="0" w:tplc="BB32DF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FD6555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AE8D4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D0575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28230F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34A16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67D9E">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3C645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A68FAB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3F056E38"/>
    <w:multiLevelType w:val="hybridMultilevel"/>
    <w:tmpl w:val="356CD198"/>
    <w:styleLink w:val="ImportedStyle41"/>
    <w:lvl w:ilvl="0" w:tplc="2A1AB15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D6E8A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3200C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6EAA05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6E224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3D274F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AD8A30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5258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80DC4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3FE33B42"/>
    <w:multiLevelType w:val="hybridMultilevel"/>
    <w:tmpl w:val="36920CE0"/>
    <w:styleLink w:val="ImportedStyle6"/>
    <w:lvl w:ilvl="0" w:tplc="5D96A03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42625F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04A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8F08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049A9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45EA1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4462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7ED92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10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40AC4B77"/>
    <w:multiLevelType w:val="hybridMultilevel"/>
    <w:tmpl w:val="C64CC6A8"/>
    <w:styleLink w:val="ImportedStyle57"/>
    <w:lvl w:ilvl="0" w:tplc="988EF20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244EF6">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26740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96CAD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2AE9A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E6BA3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2C90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B88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E6A9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40FA0416"/>
    <w:multiLevelType w:val="hybridMultilevel"/>
    <w:tmpl w:val="2174DD90"/>
    <w:numStyleLink w:val="ImportedStyle35"/>
  </w:abstractNum>
  <w:abstractNum w:abstractNumId="160" w15:restartNumberingAfterBreak="0">
    <w:nsid w:val="414D77D2"/>
    <w:multiLevelType w:val="hybridMultilevel"/>
    <w:tmpl w:val="25DCBB5C"/>
    <w:styleLink w:val="ImportedStyle11"/>
    <w:lvl w:ilvl="0" w:tplc="42CE37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FCA2B5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7722C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72C9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63698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EC2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BEF2A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E4E9A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23C7F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41534642"/>
    <w:multiLevelType w:val="hybridMultilevel"/>
    <w:tmpl w:val="9F92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42771844"/>
    <w:multiLevelType w:val="hybridMultilevel"/>
    <w:tmpl w:val="5C26A3D6"/>
    <w:styleLink w:val="ImportedStyle45"/>
    <w:lvl w:ilvl="0" w:tplc="B8E0F7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18E6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F49AD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5610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527C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2FE9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D440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3EAA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6007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42A45CB5"/>
    <w:multiLevelType w:val="hybridMultilevel"/>
    <w:tmpl w:val="BBF4F20A"/>
    <w:styleLink w:val="ImportedStyle1"/>
    <w:lvl w:ilvl="0" w:tplc="F02C46B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3EB3B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0020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24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9B2C5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C80E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28F50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3855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14680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42E91C62"/>
    <w:multiLevelType w:val="hybridMultilevel"/>
    <w:tmpl w:val="B96E3522"/>
    <w:numStyleLink w:val="ImportedStyle118"/>
  </w:abstractNum>
  <w:abstractNum w:abstractNumId="165" w15:restartNumberingAfterBreak="0">
    <w:nsid w:val="43387C59"/>
    <w:multiLevelType w:val="hybridMultilevel"/>
    <w:tmpl w:val="5C42DE3C"/>
    <w:styleLink w:val="ImportedStyle50"/>
    <w:lvl w:ilvl="0" w:tplc="2B26CC3E">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68602">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D86754">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5CA200E">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0297E2">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C2580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04EBF9E">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8F702">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8C7936">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15:restartNumberingAfterBreak="0">
    <w:nsid w:val="433B602C"/>
    <w:multiLevelType w:val="hybridMultilevel"/>
    <w:tmpl w:val="86723BCC"/>
    <w:styleLink w:val="ImportedStyle3"/>
    <w:lvl w:ilvl="0" w:tplc="79D8B16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1B061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1D64E6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62140C4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7FAF5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F052F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D46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CC7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9AC09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438C1FD9"/>
    <w:multiLevelType w:val="hybridMultilevel"/>
    <w:tmpl w:val="F9DC0000"/>
    <w:styleLink w:val="ImportedStyle26"/>
    <w:lvl w:ilvl="0" w:tplc="7FB4BCE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B8B8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F2C5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16A9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6097F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CFE5B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EA2B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7B876C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0B0D6A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43CC2AAC"/>
    <w:multiLevelType w:val="hybridMultilevel"/>
    <w:tmpl w:val="99861332"/>
    <w:styleLink w:val="ImportedStyle88"/>
    <w:lvl w:ilvl="0" w:tplc="BBFE9D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5342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04EE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1028F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2204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06E6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C104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56AF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F7097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9" w15:restartNumberingAfterBreak="0">
    <w:nsid w:val="44430C52"/>
    <w:multiLevelType w:val="hybridMultilevel"/>
    <w:tmpl w:val="BAACFC30"/>
    <w:styleLink w:val="ImportedStyle134"/>
    <w:lvl w:ilvl="0" w:tplc="7AAA4B7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1AD0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476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8095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F418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B643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D83B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AC6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C2E41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44942DC3"/>
    <w:multiLevelType w:val="hybridMultilevel"/>
    <w:tmpl w:val="83364B18"/>
    <w:styleLink w:val="ImportedStyle140"/>
    <w:lvl w:ilvl="0" w:tplc="4F8AD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DAB0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23A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4A400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4D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C44BC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EE0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6A15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D0A9D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44A77B56"/>
    <w:multiLevelType w:val="hybridMultilevel"/>
    <w:tmpl w:val="BAE2DEB6"/>
    <w:styleLink w:val="ImportedStyle20"/>
    <w:lvl w:ilvl="0" w:tplc="93442988">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62F13A">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6BBF8">
      <w:start w:val="1"/>
      <w:numFmt w:val="lowerRoman"/>
      <w:lvlText w:val="%3."/>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718F364">
      <w:start w:val="1"/>
      <w:numFmt w:val="decimal"/>
      <w:lvlText w:val="%4."/>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84F92A">
      <w:start w:val="1"/>
      <w:numFmt w:val="lowerLetter"/>
      <w:lvlText w:val="%5."/>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1CDABE">
      <w:start w:val="1"/>
      <w:numFmt w:val="lowerRoman"/>
      <w:lvlText w:val="%6."/>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822E944">
      <w:start w:val="1"/>
      <w:numFmt w:val="decimal"/>
      <w:lvlText w:val="%7."/>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72C12E">
      <w:start w:val="1"/>
      <w:numFmt w:val="lowerLetter"/>
      <w:lvlText w:val="%8."/>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6AA44">
      <w:start w:val="1"/>
      <w:numFmt w:val="lowerRoman"/>
      <w:lvlText w:val="%9."/>
      <w:lvlJc w:val="left"/>
      <w:pPr>
        <w:ind w:left="4323"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450A6001"/>
    <w:multiLevelType w:val="hybridMultilevel"/>
    <w:tmpl w:val="CD8C01A6"/>
    <w:numStyleLink w:val="ImportedStyle75"/>
  </w:abstractNum>
  <w:abstractNum w:abstractNumId="173" w15:restartNumberingAfterBreak="0">
    <w:nsid w:val="454249CF"/>
    <w:multiLevelType w:val="hybridMultilevel"/>
    <w:tmpl w:val="9E3E2E12"/>
    <w:styleLink w:val="ImportedStyle28"/>
    <w:lvl w:ilvl="0" w:tplc="B6901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3D0287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166BDD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6639C4">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218343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C0ABA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0CA76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D9CD8C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0C9F7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4" w15:restartNumberingAfterBreak="0">
    <w:nsid w:val="45FD3EA8"/>
    <w:multiLevelType w:val="hybridMultilevel"/>
    <w:tmpl w:val="C7FA37D4"/>
    <w:styleLink w:val="ImportedStyle53"/>
    <w:lvl w:ilvl="0" w:tplc="1FD0C3FA">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18ADE6">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C0B946">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516A2A8">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56C228">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7A562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F3228FC">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E61A3C">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643A8">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49CC669A"/>
    <w:multiLevelType w:val="hybridMultilevel"/>
    <w:tmpl w:val="A112C0A0"/>
    <w:numStyleLink w:val="ImportedStyle52"/>
  </w:abstractNum>
  <w:abstractNum w:abstractNumId="176" w15:restartNumberingAfterBreak="0">
    <w:nsid w:val="49D242E5"/>
    <w:multiLevelType w:val="hybridMultilevel"/>
    <w:tmpl w:val="2236BBA8"/>
    <w:numStyleLink w:val="ImportedStyle114"/>
  </w:abstractNum>
  <w:abstractNum w:abstractNumId="177" w15:restartNumberingAfterBreak="0">
    <w:nsid w:val="4A2F2261"/>
    <w:multiLevelType w:val="hybridMultilevel"/>
    <w:tmpl w:val="2070E758"/>
    <w:numStyleLink w:val="ImportedStyle59"/>
  </w:abstractNum>
  <w:abstractNum w:abstractNumId="178" w15:restartNumberingAfterBreak="0">
    <w:nsid w:val="4A542E70"/>
    <w:multiLevelType w:val="hybridMultilevel"/>
    <w:tmpl w:val="BAE2DEB6"/>
    <w:numStyleLink w:val="ImportedStyle20"/>
  </w:abstractNum>
  <w:abstractNum w:abstractNumId="179" w15:restartNumberingAfterBreak="0">
    <w:nsid w:val="4AB07C06"/>
    <w:multiLevelType w:val="hybridMultilevel"/>
    <w:tmpl w:val="AB7AF8EC"/>
    <w:styleLink w:val="ImportedStyle120"/>
    <w:lvl w:ilvl="0" w:tplc="28DCD8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022A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7803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FFAE2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64AA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B0967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806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2FD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658521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15:restartNumberingAfterBreak="0">
    <w:nsid w:val="4B251BF9"/>
    <w:multiLevelType w:val="hybridMultilevel"/>
    <w:tmpl w:val="B568D658"/>
    <w:styleLink w:val="ImportedStyle9"/>
    <w:lvl w:ilvl="0" w:tplc="7EBC78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B0C9C3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7A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E2407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E2F0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E6F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AE80D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CE365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71AEB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4B51393D"/>
    <w:multiLevelType w:val="hybridMultilevel"/>
    <w:tmpl w:val="091002DA"/>
    <w:numStyleLink w:val="ImportedStyle86"/>
  </w:abstractNum>
  <w:abstractNum w:abstractNumId="182" w15:restartNumberingAfterBreak="0">
    <w:nsid w:val="4B77554C"/>
    <w:multiLevelType w:val="hybridMultilevel"/>
    <w:tmpl w:val="EF787A78"/>
    <w:numStyleLink w:val="ImportedStyle117"/>
  </w:abstractNum>
  <w:abstractNum w:abstractNumId="183" w15:restartNumberingAfterBreak="0">
    <w:nsid w:val="4B960535"/>
    <w:multiLevelType w:val="hybridMultilevel"/>
    <w:tmpl w:val="E4342992"/>
    <w:styleLink w:val="ImportedStyle33"/>
    <w:lvl w:ilvl="0" w:tplc="235AA1D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E48344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765E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9C16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10CC4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17ED4B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1D896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CE25F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5A8ED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4C064D93"/>
    <w:multiLevelType w:val="hybridMultilevel"/>
    <w:tmpl w:val="9E3E2E12"/>
    <w:numStyleLink w:val="ImportedStyle28"/>
  </w:abstractNum>
  <w:abstractNum w:abstractNumId="185" w15:restartNumberingAfterBreak="0">
    <w:nsid w:val="4C3961E4"/>
    <w:multiLevelType w:val="hybridMultilevel"/>
    <w:tmpl w:val="D8FA88DE"/>
    <w:numStyleLink w:val="ImportedStyle54"/>
  </w:abstractNum>
  <w:abstractNum w:abstractNumId="186" w15:restartNumberingAfterBreak="0">
    <w:nsid w:val="4C662058"/>
    <w:multiLevelType w:val="hybridMultilevel"/>
    <w:tmpl w:val="2236BBA8"/>
    <w:styleLink w:val="ImportedStyle114"/>
    <w:lvl w:ilvl="0" w:tplc="B88A216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0AF48C">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493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20A0CD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EEF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7E403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82A8C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7E455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AF4B0">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7" w15:restartNumberingAfterBreak="0">
    <w:nsid w:val="4C727597"/>
    <w:multiLevelType w:val="hybridMultilevel"/>
    <w:tmpl w:val="83364B18"/>
    <w:numStyleLink w:val="ImportedStyle140"/>
  </w:abstractNum>
  <w:abstractNum w:abstractNumId="188" w15:restartNumberingAfterBreak="0">
    <w:nsid w:val="4D131923"/>
    <w:multiLevelType w:val="hybridMultilevel"/>
    <w:tmpl w:val="11B24F8A"/>
    <w:styleLink w:val="ImportedStyle55"/>
    <w:lvl w:ilvl="0" w:tplc="E0AE1F2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FE95CA">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B642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F8F9F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CABD2A">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9201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A8C88A">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BC7A0A">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780A2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9" w15:restartNumberingAfterBreak="0">
    <w:nsid w:val="4DAA39D3"/>
    <w:multiLevelType w:val="hybridMultilevel"/>
    <w:tmpl w:val="419EC5FE"/>
    <w:numStyleLink w:val="ImportedStyle22"/>
  </w:abstractNum>
  <w:abstractNum w:abstractNumId="190" w15:restartNumberingAfterBreak="0">
    <w:nsid w:val="4DE7662F"/>
    <w:multiLevelType w:val="hybridMultilevel"/>
    <w:tmpl w:val="B9546428"/>
    <w:styleLink w:val="ImportedStyle109"/>
    <w:lvl w:ilvl="0" w:tplc="D6A061A2">
      <w:start w:val="1"/>
      <w:numFmt w:val="bullet"/>
      <w:lvlText w:val="-"/>
      <w:lvlJc w:val="left"/>
      <w:pPr>
        <w:ind w:left="99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298B4A8">
      <w:start w:val="1"/>
      <w:numFmt w:val="bullet"/>
      <w:lvlText w:val="o"/>
      <w:lvlJc w:val="left"/>
      <w:pPr>
        <w:ind w:left="17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006F794">
      <w:start w:val="1"/>
      <w:numFmt w:val="bullet"/>
      <w:lvlText w:val="▪"/>
      <w:lvlJc w:val="left"/>
      <w:pPr>
        <w:ind w:left="24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229C80">
      <w:start w:val="1"/>
      <w:numFmt w:val="bullet"/>
      <w:lvlText w:val="•"/>
      <w:lvlJc w:val="left"/>
      <w:pPr>
        <w:ind w:left="315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78E976">
      <w:start w:val="1"/>
      <w:numFmt w:val="bullet"/>
      <w:lvlText w:val="o"/>
      <w:lvlJc w:val="left"/>
      <w:pPr>
        <w:ind w:left="387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7A662E2">
      <w:start w:val="1"/>
      <w:numFmt w:val="bullet"/>
      <w:lvlText w:val="▪"/>
      <w:lvlJc w:val="left"/>
      <w:pPr>
        <w:ind w:left="45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1A92DC">
      <w:start w:val="1"/>
      <w:numFmt w:val="bullet"/>
      <w:lvlText w:val="•"/>
      <w:lvlJc w:val="left"/>
      <w:pPr>
        <w:ind w:left="53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C6AF87A">
      <w:start w:val="1"/>
      <w:numFmt w:val="bullet"/>
      <w:lvlText w:val="o"/>
      <w:lvlJc w:val="left"/>
      <w:pPr>
        <w:ind w:left="603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7A58B6">
      <w:start w:val="1"/>
      <w:numFmt w:val="bullet"/>
      <w:lvlText w:val="▪"/>
      <w:lvlJc w:val="left"/>
      <w:pPr>
        <w:ind w:left="67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1" w15:restartNumberingAfterBreak="0">
    <w:nsid w:val="4E3B735F"/>
    <w:multiLevelType w:val="hybridMultilevel"/>
    <w:tmpl w:val="8E12B894"/>
    <w:numStyleLink w:val="ImportedStyle111"/>
  </w:abstractNum>
  <w:abstractNum w:abstractNumId="192" w15:restartNumberingAfterBreak="0">
    <w:nsid w:val="4FF51FB8"/>
    <w:multiLevelType w:val="hybridMultilevel"/>
    <w:tmpl w:val="FA0C41A2"/>
    <w:styleLink w:val="ImportedStyle106"/>
    <w:lvl w:ilvl="0" w:tplc="456A42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0CFA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24058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2CA8A5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43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16850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3987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CB2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F6873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3" w15:restartNumberingAfterBreak="0">
    <w:nsid w:val="515E49A7"/>
    <w:multiLevelType w:val="hybridMultilevel"/>
    <w:tmpl w:val="34AE72B8"/>
    <w:numStyleLink w:val="ImportedStyle68"/>
  </w:abstractNum>
  <w:abstractNum w:abstractNumId="194" w15:restartNumberingAfterBreak="0">
    <w:nsid w:val="51C66C04"/>
    <w:multiLevelType w:val="hybridMultilevel"/>
    <w:tmpl w:val="272C3CB8"/>
    <w:styleLink w:val="ImportedStyle135"/>
    <w:lvl w:ilvl="0" w:tplc="D280114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2D6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CE201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D4A5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C89E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2CB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1EFB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20F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5E1C6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5" w15:restartNumberingAfterBreak="0">
    <w:nsid w:val="521D6A2F"/>
    <w:multiLevelType w:val="hybridMultilevel"/>
    <w:tmpl w:val="A3F80D6A"/>
    <w:styleLink w:val="ImportedStyle77"/>
    <w:lvl w:ilvl="0" w:tplc="E996CD70">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220E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B63B0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91CA7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C89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3641C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614A4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EDC29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B54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6" w15:restartNumberingAfterBreak="0">
    <w:nsid w:val="532C17DE"/>
    <w:multiLevelType w:val="hybridMultilevel"/>
    <w:tmpl w:val="9CF039C8"/>
    <w:numStyleLink w:val="ImportedStyle69"/>
  </w:abstractNum>
  <w:abstractNum w:abstractNumId="197" w15:restartNumberingAfterBreak="0">
    <w:nsid w:val="536F1DF1"/>
    <w:multiLevelType w:val="hybridMultilevel"/>
    <w:tmpl w:val="FB221008"/>
    <w:numStyleLink w:val="ImportedStyle56"/>
  </w:abstractNum>
  <w:abstractNum w:abstractNumId="198" w15:restartNumberingAfterBreak="0">
    <w:nsid w:val="53F53251"/>
    <w:multiLevelType w:val="hybridMultilevel"/>
    <w:tmpl w:val="0B5ACD98"/>
    <w:numStyleLink w:val="ImportedStyle129"/>
  </w:abstractNum>
  <w:abstractNum w:abstractNumId="199" w15:restartNumberingAfterBreak="0">
    <w:nsid w:val="543122E3"/>
    <w:multiLevelType w:val="hybridMultilevel"/>
    <w:tmpl w:val="124AE1AE"/>
    <w:styleLink w:val="ImportedStyle36"/>
    <w:lvl w:ilvl="0" w:tplc="5FAE0CBE">
      <w:start w:val="1"/>
      <w:numFmt w:val="arabicAbjad"/>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EA3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4E4D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FCE3F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BC05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7EBC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15C43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221D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9604B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0" w15:restartNumberingAfterBreak="0">
    <w:nsid w:val="54656077"/>
    <w:multiLevelType w:val="hybridMultilevel"/>
    <w:tmpl w:val="0A8861D8"/>
    <w:styleLink w:val="ImportedStyle10"/>
    <w:lvl w:ilvl="0" w:tplc="2C18DEF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A1E08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569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E2350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6FE36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6CEB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EB94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C85D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8FC08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1" w15:restartNumberingAfterBreak="0">
    <w:nsid w:val="5497706A"/>
    <w:multiLevelType w:val="hybridMultilevel"/>
    <w:tmpl w:val="D6A87B30"/>
    <w:styleLink w:val="ImportedStyle60"/>
    <w:lvl w:ilvl="0" w:tplc="53C2CA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1EFD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5680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3AB8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AA89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0AEEB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70BC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88AD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0288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2" w15:restartNumberingAfterBreak="0">
    <w:nsid w:val="54AF7498"/>
    <w:multiLevelType w:val="hybridMultilevel"/>
    <w:tmpl w:val="590A5884"/>
    <w:numStyleLink w:val="ImportedStyle125"/>
  </w:abstractNum>
  <w:abstractNum w:abstractNumId="203" w15:restartNumberingAfterBreak="0">
    <w:nsid w:val="54E63CAF"/>
    <w:multiLevelType w:val="hybridMultilevel"/>
    <w:tmpl w:val="0A8861D8"/>
    <w:numStyleLink w:val="ImportedStyle10"/>
  </w:abstractNum>
  <w:abstractNum w:abstractNumId="204" w15:restartNumberingAfterBreak="0">
    <w:nsid w:val="55893883"/>
    <w:multiLevelType w:val="hybridMultilevel"/>
    <w:tmpl w:val="68CCC874"/>
    <w:styleLink w:val="ImportedStyle93"/>
    <w:lvl w:ilvl="0" w:tplc="96FA9B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FCB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C585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5BEA8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BE2C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1AAA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5E18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7AA0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2859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5" w15:restartNumberingAfterBreak="0">
    <w:nsid w:val="559201C4"/>
    <w:multiLevelType w:val="hybridMultilevel"/>
    <w:tmpl w:val="E1D07BC4"/>
    <w:styleLink w:val="ImportedStyle115"/>
    <w:lvl w:ilvl="0" w:tplc="9D1482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E03D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28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41AE8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50F3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A653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D4254F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A2BE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04EB6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15:restartNumberingAfterBreak="0">
    <w:nsid w:val="55E218C2"/>
    <w:multiLevelType w:val="hybridMultilevel"/>
    <w:tmpl w:val="0E0AE4F8"/>
    <w:styleLink w:val="ImportedStyle42"/>
    <w:lvl w:ilvl="0" w:tplc="B964B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5681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530C1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3883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11E30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3B6B0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EE56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DE0F8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64E7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7" w15:restartNumberingAfterBreak="0">
    <w:nsid w:val="55F903CD"/>
    <w:multiLevelType w:val="hybridMultilevel"/>
    <w:tmpl w:val="111CBF4E"/>
    <w:styleLink w:val="ImportedStyle34"/>
    <w:lvl w:ilvl="0" w:tplc="C36EFD2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E6CA8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768677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F3AE6D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14F8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6AB0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DE8E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80D2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EEFA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56717644"/>
    <w:multiLevelType w:val="hybridMultilevel"/>
    <w:tmpl w:val="5942959A"/>
    <w:numStyleLink w:val="ImportedStyle136"/>
  </w:abstractNum>
  <w:abstractNum w:abstractNumId="209" w15:restartNumberingAfterBreak="0">
    <w:nsid w:val="56EB3998"/>
    <w:multiLevelType w:val="hybridMultilevel"/>
    <w:tmpl w:val="96ACEA14"/>
    <w:numStyleLink w:val="ImportedStyle24"/>
  </w:abstractNum>
  <w:abstractNum w:abstractNumId="210" w15:restartNumberingAfterBreak="0">
    <w:nsid w:val="574B21D3"/>
    <w:multiLevelType w:val="hybridMultilevel"/>
    <w:tmpl w:val="8B2CB5A4"/>
    <w:styleLink w:val="ImportedStyle85"/>
    <w:lvl w:ilvl="0" w:tplc="04F0B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F0BA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AA9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4C4B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AC695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268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7CD5E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81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47B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1" w15:restartNumberingAfterBreak="0">
    <w:nsid w:val="575103B4"/>
    <w:multiLevelType w:val="hybridMultilevel"/>
    <w:tmpl w:val="9B08F6F0"/>
    <w:styleLink w:val="ImportedStyle5"/>
    <w:lvl w:ilvl="0" w:tplc="0EDC5808">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9E6C27F4">
      <w:start w:val="1"/>
      <w:numFmt w:val="bullet"/>
      <w:lvlText w:val="-"/>
      <w:lvlJc w:val="left"/>
      <w:pPr>
        <w:ind w:left="10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0CFEBB54">
      <w:start w:val="1"/>
      <w:numFmt w:val="bullet"/>
      <w:lvlText w:val="-"/>
      <w:lvlJc w:val="left"/>
      <w:pPr>
        <w:ind w:left="18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76265D2">
      <w:start w:val="1"/>
      <w:numFmt w:val="bullet"/>
      <w:lvlText w:val="-"/>
      <w:lvlJc w:val="left"/>
      <w:pPr>
        <w:ind w:left="25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49A69DC">
      <w:start w:val="1"/>
      <w:numFmt w:val="bullet"/>
      <w:lvlText w:val="-"/>
      <w:lvlJc w:val="left"/>
      <w:pPr>
        <w:ind w:left="32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997830A6">
      <w:start w:val="1"/>
      <w:numFmt w:val="bullet"/>
      <w:lvlText w:val="-"/>
      <w:lvlJc w:val="left"/>
      <w:pPr>
        <w:ind w:left="396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420979C">
      <w:start w:val="1"/>
      <w:numFmt w:val="bullet"/>
      <w:lvlText w:val="-"/>
      <w:lvlJc w:val="left"/>
      <w:pPr>
        <w:ind w:left="46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A5647FF8">
      <w:start w:val="1"/>
      <w:numFmt w:val="bullet"/>
      <w:lvlText w:val="-"/>
      <w:lvlJc w:val="left"/>
      <w:pPr>
        <w:ind w:left="54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E3781E44">
      <w:start w:val="1"/>
      <w:numFmt w:val="bullet"/>
      <w:lvlText w:val="-"/>
      <w:lvlJc w:val="left"/>
      <w:pPr>
        <w:ind w:left="61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57B04863"/>
    <w:multiLevelType w:val="hybridMultilevel"/>
    <w:tmpl w:val="AD68DA28"/>
    <w:numStyleLink w:val="ImportedStyle30"/>
  </w:abstractNum>
  <w:abstractNum w:abstractNumId="213" w15:restartNumberingAfterBreak="0">
    <w:nsid w:val="57C744A4"/>
    <w:multiLevelType w:val="hybridMultilevel"/>
    <w:tmpl w:val="081A5074"/>
    <w:numStyleLink w:val="ImportedStyle74"/>
  </w:abstractNum>
  <w:abstractNum w:abstractNumId="214" w15:restartNumberingAfterBreak="0">
    <w:nsid w:val="57F8103E"/>
    <w:multiLevelType w:val="hybridMultilevel"/>
    <w:tmpl w:val="96ACEA14"/>
    <w:styleLink w:val="ImportedStyle24"/>
    <w:lvl w:ilvl="0" w:tplc="942E0C86">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12687D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66E83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0E0AD1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A264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72E4E8E">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34365306">
      <w:start w:val="1"/>
      <w:numFmt w:val="decimal"/>
      <w:lvlText w:val="%7."/>
      <w:lvlJc w:val="left"/>
      <w:pPr>
        <w:ind w:left="69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8B805278">
      <w:start w:val="1"/>
      <w:numFmt w:val="lowerLetter"/>
      <w:lvlText w:val="%8."/>
      <w:lvlJc w:val="left"/>
      <w:pPr>
        <w:ind w:left="141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2372153E">
      <w:start w:val="1"/>
      <w:numFmt w:val="lowerRoman"/>
      <w:lvlText w:val="%9."/>
      <w:lvlJc w:val="left"/>
      <w:pPr>
        <w:ind w:left="2137" w:hanging="287"/>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215" w15:restartNumberingAfterBreak="0">
    <w:nsid w:val="595D0B4E"/>
    <w:multiLevelType w:val="hybridMultilevel"/>
    <w:tmpl w:val="A16E8B4A"/>
    <w:styleLink w:val="ImportedStyle2"/>
    <w:lvl w:ilvl="0" w:tplc="096A78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A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CAA7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08A1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4E47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C2ED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88807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CAF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BE4A3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6" w15:restartNumberingAfterBreak="0">
    <w:nsid w:val="596C4262"/>
    <w:multiLevelType w:val="hybridMultilevel"/>
    <w:tmpl w:val="DCFC2BA6"/>
    <w:styleLink w:val="ImportedStyle122"/>
    <w:lvl w:ilvl="0" w:tplc="F1085D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C4B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54FE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F66A6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ECFE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0AB5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EC2FA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3A5D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C293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7" w15:restartNumberingAfterBreak="0">
    <w:nsid w:val="59711E89"/>
    <w:multiLevelType w:val="hybridMultilevel"/>
    <w:tmpl w:val="4B741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598E5AB5"/>
    <w:multiLevelType w:val="hybridMultilevel"/>
    <w:tmpl w:val="14E87B36"/>
    <w:styleLink w:val="ImportedStyle63"/>
    <w:lvl w:ilvl="0" w:tplc="4E6CDBF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CE15A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FA2D4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264E54">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4EEB88">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8D27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FCE4D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169DD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0622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9" w15:restartNumberingAfterBreak="0">
    <w:nsid w:val="5A872ED4"/>
    <w:multiLevelType w:val="hybridMultilevel"/>
    <w:tmpl w:val="868C50D4"/>
    <w:styleLink w:val="ImportedStyle100"/>
    <w:lvl w:ilvl="0" w:tplc="60145DD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32BD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D36BE2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A12E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282946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4CC0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20B85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BD8F63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94E53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0" w15:restartNumberingAfterBreak="0">
    <w:nsid w:val="5ABA4BAB"/>
    <w:multiLevelType w:val="hybridMultilevel"/>
    <w:tmpl w:val="3692C87A"/>
    <w:styleLink w:val="ImportedStyle101"/>
    <w:lvl w:ilvl="0" w:tplc="9302599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A282B0">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EAA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CE011A">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C5A92">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D6AF9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A166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4CEC3E">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9CB0F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1" w15:restartNumberingAfterBreak="0">
    <w:nsid w:val="5B6B59E9"/>
    <w:multiLevelType w:val="hybridMultilevel"/>
    <w:tmpl w:val="1AB4CBA4"/>
    <w:styleLink w:val="ImportedStyle72"/>
    <w:lvl w:ilvl="0" w:tplc="F87A07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DAA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3A157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66AE7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7456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8AB2B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CAE8A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E6E6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2791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5C27175A"/>
    <w:multiLevelType w:val="hybridMultilevel"/>
    <w:tmpl w:val="16368280"/>
    <w:styleLink w:val="ImportedStyle91"/>
    <w:lvl w:ilvl="0" w:tplc="0DBC630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3F8AC36">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3024C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82CA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772D77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B4BCF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A4734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BCBAE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8FCAAF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3" w15:restartNumberingAfterBreak="0">
    <w:nsid w:val="5C432F0A"/>
    <w:multiLevelType w:val="hybridMultilevel"/>
    <w:tmpl w:val="B6602150"/>
    <w:styleLink w:val="ImportedStyle8"/>
    <w:lvl w:ilvl="0" w:tplc="4B1E0F9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1EB42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67604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64B4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7B82F8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EAF2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663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44EC2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F2A7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4" w15:restartNumberingAfterBreak="0">
    <w:nsid w:val="5CA26CC2"/>
    <w:multiLevelType w:val="hybridMultilevel"/>
    <w:tmpl w:val="1BB09272"/>
    <w:styleLink w:val="ImportedStyle119"/>
    <w:lvl w:ilvl="0" w:tplc="99A03F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0F7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0B05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DA48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A4D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CC141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F6BA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87A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DAE7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5D670511"/>
    <w:multiLevelType w:val="hybridMultilevel"/>
    <w:tmpl w:val="2070E758"/>
    <w:styleLink w:val="ImportedStyle59"/>
    <w:lvl w:ilvl="0" w:tplc="BDCE089A">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F0FA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788A4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CEB47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3C09E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3ADC5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E02DB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986D3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A543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6" w15:restartNumberingAfterBreak="0">
    <w:nsid w:val="5D710138"/>
    <w:multiLevelType w:val="hybridMultilevel"/>
    <w:tmpl w:val="D660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E441272"/>
    <w:multiLevelType w:val="hybridMultilevel"/>
    <w:tmpl w:val="A20065F4"/>
    <w:styleLink w:val="ImportedStyle46"/>
    <w:lvl w:ilvl="0" w:tplc="BDE6B27C">
      <w:start w:val="1"/>
      <w:numFmt w:val="arabicAbjad"/>
      <w:lvlText w:val="%1."/>
      <w:lvlJc w:val="left"/>
      <w:pPr>
        <w:ind w:left="99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689E78">
      <w:start w:val="1"/>
      <w:numFmt w:val="lowerLetter"/>
      <w:lvlText w:val="%2."/>
      <w:lvlJc w:val="left"/>
      <w:pPr>
        <w:ind w:left="17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C7586">
      <w:start w:val="1"/>
      <w:numFmt w:val="lowerRoman"/>
      <w:lvlText w:val="%3."/>
      <w:lvlJc w:val="left"/>
      <w:pPr>
        <w:ind w:left="243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3FCE112">
      <w:start w:val="1"/>
      <w:numFmt w:val="decimal"/>
      <w:lvlText w:val="%4."/>
      <w:lvlJc w:val="left"/>
      <w:pPr>
        <w:ind w:left="31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829C82">
      <w:start w:val="1"/>
      <w:numFmt w:val="lowerLetter"/>
      <w:lvlText w:val="%5."/>
      <w:lvlJc w:val="left"/>
      <w:pPr>
        <w:ind w:left="38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9E7FD0">
      <w:start w:val="1"/>
      <w:numFmt w:val="lowerRoman"/>
      <w:lvlText w:val="%6."/>
      <w:lvlJc w:val="left"/>
      <w:pPr>
        <w:ind w:left="459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ED4F64A">
      <w:start w:val="1"/>
      <w:numFmt w:val="decimal"/>
      <w:lvlText w:val="%7."/>
      <w:lvlJc w:val="left"/>
      <w:pPr>
        <w:ind w:left="53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2259B6">
      <w:start w:val="1"/>
      <w:numFmt w:val="lowerLetter"/>
      <w:lvlText w:val="%8."/>
      <w:lvlJc w:val="left"/>
      <w:pPr>
        <w:ind w:left="60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90B75E">
      <w:start w:val="1"/>
      <w:numFmt w:val="lowerRoman"/>
      <w:lvlText w:val="%9."/>
      <w:lvlJc w:val="left"/>
      <w:pPr>
        <w:ind w:left="675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8" w15:restartNumberingAfterBreak="0">
    <w:nsid w:val="5E7A2A77"/>
    <w:multiLevelType w:val="hybridMultilevel"/>
    <w:tmpl w:val="111CBF4E"/>
    <w:numStyleLink w:val="ImportedStyle34"/>
  </w:abstractNum>
  <w:abstractNum w:abstractNumId="229" w15:restartNumberingAfterBreak="0">
    <w:nsid w:val="61181C92"/>
    <w:multiLevelType w:val="hybridMultilevel"/>
    <w:tmpl w:val="67FA5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15:restartNumberingAfterBreak="0">
    <w:nsid w:val="61D57592"/>
    <w:multiLevelType w:val="hybridMultilevel"/>
    <w:tmpl w:val="8B825DCC"/>
    <w:styleLink w:val="ImportedStyle102"/>
    <w:lvl w:ilvl="0" w:tplc="D45C7B2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EE0F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2EEA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FCD09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849C0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68566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81E4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E04562">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21BC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1" w15:restartNumberingAfterBreak="0">
    <w:nsid w:val="62390129"/>
    <w:multiLevelType w:val="hybridMultilevel"/>
    <w:tmpl w:val="DFC407C6"/>
    <w:numStyleLink w:val="ImportedStyle29"/>
  </w:abstractNum>
  <w:abstractNum w:abstractNumId="232" w15:restartNumberingAfterBreak="0">
    <w:nsid w:val="623F4FC2"/>
    <w:multiLevelType w:val="hybridMultilevel"/>
    <w:tmpl w:val="04128108"/>
    <w:styleLink w:val="ImportedStyle67"/>
    <w:lvl w:ilvl="0" w:tplc="A28C7BB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B22324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3E3E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048E2A">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AF623A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42E9E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84B9A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E6575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558759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3" w15:restartNumberingAfterBreak="0">
    <w:nsid w:val="632600CE"/>
    <w:multiLevelType w:val="hybridMultilevel"/>
    <w:tmpl w:val="406E1D1A"/>
    <w:numStyleLink w:val="ImportedStyle12"/>
  </w:abstractNum>
  <w:abstractNum w:abstractNumId="234" w15:restartNumberingAfterBreak="0">
    <w:nsid w:val="639B019A"/>
    <w:multiLevelType w:val="hybridMultilevel"/>
    <w:tmpl w:val="F9DC0000"/>
    <w:numStyleLink w:val="ImportedStyle26"/>
  </w:abstractNum>
  <w:abstractNum w:abstractNumId="235" w15:restartNumberingAfterBreak="0">
    <w:nsid w:val="63CD70C0"/>
    <w:multiLevelType w:val="hybridMultilevel"/>
    <w:tmpl w:val="A72E30A8"/>
    <w:styleLink w:val="ImportedStyle38"/>
    <w:lvl w:ilvl="0" w:tplc="045CB06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B04FC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8A8611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64CB70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20213F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D812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3A63A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6AF9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36A44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6" w15:restartNumberingAfterBreak="0">
    <w:nsid w:val="647F1791"/>
    <w:multiLevelType w:val="hybridMultilevel"/>
    <w:tmpl w:val="B470CCF4"/>
    <w:numStyleLink w:val="ImportedStyle83"/>
  </w:abstractNum>
  <w:abstractNum w:abstractNumId="237" w15:restartNumberingAfterBreak="0">
    <w:nsid w:val="64A722BC"/>
    <w:multiLevelType w:val="hybridMultilevel"/>
    <w:tmpl w:val="96DC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64D74B24"/>
    <w:multiLevelType w:val="hybridMultilevel"/>
    <w:tmpl w:val="BCAA45E6"/>
    <w:styleLink w:val="ImportedStyle19"/>
    <w:lvl w:ilvl="0" w:tplc="E0EC3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15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6223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D60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72E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E6DD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A805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3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70024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9" w15:restartNumberingAfterBreak="0">
    <w:nsid w:val="65EE1A96"/>
    <w:multiLevelType w:val="hybridMultilevel"/>
    <w:tmpl w:val="406E1D1A"/>
    <w:styleLink w:val="ImportedStyle12"/>
    <w:lvl w:ilvl="0" w:tplc="F1E226A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C56FA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90A5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949D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822E8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A4E0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883E5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2A94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60C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0" w15:restartNumberingAfterBreak="0">
    <w:nsid w:val="66687C69"/>
    <w:multiLevelType w:val="hybridMultilevel"/>
    <w:tmpl w:val="0BAE54B8"/>
    <w:numStyleLink w:val="ImportedStyle127"/>
  </w:abstractNum>
  <w:abstractNum w:abstractNumId="241" w15:restartNumberingAfterBreak="0">
    <w:nsid w:val="66866B3E"/>
    <w:multiLevelType w:val="hybridMultilevel"/>
    <w:tmpl w:val="0B5ACD98"/>
    <w:styleLink w:val="ImportedStyle129"/>
    <w:lvl w:ilvl="0" w:tplc="E39A129C">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A01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DAA3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3CE89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3CB8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6088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8A00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1029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DCFA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2" w15:restartNumberingAfterBreak="0">
    <w:nsid w:val="67056CFD"/>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67090D9C"/>
    <w:multiLevelType w:val="hybridMultilevel"/>
    <w:tmpl w:val="AD5C285A"/>
    <w:styleLink w:val="ImportedStyle32"/>
    <w:lvl w:ilvl="0" w:tplc="56C89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C070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9638E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D0854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226F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ED7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09273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4D0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20E7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4" w15:restartNumberingAfterBreak="0">
    <w:nsid w:val="672258BB"/>
    <w:multiLevelType w:val="hybridMultilevel"/>
    <w:tmpl w:val="5C42DE3C"/>
    <w:numStyleLink w:val="ImportedStyle50"/>
  </w:abstractNum>
  <w:abstractNum w:abstractNumId="245" w15:restartNumberingAfterBreak="0">
    <w:nsid w:val="67487EE9"/>
    <w:multiLevelType w:val="hybridMultilevel"/>
    <w:tmpl w:val="E9F299D2"/>
    <w:numStyleLink w:val="ImportedStyle116"/>
  </w:abstractNum>
  <w:abstractNum w:abstractNumId="246" w15:restartNumberingAfterBreak="0">
    <w:nsid w:val="67C412BF"/>
    <w:multiLevelType w:val="hybridMultilevel"/>
    <w:tmpl w:val="D7545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7" w15:restartNumberingAfterBreak="0">
    <w:nsid w:val="688B65CD"/>
    <w:multiLevelType w:val="hybridMultilevel"/>
    <w:tmpl w:val="A20065F4"/>
    <w:numStyleLink w:val="ImportedStyle46"/>
  </w:abstractNum>
  <w:abstractNum w:abstractNumId="248" w15:restartNumberingAfterBreak="0">
    <w:nsid w:val="68961AAD"/>
    <w:multiLevelType w:val="hybridMultilevel"/>
    <w:tmpl w:val="DAFA38EC"/>
    <w:numStyleLink w:val="ImportedStyle73"/>
  </w:abstractNum>
  <w:abstractNum w:abstractNumId="249" w15:restartNumberingAfterBreak="0">
    <w:nsid w:val="69CF6CF6"/>
    <w:multiLevelType w:val="hybridMultilevel"/>
    <w:tmpl w:val="A19C83F0"/>
    <w:numStyleLink w:val="ImportedStyle61"/>
  </w:abstractNum>
  <w:abstractNum w:abstractNumId="250" w15:restartNumberingAfterBreak="0">
    <w:nsid w:val="6A8C56BC"/>
    <w:multiLevelType w:val="hybridMultilevel"/>
    <w:tmpl w:val="52C84060"/>
    <w:styleLink w:val="ImportedStyle78"/>
    <w:lvl w:ilvl="0" w:tplc="FECA2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800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FCD0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0EAE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E80D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C7F2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7484F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10A5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5A86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1" w15:restartNumberingAfterBreak="0">
    <w:nsid w:val="6B957778"/>
    <w:multiLevelType w:val="hybridMultilevel"/>
    <w:tmpl w:val="C64CC6A8"/>
    <w:numStyleLink w:val="ImportedStyle57"/>
  </w:abstractNum>
  <w:abstractNum w:abstractNumId="252" w15:restartNumberingAfterBreak="0">
    <w:nsid w:val="6BA5698D"/>
    <w:multiLevelType w:val="hybridMultilevel"/>
    <w:tmpl w:val="1F764348"/>
    <w:numStyleLink w:val="ImportedStyle14"/>
  </w:abstractNum>
  <w:abstractNum w:abstractNumId="253" w15:restartNumberingAfterBreak="0">
    <w:nsid w:val="6CF128D9"/>
    <w:multiLevelType w:val="hybridMultilevel"/>
    <w:tmpl w:val="D4705628"/>
    <w:numStyleLink w:val="ImportedStyle130"/>
  </w:abstractNum>
  <w:abstractNum w:abstractNumId="254" w15:restartNumberingAfterBreak="0">
    <w:nsid w:val="6D244454"/>
    <w:multiLevelType w:val="hybridMultilevel"/>
    <w:tmpl w:val="913C413C"/>
    <w:numStyleLink w:val="ImportedStyle126"/>
  </w:abstractNum>
  <w:abstractNum w:abstractNumId="255" w15:restartNumberingAfterBreak="0">
    <w:nsid w:val="6DBA3A53"/>
    <w:multiLevelType w:val="hybridMultilevel"/>
    <w:tmpl w:val="7408E5A0"/>
    <w:styleLink w:val="ImportedStyle44"/>
    <w:lvl w:ilvl="0" w:tplc="BB96D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A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FE60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241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745B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5840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F276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2665E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4244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6" w15:restartNumberingAfterBreak="0">
    <w:nsid w:val="6DEA04EB"/>
    <w:multiLevelType w:val="hybridMultilevel"/>
    <w:tmpl w:val="97EA554E"/>
    <w:styleLink w:val="ImportedStyle131"/>
    <w:lvl w:ilvl="0" w:tplc="FF1C81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EA2F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E4B7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57A45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501C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8C98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BE21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CEBD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5C25E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7" w15:restartNumberingAfterBreak="0">
    <w:nsid w:val="6E213023"/>
    <w:multiLevelType w:val="hybridMultilevel"/>
    <w:tmpl w:val="D6A87B30"/>
    <w:numStyleLink w:val="ImportedStyle60"/>
  </w:abstractNum>
  <w:abstractNum w:abstractNumId="258" w15:restartNumberingAfterBreak="0">
    <w:nsid w:val="6E254522"/>
    <w:multiLevelType w:val="hybridMultilevel"/>
    <w:tmpl w:val="FB221008"/>
    <w:styleLink w:val="ImportedStyle56"/>
    <w:lvl w:ilvl="0" w:tplc="53DC8F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86F4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E0FC8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CA0DD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E5A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E6186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049C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CC4DEC">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6D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9" w15:restartNumberingAfterBreak="0">
    <w:nsid w:val="6E394AD3"/>
    <w:multiLevelType w:val="hybridMultilevel"/>
    <w:tmpl w:val="1BB09272"/>
    <w:numStyleLink w:val="ImportedStyle119"/>
  </w:abstractNum>
  <w:abstractNum w:abstractNumId="260" w15:restartNumberingAfterBreak="0">
    <w:nsid w:val="6E6E313A"/>
    <w:multiLevelType w:val="hybridMultilevel"/>
    <w:tmpl w:val="869A45BE"/>
    <w:styleLink w:val="ImportedStyle141"/>
    <w:lvl w:ilvl="0" w:tplc="1206E92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444EAE">
      <w:start w:val="1"/>
      <w:numFmt w:val="decimal"/>
      <w:lvlText w:val="%2."/>
      <w:lvlJc w:val="left"/>
      <w:pPr>
        <w:ind w:left="1680" w:hanging="600"/>
      </w:pPr>
      <w:rPr>
        <w:rFonts w:hAnsi="Arial Unicode MS"/>
        <w:caps w:val="0"/>
        <w:smallCaps w:val="0"/>
        <w:strike w:val="0"/>
        <w:dstrike w:val="0"/>
        <w:outline w:val="0"/>
        <w:emboss w:val="0"/>
        <w:imprint w:val="0"/>
        <w:spacing w:val="0"/>
        <w:w w:val="100"/>
        <w:kern w:val="0"/>
        <w:position w:val="0"/>
        <w:highlight w:val="none"/>
        <w:vertAlign w:val="baseline"/>
      </w:rPr>
    </w:lvl>
    <w:lvl w:ilvl="2" w:tplc="F094F3BE">
      <w:start w:val="1"/>
      <w:numFmt w:val="decimal"/>
      <w:lvlText w:val="%3."/>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74EAB5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D652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1234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7440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264F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DDF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1" w15:restartNumberingAfterBreak="0">
    <w:nsid w:val="6FDE572B"/>
    <w:multiLevelType w:val="hybridMultilevel"/>
    <w:tmpl w:val="0E0AE4F8"/>
    <w:numStyleLink w:val="ImportedStyle42"/>
  </w:abstractNum>
  <w:abstractNum w:abstractNumId="262" w15:restartNumberingAfterBreak="0">
    <w:nsid w:val="700B1A8A"/>
    <w:multiLevelType w:val="hybridMultilevel"/>
    <w:tmpl w:val="488EC068"/>
    <w:numStyleLink w:val="ImportedStyle133"/>
  </w:abstractNum>
  <w:abstractNum w:abstractNumId="263" w15:restartNumberingAfterBreak="0">
    <w:nsid w:val="70676E65"/>
    <w:multiLevelType w:val="hybridMultilevel"/>
    <w:tmpl w:val="D4DEE7F4"/>
    <w:styleLink w:val="ImportedStyle90"/>
    <w:lvl w:ilvl="0" w:tplc="2B6A0DC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048FC3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D9E6C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F0C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A6328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8D8B74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C76C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1D251FE">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034C4A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4" w15:restartNumberingAfterBreak="0">
    <w:nsid w:val="70E26526"/>
    <w:multiLevelType w:val="hybridMultilevel"/>
    <w:tmpl w:val="66D213F8"/>
    <w:styleLink w:val="ImportedStyle121"/>
    <w:lvl w:ilvl="0" w:tplc="5A246C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009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60564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0095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543C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3A940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6B211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DCC7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62ED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5" w15:restartNumberingAfterBreak="0">
    <w:nsid w:val="718F3BCC"/>
    <w:multiLevelType w:val="hybridMultilevel"/>
    <w:tmpl w:val="824863A6"/>
    <w:numStyleLink w:val="ImportedStyle47"/>
  </w:abstractNum>
  <w:abstractNum w:abstractNumId="266" w15:restartNumberingAfterBreak="0">
    <w:nsid w:val="72DE70E1"/>
    <w:multiLevelType w:val="hybridMultilevel"/>
    <w:tmpl w:val="CB762CA6"/>
    <w:numStyleLink w:val="ImportedStyle132"/>
  </w:abstractNum>
  <w:abstractNum w:abstractNumId="267" w15:restartNumberingAfterBreak="0">
    <w:nsid w:val="73B6620C"/>
    <w:multiLevelType w:val="hybridMultilevel"/>
    <w:tmpl w:val="97EA554E"/>
    <w:numStyleLink w:val="ImportedStyle131"/>
  </w:abstractNum>
  <w:abstractNum w:abstractNumId="268" w15:restartNumberingAfterBreak="0">
    <w:nsid w:val="73B94573"/>
    <w:multiLevelType w:val="hybridMultilevel"/>
    <w:tmpl w:val="A4EEAFAA"/>
    <w:numStyleLink w:val="ImportedStyle16"/>
  </w:abstractNum>
  <w:abstractNum w:abstractNumId="269" w15:restartNumberingAfterBreak="0">
    <w:nsid w:val="73CB0576"/>
    <w:multiLevelType w:val="hybridMultilevel"/>
    <w:tmpl w:val="4E2A2E3E"/>
    <w:styleLink w:val="ImportedStyle70"/>
    <w:lvl w:ilvl="0" w:tplc="7C5A01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20C0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140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0087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C0A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B273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78882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F654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3081B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0" w15:restartNumberingAfterBreak="0">
    <w:nsid w:val="73E57B10"/>
    <w:multiLevelType w:val="hybridMultilevel"/>
    <w:tmpl w:val="16368280"/>
    <w:numStyleLink w:val="ImportedStyle91"/>
  </w:abstractNum>
  <w:abstractNum w:abstractNumId="271" w15:restartNumberingAfterBreak="0">
    <w:nsid w:val="756279A0"/>
    <w:multiLevelType w:val="hybridMultilevel"/>
    <w:tmpl w:val="3692C87A"/>
    <w:numStyleLink w:val="ImportedStyle101"/>
  </w:abstractNum>
  <w:abstractNum w:abstractNumId="272" w15:restartNumberingAfterBreak="0">
    <w:nsid w:val="75FD4B43"/>
    <w:multiLevelType w:val="hybridMultilevel"/>
    <w:tmpl w:val="819A95FC"/>
    <w:numStyleLink w:val="ImportedStyle15"/>
  </w:abstractNum>
  <w:abstractNum w:abstractNumId="273" w15:restartNumberingAfterBreak="0">
    <w:nsid w:val="7647503D"/>
    <w:multiLevelType w:val="hybridMultilevel"/>
    <w:tmpl w:val="16227C5C"/>
    <w:styleLink w:val="ImportedStyle80"/>
    <w:lvl w:ilvl="0" w:tplc="4D6A477C">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D6ECA6">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B410F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2D496">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64B68">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9836E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2A924">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CA581E">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AEA74A">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4" w15:restartNumberingAfterBreak="0">
    <w:nsid w:val="76EC11E8"/>
    <w:multiLevelType w:val="hybridMultilevel"/>
    <w:tmpl w:val="FA0C41A2"/>
    <w:numStyleLink w:val="ImportedStyle106"/>
  </w:abstractNum>
  <w:abstractNum w:abstractNumId="275" w15:restartNumberingAfterBreak="0">
    <w:nsid w:val="77D212E0"/>
    <w:multiLevelType w:val="hybridMultilevel"/>
    <w:tmpl w:val="0096CAF2"/>
    <w:numStyleLink w:val="ImportedStyle76"/>
  </w:abstractNum>
  <w:abstractNum w:abstractNumId="276" w15:restartNumberingAfterBreak="0">
    <w:nsid w:val="77E44594"/>
    <w:multiLevelType w:val="hybridMultilevel"/>
    <w:tmpl w:val="68CCC874"/>
    <w:numStyleLink w:val="ImportedStyle93"/>
  </w:abstractNum>
  <w:abstractNum w:abstractNumId="277" w15:restartNumberingAfterBreak="0">
    <w:nsid w:val="786D448A"/>
    <w:multiLevelType w:val="hybridMultilevel"/>
    <w:tmpl w:val="3FB69FE2"/>
    <w:styleLink w:val="ImportedStyle25"/>
    <w:lvl w:ilvl="0" w:tplc="484285B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426B90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E1A99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8890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76599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35ED6D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E0320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5B6C12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068AFD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8" w15:restartNumberingAfterBreak="0">
    <w:nsid w:val="787338C0"/>
    <w:multiLevelType w:val="hybridMultilevel"/>
    <w:tmpl w:val="EA963F22"/>
    <w:numStyleLink w:val="ImportedStyle137"/>
  </w:abstractNum>
  <w:abstractNum w:abstractNumId="279" w15:restartNumberingAfterBreak="0">
    <w:nsid w:val="78745C8A"/>
    <w:multiLevelType w:val="hybridMultilevel"/>
    <w:tmpl w:val="FC888D22"/>
    <w:numStyleLink w:val="ImportedStyle27"/>
  </w:abstractNum>
  <w:abstractNum w:abstractNumId="280" w15:restartNumberingAfterBreak="0">
    <w:nsid w:val="79A61698"/>
    <w:multiLevelType w:val="hybridMultilevel"/>
    <w:tmpl w:val="E9F299D2"/>
    <w:styleLink w:val="ImportedStyle116"/>
    <w:lvl w:ilvl="0" w:tplc="95DCBF3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863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873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6EC1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A2C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601A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CAA7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5583E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783A9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1" w15:restartNumberingAfterBreak="0">
    <w:nsid w:val="7AD63B97"/>
    <w:multiLevelType w:val="hybridMultilevel"/>
    <w:tmpl w:val="AE0EEDA4"/>
    <w:styleLink w:val="ImportedStyle21"/>
    <w:lvl w:ilvl="0" w:tplc="4DC603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6E52E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2" w:tplc="7B7A9DF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C054F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4" w:tplc="1BEC88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5" w:tplc="A63CBBD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6" w:tplc="F946AF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7" w:tplc="6DE096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8" w:tplc="34FC2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abstractNum>
  <w:abstractNum w:abstractNumId="282" w15:restartNumberingAfterBreak="0">
    <w:nsid w:val="7B096B00"/>
    <w:multiLevelType w:val="hybridMultilevel"/>
    <w:tmpl w:val="369AF984"/>
    <w:styleLink w:val="ImportedStyle64"/>
    <w:lvl w:ilvl="0" w:tplc="FCFACD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9845B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E2606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689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92B5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7709E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AA14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C6F0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36B3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3" w15:restartNumberingAfterBreak="0">
    <w:nsid w:val="7B0F3F43"/>
    <w:multiLevelType w:val="hybridMultilevel"/>
    <w:tmpl w:val="E4342992"/>
    <w:numStyleLink w:val="ImportedStyle33"/>
  </w:abstractNum>
  <w:abstractNum w:abstractNumId="284" w15:restartNumberingAfterBreak="0">
    <w:nsid w:val="7B774E9D"/>
    <w:multiLevelType w:val="hybridMultilevel"/>
    <w:tmpl w:val="9B08F6F0"/>
    <w:numStyleLink w:val="ImportedStyle5"/>
  </w:abstractNum>
  <w:abstractNum w:abstractNumId="285" w15:restartNumberingAfterBreak="0">
    <w:nsid w:val="7BBA6D98"/>
    <w:multiLevelType w:val="hybridMultilevel"/>
    <w:tmpl w:val="C79A0480"/>
    <w:numStyleLink w:val="ImportedStyle18"/>
  </w:abstractNum>
  <w:abstractNum w:abstractNumId="286" w15:restartNumberingAfterBreak="0">
    <w:nsid w:val="7BC47146"/>
    <w:multiLevelType w:val="hybridMultilevel"/>
    <w:tmpl w:val="0352AC5C"/>
    <w:numStyleLink w:val="ImportedStyle23"/>
  </w:abstractNum>
  <w:abstractNum w:abstractNumId="287" w15:restartNumberingAfterBreak="0">
    <w:nsid w:val="7C8F5877"/>
    <w:multiLevelType w:val="hybridMultilevel"/>
    <w:tmpl w:val="3946B2BA"/>
    <w:styleLink w:val="ImportedStyle139"/>
    <w:lvl w:ilvl="0" w:tplc="06E843D6">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66B6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384C7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CC6C7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4D2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7C05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700B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18FD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F6F9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8" w15:restartNumberingAfterBreak="0">
    <w:nsid w:val="7C952D50"/>
    <w:multiLevelType w:val="hybridMultilevel"/>
    <w:tmpl w:val="24C864AA"/>
    <w:styleLink w:val="ImportedStyle84"/>
    <w:lvl w:ilvl="0" w:tplc="6B1CAE7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0CAD9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B86D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C228B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76FE8E">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027B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8435D2">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147658">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524F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9" w15:restartNumberingAfterBreak="0">
    <w:nsid w:val="7D254C57"/>
    <w:multiLevelType w:val="hybridMultilevel"/>
    <w:tmpl w:val="B470CCF4"/>
    <w:styleLink w:val="ImportedStyle83"/>
    <w:lvl w:ilvl="0" w:tplc="5A82C2B4">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10601C">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5E8060">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8A616C">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B83236">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E625DE">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AA589E">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D0DC6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440146">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0" w15:restartNumberingAfterBreak="0">
    <w:nsid w:val="7D92115B"/>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1" w15:restartNumberingAfterBreak="0">
    <w:nsid w:val="7DE624ED"/>
    <w:multiLevelType w:val="hybridMultilevel"/>
    <w:tmpl w:val="9D9634E6"/>
    <w:numStyleLink w:val="ImportedStyle87"/>
  </w:abstractNum>
  <w:abstractNum w:abstractNumId="292" w15:restartNumberingAfterBreak="0">
    <w:nsid w:val="7FB75BE5"/>
    <w:multiLevelType w:val="hybridMultilevel"/>
    <w:tmpl w:val="A3F80D6A"/>
    <w:numStyleLink w:val="ImportedStyle77"/>
  </w:abstractNum>
  <w:num w:numId="1" w16cid:durableId="1999457617">
    <w:abstractNumId w:val="163"/>
  </w:num>
  <w:num w:numId="2" w16cid:durableId="2104953653">
    <w:abstractNumId w:val="104"/>
  </w:num>
  <w:num w:numId="3" w16cid:durableId="961233539">
    <w:abstractNumId w:val="104"/>
    <w:lvlOverride w:ilvl="0">
      <w:lvl w:ilvl="0" w:tplc="C980D1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FF2CE38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2430AC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45DC7F0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F84646C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8C6468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5234187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11E24C7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A0F687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 w16cid:durableId="1173299405">
    <w:abstractNumId w:val="215"/>
  </w:num>
  <w:num w:numId="5" w16cid:durableId="2091341100">
    <w:abstractNumId w:val="30"/>
  </w:num>
  <w:num w:numId="6" w16cid:durableId="74792116">
    <w:abstractNumId w:val="166"/>
  </w:num>
  <w:num w:numId="7" w16cid:durableId="1821461170">
    <w:abstractNumId w:val="122"/>
  </w:num>
  <w:num w:numId="8" w16cid:durableId="474638752">
    <w:abstractNumId w:val="122"/>
    <w:lvlOverride w:ilvl="0">
      <w:lvl w:ilvl="0" w:tplc="572A701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1EF03CF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CE5058E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A24EE2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20CC2E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84C49E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9C2561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724063B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DF89EE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429622991">
    <w:abstractNumId w:val="24"/>
  </w:num>
  <w:num w:numId="10" w16cid:durableId="677543567">
    <w:abstractNumId w:val="19"/>
  </w:num>
  <w:num w:numId="11" w16cid:durableId="515072632">
    <w:abstractNumId w:val="211"/>
  </w:num>
  <w:num w:numId="12" w16cid:durableId="796993352">
    <w:abstractNumId w:val="284"/>
  </w:num>
  <w:num w:numId="13" w16cid:durableId="1173300758">
    <w:abstractNumId w:val="157"/>
  </w:num>
  <w:num w:numId="14" w16cid:durableId="1998410461">
    <w:abstractNumId w:val="107"/>
  </w:num>
  <w:num w:numId="15" w16cid:durableId="1206064445">
    <w:abstractNumId w:val="89"/>
  </w:num>
  <w:num w:numId="16" w16cid:durableId="1362822012">
    <w:abstractNumId w:val="128"/>
  </w:num>
  <w:num w:numId="17" w16cid:durableId="1630895799">
    <w:abstractNumId w:val="223"/>
  </w:num>
  <w:num w:numId="18" w16cid:durableId="309948160">
    <w:abstractNumId w:val="59"/>
  </w:num>
  <w:num w:numId="19" w16cid:durableId="1245266936">
    <w:abstractNumId w:val="180"/>
  </w:num>
  <w:num w:numId="20" w16cid:durableId="445077616">
    <w:abstractNumId w:val="5"/>
  </w:num>
  <w:num w:numId="21" w16cid:durableId="852380609">
    <w:abstractNumId w:val="200"/>
  </w:num>
  <w:num w:numId="22" w16cid:durableId="1446928921">
    <w:abstractNumId w:val="203"/>
  </w:num>
  <w:num w:numId="23" w16cid:durableId="1948997262">
    <w:abstractNumId w:val="160"/>
  </w:num>
  <w:num w:numId="24" w16cid:durableId="1046566735">
    <w:abstractNumId w:val="2"/>
  </w:num>
  <w:num w:numId="25" w16cid:durableId="1275091558">
    <w:abstractNumId w:val="239"/>
  </w:num>
  <w:num w:numId="26" w16cid:durableId="854810986">
    <w:abstractNumId w:val="233"/>
  </w:num>
  <w:num w:numId="27" w16cid:durableId="551187906">
    <w:abstractNumId w:val="64"/>
  </w:num>
  <w:num w:numId="28" w16cid:durableId="1847204734">
    <w:abstractNumId w:val="15"/>
  </w:num>
  <w:num w:numId="29" w16cid:durableId="96756454">
    <w:abstractNumId w:val="44"/>
  </w:num>
  <w:num w:numId="30" w16cid:durableId="935135418">
    <w:abstractNumId w:val="252"/>
  </w:num>
  <w:num w:numId="31" w16cid:durableId="1339774489">
    <w:abstractNumId w:val="149"/>
  </w:num>
  <w:num w:numId="32" w16cid:durableId="1179659315">
    <w:abstractNumId w:val="272"/>
  </w:num>
  <w:num w:numId="33" w16cid:durableId="1019812458">
    <w:abstractNumId w:val="142"/>
  </w:num>
  <w:num w:numId="34" w16cid:durableId="945579674">
    <w:abstractNumId w:val="268"/>
  </w:num>
  <w:num w:numId="35" w16cid:durableId="1095051629">
    <w:abstractNumId w:val="272"/>
    <w:lvlOverride w:ilvl="0">
      <w:lvl w:ilvl="0" w:tplc="51325F94">
        <w:start w:val="1"/>
        <w:numFmt w:val="bullet"/>
        <w:lvlText w:val="-"/>
        <w:lvlJc w:val="left"/>
        <w:pPr>
          <w:ind w:left="70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5C0E05E">
        <w:start w:val="1"/>
        <w:numFmt w:val="bullet"/>
        <w:lvlText w:val="o"/>
        <w:lvlJc w:val="left"/>
        <w:pPr>
          <w:ind w:left="14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114839C">
        <w:start w:val="1"/>
        <w:numFmt w:val="bullet"/>
        <w:lvlText w:val="▪"/>
        <w:lvlJc w:val="left"/>
        <w:pPr>
          <w:ind w:left="214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B34EA5C">
        <w:start w:val="1"/>
        <w:numFmt w:val="bullet"/>
        <w:lvlText w:val="•"/>
        <w:lvlJc w:val="left"/>
        <w:pPr>
          <w:ind w:left="286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B223464">
        <w:start w:val="1"/>
        <w:numFmt w:val="bullet"/>
        <w:lvlText w:val="o"/>
        <w:lvlJc w:val="left"/>
        <w:pPr>
          <w:ind w:left="358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C26BB1C">
        <w:start w:val="1"/>
        <w:numFmt w:val="bullet"/>
        <w:lvlText w:val="▪"/>
        <w:lvlJc w:val="left"/>
        <w:pPr>
          <w:ind w:left="430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49E65B2">
        <w:start w:val="1"/>
        <w:numFmt w:val="bullet"/>
        <w:lvlText w:val="•"/>
        <w:lvlJc w:val="left"/>
        <w:pPr>
          <w:ind w:left="50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F9C2AC2">
        <w:start w:val="1"/>
        <w:numFmt w:val="bullet"/>
        <w:lvlText w:val="o"/>
        <w:lvlJc w:val="left"/>
        <w:pPr>
          <w:ind w:left="574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212926E">
        <w:start w:val="1"/>
        <w:numFmt w:val="bullet"/>
        <w:lvlText w:val="▪"/>
        <w:lvlJc w:val="left"/>
        <w:pPr>
          <w:ind w:left="646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1252661016">
    <w:abstractNumId w:val="34"/>
  </w:num>
  <w:num w:numId="37" w16cid:durableId="938874030">
    <w:abstractNumId w:val="37"/>
  </w:num>
  <w:num w:numId="38" w16cid:durableId="565452994">
    <w:abstractNumId w:val="88"/>
  </w:num>
  <w:num w:numId="39" w16cid:durableId="1596940943">
    <w:abstractNumId w:val="285"/>
  </w:num>
  <w:num w:numId="40" w16cid:durableId="1554656936">
    <w:abstractNumId w:val="285"/>
    <w:lvlOverride w:ilvl="0">
      <w:lvl w:ilvl="0" w:tplc="84644FB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07C891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6A4E0B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956258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B68469A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9D832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659EEFA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01C68B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CAE23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1731229853">
    <w:abstractNumId w:val="238"/>
  </w:num>
  <w:num w:numId="42" w16cid:durableId="601769153">
    <w:abstractNumId w:val="129"/>
  </w:num>
  <w:num w:numId="43" w16cid:durableId="1189490097">
    <w:abstractNumId w:val="171"/>
  </w:num>
  <w:num w:numId="44" w16cid:durableId="1091396176">
    <w:abstractNumId w:val="178"/>
  </w:num>
  <w:num w:numId="45" w16cid:durableId="1866752691">
    <w:abstractNumId w:val="281"/>
  </w:num>
  <w:num w:numId="46" w16cid:durableId="1752198575">
    <w:abstractNumId w:val="85"/>
  </w:num>
  <w:num w:numId="47" w16cid:durableId="941575619">
    <w:abstractNumId w:val="37"/>
    <w:lvlOverride w:ilvl="0">
      <w:lvl w:ilvl="0" w:tplc="7B4204D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D226862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0FC07D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9F52A18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2C2AADD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405EB9C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C914AB7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AB705EB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7C58BA7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8" w16cid:durableId="1097023854">
    <w:abstractNumId w:val="118"/>
  </w:num>
  <w:num w:numId="49" w16cid:durableId="688530168">
    <w:abstractNumId w:val="189"/>
  </w:num>
  <w:num w:numId="50" w16cid:durableId="1769302588">
    <w:abstractNumId w:val="85"/>
    <w:lvlOverride w:ilvl="0">
      <w:startOverride w:val="2"/>
    </w:lvlOverride>
  </w:num>
  <w:num w:numId="51" w16cid:durableId="1810587898">
    <w:abstractNumId w:val="100"/>
  </w:num>
  <w:num w:numId="52" w16cid:durableId="355546844">
    <w:abstractNumId w:val="286"/>
  </w:num>
  <w:num w:numId="53" w16cid:durableId="771323384">
    <w:abstractNumId w:val="214"/>
  </w:num>
  <w:num w:numId="54" w16cid:durableId="74479693">
    <w:abstractNumId w:val="209"/>
  </w:num>
  <w:num w:numId="55" w16cid:durableId="546530514">
    <w:abstractNumId w:val="209"/>
    <w:lvlOverride w:ilvl="0">
      <w:lvl w:ilvl="0" w:tplc="B2808CEC">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B62A8EA">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BC7A2830">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C948370">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F44A83A4">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A796CF54">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2CE4EC0">
        <w:start w:val="1"/>
        <w:numFmt w:val="decimal"/>
        <w:lvlText w:val="%7."/>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E0C65B0">
        <w:start w:val="1"/>
        <w:numFmt w:val="lowerLetter"/>
        <w:lvlText w:val="%8."/>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05CE2C0">
        <w:start w:val="1"/>
        <w:numFmt w:val="lowerRoman"/>
        <w:lvlText w:val="%9."/>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16cid:durableId="305594569">
    <w:abstractNumId w:val="277"/>
  </w:num>
  <w:num w:numId="57" w16cid:durableId="827089663">
    <w:abstractNumId w:val="21"/>
  </w:num>
  <w:num w:numId="58" w16cid:durableId="772090996">
    <w:abstractNumId w:val="167"/>
  </w:num>
  <w:num w:numId="59" w16cid:durableId="613173884">
    <w:abstractNumId w:val="234"/>
  </w:num>
  <w:num w:numId="60" w16cid:durableId="233010484">
    <w:abstractNumId w:val="101"/>
  </w:num>
  <w:num w:numId="61" w16cid:durableId="1954241710">
    <w:abstractNumId w:val="279"/>
  </w:num>
  <w:num w:numId="62" w16cid:durableId="1543400460">
    <w:abstractNumId w:val="173"/>
  </w:num>
  <w:num w:numId="63" w16cid:durableId="667903546">
    <w:abstractNumId w:val="184"/>
  </w:num>
  <w:num w:numId="64" w16cid:durableId="1754356433">
    <w:abstractNumId w:val="93"/>
  </w:num>
  <w:num w:numId="65" w16cid:durableId="32199592">
    <w:abstractNumId w:val="231"/>
  </w:num>
  <w:num w:numId="66" w16cid:durableId="2117866888">
    <w:abstractNumId w:val="134"/>
  </w:num>
  <w:num w:numId="67" w16cid:durableId="462119753">
    <w:abstractNumId w:val="212"/>
  </w:num>
  <w:num w:numId="68" w16cid:durableId="542444557">
    <w:abstractNumId w:val="26"/>
  </w:num>
  <w:num w:numId="69" w16cid:durableId="1337415015">
    <w:abstractNumId w:val="127"/>
  </w:num>
  <w:num w:numId="70" w16cid:durableId="691148044">
    <w:abstractNumId w:val="243"/>
  </w:num>
  <w:num w:numId="71" w16cid:durableId="1230504947">
    <w:abstractNumId w:val="105"/>
  </w:num>
  <w:num w:numId="72" w16cid:durableId="1233806716">
    <w:abstractNumId w:val="183"/>
  </w:num>
  <w:num w:numId="73" w16cid:durableId="350491643">
    <w:abstractNumId w:val="283"/>
  </w:num>
  <w:num w:numId="74" w16cid:durableId="1504540640">
    <w:abstractNumId w:val="283"/>
    <w:lvlOverride w:ilvl="0">
      <w:lvl w:ilvl="0" w:tplc="338850C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B76DE2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408E76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9C6BA3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89227D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6E6ECB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F129DB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75C3628">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F5E8860">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5" w16cid:durableId="1391030689">
    <w:abstractNumId w:val="207"/>
  </w:num>
  <w:num w:numId="76" w16cid:durableId="1673799667">
    <w:abstractNumId w:val="228"/>
  </w:num>
  <w:num w:numId="77" w16cid:durableId="1105736618">
    <w:abstractNumId w:val="94"/>
  </w:num>
  <w:num w:numId="78" w16cid:durableId="1663586649">
    <w:abstractNumId w:val="159"/>
  </w:num>
  <w:num w:numId="79" w16cid:durableId="229117398">
    <w:abstractNumId w:val="199"/>
  </w:num>
  <w:num w:numId="80" w16cid:durableId="921569770">
    <w:abstractNumId w:val="113"/>
  </w:num>
  <w:num w:numId="81" w16cid:durableId="1545436911">
    <w:abstractNumId w:val="159"/>
    <w:lvlOverride w:ilvl="0">
      <w:startOverride w:val="2"/>
    </w:lvlOverride>
  </w:num>
  <w:num w:numId="82" w16cid:durableId="760948722">
    <w:abstractNumId w:val="159"/>
    <w:lvlOverride w:ilvl="0">
      <w:lvl w:ilvl="0" w:tplc="4F88736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E5AEA5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934A72A">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7EE821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BF4A136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9F120F7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C0EA64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4B6370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DE16A2DA">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3" w16cid:durableId="1547720851">
    <w:abstractNumId w:val="127"/>
    <w:lvlOverride w:ilvl="0">
      <w:lvl w:ilvl="0" w:tplc="A02C1ED0">
        <w:start w:val="1"/>
        <w:numFmt w:val="bullet"/>
        <w:lvlText w:val="-"/>
        <w:lvlJc w:val="left"/>
        <w:pPr>
          <w:ind w:left="7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7BE6A214">
        <w:start w:val="1"/>
        <w:numFmt w:val="bullet"/>
        <w:lvlText w:val="o"/>
        <w:lvlJc w:val="left"/>
        <w:pPr>
          <w:ind w:left="14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693C8A84">
        <w:start w:val="1"/>
        <w:numFmt w:val="bullet"/>
        <w:lvlText w:val="▪"/>
        <w:lvlJc w:val="left"/>
        <w:pPr>
          <w:ind w:left="21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7FC29E7E">
        <w:start w:val="1"/>
        <w:numFmt w:val="bullet"/>
        <w:lvlText w:val="•"/>
        <w:lvlJc w:val="left"/>
        <w:pPr>
          <w:ind w:left="29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AFBAF000">
        <w:start w:val="1"/>
        <w:numFmt w:val="bullet"/>
        <w:lvlText w:val="o"/>
        <w:lvlJc w:val="left"/>
        <w:pPr>
          <w:ind w:left="362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F0BAC4CC">
        <w:start w:val="1"/>
        <w:numFmt w:val="bullet"/>
        <w:lvlText w:val="▪"/>
        <w:lvlJc w:val="left"/>
        <w:pPr>
          <w:ind w:left="43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3AF2C9DA">
        <w:start w:val="1"/>
        <w:numFmt w:val="bullet"/>
        <w:lvlText w:val="•"/>
        <w:lvlJc w:val="left"/>
        <w:pPr>
          <w:ind w:left="50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316EBC06">
        <w:start w:val="1"/>
        <w:numFmt w:val="bullet"/>
        <w:lvlText w:val="o"/>
        <w:lvlJc w:val="left"/>
        <w:pPr>
          <w:ind w:left="57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E298A102">
        <w:start w:val="1"/>
        <w:numFmt w:val="bullet"/>
        <w:lvlText w:val="▪"/>
        <w:lvlJc w:val="left"/>
        <w:pPr>
          <w:ind w:left="65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84" w16cid:durableId="1566573231">
    <w:abstractNumId w:val="52"/>
  </w:num>
  <w:num w:numId="85" w16cid:durableId="870922606">
    <w:abstractNumId w:val="29"/>
  </w:num>
  <w:num w:numId="86" w16cid:durableId="1206630">
    <w:abstractNumId w:val="235"/>
  </w:num>
  <w:num w:numId="87" w16cid:durableId="1313753690">
    <w:abstractNumId w:val="145"/>
  </w:num>
  <w:num w:numId="88" w16cid:durableId="1105153092">
    <w:abstractNumId w:val="43"/>
  </w:num>
  <w:num w:numId="89" w16cid:durableId="1830318384">
    <w:abstractNumId w:val="50"/>
  </w:num>
  <w:num w:numId="90" w16cid:durableId="326708909">
    <w:abstractNumId w:val="145"/>
    <w:lvlOverride w:ilvl="0">
      <w:startOverride w:val="3"/>
    </w:lvlOverride>
  </w:num>
  <w:num w:numId="91" w16cid:durableId="1200358225">
    <w:abstractNumId w:val="55"/>
  </w:num>
  <w:num w:numId="92" w16cid:durableId="846362526">
    <w:abstractNumId w:val="78"/>
  </w:num>
  <w:num w:numId="93" w16cid:durableId="1839731762">
    <w:abstractNumId w:val="50"/>
    <w:lvlOverride w:ilvl="0">
      <w:lvl w:ilvl="0" w:tplc="D400950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F6C5E5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168D46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BFA82A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466D60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1D8DDB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764C35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140B1C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CA65B0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4" w16cid:durableId="1009254642">
    <w:abstractNumId w:val="78"/>
    <w:lvlOverride w:ilvl="0">
      <w:startOverride w:val="3"/>
    </w:lvlOverride>
  </w:num>
  <w:num w:numId="95" w16cid:durableId="432167601">
    <w:abstractNumId w:val="156"/>
  </w:num>
  <w:num w:numId="96" w16cid:durableId="1018508086">
    <w:abstractNumId w:val="62"/>
  </w:num>
  <w:num w:numId="97" w16cid:durableId="1587315">
    <w:abstractNumId w:val="206"/>
  </w:num>
  <w:num w:numId="98" w16cid:durableId="451481206">
    <w:abstractNumId w:val="261"/>
  </w:num>
  <w:num w:numId="99" w16cid:durableId="1838422158">
    <w:abstractNumId w:val="144"/>
  </w:num>
  <w:num w:numId="100" w16cid:durableId="847214652">
    <w:abstractNumId w:val="48"/>
  </w:num>
  <w:num w:numId="101" w16cid:durableId="1136026711">
    <w:abstractNumId w:val="255"/>
  </w:num>
  <w:num w:numId="102" w16cid:durableId="987781038">
    <w:abstractNumId w:val="61"/>
  </w:num>
  <w:num w:numId="103" w16cid:durableId="302195805">
    <w:abstractNumId w:val="48"/>
    <w:lvlOverride w:ilvl="0">
      <w:startOverride w:val="2"/>
    </w:lvlOverride>
  </w:num>
  <w:num w:numId="104" w16cid:durableId="203830502">
    <w:abstractNumId w:val="162"/>
  </w:num>
  <w:num w:numId="105" w16cid:durableId="726420966">
    <w:abstractNumId w:val="75"/>
  </w:num>
  <w:num w:numId="106" w16cid:durableId="1478186929">
    <w:abstractNumId w:val="227"/>
  </w:num>
  <w:num w:numId="107" w16cid:durableId="2050376995">
    <w:abstractNumId w:val="247"/>
  </w:num>
  <w:num w:numId="108" w16cid:durableId="1352728735">
    <w:abstractNumId w:val="115"/>
  </w:num>
  <w:num w:numId="109" w16cid:durableId="10038564">
    <w:abstractNumId w:val="265"/>
  </w:num>
  <w:num w:numId="110" w16cid:durableId="849182711">
    <w:abstractNumId w:val="75"/>
    <w:lvlOverride w:ilvl="0">
      <w:startOverride w:val="2"/>
    </w:lvlOverride>
  </w:num>
  <w:num w:numId="111" w16cid:durableId="862061592">
    <w:abstractNumId w:val="48"/>
    <w:lvlOverride w:ilvl="0">
      <w:startOverride w:val="4"/>
    </w:lvlOverride>
  </w:num>
  <w:num w:numId="112" w16cid:durableId="1288395713">
    <w:abstractNumId w:val="155"/>
  </w:num>
  <w:num w:numId="113" w16cid:durableId="761997533">
    <w:abstractNumId w:val="0"/>
  </w:num>
  <w:num w:numId="114" w16cid:durableId="176192311">
    <w:abstractNumId w:val="48"/>
    <w:lvlOverride w:ilvl="0">
      <w:startOverride w:val="5"/>
    </w:lvlOverride>
  </w:num>
  <w:num w:numId="115" w16cid:durableId="1391076576">
    <w:abstractNumId w:val="150"/>
  </w:num>
  <w:num w:numId="116" w16cid:durableId="1802577551">
    <w:abstractNumId w:val="49"/>
  </w:num>
  <w:num w:numId="117" w16cid:durableId="833691347">
    <w:abstractNumId w:val="165"/>
  </w:num>
  <w:num w:numId="118" w16cid:durableId="153111219">
    <w:abstractNumId w:val="244"/>
  </w:num>
  <w:num w:numId="119" w16cid:durableId="1827626707">
    <w:abstractNumId w:val="117"/>
  </w:num>
  <w:num w:numId="120" w16cid:durableId="804663156">
    <w:abstractNumId w:val="147"/>
  </w:num>
  <w:num w:numId="121" w16cid:durableId="1405490413">
    <w:abstractNumId w:val="108"/>
  </w:num>
  <w:num w:numId="122" w16cid:durableId="1593320506">
    <w:abstractNumId w:val="175"/>
  </w:num>
  <w:num w:numId="123" w16cid:durableId="196041764">
    <w:abstractNumId w:val="174"/>
  </w:num>
  <w:num w:numId="124" w16cid:durableId="624043749">
    <w:abstractNumId w:val="51"/>
  </w:num>
  <w:num w:numId="125" w16cid:durableId="662709850">
    <w:abstractNumId w:val="76"/>
  </w:num>
  <w:num w:numId="126" w16cid:durableId="1118377632">
    <w:abstractNumId w:val="185"/>
  </w:num>
  <w:num w:numId="127" w16cid:durableId="1433014119">
    <w:abstractNumId w:val="188"/>
  </w:num>
  <w:num w:numId="128" w16cid:durableId="843741876">
    <w:abstractNumId w:val="143"/>
  </w:num>
  <w:num w:numId="129" w16cid:durableId="1084228465">
    <w:abstractNumId w:val="258"/>
  </w:num>
  <w:num w:numId="130" w16cid:durableId="363092548">
    <w:abstractNumId w:val="197"/>
  </w:num>
  <w:num w:numId="131" w16cid:durableId="774178180">
    <w:abstractNumId w:val="158"/>
  </w:num>
  <w:num w:numId="132" w16cid:durableId="542712024">
    <w:abstractNumId w:val="251"/>
  </w:num>
  <w:num w:numId="133" w16cid:durableId="227351462">
    <w:abstractNumId w:val="20"/>
  </w:num>
  <w:num w:numId="134" w16cid:durableId="1853180214">
    <w:abstractNumId w:val="3"/>
  </w:num>
  <w:num w:numId="135" w16cid:durableId="801725460">
    <w:abstractNumId w:val="225"/>
  </w:num>
  <w:num w:numId="136" w16cid:durableId="1862934351">
    <w:abstractNumId w:val="177"/>
  </w:num>
  <w:num w:numId="137" w16cid:durableId="1990286809">
    <w:abstractNumId w:val="201"/>
  </w:num>
  <w:num w:numId="138" w16cid:durableId="1550189410">
    <w:abstractNumId w:val="257"/>
  </w:num>
  <w:num w:numId="139" w16cid:durableId="342246750">
    <w:abstractNumId w:val="67"/>
  </w:num>
  <w:num w:numId="140" w16cid:durableId="195705057">
    <w:abstractNumId w:val="249"/>
  </w:num>
  <w:num w:numId="141" w16cid:durableId="1475946508">
    <w:abstractNumId w:val="80"/>
  </w:num>
  <w:num w:numId="142" w16cid:durableId="715735703">
    <w:abstractNumId w:val="133"/>
  </w:num>
  <w:num w:numId="143" w16cid:durableId="588150290">
    <w:abstractNumId w:val="218"/>
  </w:num>
  <w:num w:numId="144" w16cid:durableId="584534683">
    <w:abstractNumId w:val="124"/>
  </w:num>
  <w:num w:numId="145" w16cid:durableId="109446657">
    <w:abstractNumId w:val="282"/>
  </w:num>
  <w:num w:numId="146" w16cid:durableId="420417897">
    <w:abstractNumId w:val="151"/>
  </w:num>
  <w:num w:numId="147" w16cid:durableId="859005455">
    <w:abstractNumId w:val="63"/>
  </w:num>
  <w:num w:numId="148" w16cid:durableId="957881807">
    <w:abstractNumId w:val="114"/>
  </w:num>
  <w:num w:numId="149" w16cid:durableId="1807893322">
    <w:abstractNumId w:val="9"/>
  </w:num>
  <w:num w:numId="150" w16cid:durableId="871184376">
    <w:abstractNumId w:val="139"/>
  </w:num>
  <w:num w:numId="151" w16cid:durableId="140120109">
    <w:abstractNumId w:val="232"/>
  </w:num>
  <w:num w:numId="152" w16cid:durableId="897470727">
    <w:abstractNumId w:val="148"/>
  </w:num>
  <w:num w:numId="153" w16cid:durableId="1241795863">
    <w:abstractNumId w:val="95"/>
  </w:num>
  <w:num w:numId="154" w16cid:durableId="1795950762">
    <w:abstractNumId w:val="193"/>
  </w:num>
  <w:num w:numId="155" w16cid:durableId="1533421375">
    <w:abstractNumId w:val="25"/>
  </w:num>
  <w:num w:numId="156" w16cid:durableId="1000544835">
    <w:abstractNumId w:val="196"/>
  </w:num>
  <w:num w:numId="157" w16cid:durableId="2042626257">
    <w:abstractNumId w:val="269"/>
  </w:num>
  <w:num w:numId="158" w16cid:durableId="1470826336">
    <w:abstractNumId w:val="141"/>
  </w:num>
  <w:num w:numId="159" w16cid:durableId="198081942">
    <w:abstractNumId w:val="1"/>
  </w:num>
  <w:num w:numId="160" w16cid:durableId="698822881">
    <w:abstractNumId w:val="152"/>
  </w:num>
  <w:num w:numId="161" w16cid:durableId="1564829702">
    <w:abstractNumId w:val="221"/>
  </w:num>
  <w:num w:numId="162" w16cid:durableId="402758">
    <w:abstractNumId w:val="109"/>
  </w:num>
  <w:num w:numId="163" w16cid:durableId="269556640">
    <w:abstractNumId w:val="86"/>
  </w:num>
  <w:num w:numId="164" w16cid:durableId="443035199">
    <w:abstractNumId w:val="248"/>
  </w:num>
  <w:num w:numId="165" w16cid:durableId="1076782179">
    <w:abstractNumId w:val="54"/>
  </w:num>
  <w:num w:numId="166" w16cid:durableId="1525364710">
    <w:abstractNumId w:val="213"/>
  </w:num>
  <w:num w:numId="167" w16cid:durableId="473375995">
    <w:abstractNumId w:val="119"/>
  </w:num>
  <w:num w:numId="168" w16cid:durableId="347221478">
    <w:abstractNumId w:val="172"/>
  </w:num>
  <w:num w:numId="169" w16cid:durableId="1236014329">
    <w:abstractNumId w:val="18"/>
  </w:num>
  <w:num w:numId="170" w16cid:durableId="1200315288">
    <w:abstractNumId w:val="275"/>
  </w:num>
  <w:num w:numId="171" w16cid:durableId="1711102507">
    <w:abstractNumId w:val="195"/>
  </w:num>
  <w:num w:numId="172" w16cid:durableId="1209031357">
    <w:abstractNumId w:val="292"/>
  </w:num>
  <w:num w:numId="173" w16cid:durableId="1342782361">
    <w:abstractNumId w:val="250"/>
  </w:num>
  <w:num w:numId="174" w16cid:durableId="264390077">
    <w:abstractNumId w:val="31"/>
  </w:num>
  <w:num w:numId="175" w16cid:durableId="2006931944">
    <w:abstractNumId w:val="31"/>
    <w:lvlOverride w:ilvl="0">
      <w:startOverride w:val="2"/>
    </w:lvlOverride>
  </w:num>
  <w:num w:numId="176" w16cid:durableId="226888280">
    <w:abstractNumId w:val="102"/>
  </w:num>
  <w:num w:numId="177" w16cid:durableId="1893225831">
    <w:abstractNumId w:val="126"/>
  </w:num>
  <w:num w:numId="178" w16cid:durableId="1677418555">
    <w:abstractNumId w:val="273"/>
  </w:num>
  <w:num w:numId="179" w16cid:durableId="772820880">
    <w:abstractNumId w:val="58"/>
  </w:num>
  <w:num w:numId="180" w16cid:durableId="1482847924">
    <w:abstractNumId w:val="116"/>
  </w:num>
  <w:num w:numId="181" w16cid:durableId="1486816438">
    <w:abstractNumId w:val="12"/>
  </w:num>
  <w:num w:numId="182" w16cid:durableId="1883665503">
    <w:abstractNumId w:val="106"/>
  </w:num>
  <w:num w:numId="183" w16cid:durableId="1027373129">
    <w:abstractNumId w:val="99"/>
  </w:num>
  <w:num w:numId="184" w16cid:durableId="602417720">
    <w:abstractNumId w:val="289"/>
  </w:num>
  <w:num w:numId="185" w16cid:durableId="701713420">
    <w:abstractNumId w:val="236"/>
  </w:num>
  <w:num w:numId="186" w16cid:durableId="1062827949">
    <w:abstractNumId w:val="288"/>
  </w:num>
  <w:num w:numId="187" w16cid:durableId="1817525527">
    <w:abstractNumId w:val="7"/>
  </w:num>
  <w:num w:numId="188" w16cid:durableId="1615211673">
    <w:abstractNumId w:val="210"/>
  </w:num>
  <w:num w:numId="189" w16cid:durableId="83261534">
    <w:abstractNumId w:val="123"/>
  </w:num>
  <w:num w:numId="190" w16cid:durableId="1564562043">
    <w:abstractNumId w:val="22"/>
  </w:num>
  <w:num w:numId="191" w16cid:durableId="244730188">
    <w:abstractNumId w:val="181"/>
  </w:num>
  <w:num w:numId="192" w16cid:durableId="1334913770">
    <w:abstractNumId w:val="28"/>
  </w:num>
  <w:num w:numId="193" w16cid:durableId="1518960427">
    <w:abstractNumId w:val="291"/>
  </w:num>
  <w:num w:numId="194" w16cid:durableId="1632324714">
    <w:abstractNumId w:val="168"/>
  </w:num>
  <w:num w:numId="195" w16cid:durableId="1500197353">
    <w:abstractNumId w:val="11"/>
  </w:num>
  <w:num w:numId="196" w16cid:durableId="346180021">
    <w:abstractNumId w:val="132"/>
  </w:num>
  <w:num w:numId="197" w16cid:durableId="817068912">
    <w:abstractNumId w:val="120"/>
  </w:num>
  <w:num w:numId="198" w16cid:durableId="1654675431">
    <w:abstractNumId w:val="263"/>
  </w:num>
  <w:num w:numId="199" w16cid:durableId="1093933391">
    <w:abstractNumId w:val="91"/>
  </w:num>
  <w:num w:numId="200" w16cid:durableId="759907804">
    <w:abstractNumId w:val="222"/>
  </w:num>
  <w:num w:numId="201" w16cid:durableId="1603954670">
    <w:abstractNumId w:val="270"/>
  </w:num>
  <w:num w:numId="202" w16cid:durableId="317080150">
    <w:abstractNumId w:val="35"/>
  </w:num>
  <w:num w:numId="203" w16cid:durableId="468476167">
    <w:abstractNumId w:val="14"/>
  </w:num>
  <w:num w:numId="204" w16cid:durableId="1953322517">
    <w:abstractNumId w:val="204"/>
  </w:num>
  <w:num w:numId="205" w16cid:durableId="585647088">
    <w:abstractNumId w:val="276"/>
  </w:num>
  <w:num w:numId="206" w16cid:durableId="1898667269">
    <w:abstractNumId w:val="38"/>
  </w:num>
  <w:num w:numId="207" w16cid:durableId="1089040542">
    <w:abstractNumId w:val="96"/>
  </w:num>
  <w:num w:numId="208" w16cid:durableId="169881428">
    <w:abstractNumId w:val="72"/>
  </w:num>
  <w:num w:numId="209" w16cid:durableId="1133866956">
    <w:abstractNumId w:val="82"/>
  </w:num>
  <w:num w:numId="210" w16cid:durableId="110054807">
    <w:abstractNumId w:val="96"/>
    <w:lvlOverride w:ilvl="0">
      <w:startOverride w:val="2"/>
    </w:lvlOverride>
  </w:num>
  <w:num w:numId="211" w16cid:durableId="981695969">
    <w:abstractNumId w:val="138"/>
  </w:num>
  <w:num w:numId="212" w16cid:durableId="1172137903">
    <w:abstractNumId w:val="90"/>
  </w:num>
  <w:num w:numId="213" w16cid:durableId="2138912613">
    <w:abstractNumId w:val="136"/>
  </w:num>
  <w:num w:numId="214" w16cid:durableId="126440872">
    <w:abstractNumId w:val="83"/>
  </w:num>
  <w:num w:numId="215" w16cid:durableId="254367550">
    <w:abstractNumId w:val="46"/>
  </w:num>
  <w:num w:numId="216" w16cid:durableId="584656697">
    <w:abstractNumId w:val="53"/>
  </w:num>
  <w:num w:numId="217" w16cid:durableId="346830155">
    <w:abstractNumId w:val="17"/>
  </w:num>
  <w:num w:numId="218" w16cid:durableId="375856421">
    <w:abstractNumId w:val="140"/>
  </w:num>
  <w:num w:numId="219" w16cid:durableId="1788694731">
    <w:abstractNumId w:val="219"/>
  </w:num>
  <w:num w:numId="220" w16cid:durableId="72286696">
    <w:abstractNumId w:val="57"/>
  </w:num>
  <w:num w:numId="221" w16cid:durableId="4790563">
    <w:abstractNumId w:val="220"/>
  </w:num>
  <w:num w:numId="222" w16cid:durableId="1206059663">
    <w:abstractNumId w:val="271"/>
  </w:num>
  <w:num w:numId="223" w16cid:durableId="141890520">
    <w:abstractNumId w:val="230"/>
  </w:num>
  <w:num w:numId="224" w16cid:durableId="1183520725">
    <w:abstractNumId w:val="130"/>
  </w:num>
  <w:num w:numId="225" w16cid:durableId="1554660860">
    <w:abstractNumId w:val="33"/>
  </w:num>
  <w:num w:numId="226" w16cid:durableId="37827528">
    <w:abstractNumId w:val="71"/>
  </w:num>
  <w:num w:numId="227" w16cid:durableId="1957903467">
    <w:abstractNumId w:val="68"/>
  </w:num>
  <w:num w:numId="228" w16cid:durableId="225645548">
    <w:abstractNumId w:val="154"/>
  </w:num>
  <w:num w:numId="229" w16cid:durableId="609582305">
    <w:abstractNumId w:val="233"/>
    <w:lvlOverride w:ilvl="0">
      <w:lvl w:ilvl="0" w:tplc="D8224D2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D7453C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01654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8580DD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508BD0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464A0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132ED4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62CA46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AD488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0" w16cid:durableId="1432899173">
    <w:abstractNumId w:val="56"/>
  </w:num>
  <w:num w:numId="231" w16cid:durableId="1977683103">
    <w:abstractNumId w:val="39"/>
  </w:num>
  <w:num w:numId="232" w16cid:durableId="868030535">
    <w:abstractNumId w:val="192"/>
  </w:num>
  <w:num w:numId="233" w16cid:durableId="2121027273">
    <w:abstractNumId w:val="274"/>
  </w:num>
  <w:num w:numId="234" w16cid:durableId="559171500">
    <w:abstractNumId w:val="6"/>
  </w:num>
  <w:num w:numId="235" w16cid:durableId="1866407697">
    <w:abstractNumId w:val="65"/>
  </w:num>
  <w:num w:numId="236" w16cid:durableId="910041737">
    <w:abstractNumId w:val="274"/>
    <w:lvlOverride w:ilvl="0">
      <w:startOverride w:val="4"/>
    </w:lvlOverride>
  </w:num>
  <w:num w:numId="237" w16cid:durableId="524947242">
    <w:abstractNumId w:val="69"/>
  </w:num>
  <w:num w:numId="238" w16cid:durableId="2033876463">
    <w:abstractNumId w:val="4"/>
  </w:num>
  <w:num w:numId="239" w16cid:durableId="273442412">
    <w:abstractNumId w:val="190"/>
  </w:num>
  <w:num w:numId="240" w16cid:durableId="1259022137">
    <w:abstractNumId w:val="92"/>
  </w:num>
  <w:num w:numId="241" w16cid:durableId="529998475">
    <w:abstractNumId w:val="4"/>
    <w:lvlOverride w:ilvl="0">
      <w:startOverride w:val="2"/>
    </w:lvlOverride>
  </w:num>
  <w:num w:numId="242" w16cid:durableId="158543402">
    <w:abstractNumId w:val="87"/>
  </w:num>
  <w:num w:numId="243" w16cid:durableId="1310018806">
    <w:abstractNumId w:val="8"/>
    <w:lvlOverride w:ilvl="0">
      <w:startOverride w:val="5"/>
    </w:lvlOverride>
  </w:num>
  <w:num w:numId="244" w16cid:durableId="178197620">
    <w:abstractNumId w:val="274"/>
    <w:lvlOverride w:ilvl="0">
      <w:startOverride w:val="5"/>
    </w:lvlOverride>
  </w:num>
  <w:num w:numId="245" w16cid:durableId="961378274">
    <w:abstractNumId w:val="135"/>
  </w:num>
  <w:num w:numId="246" w16cid:durableId="579026058">
    <w:abstractNumId w:val="191"/>
  </w:num>
  <w:num w:numId="247" w16cid:durableId="1676685002">
    <w:abstractNumId w:val="77"/>
  </w:num>
  <w:num w:numId="248" w16cid:durableId="1245073537">
    <w:abstractNumId w:val="16"/>
  </w:num>
  <w:num w:numId="249" w16cid:durableId="2026592715">
    <w:abstractNumId w:val="191"/>
    <w:lvlOverride w:ilvl="0">
      <w:startOverride w:val="2"/>
    </w:lvlOverride>
  </w:num>
  <w:num w:numId="250" w16cid:durableId="615873779">
    <w:abstractNumId w:val="10"/>
  </w:num>
  <w:num w:numId="251" w16cid:durableId="1297612953">
    <w:abstractNumId w:val="60"/>
  </w:num>
  <w:num w:numId="252" w16cid:durableId="347216760">
    <w:abstractNumId w:val="186"/>
  </w:num>
  <w:num w:numId="253" w16cid:durableId="441653733">
    <w:abstractNumId w:val="176"/>
  </w:num>
  <w:num w:numId="254" w16cid:durableId="1528366192">
    <w:abstractNumId w:val="205"/>
  </w:num>
  <w:num w:numId="255" w16cid:durableId="206572433">
    <w:abstractNumId w:val="121"/>
  </w:num>
  <w:num w:numId="256" w16cid:durableId="615522440">
    <w:abstractNumId w:val="280"/>
  </w:num>
  <w:num w:numId="257" w16cid:durableId="1036739100">
    <w:abstractNumId w:val="245"/>
  </w:num>
  <w:num w:numId="258" w16cid:durableId="1012145476">
    <w:abstractNumId w:val="110"/>
  </w:num>
  <w:num w:numId="259" w16cid:durableId="926696121">
    <w:abstractNumId w:val="182"/>
  </w:num>
  <w:num w:numId="260" w16cid:durableId="691420919">
    <w:abstractNumId w:val="45"/>
  </w:num>
  <w:num w:numId="261" w16cid:durableId="589779065">
    <w:abstractNumId w:val="164"/>
  </w:num>
  <w:num w:numId="262" w16cid:durableId="1239442856">
    <w:abstractNumId w:val="182"/>
    <w:lvlOverride w:ilvl="0">
      <w:startOverride w:val="4"/>
    </w:lvlOverride>
  </w:num>
  <w:num w:numId="263" w16cid:durableId="876504928">
    <w:abstractNumId w:val="224"/>
  </w:num>
  <w:num w:numId="264" w16cid:durableId="1522356796">
    <w:abstractNumId w:val="259"/>
  </w:num>
  <w:num w:numId="265" w16cid:durableId="405343716">
    <w:abstractNumId w:val="179"/>
  </w:num>
  <w:num w:numId="266" w16cid:durableId="2098750638">
    <w:abstractNumId w:val="153"/>
  </w:num>
  <w:num w:numId="267" w16cid:durableId="1916820391">
    <w:abstractNumId w:val="264"/>
  </w:num>
  <w:num w:numId="268" w16cid:durableId="2038659724">
    <w:abstractNumId w:val="84"/>
  </w:num>
  <w:num w:numId="269" w16cid:durableId="1114136380">
    <w:abstractNumId w:val="216"/>
  </w:num>
  <w:num w:numId="270" w16cid:durableId="1316183224">
    <w:abstractNumId w:val="23"/>
  </w:num>
  <w:num w:numId="271" w16cid:durableId="1479760104">
    <w:abstractNumId w:val="27"/>
  </w:num>
  <w:num w:numId="272" w16cid:durableId="224923040">
    <w:abstractNumId w:val="137"/>
  </w:num>
  <w:num w:numId="273" w16cid:durableId="1827933032">
    <w:abstractNumId w:val="23"/>
    <w:lvlOverride w:ilvl="0">
      <w:startOverride w:val="2"/>
    </w:lvlOverride>
  </w:num>
  <w:num w:numId="274" w16cid:durableId="1144860095">
    <w:abstractNumId w:val="146"/>
  </w:num>
  <w:num w:numId="275" w16cid:durableId="2035223415">
    <w:abstractNumId w:val="74"/>
  </w:num>
  <w:num w:numId="276" w16cid:durableId="1497839368">
    <w:abstractNumId w:val="131"/>
  </w:num>
  <w:num w:numId="277" w16cid:durableId="355733383">
    <w:abstractNumId w:val="202"/>
  </w:num>
  <w:num w:numId="278" w16cid:durableId="566720820">
    <w:abstractNumId w:val="13"/>
  </w:num>
  <w:num w:numId="279" w16cid:durableId="1861427665">
    <w:abstractNumId w:val="254"/>
  </w:num>
  <w:num w:numId="280" w16cid:durableId="1209103341">
    <w:abstractNumId w:val="70"/>
  </w:num>
  <w:num w:numId="281" w16cid:durableId="1230073670">
    <w:abstractNumId w:val="240"/>
  </w:num>
  <w:num w:numId="282" w16cid:durableId="1437823084">
    <w:abstractNumId w:val="40"/>
  </w:num>
  <w:num w:numId="283" w16cid:durableId="990673274">
    <w:abstractNumId w:val="97"/>
  </w:num>
  <w:num w:numId="284" w16cid:durableId="1472597376">
    <w:abstractNumId w:val="241"/>
  </w:num>
  <w:num w:numId="285" w16cid:durableId="1122377973">
    <w:abstractNumId w:val="198"/>
  </w:num>
  <w:num w:numId="286" w16cid:durableId="839009969">
    <w:abstractNumId w:val="81"/>
  </w:num>
  <w:num w:numId="287" w16cid:durableId="506291562">
    <w:abstractNumId w:val="253"/>
  </w:num>
  <w:num w:numId="288" w16cid:durableId="1156414734">
    <w:abstractNumId w:val="97"/>
    <w:lvlOverride w:ilvl="0">
      <w:startOverride w:val="2"/>
    </w:lvlOverride>
  </w:num>
  <w:num w:numId="289" w16cid:durableId="2033072934">
    <w:abstractNumId w:val="256"/>
  </w:num>
  <w:num w:numId="290" w16cid:durableId="1054233349">
    <w:abstractNumId w:val="267"/>
  </w:num>
  <w:num w:numId="291" w16cid:durableId="791677763">
    <w:abstractNumId w:val="42"/>
  </w:num>
  <w:num w:numId="292" w16cid:durableId="2137217254">
    <w:abstractNumId w:val="266"/>
  </w:num>
  <w:num w:numId="293" w16cid:durableId="1478112858">
    <w:abstractNumId w:val="79"/>
  </w:num>
  <w:num w:numId="294" w16cid:durableId="2051610872">
    <w:abstractNumId w:val="262"/>
  </w:num>
  <w:num w:numId="295" w16cid:durableId="234971666">
    <w:abstractNumId w:val="169"/>
  </w:num>
  <w:num w:numId="296" w16cid:durableId="727415788">
    <w:abstractNumId w:val="41"/>
  </w:num>
  <w:num w:numId="297" w16cid:durableId="862792078">
    <w:abstractNumId w:val="262"/>
    <w:lvlOverride w:ilvl="0">
      <w:startOverride w:val="3"/>
    </w:lvlOverride>
  </w:num>
  <w:num w:numId="298" w16cid:durableId="920678762">
    <w:abstractNumId w:val="194"/>
  </w:num>
  <w:num w:numId="299" w16cid:durableId="750741785">
    <w:abstractNumId w:val="125"/>
  </w:num>
  <w:num w:numId="300" w16cid:durableId="217665051">
    <w:abstractNumId w:val="262"/>
    <w:lvlOverride w:ilvl="0">
      <w:startOverride w:val="4"/>
    </w:lvlOverride>
  </w:num>
  <w:num w:numId="301" w16cid:durableId="735905817">
    <w:abstractNumId w:val="266"/>
    <w:lvlOverride w:ilvl="0">
      <w:startOverride w:val="2"/>
    </w:lvlOverride>
  </w:num>
  <w:num w:numId="302" w16cid:durableId="1551111256">
    <w:abstractNumId w:val="36"/>
  </w:num>
  <w:num w:numId="303" w16cid:durableId="2027098055">
    <w:abstractNumId w:val="208"/>
  </w:num>
  <w:num w:numId="304" w16cid:durableId="1613785060">
    <w:abstractNumId w:val="103"/>
  </w:num>
  <w:num w:numId="305" w16cid:durableId="1022786554">
    <w:abstractNumId w:val="278"/>
  </w:num>
  <w:num w:numId="306" w16cid:durableId="1942570486">
    <w:abstractNumId w:val="266"/>
    <w:lvlOverride w:ilvl="0">
      <w:startOverride w:val="3"/>
    </w:lvlOverride>
  </w:num>
  <w:num w:numId="307" w16cid:durableId="1298802022">
    <w:abstractNumId w:val="73"/>
  </w:num>
  <w:num w:numId="308" w16cid:durableId="1247180454">
    <w:abstractNumId w:val="32"/>
  </w:num>
  <w:num w:numId="309" w16cid:durableId="1827630279">
    <w:abstractNumId w:val="287"/>
  </w:num>
  <w:num w:numId="310" w16cid:durableId="458185577">
    <w:abstractNumId w:val="47"/>
  </w:num>
  <w:num w:numId="311" w16cid:durableId="773328403">
    <w:abstractNumId w:val="170"/>
  </w:num>
  <w:num w:numId="312" w16cid:durableId="1604798239">
    <w:abstractNumId w:val="187"/>
  </w:num>
  <w:num w:numId="313" w16cid:durableId="740445489">
    <w:abstractNumId w:val="260"/>
  </w:num>
  <w:num w:numId="314" w16cid:durableId="1471554931">
    <w:abstractNumId w:val="66"/>
  </w:num>
  <w:num w:numId="315" w16cid:durableId="72237433">
    <w:abstractNumId w:val="187"/>
    <w:lvlOverride w:ilvl="0">
      <w:startOverride w:val="2"/>
    </w:lvlOverride>
  </w:num>
  <w:num w:numId="316" w16cid:durableId="1892570283">
    <w:abstractNumId w:val="246"/>
  </w:num>
  <w:num w:numId="317" w16cid:durableId="492641532">
    <w:abstractNumId w:val="111"/>
  </w:num>
  <w:num w:numId="318" w16cid:durableId="364988749">
    <w:abstractNumId w:val="229"/>
  </w:num>
  <w:num w:numId="319" w16cid:durableId="773283103">
    <w:abstractNumId w:val="98"/>
  </w:num>
  <w:num w:numId="320" w16cid:durableId="205727745">
    <w:abstractNumId w:val="237"/>
  </w:num>
  <w:num w:numId="321" w16cid:durableId="1185243087">
    <w:abstractNumId w:val="226"/>
  </w:num>
  <w:num w:numId="322" w16cid:durableId="1804156763">
    <w:abstractNumId w:val="242"/>
  </w:num>
  <w:num w:numId="323" w16cid:durableId="314187901">
    <w:abstractNumId w:val="290"/>
  </w:num>
  <w:num w:numId="324" w16cid:durableId="1287396032">
    <w:abstractNumId w:val="112"/>
  </w:num>
  <w:num w:numId="325" w16cid:durableId="1973512651">
    <w:abstractNumId w:val="217"/>
  </w:num>
  <w:num w:numId="326" w16cid:durableId="2005819056">
    <w:abstractNumId w:val="161"/>
  </w:num>
  <w:numIdMacAtCleanup w:val="3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footnotePr>
    <w:numRestart w:val="eachPage"/>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428"/>
    <w:rsid w:val="000315C1"/>
    <w:rsid w:val="00062754"/>
    <w:rsid w:val="00066A55"/>
    <w:rsid w:val="00087562"/>
    <w:rsid w:val="000D0A34"/>
    <w:rsid w:val="000D0EE5"/>
    <w:rsid w:val="000F0174"/>
    <w:rsid w:val="00113335"/>
    <w:rsid w:val="001977E4"/>
    <w:rsid w:val="001D6F93"/>
    <w:rsid w:val="0023579A"/>
    <w:rsid w:val="002633B7"/>
    <w:rsid w:val="002D2096"/>
    <w:rsid w:val="00353050"/>
    <w:rsid w:val="0036089B"/>
    <w:rsid w:val="003C42D1"/>
    <w:rsid w:val="004443D4"/>
    <w:rsid w:val="00454428"/>
    <w:rsid w:val="00464D24"/>
    <w:rsid w:val="0048398C"/>
    <w:rsid w:val="004C13FB"/>
    <w:rsid w:val="004F34F3"/>
    <w:rsid w:val="005B098D"/>
    <w:rsid w:val="005E55B5"/>
    <w:rsid w:val="00640E83"/>
    <w:rsid w:val="00645DEB"/>
    <w:rsid w:val="0068187D"/>
    <w:rsid w:val="006B1B4A"/>
    <w:rsid w:val="006F4C04"/>
    <w:rsid w:val="007E301C"/>
    <w:rsid w:val="00806C0F"/>
    <w:rsid w:val="00887418"/>
    <w:rsid w:val="008D341F"/>
    <w:rsid w:val="008F2357"/>
    <w:rsid w:val="00905279"/>
    <w:rsid w:val="0091199A"/>
    <w:rsid w:val="00942492"/>
    <w:rsid w:val="0095574B"/>
    <w:rsid w:val="009F2829"/>
    <w:rsid w:val="00A663DE"/>
    <w:rsid w:val="00B30BC9"/>
    <w:rsid w:val="00B57F5C"/>
    <w:rsid w:val="00B62CC6"/>
    <w:rsid w:val="00C061E8"/>
    <w:rsid w:val="00C14C04"/>
    <w:rsid w:val="00C72BA8"/>
    <w:rsid w:val="00C8596B"/>
    <w:rsid w:val="00CB462F"/>
    <w:rsid w:val="00CC3E5F"/>
    <w:rsid w:val="00D0796A"/>
    <w:rsid w:val="00D21748"/>
    <w:rsid w:val="00D61DE9"/>
    <w:rsid w:val="00D66164"/>
    <w:rsid w:val="00DB607F"/>
    <w:rsid w:val="00DB75DF"/>
    <w:rsid w:val="00E07D3C"/>
    <w:rsid w:val="00E61534"/>
    <w:rsid w:val="00E9455F"/>
    <w:rsid w:val="00EC04AD"/>
    <w:rsid w:val="00F26E82"/>
    <w:rsid w:val="00F32CA6"/>
    <w:rsid w:val="00F54382"/>
    <w:rsid w:val="00FD2A46"/>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D431"/>
  <w15:docId w15:val="{01F63A60-852D-804E-BBA2-86F4635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3">
    <w:name w:val="footer"/>
    <w:pPr>
      <w:tabs>
        <w:tab w:val="center" w:pos="4513"/>
        <w:tab w:val="right" w:pos="9026"/>
      </w:tabs>
      <w:bidi/>
    </w:pPr>
    <w:rPr>
      <w:rFonts w:ascii="Calibri" w:hAnsi="Calibri" w:cs="Arial Unicode MS"/>
      <w:color w:val="000000"/>
      <w:sz w:val="22"/>
      <w:szCs w:val="22"/>
      <w:u w:color="000000"/>
    </w:rPr>
  </w:style>
  <w:style w:type="paragraph" w:customStyle="1" w:styleId="Body">
    <w:name w:val="Body"/>
    <w:pPr>
      <w:bidi/>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A">
    <w:name w:val="None A"/>
  </w:style>
  <w:style w:type="paragraph" w:customStyle="1" w:styleId="a4">
    <w:name w:val="عنوان"/>
    <w:pPr>
      <w:bidi/>
      <w:spacing w:before="120" w:after="120" w:line="360" w:lineRule="auto"/>
      <w:jc w:val="center"/>
      <w:outlineLvl w:val="1"/>
    </w:pPr>
    <w:rPr>
      <w:rFonts w:eastAsia="Times New Roman"/>
      <w:b/>
      <w:bCs/>
      <w:color w:val="000000"/>
      <w:sz w:val="32"/>
      <w:szCs w:val="32"/>
      <w:u w:color="000000"/>
    </w:rPr>
  </w:style>
  <w:style w:type="paragraph" w:styleId="1">
    <w:name w:val="toc 1"/>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customStyle="1" w:styleId="a5">
    <w:name w:val="جانبي"/>
    <w:pPr>
      <w:bidi/>
      <w:spacing w:before="120" w:after="120" w:line="360" w:lineRule="auto"/>
      <w:jc w:val="both"/>
      <w:outlineLvl w:val="0"/>
    </w:pPr>
    <w:rPr>
      <w:rFonts w:eastAsia="Times New Roman"/>
      <w:b/>
      <w:bCs/>
      <w:color w:val="000000"/>
      <w:sz w:val="28"/>
      <w:szCs w:val="28"/>
      <w:u w:color="000000"/>
    </w:rPr>
  </w:style>
  <w:style w:type="paragraph" w:styleId="2">
    <w:name w:val="toc 2"/>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styleId="a6">
    <w:name w:val="footnote text"/>
    <w:pPr>
      <w:bidi/>
    </w:pPr>
    <w:rPr>
      <w:rFonts w:ascii="Calibri" w:hAnsi="Calibri" w:cs="Arial Unicode MS"/>
      <w:color w:val="000000"/>
      <w:u w:color="000000"/>
    </w:rPr>
  </w:style>
  <w:style w:type="paragraph" w:customStyle="1" w:styleId="10">
    <w:name w:val="نص حاشية سفلية1"/>
    <w:next w:val="a6"/>
    <w:pPr>
      <w:bidi/>
    </w:pPr>
    <w:rPr>
      <w:rFonts w:ascii="Calibri" w:hAnsi="Calibri" w:cs="Arial Unicode MS"/>
      <w:color w:val="000000"/>
      <w:u w:color="000000"/>
    </w:rPr>
  </w:style>
  <w:style w:type="paragraph" w:styleId="a7">
    <w:name w:val="List Paragraph"/>
    <w:pPr>
      <w:bidi/>
      <w:spacing w:after="160" w:line="259" w:lineRule="auto"/>
      <w:ind w:left="720"/>
    </w:pPr>
    <w:rPr>
      <w:rFonts w:ascii="Arial Unicode MS" w:hAnsi="Arial Unicode MS" w:cs="Calibri" w:hint="c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paragraph" w:customStyle="1" w:styleId="BodyA">
    <w:name w:val="Body A"/>
    <w:pPr>
      <w:bidi/>
      <w:spacing w:after="160" w:line="259" w:lineRule="auto"/>
    </w:pPr>
    <w:rPr>
      <w:rFonts w:ascii="Arial Unicode MS" w:hAnsi="Arial Unicode MS" w:cs="Calibri" w:hint="cs"/>
      <w:color w:val="000000"/>
      <w:sz w:val="22"/>
      <w:szCs w:val="22"/>
      <w:u w:color="000000"/>
      <w14:textOutline w14:w="12700" w14:cap="flat" w14:cmpd="sng" w14:algn="ctr">
        <w14:noFill/>
        <w14:prstDash w14:val="solid"/>
        <w14:miter w14:lim="400000"/>
      </w14:textOutline>
    </w:r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3"/>
      </w:numPr>
    </w:pPr>
  </w:style>
  <w:style w:type="numbering" w:customStyle="1" w:styleId="ImportedStyle12">
    <w:name w:val="Imported Style 12"/>
    <w:pPr>
      <w:numPr>
        <w:numId w:val="25"/>
      </w:numPr>
    </w:pPr>
  </w:style>
  <w:style w:type="numbering" w:customStyle="1" w:styleId="ImportedStyle13">
    <w:name w:val="Imported Style 13"/>
    <w:pPr>
      <w:numPr>
        <w:numId w:val="27"/>
      </w:numPr>
    </w:pPr>
  </w:style>
  <w:style w:type="numbering" w:customStyle="1" w:styleId="ImportedStyle14">
    <w:name w:val="Imported Style 14"/>
    <w:pPr>
      <w:numPr>
        <w:numId w:val="29"/>
      </w:numPr>
    </w:pPr>
  </w:style>
  <w:style w:type="numbering" w:customStyle="1" w:styleId="ImportedStyle15">
    <w:name w:val="Imported Style 15"/>
    <w:pPr>
      <w:numPr>
        <w:numId w:val="31"/>
      </w:numPr>
    </w:pPr>
  </w:style>
  <w:style w:type="numbering" w:customStyle="1" w:styleId="ImportedStyle16">
    <w:name w:val="Imported Style 16"/>
    <w:pPr>
      <w:numPr>
        <w:numId w:val="33"/>
      </w:numPr>
    </w:pPr>
  </w:style>
  <w:style w:type="numbering" w:customStyle="1" w:styleId="ImportedStyle17">
    <w:name w:val="Imported Style 17"/>
    <w:pPr>
      <w:numPr>
        <w:numId w:val="36"/>
      </w:numPr>
    </w:pPr>
  </w:style>
  <w:style w:type="numbering" w:customStyle="1" w:styleId="ImportedStyle18">
    <w:name w:val="Imported Style 18"/>
    <w:pPr>
      <w:numPr>
        <w:numId w:val="38"/>
      </w:numPr>
    </w:pPr>
  </w:style>
  <w:style w:type="numbering" w:customStyle="1" w:styleId="ImportedStyle19">
    <w:name w:val="Imported Style 19"/>
    <w:pPr>
      <w:numPr>
        <w:numId w:val="41"/>
      </w:numPr>
    </w:p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563C1"/>
      <w:u w:val="single" w:color="0563C1"/>
      <w:lang w:val="en-US"/>
    </w:rPr>
  </w:style>
  <w:style w:type="numbering" w:customStyle="1" w:styleId="ImportedStyle20">
    <w:name w:val="Imported Style 20"/>
    <w:pPr>
      <w:numPr>
        <w:numId w:val="43"/>
      </w:numPr>
    </w:pPr>
  </w:style>
  <w:style w:type="numbering" w:customStyle="1" w:styleId="ImportedStyle21">
    <w:name w:val="Imported Style 21"/>
    <w:pPr>
      <w:numPr>
        <w:numId w:val="45"/>
      </w:numPr>
    </w:pPr>
  </w:style>
  <w:style w:type="numbering" w:customStyle="1" w:styleId="ImportedStyle22">
    <w:name w:val="Imported Style 22"/>
    <w:pPr>
      <w:numPr>
        <w:numId w:val="48"/>
      </w:numPr>
    </w:pPr>
  </w:style>
  <w:style w:type="numbering" w:customStyle="1" w:styleId="ImportedStyle23">
    <w:name w:val="Imported Style 23"/>
    <w:pPr>
      <w:numPr>
        <w:numId w:val="51"/>
      </w:numPr>
    </w:pPr>
  </w:style>
  <w:style w:type="numbering" w:customStyle="1" w:styleId="ImportedStyle24">
    <w:name w:val="Imported Style 24"/>
    <w:pPr>
      <w:numPr>
        <w:numId w:val="53"/>
      </w:numPr>
    </w:pPr>
  </w:style>
  <w:style w:type="numbering" w:customStyle="1" w:styleId="ImportedStyle25">
    <w:name w:val="Imported Style 25"/>
    <w:pPr>
      <w:numPr>
        <w:numId w:val="56"/>
      </w:numPr>
    </w:pPr>
  </w:style>
  <w:style w:type="numbering" w:customStyle="1" w:styleId="ImportedStyle26">
    <w:name w:val="Imported Style 26"/>
    <w:pPr>
      <w:numPr>
        <w:numId w:val="58"/>
      </w:numPr>
    </w:pPr>
  </w:style>
  <w:style w:type="paragraph" w:customStyle="1" w:styleId="Default">
    <w:name w:val="Default"/>
    <w:pPr>
      <w:bidi/>
      <w:spacing w:before="160" w:after="160" w:line="288" w:lineRule="auto"/>
    </w:pPr>
    <w:rPr>
      <w:rFonts w:ascii="Arial Unicode MS" w:hAnsi="Arial Unicode MS" w:cs="Arial Unicode MS"/>
      <w:color w:val="000000"/>
      <w:sz w:val="24"/>
      <w:szCs w:val="24"/>
      <w:u w:color="000000"/>
      <w14:textOutline w14:w="12700" w14:cap="flat" w14:cmpd="sng" w14:algn="ctr">
        <w14:noFill/>
        <w14:prstDash w14:val="solid"/>
        <w14:miter w14:lim="400000"/>
      </w14:textOutline>
    </w:rPr>
  </w:style>
  <w:style w:type="numbering" w:customStyle="1" w:styleId="ImportedStyle27">
    <w:name w:val="Imported Style 27"/>
    <w:pPr>
      <w:numPr>
        <w:numId w:val="60"/>
      </w:numPr>
    </w:pPr>
  </w:style>
  <w:style w:type="numbering" w:customStyle="1" w:styleId="ImportedStyle28">
    <w:name w:val="Imported Style 28"/>
    <w:pPr>
      <w:numPr>
        <w:numId w:val="62"/>
      </w:numPr>
    </w:pPr>
  </w:style>
  <w:style w:type="numbering" w:customStyle="1" w:styleId="ImportedStyle29">
    <w:name w:val="Imported Style 29"/>
    <w:pPr>
      <w:numPr>
        <w:numId w:val="64"/>
      </w:numPr>
    </w:pPr>
  </w:style>
  <w:style w:type="numbering" w:customStyle="1" w:styleId="ImportedStyle30">
    <w:name w:val="Imported Style 30"/>
    <w:pPr>
      <w:numPr>
        <w:numId w:val="66"/>
      </w:numPr>
    </w:pPr>
  </w:style>
  <w:style w:type="numbering" w:customStyle="1" w:styleId="ImportedStyle31">
    <w:name w:val="Imported Style 31"/>
    <w:pPr>
      <w:numPr>
        <w:numId w:val="68"/>
      </w:numPr>
    </w:pPr>
  </w:style>
  <w:style w:type="numbering" w:customStyle="1" w:styleId="ImportedStyle32">
    <w:name w:val="Imported Style 32"/>
    <w:pPr>
      <w:numPr>
        <w:numId w:val="70"/>
      </w:numPr>
    </w:pPr>
  </w:style>
  <w:style w:type="numbering" w:customStyle="1" w:styleId="ImportedStyle33">
    <w:name w:val="Imported Style 33"/>
    <w:pPr>
      <w:numPr>
        <w:numId w:val="72"/>
      </w:numPr>
    </w:pPr>
  </w:style>
  <w:style w:type="numbering" w:customStyle="1" w:styleId="ImportedStyle34">
    <w:name w:val="Imported Style 34"/>
    <w:pPr>
      <w:numPr>
        <w:numId w:val="75"/>
      </w:numPr>
    </w:pPr>
  </w:style>
  <w:style w:type="numbering" w:customStyle="1" w:styleId="ImportedStyle35">
    <w:name w:val="Imported Style 35"/>
    <w:pPr>
      <w:numPr>
        <w:numId w:val="77"/>
      </w:numPr>
    </w:pPr>
  </w:style>
  <w:style w:type="numbering" w:customStyle="1" w:styleId="ImportedStyle36">
    <w:name w:val="Imported Style 36"/>
    <w:pPr>
      <w:numPr>
        <w:numId w:val="79"/>
      </w:numPr>
    </w:pPr>
  </w:style>
  <w:style w:type="character" w:customStyle="1" w:styleId="Hyperlink2">
    <w:name w:val="Hyperlink.2"/>
    <w:basedOn w:val="Link"/>
    <w:rPr>
      <w:rFonts w:ascii="Calibri Light" w:eastAsia="Calibri Light" w:hAnsi="Calibri Light" w:cs="Calibri Light"/>
      <w:outline w:val="0"/>
      <w:color w:val="0563C1"/>
      <w:sz w:val="24"/>
      <w:szCs w:val="24"/>
      <w:u w:val="single" w:color="0563C1"/>
      <w:lang w:val="en-US"/>
    </w:rPr>
  </w:style>
  <w:style w:type="numbering" w:customStyle="1" w:styleId="ImportedStyle37">
    <w:name w:val="Imported Style 37"/>
    <w:pPr>
      <w:numPr>
        <w:numId w:val="84"/>
      </w:numPr>
    </w:pPr>
  </w:style>
  <w:style w:type="numbering" w:customStyle="1" w:styleId="ImportedStyle38">
    <w:name w:val="Imported Style 38"/>
    <w:pPr>
      <w:numPr>
        <w:numId w:val="86"/>
      </w:numPr>
    </w:pPr>
  </w:style>
  <w:style w:type="numbering" w:customStyle="1" w:styleId="ImportedStyle39">
    <w:name w:val="Imported Style 39"/>
    <w:pPr>
      <w:numPr>
        <w:numId w:val="88"/>
      </w:numPr>
    </w:pPr>
  </w:style>
  <w:style w:type="numbering" w:customStyle="1" w:styleId="ImportedStyle40">
    <w:name w:val="Imported Style 40"/>
    <w:pPr>
      <w:numPr>
        <w:numId w:val="91"/>
      </w:numPr>
    </w:pPr>
  </w:style>
  <w:style w:type="character" w:customStyle="1" w:styleId="Hyperlink3">
    <w:name w:val="Hyperlink.3"/>
    <w:basedOn w:val="Link"/>
    <w:rPr>
      <w:rFonts w:ascii="Calibri Light" w:eastAsia="Calibri Light" w:hAnsi="Calibri Light" w:cs="Calibri Light"/>
      <w:outline w:val="0"/>
      <w:color w:val="0563C1"/>
      <w:sz w:val="24"/>
      <w:szCs w:val="24"/>
      <w:u w:val="single" w:color="0563C1"/>
    </w:rPr>
  </w:style>
  <w:style w:type="numbering" w:customStyle="1" w:styleId="ImportedStyle41">
    <w:name w:val="Imported Style 41"/>
    <w:pPr>
      <w:numPr>
        <w:numId w:val="95"/>
      </w:numPr>
    </w:pPr>
  </w:style>
  <w:style w:type="numbering" w:customStyle="1" w:styleId="ImportedStyle42">
    <w:name w:val="Imported Style 42"/>
    <w:pPr>
      <w:numPr>
        <w:numId w:val="97"/>
      </w:numPr>
    </w:pPr>
  </w:style>
  <w:style w:type="numbering" w:customStyle="1" w:styleId="ImportedStyle43">
    <w:name w:val="Imported Style 43"/>
    <w:pPr>
      <w:numPr>
        <w:numId w:val="99"/>
      </w:numPr>
    </w:pPr>
  </w:style>
  <w:style w:type="numbering" w:customStyle="1" w:styleId="ImportedStyle44">
    <w:name w:val="Imported Style 44"/>
    <w:pPr>
      <w:numPr>
        <w:numId w:val="101"/>
      </w:numPr>
    </w:pPr>
  </w:style>
  <w:style w:type="numbering" w:customStyle="1" w:styleId="ImportedStyle45">
    <w:name w:val="Imported Style 45"/>
    <w:pPr>
      <w:numPr>
        <w:numId w:val="104"/>
      </w:numPr>
    </w:pPr>
  </w:style>
  <w:style w:type="numbering" w:customStyle="1" w:styleId="ImportedStyle46">
    <w:name w:val="Imported Style 46"/>
    <w:pPr>
      <w:numPr>
        <w:numId w:val="106"/>
      </w:numPr>
    </w:pPr>
  </w:style>
  <w:style w:type="numbering" w:customStyle="1" w:styleId="ImportedStyle47">
    <w:name w:val="Imported Style 47"/>
    <w:pPr>
      <w:numPr>
        <w:numId w:val="108"/>
      </w:numPr>
    </w:pPr>
  </w:style>
  <w:style w:type="numbering" w:customStyle="1" w:styleId="ImportedStyle48">
    <w:name w:val="Imported Style 48"/>
    <w:pPr>
      <w:numPr>
        <w:numId w:val="112"/>
      </w:numPr>
    </w:pPr>
  </w:style>
  <w:style w:type="numbering" w:customStyle="1" w:styleId="ImportedStyle49">
    <w:name w:val="Imported Style 49"/>
    <w:pPr>
      <w:numPr>
        <w:numId w:val="115"/>
      </w:numPr>
    </w:pPr>
  </w:style>
  <w:style w:type="numbering" w:customStyle="1" w:styleId="ImportedStyle50">
    <w:name w:val="Imported Style 50"/>
    <w:pPr>
      <w:numPr>
        <w:numId w:val="117"/>
      </w:numPr>
    </w:pPr>
  </w:style>
  <w:style w:type="numbering" w:customStyle="1" w:styleId="ImportedStyle51">
    <w:name w:val="Imported Style 51"/>
    <w:pPr>
      <w:numPr>
        <w:numId w:val="119"/>
      </w:numPr>
    </w:pPr>
  </w:style>
  <w:style w:type="numbering" w:customStyle="1" w:styleId="ImportedStyle52">
    <w:name w:val="Imported Style 52"/>
    <w:pPr>
      <w:numPr>
        <w:numId w:val="121"/>
      </w:numPr>
    </w:pPr>
  </w:style>
  <w:style w:type="numbering" w:customStyle="1" w:styleId="ImportedStyle53">
    <w:name w:val="Imported Style 53"/>
    <w:pPr>
      <w:numPr>
        <w:numId w:val="123"/>
      </w:numPr>
    </w:pPr>
  </w:style>
  <w:style w:type="numbering" w:customStyle="1" w:styleId="ImportedStyle54">
    <w:name w:val="Imported Style 54"/>
    <w:pPr>
      <w:numPr>
        <w:numId w:val="125"/>
      </w:numPr>
    </w:pPr>
  </w:style>
  <w:style w:type="character" w:customStyle="1" w:styleId="Hyperlink4">
    <w:name w:val="Hyperlink.4"/>
    <w:basedOn w:val="Link"/>
    <w:rPr>
      <w:rFonts w:ascii="Times New Roman" w:eastAsia="Times New Roman" w:hAnsi="Times New Roman" w:cs="Times New Roman"/>
      <w:outline w:val="0"/>
      <w:color w:val="0563C1"/>
      <w:u w:val="single" w:color="0563C1"/>
    </w:rPr>
  </w:style>
  <w:style w:type="numbering" w:customStyle="1" w:styleId="ImportedStyle55">
    <w:name w:val="Imported Style 55"/>
    <w:pPr>
      <w:numPr>
        <w:numId w:val="127"/>
      </w:numPr>
    </w:pPr>
  </w:style>
  <w:style w:type="numbering" w:customStyle="1" w:styleId="ImportedStyle56">
    <w:name w:val="Imported Style 56"/>
    <w:pPr>
      <w:numPr>
        <w:numId w:val="129"/>
      </w:numPr>
    </w:pPr>
  </w:style>
  <w:style w:type="numbering" w:customStyle="1" w:styleId="ImportedStyle57">
    <w:name w:val="Imported Style 57"/>
    <w:pPr>
      <w:numPr>
        <w:numId w:val="131"/>
      </w:numPr>
    </w:pPr>
  </w:style>
  <w:style w:type="character" w:customStyle="1" w:styleId="Hyperlink5">
    <w:name w:val="Hyperlink.5"/>
    <w:basedOn w:val="None"/>
    <w:rPr>
      <w:rFonts w:ascii="Times New Roman" w:eastAsia="Times New Roman" w:hAnsi="Times New Roman" w:cs="Times New Roman"/>
      <w:i/>
      <w:iCs/>
      <w:outline w:val="0"/>
      <w:color w:val="222222"/>
      <w:u w:color="222222"/>
      <w:shd w:val="clear" w:color="auto" w:fill="FFFFFF"/>
    </w:rPr>
  </w:style>
  <w:style w:type="numbering" w:customStyle="1" w:styleId="ImportedStyle58">
    <w:name w:val="Imported Style 58"/>
    <w:pPr>
      <w:numPr>
        <w:numId w:val="133"/>
      </w:numPr>
    </w:pPr>
  </w:style>
  <w:style w:type="numbering" w:customStyle="1" w:styleId="ImportedStyle59">
    <w:name w:val="Imported Style 59"/>
    <w:pPr>
      <w:numPr>
        <w:numId w:val="135"/>
      </w:numPr>
    </w:pPr>
  </w:style>
  <w:style w:type="numbering" w:customStyle="1" w:styleId="ImportedStyle60">
    <w:name w:val="Imported Style 60"/>
    <w:pPr>
      <w:numPr>
        <w:numId w:val="137"/>
      </w:numPr>
    </w:pPr>
  </w:style>
  <w:style w:type="numbering" w:customStyle="1" w:styleId="ImportedStyle61">
    <w:name w:val="Imported Style 61"/>
    <w:pPr>
      <w:numPr>
        <w:numId w:val="139"/>
      </w:numPr>
    </w:pPr>
  </w:style>
  <w:style w:type="numbering" w:customStyle="1" w:styleId="ImportedStyle62">
    <w:name w:val="Imported Style 62"/>
    <w:pPr>
      <w:numPr>
        <w:numId w:val="141"/>
      </w:numPr>
    </w:pPr>
  </w:style>
  <w:style w:type="numbering" w:customStyle="1" w:styleId="ImportedStyle63">
    <w:name w:val="Imported Style 63"/>
    <w:pPr>
      <w:numPr>
        <w:numId w:val="143"/>
      </w:numPr>
    </w:pPr>
  </w:style>
  <w:style w:type="numbering" w:customStyle="1" w:styleId="ImportedStyle64">
    <w:name w:val="Imported Style 64"/>
    <w:pPr>
      <w:numPr>
        <w:numId w:val="145"/>
      </w:numPr>
    </w:pPr>
  </w:style>
  <w:style w:type="numbering" w:customStyle="1" w:styleId="ImportedStyle65">
    <w:name w:val="Imported Style 65"/>
    <w:pPr>
      <w:numPr>
        <w:numId w:val="147"/>
      </w:numPr>
    </w:pPr>
  </w:style>
  <w:style w:type="numbering" w:customStyle="1" w:styleId="ImportedStyle66">
    <w:name w:val="Imported Style 66"/>
    <w:pPr>
      <w:numPr>
        <w:numId w:val="149"/>
      </w:numPr>
    </w:pPr>
  </w:style>
  <w:style w:type="numbering" w:customStyle="1" w:styleId="ImportedStyle67">
    <w:name w:val="Imported Style 67"/>
    <w:pPr>
      <w:numPr>
        <w:numId w:val="151"/>
      </w:numPr>
    </w:pPr>
  </w:style>
  <w:style w:type="numbering" w:customStyle="1" w:styleId="ImportedStyle68">
    <w:name w:val="Imported Style 68"/>
    <w:pPr>
      <w:numPr>
        <w:numId w:val="153"/>
      </w:numPr>
    </w:pPr>
  </w:style>
  <w:style w:type="numbering" w:customStyle="1" w:styleId="ImportedStyle69">
    <w:name w:val="Imported Style 69"/>
    <w:pPr>
      <w:numPr>
        <w:numId w:val="155"/>
      </w:numPr>
    </w:pPr>
  </w:style>
  <w:style w:type="numbering" w:customStyle="1" w:styleId="ImportedStyle70">
    <w:name w:val="Imported Style 70"/>
    <w:pPr>
      <w:numPr>
        <w:numId w:val="157"/>
      </w:numPr>
    </w:pPr>
  </w:style>
  <w:style w:type="numbering" w:customStyle="1" w:styleId="ImportedStyle71">
    <w:name w:val="Imported Style 71"/>
    <w:pPr>
      <w:numPr>
        <w:numId w:val="159"/>
      </w:numPr>
    </w:pPr>
  </w:style>
  <w:style w:type="numbering" w:customStyle="1" w:styleId="ImportedStyle72">
    <w:name w:val="Imported Style 72"/>
    <w:pPr>
      <w:numPr>
        <w:numId w:val="161"/>
      </w:numPr>
    </w:pPr>
  </w:style>
  <w:style w:type="numbering" w:customStyle="1" w:styleId="ImportedStyle73">
    <w:name w:val="Imported Style 73"/>
    <w:pPr>
      <w:numPr>
        <w:numId w:val="163"/>
      </w:numPr>
    </w:pPr>
  </w:style>
  <w:style w:type="numbering" w:customStyle="1" w:styleId="ImportedStyle74">
    <w:name w:val="Imported Style 74"/>
    <w:pPr>
      <w:numPr>
        <w:numId w:val="165"/>
      </w:numPr>
    </w:pPr>
  </w:style>
  <w:style w:type="paragraph" w:styleId="a8">
    <w:name w:val="Normal (Web)"/>
    <w:pPr>
      <w:spacing w:before="100" w:after="100"/>
    </w:pPr>
    <w:rPr>
      <w:rFonts w:ascii="Arial Unicode MS" w:hAnsi="Arial Unicode MS" w:hint="cs"/>
      <w:color w:val="000000"/>
      <w:sz w:val="24"/>
      <w:szCs w:val="24"/>
      <w:u w:color="000000"/>
    </w:rPr>
  </w:style>
  <w:style w:type="numbering" w:customStyle="1" w:styleId="ImportedStyle75">
    <w:name w:val="Imported Style 75"/>
    <w:pPr>
      <w:numPr>
        <w:numId w:val="167"/>
      </w:numPr>
    </w:pPr>
  </w:style>
  <w:style w:type="numbering" w:customStyle="1" w:styleId="ImportedStyle76">
    <w:name w:val="Imported Style 76"/>
    <w:pPr>
      <w:numPr>
        <w:numId w:val="169"/>
      </w:numPr>
    </w:pPr>
  </w:style>
  <w:style w:type="numbering" w:customStyle="1" w:styleId="ImportedStyle77">
    <w:name w:val="Imported Style 77"/>
    <w:pPr>
      <w:numPr>
        <w:numId w:val="171"/>
      </w:numPr>
    </w:pPr>
  </w:style>
  <w:style w:type="numbering" w:customStyle="1" w:styleId="ImportedStyle78">
    <w:name w:val="Imported Style 78"/>
    <w:pPr>
      <w:numPr>
        <w:numId w:val="173"/>
      </w:numPr>
    </w:pPr>
  </w:style>
  <w:style w:type="numbering" w:customStyle="1" w:styleId="ImportedStyle79">
    <w:name w:val="Imported Style 79"/>
    <w:pPr>
      <w:numPr>
        <w:numId w:val="176"/>
      </w:numPr>
    </w:pPr>
  </w:style>
  <w:style w:type="numbering" w:customStyle="1" w:styleId="ImportedStyle80">
    <w:name w:val="Imported Style 80"/>
    <w:pPr>
      <w:numPr>
        <w:numId w:val="178"/>
      </w:numPr>
    </w:pPr>
  </w:style>
  <w:style w:type="numbering" w:customStyle="1" w:styleId="ImportedStyle81">
    <w:name w:val="Imported Style 81"/>
    <w:pPr>
      <w:numPr>
        <w:numId w:val="180"/>
      </w:numPr>
    </w:pPr>
  </w:style>
  <w:style w:type="numbering" w:customStyle="1" w:styleId="ImportedStyle82">
    <w:name w:val="Imported Style 82"/>
    <w:pPr>
      <w:numPr>
        <w:numId w:val="182"/>
      </w:numPr>
    </w:pPr>
  </w:style>
  <w:style w:type="numbering" w:customStyle="1" w:styleId="ImportedStyle83">
    <w:name w:val="Imported Style 83"/>
    <w:pPr>
      <w:numPr>
        <w:numId w:val="184"/>
      </w:numPr>
    </w:pPr>
  </w:style>
  <w:style w:type="numbering" w:customStyle="1" w:styleId="ImportedStyle84">
    <w:name w:val="Imported Style 84"/>
    <w:pPr>
      <w:numPr>
        <w:numId w:val="186"/>
      </w:numPr>
    </w:pPr>
  </w:style>
  <w:style w:type="numbering" w:customStyle="1" w:styleId="ImportedStyle85">
    <w:name w:val="Imported Style 85"/>
    <w:pPr>
      <w:numPr>
        <w:numId w:val="188"/>
      </w:numPr>
    </w:pPr>
  </w:style>
  <w:style w:type="numbering" w:customStyle="1" w:styleId="ImportedStyle86">
    <w:name w:val="Imported Style 86"/>
    <w:pPr>
      <w:numPr>
        <w:numId w:val="190"/>
      </w:numPr>
    </w:pPr>
  </w:style>
  <w:style w:type="numbering" w:customStyle="1" w:styleId="ImportedStyle87">
    <w:name w:val="Imported Style 87"/>
    <w:pPr>
      <w:numPr>
        <w:numId w:val="192"/>
      </w:numPr>
    </w:pPr>
  </w:style>
  <w:style w:type="numbering" w:customStyle="1" w:styleId="ImportedStyle88">
    <w:name w:val="Imported Style 88"/>
    <w:pPr>
      <w:numPr>
        <w:numId w:val="194"/>
      </w:numPr>
    </w:pPr>
  </w:style>
  <w:style w:type="numbering" w:customStyle="1" w:styleId="ImportedStyle89">
    <w:name w:val="Imported Style 89"/>
    <w:pPr>
      <w:numPr>
        <w:numId w:val="196"/>
      </w:numPr>
    </w:pPr>
  </w:style>
  <w:style w:type="numbering" w:customStyle="1" w:styleId="ImportedStyle90">
    <w:name w:val="Imported Style 90"/>
    <w:pPr>
      <w:numPr>
        <w:numId w:val="198"/>
      </w:numPr>
    </w:pPr>
  </w:style>
  <w:style w:type="numbering" w:customStyle="1" w:styleId="ImportedStyle91">
    <w:name w:val="Imported Style 91"/>
    <w:pPr>
      <w:numPr>
        <w:numId w:val="200"/>
      </w:numPr>
    </w:pPr>
  </w:style>
  <w:style w:type="numbering" w:customStyle="1" w:styleId="ImportedStyle92">
    <w:name w:val="Imported Style 92"/>
    <w:pPr>
      <w:numPr>
        <w:numId w:val="202"/>
      </w:numPr>
    </w:pPr>
  </w:style>
  <w:style w:type="numbering" w:customStyle="1" w:styleId="ImportedStyle93">
    <w:name w:val="Imported Style 93"/>
    <w:pPr>
      <w:numPr>
        <w:numId w:val="204"/>
      </w:numPr>
    </w:pPr>
  </w:style>
  <w:style w:type="numbering" w:customStyle="1" w:styleId="ImportedStyle94">
    <w:name w:val="Imported Style 94"/>
    <w:pPr>
      <w:numPr>
        <w:numId w:val="206"/>
      </w:numPr>
    </w:pPr>
  </w:style>
  <w:style w:type="numbering" w:customStyle="1" w:styleId="ImportedStyle95">
    <w:name w:val="Imported Style 95"/>
    <w:pPr>
      <w:numPr>
        <w:numId w:val="208"/>
      </w:numPr>
    </w:pPr>
  </w:style>
  <w:style w:type="numbering" w:customStyle="1" w:styleId="ImportedStyle96">
    <w:name w:val="Imported Style 96"/>
    <w:pPr>
      <w:numPr>
        <w:numId w:val="211"/>
      </w:numPr>
    </w:pPr>
  </w:style>
  <w:style w:type="character" w:customStyle="1" w:styleId="Hyperlink6">
    <w:name w:val="Hyperlink.6"/>
    <w:basedOn w:val="Link"/>
    <w:rPr>
      <w:rFonts w:ascii="Times New Roman" w:eastAsia="Times New Roman" w:hAnsi="Times New Roman" w:cs="Times New Roman"/>
      <w:outline w:val="0"/>
      <w:color w:val="0563C1"/>
      <w:u w:val="single" w:color="0563C1"/>
      <w:shd w:val="clear" w:color="auto" w:fill="FFFFFF"/>
      <w:lang w:val="en-US"/>
    </w:rPr>
  </w:style>
  <w:style w:type="numbering" w:customStyle="1" w:styleId="ImportedStyle97">
    <w:name w:val="Imported Style 97"/>
    <w:pPr>
      <w:numPr>
        <w:numId w:val="213"/>
      </w:numPr>
    </w:pPr>
  </w:style>
  <w:style w:type="numbering" w:customStyle="1" w:styleId="ImportedStyle98">
    <w:name w:val="Imported Style 98"/>
    <w:pPr>
      <w:numPr>
        <w:numId w:val="215"/>
      </w:numPr>
    </w:pPr>
  </w:style>
  <w:style w:type="numbering" w:customStyle="1" w:styleId="ImportedStyle99">
    <w:name w:val="Imported Style 99"/>
    <w:pPr>
      <w:numPr>
        <w:numId w:val="217"/>
      </w:numPr>
    </w:pPr>
  </w:style>
  <w:style w:type="numbering" w:customStyle="1" w:styleId="ImportedStyle100">
    <w:name w:val="Imported Style 100"/>
    <w:pPr>
      <w:numPr>
        <w:numId w:val="219"/>
      </w:numPr>
    </w:pPr>
  </w:style>
  <w:style w:type="numbering" w:customStyle="1" w:styleId="ImportedStyle101">
    <w:name w:val="Imported Style 101"/>
    <w:pPr>
      <w:numPr>
        <w:numId w:val="221"/>
      </w:numPr>
    </w:pPr>
  </w:style>
  <w:style w:type="numbering" w:customStyle="1" w:styleId="ImportedStyle102">
    <w:name w:val="Imported Style 102"/>
    <w:pPr>
      <w:numPr>
        <w:numId w:val="223"/>
      </w:numPr>
    </w:pPr>
  </w:style>
  <w:style w:type="numbering" w:customStyle="1" w:styleId="ImportedStyle103">
    <w:name w:val="Imported Style 103"/>
    <w:pPr>
      <w:numPr>
        <w:numId w:val="225"/>
      </w:numPr>
    </w:pPr>
  </w:style>
  <w:style w:type="numbering" w:customStyle="1" w:styleId="ImportedStyle104">
    <w:name w:val="Imported Style 104"/>
    <w:pPr>
      <w:numPr>
        <w:numId w:val="227"/>
      </w:numPr>
    </w:pPr>
  </w:style>
  <w:style w:type="numbering" w:customStyle="1" w:styleId="ImportedStyle105">
    <w:name w:val="Imported Style 105"/>
    <w:pPr>
      <w:numPr>
        <w:numId w:val="230"/>
      </w:numPr>
    </w:pPr>
  </w:style>
  <w:style w:type="numbering" w:customStyle="1" w:styleId="ImportedStyle106">
    <w:name w:val="Imported Style 106"/>
    <w:pPr>
      <w:numPr>
        <w:numId w:val="232"/>
      </w:numPr>
    </w:pPr>
  </w:style>
  <w:style w:type="numbering" w:customStyle="1" w:styleId="ImportedStyle107">
    <w:name w:val="Imported Style 107"/>
    <w:pPr>
      <w:numPr>
        <w:numId w:val="234"/>
      </w:numPr>
    </w:pPr>
  </w:style>
  <w:style w:type="numbering" w:customStyle="1" w:styleId="ImportedStyle108">
    <w:name w:val="Imported Style 108"/>
    <w:pPr>
      <w:numPr>
        <w:numId w:val="237"/>
      </w:numPr>
    </w:pPr>
  </w:style>
  <w:style w:type="numbering" w:customStyle="1" w:styleId="ImportedStyle109">
    <w:name w:val="Imported Style 109"/>
    <w:pPr>
      <w:numPr>
        <w:numId w:val="239"/>
      </w:numPr>
    </w:pPr>
  </w:style>
  <w:style w:type="numbering" w:customStyle="1" w:styleId="ImportedStyle110">
    <w:name w:val="Imported Style 110"/>
    <w:pPr>
      <w:numPr>
        <w:numId w:val="242"/>
      </w:numPr>
    </w:pPr>
  </w:style>
  <w:style w:type="numbering" w:customStyle="1" w:styleId="ImportedStyle111">
    <w:name w:val="Imported Style 111"/>
    <w:pPr>
      <w:numPr>
        <w:numId w:val="245"/>
      </w:numPr>
    </w:pPr>
  </w:style>
  <w:style w:type="numbering" w:customStyle="1" w:styleId="ImportedStyle112">
    <w:name w:val="Imported Style 112"/>
    <w:pPr>
      <w:numPr>
        <w:numId w:val="247"/>
      </w:numPr>
    </w:pPr>
  </w:style>
  <w:style w:type="numbering" w:customStyle="1" w:styleId="ImportedStyle113">
    <w:name w:val="Imported Style 113"/>
    <w:pPr>
      <w:numPr>
        <w:numId w:val="250"/>
      </w:numPr>
    </w:pPr>
  </w:style>
  <w:style w:type="numbering" w:customStyle="1" w:styleId="ImportedStyle114">
    <w:name w:val="Imported Style 114"/>
    <w:pPr>
      <w:numPr>
        <w:numId w:val="252"/>
      </w:numPr>
    </w:pPr>
  </w:style>
  <w:style w:type="numbering" w:customStyle="1" w:styleId="ImportedStyle115">
    <w:name w:val="Imported Style 115"/>
    <w:pPr>
      <w:numPr>
        <w:numId w:val="254"/>
      </w:numPr>
    </w:pPr>
  </w:style>
  <w:style w:type="numbering" w:customStyle="1" w:styleId="ImportedStyle116">
    <w:name w:val="Imported Style 116"/>
    <w:pPr>
      <w:numPr>
        <w:numId w:val="256"/>
      </w:numPr>
    </w:pPr>
  </w:style>
  <w:style w:type="numbering" w:customStyle="1" w:styleId="ImportedStyle117">
    <w:name w:val="Imported Style 117"/>
    <w:pPr>
      <w:numPr>
        <w:numId w:val="258"/>
      </w:numPr>
    </w:pPr>
  </w:style>
  <w:style w:type="numbering" w:customStyle="1" w:styleId="ImportedStyle118">
    <w:name w:val="Imported Style 118"/>
    <w:pPr>
      <w:numPr>
        <w:numId w:val="260"/>
      </w:numPr>
    </w:pPr>
  </w:style>
  <w:style w:type="numbering" w:customStyle="1" w:styleId="ImportedStyle119">
    <w:name w:val="Imported Style 119"/>
    <w:pPr>
      <w:numPr>
        <w:numId w:val="263"/>
      </w:numPr>
    </w:pPr>
  </w:style>
  <w:style w:type="numbering" w:customStyle="1" w:styleId="ImportedStyle120">
    <w:name w:val="Imported Style 120"/>
    <w:pPr>
      <w:numPr>
        <w:numId w:val="265"/>
      </w:numPr>
    </w:pPr>
  </w:style>
  <w:style w:type="numbering" w:customStyle="1" w:styleId="ImportedStyle121">
    <w:name w:val="Imported Style 121"/>
    <w:pPr>
      <w:numPr>
        <w:numId w:val="267"/>
      </w:numPr>
    </w:pPr>
  </w:style>
  <w:style w:type="numbering" w:customStyle="1" w:styleId="ImportedStyle122">
    <w:name w:val="Imported Style 122"/>
    <w:pPr>
      <w:numPr>
        <w:numId w:val="269"/>
      </w:numPr>
    </w:pPr>
  </w:style>
  <w:style w:type="numbering" w:customStyle="1" w:styleId="ImportedStyle123">
    <w:name w:val="Imported Style 123"/>
    <w:pPr>
      <w:numPr>
        <w:numId w:val="271"/>
      </w:numPr>
    </w:pPr>
  </w:style>
  <w:style w:type="numbering" w:customStyle="1" w:styleId="ImportedStyle124">
    <w:name w:val="Imported Style 124"/>
    <w:pPr>
      <w:numPr>
        <w:numId w:val="274"/>
      </w:numPr>
    </w:pPr>
  </w:style>
  <w:style w:type="numbering" w:customStyle="1" w:styleId="ImportedStyle125">
    <w:name w:val="Imported Style 125"/>
    <w:pPr>
      <w:numPr>
        <w:numId w:val="276"/>
      </w:numPr>
    </w:pPr>
  </w:style>
  <w:style w:type="numbering" w:customStyle="1" w:styleId="ImportedStyle126">
    <w:name w:val="Imported Style 126"/>
    <w:pPr>
      <w:numPr>
        <w:numId w:val="278"/>
      </w:numPr>
    </w:pPr>
  </w:style>
  <w:style w:type="numbering" w:customStyle="1" w:styleId="ImportedStyle127">
    <w:name w:val="Imported Style 127"/>
    <w:pPr>
      <w:numPr>
        <w:numId w:val="280"/>
      </w:numPr>
    </w:pPr>
  </w:style>
  <w:style w:type="numbering" w:customStyle="1" w:styleId="ImportedStyle128">
    <w:name w:val="Imported Style 128"/>
    <w:pPr>
      <w:numPr>
        <w:numId w:val="282"/>
      </w:numPr>
    </w:pPr>
  </w:style>
  <w:style w:type="numbering" w:customStyle="1" w:styleId="ImportedStyle129">
    <w:name w:val="Imported Style 129"/>
    <w:pPr>
      <w:numPr>
        <w:numId w:val="284"/>
      </w:numPr>
    </w:pPr>
  </w:style>
  <w:style w:type="numbering" w:customStyle="1" w:styleId="ImportedStyle130">
    <w:name w:val="Imported Style 130"/>
    <w:pPr>
      <w:numPr>
        <w:numId w:val="286"/>
      </w:numPr>
    </w:pPr>
  </w:style>
  <w:style w:type="numbering" w:customStyle="1" w:styleId="ImportedStyle131">
    <w:name w:val="Imported Style 131"/>
    <w:pPr>
      <w:numPr>
        <w:numId w:val="289"/>
      </w:numPr>
    </w:pPr>
  </w:style>
  <w:style w:type="numbering" w:customStyle="1" w:styleId="ImportedStyle132">
    <w:name w:val="Imported Style 132"/>
    <w:pPr>
      <w:numPr>
        <w:numId w:val="291"/>
      </w:numPr>
    </w:pPr>
  </w:style>
  <w:style w:type="numbering" w:customStyle="1" w:styleId="ImportedStyle133">
    <w:name w:val="Imported Style 133"/>
    <w:pPr>
      <w:numPr>
        <w:numId w:val="293"/>
      </w:numPr>
    </w:pPr>
  </w:style>
  <w:style w:type="numbering" w:customStyle="1" w:styleId="ImportedStyle134">
    <w:name w:val="Imported Style 134"/>
    <w:pPr>
      <w:numPr>
        <w:numId w:val="295"/>
      </w:numPr>
    </w:pPr>
  </w:style>
  <w:style w:type="numbering" w:customStyle="1" w:styleId="ImportedStyle135">
    <w:name w:val="Imported Style 135"/>
    <w:pPr>
      <w:numPr>
        <w:numId w:val="298"/>
      </w:numPr>
    </w:pPr>
  </w:style>
  <w:style w:type="numbering" w:customStyle="1" w:styleId="ImportedStyle136">
    <w:name w:val="Imported Style 136"/>
    <w:pPr>
      <w:numPr>
        <w:numId w:val="302"/>
      </w:numPr>
    </w:pPr>
  </w:style>
  <w:style w:type="numbering" w:customStyle="1" w:styleId="ImportedStyle137">
    <w:name w:val="Imported Style 137"/>
    <w:pPr>
      <w:numPr>
        <w:numId w:val="304"/>
      </w:numPr>
    </w:pPr>
  </w:style>
  <w:style w:type="numbering" w:customStyle="1" w:styleId="ImportedStyle138">
    <w:name w:val="Imported Style 138"/>
    <w:pPr>
      <w:numPr>
        <w:numId w:val="307"/>
      </w:numPr>
    </w:pPr>
  </w:style>
  <w:style w:type="numbering" w:customStyle="1" w:styleId="ImportedStyle139">
    <w:name w:val="Imported Style 139"/>
    <w:pPr>
      <w:numPr>
        <w:numId w:val="309"/>
      </w:numPr>
    </w:pPr>
  </w:style>
  <w:style w:type="numbering" w:customStyle="1" w:styleId="ImportedStyle140">
    <w:name w:val="Imported Style 140"/>
    <w:pPr>
      <w:numPr>
        <w:numId w:val="311"/>
      </w:numPr>
    </w:pPr>
  </w:style>
  <w:style w:type="numbering" w:customStyle="1" w:styleId="ImportedStyle141">
    <w:name w:val="Imported Style 141"/>
    <w:pPr>
      <w:numPr>
        <w:numId w:val="313"/>
      </w:numPr>
    </w:pPr>
  </w:style>
  <w:style w:type="character" w:customStyle="1" w:styleId="Hyperlink7">
    <w:name w:val="Hyperlink.7"/>
    <w:basedOn w:val="Link"/>
    <w:rPr>
      <w:rFonts w:ascii="Times New Roman" w:eastAsia="Times New Roman" w:hAnsi="Times New Roman" w:cs="Times New Roman"/>
      <w:outline w:val="0"/>
      <w:color w:val="0563C1"/>
      <w:sz w:val="24"/>
      <w:szCs w:val="24"/>
      <w:u w:val="single" w:color="0563C1"/>
    </w:rPr>
  </w:style>
  <w:style w:type="character" w:customStyle="1" w:styleId="Hyperlink8">
    <w:name w:val="Hyperlink.8"/>
    <w:basedOn w:val="Link"/>
    <w:rPr>
      <w:rFonts w:ascii="Times New Roman" w:eastAsia="Times New Roman" w:hAnsi="Times New Roman" w:cs="Times New Roman"/>
      <w:i/>
      <w:iCs/>
      <w:outline w:val="0"/>
      <w:color w:val="222222"/>
      <w:sz w:val="24"/>
      <w:szCs w:val="24"/>
      <w:u w:val="single" w:color="222222"/>
      <w:shd w:val="clear" w:color="auto" w:fill="FFFFFF"/>
    </w:rPr>
  </w:style>
  <w:style w:type="character" w:customStyle="1" w:styleId="Hyperlink9">
    <w:name w:val="Hyperlink.9"/>
    <w:basedOn w:val="None"/>
    <w:rPr>
      <w:rFonts w:ascii="Calibri" w:eastAsia="Calibri" w:hAnsi="Calibri" w:cs="Calibri"/>
      <w:i/>
      <w:iCs/>
      <w:outline w:val="0"/>
      <w:color w:val="222222"/>
      <w:u w:color="222222"/>
      <w:shd w:val="clear" w:color="auto" w:fill="FFFFFF"/>
    </w:rPr>
  </w:style>
  <w:style w:type="character" w:customStyle="1" w:styleId="Hyperlink10">
    <w:name w:val="Hyperlink.1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1">
    <w:name w:val="Hyperlink.11"/>
    <w:basedOn w:val="None"/>
    <w:rPr>
      <w:rFonts w:ascii="Times New Roman" w:eastAsia="Times New Roman" w:hAnsi="Times New Roman" w:cs="Times New Roman"/>
      <w:outline w:val="0"/>
      <w:color w:val="0563C1"/>
      <w:sz w:val="24"/>
      <w:szCs w:val="24"/>
      <w:u w:val="single" w:color="0563C1"/>
    </w:rPr>
  </w:style>
  <w:style w:type="character" w:customStyle="1" w:styleId="Hyperlink12">
    <w:name w:val="Hyperlink.12"/>
    <w:basedOn w:val="Link"/>
    <w:rPr>
      <w:rFonts w:ascii="Times New Roman" w:eastAsia="Times New Roman" w:hAnsi="Times New Roman" w:cs="Times New Roman"/>
      <w:outline w:val="0"/>
      <w:color w:val="0563C1"/>
      <w:sz w:val="24"/>
      <w:szCs w:val="24"/>
      <w:u w:val="single" w:color="0563C1"/>
      <w:shd w:val="clear" w:color="auto" w:fill="FFFFFF"/>
    </w:rPr>
  </w:style>
  <w:style w:type="character" w:customStyle="1" w:styleId="Hyperlink13">
    <w:name w:val="Hyperlink.13"/>
    <w:basedOn w:val="None"/>
    <w:rPr>
      <w:rFonts w:ascii="Times New Roman" w:eastAsia="Times New Roman" w:hAnsi="Times New Roman" w:cs="Times New Roman"/>
      <w:outline w:val="0"/>
      <w:color w:val="0563C1"/>
      <w:sz w:val="24"/>
      <w:szCs w:val="24"/>
      <w:u w:val="single" w:color="0563C1"/>
      <w:lang w:val="en-US"/>
    </w:rPr>
  </w:style>
  <w:style w:type="paragraph" w:styleId="a9">
    <w:name w:val="header"/>
    <w:basedOn w:val="a"/>
    <w:link w:val="Char"/>
    <w:uiPriority w:val="99"/>
    <w:unhideWhenUsed/>
    <w:rsid w:val="00A663DE"/>
    <w:pPr>
      <w:tabs>
        <w:tab w:val="center" w:pos="4680"/>
        <w:tab w:val="right" w:pos="9360"/>
      </w:tabs>
    </w:pPr>
  </w:style>
  <w:style w:type="character" w:customStyle="1" w:styleId="Char">
    <w:name w:val="رأس الصفحة Char"/>
    <w:basedOn w:val="a0"/>
    <w:link w:val="a9"/>
    <w:uiPriority w:val="99"/>
    <w:rsid w:val="00A663DE"/>
    <w:rPr>
      <w:sz w:val="24"/>
      <w:szCs w:val="24"/>
    </w:rPr>
  </w:style>
  <w:style w:type="character" w:styleId="aa">
    <w:name w:val="footnote reference"/>
    <w:basedOn w:val="a0"/>
    <w:uiPriority w:val="99"/>
    <w:semiHidden/>
    <w:unhideWhenUsed/>
    <w:rsid w:val="005B098D"/>
    <w:rPr>
      <w:vertAlign w:val="superscript"/>
    </w:rPr>
  </w:style>
  <w:style w:type="paragraph" w:styleId="3">
    <w:name w:val="toc 3"/>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480"/>
    </w:pPr>
    <w:rPr>
      <w:rFonts w:asciiTheme="minorHAnsi" w:eastAsiaTheme="minorEastAsia" w:hAnsiTheme="minorHAnsi" w:cstheme="minorBidi"/>
      <w:kern w:val="2"/>
      <w:bdr w:val="none" w:sz="0" w:space="0" w:color="auto"/>
      <w14:ligatures w14:val="standardContextual"/>
    </w:rPr>
  </w:style>
  <w:style w:type="paragraph" w:styleId="4">
    <w:name w:val="toc 4"/>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720"/>
    </w:pPr>
    <w:rPr>
      <w:rFonts w:asciiTheme="minorHAnsi" w:eastAsiaTheme="minorEastAsia" w:hAnsiTheme="minorHAnsi" w:cstheme="minorBidi"/>
      <w:kern w:val="2"/>
      <w:bdr w:val="none" w:sz="0" w:space="0" w:color="auto"/>
      <w14:ligatures w14:val="standardContextual"/>
    </w:rPr>
  </w:style>
  <w:style w:type="paragraph" w:styleId="5">
    <w:name w:val="toc 5"/>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960"/>
    </w:pPr>
    <w:rPr>
      <w:rFonts w:asciiTheme="minorHAnsi" w:eastAsiaTheme="minorEastAsia" w:hAnsiTheme="minorHAnsi" w:cstheme="minorBidi"/>
      <w:kern w:val="2"/>
      <w:bdr w:val="none" w:sz="0" w:space="0" w:color="auto"/>
      <w14:ligatures w14:val="standardContextual"/>
    </w:rPr>
  </w:style>
  <w:style w:type="paragraph" w:styleId="6">
    <w:name w:val="toc 6"/>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200"/>
    </w:pPr>
    <w:rPr>
      <w:rFonts w:asciiTheme="minorHAnsi" w:eastAsiaTheme="minorEastAsia" w:hAnsiTheme="minorHAnsi" w:cstheme="minorBidi"/>
      <w:kern w:val="2"/>
      <w:bdr w:val="none" w:sz="0" w:space="0" w:color="auto"/>
      <w14:ligatures w14:val="standardContextual"/>
    </w:rPr>
  </w:style>
  <w:style w:type="paragraph" w:styleId="7">
    <w:name w:val="toc 7"/>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440"/>
    </w:pPr>
    <w:rPr>
      <w:rFonts w:asciiTheme="minorHAnsi" w:eastAsiaTheme="minorEastAsia" w:hAnsiTheme="minorHAnsi" w:cstheme="minorBidi"/>
      <w:kern w:val="2"/>
      <w:bdr w:val="none" w:sz="0" w:space="0" w:color="auto"/>
      <w14:ligatures w14:val="standardContextual"/>
    </w:rPr>
  </w:style>
  <w:style w:type="paragraph" w:styleId="8">
    <w:name w:val="toc 8"/>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680"/>
    </w:pPr>
    <w:rPr>
      <w:rFonts w:asciiTheme="minorHAnsi" w:eastAsiaTheme="minorEastAsia" w:hAnsiTheme="minorHAnsi" w:cstheme="minorBidi"/>
      <w:kern w:val="2"/>
      <w:bdr w:val="none" w:sz="0" w:space="0" w:color="auto"/>
      <w14:ligatures w14:val="standardContextual"/>
    </w:rPr>
  </w:style>
  <w:style w:type="paragraph" w:styleId="9">
    <w:name w:val="toc 9"/>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920"/>
    </w:pPr>
    <w:rPr>
      <w:rFonts w:asciiTheme="minorHAnsi" w:eastAsiaTheme="minorEastAsia" w:hAnsiTheme="minorHAnsi" w:cstheme="minorBidi"/>
      <w:kern w:val="2"/>
      <w:bdr w:val="none" w:sz="0" w:space="0" w:color="auto"/>
      <w14:ligatures w14:val="standardContextual"/>
    </w:rPr>
  </w:style>
  <w:style w:type="character" w:styleId="ab">
    <w:name w:val="Unresolved Mention"/>
    <w:basedOn w:val="a0"/>
    <w:uiPriority w:val="99"/>
    <w:semiHidden/>
    <w:unhideWhenUsed/>
    <w:rsid w:val="00E94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alloz.fr/documentation/Document?id=CODE_CPPI_ARTI_L331-1-3&amp;scrll=CPPI008882&amp;FromId=CODES_SECS_CPPI_TALPHA" TargetMode="External"/><Relationship Id="rId21" Type="http://schemas.openxmlformats.org/officeDocument/2006/relationships/hyperlink" Target="https://www.congress.gov/crs-product/IF10033" TargetMode="External"/><Relationship Id="rId42" Type="http://schemas.openxmlformats.org/officeDocument/2006/relationships/hyperlink" Target="https://www.lawjournalnewsletters.com/2003/08/22/no-electronic-theft-act-is-a-partial-success/?utm_source=chatgpt.com&amp;slreturn=20250817034910" TargetMode="External"/><Relationship Id="rId47" Type="http://schemas.openxmlformats.org/officeDocument/2006/relationships/hyperlink" Target="https://www.legifrance.gouv.fr/codes/article_lc/LEGIARTI000006278958" TargetMode="External"/><Relationship Id="rId63" Type="http://schemas.openxmlformats.org/officeDocument/2006/relationships/hyperlink" Target="https://www.state.gov/intellectual-property-enforcement" TargetMode="External"/><Relationship Id="rId68" Type="http://schemas.openxmlformats.org/officeDocument/2006/relationships/hyperlink" Target="https://www.wired.com/2016/06/hacker-lexicon-digital-millennium-copyright-act/?utm_source=chatgpt.com" TargetMode="External"/><Relationship Id="rId84" Type="http://schemas.openxmlformats.org/officeDocument/2006/relationships/footer" Target="footer3.xml"/><Relationship Id="rId16" Type="http://schemas.openxmlformats.org/officeDocument/2006/relationships/hyperlink" Target="https://bja.ojp.gov/program/intellectual-property-enforcement-program/overview?utm_source=chatgpt.com" TargetMode="External"/><Relationship Id="rId11" Type="http://schemas.openxmlformats.org/officeDocument/2006/relationships/header" Target="header1.xml"/><Relationship Id="rId32" Type="http://schemas.openxmlformats.org/officeDocument/2006/relationships/hyperlink" Target="https://french-business-law.com/french-legislation/legitext000006069414-french-intellectual-property-code/page/3/" TargetMode="External"/><Relationship Id="rId37" Type="http://schemas.openxmlformats.org/officeDocument/2006/relationships/hyperlink" Target="https://assets.publishing.service.gov.uk/media/5a80bf68e5274a2e87dbb972/IP_rights_in_USA.pdf" TargetMode="External"/><Relationship Id="rId53" Type="http://schemas.openxmlformats.org/officeDocument/2006/relationships/hyperlink" Target="https://muse.jhu.edu/pub/1/article/777601" TargetMode="External"/><Relationship Id="rId58" Type="http://schemas.openxmlformats.org/officeDocument/2006/relationships/hyperlink" Target="https://www.testu-avocat.fr/droit-auteur-avocat-bordeaux/les-sanctions-de-l-atteinte-aux-droits-d-auteur" TargetMode="External"/><Relationship Id="rId74" Type="http://schemas.openxmlformats.org/officeDocument/2006/relationships/hyperlink" Target="https://www.saip.gov.sa/committees-secretariat/1457/" TargetMode="External"/><Relationship Id="rId79" Type="http://schemas.openxmlformats.org/officeDocument/2006/relationships/hyperlink" Target="https://www.saip.gov.sa/about/brief/" TargetMode="External"/><Relationship Id="rId5" Type="http://schemas.openxmlformats.org/officeDocument/2006/relationships/webSettings" Target="webSettings.xml"/><Relationship Id="rId19" Type="http://schemas.openxmlformats.org/officeDocument/2006/relationships/hyperlink" Target="https://cacm.acm.org/opinion/statutory-damages-as-a-threat-to-innovation/?utm_source=chatgpt.com" TargetMode="External"/><Relationship Id="rId14" Type="http://schemas.openxmlformats.org/officeDocument/2006/relationships/hyperlink" Target="https://www.aippi.org/news/a-century-of-excellence-the-french-legacy-in-global-intellectual-property/" TargetMode="External"/><Relationship Id="rId22" Type="http://schemas.openxmlformats.org/officeDocument/2006/relationships/hyperlink" Target="https://scholarlycommons.law.cwsl.edu/fs/422" TargetMode="External"/><Relationship Id="rId27" Type="http://schemas.openxmlformats.org/officeDocument/2006/relationships/hyperlink" Target="https://www.august-debouzy.com/en/blog/1258-trade-secrets-better-protected-by-french-law-and-by-the-courts" TargetMode="External"/><Relationship Id="rId30" Type="http://schemas.openxmlformats.org/officeDocument/2006/relationships/hyperlink" Target="https://www.dreyfus.fr/en/2024/10/21/frances-ip-legislation-mastering-trademarks-in-a-global-playground/" TargetMode="External"/><Relationship Id="rId35" Type="http://schemas.openxmlformats.org/officeDocument/2006/relationships/hyperlink" Target="https://www.hg.org/intell.html" TargetMode="External"/><Relationship Id="rId43" Type="http://schemas.openxmlformats.org/officeDocument/2006/relationships/hyperlink" Target="https://lawyersitaly.eu/intellectual-property-in-italy/" TargetMode="External"/><Relationship Id="rId48" Type="http://schemas.openxmlformats.org/officeDocument/2006/relationships/hyperlink" Target="https://lesi.org/ip-related-aspects-of-the-french-law-on-modernization-of-the-economy/" TargetMode="External"/><Relationship Id="rId56" Type="http://schemas.openxmlformats.org/officeDocument/2006/relationships/hyperlink" Target="https://www.sacd.fr/en/authors-rights-and-their-work" TargetMode="External"/><Relationship Id="rId64" Type="http://schemas.openxmlformats.org/officeDocument/2006/relationships/hyperlink" Target="https://www.govinfo.gov/content/pkg/USCODE-2023-title17/html/USCODE-2023-title17-chap5-sec504.htm?utm_source=chatgpt.com" TargetMode="External"/><Relationship Id="rId69" Type="http://schemas.openxmlformats.org/officeDocument/2006/relationships/hyperlink" Target="https://www.wired.com/1997/12/industry-1-academics-0-clinton-signs-copyright-bill/?utm_source=chatgpt.com" TargetMode="External"/><Relationship Id="rId77" Type="http://schemas.openxmlformats.org/officeDocument/2006/relationships/hyperlink" Target="https://www.saip.gov.sa/committees-secretariat/1456/" TargetMode="External"/><Relationship Id="rId8" Type="http://schemas.openxmlformats.org/officeDocument/2006/relationships/image" Target="media/image1.png"/><Relationship Id="rId51" Type="http://schemas.openxmlformats.org/officeDocument/2006/relationships/hyperlink" Target="https://nclnet.org/drm/" TargetMode="External"/><Relationship Id="rId72" Type="http://schemas.openxmlformats.org/officeDocument/2006/relationships/hyperlink" Target="https://www.wipo.int/pressroom/ar/articles/2024/article_0004.html?utm_source=chatgpt.com" TargetMode="External"/><Relationship Id="rId80" Type="http://schemas.openxmlformats.org/officeDocument/2006/relationships/hyperlink" Target="https://www.saip.gov.sa/pct"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csis.org/analysis/intellectual-property-rights-and-future-us-technological-leadership" TargetMode="External"/><Relationship Id="rId25" Type="http://schemas.openxmlformats.org/officeDocument/2006/relationships/hyperlink" Target="https://www.lawshelf.com/coursewarecontentview/history-and-sources-of-intellectual-property-law" TargetMode="External"/><Relationship Id="rId33" Type="http://schemas.openxmlformats.org/officeDocument/2006/relationships/hyperlink" Target="https://www.law.georgetown.edu/your-life-career/career-exploration-professional-development/for-jd-students/explore-legal-careers/practice-areas/intellectual-property-law/" TargetMode="External"/><Relationship Id="rId38" Type="http://schemas.openxmlformats.org/officeDocument/2006/relationships/hyperlink" Target="https://www.ipoi.gov.ie/en/commercialise-your-ip/using-ip-to-grow-your-business/what-is-intellectual-property-/" TargetMode="External"/><Relationship Id="rId46" Type="http://schemas.openxmlformats.org/officeDocument/2006/relationships/hyperlink" Target="https://www.legifrance.gouv.fr/codes/article_lc/LEGIARTI000006278891/" TargetMode="External"/><Relationship Id="rId59" Type="http://schemas.openxmlformats.org/officeDocument/2006/relationships/hyperlink" Target="https://fedsoc.org/commentary/fedsoc-blog/the-forgotten-history-of-the-intellectual-property-clause" TargetMode="External"/><Relationship Id="rId67" Type="http://schemas.openxmlformats.org/officeDocument/2006/relationships/hyperlink" Target="https://www.wipo.int/wipolex/en/legislation/details/14446" TargetMode="External"/><Relationship Id="rId20" Type="http://schemas.openxmlformats.org/officeDocument/2006/relationships/hyperlink" Target="https://www.congress.gov/crs-product/IF10986" TargetMode="External"/><Relationship Id="rId41" Type="http://schemas.openxmlformats.org/officeDocument/2006/relationships/hyperlink" Target="https://usinfo.org/trade/bg9515e.htm" TargetMode="External"/><Relationship Id="rId54" Type="http://schemas.openxmlformats.org/officeDocument/2006/relationships/hyperlink" Target="https://prospectlaw.co.uk/news/article/protecting-and-exploiting-uk-intellectual-property/" TargetMode="External"/><Relationship Id="rId62" Type="http://schemas.openxmlformats.org/officeDocument/2006/relationships/hyperlink" Target="https://www.copyright.gov/docs/ipo.html" TargetMode="External"/><Relationship Id="rId70" Type="http://schemas.openxmlformats.org/officeDocument/2006/relationships/hyperlink" Target="https://www.wipo.int/edocs/pubdocs/en/wipo_pub_909_2016.pdf" TargetMode="External"/><Relationship Id="rId75" Type="http://schemas.openxmlformats.org/officeDocument/2006/relationships/hyperlink" Target="https://www.saip.gov.sa/committees-secretariat/1412/" TargetMode="External"/><Relationship Id="rId83" Type="http://schemas.openxmlformats.org/officeDocument/2006/relationships/hyperlink" Target="https://www.mordorintelligence.com/ar/industry-reports/saudi-arabia-ecommerce-marke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la.org/advocacy/copyright/dmca?utm_source" TargetMode="External"/><Relationship Id="rId23" Type="http://schemas.openxmlformats.org/officeDocument/2006/relationships/hyperlink" Target="https://copyrightalliance.org/education/copyright-law-explained/copyright-infringement/copyright-statutory-damages/?utm_source=chatgpt.com" TargetMode="External"/><Relationship Id="rId28" Type="http://schemas.openxmlformats.org/officeDocument/2006/relationships/hyperlink" Target="https://2u.pw/g1P5N" TargetMode="External"/><Relationship Id="rId36" Type="http://schemas.openxmlformats.org/officeDocument/2006/relationships/hyperlink" Target="https://iplac.org/about/history/intellectual-property-timeline/" TargetMode="External"/><Relationship Id="rId49" Type="http://schemas.openxmlformats.org/officeDocument/2006/relationships/hyperlink" Target="https://www.law.cornell.edu/uscode/text/17/504?utm_source=chatgpt.com" TargetMode="External"/><Relationship Id="rId57" Type="http://schemas.openxmlformats.org/officeDocument/2006/relationships/hyperlink" Target="https://sunwater.org/adoption-of-intellectual-property-laws-across-the-globe-timeline/" TargetMode="External"/><Relationship Id="rId10" Type="http://schemas.openxmlformats.org/officeDocument/2006/relationships/image" Target="media/image2.png"/><Relationship Id="rId31" Type="http://schemas.openxmlformats.org/officeDocument/2006/relationships/hyperlink" Target="https://www.britannica.com/topic/intellectual-property-law"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www.oecd.org/en/publications/access-to-public-research-data-toolkit_a12e8998-en/law-for-a-digital-republic_b99868b0-en.html" TargetMode="External"/><Relationship Id="rId60" Type="http://schemas.openxmlformats.org/officeDocument/2006/relationships/hyperlink" Target="https://lawreview.gmu.edu/print__issues/the-future-of-criminal-enforcement-of-copyright-the-promise-of-civil-enforcement/?utm_source=chatgpt.com" TargetMode="External"/><Relationship Id="rId65" Type="http://schemas.openxmlformats.org/officeDocument/2006/relationships/hyperlink" Target="https://www.law.uh.edu/faculty/cjoyce/copyright/release10/universal.html" TargetMode="External"/><Relationship Id="rId73" Type="http://schemas.openxmlformats.org/officeDocument/2006/relationships/hyperlink" Target="https://www.wipo.int/pressroom/ar/articles/2024/article_0003.html" TargetMode="External"/><Relationship Id="rId78" Type="http://schemas.openxmlformats.org/officeDocument/2006/relationships/hyperlink" Target="https://eparticipation.my.gov.sa/e-consultations/consultations/legal/legal-consultation-25811" TargetMode="External"/><Relationship Id="rId81" Type="http://schemas.openxmlformats.org/officeDocument/2006/relationships/hyperlink" Target="https://www.wipo.int/copyright/ar"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s://ciohub.org/post/2023/06/a-brief-history-how-intellectual-property-protection-evolved-over-time/?utm_source=chatgpt.com" TargetMode="External"/><Relationship Id="rId39" Type="http://schemas.openxmlformats.org/officeDocument/2006/relationships/hyperlink" Target="https://www.irational.org/APD/CCIPS/netsum.htm?utm_source=chatgpt.com" TargetMode="External"/><Relationship Id="rId34" Type="http://schemas.openxmlformats.org/officeDocument/2006/relationships/hyperlink" Target="https://cyber.harvard.edu/property00/alternatives/dmca.html?utm_source" TargetMode="External"/><Relationship Id="rId50" Type="http://schemas.openxmlformats.org/officeDocument/2006/relationships/hyperlink" Target="https://reposit.nupp.edu.ua/bitstream/PoltNTU/12441/1/75%2520%25D0%25A2.1-441-442.pdf" TargetMode="External"/><Relationship Id="rId55" Type="http://schemas.openxmlformats.org/officeDocument/2006/relationships/hyperlink" Target="https://www.rpclegal.com/-/media/rpc/files/perspectives/ip/france.pdf" TargetMode="External"/><Relationship Id="rId76" Type="http://schemas.openxmlformats.org/officeDocument/2006/relationships/hyperlink" Target="https://www.saip.gov.sa/committees-secretariat/" TargetMode="External"/><Relationship Id="rId7" Type="http://schemas.openxmlformats.org/officeDocument/2006/relationships/endnotes" Target="endnotes.xml"/><Relationship Id="rId71" Type="http://schemas.openxmlformats.org/officeDocument/2006/relationships/hyperlink" Target="https://www.wto.org/English/tratop_e/trips_e/intel1_e.htm" TargetMode="External"/><Relationship Id="rId2" Type="http://schemas.openxmlformats.org/officeDocument/2006/relationships/numbering" Target="numbering.xml"/><Relationship Id="rId29" Type="http://schemas.openxmlformats.org/officeDocument/2006/relationships/hyperlink" Target="https://www.dreyfus.fr/en/2024/10/21/frances-ip-legislation-mastering-trademarks-in-a-global-playground/" TargetMode="External"/><Relationship Id="rId24" Type="http://schemas.openxmlformats.org/officeDocument/2006/relationships/hyperlink" Target="https://www.copyright.gov/dmca/"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legifrance.gouv.fr/codes/article_lc/LEGIARTI000032655082" TargetMode="External"/><Relationship Id="rId66" Type="http://schemas.openxmlformats.org/officeDocument/2006/relationships/hyperlink" Target="https://www.uspto.gov/ip-policy/enforcement-policy/enforcement-initiatives?utm_source=chatgpt.com" TargetMode="External"/><Relationship Id="rId61" Type="http://schemas.openxmlformats.org/officeDocument/2006/relationships/hyperlink" Target="https://www.uspto.gov/sites/default/files/documents/uspto-ip-us-economy-third-edition.pdf" TargetMode="External"/><Relationship Id="rId82" Type="http://schemas.openxmlformats.org/officeDocument/2006/relationships/hyperlink" Target="https://www.sama.gov.sa/ar-sa/News/Pages/news-1083.aspx"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csis.org/analysis/intellectual-property-rights-and-future-us-technological-leadership" TargetMode="External"/><Relationship Id="rId21" Type="http://schemas.openxmlformats.org/officeDocument/2006/relationships/hyperlink" Target="https://iplac.org/about/history/intellectual-property-timeline/" TargetMode="External"/><Relationship Id="rId42" Type="http://schemas.openxmlformats.org/officeDocument/2006/relationships/hyperlink" Target="https://www.testu-avocat.fr/droit-auteur-avocat-bordeaux/les-sanctions-de-l-atteinte-aux-droits-d-auteur" TargetMode="External"/><Relationship Id="rId47" Type="http://schemas.openxmlformats.org/officeDocument/2006/relationships/hyperlink" Target="https://copyrightalliance.org/education/copyright-law-explained/copyright-infringement/copyright-statutory-damages/?utm_source=chatgpt.com" TargetMode="External"/><Relationship Id="rId63" Type="http://schemas.openxmlformats.org/officeDocument/2006/relationships/hyperlink" Target="https://nclnet.org/drm/" TargetMode="External"/><Relationship Id="rId68" Type="http://schemas.openxmlformats.org/officeDocument/2006/relationships/hyperlink" Target="https://www.rpclegal.com/-/media/rpc/files/perspectives/ip/france.pdf" TargetMode="External"/><Relationship Id="rId7" Type="http://schemas.openxmlformats.org/officeDocument/2006/relationships/hyperlink" Target="https://lawyersitaly.eu/intellectual-property-in-italy/" TargetMode="External"/><Relationship Id="rId2" Type="http://schemas.openxmlformats.org/officeDocument/2006/relationships/hyperlink" Target="https://www.wipo.int/copyright/ar" TargetMode="External"/><Relationship Id="rId16" Type="http://schemas.openxmlformats.org/officeDocument/2006/relationships/hyperlink" Target="https://eparticipation.my.gov.sa/e-consultations/consultations/legal/legal-consultation-25811" TargetMode="External"/><Relationship Id="rId29" Type="http://schemas.openxmlformats.org/officeDocument/2006/relationships/hyperlink" Target="https://www.ipoi.gov.ie/en/commercialise-your-ip/using-ip-to-grow-your-business/what-is-intellectual-property-/" TargetMode="External"/><Relationship Id="rId11" Type="http://schemas.openxmlformats.org/officeDocument/2006/relationships/hyperlink" Target="https://www.saip.gov.sa/committees-secretariat/1412/" TargetMode="External"/><Relationship Id="rId24" Type="http://schemas.openxmlformats.org/officeDocument/2006/relationships/hyperlink" Target="https://www.congress.gov/crs-product/IF10986" TargetMode="External"/><Relationship Id="rId32" Type="http://schemas.openxmlformats.org/officeDocument/2006/relationships/hyperlink" Target="https://www.aippi.org/news/a-century-of-excellence-the-french-legacy-in-global-intellectual-property/" TargetMode="External"/><Relationship Id="rId37" Type="http://schemas.openxmlformats.org/officeDocument/2006/relationships/hyperlink" Target="https://www.saip.gov.sa/about/brief/"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govinfo.gov/content/pkg/USCODE-2023-title17/html/USCODE-2023-title17-chap5-sec504.htm?utm_source=chatgpt.com" TargetMode="External"/><Relationship Id="rId53" Type="http://schemas.openxmlformats.org/officeDocument/2006/relationships/hyperlink" Target="https://cacm.acm.org/opinion/statutory-damages-as-a-threat-to-innovation/?utm_source=chatgpt.com" TargetMode="External"/><Relationship Id="rId58" Type="http://schemas.openxmlformats.org/officeDocument/2006/relationships/hyperlink" Target="https://www.wired.com/2016/06/hacker-lexicon-digital-millennium-copyright-act/?utm_source=chatgpt.com" TargetMode="External"/><Relationship Id="rId66" Type="http://schemas.openxmlformats.org/officeDocument/2006/relationships/hyperlink" Target="https://french-business-law.com/french-legislation/legitext000006069414-french-intellectual-property-code/page/3/" TargetMode="External"/><Relationship Id="rId5" Type="http://schemas.openxmlformats.org/officeDocument/2006/relationships/hyperlink" Target="https://prospectlaw.co.uk/news/article/protecting-and-exploiting-uk-intellectual-property/" TargetMode="External"/><Relationship Id="rId61" Type="http://schemas.openxmlformats.org/officeDocument/2006/relationships/hyperlink" Target="https://bja.ojp.gov/program/intellectual-property-enforcement-program/overview?utm_source=chatgpt.com" TargetMode="External"/><Relationship Id="rId19" Type="http://schemas.openxmlformats.org/officeDocument/2006/relationships/hyperlink" Target="https://www.law.georgetown.edu/your-life-career/career-exploration-professional-development/for-jd-students/explore-legal-careers/practice-areas/intellectual-property-law//" TargetMode="External"/><Relationship Id="rId14" Type="http://schemas.openxmlformats.org/officeDocument/2006/relationships/hyperlink" Target="https://www.mordorintelligence.com/ar/industry-reports/saudi-arabia-ecommerce-market" TargetMode="External"/><Relationship Id="rId22" Type="http://schemas.openxmlformats.org/officeDocument/2006/relationships/hyperlink" Target="https://fedsoc.org/commentary/fedsoc-blog/the-forgotten-history-of-the-intellectual-property-clause" TargetMode="External"/><Relationship Id="rId27" Type="http://schemas.openxmlformats.org/officeDocument/2006/relationships/hyperlink" Target="https://www.copyright.gov/docs/ipo.html" TargetMode="External"/><Relationship Id="rId30" Type="http://schemas.openxmlformats.org/officeDocument/2006/relationships/hyperlink" Target="https://muse.jhu.edu/pub/1/article/777601" TargetMode="External"/><Relationship Id="rId35" Type="http://schemas.openxmlformats.org/officeDocument/2006/relationships/hyperlink" Target="https://lesi.org/ip-related-aspects-of-the-french-law-on-modernization-of-the-economy/" TargetMode="External"/><Relationship Id="rId43" Type="http://schemas.openxmlformats.org/officeDocument/2006/relationships/hyperlink" Target="https://www.legifrance.gouv.fr/codes/article_lc/LEGIARTI000032655082" TargetMode="External"/><Relationship Id="rId48" Type="http://schemas.openxmlformats.org/officeDocument/2006/relationships/hyperlink" Target="https://lawreview.gmu.edu/print__issues/the-future-of-criminal-enforcement-of-copyright-the-promise-of-civil-enforcement/?utm_source=chatgpt.com" TargetMode="External"/><Relationship Id="rId56" Type="http://schemas.openxmlformats.org/officeDocument/2006/relationships/hyperlink" Target="https://www.britannica.com/topic/intellectual-property-law" TargetMode="External"/><Relationship Id="rId64" Type="http://schemas.openxmlformats.org/officeDocument/2006/relationships/hyperlink" Target="https://www.law.uh.edu/faculty/cjoyce/copyright/release10/universal.html" TargetMode="External"/><Relationship Id="rId69" Type="http://schemas.openxmlformats.org/officeDocument/2006/relationships/hyperlink" Target="https://www.legifrance.gouv.fr/codes/article_lc/LEGIARTI000006278891/" TargetMode="External"/><Relationship Id="rId8" Type="http://schemas.openxmlformats.org/officeDocument/2006/relationships/hyperlink" Target="https://www.saip.gov.sa/committees-secretariat/" TargetMode="External"/><Relationship Id="rId51" Type="http://schemas.openxmlformats.org/officeDocument/2006/relationships/hyperlink" Target="https://www.irational.org/APD/CCIPS/netsum.htm?utm_source=chatgpt.com" TargetMode="External"/><Relationship Id="rId3" Type="http://schemas.openxmlformats.org/officeDocument/2006/relationships/hyperlink" Target="https://www.wipo.int/pressroom/ar/articles/2024/article_0003.html" TargetMode="External"/><Relationship Id="rId12" Type="http://schemas.openxmlformats.org/officeDocument/2006/relationships/hyperlink" Target="https://www.wipo.int/pressroom/ar/articles/2024/article_0004.html?utm_source=chatgpt.com" TargetMode="External"/><Relationship Id="rId17" Type="http://schemas.openxmlformats.org/officeDocument/2006/relationships/hyperlink" Target="https://www.saip.gov.sa/pct" TargetMode="External"/><Relationship Id="rId25" Type="http://schemas.openxmlformats.org/officeDocument/2006/relationships/hyperlink" Target="https://www.hg.org/intell.html" TargetMode="External"/><Relationship Id="rId33" Type="http://schemas.openxmlformats.org/officeDocument/2006/relationships/hyperlink" Target="https://usinfo.org/trade/bg9515e.htm" TargetMode="External"/><Relationship Id="rId38" Type="http://schemas.openxmlformats.org/officeDocument/2006/relationships/hyperlink" Target="https://www.august-debouzy.com/en/blog/1258-trade-secrets-better-protected-by-french-law-and-by-the-courts" TargetMode="External"/><Relationship Id="rId46" Type="http://schemas.openxmlformats.org/officeDocument/2006/relationships/hyperlink" Target="https://www.law.cornell.edu/uscode/text/17/504?utm_source=chatgpt.com" TargetMode="External"/><Relationship Id="rId59" Type="http://schemas.openxmlformats.org/officeDocument/2006/relationships/hyperlink" Target="https://www.congress.gov/crs-product/IF10033" TargetMode="External"/><Relationship Id="rId67" Type="http://schemas.openxmlformats.org/officeDocument/2006/relationships/hyperlink" Target="https://www.oecd.org/en/publications/access-to-public-research-data-toolkit_a12e8998-en/law-for-a-digital-republic_b99868b0-en.html" TargetMode="External"/><Relationship Id="rId20" Type="http://schemas.openxmlformats.org/officeDocument/2006/relationships/hyperlink" Target="https://www.lawshelf.com/coursewarecontentview/history-and-sources-of-intellectual-property-law" TargetMode="External"/><Relationship Id="rId41" Type="http://schemas.openxmlformats.org/officeDocument/2006/relationships/hyperlink" Target="https://www.dalloz.fr/documentation/Document?id=CODE_CPPI_ARTI_L331-1-3&amp;scrll=CPPI008882&amp;FromId=CODES_SECS_CPPI_TALPHA" TargetMode="External"/><Relationship Id="rId54" Type="http://schemas.openxmlformats.org/officeDocument/2006/relationships/hyperlink" Target="https://www.wto.org/English/tratop_e/trips_e/intel1_e.htm" TargetMode="External"/><Relationship Id="rId62" Type="http://schemas.openxmlformats.org/officeDocument/2006/relationships/hyperlink" Target="https://www.uspto.gov/ip-policy/enforcement-policy/enforcement-initiatives?utm_source=chatgpt.com" TargetMode="External"/><Relationship Id="rId70" Type="http://schemas.openxmlformats.org/officeDocument/2006/relationships/hyperlink" Target="https://www.sacd.fr/en/authors-rights-and-their-work" TargetMode="External"/><Relationship Id="rId1" Type="http://schemas.openxmlformats.org/officeDocument/2006/relationships/hyperlink" Target="https://2u.pw/g1P5N" TargetMode="External"/><Relationship Id="rId6" Type="http://schemas.openxmlformats.org/officeDocument/2006/relationships/hyperlink" Target="https://www.dreyfus.fr/en/2024/10/21/frances-ip-legislation-mastering-trademarks-in-a-global-playground/" TargetMode="External"/><Relationship Id="rId15" Type="http://schemas.openxmlformats.org/officeDocument/2006/relationships/hyperlink" Target="https://scholarlycommons.law.cwsl.edu/fs/422" TargetMode="External"/><Relationship Id="rId23" Type="http://schemas.openxmlformats.org/officeDocument/2006/relationships/hyperlink" Target="https://assets.publishing.service.gov.uk/media/5a80bf68e5274a2e87dbb972/IP_rights_in_USA.pdf" TargetMode="External"/><Relationship Id="rId28" Type="http://schemas.openxmlformats.org/officeDocument/2006/relationships/hyperlink" Target="https://www.state.gov/intellectual-property-enforcement" TargetMode="External"/><Relationship Id="rId36" Type="http://schemas.openxmlformats.org/officeDocument/2006/relationships/hyperlink" Target="https://www.dreyfus.fr/en/2024/10/21/frances-ip-legislation-mastering-trademarks-in-a-global-playground/" TargetMode="External"/><Relationship Id="rId49" Type="http://schemas.openxmlformats.org/officeDocument/2006/relationships/hyperlink" Target="https://www.wired.com/1997/12/industry-1-academics-0-clinton-signs-copyright-bill/?utm_source=chatgpt.com" TargetMode="External"/><Relationship Id="rId57" Type="http://schemas.openxmlformats.org/officeDocument/2006/relationships/hyperlink" Target="https://www.ala.org/advocacy/copyright/dmca?utm_source" TargetMode="External"/><Relationship Id="rId10" Type="http://schemas.openxmlformats.org/officeDocument/2006/relationships/hyperlink" Target="https://www.saip.gov.sa/committees-secretariat/1456/" TargetMode="External"/><Relationship Id="rId31" Type="http://schemas.openxmlformats.org/officeDocument/2006/relationships/hyperlink" Target="https://sunwater.org/adoption-of-intellectual-property-laws-across-the-globe-timeline/"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cyber.harvard.edu/property00/alternatives/dmca.html?utm_source" TargetMode="External"/><Relationship Id="rId60" Type="http://schemas.openxmlformats.org/officeDocument/2006/relationships/hyperlink" Target="https://www.copyright.gov/dmca/" TargetMode="External"/><Relationship Id="rId65" Type="http://schemas.openxmlformats.org/officeDocument/2006/relationships/hyperlink" Target="https://www.wipo.int/wipolex/en/legislation/details/14446" TargetMode="External"/><Relationship Id="rId4" Type="http://schemas.openxmlformats.org/officeDocument/2006/relationships/hyperlink" Target="https://www.wipo.int/edocs/pubdocs/en/wipo_pub_909_2016.pdf" TargetMode="External"/><Relationship Id="rId9" Type="http://schemas.openxmlformats.org/officeDocument/2006/relationships/hyperlink" Target="https://www.saip.gov.sa/committees-secretariat/1457/" TargetMode="External"/><Relationship Id="rId13" Type="http://schemas.openxmlformats.org/officeDocument/2006/relationships/hyperlink" Target="https://www.sama.gov.sa/ar-sa/News/Pages/news-1083.aspx" TargetMode="External"/><Relationship Id="rId18" Type="http://schemas.openxmlformats.org/officeDocument/2006/relationships/hyperlink" Target="https://www.uspto.gov/sites/default/files/documents/uspto-ip-us-economy-third-edition.pdf" TargetMode="External"/><Relationship Id="rId39" Type="http://schemas.openxmlformats.org/officeDocument/2006/relationships/hyperlink" Target="https://www.legifrance.gouv.fr/codes/article_lc/LEGIARTI000006278958" TargetMode="External"/><Relationship Id="rId34" Type="http://schemas.openxmlformats.org/officeDocument/2006/relationships/hyperlink" Target="https://reposit.nupp.edu.ua/bitstream/PoltNTU/12441/1/75%2520%25D0%25A2.1-441-442.pdf" TargetMode="External"/><Relationship Id="rId50" Type="http://schemas.openxmlformats.org/officeDocument/2006/relationships/hyperlink" Target="https://www.lawjournalnewsletters.com/2003/08/22/no-electronic-theft-act-is-a-partial-success/?utm_source=chatgpt.com&amp;slreturn=20250817034910" TargetMode="External"/><Relationship Id="rId55" Type="http://schemas.openxmlformats.org/officeDocument/2006/relationships/hyperlink" Target="https://ciohub.org/post/2023/06/a-brief-history-how-intellectual-property-protection-evolved-over-time/?utm_source=chatgpt.com" TargetMode="Externa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A9F2-8674-48BA-9F27-ED808A188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79817</Words>
  <Characters>454957</Characters>
  <Application>Microsoft Office Word</Application>
  <DocSecurity>0</DocSecurity>
  <Lines>3791</Lines>
  <Paragraphs>1067</Paragraphs>
  <ScaleCrop>false</ScaleCrop>
  <Company/>
  <LinksUpToDate>false</LinksUpToDate>
  <CharactersWithSpaces>533707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111111111111111</dc:creator>
  <cp:lastModifiedBy>11111111111111111111111</cp:lastModifiedBy>
  <cp:revision>6</cp:revision>
  <cp:lastPrinted>2026-04-16T15:17:00Z</cp:lastPrinted>
  <dcterms:created xsi:type="dcterms:W3CDTF">2026-04-16T15:16:00Z</dcterms:created>
  <dcterms:modified xsi:type="dcterms:W3CDTF">2026-04-16T15:22:00Z</dcterms:modified>
</cp:coreProperties>
</file>