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8752"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7E5DDA">
        <w:tc>
          <w:tcPr>
            <w:tcW w:w="8130" w:type="dxa"/>
            <w:tcBorders>
              <w:top w:val="nil"/>
              <w:left w:val="nil"/>
              <w:bottom w:val="nil"/>
              <w:right w:val="nil"/>
            </w:tcBorders>
            <w:vAlign w:val="center"/>
            <w:hideMark/>
          </w:tcPr>
          <w:p w14:paraId="237BA0D7" w14:textId="77777777" w:rsidR="00B627EA" w:rsidRPr="005D59A7" w:rsidRDefault="00B627EA" w:rsidP="007E5DD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7E5DD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1"/>
        <w:gridCol w:w="5593"/>
      </w:tblGrid>
      <w:tr w:rsidR="00B627EA" w:rsidRPr="005D59A7" w14:paraId="72CF4286" w14:textId="77777777" w:rsidTr="007E5DDA">
        <w:trPr>
          <w:jc w:val="center"/>
        </w:trPr>
        <w:tc>
          <w:tcPr>
            <w:tcW w:w="1930" w:type="dxa"/>
          </w:tcPr>
          <w:p w14:paraId="6CE5200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7E5DDA">
        <w:trPr>
          <w:jc w:val="center"/>
        </w:trPr>
        <w:tc>
          <w:tcPr>
            <w:tcW w:w="1930" w:type="dxa"/>
          </w:tcPr>
          <w:p w14:paraId="14380418"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7E5DDA">
        <w:trPr>
          <w:jc w:val="center"/>
        </w:trPr>
        <w:tc>
          <w:tcPr>
            <w:tcW w:w="1930" w:type="dxa"/>
          </w:tcPr>
          <w:p w14:paraId="76288E4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7E5DDA">
        <w:trPr>
          <w:jc w:val="center"/>
        </w:trPr>
        <w:tc>
          <w:tcPr>
            <w:tcW w:w="1930" w:type="dxa"/>
          </w:tcPr>
          <w:p w14:paraId="5F8C7E7E"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7E5DDA">
            <w:pPr>
              <w:pStyle w:val="NormalWeb"/>
              <w:bidi/>
              <w:spacing w:before="0" w:beforeAutospacing="0" w:after="0" w:afterAutospacing="0"/>
              <w:ind w:right="-270"/>
              <w:rPr>
                <w:rFonts w:ascii="T" w:hAnsi="T" w:cstheme="majorBidi"/>
                <w:b/>
                <w:bCs/>
                <w:color w:val="0000FF"/>
                <w:sz w:val="36"/>
                <w:szCs w:val="36"/>
                <w:rtl/>
              </w:rPr>
            </w:pPr>
          </w:p>
        </w:tc>
      </w:tr>
    </w:tbl>
    <w:p w14:paraId="535C41A4" w14:textId="1C0321DA" w:rsidR="00B627EA" w:rsidRPr="005D59A7" w:rsidRDefault="00B627EA" w:rsidP="00B627EA">
      <w:pPr>
        <w:spacing w:line="240" w:lineRule="auto"/>
        <w:rPr>
          <w:rFonts w:ascii="T" w:hAnsi="T" w:cstheme="majorBidi"/>
          <w:noProof/>
          <w:rtl/>
          <w:lang w:bidi="ar-JO"/>
        </w:rPr>
      </w:pPr>
    </w:p>
    <w:p w14:paraId="154F0699" w14:textId="162E351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w:t>
      </w:r>
      <w:r w:rsidR="00B477A9">
        <w:rPr>
          <w:rFonts w:ascii="T" w:hAnsi="T" w:cs="Simplified Arabic" w:hint="cs"/>
          <w:b/>
          <w:bCs/>
          <w:color w:val="000000" w:themeColor="text1"/>
          <w:sz w:val="24"/>
          <w:szCs w:val="24"/>
          <w:rtl/>
        </w:rPr>
        <w:t>8</w:t>
      </w:r>
      <w:r w:rsidRPr="005D59A7">
        <w:rPr>
          <w:rFonts w:ascii="T" w:hAnsi="T" w:cs="Simplified Arabic"/>
          <w:b/>
          <w:bCs/>
          <w:color w:val="000000" w:themeColor="text1"/>
          <w:sz w:val="24"/>
          <w:szCs w:val="24"/>
          <w:rtl/>
        </w:rPr>
        <w:t>هـ  -  202</w:t>
      </w:r>
      <w:r w:rsidR="00B477A9">
        <w:rPr>
          <w:rFonts w:ascii="T" w:hAnsi="T" w:cs="Simplified Arabic" w:hint="cs"/>
          <w:b/>
          <w:bCs/>
          <w:color w:val="000000" w:themeColor="text1"/>
          <w:sz w:val="24"/>
          <w:szCs w:val="24"/>
          <w:rtl/>
        </w:rPr>
        <w:t>6</w:t>
      </w:r>
      <w:r w:rsidRPr="005D59A7">
        <w:rPr>
          <w:rFonts w:ascii="T" w:hAnsi="T" w:cs="Simplified Arabic"/>
          <w:b/>
          <w:bCs/>
          <w:color w:val="000000" w:themeColor="text1"/>
          <w:sz w:val="24"/>
          <w:szCs w:val="24"/>
          <w:rtl/>
        </w:rPr>
        <w:t>م</w:t>
      </w:r>
    </w:p>
    <w:p w14:paraId="13BCE324" w14:textId="77777777" w:rsidR="00B627EA" w:rsidRPr="005D59A7" w:rsidRDefault="00B627EA" w:rsidP="00B627EA">
      <w:pPr>
        <w:bidi/>
        <w:jc w:val="center"/>
        <w:rPr>
          <w:rFonts w:ascii="T" w:hAnsi="T" w:cs="Simplified Arabic"/>
          <w:b/>
          <w:bCs/>
          <w:color w:val="000000" w:themeColor="text1"/>
          <w:sz w:val="32"/>
          <w:szCs w:val="32"/>
          <w:rtl/>
        </w:rPr>
      </w:pPr>
    </w:p>
    <w:p w14:paraId="5062A176" w14:textId="77777777" w:rsidR="00B627EA" w:rsidRPr="005D59A7" w:rsidRDefault="00B627EA" w:rsidP="00B627EA">
      <w:pPr>
        <w:bidi/>
        <w:jc w:val="center"/>
        <w:rPr>
          <w:rFonts w:ascii="T" w:hAnsi="T" w:cs="Simplified Arabic"/>
          <w:b/>
          <w:bCs/>
          <w:color w:val="000000" w:themeColor="text1"/>
          <w:sz w:val="32"/>
          <w:szCs w:val="32"/>
        </w:rPr>
      </w:pPr>
      <w:r w:rsidRPr="005D59A7">
        <w:rPr>
          <w:rFonts w:ascii="T" w:hAnsi="T" w:cs="Simplified Arabic"/>
          <w:b/>
          <w:bCs/>
          <w:noProof/>
          <w:color w:val="000000" w:themeColor="text1"/>
          <w:sz w:val="32"/>
          <w:szCs w:val="32"/>
        </w:rPr>
        <w:drawing>
          <wp:inline distT="0" distB="0" distL="0" distR="0" wp14:anchorId="3F4191C5" wp14:editId="14642163">
            <wp:extent cx="4121150" cy="4066076"/>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8422" cy="4073251"/>
                    </a:xfrm>
                    <a:prstGeom prst="rect">
                      <a:avLst/>
                    </a:prstGeom>
                    <a:noFill/>
                    <a:ln>
                      <a:noFill/>
                    </a:ln>
                  </pic:spPr>
                </pic:pic>
              </a:graphicData>
            </a:graphic>
          </wp:inline>
        </w:drawing>
      </w:r>
    </w:p>
    <w:p w14:paraId="72D90D59" w14:textId="77777777" w:rsidR="00B627EA" w:rsidRPr="005D59A7" w:rsidRDefault="00B627EA" w:rsidP="00B627EA">
      <w:pPr>
        <w:bidi/>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صدق الله العظيم</w:t>
      </w:r>
    </w:p>
    <w:p w14:paraId="0BE1F53D" w14:textId="77777777" w:rsidR="00B627EA" w:rsidRPr="005D59A7" w:rsidRDefault="00B627EA" w:rsidP="00B627EA">
      <w:pPr>
        <w:bidi/>
        <w:rPr>
          <w:rFonts w:ascii="T" w:hAnsi="T" w:cs="Simplified Arabic"/>
          <w:b/>
          <w:bCs/>
          <w:color w:val="000000" w:themeColor="text1"/>
          <w:sz w:val="36"/>
          <w:szCs w:val="36"/>
          <w:rtl/>
        </w:rPr>
      </w:pPr>
    </w:p>
    <w:p w14:paraId="7689D9D5" w14:textId="77777777" w:rsidR="00B627EA" w:rsidRPr="005D59A7" w:rsidRDefault="00B627EA" w:rsidP="00B627EA">
      <w:pPr>
        <w:bidi/>
        <w:rPr>
          <w:rFonts w:ascii="T" w:hAnsi="T" w:cs="Simplified Arabic"/>
          <w:b/>
          <w:bCs/>
          <w:color w:val="000000" w:themeColor="text1"/>
          <w:sz w:val="36"/>
          <w:szCs w:val="36"/>
          <w:rtl/>
        </w:rPr>
      </w:pPr>
    </w:p>
    <w:p w14:paraId="2176B4D2" w14:textId="77777777" w:rsidR="00B627EA" w:rsidRPr="005D59A7" w:rsidRDefault="00B627EA" w:rsidP="00B627EA">
      <w:pPr>
        <w:bidi/>
        <w:rPr>
          <w:rFonts w:ascii="T" w:hAnsi="T" w:cs="Simplified Arabic"/>
          <w:b/>
          <w:bCs/>
          <w:color w:val="000000" w:themeColor="text1"/>
          <w:sz w:val="36"/>
          <w:szCs w:val="36"/>
          <w:rtl/>
        </w:rPr>
      </w:pPr>
    </w:p>
    <w:p w14:paraId="62039A41" w14:textId="77777777" w:rsidR="00B627EA" w:rsidRPr="005D59A7" w:rsidRDefault="00B627EA" w:rsidP="00B627EA">
      <w:pPr>
        <w:bidi/>
        <w:rPr>
          <w:rFonts w:ascii="T" w:hAnsi="T" w:cs="Simplified Arabic"/>
          <w:b/>
          <w:bCs/>
          <w:color w:val="000000" w:themeColor="text1"/>
          <w:sz w:val="36"/>
          <w:szCs w:val="36"/>
          <w:rtl/>
        </w:rPr>
      </w:pPr>
    </w:p>
    <w:p w14:paraId="034082B5" w14:textId="77777777" w:rsidR="004B1E9E" w:rsidRPr="005D59A7" w:rsidRDefault="004B1E9E" w:rsidP="00836D37">
      <w:pPr>
        <w:rPr>
          <w:rFonts w:ascii="T" w:hAnsi="T" w:cs="Simplified Arabic"/>
          <w:b/>
          <w:bCs/>
          <w:sz w:val="24"/>
          <w:szCs w:val="24"/>
        </w:rPr>
      </w:pPr>
    </w:p>
    <w:p w14:paraId="67CD0443" w14:textId="77777777" w:rsidR="00AA4673" w:rsidRPr="005D59A7" w:rsidRDefault="00AA4673" w:rsidP="00836D37">
      <w:pPr>
        <w:rPr>
          <w:rFonts w:ascii="T" w:hAnsi="T" w:cs="Simplified Arabic"/>
          <w:b/>
          <w:bCs/>
          <w:sz w:val="24"/>
          <w:szCs w:val="24"/>
        </w:rPr>
      </w:pPr>
    </w:p>
    <w:p w14:paraId="3256554B" w14:textId="77777777" w:rsidR="00AA4673" w:rsidRPr="005D59A7" w:rsidRDefault="00AA4673" w:rsidP="00836D37">
      <w:pPr>
        <w:rPr>
          <w:rFonts w:ascii="T" w:hAnsi="T" w:cs="Simplified Arabic"/>
          <w:b/>
          <w:bCs/>
          <w:sz w:val="24"/>
          <w:szCs w:val="24"/>
        </w:rPr>
      </w:pPr>
    </w:p>
    <w:p w14:paraId="349EABD6" w14:textId="77777777" w:rsidR="00AA4673" w:rsidRDefault="00AA4673" w:rsidP="00836D37">
      <w:pPr>
        <w:rPr>
          <w:rFonts w:ascii="T" w:hAnsi="T" w:cs="Simplified Arabic"/>
          <w:b/>
          <w:bCs/>
          <w:sz w:val="24"/>
          <w:szCs w:val="24"/>
        </w:rPr>
      </w:pPr>
    </w:p>
    <w:p w14:paraId="5AA2EA4F" w14:textId="77777777" w:rsidR="00344EDD" w:rsidRPr="005D59A7" w:rsidRDefault="00344EDD" w:rsidP="00836D37">
      <w:pPr>
        <w:rPr>
          <w:rFonts w:ascii="T" w:hAnsi="T" w:cs="Simplified Arabic"/>
          <w:b/>
          <w:bCs/>
          <w:sz w:val="24"/>
          <w:szCs w:val="24"/>
        </w:rPr>
      </w:pPr>
    </w:p>
    <w:p w14:paraId="1D59889C" w14:textId="77777777" w:rsidR="004B1E9E" w:rsidRPr="005D59A7" w:rsidRDefault="004B1E9E" w:rsidP="004B1E9E">
      <w:pPr>
        <w:spacing w:line="360" w:lineRule="auto"/>
        <w:jc w:val="center"/>
        <w:rPr>
          <w:rFonts w:ascii="T" w:eastAsia="Calibri" w:hAnsi="T" w:cs="Simplified Arabic"/>
          <w:b/>
          <w:bCs/>
          <w:sz w:val="16"/>
          <w:szCs w:val="16"/>
          <w:lang w:bidi="ar-EG"/>
        </w:rPr>
      </w:pPr>
      <w:r w:rsidRPr="005D59A7">
        <w:rPr>
          <w:rFonts w:ascii="T" w:eastAsia="Calibri" w:hAnsi="T" w:cs="Simplified Arabic"/>
          <w:b/>
          <w:bCs/>
          <w:sz w:val="28"/>
          <w:szCs w:val="28"/>
          <w:rtl/>
          <w:lang w:bidi="ar-SY"/>
        </w:rPr>
        <w:lastRenderedPageBreak/>
        <w:t>رسالة شكر</w:t>
      </w:r>
    </w:p>
    <w:p w14:paraId="01FA072F" w14:textId="4DEBE412"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6FF24607"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3C755DFA"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7DA30BB8"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7305921E" w14:textId="389B5C69"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3B34F565" w14:textId="79B707F1" w:rsidR="00A76C20" w:rsidRPr="005D59A7" w:rsidRDefault="00A76C20" w:rsidP="00A76C20">
      <w:pPr>
        <w:bidi/>
        <w:spacing w:line="360" w:lineRule="auto"/>
        <w:jc w:val="both"/>
        <w:rPr>
          <w:rFonts w:ascii="T" w:eastAsia="Calibri" w:hAnsi="T" w:cs="Sakkal Majalla"/>
          <w:sz w:val="28"/>
          <w:szCs w:val="28"/>
          <w:rtl/>
        </w:rPr>
      </w:pPr>
    </w:p>
    <w:p w14:paraId="7DB8AA19" w14:textId="30628389" w:rsidR="00A76C20" w:rsidRPr="005D59A7" w:rsidRDefault="00A76C20" w:rsidP="00A76C20">
      <w:pPr>
        <w:bidi/>
        <w:spacing w:line="360" w:lineRule="auto"/>
        <w:jc w:val="both"/>
        <w:rPr>
          <w:rFonts w:ascii="T" w:eastAsia="Calibri" w:hAnsi="T" w:cs="Sakkal Majalla"/>
          <w:sz w:val="28"/>
          <w:szCs w:val="28"/>
          <w:rtl/>
        </w:rPr>
      </w:pPr>
    </w:p>
    <w:p w14:paraId="4E5CDB63" w14:textId="5B593CC8" w:rsidR="00A76C20" w:rsidRPr="005D59A7" w:rsidRDefault="00A76C20" w:rsidP="00A76C20">
      <w:pPr>
        <w:bidi/>
        <w:spacing w:line="360" w:lineRule="auto"/>
        <w:jc w:val="both"/>
        <w:rPr>
          <w:rFonts w:ascii="T" w:eastAsia="Calibri" w:hAnsi="T" w:cs="Sakkal Majalla"/>
          <w:sz w:val="28"/>
          <w:szCs w:val="28"/>
          <w:rtl/>
        </w:rPr>
      </w:pPr>
    </w:p>
    <w:p w14:paraId="1FD03980" w14:textId="7A4EE633" w:rsidR="00A76C20" w:rsidRDefault="00A76C20" w:rsidP="00AA4673">
      <w:pPr>
        <w:bidi/>
        <w:rPr>
          <w:rFonts w:ascii="T" w:eastAsia="Calibri" w:hAnsi="T" w:cs="Sakkal Majalla"/>
          <w:sz w:val="28"/>
          <w:szCs w:val="28"/>
          <w:rtl/>
        </w:rPr>
      </w:pPr>
    </w:p>
    <w:p w14:paraId="3FE21C75" w14:textId="77777777" w:rsidR="00C20C02" w:rsidRPr="005D59A7" w:rsidRDefault="00C20C02" w:rsidP="00C20C02">
      <w:pPr>
        <w:bidi/>
        <w:rPr>
          <w:rFonts w:ascii="T" w:eastAsia="Calibri" w:hAnsi="T" w:cs="Sakkal Majalla"/>
          <w:sz w:val="28"/>
          <w:szCs w:val="28"/>
        </w:rPr>
      </w:pPr>
    </w:p>
    <w:p w14:paraId="7EB5E61D" w14:textId="77777777" w:rsidR="00AA4673" w:rsidRPr="005D59A7" w:rsidRDefault="00AA4673" w:rsidP="00AA4673">
      <w:pPr>
        <w:bidi/>
        <w:rPr>
          <w:rFonts w:ascii="T" w:hAnsi="T" w:cstheme="majorBidi"/>
          <w:b/>
          <w:bCs/>
          <w:sz w:val="32"/>
          <w:szCs w:val="32"/>
        </w:rPr>
      </w:pPr>
    </w:p>
    <w:p w14:paraId="123A99E7" w14:textId="77777777" w:rsidR="00A76C20" w:rsidRPr="005D59A7" w:rsidRDefault="00A76C20" w:rsidP="00481A79">
      <w:pPr>
        <w:jc w:val="center"/>
        <w:rPr>
          <w:rFonts w:ascii="T" w:hAnsi="T" w:cs="Simplified Arabic"/>
          <w:b/>
          <w:bCs/>
          <w:sz w:val="28"/>
          <w:szCs w:val="28"/>
          <w:rtl/>
        </w:rPr>
      </w:pPr>
      <w:r w:rsidRPr="005D59A7">
        <w:rPr>
          <w:rFonts w:ascii="T" w:hAnsi="T" w:cs="Simplified Arabic"/>
          <w:b/>
          <w:bCs/>
          <w:sz w:val="28"/>
          <w:szCs w:val="28"/>
          <w:rtl/>
        </w:rPr>
        <w:lastRenderedPageBreak/>
        <w:t>المستخلص</w:t>
      </w:r>
    </w:p>
    <w:p w14:paraId="6D2EE172"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العامة. وبالتالي، يعد التخطيط والحوكمة لأي قطاع ما جوهر الأساس في إعادة الهيكلة والتنظيم نحو نجاح مثمر وأداء متميز.</w:t>
      </w:r>
    </w:p>
    <w:p w14:paraId="3A8BCAE6"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1FF3B665"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 كما تنبع الأهمية التطبيقية في اختيار خدمة بيئية محددة وهي التفتيش البيئي ودراسة الفجوة الحالية بها من الإجراءات والتكاليف الرأس مالية والتشغيلية، واقتراح نموذج شراكة بين القطاعين العام والخاص لها للحد من ذلك.</w:t>
      </w:r>
    </w:p>
    <w:p w14:paraId="63A8F630"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وتعد 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63F983CD"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lastRenderedPageBreak/>
        <w:t>بينما 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للخدمة البيئية المختارة كنموذج عمل وتطبيق دراسات الجدوى اللازمة لها لاقتراح نموذج شراكة بين القطاع العام والخاص لها شاملةً تحاليل الكفاءة التشغيلية والمالية.</w:t>
      </w:r>
    </w:p>
    <w:p w14:paraId="63B90DEA"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وتعد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4D57A9D7"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ووجد البحث أن معظم الخدمات البيئية قابلة للمشاركة مع القطاع الخاص 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طريق الجهات الحكومية المسؤولة. وخلال إعداد الدراسات اللازمة ووضع الخطط المطلوبة يمكن التوصل إلى نموذج مناسب. وتعد الركيزة الأساسية لتخصيص خدمة التفتيش البيئي هي خلق مصدر دخل أساسي للخدمة عن طريق الرسوم البيئية ما من شأنه تغطية أو تقليل التكاليف التشغيلية للخدمة وخلق عوائد مالية، ويعد هذا الإجراء قابل للتفعيل حيث أن كافة التكاليف التشغيلية القائمة عليها الخدمة تعد على عاتق الدولة في الوقت الحالي. </w:t>
      </w:r>
    </w:p>
    <w:p w14:paraId="371B8329"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بعد التحليل والتقييم الأولي للخدمة تم إيجاد عدد كبير من الشركات المحتملة المحلية والإقليمية التي يمكن لها المشاركة في عملية تخصيص 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w:t>
      </w:r>
      <w:r w:rsidRPr="005D59A7">
        <w:rPr>
          <w:rFonts w:ascii="T" w:eastAsia="Times New Roman" w:hAnsi="T" w:cs="Simplified Arabic"/>
          <w:sz w:val="24"/>
          <w:szCs w:val="24"/>
          <w:rtl/>
        </w:rPr>
        <w:lastRenderedPageBreak/>
        <w:t xml:space="preserve">الخدمات الأخرى المصاحبة مثل خدمة إصدار الرخصة البيئية حيث وجد أنه يمكن فرض رسوم زيارة المفتش البيئي للمنشأة عن طريق الرخصة البيئية. </w:t>
      </w:r>
    </w:p>
    <w:p w14:paraId="35837E82" w14:textId="1FA629AB"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41BBF505" w14:textId="758592E4" w:rsidR="00686195" w:rsidRPr="005D59A7" w:rsidRDefault="00217271" w:rsidP="00AA4673">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b/>
          <w:bCs/>
          <w:sz w:val="24"/>
          <w:szCs w:val="24"/>
          <w:rtl/>
        </w:rPr>
        <w:t>الكلمات المفتاحية</w:t>
      </w:r>
      <w:r w:rsidRPr="005D59A7">
        <w:rPr>
          <w:rFonts w:ascii="T" w:eastAsia="Times New Roman" w:hAnsi="T" w:cs="Simplified Arabic"/>
          <w:sz w:val="24"/>
          <w:szCs w:val="24"/>
          <w:rtl/>
        </w:rPr>
        <w:t>: الشراكات بين القطاعين العام والخاص، الحوكمة البيئية، التفتيش البيئي , إدارة الأداء</w:t>
      </w:r>
    </w:p>
    <w:p w14:paraId="4D365A7A"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A959A2D"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5BE590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5C443D5"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763165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BAB58DC"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59972C89" w14:textId="77777777" w:rsidR="00AA4673"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825D8E9" w14:textId="77777777" w:rsidR="00233335"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1F086682" w14:textId="77777777" w:rsidR="00233335" w:rsidRPr="005D59A7"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34D1B913"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6C7F56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62C73609" w14:textId="77777777" w:rsidR="00242A04" w:rsidRPr="005D59A7" w:rsidRDefault="00242A04" w:rsidP="00481A79">
      <w:pPr>
        <w:jc w:val="center"/>
        <w:rPr>
          <w:rFonts w:ascii="T" w:hAnsi="T" w:cstheme="majorBidi"/>
          <w:b/>
          <w:bCs/>
          <w:sz w:val="28"/>
          <w:szCs w:val="28"/>
        </w:rPr>
      </w:pPr>
      <w:r w:rsidRPr="005D59A7">
        <w:rPr>
          <w:rFonts w:ascii="T" w:hAnsi="T" w:cstheme="majorBidi"/>
          <w:b/>
          <w:bCs/>
          <w:sz w:val="28"/>
          <w:szCs w:val="28"/>
        </w:rPr>
        <w:lastRenderedPageBreak/>
        <w:t>ABSTRACT</w:t>
      </w:r>
    </w:p>
    <w:p w14:paraId="0F70F05B" w14:textId="77777777" w:rsidR="00242A04" w:rsidRPr="005D59A7" w:rsidRDefault="00242A04" w:rsidP="00A76C20">
      <w:pPr>
        <w:spacing w:line="360" w:lineRule="auto"/>
        <w:ind w:firstLine="720"/>
        <w:jc w:val="both"/>
        <w:rPr>
          <w:rFonts w:ascii="T" w:hAnsi="T" w:cs="Times New Roman"/>
          <w:sz w:val="24"/>
          <w:szCs w:val="24"/>
        </w:rPr>
      </w:pPr>
      <w:r w:rsidRPr="005D59A7">
        <w:rPr>
          <w:rFonts w:ascii="T" w:hAnsi="T" w:cstheme="majorBidi"/>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5D59A7">
        <w:rPr>
          <w:rFonts w:ascii="T" w:hAnsi="T" w:cs="Times New Roman"/>
          <w:sz w:val="24"/>
          <w:szCs w:val="24"/>
          <w:rtl/>
        </w:rPr>
        <w:t>.</w:t>
      </w:r>
    </w:p>
    <w:p w14:paraId="7AC19AE9"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Despite the organizational restructuring of the environmental sector implemented in Saudi Arabia, private sector involvement remains limited. This </w:t>
      </w:r>
      <w:proofErr w:type="gramStart"/>
      <w:r w:rsidRPr="005D59A7">
        <w:rPr>
          <w:rFonts w:ascii="T" w:hAnsi="T" w:cstheme="majorBidi"/>
          <w:sz w:val="24"/>
          <w:szCs w:val="24"/>
        </w:rPr>
        <w:t>study primarily</w:t>
      </w:r>
      <w:proofErr w:type="gramEnd"/>
      <w:r w:rsidRPr="005D59A7">
        <w:rPr>
          <w:rFonts w:ascii="T" w:hAnsi="T" w:cstheme="majorBidi"/>
          <w:sz w:val="24"/>
          <w:szCs w:val="24"/>
        </w:rPr>
        <w:t xml:space="preserve">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7060E443"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Hence, the research problem lies in exploring avenues for public-private partnerships in the environmental sector. This is achieved by examining the environmental services currently provided by the </w:t>
      </w:r>
      <w:r w:rsidR="008804AB" w:rsidRPr="005D59A7">
        <w:rPr>
          <w:rFonts w:ascii="T" w:hAnsi="T" w:cstheme="majorBidi"/>
          <w:sz w:val="24"/>
          <w:szCs w:val="24"/>
        </w:rPr>
        <w:t>public</w:t>
      </w:r>
      <w:r w:rsidRPr="005D59A7">
        <w:rPr>
          <w:rFonts w:ascii="T" w:hAnsi="T" w:cstheme="majorBidi"/>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5021D5DA"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3D15DB3F"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lastRenderedPageBreak/>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A88CB91" w14:textId="0E7B6800"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w:t>
      </w:r>
      <w:r w:rsidR="00B60659" w:rsidRPr="005D59A7">
        <w:rPr>
          <w:rFonts w:ascii="T" w:hAnsi="T" w:cstheme="majorBidi"/>
          <w:sz w:val="24"/>
          <w:szCs w:val="24"/>
        </w:rPr>
        <w:t>sample study</w:t>
      </w:r>
      <w:r w:rsidRPr="005D59A7">
        <w:rPr>
          <w:rFonts w:ascii="T" w:hAnsi="T" w:cstheme="majorBidi"/>
          <w:sz w:val="24"/>
          <w:szCs w:val="24"/>
        </w:rPr>
        <w:t xml:space="preserv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w:t>
      </w:r>
      <w:proofErr w:type="gramStart"/>
      <w:r w:rsidRPr="005D59A7">
        <w:rPr>
          <w:rFonts w:ascii="T" w:hAnsi="T" w:cstheme="majorBidi"/>
          <w:sz w:val="24"/>
          <w:szCs w:val="24"/>
        </w:rPr>
        <w:t>outputs</w:t>
      </w:r>
      <w:proofErr w:type="gramEnd"/>
      <w:r w:rsidRPr="005D59A7">
        <w:rPr>
          <w:rFonts w:ascii="T" w:hAnsi="T" w:cstheme="majorBidi"/>
          <w:sz w:val="24"/>
          <w:szCs w:val="24"/>
        </w:rPr>
        <w:t>, and create a new job market with available opportunities. As previously mentioned, environmental inspection is the ideal choice for this study.</w:t>
      </w:r>
    </w:p>
    <w:p w14:paraId="3CF63EAF"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research found that most environmental services are suitable for privatization, particularly environmental inspection services which </w:t>
      </w:r>
      <w:proofErr w:type="gramStart"/>
      <w:r w:rsidRPr="005D59A7">
        <w:rPr>
          <w:rFonts w:ascii="T" w:hAnsi="T" w:cstheme="majorBidi"/>
          <w:sz w:val="24"/>
          <w:szCs w:val="24"/>
        </w:rPr>
        <w:t>is</w:t>
      </w:r>
      <w:proofErr w:type="gramEnd"/>
      <w:r w:rsidRPr="005D59A7">
        <w:rPr>
          <w:rFonts w:ascii="T" w:hAnsi="T" w:cstheme="majorBidi"/>
          <w:sz w:val="24"/>
          <w:szCs w:val="24"/>
        </w:rPr>
        <w:t xml:space="preserve">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4DCFA494"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Following initial analysis and evaluation of the service, a significant number of potential local and regional companies were identified that could participate in the inspection process, providing the necessary resources and personnel to effectively evaluate the service and reduce the cost burden on the current government operator. Environmental fees will be levied on a segment of </w:t>
      </w:r>
      <w:r w:rsidRPr="005D59A7">
        <w:rPr>
          <w:rFonts w:ascii="T" w:hAnsi="T" w:cstheme="majorBidi"/>
          <w:sz w:val="24"/>
          <w:szCs w:val="24"/>
        </w:rPr>
        <w:lastRenderedPageBreak/>
        <w:t>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31E995E9"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7A7FFEED" w14:textId="033E1614" w:rsidR="006A6532" w:rsidRPr="005D59A7" w:rsidRDefault="00217271" w:rsidP="00280FF6">
      <w:pPr>
        <w:spacing w:line="360" w:lineRule="auto"/>
        <w:ind w:firstLine="720"/>
        <w:jc w:val="both"/>
        <w:rPr>
          <w:rFonts w:ascii="T" w:hAnsi="T" w:cstheme="majorBidi"/>
          <w:sz w:val="24"/>
          <w:szCs w:val="24"/>
        </w:rPr>
      </w:pPr>
      <w:r w:rsidRPr="005D59A7">
        <w:rPr>
          <w:rFonts w:ascii="T" w:hAnsi="T" w:cstheme="majorBidi"/>
          <w:b/>
          <w:bCs/>
          <w:sz w:val="24"/>
          <w:szCs w:val="24"/>
        </w:rPr>
        <w:t>Keywords:</w:t>
      </w:r>
      <w:r w:rsidRPr="005D59A7">
        <w:rPr>
          <w:rFonts w:ascii="T" w:hAnsi="T" w:cstheme="majorBidi"/>
          <w:sz w:val="24"/>
          <w:szCs w:val="24"/>
        </w:rPr>
        <w:t xml:space="preserve"> Public-private partnerships, environmental governance, environmental inspection, performance management</w:t>
      </w:r>
    </w:p>
    <w:p w14:paraId="545B5081" w14:textId="77777777" w:rsidR="00AA4673" w:rsidRPr="005D59A7" w:rsidRDefault="00AA4673" w:rsidP="00280FF6">
      <w:pPr>
        <w:spacing w:line="360" w:lineRule="auto"/>
        <w:ind w:firstLine="720"/>
        <w:jc w:val="both"/>
        <w:rPr>
          <w:rFonts w:ascii="T" w:hAnsi="T" w:cstheme="majorBidi"/>
          <w:sz w:val="24"/>
          <w:szCs w:val="24"/>
        </w:rPr>
      </w:pPr>
    </w:p>
    <w:p w14:paraId="12855008" w14:textId="77777777" w:rsidR="00AA4673" w:rsidRPr="005D59A7" w:rsidRDefault="00AA4673" w:rsidP="00280FF6">
      <w:pPr>
        <w:spacing w:line="360" w:lineRule="auto"/>
        <w:ind w:firstLine="720"/>
        <w:jc w:val="both"/>
        <w:rPr>
          <w:rFonts w:ascii="T" w:hAnsi="T" w:cstheme="majorBidi"/>
          <w:sz w:val="24"/>
          <w:szCs w:val="24"/>
        </w:rPr>
      </w:pPr>
    </w:p>
    <w:p w14:paraId="26C596BD" w14:textId="77777777" w:rsidR="00AA4673" w:rsidRPr="005D59A7" w:rsidRDefault="00AA4673" w:rsidP="00280FF6">
      <w:pPr>
        <w:spacing w:line="360" w:lineRule="auto"/>
        <w:ind w:firstLine="720"/>
        <w:jc w:val="both"/>
        <w:rPr>
          <w:rFonts w:ascii="T" w:hAnsi="T" w:cstheme="majorBidi"/>
          <w:sz w:val="24"/>
          <w:szCs w:val="24"/>
        </w:rPr>
      </w:pPr>
    </w:p>
    <w:p w14:paraId="4FE848E5" w14:textId="77777777" w:rsidR="00AA4673" w:rsidRPr="005D59A7" w:rsidRDefault="00AA4673" w:rsidP="00280FF6">
      <w:pPr>
        <w:spacing w:line="360" w:lineRule="auto"/>
        <w:ind w:firstLine="720"/>
        <w:jc w:val="both"/>
        <w:rPr>
          <w:rFonts w:ascii="T" w:hAnsi="T" w:cstheme="majorBidi"/>
          <w:sz w:val="24"/>
          <w:szCs w:val="24"/>
        </w:rPr>
      </w:pPr>
    </w:p>
    <w:p w14:paraId="7168458E" w14:textId="77777777" w:rsidR="00AA4673" w:rsidRPr="005D59A7" w:rsidRDefault="00AA4673" w:rsidP="00280FF6">
      <w:pPr>
        <w:spacing w:line="360" w:lineRule="auto"/>
        <w:ind w:firstLine="720"/>
        <w:jc w:val="both"/>
        <w:rPr>
          <w:rFonts w:ascii="T" w:hAnsi="T" w:cstheme="majorBidi"/>
          <w:sz w:val="24"/>
          <w:szCs w:val="24"/>
        </w:rPr>
      </w:pPr>
    </w:p>
    <w:p w14:paraId="0A8E3673" w14:textId="77777777" w:rsidR="00AA4673" w:rsidRPr="005D59A7" w:rsidRDefault="00AA4673" w:rsidP="00280FF6">
      <w:pPr>
        <w:spacing w:line="360" w:lineRule="auto"/>
        <w:ind w:firstLine="720"/>
        <w:jc w:val="both"/>
        <w:rPr>
          <w:rFonts w:ascii="T" w:hAnsi="T" w:cstheme="majorBidi"/>
          <w:sz w:val="24"/>
          <w:szCs w:val="24"/>
        </w:rPr>
      </w:pPr>
    </w:p>
    <w:p w14:paraId="76F6F3CB" w14:textId="77777777" w:rsidR="00AA4673" w:rsidRPr="005D59A7" w:rsidRDefault="00AA4673" w:rsidP="00280FF6">
      <w:pPr>
        <w:spacing w:line="360" w:lineRule="auto"/>
        <w:ind w:firstLine="720"/>
        <w:jc w:val="both"/>
        <w:rPr>
          <w:rFonts w:ascii="T" w:hAnsi="T" w:cstheme="majorBidi"/>
          <w:sz w:val="24"/>
          <w:szCs w:val="24"/>
        </w:rPr>
      </w:pPr>
    </w:p>
    <w:p w14:paraId="6F8CE3D2" w14:textId="77777777" w:rsidR="00AA4673" w:rsidRPr="005D59A7" w:rsidRDefault="00AA4673" w:rsidP="00280FF6">
      <w:pPr>
        <w:spacing w:line="360" w:lineRule="auto"/>
        <w:ind w:firstLine="720"/>
        <w:jc w:val="both"/>
        <w:rPr>
          <w:rFonts w:ascii="T" w:hAnsi="T" w:cstheme="majorBidi"/>
          <w:sz w:val="24"/>
          <w:szCs w:val="24"/>
        </w:rPr>
      </w:pPr>
    </w:p>
    <w:p w14:paraId="092D1375" w14:textId="77777777" w:rsidR="00AA4673" w:rsidRPr="005D59A7" w:rsidRDefault="00AA4673" w:rsidP="00280FF6">
      <w:pPr>
        <w:spacing w:line="360" w:lineRule="auto"/>
        <w:ind w:firstLine="720"/>
        <w:jc w:val="both"/>
        <w:rPr>
          <w:rFonts w:ascii="T" w:hAnsi="T" w:cstheme="majorBidi"/>
          <w:sz w:val="24"/>
          <w:szCs w:val="24"/>
        </w:rPr>
      </w:pPr>
    </w:p>
    <w:p w14:paraId="513CC19E" w14:textId="56625A0F" w:rsidR="00AA4673" w:rsidRDefault="00AA4673" w:rsidP="00280FF6">
      <w:pPr>
        <w:spacing w:line="360" w:lineRule="auto"/>
        <w:ind w:firstLine="720"/>
        <w:jc w:val="both"/>
        <w:rPr>
          <w:rFonts w:ascii="T" w:hAnsi="T" w:cstheme="majorBidi"/>
          <w:sz w:val="24"/>
          <w:szCs w:val="24"/>
          <w:rtl/>
        </w:rPr>
      </w:pPr>
    </w:p>
    <w:p w14:paraId="1625C30D" w14:textId="41B875C8" w:rsidR="00EA4291" w:rsidRDefault="00EA4291" w:rsidP="00280FF6">
      <w:pPr>
        <w:spacing w:line="360" w:lineRule="auto"/>
        <w:ind w:firstLine="720"/>
        <w:jc w:val="both"/>
        <w:rPr>
          <w:rFonts w:ascii="T" w:hAnsi="T" w:cstheme="majorBidi"/>
          <w:sz w:val="24"/>
          <w:szCs w:val="24"/>
          <w:rtl/>
        </w:rPr>
      </w:pPr>
    </w:p>
    <w:p w14:paraId="5C8B4C00" w14:textId="66EF8DBD" w:rsidR="00EA4291" w:rsidRDefault="00EA4291" w:rsidP="00280FF6">
      <w:pPr>
        <w:spacing w:line="360" w:lineRule="auto"/>
        <w:ind w:firstLine="720"/>
        <w:jc w:val="both"/>
        <w:rPr>
          <w:rFonts w:ascii="T" w:hAnsi="T" w:cstheme="majorBidi"/>
          <w:sz w:val="24"/>
          <w:szCs w:val="24"/>
          <w:rtl/>
        </w:rPr>
      </w:pPr>
    </w:p>
    <w:p w14:paraId="0F1D8187" w14:textId="77777777" w:rsidR="00EA4291" w:rsidRPr="005D59A7" w:rsidRDefault="00EA4291" w:rsidP="00280FF6">
      <w:pPr>
        <w:spacing w:line="360" w:lineRule="auto"/>
        <w:ind w:firstLine="720"/>
        <w:jc w:val="both"/>
        <w:rPr>
          <w:rFonts w:ascii="T" w:hAnsi="T" w:cstheme="majorBidi"/>
          <w:sz w:val="24"/>
          <w:szCs w:val="24"/>
          <w:rtl/>
        </w:rPr>
      </w:pPr>
    </w:p>
    <w:sdt>
      <w:sdtPr>
        <w:rPr>
          <w:rFonts w:ascii="T" w:eastAsiaTheme="minorHAnsi" w:hAnsi="T" w:cstheme="minorBidi"/>
          <w:b w:val="0"/>
          <w:bCs w:val="0"/>
          <w:color w:val="auto"/>
          <w:sz w:val="22"/>
          <w:szCs w:val="22"/>
          <w:rtl/>
        </w:rPr>
        <w:id w:val="2700971"/>
        <w:docPartObj>
          <w:docPartGallery w:val="Table of Contents"/>
          <w:docPartUnique/>
        </w:docPartObj>
      </w:sdtPr>
      <w:sdtEndPr/>
      <w:sdtContent>
        <w:p w14:paraId="5AD7F050" w14:textId="2CCE1ECA" w:rsidR="00EA21E0" w:rsidRPr="00240338" w:rsidRDefault="00EA21E0" w:rsidP="006A6532">
          <w:pPr>
            <w:pStyle w:val="TOCHeading"/>
            <w:bidi/>
            <w:rPr>
              <w:rFonts w:ascii="Simplified Arabic" w:hAnsi="Simplified Arabic" w:cs="Simplified Arabic"/>
              <w:color w:val="auto"/>
            </w:rPr>
          </w:pPr>
          <w:r w:rsidRPr="00240338">
            <w:rPr>
              <w:rFonts w:ascii="Simplified Arabic" w:hAnsi="Simplified Arabic" w:cs="Simplified Arabic"/>
              <w:color w:val="auto"/>
              <w:rtl/>
            </w:rPr>
            <w:t>جدول المحتويات</w:t>
          </w:r>
        </w:p>
        <w:p w14:paraId="3DC0AE22" w14:textId="2A859C48" w:rsidR="002C6EAC" w:rsidRPr="00240338" w:rsidRDefault="00FD30BF" w:rsidP="002C6EAC">
          <w:pPr>
            <w:pStyle w:val="TOC1"/>
            <w:spacing w:after="0" w:line="240" w:lineRule="auto"/>
            <w:rPr>
              <w:rFonts w:ascii="Simplified Arabic" w:eastAsiaTheme="minorEastAsia" w:hAnsi="Simplified Arabic" w:cs="Simplified Arabic"/>
              <w:noProof/>
              <w:sz w:val="20"/>
              <w:szCs w:val="20"/>
              <w:rtl/>
            </w:rPr>
          </w:pPr>
          <w:r w:rsidRPr="00240338">
            <w:rPr>
              <w:rFonts w:ascii="Simplified Arabic" w:hAnsi="Simplified Arabic" w:cs="Simplified Arabic"/>
              <w:sz w:val="20"/>
              <w:szCs w:val="20"/>
            </w:rPr>
            <w:fldChar w:fldCharType="begin"/>
          </w:r>
          <w:r w:rsidR="00EA21E0" w:rsidRPr="00240338">
            <w:rPr>
              <w:rFonts w:ascii="Simplified Arabic" w:hAnsi="Simplified Arabic" w:cs="Simplified Arabic"/>
              <w:sz w:val="20"/>
              <w:szCs w:val="20"/>
            </w:rPr>
            <w:instrText xml:space="preserve"> TOC \o "1-3" \h \z \u </w:instrText>
          </w:r>
          <w:r w:rsidRPr="00240338">
            <w:rPr>
              <w:rFonts w:ascii="Simplified Arabic" w:hAnsi="Simplified Arabic" w:cs="Simplified Arabic"/>
              <w:sz w:val="20"/>
              <w:szCs w:val="20"/>
            </w:rPr>
            <w:fldChar w:fldCharType="separate"/>
          </w:r>
          <w:hyperlink w:anchor="_Toc233202778" w:history="1">
            <w:r w:rsidR="002C6EAC" w:rsidRPr="00240338">
              <w:rPr>
                <w:rStyle w:val="Hyperlink"/>
                <w:rFonts w:ascii="Simplified Arabic" w:hAnsi="Simplified Arabic" w:cs="Simplified Arabic"/>
                <w:noProof/>
                <w:sz w:val="20"/>
                <w:szCs w:val="20"/>
                <w:rtl/>
              </w:rPr>
              <w:t>قائمة الجداول</w:t>
            </w:r>
            <w:r w:rsidR="002C6EAC" w:rsidRPr="00240338">
              <w:rPr>
                <w:rFonts w:ascii="Simplified Arabic" w:hAnsi="Simplified Arabic" w:cs="Simplified Arabic"/>
                <w:noProof/>
                <w:webHidden/>
                <w:sz w:val="20"/>
                <w:szCs w:val="20"/>
                <w:rtl/>
              </w:rPr>
              <w:tab/>
            </w:r>
            <w:r w:rsidR="002C6EAC" w:rsidRPr="00240338">
              <w:rPr>
                <w:rFonts w:ascii="Simplified Arabic" w:hAnsi="Simplified Arabic" w:cs="Simplified Arabic"/>
                <w:noProof/>
                <w:webHidden/>
                <w:sz w:val="20"/>
                <w:szCs w:val="20"/>
                <w:rtl/>
              </w:rPr>
              <w:fldChar w:fldCharType="begin"/>
            </w:r>
            <w:r w:rsidR="002C6EAC" w:rsidRPr="00240338">
              <w:rPr>
                <w:rFonts w:ascii="Simplified Arabic" w:hAnsi="Simplified Arabic" w:cs="Simplified Arabic"/>
                <w:noProof/>
                <w:webHidden/>
                <w:sz w:val="20"/>
                <w:szCs w:val="20"/>
                <w:rtl/>
              </w:rPr>
              <w:instrText xml:space="preserve"> </w:instrText>
            </w:r>
            <w:r w:rsidR="002C6EAC" w:rsidRPr="00240338">
              <w:rPr>
                <w:rFonts w:ascii="Simplified Arabic" w:hAnsi="Simplified Arabic" w:cs="Simplified Arabic"/>
                <w:noProof/>
                <w:webHidden/>
                <w:sz w:val="20"/>
                <w:szCs w:val="20"/>
              </w:rPr>
              <w:instrText xml:space="preserve">PAGEREF </w:instrText>
            </w:r>
            <w:r w:rsidR="002C6EAC" w:rsidRPr="00240338">
              <w:rPr>
                <w:rFonts w:ascii="Simplified Arabic" w:hAnsi="Simplified Arabic" w:cs="Simplified Arabic"/>
                <w:noProof/>
                <w:webHidden/>
                <w:sz w:val="20"/>
                <w:szCs w:val="20"/>
                <w:rtl/>
              </w:rPr>
              <w:instrText>_</w:instrText>
            </w:r>
            <w:r w:rsidR="002C6EAC" w:rsidRPr="00240338">
              <w:rPr>
                <w:rFonts w:ascii="Simplified Arabic" w:hAnsi="Simplified Arabic" w:cs="Simplified Arabic"/>
                <w:noProof/>
                <w:webHidden/>
                <w:sz w:val="20"/>
                <w:szCs w:val="20"/>
              </w:rPr>
              <w:instrText>Toc233202778 \h</w:instrText>
            </w:r>
            <w:r w:rsidR="002C6EAC" w:rsidRPr="00240338">
              <w:rPr>
                <w:rFonts w:ascii="Simplified Arabic" w:hAnsi="Simplified Arabic" w:cs="Simplified Arabic"/>
                <w:noProof/>
                <w:webHidden/>
                <w:sz w:val="20"/>
                <w:szCs w:val="20"/>
                <w:rtl/>
              </w:rPr>
              <w:instrText xml:space="preserve"> </w:instrText>
            </w:r>
            <w:r w:rsidR="002C6EAC" w:rsidRPr="00240338">
              <w:rPr>
                <w:rFonts w:ascii="Simplified Arabic" w:hAnsi="Simplified Arabic" w:cs="Simplified Arabic"/>
                <w:noProof/>
                <w:webHidden/>
                <w:sz w:val="20"/>
                <w:szCs w:val="20"/>
                <w:rtl/>
              </w:rPr>
            </w:r>
            <w:r w:rsidR="002C6EAC" w:rsidRPr="00240338">
              <w:rPr>
                <w:rFonts w:ascii="Simplified Arabic" w:hAnsi="Simplified Arabic" w:cs="Simplified Arabic"/>
                <w:noProof/>
                <w:webHidden/>
                <w:sz w:val="20"/>
                <w:szCs w:val="20"/>
                <w:rtl/>
              </w:rPr>
              <w:fldChar w:fldCharType="separate"/>
            </w:r>
            <w:r w:rsidR="002C6EAC" w:rsidRPr="00240338">
              <w:rPr>
                <w:rFonts w:ascii="Simplified Arabic" w:hAnsi="Simplified Arabic" w:cs="Simplified Arabic"/>
                <w:noProof/>
                <w:webHidden/>
                <w:sz w:val="20"/>
                <w:szCs w:val="20"/>
                <w:rtl/>
              </w:rPr>
              <w:t>12</w:t>
            </w:r>
            <w:r w:rsidR="002C6EAC" w:rsidRPr="00240338">
              <w:rPr>
                <w:rFonts w:ascii="Simplified Arabic" w:hAnsi="Simplified Arabic" w:cs="Simplified Arabic"/>
                <w:noProof/>
                <w:webHidden/>
                <w:sz w:val="20"/>
                <w:szCs w:val="20"/>
                <w:rtl/>
              </w:rPr>
              <w:fldChar w:fldCharType="end"/>
            </w:r>
          </w:hyperlink>
        </w:p>
        <w:p w14:paraId="23E510AA" w14:textId="05792AAC"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79" w:history="1">
            <w:r w:rsidRPr="00240338">
              <w:rPr>
                <w:rStyle w:val="Hyperlink"/>
                <w:rFonts w:ascii="Simplified Arabic" w:hAnsi="Simplified Arabic" w:cs="Simplified Arabic"/>
                <w:noProof/>
                <w:sz w:val="20"/>
                <w:szCs w:val="20"/>
                <w:rtl/>
              </w:rPr>
              <w:t>قائمة الرسوم التوضيحية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Toc233202779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13</w:t>
            </w:r>
            <w:r w:rsidRPr="00240338">
              <w:rPr>
                <w:rFonts w:ascii="Simplified Arabic" w:hAnsi="Simplified Arabic" w:cs="Simplified Arabic"/>
                <w:noProof/>
                <w:webHidden/>
                <w:sz w:val="20"/>
                <w:szCs w:val="20"/>
                <w:rtl/>
              </w:rPr>
              <w:fldChar w:fldCharType="end"/>
            </w:r>
          </w:hyperlink>
        </w:p>
        <w:p w14:paraId="25BD1A15" w14:textId="50F80156"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0" w:history="1">
            <w:r w:rsidRPr="00240338">
              <w:rPr>
                <w:rStyle w:val="Hyperlink"/>
                <w:rFonts w:ascii="Simplified Arabic" w:eastAsia="Times New Roman" w:hAnsi="Simplified Arabic" w:cs="Simplified Arabic"/>
                <w:b/>
                <w:bCs/>
                <w:noProof/>
                <w:sz w:val="20"/>
                <w:szCs w:val="20"/>
                <w:rtl/>
              </w:rPr>
              <w:t>الفصل الأول: الإطار المنهجي للدراسة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13</w:t>
            </w:r>
            <w:r w:rsidRPr="00240338">
              <w:rPr>
                <w:rFonts w:ascii="Simplified Arabic" w:hAnsi="Simplified Arabic" w:cs="Simplified Arabic"/>
                <w:noProof/>
                <w:webHidden/>
                <w:sz w:val="20"/>
                <w:szCs w:val="20"/>
                <w:rtl/>
              </w:rPr>
              <w:fldChar w:fldCharType="end"/>
            </w:r>
          </w:hyperlink>
        </w:p>
        <w:p w14:paraId="629E66AD" w14:textId="03FE760B"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1" w:history="1">
            <w:r w:rsidRPr="00240338">
              <w:rPr>
                <w:rStyle w:val="Hyperlink"/>
                <w:rFonts w:ascii="Simplified Arabic" w:eastAsia="Times New Roman" w:hAnsi="Simplified Arabic" w:cs="Simplified Arabic"/>
                <w:b/>
                <w:bCs/>
                <w:noProof/>
                <w:sz w:val="20"/>
                <w:szCs w:val="20"/>
                <w:rtl/>
              </w:rPr>
              <w:t>مقدمة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13</w:t>
            </w:r>
            <w:r w:rsidRPr="00240338">
              <w:rPr>
                <w:rFonts w:ascii="Simplified Arabic" w:hAnsi="Simplified Arabic" w:cs="Simplified Arabic"/>
                <w:noProof/>
                <w:webHidden/>
                <w:sz w:val="20"/>
                <w:szCs w:val="20"/>
                <w:rtl/>
              </w:rPr>
              <w:fldChar w:fldCharType="end"/>
            </w:r>
          </w:hyperlink>
        </w:p>
        <w:p w14:paraId="71D5ECE3" w14:textId="45ADE1DB"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2" w:history="1">
            <w:r w:rsidRPr="00240338">
              <w:rPr>
                <w:rStyle w:val="Hyperlink"/>
                <w:rFonts w:ascii="Simplified Arabic" w:eastAsia="Times New Roman" w:hAnsi="Simplified Arabic" w:cs="Simplified Arabic"/>
                <w:b/>
                <w:bCs/>
                <w:noProof/>
                <w:sz w:val="20"/>
                <w:szCs w:val="20"/>
                <w:rtl/>
              </w:rPr>
              <w:t>مشكلة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15</w:t>
            </w:r>
            <w:r w:rsidRPr="00240338">
              <w:rPr>
                <w:rFonts w:ascii="Simplified Arabic" w:hAnsi="Simplified Arabic" w:cs="Simplified Arabic"/>
                <w:noProof/>
                <w:webHidden/>
                <w:sz w:val="20"/>
                <w:szCs w:val="20"/>
                <w:rtl/>
              </w:rPr>
              <w:fldChar w:fldCharType="end"/>
            </w:r>
          </w:hyperlink>
        </w:p>
        <w:p w14:paraId="36EDABD7" w14:textId="37978A21"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3" w:history="1">
            <w:r w:rsidRPr="00240338">
              <w:rPr>
                <w:rStyle w:val="Hyperlink"/>
                <w:rFonts w:ascii="Simplified Arabic" w:eastAsia="Times New Roman" w:hAnsi="Simplified Arabic" w:cs="Simplified Arabic"/>
                <w:b/>
                <w:bCs/>
                <w:noProof/>
                <w:sz w:val="20"/>
                <w:szCs w:val="20"/>
                <w:rtl/>
              </w:rPr>
              <w:t>تساؤلات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25</w:t>
            </w:r>
            <w:r w:rsidRPr="00240338">
              <w:rPr>
                <w:rFonts w:ascii="Simplified Arabic" w:hAnsi="Simplified Arabic" w:cs="Simplified Arabic"/>
                <w:noProof/>
                <w:webHidden/>
                <w:sz w:val="20"/>
                <w:szCs w:val="20"/>
                <w:rtl/>
              </w:rPr>
              <w:fldChar w:fldCharType="end"/>
            </w:r>
          </w:hyperlink>
        </w:p>
        <w:p w14:paraId="56E615D2" w14:textId="17496E4B"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4" w:history="1">
            <w:r w:rsidRPr="00240338">
              <w:rPr>
                <w:rStyle w:val="Hyperlink"/>
                <w:rFonts w:ascii="Simplified Arabic" w:eastAsia="Times New Roman" w:hAnsi="Simplified Arabic" w:cs="Simplified Arabic"/>
                <w:b/>
                <w:bCs/>
                <w:noProof/>
                <w:sz w:val="20"/>
                <w:szCs w:val="20"/>
                <w:rtl/>
              </w:rPr>
              <w:t>فرضيات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25</w:t>
            </w:r>
            <w:r w:rsidRPr="00240338">
              <w:rPr>
                <w:rFonts w:ascii="Simplified Arabic" w:hAnsi="Simplified Arabic" w:cs="Simplified Arabic"/>
                <w:noProof/>
                <w:webHidden/>
                <w:sz w:val="20"/>
                <w:szCs w:val="20"/>
                <w:rtl/>
              </w:rPr>
              <w:fldChar w:fldCharType="end"/>
            </w:r>
          </w:hyperlink>
        </w:p>
        <w:p w14:paraId="53DFF467" w14:textId="20EFEB50"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5" w:history="1">
            <w:r w:rsidRPr="00240338">
              <w:rPr>
                <w:rStyle w:val="Hyperlink"/>
                <w:rFonts w:ascii="Simplified Arabic" w:eastAsia="Times New Roman" w:hAnsi="Simplified Arabic" w:cs="Simplified Arabic"/>
                <w:b/>
                <w:bCs/>
                <w:noProof/>
                <w:sz w:val="20"/>
                <w:szCs w:val="20"/>
                <w:rtl/>
              </w:rPr>
              <w:t>أهمية الدراسة (النظرية والتطبيقية):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26</w:t>
            </w:r>
            <w:r w:rsidRPr="00240338">
              <w:rPr>
                <w:rFonts w:ascii="Simplified Arabic" w:hAnsi="Simplified Arabic" w:cs="Simplified Arabic"/>
                <w:noProof/>
                <w:webHidden/>
                <w:sz w:val="20"/>
                <w:szCs w:val="20"/>
                <w:rtl/>
              </w:rPr>
              <w:fldChar w:fldCharType="end"/>
            </w:r>
          </w:hyperlink>
        </w:p>
        <w:p w14:paraId="51AFE876" w14:textId="6B50B356"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86" w:history="1">
            <w:r w:rsidRPr="00240338">
              <w:rPr>
                <w:rStyle w:val="Hyperlink"/>
                <w:rFonts w:ascii="Simplified Arabic" w:hAnsi="Simplified Arabic" w:cs="Simplified Arabic"/>
                <w:b/>
                <w:bCs/>
                <w:noProof/>
                <w:sz w:val="20"/>
                <w:szCs w:val="20"/>
                <w:rtl/>
              </w:rPr>
              <w:t>الأهمية النظرية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26</w:t>
            </w:r>
            <w:r w:rsidRPr="00240338">
              <w:rPr>
                <w:rFonts w:ascii="Simplified Arabic" w:hAnsi="Simplified Arabic" w:cs="Simplified Arabic"/>
                <w:noProof/>
                <w:webHidden/>
                <w:sz w:val="20"/>
                <w:szCs w:val="20"/>
                <w:rtl/>
              </w:rPr>
              <w:fldChar w:fldCharType="end"/>
            </w:r>
          </w:hyperlink>
        </w:p>
        <w:p w14:paraId="6475D6EC" w14:textId="04DEFA1C"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87" w:history="1">
            <w:r w:rsidRPr="00240338">
              <w:rPr>
                <w:rStyle w:val="Hyperlink"/>
                <w:rFonts w:ascii="Simplified Arabic" w:hAnsi="Simplified Arabic" w:cs="Simplified Arabic"/>
                <w:b/>
                <w:bCs/>
                <w:noProof/>
                <w:sz w:val="20"/>
                <w:szCs w:val="20"/>
                <w:rtl/>
              </w:rPr>
              <w:t>الأهمية التطبيقية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28</w:t>
            </w:r>
            <w:r w:rsidRPr="00240338">
              <w:rPr>
                <w:rFonts w:ascii="Simplified Arabic" w:hAnsi="Simplified Arabic" w:cs="Simplified Arabic"/>
                <w:noProof/>
                <w:webHidden/>
                <w:sz w:val="20"/>
                <w:szCs w:val="20"/>
                <w:rtl/>
              </w:rPr>
              <w:fldChar w:fldCharType="end"/>
            </w:r>
          </w:hyperlink>
        </w:p>
        <w:p w14:paraId="17C316B2" w14:textId="500DB29E"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8" w:history="1">
            <w:r w:rsidRPr="00240338">
              <w:rPr>
                <w:rStyle w:val="Hyperlink"/>
                <w:rFonts w:ascii="Simplified Arabic" w:eastAsia="Times New Roman" w:hAnsi="Simplified Arabic" w:cs="Simplified Arabic"/>
                <w:b/>
                <w:bCs/>
                <w:noProof/>
                <w:sz w:val="20"/>
                <w:szCs w:val="20"/>
                <w:rtl/>
              </w:rPr>
              <w:t>أهداف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31</w:t>
            </w:r>
            <w:r w:rsidRPr="00240338">
              <w:rPr>
                <w:rFonts w:ascii="Simplified Arabic" w:hAnsi="Simplified Arabic" w:cs="Simplified Arabic"/>
                <w:noProof/>
                <w:webHidden/>
                <w:sz w:val="20"/>
                <w:szCs w:val="20"/>
                <w:rtl/>
              </w:rPr>
              <w:fldChar w:fldCharType="end"/>
            </w:r>
          </w:hyperlink>
        </w:p>
        <w:p w14:paraId="324A60EA" w14:textId="22300901"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89" w:history="1">
            <w:r w:rsidRPr="00240338">
              <w:rPr>
                <w:rStyle w:val="Hyperlink"/>
                <w:rFonts w:ascii="Simplified Arabic" w:eastAsia="Times New Roman" w:hAnsi="Simplified Arabic" w:cs="Simplified Arabic"/>
                <w:b/>
                <w:bCs/>
                <w:noProof/>
                <w:sz w:val="20"/>
                <w:szCs w:val="20"/>
                <w:rtl/>
              </w:rPr>
              <w:t>مفاهيم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Toc233202789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32</w:t>
            </w:r>
            <w:r w:rsidRPr="00240338">
              <w:rPr>
                <w:rFonts w:ascii="Simplified Arabic" w:hAnsi="Simplified Arabic" w:cs="Simplified Arabic"/>
                <w:noProof/>
                <w:webHidden/>
                <w:sz w:val="20"/>
                <w:szCs w:val="20"/>
                <w:rtl/>
              </w:rPr>
              <w:fldChar w:fldCharType="end"/>
            </w:r>
          </w:hyperlink>
        </w:p>
        <w:p w14:paraId="6A74B7F6" w14:textId="46B26865"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0" w:history="1">
            <w:r w:rsidRPr="00240338">
              <w:rPr>
                <w:rStyle w:val="Hyperlink"/>
                <w:rFonts w:ascii="Simplified Arabic" w:hAnsi="Simplified Arabic" w:cs="Simplified Arabic"/>
                <w:noProof/>
                <w:sz w:val="20"/>
                <w:szCs w:val="20"/>
                <w:rtl/>
              </w:rPr>
              <w:t>المفاهيم الاصطلاحية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32</w:t>
            </w:r>
            <w:r w:rsidRPr="00240338">
              <w:rPr>
                <w:rFonts w:ascii="Simplified Arabic" w:hAnsi="Simplified Arabic" w:cs="Simplified Arabic"/>
                <w:noProof/>
                <w:webHidden/>
                <w:sz w:val="20"/>
                <w:szCs w:val="20"/>
                <w:rtl/>
              </w:rPr>
              <w:fldChar w:fldCharType="end"/>
            </w:r>
          </w:hyperlink>
        </w:p>
        <w:p w14:paraId="1AC25919" w14:textId="7099F41D"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1" w:history="1">
            <w:r w:rsidRPr="00240338">
              <w:rPr>
                <w:rStyle w:val="Hyperlink"/>
                <w:rFonts w:ascii="Simplified Arabic" w:hAnsi="Simplified Arabic" w:cs="Simplified Arabic"/>
                <w:noProof/>
                <w:sz w:val="20"/>
                <w:szCs w:val="20"/>
                <w:rtl/>
              </w:rPr>
              <w:t>المفاهيم الإجرائية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33</w:t>
            </w:r>
            <w:r w:rsidRPr="00240338">
              <w:rPr>
                <w:rFonts w:ascii="Simplified Arabic" w:hAnsi="Simplified Arabic" w:cs="Simplified Arabic"/>
                <w:noProof/>
                <w:webHidden/>
                <w:sz w:val="20"/>
                <w:szCs w:val="20"/>
                <w:rtl/>
              </w:rPr>
              <w:fldChar w:fldCharType="end"/>
            </w:r>
          </w:hyperlink>
        </w:p>
        <w:p w14:paraId="2CE0C9CF" w14:textId="665D99D5"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2" w:history="1">
            <w:r w:rsidRPr="00240338">
              <w:rPr>
                <w:rStyle w:val="Hyperlink"/>
                <w:rFonts w:ascii="Simplified Arabic" w:hAnsi="Simplified Arabic" w:cs="Simplified Arabic"/>
                <w:noProof/>
                <w:sz w:val="20"/>
                <w:szCs w:val="20"/>
                <w:rtl/>
              </w:rPr>
              <w:t>المفاهيم التطبيقية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34</w:t>
            </w:r>
            <w:r w:rsidRPr="00240338">
              <w:rPr>
                <w:rFonts w:ascii="Simplified Arabic" w:hAnsi="Simplified Arabic" w:cs="Simplified Arabic"/>
                <w:noProof/>
                <w:webHidden/>
                <w:sz w:val="20"/>
                <w:szCs w:val="20"/>
                <w:rtl/>
              </w:rPr>
              <w:fldChar w:fldCharType="end"/>
            </w:r>
          </w:hyperlink>
        </w:p>
        <w:p w14:paraId="46AAC6BE" w14:textId="2E7DFE07"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93" w:history="1">
            <w:r w:rsidRPr="00240338">
              <w:rPr>
                <w:rStyle w:val="Hyperlink"/>
                <w:rFonts w:ascii="Simplified Arabic" w:eastAsia="Times New Roman" w:hAnsi="Simplified Arabic" w:cs="Simplified Arabic"/>
                <w:b/>
                <w:bCs/>
                <w:noProof/>
                <w:sz w:val="20"/>
                <w:szCs w:val="20"/>
                <w:rtl/>
              </w:rPr>
              <w:t>الدراسات المرجعية: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36</w:t>
            </w:r>
            <w:r w:rsidRPr="00240338">
              <w:rPr>
                <w:rFonts w:ascii="Simplified Arabic" w:hAnsi="Simplified Arabic" w:cs="Simplified Arabic"/>
                <w:noProof/>
                <w:webHidden/>
                <w:sz w:val="20"/>
                <w:szCs w:val="20"/>
                <w:rtl/>
              </w:rPr>
              <w:fldChar w:fldCharType="end"/>
            </w:r>
          </w:hyperlink>
        </w:p>
        <w:p w14:paraId="209737E0" w14:textId="40DA4D38"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94" w:history="1">
            <w:r w:rsidRPr="00240338">
              <w:rPr>
                <w:rStyle w:val="Hyperlink"/>
                <w:rFonts w:ascii="Simplified Arabic" w:eastAsia="Times New Roman" w:hAnsi="Simplified Arabic" w:cs="Simplified Arabic"/>
                <w:b/>
                <w:bCs/>
                <w:noProof/>
                <w:sz w:val="20"/>
                <w:szCs w:val="20"/>
                <w:rtl/>
              </w:rPr>
              <w:t>حدود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37</w:t>
            </w:r>
            <w:r w:rsidRPr="00240338">
              <w:rPr>
                <w:rFonts w:ascii="Simplified Arabic" w:hAnsi="Simplified Arabic" w:cs="Simplified Arabic"/>
                <w:noProof/>
                <w:webHidden/>
                <w:sz w:val="20"/>
                <w:szCs w:val="20"/>
                <w:rtl/>
              </w:rPr>
              <w:fldChar w:fldCharType="end"/>
            </w:r>
          </w:hyperlink>
        </w:p>
        <w:p w14:paraId="64473F79" w14:textId="35E174B1"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5" w:history="1">
            <w:r w:rsidRPr="00240338">
              <w:rPr>
                <w:rStyle w:val="Hyperlink"/>
                <w:rFonts w:ascii="Simplified Arabic" w:hAnsi="Simplified Arabic" w:cs="Simplified Arabic"/>
                <w:noProof/>
                <w:sz w:val="20"/>
                <w:szCs w:val="20"/>
                <w:rtl/>
              </w:rPr>
              <w:t>أولاً: الحدود المكانية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38</w:t>
            </w:r>
            <w:r w:rsidRPr="00240338">
              <w:rPr>
                <w:rFonts w:ascii="Simplified Arabic" w:hAnsi="Simplified Arabic" w:cs="Simplified Arabic"/>
                <w:noProof/>
                <w:webHidden/>
                <w:sz w:val="20"/>
                <w:szCs w:val="20"/>
                <w:rtl/>
              </w:rPr>
              <w:fldChar w:fldCharType="end"/>
            </w:r>
          </w:hyperlink>
        </w:p>
        <w:p w14:paraId="1C5B0084" w14:textId="1075C049"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6" w:history="1">
            <w:r w:rsidRPr="00240338">
              <w:rPr>
                <w:rStyle w:val="Hyperlink"/>
                <w:rFonts w:ascii="Simplified Arabic" w:hAnsi="Simplified Arabic" w:cs="Simplified Arabic"/>
                <w:noProof/>
                <w:sz w:val="20"/>
                <w:szCs w:val="20"/>
                <w:rtl/>
              </w:rPr>
              <w:t>ثانياً: الحدود الزمانية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38</w:t>
            </w:r>
            <w:r w:rsidRPr="00240338">
              <w:rPr>
                <w:rFonts w:ascii="Simplified Arabic" w:hAnsi="Simplified Arabic" w:cs="Simplified Arabic"/>
                <w:noProof/>
                <w:webHidden/>
                <w:sz w:val="20"/>
                <w:szCs w:val="20"/>
                <w:rtl/>
              </w:rPr>
              <w:fldChar w:fldCharType="end"/>
            </w:r>
          </w:hyperlink>
        </w:p>
        <w:p w14:paraId="6A2F8F95" w14:textId="1114AB0B"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7" w:history="1">
            <w:r w:rsidRPr="00240338">
              <w:rPr>
                <w:rStyle w:val="Hyperlink"/>
                <w:rFonts w:ascii="Simplified Arabic" w:hAnsi="Simplified Arabic" w:cs="Simplified Arabic"/>
                <w:noProof/>
                <w:sz w:val="20"/>
                <w:szCs w:val="20"/>
                <w:rtl/>
              </w:rPr>
              <w:t>ثالثاً: الحدود البشرية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38</w:t>
            </w:r>
            <w:r w:rsidRPr="00240338">
              <w:rPr>
                <w:rFonts w:ascii="Simplified Arabic" w:hAnsi="Simplified Arabic" w:cs="Simplified Arabic"/>
                <w:noProof/>
                <w:webHidden/>
                <w:sz w:val="20"/>
                <w:szCs w:val="20"/>
                <w:rtl/>
              </w:rPr>
              <w:fldChar w:fldCharType="end"/>
            </w:r>
          </w:hyperlink>
        </w:p>
        <w:p w14:paraId="3DA439D8" w14:textId="525F79E0"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798" w:history="1">
            <w:r w:rsidRPr="00240338">
              <w:rPr>
                <w:rStyle w:val="Hyperlink"/>
                <w:rFonts w:ascii="Simplified Arabic" w:hAnsi="Simplified Arabic" w:cs="Simplified Arabic"/>
                <w:noProof/>
                <w:sz w:val="20"/>
                <w:szCs w:val="20"/>
                <w:rtl/>
              </w:rPr>
              <w:t>رابعاً: الحدود الموضوعية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38</w:t>
            </w:r>
            <w:r w:rsidRPr="00240338">
              <w:rPr>
                <w:rFonts w:ascii="Simplified Arabic" w:hAnsi="Simplified Arabic" w:cs="Simplified Arabic"/>
                <w:noProof/>
                <w:webHidden/>
                <w:sz w:val="20"/>
                <w:szCs w:val="20"/>
                <w:rtl/>
              </w:rPr>
              <w:fldChar w:fldCharType="end"/>
            </w:r>
          </w:hyperlink>
        </w:p>
        <w:p w14:paraId="604BF0D4" w14:textId="1D088335"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799" w:history="1">
            <w:r w:rsidRPr="00240338">
              <w:rPr>
                <w:rStyle w:val="Hyperlink"/>
                <w:rFonts w:ascii="Simplified Arabic" w:eastAsia="Times New Roman" w:hAnsi="Simplified Arabic" w:cs="Simplified Arabic"/>
                <w:b/>
                <w:bCs/>
                <w:noProof/>
                <w:sz w:val="20"/>
                <w:szCs w:val="20"/>
                <w:rtl/>
              </w:rPr>
              <w:t>إجراءات ومنهجية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Toc233202799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40</w:t>
            </w:r>
            <w:r w:rsidRPr="00240338">
              <w:rPr>
                <w:rFonts w:ascii="Simplified Arabic" w:hAnsi="Simplified Arabic" w:cs="Simplified Arabic"/>
                <w:noProof/>
                <w:webHidden/>
                <w:sz w:val="20"/>
                <w:szCs w:val="20"/>
                <w:rtl/>
              </w:rPr>
              <w:fldChar w:fldCharType="end"/>
            </w:r>
          </w:hyperlink>
        </w:p>
        <w:p w14:paraId="5C62DB4B" w14:textId="4528814D"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00" w:history="1">
            <w:r w:rsidRPr="00240338">
              <w:rPr>
                <w:rStyle w:val="Hyperlink"/>
                <w:rFonts w:ascii="Simplified Arabic" w:hAnsi="Simplified Arabic" w:cs="Simplified Arabic"/>
                <w:noProof/>
                <w:sz w:val="20"/>
                <w:szCs w:val="20"/>
                <w:rtl/>
              </w:rPr>
              <w:t>مجتمع وعينة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40</w:t>
            </w:r>
            <w:r w:rsidRPr="00240338">
              <w:rPr>
                <w:rFonts w:ascii="Simplified Arabic" w:hAnsi="Simplified Arabic" w:cs="Simplified Arabic"/>
                <w:noProof/>
                <w:webHidden/>
                <w:sz w:val="20"/>
                <w:szCs w:val="20"/>
                <w:rtl/>
              </w:rPr>
              <w:fldChar w:fldCharType="end"/>
            </w:r>
          </w:hyperlink>
        </w:p>
        <w:p w14:paraId="5783A3C3" w14:textId="79B2F2CD"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01" w:history="1">
            <w:r w:rsidRPr="00240338">
              <w:rPr>
                <w:rStyle w:val="Hyperlink"/>
                <w:rFonts w:ascii="Simplified Arabic" w:hAnsi="Simplified Arabic" w:cs="Simplified Arabic"/>
                <w:noProof/>
                <w:sz w:val="20"/>
                <w:szCs w:val="20"/>
                <w:rtl/>
              </w:rPr>
              <w:t>وسائل جمع بيانات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40</w:t>
            </w:r>
            <w:r w:rsidRPr="00240338">
              <w:rPr>
                <w:rFonts w:ascii="Simplified Arabic" w:hAnsi="Simplified Arabic" w:cs="Simplified Arabic"/>
                <w:noProof/>
                <w:webHidden/>
                <w:sz w:val="20"/>
                <w:szCs w:val="20"/>
                <w:rtl/>
              </w:rPr>
              <w:fldChar w:fldCharType="end"/>
            </w:r>
          </w:hyperlink>
        </w:p>
        <w:p w14:paraId="702E4FAC" w14:textId="1AE397F7"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02" w:history="1">
            <w:r w:rsidRPr="00240338">
              <w:rPr>
                <w:rStyle w:val="Hyperlink"/>
                <w:rFonts w:ascii="Simplified Arabic" w:hAnsi="Simplified Arabic" w:cs="Simplified Arabic"/>
                <w:noProof/>
                <w:sz w:val="20"/>
                <w:szCs w:val="20"/>
                <w:shd w:val="clear" w:color="auto" w:fill="FFFFFF"/>
                <w:rtl/>
              </w:rPr>
              <w:t>إطار التحليل</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41</w:t>
            </w:r>
            <w:r w:rsidRPr="00240338">
              <w:rPr>
                <w:rFonts w:ascii="Simplified Arabic" w:hAnsi="Simplified Arabic" w:cs="Simplified Arabic"/>
                <w:noProof/>
                <w:webHidden/>
                <w:sz w:val="20"/>
                <w:szCs w:val="20"/>
                <w:rtl/>
              </w:rPr>
              <w:fldChar w:fldCharType="end"/>
            </w:r>
          </w:hyperlink>
        </w:p>
        <w:p w14:paraId="3BB35F8A" w14:textId="5449D247"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03" w:history="1">
            <w:r w:rsidRPr="00240338">
              <w:rPr>
                <w:rStyle w:val="Hyperlink"/>
                <w:rFonts w:ascii="Simplified Arabic" w:hAnsi="Simplified Arabic" w:cs="Simplified Arabic"/>
                <w:noProof/>
                <w:sz w:val="20"/>
                <w:szCs w:val="20"/>
                <w:rtl/>
              </w:rPr>
              <w:t>أ‌.</w:t>
            </w:r>
            <w:r w:rsidRPr="00240338">
              <w:rPr>
                <w:rStyle w:val="Hyperlink"/>
                <w:rFonts w:ascii="Simplified Arabic" w:hAnsi="Simplified Arabic" w:cs="Simplified Arabic"/>
                <w:noProof/>
                <w:sz w:val="20"/>
                <w:szCs w:val="20"/>
                <w:shd w:val="clear" w:color="auto" w:fill="FFFFFF"/>
                <w:rtl/>
              </w:rPr>
              <w:t>أدوات التحليل المالي ومعايير اتخاذ القرار</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41</w:t>
            </w:r>
            <w:r w:rsidRPr="00240338">
              <w:rPr>
                <w:rFonts w:ascii="Simplified Arabic" w:hAnsi="Simplified Arabic" w:cs="Simplified Arabic"/>
                <w:noProof/>
                <w:webHidden/>
                <w:sz w:val="20"/>
                <w:szCs w:val="20"/>
                <w:rtl/>
              </w:rPr>
              <w:fldChar w:fldCharType="end"/>
            </w:r>
          </w:hyperlink>
        </w:p>
        <w:p w14:paraId="6B64F3E4" w14:textId="63990DEF"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04" w:history="1">
            <w:r w:rsidRPr="00240338">
              <w:rPr>
                <w:rStyle w:val="Hyperlink"/>
                <w:rFonts w:ascii="Simplified Arabic" w:hAnsi="Simplified Arabic" w:cs="Simplified Arabic"/>
                <w:noProof/>
                <w:sz w:val="20"/>
                <w:szCs w:val="20"/>
                <w:rtl/>
              </w:rPr>
              <w:t>ب‌.</w:t>
            </w:r>
            <w:r w:rsidRPr="00240338">
              <w:rPr>
                <w:rStyle w:val="Hyperlink"/>
                <w:rFonts w:ascii="Simplified Arabic" w:hAnsi="Simplified Arabic" w:cs="Simplified Arabic"/>
                <w:noProof/>
                <w:sz w:val="20"/>
                <w:szCs w:val="20"/>
                <w:shd w:val="clear" w:color="auto" w:fill="FFFFFF"/>
                <w:rtl/>
              </w:rPr>
              <w:t>مؤشرات مستوى الخدمة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42</w:t>
            </w:r>
            <w:r w:rsidRPr="00240338">
              <w:rPr>
                <w:rFonts w:ascii="Simplified Arabic" w:hAnsi="Simplified Arabic" w:cs="Simplified Arabic"/>
                <w:noProof/>
                <w:webHidden/>
                <w:sz w:val="20"/>
                <w:szCs w:val="20"/>
                <w:rtl/>
              </w:rPr>
              <w:fldChar w:fldCharType="end"/>
            </w:r>
          </w:hyperlink>
        </w:p>
        <w:p w14:paraId="1AED6BF7" w14:textId="52B2B46B"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05" w:history="1">
            <w:r w:rsidRPr="00240338">
              <w:rPr>
                <w:rStyle w:val="Hyperlink"/>
                <w:rFonts w:ascii="Simplified Arabic" w:hAnsi="Simplified Arabic" w:cs="Simplified Arabic"/>
                <w:noProof/>
                <w:sz w:val="20"/>
                <w:szCs w:val="20"/>
                <w:rtl/>
              </w:rPr>
              <w:t>ت‌.</w:t>
            </w:r>
            <w:r w:rsidRPr="00240338">
              <w:rPr>
                <w:rStyle w:val="Hyperlink"/>
                <w:rFonts w:ascii="Simplified Arabic" w:hAnsi="Simplified Arabic" w:cs="Simplified Arabic"/>
                <w:noProof/>
                <w:sz w:val="20"/>
                <w:szCs w:val="20"/>
                <w:shd w:val="clear" w:color="auto" w:fill="FFFFFF"/>
                <w:rtl/>
              </w:rPr>
              <w:t>أداة التحليل</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42</w:t>
            </w:r>
            <w:r w:rsidRPr="00240338">
              <w:rPr>
                <w:rFonts w:ascii="Simplified Arabic" w:hAnsi="Simplified Arabic" w:cs="Simplified Arabic"/>
                <w:noProof/>
                <w:webHidden/>
                <w:sz w:val="20"/>
                <w:szCs w:val="20"/>
                <w:rtl/>
              </w:rPr>
              <w:fldChar w:fldCharType="end"/>
            </w:r>
          </w:hyperlink>
        </w:p>
        <w:p w14:paraId="21539935" w14:textId="0B3D27F7"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06" w:history="1">
            <w:r w:rsidRPr="00240338">
              <w:rPr>
                <w:rStyle w:val="Hyperlink"/>
                <w:rFonts w:ascii="Simplified Arabic" w:hAnsi="Simplified Arabic" w:cs="Simplified Arabic"/>
                <w:noProof/>
                <w:sz w:val="20"/>
                <w:szCs w:val="20"/>
                <w:rtl/>
              </w:rPr>
              <w:t>ث‌.</w:t>
            </w:r>
            <w:r w:rsidRPr="00240338">
              <w:rPr>
                <w:rStyle w:val="Hyperlink"/>
                <w:rFonts w:ascii="Simplified Arabic" w:hAnsi="Simplified Arabic" w:cs="Simplified Arabic"/>
                <w:noProof/>
                <w:sz w:val="20"/>
                <w:szCs w:val="20"/>
                <w:shd w:val="clear" w:color="auto" w:fill="FFFFFF"/>
                <w:rtl/>
              </w:rPr>
              <w:t>المتغيرات الضابطة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43</w:t>
            </w:r>
            <w:r w:rsidRPr="00240338">
              <w:rPr>
                <w:rFonts w:ascii="Simplified Arabic" w:hAnsi="Simplified Arabic" w:cs="Simplified Arabic"/>
                <w:noProof/>
                <w:webHidden/>
                <w:sz w:val="20"/>
                <w:szCs w:val="20"/>
                <w:rtl/>
              </w:rPr>
              <w:fldChar w:fldCharType="end"/>
            </w:r>
          </w:hyperlink>
        </w:p>
        <w:p w14:paraId="1F293BC1" w14:textId="26CB6DAA"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07" w:history="1">
            <w:r w:rsidRPr="00240338">
              <w:rPr>
                <w:rStyle w:val="Hyperlink"/>
                <w:rFonts w:ascii="Simplified Arabic" w:hAnsi="Simplified Arabic" w:cs="Simplified Arabic"/>
                <w:noProof/>
                <w:sz w:val="20"/>
                <w:szCs w:val="20"/>
                <w:shd w:val="clear" w:color="auto" w:fill="FFFFFF"/>
                <w:rtl/>
              </w:rPr>
              <w:t>نموذج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45</w:t>
            </w:r>
            <w:r w:rsidRPr="00240338">
              <w:rPr>
                <w:rFonts w:ascii="Simplified Arabic" w:hAnsi="Simplified Arabic" w:cs="Simplified Arabic"/>
                <w:noProof/>
                <w:webHidden/>
                <w:sz w:val="20"/>
                <w:szCs w:val="20"/>
                <w:rtl/>
              </w:rPr>
              <w:fldChar w:fldCharType="end"/>
            </w:r>
          </w:hyperlink>
        </w:p>
        <w:p w14:paraId="0BE6291E" w14:textId="4F213E74"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08" w:history="1">
            <w:r w:rsidRPr="00240338">
              <w:rPr>
                <w:rStyle w:val="Hyperlink"/>
                <w:rFonts w:ascii="Simplified Arabic" w:hAnsi="Simplified Arabic" w:cs="Simplified Arabic"/>
                <w:b/>
                <w:bCs/>
                <w:noProof/>
                <w:sz w:val="20"/>
                <w:szCs w:val="20"/>
                <w:shd w:val="clear" w:color="auto" w:fill="FFFFFF"/>
                <w:rtl/>
              </w:rPr>
              <w:t>الفصل الثاني: الإطار النظري للدراسة (مراجعة الأدبيات ذات العلاقة)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47</w:t>
            </w:r>
            <w:r w:rsidRPr="00240338">
              <w:rPr>
                <w:rFonts w:ascii="Simplified Arabic" w:hAnsi="Simplified Arabic" w:cs="Simplified Arabic"/>
                <w:noProof/>
                <w:webHidden/>
                <w:sz w:val="20"/>
                <w:szCs w:val="20"/>
                <w:rtl/>
              </w:rPr>
              <w:fldChar w:fldCharType="end"/>
            </w:r>
          </w:hyperlink>
        </w:p>
        <w:p w14:paraId="17C41AC0" w14:textId="044F3CED"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09" w:history="1">
            <w:r w:rsidRPr="00240338">
              <w:rPr>
                <w:rStyle w:val="Hyperlink"/>
                <w:rFonts w:ascii="Simplified Arabic" w:hAnsi="Simplified Arabic" w:cs="Simplified Arabic"/>
                <w:noProof/>
                <w:sz w:val="20"/>
                <w:szCs w:val="20"/>
                <w:shd w:val="clear" w:color="auto" w:fill="FFFFFF"/>
                <w:rtl/>
              </w:rPr>
              <w:t>منهجية مراجعة الأدبيات</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Toc233202809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48</w:t>
            </w:r>
            <w:r w:rsidRPr="00240338">
              <w:rPr>
                <w:rFonts w:ascii="Simplified Arabic" w:hAnsi="Simplified Arabic" w:cs="Simplified Arabic"/>
                <w:noProof/>
                <w:webHidden/>
                <w:sz w:val="20"/>
                <w:szCs w:val="20"/>
                <w:rtl/>
              </w:rPr>
              <w:fldChar w:fldCharType="end"/>
            </w:r>
          </w:hyperlink>
        </w:p>
        <w:p w14:paraId="5942E9BA" w14:textId="10A86040" w:rsidR="002C6EAC" w:rsidRPr="00240338" w:rsidRDefault="002C6EAC" w:rsidP="002C6EAC">
          <w:pPr>
            <w:pStyle w:val="TOC3"/>
            <w:tabs>
              <w:tab w:val="right" w:leader="dot" w:pos="8296"/>
            </w:tabs>
            <w:bidi/>
            <w:spacing w:after="0" w:line="240" w:lineRule="auto"/>
            <w:rPr>
              <w:rFonts w:ascii="Simplified Arabic" w:eastAsiaTheme="minorEastAsia" w:hAnsi="Simplified Arabic" w:cs="Simplified Arabic"/>
              <w:noProof/>
              <w:sz w:val="20"/>
              <w:szCs w:val="20"/>
              <w:rtl/>
            </w:rPr>
          </w:pPr>
          <w:hyperlink w:anchor="_Toc233202810" w:history="1">
            <w:r w:rsidRPr="00240338">
              <w:rPr>
                <w:rStyle w:val="Hyperlink"/>
                <w:rFonts w:ascii="Simplified Arabic" w:eastAsiaTheme="majorEastAsia" w:hAnsi="Simplified Arabic" w:cs="Simplified Arabic"/>
                <w:noProof/>
                <w:sz w:val="20"/>
                <w:szCs w:val="20"/>
                <w:shd w:val="clear" w:color="auto" w:fill="FFFFFF"/>
                <w:rtl/>
              </w:rPr>
              <w:t>أولاً: قواعد البيانات والمصادر</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48</w:t>
            </w:r>
            <w:r w:rsidRPr="00240338">
              <w:rPr>
                <w:rFonts w:ascii="Simplified Arabic" w:hAnsi="Simplified Arabic" w:cs="Simplified Arabic"/>
                <w:noProof/>
                <w:webHidden/>
                <w:sz w:val="20"/>
                <w:szCs w:val="20"/>
                <w:rtl/>
              </w:rPr>
              <w:fldChar w:fldCharType="end"/>
            </w:r>
          </w:hyperlink>
        </w:p>
        <w:p w14:paraId="770D6453" w14:textId="22CA8969" w:rsidR="002C6EAC" w:rsidRPr="00240338" w:rsidRDefault="002C6EAC" w:rsidP="002C6EAC">
          <w:pPr>
            <w:pStyle w:val="TOC3"/>
            <w:tabs>
              <w:tab w:val="right" w:leader="dot" w:pos="8296"/>
            </w:tabs>
            <w:bidi/>
            <w:spacing w:after="0" w:line="240" w:lineRule="auto"/>
            <w:rPr>
              <w:rFonts w:ascii="Simplified Arabic" w:eastAsiaTheme="minorEastAsia" w:hAnsi="Simplified Arabic" w:cs="Simplified Arabic"/>
              <w:noProof/>
              <w:sz w:val="20"/>
              <w:szCs w:val="20"/>
              <w:rtl/>
            </w:rPr>
          </w:pPr>
          <w:hyperlink w:anchor="_Toc233202811" w:history="1">
            <w:r w:rsidRPr="00240338">
              <w:rPr>
                <w:rStyle w:val="Hyperlink"/>
                <w:rFonts w:ascii="Simplified Arabic" w:eastAsiaTheme="majorEastAsia" w:hAnsi="Simplified Arabic" w:cs="Simplified Arabic"/>
                <w:noProof/>
                <w:sz w:val="20"/>
                <w:szCs w:val="20"/>
                <w:shd w:val="clear" w:color="auto" w:fill="FFFFFF"/>
                <w:rtl/>
              </w:rPr>
              <w:t>قواعد البيانات العلمية المحكمة</w:t>
            </w:r>
            <w:r w:rsidRPr="00240338">
              <w:rPr>
                <w:rStyle w:val="Hyperlink"/>
                <w:rFonts w:ascii="Simplified Arabic" w:eastAsiaTheme="majorEastAsia" w:hAnsi="Simplified Arabic" w:cs="Simplified Arabic"/>
                <w:noProof/>
                <w:sz w:val="20"/>
                <w:szCs w:val="20"/>
                <w:shd w:val="clear" w:color="auto" w:fill="FFFFFF"/>
              </w:rPr>
              <w:t>:</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48</w:t>
            </w:r>
            <w:r w:rsidRPr="00240338">
              <w:rPr>
                <w:rFonts w:ascii="Simplified Arabic" w:hAnsi="Simplified Arabic" w:cs="Simplified Arabic"/>
                <w:noProof/>
                <w:webHidden/>
                <w:sz w:val="20"/>
                <w:szCs w:val="20"/>
                <w:rtl/>
              </w:rPr>
              <w:fldChar w:fldCharType="end"/>
            </w:r>
          </w:hyperlink>
        </w:p>
        <w:p w14:paraId="57CEC999" w14:textId="063629D0" w:rsidR="002C6EAC" w:rsidRPr="00240338" w:rsidRDefault="002C6EAC" w:rsidP="002C6EAC">
          <w:pPr>
            <w:pStyle w:val="TOC3"/>
            <w:tabs>
              <w:tab w:val="right" w:leader="dot" w:pos="8296"/>
            </w:tabs>
            <w:bidi/>
            <w:spacing w:after="0" w:line="240" w:lineRule="auto"/>
            <w:rPr>
              <w:rFonts w:ascii="Simplified Arabic" w:eastAsiaTheme="minorEastAsia" w:hAnsi="Simplified Arabic" w:cs="Simplified Arabic"/>
              <w:noProof/>
              <w:sz w:val="20"/>
              <w:szCs w:val="20"/>
              <w:rtl/>
            </w:rPr>
          </w:pPr>
          <w:hyperlink w:anchor="_Toc233202812" w:history="1">
            <w:r w:rsidRPr="00240338">
              <w:rPr>
                <w:rStyle w:val="Hyperlink"/>
                <w:rFonts w:ascii="Simplified Arabic" w:eastAsiaTheme="majorEastAsia" w:hAnsi="Simplified Arabic" w:cs="Simplified Arabic"/>
                <w:noProof/>
                <w:sz w:val="20"/>
                <w:szCs w:val="20"/>
                <w:shd w:val="clear" w:color="auto" w:fill="FFFFFF"/>
                <w:rtl/>
              </w:rPr>
              <w:t>المصادر الرسمية والتقارير</w:t>
            </w:r>
            <w:r w:rsidRPr="00240338">
              <w:rPr>
                <w:rStyle w:val="Hyperlink"/>
                <w:rFonts w:ascii="Simplified Arabic" w:eastAsiaTheme="majorEastAsia" w:hAnsi="Simplified Arabic" w:cs="Simplified Arabic"/>
                <w:noProof/>
                <w:sz w:val="20"/>
                <w:szCs w:val="20"/>
                <w:shd w:val="clear" w:color="auto" w:fill="FFFFFF"/>
              </w:rPr>
              <w:t>:</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48</w:t>
            </w:r>
            <w:r w:rsidRPr="00240338">
              <w:rPr>
                <w:rFonts w:ascii="Simplified Arabic" w:hAnsi="Simplified Arabic" w:cs="Simplified Arabic"/>
                <w:noProof/>
                <w:webHidden/>
                <w:sz w:val="20"/>
                <w:szCs w:val="20"/>
                <w:rtl/>
              </w:rPr>
              <w:fldChar w:fldCharType="end"/>
            </w:r>
          </w:hyperlink>
        </w:p>
        <w:p w14:paraId="3318DFC1" w14:textId="3627612B" w:rsidR="002C6EAC" w:rsidRPr="00240338" w:rsidRDefault="002C6EAC" w:rsidP="002C6EAC">
          <w:pPr>
            <w:pStyle w:val="TOC3"/>
            <w:tabs>
              <w:tab w:val="right" w:leader="dot" w:pos="8296"/>
            </w:tabs>
            <w:bidi/>
            <w:spacing w:after="0" w:line="240" w:lineRule="auto"/>
            <w:rPr>
              <w:rFonts w:ascii="Simplified Arabic" w:eastAsiaTheme="minorEastAsia" w:hAnsi="Simplified Arabic" w:cs="Simplified Arabic"/>
              <w:noProof/>
              <w:sz w:val="20"/>
              <w:szCs w:val="20"/>
              <w:rtl/>
            </w:rPr>
          </w:pPr>
          <w:hyperlink w:anchor="_Toc233202813" w:history="1">
            <w:r w:rsidRPr="00240338">
              <w:rPr>
                <w:rStyle w:val="Hyperlink"/>
                <w:rFonts w:ascii="Simplified Arabic" w:eastAsiaTheme="majorEastAsia" w:hAnsi="Simplified Arabic" w:cs="Simplified Arabic"/>
                <w:noProof/>
                <w:sz w:val="20"/>
                <w:szCs w:val="20"/>
                <w:shd w:val="clear" w:color="auto" w:fill="FFFFFF"/>
                <w:rtl/>
              </w:rPr>
              <w:t>ثانياً: الكلمات المفتاحية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49</w:t>
            </w:r>
            <w:r w:rsidRPr="00240338">
              <w:rPr>
                <w:rFonts w:ascii="Simplified Arabic" w:hAnsi="Simplified Arabic" w:cs="Simplified Arabic"/>
                <w:noProof/>
                <w:webHidden/>
                <w:sz w:val="20"/>
                <w:szCs w:val="20"/>
                <w:rtl/>
              </w:rPr>
              <w:fldChar w:fldCharType="end"/>
            </w:r>
          </w:hyperlink>
        </w:p>
        <w:p w14:paraId="5C4CBB8A" w14:textId="4AB651EF"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14" w:history="1">
            <w:r w:rsidRPr="00240338">
              <w:rPr>
                <w:rStyle w:val="Hyperlink"/>
                <w:rFonts w:ascii="Simplified Arabic" w:hAnsi="Simplified Arabic" w:cs="Simplified Arabic"/>
                <w:b/>
                <w:bCs/>
                <w:noProof/>
                <w:sz w:val="20"/>
                <w:szCs w:val="20"/>
                <w:rtl/>
              </w:rPr>
              <w:t>النظريات المفسرة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52</w:t>
            </w:r>
            <w:r w:rsidRPr="00240338">
              <w:rPr>
                <w:rFonts w:ascii="Simplified Arabic" w:hAnsi="Simplified Arabic" w:cs="Simplified Arabic"/>
                <w:noProof/>
                <w:webHidden/>
                <w:sz w:val="20"/>
                <w:szCs w:val="20"/>
                <w:rtl/>
              </w:rPr>
              <w:fldChar w:fldCharType="end"/>
            </w:r>
          </w:hyperlink>
        </w:p>
        <w:p w14:paraId="06C38177" w14:textId="28FFE5E9"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15" w:history="1">
            <w:r w:rsidRPr="00240338">
              <w:rPr>
                <w:rStyle w:val="Hyperlink"/>
                <w:rFonts w:ascii="Simplified Arabic" w:hAnsi="Simplified Arabic" w:cs="Simplified Arabic"/>
                <w:noProof/>
                <w:sz w:val="20"/>
                <w:szCs w:val="20"/>
                <w:rtl/>
              </w:rPr>
              <w:t>نظرية الوكالة</w:t>
            </w:r>
            <w:r w:rsidRPr="00240338">
              <w:rPr>
                <w:rStyle w:val="Hyperlink"/>
                <w:rFonts w:ascii="Simplified Arabic" w:hAnsi="Simplified Arabic" w:cs="Simplified Arabic"/>
                <w:noProof/>
                <w:sz w:val="20"/>
                <w:szCs w:val="20"/>
              </w:rPr>
              <w:t xml:space="preserve"> (Agency Theory)</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52</w:t>
            </w:r>
            <w:r w:rsidRPr="00240338">
              <w:rPr>
                <w:rFonts w:ascii="Simplified Arabic" w:hAnsi="Simplified Arabic" w:cs="Simplified Arabic"/>
                <w:noProof/>
                <w:webHidden/>
                <w:sz w:val="20"/>
                <w:szCs w:val="20"/>
                <w:rtl/>
              </w:rPr>
              <w:fldChar w:fldCharType="end"/>
            </w:r>
          </w:hyperlink>
        </w:p>
        <w:p w14:paraId="154A6E07" w14:textId="5C96F1E4"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16" w:history="1">
            <w:r w:rsidRPr="00240338">
              <w:rPr>
                <w:rStyle w:val="Hyperlink"/>
                <w:rFonts w:ascii="Simplified Arabic" w:hAnsi="Simplified Arabic" w:cs="Simplified Arabic"/>
                <w:noProof/>
                <w:sz w:val="20"/>
                <w:szCs w:val="20"/>
                <w:rtl/>
              </w:rPr>
              <w:t>1.</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نظرة عامة عن الشراكة مع القطاع الخاص</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60</w:t>
            </w:r>
            <w:r w:rsidRPr="00240338">
              <w:rPr>
                <w:rFonts w:ascii="Simplified Arabic" w:hAnsi="Simplified Arabic" w:cs="Simplified Arabic"/>
                <w:noProof/>
                <w:webHidden/>
                <w:sz w:val="20"/>
                <w:szCs w:val="20"/>
                <w:rtl/>
              </w:rPr>
              <w:fldChar w:fldCharType="end"/>
            </w:r>
          </w:hyperlink>
        </w:p>
        <w:p w14:paraId="636BB412" w14:textId="3EA6EFE0"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17" w:history="1">
            <w:r w:rsidRPr="00240338">
              <w:rPr>
                <w:rStyle w:val="Hyperlink"/>
                <w:rFonts w:ascii="Simplified Arabic" w:hAnsi="Simplified Arabic" w:cs="Simplified Arabic"/>
                <w:noProof/>
                <w:sz w:val="20"/>
                <w:szCs w:val="20"/>
                <w:rtl/>
              </w:rPr>
              <w:t>2.</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منافع وفوائد الشراكة مع القطاع الخاص</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63</w:t>
            </w:r>
            <w:r w:rsidRPr="00240338">
              <w:rPr>
                <w:rFonts w:ascii="Simplified Arabic" w:hAnsi="Simplified Arabic" w:cs="Simplified Arabic"/>
                <w:noProof/>
                <w:webHidden/>
                <w:sz w:val="20"/>
                <w:szCs w:val="20"/>
                <w:rtl/>
              </w:rPr>
              <w:fldChar w:fldCharType="end"/>
            </w:r>
          </w:hyperlink>
        </w:p>
        <w:p w14:paraId="35E7F2DA" w14:textId="4FD06777"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18" w:history="1">
            <w:r w:rsidRPr="00240338">
              <w:rPr>
                <w:rStyle w:val="Hyperlink"/>
                <w:rFonts w:ascii="Simplified Arabic" w:hAnsi="Simplified Arabic" w:cs="Simplified Arabic"/>
                <w:noProof/>
                <w:sz w:val="20"/>
                <w:szCs w:val="20"/>
                <w:rtl/>
              </w:rPr>
              <w:t>3.</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أنواع العقود وطرق التعاقد بين القطاعين العام والخاص</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65</w:t>
            </w:r>
            <w:r w:rsidRPr="00240338">
              <w:rPr>
                <w:rFonts w:ascii="Simplified Arabic" w:hAnsi="Simplified Arabic" w:cs="Simplified Arabic"/>
                <w:noProof/>
                <w:webHidden/>
                <w:sz w:val="20"/>
                <w:szCs w:val="20"/>
                <w:rtl/>
              </w:rPr>
              <w:fldChar w:fldCharType="end"/>
            </w:r>
          </w:hyperlink>
        </w:p>
        <w:p w14:paraId="1E5C66A5" w14:textId="5C4EB5F9"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19" w:history="1">
            <w:r w:rsidRPr="00240338">
              <w:rPr>
                <w:rStyle w:val="Hyperlink"/>
                <w:rFonts w:ascii="Simplified Arabic" w:hAnsi="Simplified Arabic" w:cs="Simplified Arabic"/>
                <w:noProof/>
                <w:sz w:val="20"/>
                <w:szCs w:val="20"/>
                <w:rtl/>
              </w:rPr>
              <w:t>4.</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الحوكمة البيئية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Toc233202819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68</w:t>
            </w:r>
            <w:r w:rsidRPr="00240338">
              <w:rPr>
                <w:rFonts w:ascii="Simplified Arabic" w:hAnsi="Simplified Arabic" w:cs="Simplified Arabic"/>
                <w:noProof/>
                <w:webHidden/>
                <w:sz w:val="20"/>
                <w:szCs w:val="20"/>
                <w:rtl/>
              </w:rPr>
              <w:fldChar w:fldCharType="end"/>
            </w:r>
          </w:hyperlink>
        </w:p>
        <w:p w14:paraId="59DA8C6D" w14:textId="26E2A300"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20" w:history="1">
            <w:r w:rsidRPr="00240338">
              <w:rPr>
                <w:rStyle w:val="Hyperlink"/>
                <w:rFonts w:ascii="Simplified Arabic" w:hAnsi="Simplified Arabic" w:cs="Simplified Arabic"/>
                <w:noProof/>
                <w:sz w:val="20"/>
                <w:szCs w:val="20"/>
                <w:rtl/>
              </w:rPr>
              <w:t>5.</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رؤية المملكة 2030</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71</w:t>
            </w:r>
            <w:r w:rsidRPr="00240338">
              <w:rPr>
                <w:rFonts w:ascii="Simplified Arabic" w:hAnsi="Simplified Arabic" w:cs="Simplified Arabic"/>
                <w:noProof/>
                <w:webHidden/>
                <w:sz w:val="20"/>
                <w:szCs w:val="20"/>
                <w:rtl/>
              </w:rPr>
              <w:fldChar w:fldCharType="end"/>
            </w:r>
          </w:hyperlink>
        </w:p>
        <w:p w14:paraId="304A0C30" w14:textId="50AE69DC"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1" w:history="1">
            <w:r w:rsidRPr="00240338">
              <w:rPr>
                <w:rStyle w:val="Hyperlink"/>
                <w:rFonts w:ascii="Simplified Arabic" w:hAnsi="Simplified Arabic" w:cs="Simplified Arabic"/>
                <w:noProof/>
                <w:sz w:val="20"/>
                <w:szCs w:val="20"/>
                <w:rtl/>
              </w:rPr>
              <w:t>أ‌.أهداف التنمية المستدامة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71</w:t>
            </w:r>
            <w:r w:rsidRPr="00240338">
              <w:rPr>
                <w:rFonts w:ascii="Simplified Arabic" w:hAnsi="Simplified Arabic" w:cs="Simplified Arabic"/>
                <w:noProof/>
                <w:webHidden/>
                <w:sz w:val="20"/>
                <w:szCs w:val="20"/>
                <w:rtl/>
              </w:rPr>
              <w:fldChar w:fldCharType="end"/>
            </w:r>
          </w:hyperlink>
        </w:p>
        <w:p w14:paraId="23C25811" w14:textId="4D82B15B"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2" w:history="1">
            <w:r w:rsidRPr="00240338">
              <w:rPr>
                <w:rStyle w:val="Hyperlink"/>
                <w:rFonts w:ascii="Simplified Arabic" w:hAnsi="Simplified Arabic" w:cs="Simplified Arabic"/>
                <w:noProof/>
                <w:sz w:val="20"/>
                <w:szCs w:val="20"/>
                <w:rtl/>
              </w:rPr>
              <w:t>ب‌.انطلاق رؤية المملكة 2030</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73</w:t>
            </w:r>
            <w:r w:rsidRPr="00240338">
              <w:rPr>
                <w:rFonts w:ascii="Simplified Arabic" w:hAnsi="Simplified Arabic" w:cs="Simplified Arabic"/>
                <w:noProof/>
                <w:webHidden/>
                <w:sz w:val="20"/>
                <w:szCs w:val="20"/>
                <w:rtl/>
              </w:rPr>
              <w:fldChar w:fldCharType="end"/>
            </w:r>
          </w:hyperlink>
        </w:p>
        <w:p w14:paraId="71B95AB7" w14:textId="4495A67C"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23" w:history="1">
            <w:r w:rsidRPr="00240338">
              <w:rPr>
                <w:rStyle w:val="Hyperlink"/>
                <w:rFonts w:ascii="Simplified Arabic" w:hAnsi="Simplified Arabic" w:cs="Simplified Arabic"/>
                <w:noProof/>
                <w:sz w:val="20"/>
                <w:szCs w:val="20"/>
                <w:rtl/>
              </w:rPr>
              <w:t>6.</w:t>
            </w:r>
            <w:r w:rsidRPr="00240338">
              <w:rPr>
                <w:rFonts w:ascii="Simplified Arabic" w:eastAsiaTheme="minorEastAsia" w:hAnsi="Simplified Arabic" w:cs="Simplified Arabic"/>
                <w:noProof/>
                <w:sz w:val="20"/>
                <w:szCs w:val="20"/>
                <w:rtl/>
              </w:rPr>
              <w:tab/>
            </w:r>
            <w:r w:rsidRPr="00240338">
              <w:rPr>
                <w:rStyle w:val="Hyperlink"/>
                <w:rFonts w:ascii="Simplified Arabic" w:hAnsi="Simplified Arabic" w:cs="Simplified Arabic"/>
                <w:noProof/>
                <w:sz w:val="20"/>
                <w:szCs w:val="20"/>
                <w:rtl/>
              </w:rPr>
              <w:t>قطاع البيئة في المملكة العربية السعودية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75</w:t>
            </w:r>
            <w:r w:rsidRPr="00240338">
              <w:rPr>
                <w:rFonts w:ascii="Simplified Arabic" w:hAnsi="Simplified Arabic" w:cs="Simplified Arabic"/>
                <w:noProof/>
                <w:webHidden/>
                <w:sz w:val="20"/>
                <w:szCs w:val="20"/>
                <w:rtl/>
              </w:rPr>
              <w:fldChar w:fldCharType="end"/>
            </w:r>
          </w:hyperlink>
        </w:p>
        <w:p w14:paraId="6EDA16D0" w14:textId="6E00397B"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4" w:history="1">
            <w:r w:rsidRPr="00240338">
              <w:rPr>
                <w:rStyle w:val="Hyperlink"/>
                <w:rFonts w:ascii="Simplified Arabic" w:hAnsi="Simplified Arabic" w:cs="Simplified Arabic"/>
                <w:noProof/>
                <w:sz w:val="20"/>
                <w:szCs w:val="20"/>
                <w:rtl/>
              </w:rPr>
              <w:t>أ‌.علاقة الرؤية بالتحول بالقطاع في البيئي</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75</w:t>
            </w:r>
            <w:r w:rsidRPr="00240338">
              <w:rPr>
                <w:rFonts w:ascii="Simplified Arabic" w:hAnsi="Simplified Arabic" w:cs="Simplified Arabic"/>
                <w:noProof/>
                <w:webHidden/>
                <w:sz w:val="20"/>
                <w:szCs w:val="20"/>
                <w:rtl/>
              </w:rPr>
              <w:fldChar w:fldCharType="end"/>
            </w:r>
          </w:hyperlink>
        </w:p>
        <w:p w14:paraId="3FAA1EFA" w14:textId="087136D4"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5" w:history="1">
            <w:r w:rsidRPr="00240338">
              <w:rPr>
                <w:rStyle w:val="Hyperlink"/>
                <w:rFonts w:ascii="Simplified Arabic" w:hAnsi="Simplified Arabic" w:cs="Simplified Arabic"/>
                <w:noProof/>
                <w:sz w:val="20"/>
                <w:szCs w:val="20"/>
                <w:rtl/>
              </w:rPr>
              <w:t>ب‌.لمحة تاريخية عن قطاع البيئة في المملكة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76</w:t>
            </w:r>
            <w:r w:rsidRPr="00240338">
              <w:rPr>
                <w:rFonts w:ascii="Simplified Arabic" w:hAnsi="Simplified Arabic" w:cs="Simplified Arabic"/>
                <w:noProof/>
                <w:webHidden/>
                <w:sz w:val="20"/>
                <w:szCs w:val="20"/>
                <w:rtl/>
              </w:rPr>
              <w:fldChar w:fldCharType="end"/>
            </w:r>
          </w:hyperlink>
        </w:p>
        <w:p w14:paraId="7C732892" w14:textId="7865272A"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6" w:history="1">
            <w:r w:rsidRPr="00240338">
              <w:rPr>
                <w:rStyle w:val="Hyperlink"/>
                <w:rFonts w:ascii="Simplified Arabic" w:hAnsi="Simplified Arabic" w:cs="Simplified Arabic"/>
                <w:noProof/>
                <w:sz w:val="20"/>
                <w:szCs w:val="20"/>
                <w:rtl/>
              </w:rPr>
              <w:t>ت‌.نبذة عن الجهات المتخصصة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79</w:t>
            </w:r>
            <w:r w:rsidRPr="00240338">
              <w:rPr>
                <w:rFonts w:ascii="Simplified Arabic" w:hAnsi="Simplified Arabic" w:cs="Simplified Arabic"/>
                <w:noProof/>
                <w:webHidden/>
                <w:sz w:val="20"/>
                <w:szCs w:val="20"/>
                <w:rtl/>
              </w:rPr>
              <w:fldChar w:fldCharType="end"/>
            </w:r>
          </w:hyperlink>
        </w:p>
        <w:p w14:paraId="68E85B61" w14:textId="67DADAFE" w:rsidR="002C6EAC" w:rsidRPr="00240338" w:rsidRDefault="002C6EAC" w:rsidP="002C6EAC">
          <w:pPr>
            <w:pStyle w:val="TOC3"/>
            <w:tabs>
              <w:tab w:val="left" w:pos="440"/>
              <w:tab w:val="right" w:leader="dot" w:pos="8296"/>
            </w:tabs>
            <w:bidi/>
            <w:spacing w:after="0" w:line="240" w:lineRule="auto"/>
            <w:rPr>
              <w:rFonts w:ascii="Simplified Arabic" w:eastAsiaTheme="minorEastAsia" w:hAnsi="Simplified Arabic" w:cs="Simplified Arabic"/>
              <w:noProof/>
              <w:sz w:val="20"/>
              <w:szCs w:val="20"/>
              <w:rtl/>
            </w:rPr>
          </w:pPr>
          <w:hyperlink w:anchor="_Toc233202827" w:history="1">
            <w:r w:rsidRPr="00240338">
              <w:rPr>
                <w:rStyle w:val="Hyperlink"/>
                <w:rFonts w:ascii="Simplified Arabic" w:hAnsi="Simplified Arabic" w:cs="Simplified Arabic"/>
                <w:noProof/>
                <w:sz w:val="20"/>
                <w:szCs w:val="20"/>
                <w:rtl/>
              </w:rPr>
              <w:t>ث‌.تقرير دراسة الإستراتيجية الوطنية للبيئة (وزارة البيئة والمياه والزراعة، 2018).</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90</w:t>
            </w:r>
            <w:r w:rsidRPr="00240338">
              <w:rPr>
                <w:rFonts w:ascii="Simplified Arabic" w:hAnsi="Simplified Arabic" w:cs="Simplified Arabic"/>
                <w:noProof/>
                <w:webHidden/>
                <w:sz w:val="20"/>
                <w:szCs w:val="20"/>
                <w:rtl/>
              </w:rPr>
              <w:fldChar w:fldCharType="end"/>
            </w:r>
          </w:hyperlink>
        </w:p>
        <w:p w14:paraId="35067945" w14:textId="13F6FCDA"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28" w:history="1">
            <w:r w:rsidRPr="00240338">
              <w:rPr>
                <w:rStyle w:val="Hyperlink"/>
                <w:rFonts w:ascii="Simplified Arabic" w:hAnsi="Simplified Arabic" w:cs="Simplified Arabic"/>
                <w:b/>
                <w:bCs/>
                <w:noProof/>
                <w:sz w:val="20"/>
                <w:szCs w:val="20"/>
                <w:rtl/>
                <w:lang w:bidi="ar-EG"/>
              </w:rPr>
              <w:t>الدراسات السابقة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102</w:t>
            </w:r>
            <w:r w:rsidRPr="00240338">
              <w:rPr>
                <w:rFonts w:ascii="Simplified Arabic" w:hAnsi="Simplified Arabic" w:cs="Simplified Arabic"/>
                <w:noProof/>
                <w:webHidden/>
                <w:sz w:val="20"/>
                <w:szCs w:val="20"/>
                <w:rtl/>
              </w:rPr>
              <w:fldChar w:fldCharType="end"/>
            </w:r>
          </w:hyperlink>
        </w:p>
        <w:p w14:paraId="54672E85" w14:textId="66B8F03E"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29" w:history="1">
            <w:r w:rsidRPr="00240338">
              <w:rPr>
                <w:rStyle w:val="Hyperlink"/>
                <w:rFonts w:ascii="Simplified Arabic" w:hAnsi="Simplified Arabic" w:cs="Simplified Arabic"/>
                <w:noProof/>
                <w:sz w:val="20"/>
                <w:szCs w:val="20"/>
                <w:rtl/>
                <w:lang w:bidi="ar-EG"/>
              </w:rPr>
              <w:t>المحور الأول: دراسات الشراكات بين القطاعين العام والخاص</w:t>
            </w:r>
            <w:r w:rsidRPr="00240338">
              <w:rPr>
                <w:rStyle w:val="Hyperlink"/>
                <w:rFonts w:ascii="Simplified Arabic" w:hAnsi="Simplified Arabic" w:cs="Simplified Arabic"/>
                <w:noProof/>
                <w:sz w:val="20"/>
                <w:szCs w:val="20"/>
                <w:lang w:bidi="ar-EG"/>
              </w:rPr>
              <w:t xml:space="preserve"> (PPP)</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Toc233202829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102</w:t>
            </w:r>
            <w:r w:rsidRPr="00240338">
              <w:rPr>
                <w:rFonts w:ascii="Simplified Arabic" w:hAnsi="Simplified Arabic" w:cs="Simplified Arabic"/>
                <w:noProof/>
                <w:webHidden/>
                <w:sz w:val="20"/>
                <w:szCs w:val="20"/>
                <w:rtl/>
              </w:rPr>
              <w:fldChar w:fldCharType="end"/>
            </w:r>
          </w:hyperlink>
        </w:p>
        <w:p w14:paraId="15709815" w14:textId="4A491C83"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0" w:history="1">
            <w:r w:rsidRPr="00240338">
              <w:rPr>
                <w:rStyle w:val="Hyperlink"/>
                <w:rFonts w:ascii="Simplified Arabic" w:hAnsi="Simplified Arabic" w:cs="Simplified Arabic"/>
                <w:noProof/>
                <w:sz w:val="20"/>
                <w:szCs w:val="20"/>
                <w:rtl/>
              </w:rPr>
              <w:t>المحور الثاني: دراسات الحوكمة البيئية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109</w:t>
            </w:r>
            <w:r w:rsidRPr="00240338">
              <w:rPr>
                <w:rFonts w:ascii="Simplified Arabic" w:hAnsi="Simplified Arabic" w:cs="Simplified Arabic"/>
                <w:noProof/>
                <w:webHidden/>
                <w:sz w:val="20"/>
                <w:szCs w:val="20"/>
                <w:rtl/>
              </w:rPr>
              <w:fldChar w:fldCharType="end"/>
            </w:r>
          </w:hyperlink>
        </w:p>
        <w:p w14:paraId="1B872975" w14:textId="57C5D01C"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1" w:history="1">
            <w:r w:rsidRPr="00240338">
              <w:rPr>
                <w:rStyle w:val="Hyperlink"/>
                <w:rFonts w:ascii="Simplified Arabic" w:hAnsi="Simplified Arabic" w:cs="Simplified Arabic"/>
                <w:noProof/>
                <w:sz w:val="20"/>
                <w:szCs w:val="20"/>
                <w:rtl/>
              </w:rPr>
              <w:t>المحور الثالث: دراسات العلاقة بين الشراكات والحوكمة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120</w:t>
            </w:r>
            <w:r w:rsidRPr="00240338">
              <w:rPr>
                <w:rFonts w:ascii="Simplified Arabic" w:hAnsi="Simplified Arabic" w:cs="Simplified Arabic"/>
                <w:noProof/>
                <w:webHidden/>
                <w:sz w:val="20"/>
                <w:szCs w:val="20"/>
                <w:rtl/>
              </w:rPr>
              <w:fldChar w:fldCharType="end"/>
            </w:r>
          </w:hyperlink>
        </w:p>
        <w:p w14:paraId="2B4E4073" w14:textId="54DABE7E"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2" w:history="1">
            <w:r w:rsidRPr="00240338">
              <w:rPr>
                <w:rStyle w:val="Hyperlink"/>
                <w:rFonts w:ascii="Simplified Arabic" w:hAnsi="Simplified Arabic" w:cs="Simplified Arabic"/>
                <w:noProof/>
                <w:sz w:val="20"/>
                <w:szCs w:val="20"/>
                <w:rtl/>
              </w:rPr>
              <w:t>المحور الرابع: دراسات العلاقة بين الحوكمة وإدارة الأداء</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Toc233202832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124</w:t>
            </w:r>
            <w:r w:rsidRPr="00240338">
              <w:rPr>
                <w:rFonts w:ascii="Simplified Arabic" w:hAnsi="Simplified Arabic" w:cs="Simplified Arabic"/>
                <w:noProof/>
                <w:webHidden/>
                <w:sz w:val="20"/>
                <w:szCs w:val="20"/>
                <w:rtl/>
              </w:rPr>
              <w:fldChar w:fldCharType="end"/>
            </w:r>
          </w:hyperlink>
        </w:p>
        <w:p w14:paraId="740B5889" w14:textId="481008C1"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3" w:history="1">
            <w:r w:rsidRPr="00240338">
              <w:rPr>
                <w:rStyle w:val="Hyperlink"/>
                <w:rFonts w:ascii="Simplified Arabic" w:hAnsi="Simplified Arabic" w:cs="Simplified Arabic"/>
                <w:noProof/>
                <w:sz w:val="20"/>
                <w:szCs w:val="20"/>
                <w:rtl/>
              </w:rPr>
              <w:t>المحور الخامس: دراسات في السياق العربي والسعودي</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Toc233202833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129</w:t>
            </w:r>
            <w:r w:rsidRPr="00240338">
              <w:rPr>
                <w:rFonts w:ascii="Simplified Arabic" w:hAnsi="Simplified Arabic" w:cs="Simplified Arabic"/>
                <w:noProof/>
                <w:webHidden/>
                <w:sz w:val="20"/>
                <w:szCs w:val="20"/>
                <w:rtl/>
              </w:rPr>
              <w:fldChar w:fldCharType="end"/>
            </w:r>
          </w:hyperlink>
        </w:p>
        <w:p w14:paraId="72507B06" w14:textId="29AF83E1"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34" w:history="1">
            <w:r w:rsidRPr="00240338">
              <w:rPr>
                <w:rStyle w:val="Hyperlink"/>
                <w:rFonts w:ascii="Simplified Arabic" w:hAnsi="Simplified Arabic" w:cs="Simplified Arabic"/>
                <w:b/>
                <w:bCs/>
                <w:noProof/>
                <w:sz w:val="20"/>
                <w:szCs w:val="20"/>
                <w:rtl/>
                <w:lang w:bidi="ar-EG"/>
              </w:rPr>
              <w:t>الفصل الثالث: منهجية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Toc233202834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140</w:t>
            </w:r>
            <w:r w:rsidRPr="00240338">
              <w:rPr>
                <w:rFonts w:ascii="Simplified Arabic" w:hAnsi="Simplified Arabic" w:cs="Simplified Arabic"/>
                <w:noProof/>
                <w:webHidden/>
                <w:sz w:val="20"/>
                <w:szCs w:val="20"/>
                <w:rtl/>
              </w:rPr>
              <w:fldChar w:fldCharType="end"/>
            </w:r>
          </w:hyperlink>
        </w:p>
        <w:p w14:paraId="148C8DBE" w14:textId="34C41F89"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5" w:history="1">
            <w:r w:rsidRPr="00240338">
              <w:rPr>
                <w:rStyle w:val="Hyperlink"/>
                <w:rFonts w:ascii="Simplified Arabic" w:hAnsi="Simplified Arabic" w:cs="Simplified Arabic"/>
                <w:noProof/>
                <w:sz w:val="20"/>
                <w:szCs w:val="20"/>
                <w:rtl/>
              </w:rPr>
              <w:t>منهج البحث</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Toc233202835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140</w:t>
            </w:r>
            <w:r w:rsidRPr="00240338">
              <w:rPr>
                <w:rFonts w:ascii="Simplified Arabic" w:hAnsi="Simplified Arabic" w:cs="Simplified Arabic"/>
                <w:noProof/>
                <w:webHidden/>
                <w:sz w:val="20"/>
                <w:szCs w:val="20"/>
                <w:rtl/>
              </w:rPr>
              <w:fldChar w:fldCharType="end"/>
            </w:r>
          </w:hyperlink>
        </w:p>
        <w:p w14:paraId="6F266F89" w14:textId="513C5C65"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6" w:history="1">
            <w:r w:rsidRPr="00240338">
              <w:rPr>
                <w:rStyle w:val="Hyperlink"/>
                <w:rFonts w:ascii="Simplified Arabic" w:hAnsi="Simplified Arabic" w:cs="Simplified Arabic"/>
                <w:noProof/>
                <w:sz w:val="20"/>
                <w:szCs w:val="20"/>
                <w:rtl/>
              </w:rPr>
              <w:t>مجتمع وعينة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Toc233202836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140</w:t>
            </w:r>
            <w:r w:rsidRPr="00240338">
              <w:rPr>
                <w:rFonts w:ascii="Simplified Arabic" w:hAnsi="Simplified Arabic" w:cs="Simplified Arabic"/>
                <w:noProof/>
                <w:webHidden/>
                <w:sz w:val="20"/>
                <w:szCs w:val="20"/>
                <w:rtl/>
              </w:rPr>
              <w:fldChar w:fldCharType="end"/>
            </w:r>
          </w:hyperlink>
        </w:p>
        <w:p w14:paraId="3091DFD8" w14:textId="4A2F2563"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7" w:history="1">
            <w:r w:rsidRPr="00240338">
              <w:rPr>
                <w:rStyle w:val="Hyperlink"/>
                <w:rFonts w:ascii="Simplified Arabic" w:hAnsi="Simplified Arabic" w:cs="Simplified Arabic"/>
                <w:noProof/>
                <w:sz w:val="20"/>
                <w:szCs w:val="20"/>
                <w:rtl/>
              </w:rPr>
              <w:t>أدوات جمع البيانات</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Toc233202837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141</w:t>
            </w:r>
            <w:r w:rsidRPr="00240338">
              <w:rPr>
                <w:rFonts w:ascii="Simplified Arabic" w:hAnsi="Simplified Arabic" w:cs="Simplified Arabic"/>
                <w:noProof/>
                <w:webHidden/>
                <w:sz w:val="20"/>
                <w:szCs w:val="20"/>
                <w:rtl/>
              </w:rPr>
              <w:fldChar w:fldCharType="end"/>
            </w:r>
          </w:hyperlink>
        </w:p>
        <w:p w14:paraId="67452BB8" w14:textId="69DAF1A3"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8" w:history="1">
            <w:r w:rsidRPr="00240338">
              <w:rPr>
                <w:rStyle w:val="Hyperlink"/>
                <w:rFonts w:ascii="Simplified Arabic" w:hAnsi="Simplified Arabic" w:cs="Simplified Arabic"/>
                <w:noProof/>
                <w:sz w:val="20"/>
                <w:szCs w:val="20"/>
                <w:rtl/>
              </w:rPr>
              <w:t>متغيرات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Toc233202838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141</w:t>
            </w:r>
            <w:r w:rsidRPr="00240338">
              <w:rPr>
                <w:rFonts w:ascii="Simplified Arabic" w:hAnsi="Simplified Arabic" w:cs="Simplified Arabic"/>
                <w:noProof/>
                <w:webHidden/>
                <w:sz w:val="20"/>
                <w:szCs w:val="20"/>
                <w:rtl/>
              </w:rPr>
              <w:fldChar w:fldCharType="end"/>
            </w:r>
          </w:hyperlink>
        </w:p>
        <w:p w14:paraId="63AB3245" w14:textId="12BAF92F"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39" w:history="1">
            <w:r w:rsidRPr="00240338">
              <w:rPr>
                <w:rStyle w:val="Hyperlink"/>
                <w:rFonts w:ascii="Simplified Arabic" w:hAnsi="Simplified Arabic" w:cs="Simplified Arabic"/>
                <w:noProof/>
                <w:sz w:val="20"/>
                <w:szCs w:val="20"/>
                <w:rtl/>
              </w:rPr>
              <w:t>إجراءات تنفيذ الدراسة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Toc233202839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142</w:t>
            </w:r>
            <w:r w:rsidRPr="00240338">
              <w:rPr>
                <w:rFonts w:ascii="Simplified Arabic" w:hAnsi="Simplified Arabic" w:cs="Simplified Arabic"/>
                <w:noProof/>
                <w:webHidden/>
                <w:sz w:val="20"/>
                <w:szCs w:val="20"/>
                <w:rtl/>
              </w:rPr>
              <w:fldChar w:fldCharType="end"/>
            </w:r>
          </w:hyperlink>
        </w:p>
        <w:p w14:paraId="39B467A5" w14:textId="216A8584" w:rsidR="002C6EAC" w:rsidRPr="00240338" w:rsidRDefault="002C6EAC" w:rsidP="002C6EAC">
          <w:pPr>
            <w:pStyle w:val="TOC2"/>
            <w:spacing w:after="0" w:line="240" w:lineRule="auto"/>
            <w:rPr>
              <w:rFonts w:ascii="Simplified Arabic" w:eastAsiaTheme="minorEastAsia" w:hAnsi="Simplified Arabic" w:cs="Simplified Arabic"/>
              <w:noProof/>
              <w:sz w:val="20"/>
              <w:szCs w:val="20"/>
              <w:rtl/>
            </w:rPr>
          </w:pPr>
          <w:hyperlink w:anchor="_Toc233202840" w:history="1">
            <w:r w:rsidRPr="00240338">
              <w:rPr>
                <w:rStyle w:val="Hyperlink"/>
                <w:rFonts w:ascii="Simplified Arabic" w:hAnsi="Simplified Arabic" w:cs="Simplified Arabic"/>
                <w:noProof/>
                <w:sz w:val="20"/>
                <w:szCs w:val="20"/>
                <w:rtl/>
              </w:rPr>
              <w:t>تصميم الدراسة والمعالجة الإحصائية</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Toc233202840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142</w:t>
            </w:r>
            <w:r w:rsidRPr="00240338">
              <w:rPr>
                <w:rFonts w:ascii="Simplified Arabic" w:hAnsi="Simplified Arabic" w:cs="Simplified Arabic"/>
                <w:noProof/>
                <w:webHidden/>
                <w:sz w:val="20"/>
                <w:szCs w:val="20"/>
                <w:rtl/>
              </w:rPr>
              <w:fldChar w:fldCharType="end"/>
            </w:r>
          </w:hyperlink>
        </w:p>
        <w:p w14:paraId="58F8F1F7" w14:textId="2FA66250" w:rsidR="002C6EAC" w:rsidRPr="00240338" w:rsidRDefault="002C6EAC" w:rsidP="002C6EAC">
          <w:pPr>
            <w:pStyle w:val="TOC1"/>
            <w:spacing w:after="0" w:line="240" w:lineRule="auto"/>
            <w:rPr>
              <w:rFonts w:ascii="Simplified Arabic" w:eastAsiaTheme="minorEastAsia" w:hAnsi="Simplified Arabic" w:cs="Simplified Arabic"/>
              <w:noProof/>
              <w:sz w:val="20"/>
              <w:szCs w:val="20"/>
              <w:rtl/>
            </w:rPr>
          </w:pPr>
          <w:hyperlink w:anchor="_Toc233202841" w:history="1">
            <w:r w:rsidRPr="00240338">
              <w:rPr>
                <w:rStyle w:val="Hyperlink"/>
                <w:rFonts w:ascii="Simplified Arabic" w:eastAsia="Calibri" w:hAnsi="Simplified Arabic" w:cs="Simplified Arabic"/>
                <w:b/>
                <w:bCs/>
                <w:noProof/>
                <w:sz w:val="20"/>
                <w:szCs w:val="20"/>
                <w:rtl/>
                <w:lang w:bidi="ar-EG"/>
              </w:rPr>
              <w:t>قائمة المراجع</w:t>
            </w:r>
            <w:r w:rsidRPr="00240338">
              <w:rPr>
                <w:rFonts w:ascii="Simplified Arabic" w:hAnsi="Simplified Arabic" w:cs="Simplified Arabic"/>
                <w:noProof/>
                <w:webHidden/>
                <w:sz w:val="20"/>
                <w:szCs w:val="20"/>
                <w:rtl/>
              </w:rPr>
              <w:tab/>
            </w:r>
            <w:r w:rsidRPr="00240338">
              <w:rPr>
                <w:rFonts w:ascii="Simplified Arabic" w:hAnsi="Simplified Arabic" w:cs="Simplified Arabic"/>
                <w:noProof/>
                <w:webHidden/>
                <w:sz w:val="20"/>
                <w:szCs w:val="20"/>
                <w:rtl/>
              </w:rPr>
              <w:fldChar w:fldCharType="begin"/>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Pr>
              <w:instrText xml:space="preserve">PAGEREF </w:instrText>
            </w:r>
            <w:r w:rsidRPr="00240338">
              <w:rPr>
                <w:rFonts w:ascii="Simplified Arabic" w:hAnsi="Simplified Arabic" w:cs="Simplified Arabic"/>
                <w:noProof/>
                <w:webHidden/>
                <w:sz w:val="20"/>
                <w:szCs w:val="20"/>
                <w:rtl/>
              </w:rPr>
              <w:instrText>_</w:instrText>
            </w:r>
            <w:r w:rsidRPr="00240338">
              <w:rPr>
                <w:rFonts w:ascii="Simplified Arabic" w:hAnsi="Simplified Arabic" w:cs="Simplified Arabic"/>
                <w:noProof/>
                <w:webHidden/>
                <w:sz w:val="20"/>
                <w:szCs w:val="20"/>
              </w:rPr>
              <w:instrText>Toc233202841 \h</w:instrText>
            </w:r>
            <w:r w:rsidRPr="00240338">
              <w:rPr>
                <w:rFonts w:ascii="Simplified Arabic" w:hAnsi="Simplified Arabic" w:cs="Simplified Arabic"/>
                <w:noProof/>
                <w:webHidden/>
                <w:sz w:val="20"/>
                <w:szCs w:val="20"/>
                <w:rtl/>
              </w:rPr>
              <w:instrText xml:space="preserve"> </w:instrText>
            </w:r>
            <w:r w:rsidRPr="00240338">
              <w:rPr>
                <w:rFonts w:ascii="Simplified Arabic" w:hAnsi="Simplified Arabic" w:cs="Simplified Arabic"/>
                <w:noProof/>
                <w:webHidden/>
                <w:sz w:val="20"/>
                <w:szCs w:val="20"/>
                <w:rtl/>
              </w:rPr>
            </w:r>
            <w:r w:rsidRPr="00240338">
              <w:rPr>
                <w:rFonts w:ascii="Simplified Arabic" w:hAnsi="Simplified Arabic" w:cs="Simplified Arabic"/>
                <w:noProof/>
                <w:webHidden/>
                <w:sz w:val="20"/>
                <w:szCs w:val="20"/>
                <w:rtl/>
              </w:rPr>
              <w:fldChar w:fldCharType="separate"/>
            </w:r>
            <w:r w:rsidRPr="00240338">
              <w:rPr>
                <w:rFonts w:ascii="Simplified Arabic" w:hAnsi="Simplified Arabic" w:cs="Simplified Arabic"/>
                <w:noProof/>
                <w:webHidden/>
                <w:sz w:val="20"/>
                <w:szCs w:val="20"/>
                <w:rtl/>
              </w:rPr>
              <w:t>143</w:t>
            </w:r>
            <w:r w:rsidRPr="00240338">
              <w:rPr>
                <w:rFonts w:ascii="Simplified Arabic" w:hAnsi="Simplified Arabic" w:cs="Simplified Arabic"/>
                <w:noProof/>
                <w:webHidden/>
                <w:sz w:val="20"/>
                <w:szCs w:val="20"/>
                <w:rtl/>
              </w:rPr>
              <w:fldChar w:fldCharType="end"/>
            </w:r>
          </w:hyperlink>
        </w:p>
        <w:p w14:paraId="28E43BCA" w14:textId="1E9BCFB5" w:rsidR="00EA4291" w:rsidRPr="002C6EAC" w:rsidRDefault="00FD30BF" w:rsidP="002C6EAC">
          <w:pPr>
            <w:bidi/>
            <w:spacing w:after="0" w:line="240" w:lineRule="auto"/>
            <w:rPr>
              <w:rFonts w:ascii="T" w:hAnsi="T" w:cstheme="majorBidi"/>
            </w:rPr>
          </w:pPr>
          <w:r w:rsidRPr="00240338">
            <w:rPr>
              <w:rFonts w:ascii="Simplified Arabic" w:hAnsi="Simplified Arabic" w:cs="Simplified Arabic"/>
              <w:sz w:val="20"/>
              <w:szCs w:val="20"/>
            </w:rPr>
            <w:fldChar w:fldCharType="end"/>
          </w:r>
        </w:p>
      </w:sdtContent>
    </w:sdt>
    <w:p w14:paraId="43EBE58A" w14:textId="77777777" w:rsidR="002C6EAC" w:rsidRDefault="002C6EAC" w:rsidP="00E25EBC">
      <w:pPr>
        <w:pStyle w:val="Heading1"/>
        <w:bidi/>
        <w:rPr>
          <w:rFonts w:ascii="T" w:hAnsi="T"/>
          <w:color w:val="auto"/>
          <w:sz w:val="28"/>
          <w:szCs w:val="28"/>
          <w:rtl/>
        </w:rPr>
      </w:pPr>
      <w:bookmarkStart w:id="1" w:name="_Toc233202778"/>
    </w:p>
    <w:p w14:paraId="60DF34D1" w14:textId="77777777" w:rsidR="002C6EAC" w:rsidRDefault="002C6EAC" w:rsidP="002C6EAC">
      <w:pPr>
        <w:pStyle w:val="Heading1"/>
        <w:bidi/>
        <w:rPr>
          <w:rFonts w:ascii="T" w:hAnsi="T"/>
          <w:color w:val="auto"/>
          <w:sz w:val="28"/>
          <w:szCs w:val="28"/>
          <w:rtl/>
        </w:rPr>
      </w:pPr>
    </w:p>
    <w:p w14:paraId="79DE7AF6" w14:textId="77777777" w:rsidR="002C6EAC" w:rsidRDefault="002C6EAC" w:rsidP="002C6EAC">
      <w:pPr>
        <w:pStyle w:val="Heading1"/>
        <w:bidi/>
        <w:rPr>
          <w:rFonts w:ascii="T" w:hAnsi="T"/>
          <w:color w:val="auto"/>
          <w:sz w:val="28"/>
          <w:szCs w:val="28"/>
          <w:rtl/>
        </w:rPr>
      </w:pPr>
    </w:p>
    <w:p w14:paraId="15DD628C" w14:textId="77777777" w:rsidR="002C6EAC" w:rsidRDefault="002C6EAC" w:rsidP="002C6EAC">
      <w:pPr>
        <w:pStyle w:val="Heading1"/>
        <w:bidi/>
        <w:rPr>
          <w:rFonts w:ascii="T" w:hAnsi="T"/>
          <w:color w:val="auto"/>
          <w:sz w:val="28"/>
          <w:szCs w:val="28"/>
          <w:rtl/>
        </w:rPr>
      </w:pPr>
    </w:p>
    <w:p w14:paraId="0D5CFE27" w14:textId="77777777" w:rsidR="002C6EAC" w:rsidRDefault="002C6EAC" w:rsidP="002C6EAC">
      <w:pPr>
        <w:pStyle w:val="Heading1"/>
        <w:bidi/>
        <w:rPr>
          <w:rFonts w:ascii="T" w:hAnsi="T"/>
          <w:color w:val="auto"/>
          <w:sz w:val="28"/>
          <w:szCs w:val="28"/>
          <w:rtl/>
        </w:rPr>
      </w:pPr>
    </w:p>
    <w:p w14:paraId="300CE42D" w14:textId="2762F3CB" w:rsidR="002C6EAC" w:rsidRDefault="002C6EAC" w:rsidP="002C6EAC">
      <w:pPr>
        <w:pStyle w:val="Heading1"/>
        <w:bidi/>
        <w:rPr>
          <w:rFonts w:ascii="T" w:hAnsi="T"/>
          <w:color w:val="auto"/>
          <w:sz w:val="28"/>
          <w:szCs w:val="28"/>
          <w:rtl/>
        </w:rPr>
      </w:pPr>
    </w:p>
    <w:p w14:paraId="1A2F8C23" w14:textId="3D10ECF8" w:rsidR="002C6EAC" w:rsidRDefault="002C6EAC" w:rsidP="002C6EAC">
      <w:pPr>
        <w:bidi/>
        <w:rPr>
          <w:rtl/>
        </w:rPr>
      </w:pPr>
    </w:p>
    <w:p w14:paraId="4D5FCD45" w14:textId="012E6602" w:rsidR="002C6EAC" w:rsidRDefault="002C6EAC" w:rsidP="002C6EAC">
      <w:pPr>
        <w:bidi/>
        <w:rPr>
          <w:rtl/>
        </w:rPr>
      </w:pPr>
    </w:p>
    <w:p w14:paraId="6C0C1518" w14:textId="77777777" w:rsidR="002C6EAC" w:rsidRPr="002C6EAC" w:rsidRDefault="002C6EAC" w:rsidP="002C6EAC">
      <w:pPr>
        <w:bidi/>
        <w:rPr>
          <w:rtl/>
        </w:rPr>
      </w:pPr>
    </w:p>
    <w:p w14:paraId="0ADD30B6" w14:textId="77777777" w:rsidR="002C6EAC" w:rsidRDefault="002C6EAC" w:rsidP="002C6EAC">
      <w:pPr>
        <w:pStyle w:val="Heading1"/>
        <w:bidi/>
        <w:rPr>
          <w:rFonts w:ascii="T" w:hAnsi="T"/>
          <w:color w:val="auto"/>
          <w:sz w:val="28"/>
          <w:szCs w:val="28"/>
          <w:rtl/>
        </w:rPr>
      </w:pPr>
    </w:p>
    <w:p w14:paraId="01D8AD95" w14:textId="1FAEAADA" w:rsidR="00E234C5" w:rsidRPr="00B94AD1" w:rsidRDefault="00CB09E2" w:rsidP="002C6EAC">
      <w:pPr>
        <w:pStyle w:val="Heading1"/>
        <w:bidi/>
        <w:rPr>
          <w:rFonts w:ascii="Simplified Arabic" w:hAnsi="Simplified Arabic" w:cs="Simplified Arabic"/>
          <w:b/>
          <w:bCs/>
          <w:color w:val="auto"/>
          <w:sz w:val="24"/>
          <w:szCs w:val="24"/>
          <w:rtl/>
          <w:lang w:bidi="ar-EG"/>
        </w:rPr>
      </w:pPr>
      <w:r w:rsidRPr="00B94AD1">
        <w:rPr>
          <w:rFonts w:ascii="Simplified Arabic" w:hAnsi="Simplified Arabic" w:cs="Simplified Arabic"/>
          <w:b/>
          <w:bCs/>
          <w:color w:val="auto"/>
          <w:sz w:val="24"/>
          <w:szCs w:val="24"/>
          <w:rtl/>
        </w:rPr>
        <w:t>قائمة الجداول</w:t>
      </w:r>
      <w:bookmarkEnd w:id="1"/>
    </w:p>
    <w:p w14:paraId="4A23FE2D" w14:textId="4DACB755"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rtl/>
        </w:rPr>
        <w:fldChar w:fldCharType="begin"/>
      </w:r>
      <w:r w:rsidR="00920785" w:rsidRPr="005D59A7">
        <w:rPr>
          <w:rFonts w:ascii="T" w:hAnsi="T"/>
          <w:rtl/>
        </w:rPr>
        <w:instrText xml:space="preserve"> </w:instrText>
      </w:r>
      <w:r w:rsidR="00920785" w:rsidRPr="005D59A7">
        <w:rPr>
          <w:rFonts w:ascii="T" w:hAnsi="T"/>
        </w:rPr>
        <w:instrText>TOC</w:instrText>
      </w:r>
      <w:r w:rsidR="00920785" w:rsidRPr="005D59A7">
        <w:rPr>
          <w:rFonts w:ascii="T" w:hAnsi="T"/>
          <w:rtl/>
        </w:rPr>
        <w:instrText xml:space="preserve"> \</w:instrText>
      </w:r>
      <w:r w:rsidR="00920785" w:rsidRPr="005D59A7">
        <w:rPr>
          <w:rFonts w:ascii="T" w:hAnsi="T"/>
        </w:rPr>
        <w:instrText>h \z \c "Table</w:instrText>
      </w:r>
      <w:r w:rsidR="00920785" w:rsidRPr="005D59A7">
        <w:rPr>
          <w:rFonts w:ascii="T" w:hAnsi="T"/>
          <w:rtl/>
        </w:rPr>
        <w:instrText xml:space="preserve">" </w:instrText>
      </w:r>
      <w:r w:rsidRPr="005D59A7">
        <w:rPr>
          <w:rFonts w:ascii="T" w:hAnsi="T"/>
          <w:rtl/>
        </w:rPr>
        <w:fldChar w:fldCharType="separate"/>
      </w:r>
      <w:hyperlink w:anchor="_Toc225991173" w:history="1">
        <w:r w:rsidR="006A6532" w:rsidRPr="00B94AD1">
          <w:rPr>
            <w:rStyle w:val="Hyperlink"/>
            <w:rFonts w:ascii="Simplified Arabic" w:hAnsi="Simplified Arabic" w:cs="Simplified Arabic"/>
            <w:noProof/>
            <w:color w:val="auto"/>
            <w:sz w:val="20"/>
            <w:szCs w:val="20"/>
          </w:rPr>
          <w:t>Table</w:t>
        </w:r>
        <w:r w:rsidR="006A6532" w:rsidRPr="00B94AD1">
          <w:rPr>
            <w:rStyle w:val="Hyperlink"/>
            <w:rFonts w:ascii="Simplified Arabic" w:hAnsi="Simplified Arabic" w:cs="Simplified Arabic"/>
            <w:noProof/>
            <w:color w:val="auto"/>
            <w:sz w:val="20"/>
            <w:szCs w:val="20"/>
            <w:rtl/>
          </w:rPr>
          <w:t xml:space="preserve"> 2: المصطلحات التطبيقية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Toc225991173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34</w:t>
        </w:r>
        <w:r w:rsidR="006A6532" w:rsidRPr="00B94AD1">
          <w:rPr>
            <w:rStyle w:val="Hyperlink"/>
            <w:rFonts w:ascii="Simplified Arabic" w:hAnsi="Simplified Arabic" w:cs="Simplified Arabic"/>
            <w:noProof/>
            <w:color w:val="auto"/>
            <w:sz w:val="20"/>
            <w:szCs w:val="20"/>
            <w:rtl/>
          </w:rPr>
          <w:fldChar w:fldCharType="end"/>
        </w:r>
      </w:hyperlink>
    </w:p>
    <w:p w14:paraId="61DAD20C" w14:textId="4893EFD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4" w:history="1">
        <w:r w:rsidRPr="00B94AD1">
          <w:rPr>
            <w:rStyle w:val="Hyperlink"/>
            <w:rFonts w:ascii="Simplified Arabic" w:hAnsi="Simplified Arabic" w:cs="Simplified Arabic"/>
            <w:noProof/>
            <w:color w:val="auto"/>
            <w:sz w:val="20"/>
            <w:szCs w:val="20"/>
          </w:rPr>
          <w:t>Table 3</w:t>
        </w:r>
        <w:r w:rsidRPr="00B94AD1">
          <w:rPr>
            <w:rStyle w:val="Hyperlink"/>
            <w:rFonts w:ascii="Simplified Arabic" w:hAnsi="Simplified Arabic" w:cs="Simplified Arabic"/>
            <w:noProof/>
            <w:color w:val="auto"/>
            <w:sz w:val="20"/>
            <w:szCs w:val="20"/>
            <w:rtl/>
          </w:rPr>
          <w:t>: الدراسات المرجعية المختارة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Toc225991174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37</w:t>
        </w:r>
        <w:r w:rsidRPr="00B94AD1">
          <w:rPr>
            <w:rStyle w:val="Hyperlink"/>
            <w:rFonts w:ascii="Simplified Arabic" w:hAnsi="Simplified Arabic" w:cs="Simplified Arabic"/>
            <w:noProof/>
            <w:color w:val="auto"/>
            <w:sz w:val="20"/>
            <w:szCs w:val="20"/>
            <w:rtl/>
          </w:rPr>
          <w:fldChar w:fldCharType="end"/>
        </w:r>
      </w:hyperlink>
    </w:p>
    <w:p w14:paraId="22B8FE10" w14:textId="279A46B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5"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4: الجهات التابعة لوزارة البيئة والمياه والزراعة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Toc225991175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84</w:t>
        </w:r>
        <w:r w:rsidRPr="00B94AD1">
          <w:rPr>
            <w:rStyle w:val="Hyperlink"/>
            <w:rFonts w:ascii="Simplified Arabic" w:hAnsi="Simplified Arabic" w:cs="Simplified Arabic"/>
            <w:noProof/>
            <w:color w:val="auto"/>
            <w:sz w:val="20"/>
            <w:szCs w:val="20"/>
            <w:rtl/>
          </w:rPr>
          <w:fldChar w:fldCharType="end"/>
        </w:r>
      </w:hyperlink>
    </w:p>
    <w:p w14:paraId="2DF76E46" w14:textId="15DCF21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6"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الجهات البيئية بالمملكة العربية السعودية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89</w:t>
        </w:r>
        <w:r w:rsidRPr="00B94AD1">
          <w:rPr>
            <w:rStyle w:val="Hyperlink"/>
            <w:rFonts w:ascii="Simplified Arabic" w:hAnsi="Simplified Arabic" w:cs="Simplified Arabic"/>
            <w:noProof/>
            <w:color w:val="auto"/>
            <w:sz w:val="20"/>
            <w:szCs w:val="20"/>
            <w:rtl/>
          </w:rPr>
          <w:fldChar w:fldCharType="end"/>
        </w:r>
      </w:hyperlink>
    </w:p>
    <w:p w14:paraId="084E51B1" w14:textId="1E5E14D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7"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تحليل القدرات المختلفة في قطاع البيئة والدروس المستفادة من أفضل الممارسات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3E9E65C4" w14:textId="7B28740E" w:rsidR="00714B91" w:rsidRPr="005D59A7" w:rsidRDefault="00FD30BF" w:rsidP="00AA4673">
      <w:pPr>
        <w:bidi/>
        <w:rPr>
          <w:rFonts w:ascii="T" w:hAnsi="T"/>
        </w:rPr>
      </w:pPr>
      <w:r w:rsidRPr="005D59A7">
        <w:rPr>
          <w:rFonts w:ascii="T" w:hAnsi="T"/>
          <w:rtl/>
        </w:rPr>
        <w:fldChar w:fldCharType="end"/>
      </w:r>
    </w:p>
    <w:p w14:paraId="439E7B93" w14:textId="77777777" w:rsidR="00E25EBC" w:rsidRPr="005D59A7" w:rsidRDefault="00E25EBC" w:rsidP="00E25EBC">
      <w:pPr>
        <w:bidi/>
        <w:rPr>
          <w:rFonts w:ascii="T" w:hAnsi="T"/>
          <w:rtl/>
        </w:rPr>
      </w:pPr>
    </w:p>
    <w:p w14:paraId="3C2F3D60" w14:textId="77777777" w:rsidR="00CB09E2" w:rsidRPr="004F16E5" w:rsidRDefault="00CB09E2" w:rsidP="00E234C5">
      <w:pPr>
        <w:pStyle w:val="Heading1"/>
        <w:bidi/>
        <w:rPr>
          <w:rFonts w:ascii="Simplified Arabic" w:hAnsi="Simplified Arabic" w:cs="Simplified Arabic"/>
          <w:b/>
          <w:bCs/>
          <w:color w:val="auto"/>
          <w:sz w:val="24"/>
          <w:szCs w:val="24"/>
        </w:rPr>
      </w:pPr>
      <w:bookmarkStart w:id="2" w:name="_Toc233202779"/>
      <w:r w:rsidRPr="004F16E5">
        <w:rPr>
          <w:rFonts w:ascii="Simplified Arabic" w:hAnsi="Simplified Arabic" w:cs="Simplified Arabic"/>
          <w:b/>
          <w:bCs/>
          <w:color w:val="auto"/>
          <w:sz w:val="24"/>
          <w:szCs w:val="24"/>
          <w:rtl/>
        </w:rPr>
        <w:t>قائمة الرسوم التوضيحية</w:t>
      </w:r>
      <w:bookmarkEnd w:id="2"/>
    </w:p>
    <w:p w14:paraId="7D18DF44" w14:textId="3A93D070"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cstheme="majorBidi"/>
          <w:rtl/>
        </w:rPr>
        <w:fldChar w:fldCharType="begin"/>
      </w:r>
      <w:r w:rsidR="00920785" w:rsidRPr="005D59A7">
        <w:rPr>
          <w:rFonts w:ascii="T" w:hAnsi="T" w:cstheme="majorBidi"/>
          <w:rtl/>
        </w:rPr>
        <w:instrText xml:space="preserve"> </w:instrText>
      </w:r>
      <w:r w:rsidR="00920785" w:rsidRPr="005D59A7">
        <w:rPr>
          <w:rFonts w:ascii="T" w:hAnsi="T" w:cstheme="majorBidi"/>
        </w:rPr>
        <w:instrText>TOC</w:instrText>
      </w:r>
      <w:r w:rsidR="00920785" w:rsidRPr="005D59A7">
        <w:rPr>
          <w:rFonts w:ascii="T" w:hAnsi="T" w:cstheme="majorBidi"/>
          <w:rtl/>
        </w:rPr>
        <w:instrText xml:space="preserve"> \</w:instrText>
      </w:r>
      <w:r w:rsidR="00920785" w:rsidRPr="005D59A7">
        <w:rPr>
          <w:rFonts w:ascii="T" w:hAnsi="T" w:cstheme="majorBidi"/>
        </w:rPr>
        <w:instrText>h \z \c "Figure</w:instrText>
      </w:r>
      <w:r w:rsidR="00920785" w:rsidRPr="005D59A7">
        <w:rPr>
          <w:rFonts w:ascii="T" w:hAnsi="T" w:cstheme="majorBidi"/>
          <w:rtl/>
        </w:rPr>
        <w:instrText xml:space="preserve">" </w:instrText>
      </w:r>
      <w:r w:rsidRPr="005D59A7">
        <w:rPr>
          <w:rFonts w:ascii="T" w:hAnsi="T" w:cstheme="majorBidi"/>
          <w:rtl/>
        </w:rPr>
        <w:fldChar w:fldCharType="separate"/>
      </w:r>
      <w:hyperlink w:anchor="_Toc225991165" w:history="1">
        <w:r w:rsidR="006A6532" w:rsidRPr="00B94AD1">
          <w:rPr>
            <w:rStyle w:val="Hyperlink"/>
            <w:rFonts w:ascii="Simplified Arabic" w:hAnsi="Simplified Arabic" w:cs="Simplified Arabic"/>
            <w:noProof/>
            <w:color w:val="auto"/>
            <w:sz w:val="20"/>
            <w:szCs w:val="20"/>
          </w:rPr>
          <w:t>Figure</w:t>
        </w:r>
        <w:r w:rsidR="006A6532" w:rsidRPr="00B94AD1">
          <w:rPr>
            <w:rStyle w:val="Hyperlink"/>
            <w:rFonts w:ascii="Simplified Arabic" w:hAnsi="Simplified Arabic" w:cs="Simplified Arabic"/>
            <w:noProof/>
            <w:color w:val="auto"/>
            <w:sz w:val="20"/>
            <w:szCs w:val="20"/>
            <w:rtl/>
          </w:rPr>
          <w:t xml:space="preserve"> 1: الإطار الهيكلي لنموذج الدراسة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Toc225991165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44</w:t>
        </w:r>
        <w:r w:rsidR="006A6532" w:rsidRPr="00B94AD1">
          <w:rPr>
            <w:rStyle w:val="Hyperlink"/>
            <w:rFonts w:ascii="Simplified Arabic" w:hAnsi="Simplified Arabic" w:cs="Simplified Arabic"/>
            <w:noProof/>
            <w:color w:val="auto"/>
            <w:sz w:val="20"/>
            <w:szCs w:val="20"/>
            <w:rtl/>
          </w:rPr>
          <w:fldChar w:fldCharType="end"/>
        </w:r>
      </w:hyperlink>
    </w:p>
    <w:p w14:paraId="3E3A30E9" w14:textId="2728126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6"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2: أهداف التنمية المستدامة </w:t>
        </w:r>
        <w:r w:rsidRPr="00B94AD1">
          <w:rPr>
            <w:rStyle w:val="Hyperlink"/>
            <w:rFonts w:ascii="Simplified Arabic" w:hAnsi="Simplified Arabic" w:cs="Simplified Arabic"/>
            <w:noProof/>
            <w:color w:val="auto"/>
            <w:sz w:val="20"/>
            <w:szCs w:val="20"/>
          </w:rPr>
          <w:t>UNDP Egypt</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72</w:t>
        </w:r>
        <w:r w:rsidRPr="00B94AD1">
          <w:rPr>
            <w:rStyle w:val="Hyperlink"/>
            <w:rFonts w:ascii="Simplified Arabic" w:hAnsi="Simplified Arabic" w:cs="Simplified Arabic"/>
            <w:noProof/>
            <w:color w:val="auto"/>
            <w:sz w:val="20"/>
            <w:szCs w:val="20"/>
            <w:rtl/>
          </w:rPr>
          <w:fldChar w:fldCharType="end"/>
        </w:r>
      </w:hyperlink>
    </w:p>
    <w:p w14:paraId="59732233" w14:textId="5791A4D8"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7"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6: الرؤية والرسالة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80</w:t>
        </w:r>
        <w:r w:rsidRPr="00B94AD1">
          <w:rPr>
            <w:rStyle w:val="Hyperlink"/>
            <w:rFonts w:ascii="Simplified Arabic" w:hAnsi="Simplified Arabic" w:cs="Simplified Arabic"/>
            <w:noProof/>
            <w:color w:val="auto"/>
            <w:sz w:val="20"/>
            <w:szCs w:val="20"/>
            <w:rtl/>
          </w:rPr>
          <w:fldChar w:fldCharType="end"/>
        </w:r>
      </w:hyperlink>
    </w:p>
    <w:p w14:paraId="30F3EA47" w14:textId="55DBF201"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8"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أهداف الوزارة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Toc225991168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81</w:t>
        </w:r>
        <w:r w:rsidRPr="00B94AD1">
          <w:rPr>
            <w:rStyle w:val="Hyperlink"/>
            <w:rFonts w:ascii="Simplified Arabic" w:hAnsi="Simplified Arabic" w:cs="Simplified Arabic"/>
            <w:noProof/>
            <w:color w:val="auto"/>
            <w:sz w:val="20"/>
            <w:szCs w:val="20"/>
            <w:rtl/>
          </w:rPr>
          <w:fldChar w:fldCharType="end"/>
        </w:r>
      </w:hyperlink>
    </w:p>
    <w:p w14:paraId="186F60EA" w14:textId="3A616DF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9"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النمو السكاني خلال الثلاثين عاماً الماضية (بالملايين)</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Toc225991169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03E5B08D" w14:textId="4F7CFA99"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0"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9: نمو الناتج المحلي الإجمالي على مدار الثلاثين عاماً الماضية (بالمليارات من الريال السعودي بأسعار ثابتة/سنوياً)</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Toc225991170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1DB2C5E6" w14:textId="79C8DC5F"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1"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الميزانية السنوية للموارد الطبيعية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Toc225991171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6E5ED6A1" w14:textId="0866F0A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2"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تكلفة التدهور البيئي في المملكة (2014)</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Toc225991172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100</w:t>
        </w:r>
        <w:r w:rsidRPr="00B94AD1">
          <w:rPr>
            <w:rStyle w:val="Hyperlink"/>
            <w:rFonts w:ascii="Simplified Arabic" w:hAnsi="Simplified Arabic" w:cs="Simplified Arabic"/>
            <w:noProof/>
            <w:color w:val="auto"/>
            <w:sz w:val="20"/>
            <w:szCs w:val="20"/>
            <w:rtl/>
          </w:rPr>
          <w:fldChar w:fldCharType="end"/>
        </w:r>
      </w:hyperlink>
    </w:p>
    <w:p w14:paraId="5139627F" w14:textId="475CC2AB" w:rsidR="00EA21E0" w:rsidRPr="005D59A7" w:rsidRDefault="00FD30BF" w:rsidP="00BD507A">
      <w:pPr>
        <w:bidi/>
        <w:rPr>
          <w:rFonts w:ascii="T" w:hAnsi="T" w:cstheme="majorBidi"/>
          <w:rtl/>
        </w:rPr>
      </w:pPr>
      <w:r w:rsidRPr="005D59A7">
        <w:rPr>
          <w:rFonts w:ascii="T" w:hAnsi="T" w:cstheme="majorBidi"/>
          <w:rtl/>
        </w:rPr>
        <w:fldChar w:fldCharType="end"/>
      </w:r>
    </w:p>
    <w:p w14:paraId="21848CD6" w14:textId="77777777" w:rsidR="000D1D88" w:rsidRPr="005D59A7" w:rsidRDefault="000D1D88" w:rsidP="000D1D88">
      <w:pPr>
        <w:bidi/>
        <w:rPr>
          <w:rFonts w:ascii="T" w:hAnsi="T" w:cstheme="majorBidi"/>
          <w:rtl/>
        </w:rPr>
      </w:pPr>
    </w:p>
    <w:p w14:paraId="751BBA64" w14:textId="77777777" w:rsidR="000D1D88" w:rsidRPr="005D59A7" w:rsidRDefault="000D1D88" w:rsidP="000D1D88">
      <w:pPr>
        <w:bidi/>
        <w:rPr>
          <w:rFonts w:ascii="T" w:hAnsi="T" w:cstheme="majorBidi"/>
          <w:rtl/>
        </w:rPr>
      </w:pPr>
    </w:p>
    <w:p w14:paraId="43CA8790" w14:textId="77777777" w:rsidR="000D1D88" w:rsidRPr="005D59A7" w:rsidRDefault="000D1D88" w:rsidP="000D1D88">
      <w:pPr>
        <w:bidi/>
        <w:rPr>
          <w:rFonts w:ascii="T" w:hAnsi="T" w:cstheme="majorBidi"/>
          <w:rtl/>
        </w:rPr>
      </w:pPr>
    </w:p>
    <w:p w14:paraId="4BBF7541" w14:textId="77777777" w:rsidR="000D1D88" w:rsidRPr="005D59A7" w:rsidRDefault="000D1D88" w:rsidP="000D1D88">
      <w:pPr>
        <w:bidi/>
        <w:rPr>
          <w:rFonts w:ascii="T" w:hAnsi="T" w:cstheme="majorBidi"/>
          <w:rtl/>
        </w:rPr>
      </w:pPr>
    </w:p>
    <w:p w14:paraId="0B022591" w14:textId="77777777" w:rsidR="000D1D88" w:rsidRPr="005D59A7" w:rsidRDefault="000D1D88" w:rsidP="000D1D88">
      <w:pPr>
        <w:bidi/>
        <w:rPr>
          <w:rFonts w:ascii="T" w:hAnsi="T" w:cstheme="majorBidi"/>
          <w:rtl/>
        </w:rPr>
      </w:pPr>
    </w:p>
    <w:p w14:paraId="6C67F52E" w14:textId="77777777" w:rsidR="000D1D88" w:rsidRPr="005D59A7" w:rsidRDefault="000D1D88" w:rsidP="000D1D88">
      <w:pPr>
        <w:bidi/>
        <w:rPr>
          <w:rFonts w:ascii="T" w:hAnsi="T" w:cstheme="majorBidi"/>
          <w:rtl/>
        </w:rPr>
      </w:pPr>
    </w:p>
    <w:p w14:paraId="6B35C6D1" w14:textId="3B249CEC" w:rsidR="000D1D88" w:rsidRPr="005D59A7" w:rsidRDefault="000D1D88" w:rsidP="000D1D88">
      <w:pPr>
        <w:bidi/>
        <w:rPr>
          <w:rFonts w:ascii="T" w:hAnsi="T" w:cstheme="majorBidi"/>
          <w:rtl/>
        </w:rPr>
      </w:pPr>
    </w:p>
    <w:p w14:paraId="06A4CDD9" w14:textId="02E6AABF" w:rsidR="00E25EBC" w:rsidRPr="005D59A7" w:rsidRDefault="00E25EBC" w:rsidP="00E25EBC">
      <w:pPr>
        <w:bidi/>
        <w:rPr>
          <w:rFonts w:ascii="T" w:hAnsi="T" w:cstheme="majorBidi"/>
          <w:rtl/>
        </w:rPr>
      </w:pPr>
    </w:p>
    <w:p w14:paraId="66312592" w14:textId="067B3720" w:rsidR="00E25EBC" w:rsidRPr="005D59A7" w:rsidRDefault="00E25EBC" w:rsidP="00E25EBC">
      <w:pPr>
        <w:bidi/>
        <w:rPr>
          <w:rFonts w:ascii="T" w:hAnsi="T" w:cstheme="majorBidi"/>
          <w:rtl/>
        </w:rPr>
      </w:pPr>
    </w:p>
    <w:p w14:paraId="3FFE6C04" w14:textId="1E82A16F" w:rsidR="00E25EBC" w:rsidRPr="005D59A7" w:rsidRDefault="00E25EBC" w:rsidP="00E25EBC">
      <w:pPr>
        <w:bidi/>
        <w:rPr>
          <w:rFonts w:ascii="T" w:hAnsi="T" w:cstheme="majorBidi"/>
          <w:rtl/>
        </w:rPr>
      </w:pPr>
    </w:p>
    <w:p w14:paraId="1477D9D9" w14:textId="54ED07FD" w:rsidR="00E25EBC" w:rsidRPr="005D59A7" w:rsidRDefault="00E25EBC" w:rsidP="00E25EBC">
      <w:pPr>
        <w:bidi/>
        <w:rPr>
          <w:rFonts w:ascii="T" w:hAnsi="T" w:cstheme="majorBidi"/>
          <w:rtl/>
        </w:rPr>
      </w:pPr>
    </w:p>
    <w:p w14:paraId="24584A8E" w14:textId="6A30F4A9" w:rsidR="00E25EBC" w:rsidRDefault="00E25EBC" w:rsidP="00E25EBC">
      <w:pPr>
        <w:bidi/>
        <w:rPr>
          <w:rFonts w:ascii="T" w:hAnsi="T" w:cstheme="majorBidi"/>
        </w:rPr>
      </w:pPr>
    </w:p>
    <w:p w14:paraId="3DC0136E" w14:textId="77777777" w:rsidR="00233335" w:rsidRDefault="00233335" w:rsidP="00233335">
      <w:pPr>
        <w:bidi/>
        <w:rPr>
          <w:rFonts w:ascii="T" w:hAnsi="T" w:cstheme="majorBidi"/>
        </w:rPr>
      </w:pPr>
    </w:p>
    <w:p w14:paraId="44A0C928" w14:textId="77777777" w:rsidR="00233335" w:rsidRPr="005D59A7" w:rsidRDefault="00233335" w:rsidP="00233335">
      <w:pPr>
        <w:bidi/>
        <w:rPr>
          <w:rFonts w:ascii="T" w:hAnsi="T" w:cstheme="majorBidi"/>
          <w:rtl/>
        </w:rPr>
      </w:pPr>
    </w:p>
    <w:p w14:paraId="289F707F" w14:textId="77777777" w:rsidR="000D1D88" w:rsidRPr="005D59A7" w:rsidRDefault="000D1D88" w:rsidP="000D1D88">
      <w:pPr>
        <w:bidi/>
        <w:rPr>
          <w:rFonts w:ascii="T" w:hAnsi="T" w:cstheme="majorBidi"/>
          <w:rtl/>
        </w:rPr>
      </w:pPr>
    </w:p>
    <w:p w14:paraId="2E0DE1FD" w14:textId="77777777" w:rsidR="0048465E" w:rsidRPr="005D59A7" w:rsidRDefault="0048465E" w:rsidP="00217271">
      <w:pPr>
        <w:pStyle w:val="Heading1"/>
        <w:bidi/>
        <w:jc w:val="center"/>
        <w:rPr>
          <w:rFonts w:ascii="T" w:eastAsia="Times New Roman" w:hAnsi="T" w:cs="Simplified Arabic"/>
          <w:b/>
          <w:bCs/>
          <w:color w:val="auto"/>
          <w:sz w:val="28"/>
          <w:szCs w:val="28"/>
          <w:u w:val="single"/>
          <w:rtl/>
        </w:rPr>
      </w:pPr>
      <w:bookmarkStart w:id="3" w:name="_Toc233202780"/>
      <w:bookmarkStart w:id="4" w:name="_Hlk225644599"/>
      <w:r w:rsidRPr="005D59A7">
        <w:rPr>
          <w:rFonts w:ascii="T" w:eastAsia="Times New Roman" w:hAnsi="T" w:cs="Simplified Arabic"/>
          <w:b/>
          <w:bCs/>
          <w:color w:val="auto"/>
          <w:sz w:val="28"/>
          <w:szCs w:val="28"/>
          <w:u w:val="single"/>
          <w:rtl/>
        </w:rPr>
        <w:lastRenderedPageBreak/>
        <w:t>الفصل الأول: الإطار المنهجي للدراسة</w:t>
      </w:r>
      <w:bookmarkEnd w:id="3"/>
    </w:p>
    <w:p w14:paraId="48D4C25C" w14:textId="77777777" w:rsidR="00C11026" w:rsidRPr="005D59A7" w:rsidRDefault="00C11026" w:rsidP="00217271">
      <w:pPr>
        <w:pStyle w:val="Heading1"/>
        <w:bidi/>
        <w:rPr>
          <w:rFonts w:ascii="T" w:eastAsia="Times New Roman" w:hAnsi="T" w:cs="Simplified Arabic"/>
          <w:b/>
          <w:bCs/>
          <w:color w:val="auto"/>
          <w:sz w:val="24"/>
          <w:szCs w:val="24"/>
          <w:rtl/>
        </w:rPr>
      </w:pPr>
      <w:bookmarkStart w:id="5" w:name="_Toc233202781"/>
      <w:r w:rsidRPr="005D59A7">
        <w:rPr>
          <w:rFonts w:ascii="T" w:eastAsia="Times New Roman" w:hAnsi="T" w:cs="Simplified Arabic"/>
          <w:b/>
          <w:bCs/>
          <w:color w:val="auto"/>
          <w:sz w:val="24"/>
          <w:szCs w:val="24"/>
          <w:rtl/>
        </w:rPr>
        <w:t>مقدمة الدراسة</w:t>
      </w:r>
      <w:r w:rsidR="008A2744" w:rsidRPr="005D59A7">
        <w:rPr>
          <w:rFonts w:ascii="T" w:eastAsia="Times New Roman" w:hAnsi="T" w:cs="Simplified Arabic"/>
          <w:b/>
          <w:bCs/>
          <w:color w:val="auto"/>
          <w:sz w:val="24"/>
          <w:szCs w:val="24"/>
          <w:rtl/>
        </w:rPr>
        <w:t>:</w:t>
      </w:r>
      <w:bookmarkEnd w:id="5"/>
    </w:p>
    <w:p w14:paraId="13C2F1E4" w14:textId="77777777" w:rsidR="00217271" w:rsidRPr="005D59A7" w:rsidRDefault="00217271" w:rsidP="00790B4E">
      <w:pPr>
        <w:pStyle w:val="ListParagraph"/>
        <w:bidi/>
        <w:jc w:val="both"/>
        <w:rPr>
          <w:rFonts w:ascii="T" w:hAnsi="T" w:cs="Simplified Arabic"/>
          <w:sz w:val="24"/>
          <w:szCs w:val="24"/>
          <w:rtl/>
        </w:rPr>
      </w:pPr>
    </w:p>
    <w:p w14:paraId="59B6DB7F" w14:textId="69844E76"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شهد القطاع البيئي في المملكة العربية السعودية تحولًا جذريًا منذ إطلاق رؤية 2030 في عام 2016، حيث تم إعادة هيكلة المنظومة المؤسسية عبر إنشاء مراكز وطنية متخصصة وصندوق البيئة، وذلك في إطار الإستراتيجية الوطنية للبيئة التي أطلقتها وزارة البيئة والمياه والزراعة عام 2018.</w:t>
      </w:r>
      <w:r w:rsidR="00790B4E" w:rsidRPr="005D59A7">
        <w:rPr>
          <w:rFonts w:ascii="T" w:eastAsia="Calibri" w:hAnsi="T" w:cs="Simplified Arabic"/>
          <w:sz w:val="24"/>
          <w:szCs w:val="24"/>
          <w:rtl/>
        </w:rPr>
        <w:t>(التويجري,2024)</w:t>
      </w:r>
      <w:r w:rsidRPr="005D59A7">
        <w:rPr>
          <w:rFonts w:ascii="T" w:eastAsia="Calibri" w:hAnsi="T" w:cs="Simplified Arabic"/>
          <w:sz w:val="24"/>
          <w:szCs w:val="24"/>
          <w:rtl/>
        </w:rPr>
        <w:t xml:space="preserve"> وتهدف هذه الإستراتيجية إلى تحقيق الهدف الاستراتيجي 2.4.1 "الحد من التلوث بمختلف أنواعه" ضمن برنامج التحول الوطني، من خلال إنشاء ستة مراكز بيئية متخصصة هي: المركز الوطني للرقابة على الالتزام البيئي</w:t>
      </w:r>
      <w:r w:rsidRPr="005D59A7">
        <w:rPr>
          <w:rFonts w:ascii="T" w:eastAsia="Calibri" w:hAnsi="T" w:cs="Simplified Arabic"/>
          <w:sz w:val="24"/>
          <w:szCs w:val="24"/>
        </w:rPr>
        <w:t xml:space="preserve"> (NCEC)</w:t>
      </w:r>
      <w:r w:rsidRPr="005D59A7">
        <w:rPr>
          <w:rFonts w:ascii="T" w:eastAsia="Calibri" w:hAnsi="T" w:cs="Simplified Arabic"/>
          <w:sz w:val="24"/>
          <w:szCs w:val="24"/>
          <w:rtl/>
        </w:rPr>
        <w:t>، والمركز الوطني لتنمية الغطاء النباتي ومكافحة التصحر، والمركز الوطني للأرصاد، والمركز الوطني لتنمية الحياة الفطرية، والمركز الوطني لإدارة النفايات، بالإضافة إلى صندوق البيئة لدعم البرامج والمشاريع البيئية</w:t>
      </w:r>
      <w:r w:rsidRPr="005D59A7">
        <w:rPr>
          <w:rFonts w:ascii="T" w:eastAsia="Calibri" w:hAnsi="T" w:cs="Simplified Arabic"/>
          <w:sz w:val="24"/>
          <w:szCs w:val="24"/>
        </w:rPr>
        <w:t xml:space="preserve"> </w:t>
      </w:r>
      <w:r w:rsidR="00790B4E" w:rsidRPr="005D59A7">
        <w:rPr>
          <w:rFonts w:ascii="T" w:eastAsia="Calibri" w:hAnsi="T" w:cs="Simplified Arabic"/>
          <w:sz w:val="24"/>
          <w:szCs w:val="24"/>
          <w:rtl/>
        </w:rPr>
        <w:t>.(فاضل ,2024)</w:t>
      </w:r>
    </w:p>
    <w:p w14:paraId="0A284D8F" w14:textId="537550EE"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تعد الشراكات بين القطاعين العام والخاص</w:t>
      </w:r>
      <w:r w:rsidRPr="005D59A7">
        <w:rPr>
          <w:rFonts w:ascii="T" w:eastAsia="Calibri" w:hAnsi="T" w:cs="Simplified Arabic"/>
          <w:sz w:val="24"/>
          <w:szCs w:val="24"/>
        </w:rPr>
        <w:t xml:space="preserve"> (PPP) </w:t>
      </w:r>
      <w:r w:rsidRPr="005D59A7">
        <w:rPr>
          <w:rFonts w:ascii="T" w:eastAsia="Calibri" w:hAnsi="T" w:cs="Simplified Arabic"/>
          <w:sz w:val="24"/>
          <w:szCs w:val="24"/>
          <w:rtl/>
        </w:rPr>
        <w:t>نموذجًا تعاقديًا يتيح الاستفادة من كفاءة القطاع الخاص وخبراته في تقديم الخدمات العامة، مع احتفاظ القطاع العام بدوره التنظيمي والرقابي. وقد أثبتت المملكة نجاحًا في تطبيق هذا النموذج في قطاعات متعددة مثل المياه والطاقة والنقل، حيث استطاعت الشركة السعودية للشراكات في الماء</w:t>
      </w:r>
      <w:r w:rsidRPr="005D59A7">
        <w:rPr>
          <w:rFonts w:ascii="T" w:eastAsia="Calibri" w:hAnsi="T" w:cs="Simplified Arabic"/>
          <w:sz w:val="24"/>
          <w:szCs w:val="24"/>
        </w:rPr>
        <w:t xml:space="preserve"> (SWPC) </w:t>
      </w:r>
      <w:r w:rsidRPr="005D59A7">
        <w:rPr>
          <w:rFonts w:ascii="T" w:eastAsia="Calibri" w:hAnsi="T" w:cs="Simplified Arabic"/>
          <w:sz w:val="24"/>
          <w:szCs w:val="24"/>
          <w:rtl/>
        </w:rPr>
        <w:t>جذب استثمارات تجاوزت 12 مليار دولار من خلال مشاريع الشراكة</w:t>
      </w:r>
      <w:r w:rsidRPr="005D59A7">
        <w:rPr>
          <w:rFonts w:ascii="T" w:eastAsia="Calibri" w:hAnsi="T" w:cs="Simplified Arabic"/>
          <w:sz w:val="24"/>
          <w:szCs w:val="24"/>
        </w:rPr>
        <w:t xml:space="preserve"> (Saudi Water Partnership Company, 2024). </w:t>
      </w:r>
      <w:r w:rsidRPr="005D59A7">
        <w:rPr>
          <w:rFonts w:ascii="T" w:eastAsia="Calibri" w:hAnsi="T" w:cs="Simplified Arabic"/>
          <w:sz w:val="24"/>
          <w:szCs w:val="24"/>
          <w:rtl/>
        </w:rPr>
        <w:t>وفي قطاع البيئة، تم إطلاق أول مشروع تفتيش بيئي بنظام الشراكة بين القطاعين العام والخاص بالتعاون بين المركز الوطني للرقابة على الالتزام البيئي ووزارة البيئة والمياه والزراعة والمركز الوطني للتخصيص</w:t>
      </w:r>
      <w:r w:rsidRPr="005D59A7">
        <w:rPr>
          <w:rFonts w:ascii="T" w:eastAsia="Calibri" w:hAnsi="T" w:cs="Simplified Arabic"/>
          <w:sz w:val="24"/>
          <w:szCs w:val="24"/>
        </w:rPr>
        <w:t xml:space="preserve"> (</w:t>
      </w:r>
      <w:proofErr w:type="spellStart"/>
      <w:r w:rsidR="00790B4E" w:rsidRPr="005D59A7">
        <w:rPr>
          <w:rFonts w:ascii="T" w:eastAsia="Calibri" w:hAnsi="T" w:cs="Simplified Arabic"/>
          <w:sz w:val="24"/>
          <w:szCs w:val="24"/>
        </w:rPr>
        <w:t>Tahat</w:t>
      </w:r>
      <w:proofErr w:type="spellEnd"/>
      <w:r w:rsidRPr="005D59A7">
        <w:rPr>
          <w:rFonts w:ascii="T" w:eastAsia="Calibri" w:hAnsi="T" w:cs="Simplified Arabic"/>
          <w:sz w:val="24"/>
          <w:szCs w:val="24"/>
        </w:rPr>
        <w:t>, 202</w:t>
      </w:r>
      <w:r w:rsidR="00790B4E" w:rsidRPr="005D59A7">
        <w:rPr>
          <w:rFonts w:ascii="T" w:eastAsia="Calibri" w:hAnsi="T" w:cs="Simplified Arabic"/>
          <w:sz w:val="24"/>
          <w:szCs w:val="24"/>
        </w:rPr>
        <w:t>4</w:t>
      </w:r>
      <w:r w:rsidRPr="005D59A7">
        <w:rPr>
          <w:rFonts w:ascii="T" w:eastAsia="Calibri" w:hAnsi="T" w:cs="Simplified Arabic"/>
          <w:sz w:val="24"/>
          <w:szCs w:val="24"/>
        </w:rPr>
        <w:t>).</w:t>
      </w:r>
    </w:p>
    <w:p w14:paraId="36C3C3CD" w14:textId="77777777"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يقع المركز الوطني للرقابة على الالتزام البيئي في قلب هذه المنظومة، بصفته الجهة الرقابية الأساسية المسؤولة عن أعمال التفتيش البيئي، وإصدار التراخيص البيئية، ورصد التلوث في الأوساط البيئية الثلاثة (الهواء، الماء، التربة). وتشير البيانات المتوفرة من المركز خلال الفترة 2017-2019 إلى أن نموذج التوريد التقليدي المعتمد حاليًا لتقديم خدمة التفتيش البيئي يعاني من قصور تشغيلي ومالي واضح، يتمثل في عجز مالي قدره 41 </w:t>
      </w:r>
      <w:r w:rsidRPr="005D59A7">
        <w:rPr>
          <w:rFonts w:ascii="T" w:eastAsia="Calibri" w:hAnsi="T" w:cs="Simplified Arabic"/>
          <w:sz w:val="24"/>
          <w:szCs w:val="24"/>
          <w:rtl/>
        </w:rPr>
        <w:lastRenderedPageBreak/>
        <w:t>مليون ريال خلال ثلاث سنوات، وتراجع متوسط المخالفات لكل زيارة من 1.2 إلى 0.4، وارتفاع نسبة المخالفات المرفوضة إلى 45% (المركز الوطني للرقابة على الالتزام البيئي، 2020)</w:t>
      </w:r>
      <w:r w:rsidRPr="005D59A7">
        <w:rPr>
          <w:rFonts w:ascii="T" w:eastAsia="Calibri" w:hAnsi="T" w:cs="Simplified Arabic"/>
          <w:sz w:val="24"/>
          <w:szCs w:val="24"/>
        </w:rPr>
        <w:t>.</w:t>
      </w:r>
    </w:p>
    <w:p w14:paraId="2ACF1960" w14:textId="387B18C7" w:rsidR="00F873FA" w:rsidRPr="005D59A7" w:rsidRDefault="00790B4E"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عليه، تتحدد الفجوة العملية في محدودية التطبيق الميداني لنماذج الشراكة في قطاع البيئة السعودي، والفجوة العلمية في غياب نماذج متكاملة لهيكلة الشراكات بين القطاعين العام والخاص في الخدمات الرقابية عالية الحساسية، خاصة خدمة التفتيش البيئي. وبناءً على ذلك، تسعى هذه الدراسة إلى تحليل واقع الشراكات بين القطاعين العام والخاص في قطاع البيئة، وتطوير نموذج مقترح للحوكمة البيئية وإدارة الأداء لخدمة التفتيش البيئي، بالاعتماد على البيانات المتوفرة من المركز الوطني للرقابة على الالتزام البيئي خلال الفترة 2017-2019، وذلك بهدف تقديم حلول عملية تسهم في رفع كفاءة الخدمة، وتحسين جودة المخرجات، وتحقيق الاستدامة المالية، بما يتوافق مع مستهدفات رؤية السعودية 2030 والإستراتيجية الوطنية للبيئة.</w:t>
      </w:r>
      <w:r w:rsidR="00646FBB" w:rsidRPr="005D59A7">
        <w:rPr>
          <w:rFonts w:ascii="T" w:eastAsia="Calibri" w:hAnsi="T" w:cs="Simplified Arabic"/>
          <w:sz w:val="24"/>
          <w:szCs w:val="24"/>
          <w:rtl/>
        </w:rPr>
        <w:t xml:space="preserve"> </w:t>
      </w:r>
    </w:p>
    <w:p w14:paraId="25F0E314" w14:textId="77777777" w:rsidR="00890400" w:rsidRPr="005D59A7" w:rsidRDefault="00883E09" w:rsidP="00217271">
      <w:pPr>
        <w:pStyle w:val="Heading1"/>
        <w:bidi/>
        <w:rPr>
          <w:rFonts w:ascii="T" w:eastAsia="Times New Roman" w:hAnsi="T" w:cs="Simplified Arabic"/>
          <w:b/>
          <w:bCs/>
          <w:color w:val="auto"/>
          <w:sz w:val="24"/>
          <w:szCs w:val="24"/>
          <w:rtl/>
        </w:rPr>
      </w:pPr>
      <w:bookmarkStart w:id="6" w:name="_Toc233202782"/>
      <w:r w:rsidRPr="005D59A7">
        <w:rPr>
          <w:rFonts w:ascii="T" w:eastAsia="Times New Roman" w:hAnsi="T" w:cs="Simplified Arabic"/>
          <w:b/>
          <w:bCs/>
          <w:color w:val="auto"/>
          <w:sz w:val="24"/>
          <w:szCs w:val="24"/>
          <w:rtl/>
        </w:rPr>
        <w:t>مشكلة الدراسة</w:t>
      </w:r>
      <w:r w:rsidR="00436B59" w:rsidRPr="005D59A7">
        <w:rPr>
          <w:rFonts w:ascii="T" w:eastAsia="Times New Roman" w:hAnsi="T" w:cs="Simplified Arabic"/>
          <w:b/>
          <w:bCs/>
          <w:color w:val="auto"/>
          <w:sz w:val="24"/>
          <w:szCs w:val="24"/>
          <w:rtl/>
        </w:rPr>
        <w:t>:</w:t>
      </w:r>
      <w:bookmarkEnd w:id="6"/>
    </w:p>
    <w:p w14:paraId="410FDF4F" w14:textId="44059A46"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في سياق التحولات الهيكلية العميقة التي يشهدها القطاع البيئي في المملكة العربية السعودية، والتي جاءت استجابة لمستهدفات رؤية السعودية 2030، وما تبعها من إطلاق الإستراتيجية الوطنية للبيئة في عام 2018، وإعادة تصميم المنظومة المؤسسية عبر إنشاء مراكز وطنية متخصصة (المركز الوطني للرقابة على الالتزام البيئي، المركز الوطني لتنمية الغطاء النباتي ومكافحة التصحر، المركز الوطني لإدارة النفايات، المركز الوطني للأرصاد، المركز الوطني لتنمية الحياة الفطرية) وصندوق البيئة، لم يعد تقييم كفاءة أدوات الرقابة البيئية خيارًا تحليليًا فحسب، بل ضرورة استراتيجية لضمان تحقيق الاستدامة البيئية والاقتصادية (</w:t>
      </w:r>
      <w:r w:rsidRPr="005D59A7">
        <w:rPr>
          <w:rFonts w:ascii="T" w:eastAsia="Calibri" w:hAnsi="T" w:cs="Simplified Arabic"/>
          <w:sz w:val="24"/>
          <w:szCs w:val="24"/>
        </w:rPr>
        <w:t>Ministry of Environment, Water and Agriculture, 2020; Saudi</w:t>
      </w:r>
      <w:r w:rsidR="00217271"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pedia</w:t>
      </w:r>
      <w:proofErr w:type="spellEnd"/>
      <w:r w:rsidRPr="005D59A7">
        <w:rPr>
          <w:rFonts w:ascii="T" w:eastAsia="Calibri" w:hAnsi="T" w:cs="Simplified Arabic"/>
          <w:sz w:val="24"/>
          <w:szCs w:val="24"/>
        </w:rPr>
        <w:t>, 2025</w:t>
      </w:r>
      <w:r w:rsidRPr="005D59A7">
        <w:rPr>
          <w:rFonts w:ascii="T" w:eastAsia="Calibri" w:hAnsi="T" w:cs="Simplified Arabic"/>
          <w:sz w:val="24"/>
          <w:szCs w:val="24"/>
          <w:rtl/>
        </w:rPr>
        <w:t>).</w:t>
      </w:r>
    </w:p>
    <w:p w14:paraId="0EAD31C3" w14:textId="4DB10B84" w:rsidR="006E35DF" w:rsidRPr="005D59A7" w:rsidRDefault="006E35DF"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ويأتي التفتيش البيئي في قلب هذه المنظومة باعتباره الأداة التنفيذية المباشرة لضبط الامتثال، ومن ثم فإن أي خلل في كفاءته ينعكس بشكل مباشر على جودة البيئة، وتكلفة التدهور البيئي، وكفاءة استخدام الموارد العامة. وقد قدرت دراسة البنك الدولي (2014) تكلفة التدهور البيئي في المملكة بنحو 3.1% من إجمالي الناتج المحلي، أي ما يعادل 86 مليار ريال سعودي، مما يؤكد حجم التحدي البيئي والاقتصادي المرتبط بفعالية أنظمة الرقابة البيئية. كما أن رفع نسبة الالتزام البيئي والحد من التلوث يساهم بشكل مباشر وغير مباشر في تحقيق </w:t>
      </w:r>
      <w:r w:rsidRPr="005D59A7">
        <w:rPr>
          <w:rFonts w:ascii="T" w:eastAsia="Calibri" w:hAnsi="T" w:cs="Simplified Arabic"/>
          <w:sz w:val="24"/>
          <w:szCs w:val="24"/>
          <w:rtl/>
        </w:rPr>
        <w:lastRenderedPageBreak/>
        <w:t>مستهدفات رؤية 2030 الاجتماعية، ومنها رفع متوسط العمر المتوقع من 74 إلى 80 عامًا (المركز الوطني للرقابة على الالتزام البيئي، 2020)</w:t>
      </w:r>
    </w:p>
    <w:p w14:paraId="62CD6A70" w14:textId="77777777" w:rsidR="00F37362" w:rsidRPr="005D59A7" w:rsidRDefault="00F37362"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ونستعرض سويةً بعض المؤشرات المتعلقة بكفاءة الخدمة خلال الفترة 2017-2019 حيث كان المركز يقوم بتقديم الخدمة عن طريق التوريد بالطريقة التقليدية وذلك من خلال شركة المصادر البيئية الدولية. والتي كانت بدورها تقوم بتوظيف المفتشين وجدولة الزيارات التفتيشية بطرق تقليدية وجودة المخرجات لم تكن بالشكل المطلوب</w:t>
      </w:r>
      <w:r w:rsidR="00AC3F5D" w:rsidRPr="005D59A7">
        <w:rPr>
          <w:rFonts w:ascii="T" w:eastAsia="Calibri" w:hAnsi="T" w:cs="Simplified Arabic"/>
          <w:sz w:val="24"/>
          <w:szCs w:val="24"/>
          <w:rtl/>
        </w:rPr>
        <w:t xml:space="preserve"> (المركز الوطني للرقابة على الالتزام البيئي، 2020)</w:t>
      </w:r>
      <w:r w:rsidRPr="005D59A7">
        <w:rPr>
          <w:rFonts w:ascii="T" w:eastAsia="Calibri" w:hAnsi="T" w:cs="Simplified Arabic"/>
          <w:sz w:val="24"/>
          <w:szCs w:val="24"/>
          <w:rtl/>
        </w:rPr>
        <w:t>:</w:t>
      </w:r>
    </w:p>
    <w:p w14:paraId="7D792306" w14:textId="77777777" w:rsidR="00F37362" w:rsidRPr="005D59A7" w:rsidRDefault="00F37362" w:rsidP="00217271">
      <w:pPr>
        <w:bidi/>
        <w:jc w:val="both"/>
        <w:rPr>
          <w:rFonts w:ascii="T" w:hAnsi="T" w:cs="Simplified Arabic"/>
          <w:b/>
          <w:bCs/>
          <w:sz w:val="24"/>
          <w:szCs w:val="24"/>
          <w:shd w:val="clear" w:color="auto" w:fill="FFFFFF"/>
        </w:rPr>
      </w:pPr>
      <w:r w:rsidRPr="005D59A7">
        <w:rPr>
          <w:rFonts w:ascii="T" w:hAnsi="T" w:cs="Simplified Arabic"/>
          <w:b/>
          <w:bCs/>
          <w:sz w:val="24"/>
          <w:szCs w:val="24"/>
          <w:shd w:val="clear" w:color="auto" w:fill="FFFFFF"/>
          <w:rtl/>
        </w:rPr>
        <w:t xml:space="preserve">قيمة المشروع لمدة 3 سنوات (2017-2018-2019): 108,289,609 ريال سعودي. </w:t>
      </w:r>
    </w:p>
    <w:p w14:paraId="2B41A34E"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العوائد من المخالفات البيئية: </w:t>
      </w:r>
    </w:p>
    <w:p w14:paraId="1022A03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15,745,000 ريال سعودي</w:t>
      </w:r>
    </w:p>
    <w:p w14:paraId="1B68E5E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19,568,000 ريال سعودي</w:t>
      </w:r>
    </w:p>
    <w:p w14:paraId="22497251"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31,916,000 ريال سعودي</w:t>
      </w:r>
    </w:p>
    <w:p w14:paraId="76B35042"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إجمالي العوائد: 67,238,000 ريال سعودي </w:t>
      </w:r>
    </w:p>
    <w:p w14:paraId="581AF514"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العجز: 41,051,609 ريال سعودي</w:t>
      </w:r>
    </w:p>
    <w:p w14:paraId="1D38D8E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متوسط راتب المفتش البيئي: 5,000 ريال سعودي. </w:t>
      </w:r>
    </w:p>
    <w:p w14:paraId="28E6118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غير كافي لاستقطاب الكفاءات المتخصصة والفنية اللازمة وخلق بيئية محفزة وذلك بسبب إتباع طريقة التوريد التقليدية وغياب المنافسة. </w:t>
      </w:r>
    </w:p>
    <w:p w14:paraId="1D3C1CD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المفتشين البيئيين: </w:t>
      </w:r>
    </w:p>
    <w:p w14:paraId="262A92E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70 مفتش بيئي</w:t>
      </w:r>
    </w:p>
    <w:p w14:paraId="4A51C5D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222 مفتش بيئي (قرار مجلس الوزراء بدعم برنامج التفتيش البيئي: زيادة بنسبة 68% )</w:t>
      </w:r>
    </w:p>
    <w:p w14:paraId="3E1F8580" w14:textId="77777777" w:rsidR="00646FBB"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264 مفتش بيئي (الزيادة: 16%)</w:t>
      </w:r>
    </w:p>
    <w:p w14:paraId="5A51426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حسب قاعدة البيانات: </w:t>
      </w:r>
    </w:p>
    <w:p w14:paraId="7A6D97D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11,158 </w:t>
      </w:r>
    </w:p>
    <w:p w14:paraId="59675AA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13,627 (الزيادة: تمثل 18%)</w:t>
      </w:r>
    </w:p>
    <w:p w14:paraId="6D0D145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19,322 (الزيادة: تمثل 29%)</w:t>
      </w:r>
    </w:p>
    <w:p w14:paraId="221F5360"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26CE510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5408755B"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638AF3C8"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4B723A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60E0DD3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2D9395B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11E38EA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1E4A290"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الزيارات التفتيشية:</w:t>
      </w:r>
    </w:p>
    <w:p w14:paraId="1B3D5ED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3,735 زيارة تفتيشية</w:t>
      </w:r>
    </w:p>
    <w:p w14:paraId="1C6CCAA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6,479 زيارة تفتيشية (بواقع نسبة زيادة 42%)</w:t>
      </w:r>
    </w:p>
    <w:p w14:paraId="14A7535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21,369 زيارة تفتيشية (بواقع نسبة زيادة 70%)</w:t>
      </w:r>
    </w:p>
    <w:p w14:paraId="723609CC"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زيارة لكل مفتش:</w:t>
      </w:r>
    </w:p>
    <w:p w14:paraId="1E22D05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 زيارة لكل مفتش بيئي</w:t>
      </w:r>
    </w:p>
    <w:p w14:paraId="389F95EA"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 زيارة لكل مفتش بيئي (قرار مجلس الوزراء بدعم برنامج التفتيش البيئي)</w:t>
      </w:r>
    </w:p>
    <w:p w14:paraId="5D46F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81 زيارة لكل مفتش بيئي </w:t>
      </w:r>
    </w:p>
    <w:p w14:paraId="05D5A117"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التي تم زيارتها: </w:t>
      </w:r>
    </w:p>
    <w:p w14:paraId="6F91AA1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3,474 منشأة (بواقع نسبة تغطية لإجمالي المنشآت 31% مقابل 159 منشأة/مفتش)</w:t>
      </w:r>
    </w:p>
    <w:p w14:paraId="42376A8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5,345 منشأة (بواقع نسبة تغطية لإجمالي المنشآت 39% مقابل 61 منشأة/مفتش)</w:t>
      </w:r>
    </w:p>
    <w:p w14:paraId="62FDC69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13,443 منشأة (بواقع نسبة تغطية لإجمالي المنشآت 70% مقابل 73 منشأة/مفتش)</w:t>
      </w:r>
    </w:p>
    <w:p w14:paraId="3CB8154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المرصودة: </w:t>
      </w:r>
    </w:p>
    <w:p w14:paraId="7D15F64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4,298 مخالفة مرصودة</w:t>
      </w:r>
    </w:p>
    <w:p w14:paraId="4E95CA5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4,327 مخالفة مرصودة</w:t>
      </w:r>
    </w:p>
    <w:p w14:paraId="637FA56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8,564 مخالفة مرصودة</w:t>
      </w:r>
    </w:p>
    <w:p w14:paraId="175AB6E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مخالفة لكل زيارة: </w:t>
      </w:r>
    </w:p>
    <w:p w14:paraId="0E2875B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1.2 مخالفة لكل زيارة تفتيشية (مقابل 70 مفتش بيئي بواقع 31% نسبة تغطية للمنشآت)</w:t>
      </w:r>
    </w:p>
    <w:p w14:paraId="4138E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0.7 مخالفة لكل زيارة تفتيشية (مقابل 222 مفتش بيئي بواقع 39% نسبة تغطية للمنشآت) </w:t>
      </w:r>
    </w:p>
    <w:p w14:paraId="3E59B76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0.4 مخالفة لكل زيارة تفتيشية (مقابل 264 مفتش بيئي بواقع 70% نسبة تغطية للمنشآت)</w:t>
      </w:r>
    </w:p>
    <w:p w14:paraId="12DD267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المعتمدة: </w:t>
      </w:r>
    </w:p>
    <w:p w14:paraId="49193A0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2919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1,379 مخالفة مرفوضة تشكل حوالي 32% من إجمالي المخالفات المرصودة.</w:t>
      </w:r>
    </w:p>
    <w:p w14:paraId="67D340F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2,750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1,577 مخالفة مرفوضة تشكل حوالي 36% من إجمالي المخالفات المرصودة.</w:t>
      </w:r>
    </w:p>
    <w:p w14:paraId="2E6FD5D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4,682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3,882 مخالفة مرفوضة تشكل حوالي 45% من إجمالي المخالفات المرصودة.</w:t>
      </w:r>
    </w:p>
    <w:p w14:paraId="136C577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تصنيف المخالفات المرصودة المعتمدة: </w:t>
      </w:r>
    </w:p>
    <w:p w14:paraId="3E64B52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2017 -&gt; 1.018 مخالفة إدارية (35%) – 1,901 مخالفة فنية (65%).</w:t>
      </w:r>
    </w:p>
    <w:p w14:paraId="38860D6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2018 -&gt; 644    مخالفة إدارية (23%) – 2,106 مخالفة فنية (77%).</w:t>
      </w:r>
    </w:p>
    <w:p w14:paraId="09BD14C5" w14:textId="1F77803F" w:rsidR="00AB4755"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2019 -&gt; 1,426 مخالفة إدارية (30%) – 3,256 مخالفة فنية (70%).</w:t>
      </w:r>
    </w:p>
    <w:p w14:paraId="10163DE2"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من منظور اقتصادي مؤسسي، يمكن توصيف نموذج تقديم خدمة التفتيش البيئي الحالي بأنه يعاني من فشل في التصميم التعاقدي (</w:t>
      </w:r>
      <w:r w:rsidRPr="005D59A7">
        <w:rPr>
          <w:rFonts w:ascii="T" w:eastAsia="Calibri" w:hAnsi="T" w:cs="Simplified Arabic"/>
          <w:sz w:val="24"/>
          <w:szCs w:val="24"/>
        </w:rPr>
        <w:t>Contractual Design Failure</w:t>
      </w:r>
      <w:r w:rsidRPr="005D59A7">
        <w:rPr>
          <w:rFonts w:ascii="T" w:eastAsia="Calibri" w:hAnsi="T" w:cs="Simplified Arabic"/>
          <w:sz w:val="24"/>
          <w:szCs w:val="24"/>
          <w:rtl/>
        </w:rPr>
        <w:t>). إذ يعتمد على نموذج التوريد التقليدي (</w:t>
      </w:r>
      <w:r w:rsidRPr="005D59A7">
        <w:rPr>
          <w:rFonts w:ascii="T" w:eastAsia="Calibri" w:hAnsi="T" w:cs="Simplified Arabic"/>
          <w:sz w:val="24"/>
          <w:szCs w:val="24"/>
        </w:rPr>
        <w:t>Input-Based Contracting</w:t>
      </w:r>
      <w:r w:rsidRPr="005D59A7">
        <w:rPr>
          <w:rFonts w:ascii="T" w:eastAsia="Calibri" w:hAnsi="T" w:cs="Simplified Arabic"/>
          <w:sz w:val="24"/>
          <w:szCs w:val="24"/>
          <w:rtl/>
        </w:rPr>
        <w:t>)، الذي يركز على توفير الموارد (عدد مفتشين، عدد زيارات، ساعات عمل) دون ربطها بمخرجات قابلة للقياس أو نتائج بيئية فعلية (</w:t>
      </w:r>
      <w:r w:rsidRPr="005D59A7">
        <w:rPr>
          <w:rFonts w:ascii="T" w:eastAsia="Calibri" w:hAnsi="T" w:cs="Simplified Arabic"/>
          <w:sz w:val="24"/>
          <w:szCs w:val="24"/>
        </w:rPr>
        <w:t>Outcome-Based Performance</w:t>
      </w:r>
      <w:r w:rsidRPr="005D59A7">
        <w:rPr>
          <w:rFonts w:ascii="T" w:eastAsia="Calibri" w:hAnsi="T" w:cs="Simplified Arabic"/>
          <w:sz w:val="24"/>
          <w:szCs w:val="24"/>
          <w:rtl/>
        </w:rPr>
        <w:t>). هذا النموذج يؤدي إلى ما يُعرف في الأدبيات الاقتصادية بمشكلة الوكيل-الأصيل (</w:t>
      </w:r>
      <w:r w:rsidRPr="005D59A7">
        <w:rPr>
          <w:rFonts w:ascii="T" w:eastAsia="Calibri" w:hAnsi="T" w:cs="Simplified Arabic"/>
          <w:sz w:val="24"/>
          <w:szCs w:val="24"/>
        </w:rPr>
        <w:t>Principal-Agent Problem</w:t>
      </w:r>
      <w:r w:rsidRPr="005D59A7">
        <w:rPr>
          <w:rFonts w:ascii="T" w:eastAsia="Calibri" w:hAnsi="T" w:cs="Simplified Arabic"/>
          <w:sz w:val="24"/>
          <w:szCs w:val="24"/>
          <w:rtl/>
        </w:rPr>
        <w:t>)، حيث لا تتطابق مصالح الجهة المنفذة (القطاع الخاص) مع أهداف الجهة المنظمة (الحكومة)، في ظل غياب مؤشرات أداء تعاقدية صارمة.</w:t>
      </w:r>
    </w:p>
    <w:p w14:paraId="73A2767A"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كما أن عدم وجود آليات لتقاسم المخاطر (</w:t>
      </w:r>
      <w:r w:rsidRPr="005D59A7">
        <w:rPr>
          <w:rFonts w:ascii="T" w:eastAsia="Calibri" w:hAnsi="T" w:cs="Simplified Arabic"/>
          <w:sz w:val="24"/>
          <w:szCs w:val="24"/>
        </w:rPr>
        <w:t>Risk Sharing Mechanisms</w:t>
      </w:r>
      <w:r w:rsidRPr="005D59A7">
        <w:rPr>
          <w:rFonts w:ascii="T" w:eastAsia="Calibri" w:hAnsi="T" w:cs="Simplified Arabic"/>
          <w:sz w:val="24"/>
          <w:szCs w:val="24"/>
          <w:rtl/>
        </w:rPr>
        <w:t>) يجعل الحكومة تتحمل كامل العبء المالي، بينما لا يتحمل القطاع الخاص سوى مسؤولية تنفيذية محدودة. ففي النموذج التقليدي، يتقاضى القطاع الخاص مقابل توفير الموارد (عدد المفتشين وساعات العمل) بغض النظر عن جودة المخرجات أو تحقيق النتائج المرجوة، مما يخلق فجوة بين التكلفة والقيمة.</w:t>
      </w:r>
    </w:p>
    <w:p w14:paraId="60E048B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ماليًا، يشير العجز المسجل البالغ 41,051,609 ريال سعودي خلال الفترة 2017-2019 إلى غياب نموذج استرداد التكاليف (</w:t>
      </w:r>
      <w:r w:rsidRPr="005D59A7">
        <w:rPr>
          <w:rFonts w:ascii="T" w:eastAsia="Calibri" w:hAnsi="T" w:cs="Simplified Arabic"/>
          <w:sz w:val="24"/>
          <w:szCs w:val="24"/>
        </w:rPr>
        <w:t>Cost Recovery Model</w:t>
      </w:r>
      <w:r w:rsidRPr="005D59A7">
        <w:rPr>
          <w:rFonts w:ascii="T" w:eastAsia="Calibri" w:hAnsi="T" w:cs="Simplified Arabic"/>
          <w:sz w:val="24"/>
          <w:szCs w:val="24"/>
          <w:rtl/>
        </w:rPr>
        <w:t>)، حيث لا يتم توظيف المخالفات البيئية أو الرسوم كأداة تمويل مستدامة للخدمة. بلغ إجمالي العوائد من المخالفات 67,238,000 ريال، بينما بلغت التكاليف التشغيلية 108,289,609 ريال، مما يعني أن الإيرادات غطت فقط 62% من التكاليف، مع عجز سنوي مستدام. هذا العجز يعكس عدم قدرة النموذج الحالي على تحقيق الاستدامة المالية، مما يستدعي البحث عن نماذج تمويل بديلة.</w:t>
      </w:r>
    </w:p>
    <w:p w14:paraId="6AAE0273"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كما أن انخفاض رواتب المفتشين إلى متوسط 5,000 ريال شهريًا يعكس خللًا في هيكل الحوافز (</w:t>
      </w:r>
      <w:r w:rsidRPr="005D59A7">
        <w:rPr>
          <w:rFonts w:ascii="T" w:eastAsia="Calibri" w:hAnsi="T" w:cs="Simplified Arabic"/>
          <w:sz w:val="24"/>
          <w:szCs w:val="24"/>
        </w:rPr>
        <w:t>Incentive Structure</w:t>
      </w:r>
      <w:r w:rsidRPr="005D59A7">
        <w:rPr>
          <w:rFonts w:ascii="T" w:eastAsia="Calibri" w:hAnsi="T" w:cs="Simplified Arabic"/>
          <w:sz w:val="24"/>
          <w:szCs w:val="24"/>
          <w:rtl/>
        </w:rPr>
        <w:t>)، حيث لا يتمتع المفتشون بمستوى دخل يتناسب مع حساسية مهامهم وتعقيداتها الفنية. هذا الضعف في الحوافز يؤدي إلى:</w:t>
      </w:r>
    </w:p>
    <w:p w14:paraId="26017E49"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صعوبة استقطاب الكفاءات المتخصصة (أصحاب الخبرات الفنية والقانونية والهندسية).</w:t>
      </w:r>
    </w:p>
    <w:p w14:paraId="6B5AA8B5"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ارتفاع معدلات دوران الموظفين (</w:t>
      </w:r>
      <w:r w:rsidRPr="005D59A7">
        <w:rPr>
          <w:rFonts w:ascii="T" w:eastAsia="Calibri" w:hAnsi="T" w:cs="Simplified Arabic"/>
          <w:sz w:val="24"/>
          <w:szCs w:val="24"/>
        </w:rPr>
        <w:t>Turnover</w:t>
      </w:r>
      <w:r w:rsidRPr="005D59A7">
        <w:rPr>
          <w:rFonts w:ascii="T" w:eastAsia="Calibri" w:hAnsi="T" w:cs="Simplified Arabic"/>
          <w:sz w:val="24"/>
          <w:szCs w:val="24"/>
          <w:rtl/>
        </w:rPr>
        <w:t>) مما يزيد من تكاليف التدريب.</w:t>
      </w:r>
    </w:p>
    <w:p w14:paraId="7B362EF6"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انخفاض الإنتاجية وضعف جودة الأداء.</w:t>
      </w:r>
    </w:p>
    <w:p w14:paraId="709150C0"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مما يؤثر على الاستدامة البشرية.</w:t>
      </w:r>
    </w:p>
    <w:p w14:paraId="031D8D7F"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تشغيليًا، يمكن رصد عدة أوجه قصور إضافية في النموذج الحالي:</w:t>
      </w:r>
    </w:p>
    <w:p w14:paraId="233E0B41"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غياب التكامل بين الجهات ذات العلاقة (</w:t>
      </w:r>
      <w:r w:rsidRPr="005D59A7">
        <w:rPr>
          <w:rFonts w:ascii="T" w:eastAsia="Calibri" w:hAnsi="T" w:cs="Simplified Arabic"/>
          <w:sz w:val="24"/>
          <w:szCs w:val="24"/>
        </w:rPr>
        <w:t>Fragmentation</w:t>
      </w:r>
      <w:r w:rsidRPr="005D59A7">
        <w:rPr>
          <w:rFonts w:ascii="T" w:eastAsia="Calibri" w:hAnsi="T" w:cs="Simplified Arabic"/>
          <w:sz w:val="24"/>
          <w:szCs w:val="24"/>
          <w:rtl/>
        </w:rPr>
        <w:t>): حيث تعمل جهات متعددة (المركز الوطني للرقابة على الالتزام البيئي، وزارة البيئة والمياه والزراعة، الأمانات، الهيئة الملكية للجبيل وينبع) بشكل منفصل، مما يؤدي إلى ازدواجية الجهود أو فجوات في التغطية، وعدم تبادل المعلومات بشكل فعال.</w:t>
      </w:r>
    </w:p>
    <w:p w14:paraId="76516E55"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ضعف نظم المتابعة والتقييم (</w:t>
      </w:r>
      <w:r w:rsidRPr="005D59A7">
        <w:rPr>
          <w:rFonts w:ascii="T" w:eastAsia="Calibri" w:hAnsi="T" w:cs="Simplified Arabic"/>
          <w:sz w:val="24"/>
          <w:szCs w:val="24"/>
        </w:rPr>
        <w:t>Monitoring &amp; Evaluation Systems</w:t>
      </w:r>
      <w:r w:rsidRPr="005D59A7">
        <w:rPr>
          <w:rFonts w:ascii="T" w:eastAsia="Calibri" w:hAnsi="T" w:cs="Simplified Arabic"/>
          <w:sz w:val="24"/>
          <w:szCs w:val="24"/>
          <w:rtl/>
        </w:rPr>
        <w:t>): عدم وجود أنظمة متكاملة لتتبع أداء المفتشين، وجودة الزيارات، وتأثير التفتيش على معدلات الامتثال، مما يحد من القدرة على اتخاذ قرارات تحسين مستندة إلى بيانات دقيقة.</w:t>
      </w:r>
    </w:p>
    <w:p w14:paraId="5D1E2D0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محدودية استخدام مؤشرات الأداء الرئيسية (</w:t>
      </w:r>
      <w:r w:rsidRPr="005D59A7">
        <w:rPr>
          <w:rFonts w:ascii="T" w:eastAsia="Calibri" w:hAnsi="T" w:cs="Simplified Arabic"/>
          <w:sz w:val="24"/>
          <w:szCs w:val="24"/>
        </w:rPr>
        <w:t>KPIs</w:t>
      </w:r>
      <w:r w:rsidRPr="005D59A7">
        <w:rPr>
          <w:rFonts w:ascii="T" w:eastAsia="Calibri" w:hAnsi="T" w:cs="Simplified Arabic"/>
          <w:sz w:val="24"/>
          <w:szCs w:val="24"/>
          <w:rtl/>
        </w:rPr>
        <w:t>) المرتبطة بالأثر البيئي: حيث تركز المؤشرات الحالية على مخرجات العملية (عدد الزيارات، عدد المخالفات) بدلاً من النتائج البيئية الفعلية (انخفاض نسبة التلوث، تحسن جودة الهواء والمياه، زيادة معدلات الامتثال).</w:t>
      </w:r>
    </w:p>
    <w:p w14:paraId="467FAB68" w14:textId="11AA8813"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للمفتشين: ما يؤثر على الاستدامة البشرية ويقلل من الاستقرار الوظيفي، ويؤدي إلى فقدان الخبرات المتراكمة.</w:t>
      </w:r>
    </w:p>
    <w:p w14:paraId="254C4413" w14:textId="777CCAFA"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الفجوة في الأدبيات ونمذجة الشراكات بين القطاعين العام والخاص</w:t>
      </w:r>
    </w:p>
    <w:p w14:paraId="79DC41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على الرغم من التوجه المؤسسي نحو تعزيز الشراكات ضمن برنامج التحول الوطني ورؤية 2030، فإن الأدبيات الحالية لا تقدم نماذج تشغيلية قابلة للتطبيق في قطاع التفتيش البيئي، والذي يُصنف ضمن الخدمات التنظيمية عالية الحساسية</w:t>
      </w:r>
      <w:r w:rsidRPr="005D59A7">
        <w:rPr>
          <w:rFonts w:ascii="T" w:eastAsia="Calibri" w:hAnsi="T" w:cs="Simplified Arabic"/>
          <w:sz w:val="24"/>
          <w:szCs w:val="24"/>
        </w:rPr>
        <w:t xml:space="preserve"> (High-Sensitivity Regulatory Services). </w:t>
      </w:r>
      <w:r w:rsidRPr="005D59A7">
        <w:rPr>
          <w:rFonts w:ascii="T" w:eastAsia="Calibri" w:hAnsi="T" w:cs="Simplified Arabic"/>
          <w:sz w:val="24"/>
          <w:szCs w:val="24"/>
          <w:rtl/>
        </w:rPr>
        <w:t>وتكمن الإشكالية في أن تطبيق الشراكات بين القطاعين العام والخاص في هذا النوع من الخدمات يتطلب توازنًا دقيقًا بين ثلاثة أبعاد قد تكون متضاربة أحيانًا</w:t>
      </w:r>
      <w:r w:rsidRPr="005D59A7">
        <w:rPr>
          <w:rFonts w:ascii="T" w:eastAsia="Calibri" w:hAnsi="T" w:cs="Simplified Arabic"/>
          <w:sz w:val="24"/>
          <w:szCs w:val="24"/>
        </w:rPr>
        <w:t>:</w:t>
      </w:r>
    </w:p>
    <w:p w14:paraId="2A29FC0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الأول: الكفاءة الاقتصادية</w:t>
      </w:r>
      <w:r w:rsidRPr="005D59A7">
        <w:rPr>
          <w:rFonts w:ascii="T" w:eastAsia="Calibri" w:hAnsi="T" w:cs="Simplified Arabic"/>
          <w:sz w:val="24"/>
          <w:szCs w:val="24"/>
        </w:rPr>
        <w:t xml:space="preserve"> (Efficiency): </w:t>
      </w:r>
      <w:r w:rsidRPr="005D59A7">
        <w:rPr>
          <w:rFonts w:ascii="T" w:eastAsia="Calibri" w:hAnsi="T" w:cs="Simplified Arabic"/>
          <w:sz w:val="24"/>
          <w:szCs w:val="24"/>
          <w:rtl/>
        </w:rPr>
        <w:t>تحقيق أعلى مردود بأقل تكلفة، من خلال الاستفادة من خبرات القطاع الخاص وكفاءته التشغيلية، وتطبيق تقنيات حديثة، وتحسين إدارة الموارد، وتقليل الهدر</w:t>
      </w:r>
      <w:r w:rsidRPr="005D59A7">
        <w:rPr>
          <w:rFonts w:ascii="T" w:eastAsia="Calibri" w:hAnsi="T" w:cs="Simplified Arabic"/>
          <w:sz w:val="24"/>
          <w:szCs w:val="24"/>
        </w:rPr>
        <w:t>.</w:t>
      </w:r>
    </w:p>
    <w:p w14:paraId="70C98C0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الثاني: الحياد التنظيمي</w:t>
      </w:r>
      <w:r w:rsidRPr="005D59A7">
        <w:rPr>
          <w:rFonts w:ascii="T" w:eastAsia="Calibri" w:hAnsi="T" w:cs="Simplified Arabic"/>
          <w:sz w:val="24"/>
          <w:szCs w:val="24"/>
        </w:rPr>
        <w:t xml:space="preserve"> (Regulatory Neutrality): </w:t>
      </w:r>
      <w:r w:rsidRPr="005D59A7">
        <w:rPr>
          <w:rFonts w:ascii="T" w:eastAsia="Calibri" w:hAnsi="T" w:cs="Simplified Arabic"/>
          <w:sz w:val="24"/>
          <w:szCs w:val="24"/>
          <w:rtl/>
        </w:rPr>
        <w:t>ضمان عدم تأثير إشراك القطاع الخاص على استقلالية وحيادية الرقابة البيئية، والحفاظ على سلطة اتخاذ القرارات التنظيمية (مثل إصدار المخالفات، تحديد العقوبات) في يد الجهات الحكومية المختصة</w:t>
      </w:r>
      <w:r w:rsidRPr="005D59A7">
        <w:rPr>
          <w:rFonts w:ascii="T" w:eastAsia="Calibri" w:hAnsi="T" w:cs="Simplified Arabic"/>
          <w:sz w:val="24"/>
          <w:szCs w:val="24"/>
        </w:rPr>
        <w:t>.</w:t>
      </w:r>
    </w:p>
    <w:p w14:paraId="6FE9D38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الثالث: المساءلة والشفافية</w:t>
      </w:r>
      <w:r w:rsidRPr="005D59A7">
        <w:rPr>
          <w:rFonts w:ascii="T" w:eastAsia="Calibri" w:hAnsi="T" w:cs="Simplified Arabic"/>
          <w:sz w:val="24"/>
          <w:szCs w:val="24"/>
        </w:rPr>
        <w:t xml:space="preserve"> (Accountability &amp; Transparency): </w:t>
      </w:r>
      <w:r w:rsidRPr="005D59A7">
        <w:rPr>
          <w:rFonts w:ascii="T" w:eastAsia="Calibri" w:hAnsi="T" w:cs="Simplified Arabic"/>
          <w:sz w:val="24"/>
          <w:szCs w:val="24"/>
          <w:rtl/>
        </w:rPr>
        <w:t>وضع آليات واضحة لمساءلة جميع الأطراف (الجهة الحكومية والقطاع الخاص)، وضمان شفافية العمليات، وإتاحة المعلومات للمواطنين والمستثمرين، مع الحفاظ على سرية المعلومات الحساسة</w:t>
      </w:r>
      <w:r w:rsidRPr="005D59A7">
        <w:rPr>
          <w:rFonts w:ascii="T" w:eastAsia="Calibri" w:hAnsi="T" w:cs="Simplified Arabic"/>
          <w:sz w:val="24"/>
          <w:szCs w:val="24"/>
        </w:rPr>
        <w:t>.</w:t>
      </w:r>
    </w:p>
    <w:p w14:paraId="66086DA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كما أن الأدبيات تفتقر إلى نماذج لدمج أدوات متقدمة مثل</w:t>
      </w:r>
      <w:r w:rsidRPr="005D59A7">
        <w:rPr>
          <w:rFonts w:ascii="T" w:eastAsia="Calibri" w:hAnsi="T" w:cs="Simplified Arabic"/>
          <w:sz w:val="24"/>
          <w:szCs w:val="24"/>
        </w:rPr>
        <w:t>:</w:t>
      </w:r>
    </w:p>
    <w:p w14:paraId="2C001F4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التعاقد القائم على الأداء</w:t>
      </w:r>
      <w:r w:rsidRPr="005D59A7">
        <w:rPr>
          <w:rFonts w:ascii="T" w:eastAsia="Calibri" w:hAnsi="T" w:cs="Simplified Arabic"/>
          <w:sz w:val="24"/>
          <w:szCs w:val="24"/>
        </w:rPr>
        <w:t xml:space="preserve"> (Performance-Based Contracting): </w:t>
      </w:r>
      <w:r w:rsidRPr="005D59A7">
        <w:rPr>
          <w:rFonts w:ascii="T" w:eastAsia="Calibri" w:hAnsi="T" w:cs="Simplified Arabic"/>
          <w:sz w:val="24"/>
          <w:szCs w:val="24"/>
          <w:rtl/>
        </w:rPr>
        <w:t>ربط تعويض القطاع الخاص بتحقيق مؤشرات أداء محددة وقابلة للقياس (مثل نسبة تغطية المنشآت، دقة الرصد، سرعة معالجة المخالفات، تقليل نسبة المخالفات المرفوضة)</w:t>
      </w:r>
      <w:r w:rsidRPr="005D59A7">
        <w:rPr>
          <w:rFonts w:ascii="T" w:eastAsia="Calibri" w:hAnsi="T" w:cs="Simplified Arabic"/>
          <w:sz w:val="24"/>
          <w:szCs w:val="24"/>
        </w:rPr>
        <w:t>.</w:t>
      </w:r>
    </w:p>
    <w:p w14:paraId="5ADF8FB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الدفع مقابل النتائج</w:t>
      </w:r>
      <w:r w:rsidRPr="005D59A7">
        <w:rPr>
          <w:rFonts w:ascii="T" w:eastAsia="Calibri" w:hAnsi="T" w:cs="Simplified Arabic"/>
          <w:sz w:val="24"/>
          <w:szCs w:val="24"/>
        </w:rPr>
        <w:t xml:space="preserve"> (Payment by Results): </w:t>
      </w:r>
      <w:r w:rsidRPr="005D59A7">
        <w:rPr>
          <w:rFonts w:ascii="T" w:eastAsia="Calibri" w:hAnsi="T" w:cs="Simplified Arabic"/>
          <w:sz w:val="24"/>
          <w:szCs w:val="24"/>
          <w:rtl/>
        </w:rPr>
        <w:t>حيث يتم الدفع للقطاع الخاص بناءً على النتائج البيئية المحققة (انخفاض المخالفات المتكررة، تحسن مؤشرات جودة البيئة، زيادة معدلات الامتثال) وليس فقط على توفير المدخلات</w:t>
      </w:r>
      <w:r w:rsidRPr="005D59A7">
        <w:rPr>
          <w:rFonts w:ascii="T" w:eastAsia="Calibri" w:hAnsi="T" w:cs="Simplified Arabic"/>
          <w:sz w:val="24"/>
          <w:szCs w:val="24"/>
        </w:rPr>
        <w:t>.</w:t>
      </w:r>
    </w:p>
    <w:p w14:paraId="35C41AF0" w14:textId="6DE245E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استخدام التكنولوجيا في التفتيش</w:t>
      </w:r>
      <w:r w:rsidRPr="005D59A7">
        <w:rPr>
          <w:rFonts w:ascii="T" w:eastAsia="Calibri" w:hAnsi="T" w:cs="Simplified Arabic"/>
          <w:sz w:val="24"/>
          <w:szCs w:val="24"/>
        </w:rPr>
        <w:t xml:space="preserve">: </w:t>
      </w:r>
      <w:r w:rsidRPr="005D59A7">
        <w:rPr>
          <w:rFonts w:ascii="T" w:eastAsia="Calibri" w:hAnsi="T" w:cs="Simplified Arabic"/>
          <w:sz w:val="24"/>
          <w:szCs w:val="24"/>
          <w:rtl/>
        </w:rPr>
        <w:t>توظيف الذكاء الاصطناعي، وتحليل البيانات الضخمة</w:t>
      </w:r>
      <w:r w:rsidRPr="005D59A7">
        <w:rPr>
          <w:rFonts w:ascii="T" w:eastAsia="Calibri" w:hAnsi="T" w:cs="Simplified Arabic"/>
          <w:sz w:val="24"/>
          <w:szCs w:val="24"/>
        </w:rPr>
        <w:t xml:space="preserve"> (Big Data)</w:t>
      </w:r>
      <w:r w:rsidRPr="005D59A7">
        <w:rPr>
          <w:rFonts w:ascii="T" w:eastAsia="Calibri" w:hAnsi="T" w:cs="Simplified Arabic"/>
          <w:sz w:val="24"/>
          <w:szCs w:val="24"/>
          <w:rtl/>
        </w:rPr>
        <w:t>، وإنترنت الأشياء</w:t>
      </w:r>
      <w:r w:rsidRPr="005D59A7">
        <w:rPr>
          <w:rFonts w:ascii="T" w:eastAsia="Calibri" w:hAnsi="T" w:cs="Simplified Arabic"/>
          <w:sz w:val="24"/>
          <w:szCs w:val="24"/>
        </w:rPr>
        <w:t xml:space="preserve"> (IoT)</w:t>
      </w:r>
      <w:r w:rsidRPr="005D59A7">
        <w:rPr>
          <w:rFonts w:ascii="T" w:eastAsia="Calibri" w:hAnsi="T" w:cs="Simplified Arabic"/>
          <w:sz w:val="24"/>
          <w:szCs w:val="24"/>
          <w:rtl/>
        </w:rPr>
        <w:t>، والطائرات بدون طيار</w:t>
      </w:r>
      <w:r w:rsidRPr="005D59A7">
        <w:rPr>
          <w:rFonts w:ascii="T" w:eastAsia="Calibri" w:hAnsi="T" w:cs="Simplified Arabic"/>
          <w:sz w:val="24"/>
          <w:szCs w:val="24"/>
        </w:rPr>
        <w:t xml:space="preserve"> (Drones)</w:t>
      </w:r>
      <w:r w:rsidRPr="005D59A7">
        <w:rPr>
          <w:rFonts w:ascii="T" w:eastAsia="Calibri" w:hAnsi="T" w:cs="Simplified Arabic"/>
          <w:sz w:val="24"/>
          <w:szCs w:val="24"/>
          <w:rtl/>
        </w:rPr>
        <w:t>، والتطبيقات الذكية في عمليات التفتيش لتحسين الكفاءة والدقة</w:t>
      </w:r>
      <w:r w:rsidRPr="005D59A7">
        <w:rPr>
          <w:rFonts w:ascii="T" w:eastAsia="Calibri" w:hAnsi="T" w:cs="Simplified Arabic"/>
          <w:sz w:val="24"/>
          <w:szCs w:val="24"/>
        </w:rPr>
        <w:t>.</w:t>
      </w:r>
    </w:p>
    <w:p w14:paraId="1B905C88" w14:textId="71EA78D9"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نماذج تسعير الخدمات الرقابية</w:t>
      </w:r>
      <w:r w:rsidRPr="005D59A7">
        <w:rPr>
          <w:rFonts w:ascii="T" w:eastAsia="Calibri" w:hAnsi="T" w:cs="Simplified Arabic"/>
          <w:sz w:val="24"/>
          <w:szCs w:val="24"/>
        </w:rPr>
        <w:t xml:space="preserve">: </w:t>
      </w:r>
      <w:r w:rsidRPr="005D59A7">
        <w:rPr>
          <w:rFonts w:ascii="T" w:eastAsia="Calibri" w:hAnsi="T" w:cs="Simplified Arabic"/>
          <w:sz w:val="24"/>
          <w:szCs w:val="24"/>
          <w:rtl/>
        </w:rPr>
        <w:t>تطوير آليات لتسعير الخدمات الرقابية بما يضمن استدامة التمويل دون تحميل المنشآت أعباء غير عادلة، مع مراعاة القدرة على الدفع وحجم المنشأة ومستوى المخاطر</w:t>
      </w:r>
      <w:r w:rsidRPr="005D59A7">
        <w:rPr>
          <w:rFonts w:ascii="T" w:eastAsia="Calibri" w:hAnsi="T" w:cs="Simplified Arabic"/>
          <w:sz w:val="24"/>
          <w:szCs w:val="24"/>
        </w:rPr>
        <w:t>.</w:t>
      </w:r>
    </w:p>
    <w:p w14:paraId="4B2B1039" w14:textId="1570D3B7" w:rsidR="00E9655D" w:rsidRPr="005D59A7" w:rsidRDefault="00E9655D"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تقييد نقل التجارب الدولية</w:t>
      </w:r>
      <w:r w:rsidRPr="005D59A7">
        <w:rPr>
          <w:rFonts w:ascii="T" w:eastAsia="Calibri" w:hAnsi="T" w:cs="Simplified Arabic"/>
          <w:sz w:val="24"/>
          <w:szCs w:val="24"/>
        </w:rPr>
        <w:t>: </w:t>
      </w:r>
      <w:r w:rsidRPr="005D59A7">
        <w:rPr>
          <w:rFonts w:ascii="T" w:eastAsia="Calibri" w:hAnsi="T" w:cs="Simplified Arabic"/>
          <w:sz w:val="24"/>
          <w:szCs w:val="24"/>
          <w:rtl/>
        </w:rPr>
        <w:t>عند النظر في الاستفادة من تجارب دول مثل المملكة المتحدة واسكتلندا في مجال الشراكات البيئية، تجدر الإشارة إلى أن الاختلافات في السياق المؤسسي والقانوني والاقتصادي بين هذه الدول والمملكة العربية السعودية تحد من قابلية النقل المباشر للنماذج. فاختلاف أنظمة العقود، ومستويات الشفافية، واستقلالية الهيئات التنظيمية، وهيكل سوق العمل، كلها عوامل تتطلب مواءمة مؤسسية دقيقة قبل تبني أي عناصر من تلك التجارب. كما أن تجارب تلك الدول قد تكون مرتبطة بسياقات قانونية وتاريخية مختلفة، مما يستدعي دراسة متأنية لمدى ملاءمتها للبيئة السعودية قبل اقتراح أي نموذج</w:t>
      </w:r>
      <w:r w:rsidRPr="005D59A7">
        <w:rPr>
          <w:rFonts w:ascii="T" w:eastAsia="Calibri" w:hAnsi="T" w:cs="Simplified Arabic"/>
          <w:sz w:val="24"/>
          <w:szCs w:val="24"/>
        </w:rPr>
        <w:t>.</w:t>
      </w:r>
    </w:p>
    <w:p w14:paraId="3F23C519"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بالإضافة إلى ذلك، لا توجد دراسات كافية تعالج كيفية</w:t>
      </w:r>
      <w:r w:rsidRPr="005D59A7">
        <w:rPr>
          <w:rFonts w:ascii="T" w:eastAsia="Calibri" w:hAnsi="T" w:cs="Simplified Arabic"/>
          <w:sz w:val="24"/>
          <w:szCs w:val="24"/>
        </w:rPr>
        <w:t>:</w:t>
      </w:r>
    </w:p>
    <w:p w14:paraId="5AA7B2ED" w14:textId="271CC6A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w:t>
      </w:r>
      <w:r w:rsidRPr="005D59A7">
        <w:rPr>
          <w:rFonts w:ascii="T" w:eastAsia="Calibri" w:hAnsi="T" w:cs="Simplified Arabic"/>
          <w:sz w:val="24"/>
          <w:szCs w:val="24"/>
          <w:rtl/>
        </w:rPr>
        <w:t>يمكن استخدامها كأساس للتعاقد مع القطاع الخاص، وتكون مرتبطة بالأثر البيئي الفعلي وليس فقط بمخرجات العملية</w:t>
      </w:r>
      <w:r w:rsidRPr="005D59A7">
        <w:rPr>
          <w:rFonts w:ascii="T" w:eastAsia="Calibri" w:hAnsi="T" w:cs="Simplified Arabic"/>
          <w:sz w:val="24"/>
          <w:szCs w:val="24"/>
        </w:rPr>
        <w:t>.</w:t>
      </w:r>
    </w:p>
    <w:p w14:paraId="75997D5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المسؤوليات بين الجهات المنظمة والمنفذة دون الإخلال بالسيادة التنظيمية، مع وضع آليات واضحة للرقابة والإشراف</w:t>
      </w:r>
      <w:r w:rsidRPr="005D59A7">
        <w:rPr>
          <w:rFonts w:ascii="T" w:eastAsia="Calibri" w:hAnsi="T" w:cs="Simplified Arabic"/>
          <w:sz w:val="24"/>
          <w:szCs w:val="24"/>
        </w:rPr>
        <w:t>.</w:t>
      </w:r>
    </w:p>
    <w:p w14:paraId="4DB766A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الشراكة لضمان استمرارية الخدمة في ظل تغير اللوائح البيئية أو الظروف الاقتصادية، مع مراعاة المرونة اللازمة للتكيف</w:t>
      </w:r>
      <w:r w:rsidRPr="005D59A7">
        <w:rPr>
          <w:rFonts w:ascii="T" w:eastAsia="Calibri" w:hAnsi="T" w:cs="Simplified Arabic"/>
          <w:sz w:val="24"/>
          <w:szCs w:val="24"/>
        </w:rPr>
        <w:t>.</w:t>
      </w:r>
    </w:p>
    <w:p w14:paraId="100771C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تقييم المخاطر المرتبطة بإشراك القطاع الخاص في الخدمات الرقابية (مخاطر السمعة، مخاطر التواطؤ، مخاطر الأمن المعلوماتي، مخاطر تضارب المصالح)</w:t>
      </w:r>
      <w:r w:rsidRPr="005D59A7">
        <w:rPr>
          <w:rFonts w:ascii="T" w:eastAsia="Calibri" w:hAnsi="T" w:cs="Simplified Arabic"/>
          <w:sz w:val="24"/>
          <w:szCs w:val="24"/>
        </w:rPr>
        <w:t>.</w:t>
      </w:r>
    </w:p>
    <w:p w14:paraId="58D444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أنظمة حوافز فعالة تجذب الكفاءات الفنية والقانونية للعمل في مجال التفتيش البيئي من خلال القطاع الخاص، مع ضمان جودة الأداء واستمراريته</w:t>
      </w:r>
      <w:r w:rsidRPr="005D59A7">
        <w:rPr>
          <w:rFonts w:ascii="T" w:eastAsia="Calibri" w:hAnsi="T" w:cs="Simplified Arabic"/>
          <w:sz w:val="24"/>
          <w:szCs w:val="24"/>
        </w:rPr>
        <w:t>.</w:t>
      </w:r>
    </w:p>
    <w:p w14:paraId="010A6FBE" w14:textId="2931E458"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الأبعاد الاستراتيجية والتنموية للمشكلة</w:t>
      </w:r>
    </w:p>
    <w:p w14:paraId="086D884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لا تقتصر تداعيات القصور في التفتيش البيئي على الجانب التشغيلي، بل تمتد إلى أبعاد أوسع تشمل</w:t>
      </w:r>
      <w:r w:rsidRPr="005D59A7">
        <w:rPr>
          <w:rFonts w:ascii="T" w:eastAsia="Calibri" w:hAnsi="T" w:cs="Simplified Arabic"/>
          <w:sz w:val="24"/>
          <w:szCs w:val="24"/>
        </w:rPr>
        <w:t>:</w:t>
      </w:r>
    </w:p>
    <w:p w14:paraId="519D99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الاقتصادي: يؤدي ضعف الرقابة البيئية إلى زيادة تكلفة التدهور البيئي، والتي قدرت سابقًا بنحو 3.1% من الناتج المحلي الإجمالي (86 مليار ريال سعودي)، كما تؤثر على كفاءة استخدام الموارد العامة وتزيد من الأعباء المالية على الدولة. كما أن عدم كفاءة التفتيش قد يؤدي إلى زيادة المخالفات البيئية المتكررة، مما يزيد من تكاليف المعالجة والعلاج</w:t>
      </w:r>
      <w:r w:rsidRPr="005D59A7">
        <w:rPr>
          <w:rFonts w:ascii="T" w:eastAsia="Calibri" w:hAnsi="T" w:cs="Simplified Arabic"/>
          <w:sz w:val="24"/>
          <w:szCs w:val="24"/>
        </w:rPr>
        <w:t>.</w:t>
      </w:r>
    </w:p>
    <w:p w14:paraId="66C2428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الصحي: من خلال زيادة معدلات التلوث البيئي وتأثيرها المباشر على الأمراض المزمنة والجهاز التنفسي، مما يؤثر على جودة الحياة ومتوسط العمر المتوقع. وقد حددت رؤية 2030 هدفًا لرفع متوسط العمر المتوقع من 74 إلى 80 عامًا، وهو هدف يرتبط بشكل مباشر بجودة البيئة ومستوى التلوث</w:t>
      </w:r>
      <w:r w:rsidRPr="005D59A7">
        <w:rPr>
          <w:rFonts w:ascii="T" w:eastAsia="Calibri" w:hAnsi="T" w:cs="Simplified Arabic"/>
          <w:sz w:val="24"/>
          <w:szCs w:val="24"/>
        </w:rPr>
        <w:t>.</w:t>
      </w:r>
    </w:p>
    <w:p w14:paraId="2F2F991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الاستثماري: تتطلب بيئة الأعمال الحديثة إطارًا تنظيميًا فعالًا وواضحًا، حيث يعتبر المستثمرون المحليون والدوليون وجود نظام رقابي قوي مؤشرًا على استقرار واستدامة بيئة الاستثمار. كما أن الشفافية والالتزام البيئي يعززان سمعة المملكة كوجهة استثمارية جاذبة</w:t>
      </w:r>
      <w:r w:rsidRPr="005D59A7">
        <w:rPr>
          <w:rFonts w:ascii="T" w:eastAsia="Calibri" w:hAnsi="T" w:cs="Simplified Arabic"/>
          <w:sz w:val="24"/>
          <w:szCs w:val="24"/>
        </w:rPr>
        <w:t>.</w:t>
      </w:r>
    </w:p>
    <w:p w14:paraId="0595537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المؤسسي: يعكس أداء التفتيش البيئي نضج المنظومة المؤسسية وقدرتها على تنفيذ السياسات وتحقيق الأهداف الاستراتيجية. كما أن نجاح نماذج الشراكة في هذا القطاع يمكن أن يكون نموذجًا يُحتذى به في خدمات حكومية أخرى</w:t>
      </w:r>
      <w:r w:rsidRPr="005D59A7">
        <w:rPr>
          <w:rFonts w:ascii="T" w:eastAsia="Calibri" w:hAnsi="T" w:cs="Simplified Arabic"/>
          <w:sz w:val="24"/>
          <w:szCs w:val="24"/>
        </w:rPr>
        <w:t>.</w:t>
      </w:r>
    </w:p>
    <w:p w14:paraId="6146647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البيئي: يمثل التفتيش البيئي الأداة التنفيذية المباشرة لتحقيق مستهدفات الإستراتيجية الوطنية للبيئة، خاصة الهدف الاستراتيجي 2.4.1 "الحد من التلوث بمختلف أنواعه" ضمن برنامج التحول الوطني. كما أنه يساهم في تحقيق أهداف المبادرة السعودية الخضراء</w:t>
      </w:r>
      <w:r w:rsidRPr="005D59A7">
        <w:rPr>
          <w:rFonts w:ascii="T" w:eastAsia="Calibri" w:hAnsi="T" w:cs="Simplified Arabic"/>
          <w:sz w:val="24"/>
          <w:szCs w:val="24"/>
        </w:rPr>
        <w:t xml:space="preserve"> (SGI) </w:t>
      </w:r>
      <w:r w:rsidRPr="005D59A7">
        <w:rPr>
          <w:rFonts w:ascii="T" w:eastAsia="Calibri" w:hAnsi="T" w:cs="Simplified Arabic"/>
          <w:sz w:val="24"/>
          <w:szCs w:val="24"/>
          <w:rtl/>
        </w:rPr>
        <w:t>التي تهدف إلى خفض الانبعاثات وزيادة الغطاء النباتي وحماية الحياة الفطرية</w:t>
      </w:r>
      <w:r w:rsidRPr="005D59A7">
        <w:rPr>
          <w:rFonts w:ascii="T" w:eastAsia="Calibri" w:hAnsi="T" w:cs="Simplified Arabic"/>
          <w:sz w:val="24"/>
          <w:szCs w:val="24"/>
        </w:rPr>
        <w:t>.</w:t>
      </w:r>
    </w:p>
    <w:p w14:paraId="12852178" w14:textId="51724E4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وبالتالي، فإن تحسين نظام التفتيش البيئي ليس مجرد إصلاح إداري، بل يمثل رافعة استراتيجية متعددة الأثر</w:t>
      </w:r>
      <w:r w:rsidRPr="005D59A7">
        <w:rPr>
          <w:rFonts w:ascii="T" w:eastAsia="Calibri" w:hAnsi="T" w:cs="Simplified Arabic"/>
          <w:sz w:val="24"/>
          <w:szCs w:val="24"/>
        </w:rPr>
        <w:t xml:space="preserve"> </w:t>
      </w:r>
      <w:r w:rsidRPr="005D59A7">
        <w:rPr>
          <w:rFonts w:ascii="T" w:eastAsia="Calibri" w:hAnsi="T" w:cs="Simplified Arabic"/>
          <w:sz w:val="24"/>
          <w:szCs w:val="24"/>
          <w:rtl/>
        </w:rPr>
        <w:t>تسهم في تحقيق أهداف متقاطعة بين الأبعاد الاقتصادية والاجتماعية والبيئية والمؤسسية</w:t>
      </w:r>
      <w:r w:rsidRPr="005D59A7">
        <w:rPr>
          <w:rFonts w:ascii="T" w:eastAsia="Calibri" w:hAnsi="T" w:cs="Simplified Arabic"/>
          <w:sz w:val="24"/>
          <w:szCs w:val="24"/>
        </w:rPr>
        <w:t>.</w:t>
      </w:r>
    </w:p>
    <w:p w14:paraId="3FE50394" w14:textId="16668EB1"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في ضوء التحليل السابق، يمكن صياغة مشكلة الدراسة كما يلي</w:t>
      </w:r>
      <w:r w:rsidRPr="005D59A7">
        <w:rPr>
          <w:rFonts w:ascii="T" w:eastAsia="Calibri" w:hAnsi="T" w:cs="Simplified Arabic"/>
          <w:sz w:val="24"/>
          <w:szCs w:val="24"/>
        </w:rPr>
        <w:t>:</w:t>
      </w:r>
    </w:p>
    <w:p w14:paraId="22B4CB9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تتمثل مشكلة الدراسة في وجود اختلال هيكلي متعدد الأبعاد في نظام التفتيش البيئي في المملكة العربية السعودية، يتجلى في</w:t>
      </w:r>
      <w:r w:rsidRPr="005D59A7">
        <w:rPr>
          <w:rFonts w:ascii="T" w:eastAsia="Calibri" w:hAnsi="T" w:cs="Simplified Arabic"/>
          <w:sz w:val="24"/>
          <w:szCs w:val="24"/>
        </w:rPr>
        <w:t>:</w:t>
      </w:r>
    </w:p>
    <w:p w14:paraId="65B4E47A"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أولاً: فجوة بين التوسع الكمي ومحدودية الكفاءة النوعية: حيث تحقق زيادة ملحوظة في عدد المفتشين (277%) والزيارات (470%) والمنشآت المغطاة (287%)، لكنها لم تصاحبها زيادة مماثلة في جودة المخرجات (تراجع المخالفات لكل زيارة بنسبة 67%) ودقتها (ارتفاع نسبة المخالفات المرفوضة إلى 45%)</w:t>
      </w:r>
      <w:r w:rsidRPr="005D59A7">
        <w:rPr>
          <w:rFonts w:ascii="T" w:eastAsia="Calibri" w:hAnsi="T" w:cs="Simplified Arabic"/>
          <w:sz w:val="24"/>
          <w:szCs w:val="24"/>
        </w:rPr>
        <w:t>.</w:t>
      </w:r>
    </w:p>
    <w:p w14:paraId="1C6F5F0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ثانيًا: قصور في التصميم التشغيلي والمالي لنموذج تقديم الخدمة: يعتمد النموذج الحالي على التوريد التقليدي</w:t>
      </w:r>
      <w:r w:rsidRPr="005D59A7">
        <w:rPr>
          <w:rFonts w:ascii="T" w:eastAsia="Calibri" w:hAnsi="T" w:cs="Simplified Arabic"/>
          <w:sz w:val="24"/>
          <w:szCs w:val="24"/>
        </w:rPr>
        <w:t xml:space="preserve"> (Input-Based) </w:t>
      </w:r>
      <w:r w:rsidRPr="005D59A7">
        <w:rPr>
          <w:rFonts w:ascii="T" w:eastAsia="Calibri" w:hAnsi="T" w:cs="Simplified Arabic"/>
          <w:sz w:val="24"/>
          <w:szCs w:val="24"/>
          <w:rtl/>
        </w:rPr>
        <w:t>بدلاً من التعاقد القائم على الأداء</w:t>
      </w:r>
      <w:r w:rsidRPr="005D59A7">
        <w:rPr>
          <w:rFonts w:ascii="T" w:eastAsia="Calibri" w:hAnsi="T" w:cs="Simplified Arabic"/>
          <w:sz w:val="24"/>
          <w:szCs w:val="24"/>
        </w:rPr>
        <w:t xml:space="preserve"> (Performance-Based)</w:t>
      </w:r>
      <w:r w:rsidRPr="005D59A7">
        <w:rPr>
          <w:rFonts w:ascii="T" w:eastAsia="Calibri" w:hAnsi="T" w:cs="Simplified Arabic"/>
          <w:sz w:val="24"/>
          <w:szCs w:val="24"/>
          <w:rtl/>
        </w:rPr>
        <w:t xml:space="preserve">، مما أدى إلى عجز </w:t>
      </w:r>
      <w:r w:rsidRPr="005D59A7">
        <w:rPr>
          <w:rFonts w:ascii="T" w:eastAsia="Calibri" w:hAnsi="T" w:cs="Simplified Arabic"/>
          <w:sz w:val="24"/>
          <w:szCs w:val="24"/>
          <w:rtl/>
        </w:rPr>
        <w:lastRenderedPageBreak/>
        <w:t>مالي مستدام (41 مليون ريال خلال 3 سنوات)، وضعف في هيكل الحوافز (رواتب المفتشين 5,000 ريال)، وعدم قدرة الخدمة على تحقيق استدامة مالية، إضافة إلى غياب آليات تقاسم المخاطر</w:t>
      </w:r>
      <w:r w:rsidRPr="005D59A7">
        <w:rPr>
          <w:rFonts w:ascii="T" w:eastAsia="Calibri" w:hAnsi="T" w:cs="Simplified Arabic"/>
          <w:sz w:val="24"/>
          <w:szCs w:val="24"/>
        </w:rPr>
        <w:t>.</w:t>
      </w:r>
    </w:p>
    <w:p w14:paraId="6A17C6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ثالثًا: ضعف في حوكمة البيانات وإدارة المعلومات: ارتفاع نسبة المخالفات المرفوضة (45%) يعكس ضعفًا في دقة الرصد، وسلامة الإجراءات النظامية، واستخدام التقنيات الحديثة في التفتيش، إضافة إلى غياب أنظمة متكاملة لتتبع الأداء</w:t>
      </w:r>
      <w:r w:rsidRPr="005D59A7">
        <w:rPr>
          <w:rFonts w:ascii="T" w:eastAsia="Calibri" w:hAnsi="T" w:cs="Simplified Arabic"/>
          <w:sz w:val="24"/>
          <w:szCs w:val="24"/>
        </w:rPr>
        <w:t>.</w:t>
      </w:r>
    </w:p>
    <w:p w14:paraId="6872E7F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رابعًا: عدم كفاءة في تخصيص الموارد ومواءمتها مع الاحتياج: عدم مواكبة زيادة عدد المفتشين (16%) لزيادة عدد المنشآت (29%)، مما أدى إلى تذبذب عبء العمل وعدم استقرار الأداء، وزيادة الضغط على المفتشين</w:t>
      </w:r>
      <w:r w:rsidRPr="005D59A7">
        <w:rPr>
          <w:rFonts w:ascii="T" w:eastAsia="Calibri" w:hAnsi="T" w:cs="Simplified Arabic"/>
          <w:sz w:val="24"/>
          <w:szCs w:val="24"/>
        </w:rPr>
        <w:t>.</w:t>
      </w:r>
    </w:p>
    <w:p w14:paraId="199E4C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خامسًا: غياب التكامل المؤسسي: عمل الجهات المعنية بشكل منفصل دون أنظمة تكامل فعالة، مما يؤدي إلى ازدواجية الجهود أو فجوات في التغطية، وعدم تبادل المعلومات بشكل فعال</w:t>
      </w:r>
      <w:r w:rsidRPr="005D59A7">
        <w:rPr>
          <w:rFonts w:ascii="T" w:eastAsia="Calibri" w:hAnsi="T" w:cs="Simplified Arabic"/>
          <w:sz w:val="24"/>
          <w:szCs w:val="24"/>
        </w:rPr>
        <w:t>.</w:t>
      </w:r>
    </w:p>
    <w:p w14:paraId="79FC115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سادسًا: غياب نماذج تطبيقية متقدمة في الأدبيات لهيكلة الشراكات بين القطاعين العام والخاص في الخدمات الرقابية البيئية عالية الحساسية، بما يشمل</w:t>
      </w:r>
      <w:r w:rsidRPr="005D59A7">
        <w:rPr>
          <w:rFonts w:ascii="T" w:eastAsia="Calibri" w:hAnsi="T" w:cs="Simplified Arabic"/>
          <w:sz w:val="24"/>
          <w:szCs w:val="24"/>
        </w:rPr>
        <w:t>:</w:t>
      </w:r>
    </w:p>
    <w:p w14:paraId="48743D8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(Measurable Environmental KPIs).</w:t>
      </w:r>
    </w:p>
    <w:p w14:paraId="32F470AD"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المخاطر بين القطاعين العام والخاص</w:t>
      </w:r>
      <w:r w:rsidRPr="005D59A7">
        <w:rPr>
          <w:rFonts w:ascii="T" w:eastAsia="Calibri" w:hAnsi="T" w:cs="Simplified Arabic"/>
          <w:sz w:val="24"/>
          <w:szCs w:val="24"/>
        </w:rPr>
        <w:t xml:space="preserve"> (Risk Allocation).</w:t>
      </w:r>
    </w:p>
    <w:p w14:paraId="3F20D36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ضمان الحياد التنظيمي والشفافية والمساءلة</w:t>
      </w:r>
      <w:r w:rsidRPr="005D59A7">
        <w:rPr>
          <w:rFonts w:ascii="T" w:eastAsia="Calibri" w:hAnsi="T" w:cs="Simplified Arabic"/>
          <w:sz w:val="24"/>
          <w:szCs w:val="24"/>
        </w:rPr>
        <w:t xml:space="preserve"> (Regulatory Neutrality, Transparency &amp; Accountability).</w:t>
      </w:r>
    </w:p>
    <w:p w14:paraId="0D4544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تطوير نماذج استرداد التكاليف</w:t>
      </w:r>
      <w:r w:rsidRPr="005D59A7">
        <w:rPr>
          <w:rFonts w:ascii="T" w:eastAsia="Calibri" w:hAnsi="T" w:cs="Simplified Arabic"/>
          <w:sz w:val="24"/>
          <w:szCs w:val="24"/>
        </w:rPr>
        <w:t xml:space="preserve"> (Cost Recovery Models).</w:t>
      </w:r>
    </w:p>
    <w:p w14:paraId="2403B0D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توظيف التقنيات الحديثة</w:t>
      </w:r>
      <w:r w:rsidRPr="005D59A7">
        <w:rPr>
          <w:rFonts w:ascii="T" w:eastAsia="Calibri" w:hAnsi="T" w:cs="Simplified Arabic"/>
          <w:sz w:val="24"/>
          <w:szCs w:val="24"/>
        </w:rPr>
        <w:t xml:space="preserve"> (</w:t>
      </w:r>
      <w:proofErr w:type="spellStart"/>
      <w:r w:rsidRPr="005D59A7">
        <w:rPr>
          <w:rFonts w:ascii="T" w:eastAsia="Calibri" w:hAnsi="T" w:cs="Simplified Arabic"/>
          <w:sz w:val="24"/>
          <w:szCs w:val="24"/>
        </w:rPr>
        <w:t>RegTech</w:t>
      </w:r>
      <w:proofErr w:type="spellEnd"/>
      <w:r w:rsidRPr="005D59A7">
        <w:rPr>
          <w:rFonts w:ascii="T" w:eastAsia="Calibri" w:hAnsi="T" w:cs="Simplified Arabic"/>
          <w:sz w:val="24"/>
          <w:szCs w:val="24"/>
        </w:rPr>
        <w:t xml:space="preserve"> &amp; </w:t>
      </w:r>
      <w:proofErr w:type="spellStart"/>
      <w:r w:rsidRPr="005D59A7">
        <w:rPr>
          <w:rFonts w:ascii="T" w:eastAsia="Calibri" w:hAnsi="T" w:cs="Simplified Arabic"/>
          <w:sz w:val="24"/>
          <w:szCs w:val="24"/>
        </w:rPr>
        <w:t>GovTech</w:t>
      </w:r>
      <w:proofErr w:type="spellEnd"/>
      <w:r w:rsidRPr="005D59A7">
        <w:rPr>
          <w:rFonts w:ascii="T" w:eastAsia="Calibri" w:hAnsi="T" w:cs="Simplified Arabic"/>
          <w:sz w:val="24"/>
          <w:szCs w:val="24"/>
        </w:rPr>
        <w:t xml:space="preserve">) </w:t>
      </w:r>
      <w:r w:rsidRPr="005D59A7">
        <w:rPr>
          <w:rFonts w:ascii="T" w:eastAsia="Calibri" w:hAnsi="T" w:cs="Simplified Arabic"/>
          <w:sz w:val="24"/>
          <w:szCs w:val="24"/>
          <w:rtl/>
        </w:rPr>
        <w:t>في عمليات التفتيش</w:t>
      </w:r>
      <w:r w:rsidRPr="005D59A7">
        <w:rPr>
          <w:rFonts w:ascii="T" w:eastAsia="Calibri" w:hAnsi="T" w:cs="Simplified Arabic"/>
          <w:sz w:val="24"/>
          <w:szCs w:val="24"/>
        </w:rPr>
        <w:t>.</w:t>
      </w:r>
    </w:p>
    <w:p w14:paraId="15B31E26"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قائمة على الأداء والنتائج</w:t>
      </w:r>
      <w:r w:rsidRPr="005D59A7">
        <w:rPr>
          <w:rFonts w:ascii="T" w:eastAsia="Calibri" w:hAnsi="T" w:cs="Simplified Arabic"/>
          <w:sz w:val="24"/>
          <w:szCs w:val="24"/>
        </w:rPr>
        <w:t xml:space="preserve"> (Performance-Based &amp; Results-Based Contracting).</w:t>
      </w:r>
    </w:p>
    <w:p w14:paraId="535388EC" w14:textId="77777777" w:rsidR="006E7C5B" w:rsidRPr="005D59A7" w:rsidRDefault="006E7C5B" w:rsidP="00DF52A6">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وعليه، تبرز الحاجة إلى تطوير نموذج تكاملي مبتكر قائم على الشراكات بين القطاعين العام والخاص يعيد هندسة منظومة التفتيش البيئي من منظور تشغيلي ومالي ومؤسسي، بما يحقق الكفاءة، ويعزز الامتثال البيئي، ويدعم مستهدفات الاستدامة ضمن رؤية السعودية 2030، مع الحفاظ على الحياد التنظيمي والشفافية والمساءلة</w:t>
      </w:r>
      <w:r w:rsidRPr="005D59A7">
        <w:rPr>
          <w:rFonts w:ascii="T" w:eastAsia="Calibri" w:hAnsi="T" w:cs="Simplified Arabic"/>
          <w:sz w:val="24"/>
          <w:szCs w:val="24"/>
        </w:rPr>
        <w:t>.</w:t>
      </w:r>
    </w:p>
    <w:p w14:paraId="548611FF" w14:textId="77777777" w:rsidR="00177E64" w:rsidRPr="00693289" w:rsidRDefault="00F873FA" w:rsidP="00DF52A6">
      <w:pPr>
        <w:pStyle w:val="Heading1"/>
        <w:bidi/>
        <w:rPr>
          <w:rFonts w:ascii="T" w:eastAsia="Times New Roman" w:hAnsi="T" w:cs="Simplified Arabic"/>
          <w:b/>
          <w:bCs/>
          <w:color w:val="auto"/>
          <w:sz w:val="24"/>
          <w:szCs w:val="24"/>
          <w:rtl/>
        </w:rPr>
      </w:pPr>
      <w:bookmarkStart w:id="7" w:name="_Toc233202783"/>
      <w:r w:rsidRPr="00693289">
        <w:rPr>
          <w:rFonts w:ascii="T" w:eastAsia="Times New Roman" w:hAnsi="T" w:cs="Simplified Arabic"/>
          <w:b/>
          <w:bCs/>
          <w:color w:val="auto"/>
          <w:sz w:val="24"/>
          <w:szCs w:val="24"/>
          <w:rtl/>
        </w:rPr>
        <w:t>تساؤلات الدراسة:</w:t>
      </w:r>
      <w:bookmarkEnd w:id="7"/>
    </w:p>
    <w:p w14:paraId="7D3A7CB2" w14:textId="77777777" w:rsidR="00D82B05" w:rsidRPr="00693289" w:rsidRDefault="00D82B05" w:rsidP="00DF52A6">
      <w:pPr>
        <w:bidi/>
        <w:ind w:left="84" w:firstLine="720"/>
        <w:jc w:val="both"/>
        <w:rPr>
          <w:rFonts w:ascii="T" w:hAnsi="T" w:cs="Simplified Arabic"/>
          <w:b/>
          <w:bCs/>
          <w:sz w:val="24"/>
          <w:szCs w:val="24"/>
          <w:shd w:val="clear" w:color="auto" w:fill="FFFFFF"/>
          <w:rtl/>
          <w:lang w:bidi="ar-EG"/>
        </w:rPr>
      </w:pPr>
      <w:r w:rsidRPr="00693289">
        <w:rPr>
          <w:rFonts w:ascii="T" w:hAnsi="T" w:cs="Simplified Arabic"/>
          <w:b/>
          <w:bCs/>
          <w:sz w:val="24"/>
          <w:szCs w:val="24"/>
          <w:shd w:val="clear" w:color="auto" w:fill="FFFFFF"/>
          <w:rtl/>
          <w:lang w:bidi="ar-EG"/>
        </w:rPr>
        <w:t>السؤال الرئيس</w:t>
      </w:r>
      <w:r w:rsidRPr="00693289">
        <w:rPr>
          <w:rFonts w:ascii="T" w:hAnsi="T" w:cs="Simplified Arabic"/>
          <w:b/>
          <w:bCs/>
          <w:sz w:val="24"/>
          <w:szCs w:val="24"/>
          <w:shd w:val="clear" w:color="auto" w:fill="FFFFFF"/>
          <w:lang w:bidi="ar-EG"/>
        </w:rPr>
        <w:t>:</w:t>
      </w:r>
    </w:p>
    <w:p w14:paraId="47CEB100" w14:textId="77777777" w:rsidR="00D82B05" w:rsidRPr="00693289" w:rsidRDefault="00D82B05" w:rsidP="00DF52A6">
      <w:pPr>
        <w:bidi/>
        <w:spacing w:line="360" w:lineRule="auto"/>
        <w:ind w:left="84" w:firstLine="72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مدى كفاءة وفعالية نموذج الحوكمة والتشغيل الحالي لخدمة التفتيش البيئي في المملكة العربية السعودية، كما تطبقه المركز الوطني للرقابة على الالتزام البيئي، وما مدى قدرة نموذج شراكة مقترح بين القطاعين العام والخاص</w:t>
      </w:r>
      <w:r w:rsidRPr="00693289">
        <w:rPr>
          <w:rFonts w:ascii="T" w:hAnsi="T" w:cs="Simplified Arabic"/>
          <w:sz w:val="24"/>
          <w:szCs w:val="24"/>
          <w:shd w:val="clear" w:color="auto" w:fill="FFFFFF"/>
          <w:lang w:bidi="ar-EG"/>
        </w:rPr>
        <w:t xml:space="preserve"> (PPP) </w:t>
      </w:r>
      <w:r w:rsidRPr="00693289">
        <w:rPr>
          <w:rFonts w:ascii="T" w:hAnsi="T" w:cs="Simplified Arabic"/>
          <w:sz w:val="24"/>
          <w:szCs w:val="24"/>
          <w:shd w:val="clear" w:color="auto" w:fill="FFFFFF"/>
          <w:rtl/>
          <w:lang w:bidi="ar-EG"/>
        </w:rPr>
        <w:t>على تحسين الكفاءة التشغيلية وجودة المخرجات وتحقيق الاستدامة المالية بما يتوافق مع مستهدفات رؤية السعودية 2030؟</w:t>
      </w:r>
    </w:p>
    <w:p w14:paraId="5E65EA66" w14:textId="77777777" w:rsidR="00D82B05" w:rsidRPr="00693289" w:rsidRDefault="00D82B05" w:rsidP="00DF52A6">
      <w:pPr>
        <w:bidi/>
        <w:spacing w:line="360" w:lineRule="auto"/>
        <w:ind w:left="84" w:firstLine="720"/>
        <w:jc w:val="both"/>
        <w:rPr>
          <w:rFonts w:ascii="T" w:hAnsi="T" w:cs="Simplified Arabic"/>
          <w:b/>
          <w:bCs/>
          <w:sz w:val="24"/>
          <w:szCs w:val="24"/>
          <w:shd w:val="clear" w:color="auto" w:fill="FFFFFF"/>
          <w:rtl/>
          <w:lang w:bidi="ar-EG"/>
        </w:rPr>
      </w:pPr>
      <w:r w:rsidRPr="00693289">
        <w:rPr>
          <w:rFonts w:ascii="T" w:hAnsi="T" w:cs="Simplified Arabic"/>
          <w:b/>
          <w:bCs/>
          <w:sz w:val="24"/>
          <w:szCs w:val="24"/>
          <w:shd w:val="clear" w:color="auto" w:fill="FFFFFF"/>
          <w:rtl/>
          <w:lang w:bidi="ar-EG"/>
        </w:rPr>
        <w:t>الأسئلة الفرعية</w:t>
      </w:r>
      <w:r w:rsidRPr="00693289">
        <w:rPr>
          <w:rFonts w:ascii="T" w:hAnsi="T" w:cs="Simplified Arabic"/>
          <w:b/>
          <w:bCs/>
          <w:sz w:val="24"/>
          <w:szCs w:val="24"/>
          <w:shd w:val="clear" w:color="auto" w:fill="FFFFFF"/>
          <w:lang w:bidi="ar-EG"/>
        </w:rPr>
        <w:t>:</w:t>
      </w:r>
    </w:p>
    <w:p w14:paraId="07B46018"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خصائص وأداء نموذج تقديم خدمة التفتيش البيئي الحالي من حيث الكفاءة التشغيلية، جودة المخرجات، مستوى التغطية، وآليات التوريد التقليدية؟</w:t>
      </w:r>
    </w:p>
    <w:p w14:paraId="32AD6D00"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إلى أي مدى يحقق النموذج الحالي كفاءة اقتصادية واستدامة مالية، وما فرص تحسين التكلفة والعائد (خصوصًا تكلفة الزيارة التفتيشية) في حال تطبيق نموذج شراكة مع القطاع الخاص؟</w:t>
      </w:r>
    </w:p>
    <w:p w14:paraId="7D6F56C0"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ما النماذج التعاقدية الأنسب</w:t>
      </w:r>
      <w:r w:rsidRPr="00693289">
        <w:rPr>
          <w:rFonts w:ascii="T" w:hAnsi="T" w:cs="Simplified Arabic"/>
          <w:sz w:val="24"/>
          <w:szCs w:val="24"/>
          <w:shd w:val="clear" w:color="auto" w:fill="FFFFFF"/>
          <w:lang w:bidi="ar-EG"/>
        </w:rPr>
        <w:t xml:space="preserve"> (</w:t>
      </w:r>
      <w:r w:rsidRPr="00693289">
        <w:rPr>
          <w:rFonts w:ascii="T" w:hAnsi="T" w:cs="Simplified Arabic"/>
          <w:sz w:val="24"/>
          <w:szCs w:val="24"/>
          <w:shd w:val="clear" w:color="auto" w:fill="FFFFFF"/>
          <w:rtl/>
          <w:lang w:bidi="ar-EG"/>
        </w:rPr>
        <w:t>مثل</w:t>
      </w:r>
      <w:r w:rsidRPr="00693289">
        <w:rPr>
          <w:rFonts w:ascii="T" w:hAnsi="T" w:cs="Simplified Arabic"/>
          <w:sz w:val="24"/>
          <w:szCs w:val="24"/>
          <w:shd w:val="clear" w:color="auto" w:fill="FFFFFF"/>
          <w:lang w:bidi="ar-EG"/>
        </w:rPr>
        <w:t xml:space="preserve"> DBO</w:t>
      </w:r>
      <w:r w:rsidRPr="00693289">
        <w:rPr>
          <w:rFonts w:ascii="T" w:hAnsi="T" w:cs="Simplified Arabic"/>
          <w:sz w:val="24"/>
          <w:szCs w:val="24"/>
          <w:shd w:val="clear" w:color="auto" w:fill="FFFFFF"/>
          <w:rtl/>
          <w:lang w:bidi="ar-EG"/>
        </w:rPr>
        <w:t xml:space="preserve">، </w:t>
      </w:r>
      <w:r w:rsidRPr="00693289">
        <w:rPr>
          <w:rFonts w:ascii="T" w:hAnsi="T" w:cs="Simplified Arabic"/>
          <w:sz w:val="24"/>
          <w:szCs w:val="24"/>
          <w:shd w:val="clear" w:color="auto" w:fill="FFFFFF"/>
          <w:lang w:bidi="ar-EG"/>
        </w:rPr>
        <w:t>DBFM</w:t>
      </w:r>
      <w:r w:rsidRPr="00693289">
        <w:rPr>
          <w:rFonts w:ascii="T" w:hAnsi="T" w:cs="Simplified Arabic"/>
          <w:sz w:val="24"/>
          <w:szCs w:val="24"/>
          <w:shd w:val="clear" w:color="auto" w:fill="FFFFFF"/>
          <w:rtl/>
          <w:lang w:bidi="ar-EG"/>
        </w:rPr>
        <w:t>، أو التعهيد المتقدم</w:t>
      </w:r>
      <w:r w:rsidRPr="00693289">
        <w:rPr>
          <w:rFonts w:ascii="T" w:hAnsi="T" w:cs="Simplified Arabic"/>
          <w:sz w:val="24"/>
          <w:szCs w:val="24"/>
          <w:shd w:val="clear" w:color="auto" w:fill="FFFFFF"/>
          <w:lang w:bidi="ar-EG"/>
        </w:rPr>
        <w:t xml:space="preserve">) </w:t>
      </w:r>
      <w:r w:rsidRPr="00693289">
        <w:rPr>
          <w:rFonts w:ascii="T" w:hAnsi="T" w:cs="Simplified Arabic"/>
          <w:sz w:val="24"/>
          <w:szCs w:val="24"/>
          <w:shd w:val="clear" w:color="auto" w:fill="FFFFFF"/>
          <w:rtl/>
          <w:lang w:bidi="ar-EG"/>
        </w:rPr>
        <w:t>لتقديم خدمة التفتيش البيئي، وما مدى ملاءمتها لطبيعة الخدمات الرقابية في القطاع البيئي السعودي؟</w:t>
      </w:r>
    </w:p>
    <w:p w14:paraId="02683D4A" w14:textId="77777777" w:rsidR="00D82B05" w:rsidRPr="00693289"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كيف يمكن تصميم إطار متكامل لتوزيع المخاطر بين القطاعين العام والخاص، وربط الرسوم والعوائد بمؤشرات أداء قابلة للقياس، بما يحقق التوازن المالي ويعزز كفاءة وجودة الخدمة؟</w:t>
      </w:r>
    </w:p>
    <w:p w14:paraId="4993D2BC" w14:textId="15FEB165" w:rsidR="000D1D88" w:rsidRPr="00693289" w:rsidRDefault="00D82B05" w:rsidP="00DF52A6">
      <w:pPr>
        <w:bidi/>
        <w:spacing w:line="360" w:lineRule="auto"/>
        <w:ind w:left="84" w:firstLine="720"/>
        <w:jc w:val="both"/>
        <w:rPr>
          <w:rFonts w:ascii="T" w:hAnsi="T" w:cs="Simplified Arabic"/>
          <w:sz w:val="24"/>
          <w:szCs w:val="24"/>
          <w:shd w:val="clear" w:color="auto" w:fill="FFFFFF"/>
          <w:rtl/>
          <w:lang w:bidi="ar-EG"/>
        </w:rPr>
      </w:pPr>
      <w:r w:rsidRPr="00693289">
        <w:rPr>
          <w:rFonts w:ascii="T" w:hAnsi="T" w:cs="Simplified Arabic"/>
          <w:sz w:val="24"/>
          <w:szCs w:val="24"/>
          <w:shd w:val="clear" w:color="auto" w:fill="FFFFFF"/>
          <w:rtl/>
          <w:lang w:bidi="ar-EG"/>
        </w:rPr>
        <w:t>وستتم معالجة هذه التساؤلات من خلال تحليل البيانات المتاحة، والاستناد إلى الأدبيات العلمية والدراسات السابقة، وبما يدعم بناء نموذج تطبيقي متكامل يسهم في تطوير حوكمة وأداء خدمات التفتيش البيئي.</w:t>
      </w:r>
    </w:p>
    <w:p w14:paraId="66E81B4C" w14:textId="2D37D79A" w:rsidR="00F32747" w:rsidRPr="00693289" w:rsidRDefault="00F32747" w:rsidP="00DF52A6">
      <w:pPr>
        <w:pStyle w:val="Heading1"/>
        <w:bidi/>
        <w:spacing w:line="360" w:lineRule="auto"/>
        <w:rPr>
          <w:rFonts w:ascii="T" w:eastAsia="Times New Roman" w:hAnsi="T" w:cs="Simplified Arabic"/>
          <w:b/>
          <w:bCs/>
          <w:color w:val="auto"/>
          <w:sz w:val="24"/>
          <w:szCs w:val="24"/>
          <w:rtl/>
        </w:rPr>
      </w:pPr>
      <w:bookmarkStart w:id="8" w:name="_Toc233202784"/>
      <w:r w:rsidRPr="00693289">
        <w:rPr>
          <w:rFonts w:ascii="T" w:eastAsia="Times New Roman" w:hAnsi="T" w:cs="Simplified Arabic"/>
          <w:b/>
          <w:bCs/>
          <w:color w:val="auto"/>
          <w:sz w:val="24"/>
          <w:szCs w:val="24"/>
          <w:rtl/>
        </w:rPr>
        <w:lastRenderedPageBreak/>
        <w:t>فرضيات الدراسة</w:t>
      </w:r>
      <w:bookmarkEnd w:id="8"/>
    </w:p>
    <w:p w14:paraId="75E6BCCB" w14:textId="32E756B8"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يتسم نموذج تقديم خدمة التفتيش البيئي الحالي بانخفاض ذي دلالة إحصائية في مستوى الكفاءة التشغيلية، ويُقاس ذلك من خلال مؤشرات الإنتاجية، ونسبة التغطية التفتيشية، وتكلفة الزيارة التفتيشية</w:t>
      </w:r>
      <w:r w:rsidRPr="00693289">
        <w:rPr>
          <w:rFonts w:ascii="T" w:hAnsi="T" w:cs="Simplified Arabic"/>
          <w:sz w:val="24"/>
          <w:szCs w:val="24"/>
          <w:shd w:val="clear" w:color="auto" w:fill="FFFFFF"/>
          <w:lang w:bidi="ar-EG"/>
        </w:rPr>
        <w:t>.</w:t>
      </w:r>
    </w:p>
    <w:p w14:paraId="2FE59BC7" w14:textId="6FF6A642"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لا يحقق نموذج تقديم خدمة التفتيش البيئي الحالي مستوى كفاءة مالية مستدامة، حيث توجد علاقة ذات دلالة إحصائية بين ارتفاع التكاليف التشغيلية وانخفاض صافي العائد المالي للخدمة</w:t>
      </w:r>
      <w:r w:rsidRPr="00693289">
        <w:rPr>
          <w:rFonts w:ascii="T" w:hAnsi="T" w:cs="Simplified Arabic"/>
          <w:sz w:val="24"/>
          <w:szCs w:val="24"/>
          <w:shd w:val="clear" w:color="auto" w:fill="FFFFFF"/>
          <w:lang w:bidi="ar-EG"/>
        </w:rPr>
        <w:t>.</w:t>
      </w:r>
    </w:p>
    <w:p w14:paraId="1695E7A7" w14:textId="645534E0" w:rsidR="00E9655D"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يسهم تطبيق نموذج الشراكة بين القطاعين العام والخاص</w:t>
      </w:r>
      <w:r w:rsidRPr="00693289">
        <w:rPr>
          <w:rFonts w:ascii="T" w:hAnsi="T" w:cs="Simplified Arabic"/>
          <w:sz w:val="24"/>
          <w:szCs w:val="24"/>
          <w:shd w:val="clear" w:color="auto" w:fill="FFFFFF"/>
          <w:lang w:bidi="ar-EG"/>
        </w:rPr>
        <w:t xml:space="preserve"> (PPP) </w:t>
      </w:r>
      <w:r w:rsidRPr="00693289">
        <w:rPr>
          <w:rFonts w:ascii="T" w:hAnsi="T" w:cs="Simplified Arabic"/>
          <w:sz w:val="24"/>
          <w:szCs w:val="24"/>
          <w:shd w:val="clear" w:color="auto" w:fill="FFFFFF"/>
          <w:rtl/>
          <w:lang w:bidi="ar-EG"/>
        </w:rPr>
        <w:t>في تحسين ذي دلالة إحصائية في كل من الكفاءة التشغيلية وجودة مخرجات خدمة التفتيش البيئي مقارنة بالنموذج القائم</w:t>
      </w:r>
      <w:r w:rsidRPr="00693289">
        <w:rPr>
          <w:rFonts w:ascii="T" w:hAnsi="T" w:cs="Simplified Arabic"/>
          <w:sz w:val="24"/>
          <w:szCs w:val="24"/>
          <w:shd w:val="clear" w:color="auto" w:fill="FFFFFF"/>
          <w:lang w:bidi="ar-EG"/>
        </w:rPr>
        <w:t>.</w:t>
      </w:r>
    </w:p>
    <w:p w14:paraId="52570137" w14:textId="33DA5BCE" w:rsidR="00F32747" w:rsidRPr="00693289"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693289">
        <w:rPr>
          <w:rFonts w:ascii="T" w:hAnsi="T" w:cs="Simplified Arabic"/>
          <w:sz w:val="24"/>
          <w:szCs w:val="24"/>
          <w:shd w:val="clear" w:color="auto" w:fill="FFFFFF"/>
          <w:rtl/>
          <w:lang w:bidi="ar-EG"/>
        </w:rPr>
        <w:t>يؤدي تطبيق آليات متقدمة لتوزيع المخاطر وربط المدفوعات بمؤشرات أداء رئيسية</w:t>
      </w:r>
      <w:r w:rsidRPr="00693289">
        <w:rPr>
          <w:rFonts w:ascii="T" w:hAnsi="T" w:cs="Simplified Arabic"/>
          <w:sz w:val="24"/>
          <w:szCs w:val="24"/>
          <w:shd w:val="clear" w:color="auto" w:fill="FFFFFF"/>
          <w:lang w:bidi="ar-EG"/>
        </w:rPr>
        <w:t xml:space="preserve"> (KPIs) </w:t>
      </w:r>
      <w:r w:rsidRPr="00693289">
        <w:rPr>
          <w:rFonts w:ascii="T" w:hAnsi="T" w:cs="Simplified Arabic"/>
          <w:sz w:val="24"/>
          <w:szCs w:val="24"/>
          <w:shd w:val="clear" w:color="auto" w:fill="FFFFFF"/>
          <w:rtl/>
          <w:lang w:bidi="ar-EG"/>
        </w:rPr>
        <w:t>ضمن إطار الشراكة بين القطاعين العام والخاص إلى تحسين ذي دلالة إحصائية في الاستدامة المالية ورفع جودة الأداء لخدمة التفتيش البيئي</w:t>
      </w:r>
      <w:r w:rsidRPr="00693289">
        <w:rPr>
          <w:rFonts w:ascii="T" w:hAnsi="T" w:cs="Simplified Arabic"/>
          <w:sz w:val="24"/>
          <w:szCs w:val="24"/>
          <w:shd w:val="clear" w:color="auto" w:fill="FFFFFF"/>
          <w:lang w:bidi="ar-EG"/>
        </w:rPr>
        <w:t>.</w:t>
      </w:r>
      <w:r w:rsidRPr="00693289">
        <w:rPr>
          <w:rFonts w:ascii="T" w:hAnsi="T" w:cs="Simplified Arabic"/>
          <w:sz w:val="24"/>
          <w:szCs w:val="24"/>
          <w:shd w:val="clear" w:color="auto" w:fill="FFFFFF"/>
          <w:rtl/>
          <w:lang w:bidi="ar-EG"/>
        </w:rPr>
        <w:t>.</w:t>
      </w:r>
    </w:p>
    <w:p w14:paraId="47085ADA" w14:textId="5D35C45B" w:rsidR="004F7270" w:rsidRPr="005D59A7" w:rsidRDefault="00C11026" w:rsidP="00DF52A6">
      <w:pPr>
        <w:pStyle w:val="Heading1"/>
        <w:bidi/>
        <w:spacing w:line="360" w:lineRule="auto"/>
        <w:rPr>
          <w:rFonts w:ascii="T" w:eastAsia="Times New Roman" w:hAnsi="T" w:cs="Simplified Arabic"/>
          <w:b/>
          <w:bCs/>
          <w:color w:val="auto"/>
          <w:sz w:val="24"/>
          <w:szCs w:val="24"/>
          <w:rtl/>
        </w:rPr>
      </w:pPr>
      <w:bookmarkStart w:id="9" w:name="_Toc233202785"/>
      <w:r w:rsidRPr="005D59A7">
        <w:rPr>
          <w:rFonts w:ascii="T" w:eastAsia="Times New Roman" w:hAnsi="T" w:cs="Simplified Arabic"/>
          <w:b/>
          <w:bCs/>
          <w:color w:val="auto"/>
          <w:sz w:val="24"/>
          <w:szCs w:val="24"/>
          <w:rtl/>
        </w:rPr>
        <w:t>أهمية الدراسة (</w:t>
      </w:r>
      <w:r w:rsidR="000A1E46" w:rsidRPr="005D59A7">
        <w:rPr>
          <w:rFonts w:ascii="T" w:eastAsia="Times New Roman" w:hAnsi="T" w:cs="Simplified Arabic"/>
          <w:b/>
          <w:bCs/>
          <w:color w:val="auto"/>
          <w:sz w:val="24"/>
          <w:szCs w:val="24"/>
          <w:rtl/>
        </w:rPr>
        <w:t>النظرية والتطبيقية</w:t>
      </w:r>
      <w:r w:rsidRPr="005D59A7">
        <w:rPr>
          <w:rFonts w:ascii="T" w:eastAsia="Times New Roman" w:hAnsi="T" w:cs="Simplified Arabic"/>
          <w:b/>
          <w:bCs/>
          <w:color w:val="auto"/>
          <w:sz w:val="24"/>
          <w:szCs w:val="24"/>
          <w:rtl/>
        </w:rPr>
        <w:t>)</w:t>
      </w:r>
      <w:r w:rsidR="00883E09" w:rsidRPr="005D59A7">
        <w:rPr>
          <w:rFonts w:ascii="T" w:eastAsia="Times New Roman" w:hAnsi="T" w:cs="Simplified Arabic"/>
          <w:b/>
          <w:bCs/>
          <w:color w:val="auto"/>
          <w:sz w:val="24"/>
          <w:szCs w:val="24"/>
          <w:rtl/>
        </w:rPr>
        <w:t>:</w:t>
      </w:r>
      <w:bookmarkEnd w:id="9"/>
    </w:p>
    <w:p w14:paraId="26922DE5" w14:textId="77777777" w:rsidR="00A41647" w:rsidRPr="005D59A7" w:rsidRDefault="00A41647" w:rsidP="00F24293">
      <w:pPr>
        <w:pStyle w:val="Heading2"/>
        <w:bidi/>
        <w:rPr>
          <w:rFonts w:ascii="T" w:hAnsi="T" w:cs="Simplified Arabic"/>
          <w:b/>
          <w:bCs/>
          <w:color w:val="auto"/>
          <w:sz w:val="24"/>
          <w:szCs w:val="24"/>
          <w:rtl/>
        </w:rPr>
      </w:pPr>
      <w:bookmarkStart w:id="10" w:name="_Toc233202786"/>
      <w:r w:rsidRPr="005D59A7">
        <w:rPr>
          <w:rFonts w:ascii="T" w:hAnsi="T" w:cs="Simplified Arabic"/>
          <w:b/>
          <w:bCs/>
          <w:color w:val="auto"/>
          <w:sz w:val="24"/>
          <w:szCs w:val="24"/>
          <w:rtl/>
        </w:rPr>
        <w:t>الأهمية النظرية</w:t>
      </w:r>
      <w:bookmarkEnd w:id="10"/>
    </w:p>
    <w:p w14:paraId="50F775B8" w14:textId="77777777" w:rsidR="004D3152" w:rsidRPr="005D59A7" w:rsidRDefault="00890400"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يشهد القطاع البيئي في المملكة العربية السعودية تحولاً جذرياً، مدفوعاً بمبادرات وطنية طموحة ووعي متزايد بالتحديات البيئية الفريدة التي تواجهها البلاد. ورغم اعتماد المملكة تاريخياً على</w:t>
      </w:r>
      <w:r w:rsidRPr="005D59A7">
        <w:rPr>
          <w:rFonts w:ascii="T" w:hAnsi="T" w:cs="Simplified Arabic"/>
          <w:sz w:val="24"/>
          <w:szCs w:val="24"/>
        </w:rPr>
        <w:t xml:space="preserve"> </w:t>
      </w:r>
      <w:r w:rsidRPr="005D59A7">
        <w:rPr>
          <w:rFonts w:ascii="T" w:hAnsi="T" w:cs="Simplified Arabic"/>
          <w:sz w:val="24"/>
          <w:szCs w:val="24"/>
          <w:rtl/>
        </w:rPr>
        <w:t xml:space="preserve">النفط، </w:t>
      </w:r>
      <w:r w:rsidR="005F48DB" w:rsidRPr="005D59A7">
        <w:rPr>
          <w:rFonts w:ascii="T" w:hAnsi="T" w:cs="Simplified Arabic"/>
          <w:sz w:val="24"/>
          <w:szCs w:val="24"/>
          <w:rtl/>
        </w:rPr>
        <w:t>إلا أنها</w:t>
      </w:r>
      <w:r w:rsidRPr="005D59A7">
        <w:rPr>
          <w:rFonts w:ascii="T" w:hAnsi="T" w:cs="Simplified Arabic"/>
          <w:sz w:val="24"/>
          <w:szCs w:val="24"/>
          <w:rtl/>
        </w:rPr>
        <w:t xml:space="preserve"> تخطو الآن خطوات واسعة نحو مستقبل أكثر استدامة في إطار رؤيتها 2030 التي تُشكل جوهر التحول البيئي في المملكة. تُمثل رؤية 2030 إطاراً استراتيجياً شاملاً للتنويع الاقتصادي والتنمية المستدامة، يركز على إعادة بناء الإطار المؤسسي وتعزيز مشاركة القطاع الخاص في جميع القطاعات، بما في ذلك القطاع البيئي (</w:t>
      </w:r>
      <w:r w:rsidRPr="005D59A7">
        <w:rPr>
          <w:rFonts w:ascii="T" w:hAnsi="T" w:cs="Simplified Arabic"/>
          <w:sz w:val="24"/>
          <w:szCs w:val="24"/>
        </w:rPr>
        <w:t>Vision2030, 2025</w:t>
      </w:r>
      <w:r w:rsidRPr="005D59A7">
        <w:rPr>
          <w:rFonts w:ascii="T" w:hAnsi="T" w:cs="Simplified Arabic"/>
          <w:sz w:val="24"/>
          <w:szCs w:val="24"/>
          <w:rtl/>
        </w:rPr>
        <w:t>).</w:t>
      </w:r>
      <w:r w:rsidR="005A5496" w:rsidRPr="005D59A7">
        <w:rPr>
          <w:rFonts w:ascii="T" w:hAnsi="T" w:cs="Simplified Arabic"/>
          <w:sz w:val="24"/>
          <w:szCs w:val="24"/>
          <w:rtl/>
        </w:rPr>
        <w:t xml:space="preserve"> ف</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جوهرها،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الشراكات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والخاص</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أداة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إستراتيجية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للحكومات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لتحسين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تقديم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الخدمات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خلال</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تسخير</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نقاط</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قوة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كلاً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علاقة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طويلة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الأمد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تعود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بالنفع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على</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الطرفين. وتنبع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أهميتها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مجموعة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واسعة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المزايا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التي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يُمكن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تُقدمها،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مثل:</w:t>
      </w:r>
    </w:p>
    <w:p w14:paraId="06D13908" w14:textId="5BB7CCE9" w:rsidR="00210FA3" w:rsidRPr="005D59A7" w:rsidRDefault="00210FA3"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b/>
          <w:bCs/>
          <w:sz w:val="24"/>
          <w:szCs w:val="24"/>
          <w:rtl/>
        </w:rPr>
        <w:t>الوصول</w:t>
      </w:r>
      <w:r w:rsidR="0089666A" w:rsidRPr="005D59A7">
        <w:rPr>
          <w:rFonts w:ascii="T" w:hAnsi="T" w:cs="Simplified Arabic"/>
          <w:b/>
          <w:bCs/>
          <w:sz w:val="24"/>
          <w:szCs w:val="24"/>
          <w:rtl/>
        </w:rPr>
        <w:t xml:space="preserve"> </w:t>
      </w:r>
      <w:r w:rsidRPr="005D59A7">
        <w:rPr>
          <w:rFonts w:ascii="T" w:hAnsi="T" w:cs="Simplified Arabic"/>
          <w:b/>
          <w:bCs/>
          <w:sz w:val="24"/>
          <w:szCs w:val="24"/>
          <w:rtl/>
        </w:rPr>
        <w:t>إلى</w:t>
      </w:r>
      <w:r w:rsidR="0089666A" w:rsidRPr="005D59A7">
        <w:rPr>
          <w:rFonts w:ascii="T" w:hAnsi="T" w:cs="Simplified Arabic"/>
          <w:b/>
          <w:bCs/>
          <w:sz w:val="24"/>
          <w:szCs w:val="24"/>
          <w:rtl/>
        </w:rPr>
        <w:t xml:space="preserve"> </w:t>
      </w:r>
      <w:r w:rsidRPr="005D59A7">
        <w:rPr>
          <w:rFonts w:ascii="T" w:hAnsi="T" w:cs="Simplified Arabic"/>
          <w:b/>
          <w:bCs/>
          <w:sz w:val="24"/>
          <w:szCs w:val="24"/>
          <w:rtl/>
        </w:rPr>
        <w:t>تمويل</w:t>
      </w:r>
      <w:r w:rsidR="0089666A" w:rsidRPr="005D59A7">
        <w:rPr>
          <w:rFonts w:ascii="T" w:hAnsi="T" w:cs="Simplified Arabic"/>
          <w:b/>
          <w:bCs/>
          <w:sz w:val="24"/>
          <w:szCs w:val="24"/>
          <w:rtl/>
        </w:rPr>
        <w:t xml:space="preserve"> </w:t>
      </w:r>
      <w:r w:rsidRPr="005D59A7">
        <w:rPr>
          <w:rFonts w:ascii="T" w:hAnsi="T" w:cs="Simplified Arabic"/>
          <w:b/>
          <w:bCs/>
          <w:sz w:val="24"/>
          <w:szCs w:val="24"/>
          <w:rtl/>
        </w:rPr>
        <w:t>وخبرة</w:t>
      </w:r>
      <w:r w:rsidR="0089666A" w:rsidRPr="005D59A7">
        <w:rPr>
          <w:rFonts w:ascii="T" w:hAnsi="T" w:cs="Simplified Arabic"/>
          <w:b/>
          <w:bCs/>
          <w:sz w:val="24"/>
          <w:szCs w:val="24"/>
          <w:rtl/>
        </w:rPr>
        <w:t xml:space="preserve"> </w:t>
      </w:r>
      <w:r w:rsidRPr="005D59A7">
        <w:rPr>
          <w:rFonts w:ascii="T" w:hAnsi="T" w:cs="Simplified Arabic"/>
          <w:b/>
          <w:bCs/>
          <w:sz w:val="24"/>
          <w:szCs w:val="24"/>
          <w:rtl/>
        </w:rPr>
        <w:t>القطاع</w:t>
      </w:r>
      <w:r w:rsidR="0089666A" w:rsidRPr="005D59A7">
        <w:rPr>
          <w:rFonts w:ascii="T" w:hAnsi="T" w:cs="Simplified Arabic"/>
          <w:b/>
          <w:bCs/>
          <w:sz w:val="24"/>
          <w:szCs w:val="24"/>
          <w:rtl/>
        </w:rPr>
        <w:t xml:space="preserve"> </w:t>
      </w:r>
      <w:r w:rsidRPr="005D59A7">
        <w:rPr>
          <w:rFonts w:ascii="T" w:hAnsi="T" w:cs="Simplified Arabic"/>
          <w:b/>
          <w:bCs/>
          <w:sz w:val="24"/>
          <w:szCs w:val="24"/>
          <w:rtl/>
        </w:rPr>
        <w:t>الخاص:</w:t>
      </w:r>
      <w:r w:rsidRPr="005D59A7">
        <w:rPr>
          <w:rFonts w:ascii="T" w:hAnsi="T" w:cs="Simplified Arabic"/>
          <w:sz w:val="24"/>
          <w:szCs w:val="24"/>
          <w:rtl/>
        </w:rPr>
        <w:t>سد</w:t>
      </w:r>
      <w:r w:rsidR="0089666A" w:rsidRPr="005D59A7">
        <w:rPr>
          <w:rFonts w:ascii="T" w:hAnsi="T" w:cs="Simplified Arabic"/>
          <w:sz w:val="24"/>
          <w:szCs w:val="24"/>
          <w:rtl/>
        </w:rPr>
        <w:t xml:space="preserve"> </w:t>
      </w:r>
      <w:r w:rsidRPr="005D59A7">
        <w:rPr>
          <w:rFonts w:ascii="T" w:hAnsi="T" w:cs="Simplified Arabic"/>
          <w:sz w:val="24"/>
          <w:szCs w:val="24"/>
          <w:rtl/>
        </w:rPr>
        <w:t>فجوات</w:t>
      </w:r>
      <w:r w:rsidR="0089666A" w:rsidRPr="005D59A7">
        <w:rPr>
          <w:rFonts w:ascii="T" w:hAnsi="T" w:cs="Simplified Arabic"/>
          <w:sz w:val="24"/>
          <w:szCs w:val="24"/>
          <w:rtl/>
        </w:rPr>
        <w:t xml:space="preserve"> </w:t>
      </w:r>
      <w:r w:rsidRPr="005D59A7">
        <w:rPr>
          <w:rFonts w:ascii="T" w:hAnsi="T" w:cs="Simplified Arabic"/>
          <w:sz w:val="24"/>
          <w:szCs w:val="24"/>
          <w:rtl/>
        </w:rPr>
        <w:t>التمويل: غالباً</w:t>
      </w:r>
      <w:r w:rsidR="0089666A" w:rsidRPr="005D59A7">
        <w:rPr>
          <w:rFonts w:ascii="T" w:hAnsi="T" w:cs="Simplified Arabic"/>
          <w:sz w:val="24"/>
          <w:szCs w:val="24"/>
          <w:rtl/>
        </w:rPr>
        <w:t xml:space="preserve"> </w:t>
      </w:r>
      <w:r w:rsidRPr="005D59A7">
        <w:rPr>
          <w:rFonts w:ascii="T" w:hAnsi="T" w:cs="Simplified Arabic"/>
          <w:sz w:val="24"/>
          <w:szCs w:val="24"/>
          <w:rtl/>
        </w:rPr>
        <w:t>ما</w:t>
      </w:r>
      <w:r w:rsidR="0089666A" w:rsidRPr="005D59A7">
        <w:rPr>
          <w:rFonts w:ascii="T" w:hAnsi="T" w:cs="Simplified Arabic"/>
          <w:sz w:val="24"/>
          <w:szCs w:val="24"/>
          <w:rtl/>
        </w:rPr>
        <w:t xml:space="preserve"> </w:t>
      </w:r>
      <w:r w:rsidRPr="005D59A7">
        <w:rPr>
          <w:rFonts w:ascii="T" w:hAnsi="T" w:cs="Simplified Arabic"/>
          <w:sz w:val="24"/>
          <w:szCs w:val="24"/>
          <w:rtl/>
        </w:rPr>
        <w:t>تواجه</w:t>
      </w:r>
      <w:r w:rsidR="0089666A" w:rsidRPr="005D59A7">
        <w:rPr>
          <w:rFonts w:ascii="T" w:hAnsi="T" w:cs="Simplified Arabic"/>
          <w:sz w:val="24"/>
          <w:szCs w:val="24"/>
          <w:rtl/>
        </w:rPr>
        <w:t xml:space="preserve"> </w:t>
      </w:r>
      <w:r w:rsidRPr="005D59A7">
        <w:rPr>
          <w:rFonts w:ascii="T" w:hAnsi="T" w:cs="Simplified Arabic"/>
          <w:sz w:val="24"/>
          <w:szCs w:val="24"/>
          <w:rtl/>
        </w:rPr>
        <w:t>الحكومات</w:t>
      </w:r>
      <w:r w:rsidR="0089666A" w:rsidRPr="005D59A7">
        <w:rPr>
          <w:rFonts w:ascii="T" w:hAnsi="T" w:cs="Simplified Arabic"/>
          <w:sz w:val="24"/>
          <w:szCs w:val="24"/>
          <w:rtl/>
        </w:rPr>
        <w:t xml:space="preserve"> </w:t>
      </w:r>
      <w:r w:rsidRPr="005D59A7">
        <w:rPr>
          <w:rFonts w:ascii="T" w:hAnsi="T" w:cs="Simplified Arabic"/>
          <w:sz w:val="24"/>
          <w:szCs w:val="24"/>
          <w:rtl/>
        </w:rPr>
        <w:t>قيوداً</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الميزانية،</w:t>
      </w:r>
      <w:r w:rsidR="0089666A" w:rsidRPr="005D59A7">
        <w:rPr>
          <w:rFonts w:ascii="T" w:hAnsi="T" w:cs="Simplified Arabic"/>
          <w:sz w:val="24"/>
          <w:szCs w:val="24"/>
          <w:rtl/>
        </w:rPr>
        <w:t xml:space="preserve"> </w:t>
      </w:r>
      <w:r w:rsidRPr="005D59A7">
        <w:rPr>
          <w:rFonts w:ascii="T" w:hAnsi="T" w:cs="Simplified Arabic"/>
          <w:sz w:val="24"/>
          <w:szCs w:val="24"/>
          <w:rtl/>
        </w:rPr>
        <w:t>وخاصةً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مشاريع</w:t>
      </w:r>
      <w:r w:rsidR="0089666A" w:rsidRPr="005D59A7">
        <w:rPr>
          <w:rFonts w:ascii="T" w:hAnsi="T" w:cs="Simplified Arabic"/>
          <w:sz w:val="24"/>
          <w:szCs w:val="24"/>
          <w:rtl/>
        </w:rPr>
        <w:t xml:space="preserve"> </w:t>
      </w:r>
      <w:r w:rsidRPr="005D59A7">
        <w:rPr>
          <w:rFonts w:ascii="T" w:hAnsi="T" w:cs="Simplified Arabic"/>
          <w:sz w:val="24"/>
          <w:szCs w:val="24"/>
          <w:rtl/>
        </w:rPr>
        <w:t>البنية</w:t>
      </w:r>
      <w:r w:rsidR="0089666A" w:rsidRPr="005D59A7">
        <w:rPr>
          <w:rFonts w:ascii="T" w:hAnsi="T" w:cs="Simplified Arabic"/>
          <w:sz w:val="24"/>
          <w:szCs w:val="24"/>
          <w:rtl/>
        </w:rPr>
        <w:t xml:space="preserve"> </w:t>
      </w:r>
      <w:r w:rsidRPr="005D59A7">
        <w:rPr>
          <w:rFonts w:ascii="T" w:hAnsi="T" w:cs="Simplified Arabic"/>
          <w:sz w:val="24"/>
          <w:szCs w:val="24"/>
          <w:rtl/>
        </w:rPr>
        <w:t>التحتية</w:t>
      </w:r>
      <w:r w:rsidR="0089666A" w:rsidRPr="005D59A7">
        <w:rPr>
          <w:rFonts w:ascii="T" w:hAnsi="T" w:cs="Simplified Arabic"/>
          <w:sz w:val="24"/>
          <w:szCs w:val="24"/>
          <w:rtl/>
        </w:rPr>
        <w:t xml:space="preserve"> </w:t>
      </w:r>
      <w:r w:rsidRPr="005D59A7">
        <w:rPr>
          <w:rFonts w:ascii="T" w:hAnsi="T" w:cs="Simplified Arabic"/>
          <w:sz w:val="24"/>
          <w:szCs w:val="24"/>
          <w:rtl/>
        </w:rPr>
        <w:t>واسعة</w:t>
      </w:r>
      <w:r w:rsidR="0089666A" w:rsidRPr="005D59A7">
        <w:rPr>
          <w:rFonts w:ascii="T" w:hAnsi="T" w:cs="Simplified Arabic"/>
          <w:sz w:val="24"/>
          <w:szCs w:val="24"/>
          <w:rtl/>
        </w:rPr>
        <w:t xml:space="preserve"> </w:t>
      </w:r>
      <w:r w:rsidRPr="005D59A7">
        <w:rPr>
          <w:rFonts w:ascii="T" w:hAnsi="T" w:cs="Simplified Arabic"/>
          <w:sz w:val="24"/>
          <w:szCs w:val="24"/>
          <w:rtl/>
        </w:rPr>
        <w:t>النطاق. من دورها، تتيح</w:t>
      </w:r>
      <w:r w:rsidR="0089666A" w:rsidRPr="005D59A7">
        <w:rPr>
          <w:rFonts w:ascii="T" w:hAnsi="T" w:cs="Simplified Arabic"/>
          <w:sz w:val="24"/>
          <w:szCs w:val="24"/>
          <w:rtl/>
        </w:rPr>
        <w:t xml:space="preserve"> </w:t>
      </w:r>
      <w:r w:rsidRPr="005D59A7">
        <w:rPr>
          <w:rFonts w:ascii="T" w:hAnsi="T" w:cs="Simplified Arabic"/>
          <w:sz w:val="24"/>
          <w:szCs w:val="24"/>
          <w:rtl/>
        </w:rPr>
        <w:t>الشراكات</w:t>
      </w:r>
      <w:r w:rsidR="0089666A" w:rsidRPr="005D59A7">
        <w:rPr>
          <w:rFonts w:ascii="T" w:hAnsi="T" w:cs="Simplified Arabic"/>
          <w:sz w:val="24"/>
          <w:szCs w:val="24"/>
          <w:rtl/>
        </w:rPr>
        <w:t xml:space="preserve"> </w:t>
      </w:r>
      <w:r w:rsidRPr="005D59A7">
        <w:rPr>
          <w:rFonts w:ascii="T" w:hAnsi="T" w:cs="Simplified Arabic"/>
          <w:sz w:val="24"/>
          <w:szCs w:val="24"/>
          <w:rtl/>
        </w:rPr>
        <w:t>بين</w:t>
      </w:r>
      <w:r w:rsidR="0089666A" w:rsidRPr="005D59A7">
        <w:rPr>
          <w:rFonts w:ascii="T" w:hAnsi="T" w:cs="Simplified Arabic"/>
          <w:sz w:val="24"/>
          <w:szCs w:val="24"/>
          <w:rtl/>
        </w:rPr>
        <w:t xml:space="preserve"> </w:t>
      </w:r>
      <w:r w:rsidRPr="005D59A7">
        <w:rPr>
          <w:rFonts w:ascii="T" w:hAnsi="T" w:cs="Simplified Arabic"/>
          <w:sz w:val="24"/>
          <w:szCs w:val="24"/>
          <w:rtl/>
        </w:rPr>
        <w:t>القطاعين</w:t>
      </w:r>
      <w:r w:rsidR="0089666A" w:rsidRPr="005D59A7">
        <w:rPr>
          <w:rFonts w:ascii="T" w:hAnsi="T" w:cs="Simplified Arabic"/>
          <w:sz w:val="24"/>
          <w:szCs w:val="24"/>
          <w:rtl/>
        </w:rPr>
        <w:t xml:space="preserve"> </w:t>
      </w:r>
      <w:r w:rsidRPr="005D59A7">
        <w:rPr>
          <w:rFonts w:ascii="T" w:hAnsi="T" w:cs="Simplified Arabic"/>
          <w:sz w:val="24"/>
          <w:szCs w:val="24"/>
          <w:rtl/>
        </w:rPr>
        <w:t>العام</w:t>
      </w:r>
      <w:r w:rsidR="0089666A" w:rsidRPr="005D59A7">
        <w:rPr>
          <w:rFonts w:ascii="T" w:hAnsi="T" w:cs="Simplified Arabic"/>
          <w:sz w:val="24"/>
          <w:szCs w:val="24"/>
          <w:rtl/>
        </w:rPr>
        <w:t xml:space="preserve"> </w:t>
      </w:r>
      <w:r w:rsidRPr="005D59A7">
        <w:rPr>
          <w:rFonts w:ascii="T" w:hAnsi="T" w:cs="Simplified Arabic"/>
          <w:sz w:val="24"/>
          <w:szCs w:val="24"/>
          <w:rtl/>
        </w:rPr>
        <w:t>والخاص</w:t>
      </w:r>
      <w:r w:rsidR="0089666A" w:rsidRPr="005D59A7">
        <w:rPr>
          <w:rFonts w:ascii="T" w:hAnsi="T" w:cs="Simplified Arabic"/>
          <w:sz w:val="24"/>
          <w:szCs w:val="24"/>
          <w:rtl/>
        </w:rPr>
        <w:t xml:space="preserve"> </w:t>
      </w:r>
      <w:r w:rsidRPr="005D59A7">
        <w:rPr>
          <w:rFonts w:ascii="T" w:hAnsi="T" w:cs="Simplified Arabic"/>
          <w:sz w:val="24"/>
          <w:szCs w:val="24"/>
          <w:rtl/>
        </w:rPr>
        <w:lastRenderedPageBreak/>
        <w:t>الوصول</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رأس</w:t>
      </w:r>
      <w:r w:rsidR="0089666A" w:rsidRPr="005D59A7">
        <w:rPr>
          <w:rFonts w:ascii="T" w:hAnsi="T" w:cs="Simplified Arabic"/>
          <w:sz w:val="24"/>
          <w:szCs w:val="24"/>
          <w:rtl/>
        </w:rPr>
        <w:t xml:space="preserve"> </w:t>
      </w:r>
      <w:r w:rsidRPr="005D59A7">
        <w:rPr>
          <w:rFonts w:ascii="T" w:hAnsi="T" w:cs="Simplified Arabic"/>
          <w:sz w:val="24"/>
          <w:szCs w:val="24"/>
          <w:rtl/>
        </w:rPr>
        <w:t>المال</w:t>
      </w:r>
      <w:r w:rsidR="0089666A" w:rsidRPr="005D59A7">
        <w:rPr>
          <w:rFonts w:ascii="T" w:hAnsi="T" w:cs="Simplified Arabic"/>
          <w:sz w:val="24"/>
          <w:szCs w:val="24"/>
          <w:rtl/>
        </w:rPr>
        <w:t xml:space="preserve"> </w:t>
      </w:r>
      <w:r w:rsidRPr="005D59A7">
        <w:rPr>
          <w:rFonts w:ascii="T" w:hAnsi="T" w:cs="Simplified Arabic"/>
          <w:sz w:val="24"/>
          <w:szCs w:val="24"/>
          <w:rtl/>
        </w:rPr>
        <w:t>الخاص،</w:t>
      </w:r>
      <w:r w:rsidR="0089666A" w:rsidRPr="005D59A7">
        <w:rPr>
          <w:rFonts w:ascii="T" w:hAnsi="T" w:cs="Simplified Arabic"/>
          <w:sz w:val="24"/>
          <w:szCs w:val="24"/>
          <w:rtl/>
        </w:rPr>
        <w:t xml:space="preserve"> </w:t>
      </w:r>
      <w:r w:rsidRPr="005D59A7">
        <w:rPr>
          <w:rFonts w:ascii="T" w:hAnsi="T" w:cs="Simplified Arabic"/>
          <w:sz w:val="24"/>
          <w:szCs w:val="24"/>
          <w:rtl/>
        </w:rPr>
        <w:t>مما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إنجاز</w:t>
      </w:r>
      <w:r w:rsidR="0089666A" w:rsidRPr="005D59A7">
        <w:rPr>
          <w:rFonts w:ascii="T" w:hAnsi="T" w:cs="Simplified Arabic"/>
          <w:sz w:val="24"/>
          <w:szCs w:val="24"/>
          <w:rtl/>
        </w:rPr>
        <w:t xml:space="preserve"> </w:t>
      </w:r>
      <w:r w:rsidRPr="005D59A7">
        <w:rPr>
          <w:rFonts w:ascii="T" w:hAnsi="T" w:cs="Simplified Arabic"/>
          <w:sz w:val="24"/>
          <w:szCs w:val="24"/>
          <w:rtl/>
        </w:rPr>
        <w:t>المشاريع</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وقت</w:t>
      </w:r>
      <w:r w:rsidR="0089666A" w:rsidRPr="005D59A7">
        <w:rPr>
          <w:rFonts w:ascii="T" w:hAnsi="T" w:cs="Simplified Arabic"/>
          <w:sz w:val="24"/>
          <w:szCs w:val="24"/>
          <w:rtl/>
        </w:rPr>
        <w:t xml:space="preserve"> </w:t>
      </w:r>
      <w:r w:rsidRPr="005D59A7">
        <w:rPr>
          <w:rFonts w:ascii="T" w:hAnsi="T" w:cs="Simplified Arabic"/>
          <w:sz w:val="24"/>
          <w:szCs w:val="24"/>
          <w:rtl/>
        </w:rPr>
        <w:t>أسرع،</w:t>
      </w:r>
      <w:r w:rsidR="0089666A" w:rsidRPr="005D59A7">
        <w:rPr>
          <w:rFonts w:ascii="T" w:hAnsi="T" w:cs="Simplified Arabic"/>
          <w:sz w:val="24"/>
          <w:szCs w:val="24"/>
          <w:rtl/>
        </w:rPr>
        <w:t xml:space="preserve"> </w:t>
      </w:r>
      <w:r w:rsidRPr="005D59A7">
        <w:rPr>
          <w:rFonts w:ascii="T" w:hAnsi="T" w:cs="Simplified Arabic"/>
          <w:sz w:val="24"/>
          <w:szCs w:val="24"/>
          <w:rtl/>
        </w:rPr>
        <w:t>أو</w:t>
      </w:r>
      <w:r w:rsidR="0089666A" w:rsidRPr="005D59A7">
        <w:rPr>
          <w:rFonts w:ascii="T" w:hAnsi="T" w:cs="Simplified Arabic"/>
          <w:sz w:val="24"/>
          <w:szCs w:val="24"/>
          <w:rtl/>
        </w:rPr>
        <w:t xml:space="preserve"> </w:t>
      </w:r>
      <w:r w:rsidRPr="005D59A7">
        <w:rPr>
          <w:rFonts w:ascii="T" w:hAnsi="T" w:cs="Simplified Arabic"/>
          <w:sz w:val="24"/>
          <w:szCs w:val="24"/>
          <w:rtl/>
        </w:rPr>
        <w:t>حتى</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تنفيذها</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الأساس،</w:t>
      </w:r>
      <w:r w:rsidR="0089666A" w:rsidRPr="005D59A7">
        <w:rPr>
          <w:rFonts w:ascii="T" w:hAnsi="T" w:cs="Simplified Arabic"/>
          <w:sz w:val="24"/>
          <w:szCs w:val="24"/>
          <w:rtl/>
        </w:rPr>
        <w:t xml:space="preserve"> </w:t>
      </w:r>
      <w:r w:rsidRPr="005D59A7">
        <w:rPr>
          <w:rFonts w:ascii="T" w:hAnsi="T" w:cs="Simplified Arabic"/>
          <w:sz w:val="24"/>
          <w:szCs w:val="24"/>
          <w:rtl/>
        </w:rPr>
        <w:t>بالإضافة إلى</w:t>
      </w:r>
      <w:r w:rsidR="0089666A" w:rsidRPr="005D59A7">
        <w:rPr>
          <w:rFonts w:ascii="T" w:hAnsi="T" w:cs="Simplified Arabic"/>
          <w:sz w:val="24"/>
          <w:szCs w:val="24"/>
          <w:rtl/>
        </w:rPr>
        <w:t xml:space="preserve"> </w:t>
      </w:r>
      <w:r w:rsidRPr="005D59A7">
        <w:rPr>
          <w:rFonts w:ascii="T" w:hAnsi="T" w:cs="Simplified Arabic"/>
          <w:sz w:val="24"/>
          <w:szCs w:val="24"/>
          <w:rtl/>
        </w:rPr>
        <w:t>توزيع</w:t>
      </w:r>
      <w:r w:rsidR="0089666A" w:rsidRPr="005D59A7">
        <w:rPr>
          <w:rFonts w:ascii="T" w:hAnsi="T" w:cs="Simplified Arabic"/>
          <w:sz w:val="24"/>
          <w:szCs w:val="24"/>
          <w:rtl/>
        </w:rPr>
        <w:t xml:space="preserve"> </w:t>
      </w:r>
      <w:r w:rsidRPr="005D59A7">
        <w:rPr>
          <w:rFonts w:ascii="T" w:hAnsi="T" w:cs="Simplified Arabic"/>
          <w:sz w:val="24"/>
          <w:szCs w:val="24"/>
          <w:rtl/>
        </w:rPr>
        <w:t>التكاليف</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فترة</w:t>
      </w:r>
      <w:r w:rsidR="0089666A" w:rsidRPr="005D59A7">
        <w:rPr>
          <w:rFonts w:ascii="T" w:hAnsi="T" w:cs="Simplified Arabic"/>
          <w:sz w:val="24"/>
          <w:szCs w:val="24"/>
          <w:rtl/>
        </w:rPr>
        <w:t xml:space="preserve"> </w:t>
      </w:r>
      <w:r w:rsidRPr="005D59A7">
        <w:rPr>
          <w:rFonts w:ascii="T" w:hAnsi="T" w:cs="Simplified Arabic"/>
          <w:sz w:val="24"/>
          <w:szCs w:val="24"/>
          <w:rtl/>
        </w:rPr>
        <w:t>زمنية</w:t>
      </w:r>
      <w:r w:rsidR="0089666A" w:rsidRPr="005D59A7">
        <w:rPr>
          <w:rFonts w:ascii="T" w:hAnsi="T" w:cs="Simplified Arabic"/>
          <w:sz w:val="24"/>
          <w:szCs w:val="24"/>
          <w:rtl/>
        </w:rPr>
        <w:t xml:space="preserve"> </w:t>
      </w:r>
      <w:r w:rsidRPr="005D59A7">
        <w:rPr>
          <w:rFonts w:ascii="T" w:hAnsi="T" w:cs="Simplified Arabic"/>
          <w:sz w:val="24"/>
          <w:szCs w:val="24"/>
          <w:rtl/>
        </w:rPr>
        <w:t>أطول.</w:t>
      </w:r>
    </w:p>
    <w:p w14:paraId="2385A1C1" w14:textId="77777777" w:rsidR="00210FA3"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الاستفادة</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المهارات</w:t>
      </w:r>
      <w:r w:rsidR="0089666A" w:rsidRPr="005D59A7">
        <w:rPr>
          <w:rFonts w:ascii="T" w:hAnsi="T" w:cs="Simplified Arabic"/>
          <w:sz w:val="24"/>
          <w:szCs w:val="24"/>
          <w:rtl/>
        </w:rPr>
        <w:t xml:space="preserve"> </w:t>
      </w:r>
      <w:r w:rsidRPr="005D59A7">
        <w:rPr>
          <w:rFonts w:ascii="T" w:hAnsi="T" w:cs="Simplified Arabic"/>
          <w:sz w:val="24"/>
          <w:szCs w:val="24"/>
          <w:rtl/>
        </w:rPr>
        <w:t>المتخصصة: تُقدّم</w:t>
      </w:r>
      <w:r w:rsidR="0089666A" w:rsidRPr="005D59A7">
        <w:rPr>
          <w:rFonts w:ascii="T" w:hAnsi="T" w:cs="Simplified Arabic"/>
          <w:sz w:val="24"/>
          <w:szCs w:val="24"/>
          <w:rtl/>
        </w:rPr>
        <w:t xml:space="preserve"> </w:t>
      </w:r>
      <w:r w:rsidRPr="005D59A7">
        <w:rPr>
          <w:rFonts w:ascii="T" w:hAnsi="T" w:cs="Simplified Arabic"/>
          <w:sz w:val="24"/>
          <w:szCs w:val="24"/>
          <w:rtl/>
        </w:rPr>
        <w:t>الشركات</w:t>
      </w:r>
      <w:r w:rsidR="0089666A" w:rsidRPr="005D59A7">
        <w:rPr>
          <w:rFonts w:ascii="T" w:hAnsi="T" w:cs="Simplified Arabic"/>
          <w:sz w:val="24"/>
          <w:szCs w:val="24"/>
          <w:rtl/>
        </w:rPr>
        <w:t xml:space="preserve"> </w:t>
      </w:r>
      <w:r w:rsidRPr="005D59A7">
        <w:rPr>
          <w:rFonts w:ascii="T" w:hAnsi="T" w:cs="Simplified Arabic"/>
          <w:sz w:val="24"/>
          <w:szCs w:val="24"/>
          <w:rtl/>
        </w:rPr>
        <w:t>الخاصة</w:t>
      </w:r>
      <w:r w:rsidR="0089666A" w:rsidRPr="005D59A7">
        <w:rPr>
          <w:rFonts w:ascii="T" w:hAnsi="T" w:cs="Simplified Arabic"/>
          <w:sz w:val="24"/>
          <w:szCs w:val="24"/>
          <w:rtl/>
        </w:rPr>
        <w:t xml:space="preserve"> </w:t>
      </w:r>
      <w:r w:rsidRPr="005D59A7">
        <w:rPr>
          <w:rFonts w:ascii="T" w:hAnsi="T" w:cs="Simplified Arabic"/>
          <w:sz w:val="24"/>
          <w:szCs w:val="24"/>
          <w:rtl/>
        </w:rPr>
        <w:t>معارف</w:t>
      </w:r>
      <w:r w:rsidR="0089666A" w:rsidRPr="005D59A7">
        <w:rPr>
          <w:rFonts w:ascii="T" w:hAnsi="T" w:cs="Simplified Arabic"/>
          <w:sz w:val="24"/>
          <w:szCs w:val="24"/>
          <w:rtl/>
        </w:rPr>
        <w:t xml:space="preserve"> </w:t>
      </w:r>
      <w:r w:rsidRPr="005D59A7">
        <w:rPr>
          <w:rFonts w:ascii="T" w:hAnsi="T" w:cs="Simplified Arabic"/>
          <w:sz w:val="24"/>
          <w:szCs w:val="24"/>
          <w:rtl/>
        </w:rPr>
        <w:t>وخبرات</w:t>
      </w:r>
      <w:r w:rsidR="0089666A" w:rsidRPr="005D59A7">
        <w:rPr>
          <w:rFonts w:ascii="T" w:hAnsi="T" w:cs="Simplified Arabic"/>
          <w:sz w:val="24"/>
          <w:szCs w:val="24"/>
          <w:rtl/>
        </w:rPr>
        <w:t xml:space="preserve"> </w:t>
      </w:r>
      <w:r w:rsidRPr="005D59A7">
        <w:rPr>
          <w:rFonts w:ascii="T" w:hAnsi="T" w:cs="Simplified Arabic"/>
          <w:sz w:val="24"/>
          <w:szCs w:val="24"/>
          <w:rtl/>
        </w:rPr>
        <w:t>متخصصة</w:t>
      </w:r>
      <w:r w:rsidR="0089666A" w:rsidRPr="005D59A7">
        <w:rPr>
          <w:rFonts w:ascii="T" w:hAnsi="T" w:cs="Simplified Arabic"/>
          <w:sz w:val="24"/>
          <w:szCs w:val="24"/>
          <w:rtl/>
        </w:rPr>
        <w:t xml:space="preserve"> </w:t>
      </w:r>
      <w:r w:rsidRPr="005D59A7">
        <w:rPr>
          <w:rFonts w:ascii="T" w:hAnsi="T" w:cs="Simplified Arabic"/>
          <w:sz w:val="24"/>
          <w:szCs w:val="24"/>
          <w:rtl/>
        </w:rPr>
        <w:t>وأساليب</w:t>
      </w:r>
      <w:r w:rsidR="0089666A" w:rsidRPr="005D59A7">
        <w:rPr>
          <w:rFonts w:ascii="T" w:hAnsi="T" w:cs="Simplified Arabic"/>
          <w:sz w:val="24"/>
          <w:szCs w:val="24"/>
          <w:rtl/>
        </w:rPr>
        <w:t xml:space="preserve"> </w:t>
      </w:r>
      <w:r w:rsidRPr="005D59A7">
        <w:rPr>
          <w:rFonts w:ascii="T" w:hAnsi="T" w:cs="Simplified Arabic"/>
          <w:sz w:val="24"/>
          <w:szCs w:val="24"/>
          <w:rtl/>
        </w:rPr>
        <w:t>مبتكرة</w:t>
      </w:r>
      <w:r w:rsidR="0089666A" w:rsidRPr="005D59A7">
        <w:rPr>
          <w:rFonts w:ascii="T" w:hAnsi="T" w:cs="Simplified Arabic"/>
          <w:sz w:val="24"/>
          <w:szCs w:val="24"/>
          <w:rtl/>
        </w:rPr>
        <w:t xml:space="preserve"> </w:t>
      </w:r>
      <w:r w:rsidRPr="005D59A7">
        <w:rPr>
          <w:rFonts w:ascii="T" w:hAnsi="T" w:cs="Simplified Arabic"/>
          <w:sz w:val="24"/>
          <w:szCs w:val="24"/>
          <w:rtl/>
        </w:rPr>
        <w:t>قد</w:t>
      </w:r>
      <w:r w:rsidR="0089666A" w:rsidRPr="005D59A7">
        <w:rPr>
          <w:rFonts w:ascii="T" w:hAnsi="T" w:cs="Simplified Arabic"/>
          <w:sz w:val="24"/>
          <w:szCs w:val="24"/>
          <w:rtl/>
        </w:rPr>
        <w:t xml:space="preserve"> </w:t>
      </w:r>
      <w:r w:rsidRPr="005D59A7">
        <w:rPr>
          <w:rFonts w:ascii="T" w:hAnsi="T" w:cs="Simplified Arabic"/>
          <w:sz w:val="24"/>
          <w:szCs w:val="24"/>
          <w:rtl/>
        </w:rPr>
        <w:t>لا</w:t>
      </w:r>
      <w:r w:rsidR="0089666A" w:rsidRPr="005D59A7">
        <w:rPr>
          <w:rFonts w:ascii="T" w:hAnsi="T" w:cs="Simplified Arabic"/>
          <w:sz w:val="24"/>
          <w:szCs w:val="24"/>
          <w:rtl/>
        </w:rPr>
        <w:t xml:space="preserve"> </w:t>
      </w:r>
      <w:r w:rsidRPr="005D59A7">
        <w:rPr>
          <w:rFonts w:ascii="T" w:hAnsi="T" w:cs="Simplified Arabic"/>
          <w:sz w:val="24"/>
          <w:szCs w:val="24"/>
          <w:rtl/>
        </w:rPr>
        <w:t>تكون</w:t>
      </w:r>
      <w:r w:rsidR="0089666A" w:rsidRPr="005D59A7">
        <w:rPr>
          <w:rFonts w:ascii="T" w:hAnsi="T" w:cs="Simplified Arabic"/>
          <w:sz w:val="24"/>
          <w:szCs w:val="24"/>
          <w:rtl/>
        </w:rPr>
        <w:t xml:space="preserve"> </w:t>
      </w:r>
      <w:r w:rsidRPr="005D59A7">
        <w:rPr>
          <w:rFonts w:ascii="T" w:hAnsi="T" w:cs="Simplified Arabic"/>
          <w:sz w:val="24"/>
          <w:szCs w:val="24"/>
          <w:rtl/>
        </w:rPr>
        <w:t>متاحة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القطاع</w:t>
      </w:r>
      <w:r w:rsidR="0089666A" w:rsidRPr="005D59A7">
        <w:rPr>
          <w:rFonts w:ascii="T" w:hAnsi="T" w:cs="Simplified Arabic"/>
          <w:sz w:val="24"/>
          <w:szCs w:val="24"/>
          <w:rtl/>
        </w:rPr>
        <w:t xml:space="preserve"> </w:t>
      </w:r>
      <w:r w:rsidRPr="005D59A7">
        <w:rPr>
          <w:rFonts w:ascii="T" w:hAnsi="T" w:cs="Simplified Arabic"/>
          <w:sz w:val="24"/>
          <w:szCs w:val="24"/>
          <w:rtl/>
        </w:rPr>
        <w:t>العام. وهذا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أن</w:t>
      </w:r>
      <w:r w:rsidR="0089666A" w:rsidRPr="005D59A7">
        <w:rPr>
          <w:rFonts w:ascii="T" w:hAnsi="T" w:cs="Simplified Arabic"/>
          <w:sz w:val="24"/>
          <w:szCs w:val="24"/>
          <w:rtl/>
        </w:rPr>
        <w:t xml:space="preserve"> </w:t>
      </w:r>
      <w:r w:rsidRPr="005D59A7">
        <w:rPr>
          <w:rFonts w:ascii="T" w:hAnsi="T" w:cs="Simplified Arabic"/>
          <w:sz w:val="24"/>
          <w:szCs w:val="24"/>
          <w:rtl/>
        </w:rPr>
        <w:t>يُؤدي</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تصميم</w:t>
      </w:r>
      <w:r w:rsidR="0089666A" w:rsidRPr="005D59A7">
        <w:rPr>
          <w:rFonts w:ascii="T" w:hAnsi="T" w:cs="Simplified Arabic"/>
          <w:sz w:val="24"/>
          <w:szCs w:val="24"/>
          <w:rtl/>
        </w:rPr>
        <w:t xml:space="preserve"> </w:t>
      </w:r>
      <w:r w:rsidRPr="005D59A7">
        <w:rPr>
          <w:rFonts w:ascii="T" w:hAnsi="T" w:cs="Simplified Arabic"/>
          <w:sz w:val="24"/>
          <w:szCs w:val="24"/>
          <w:rtl/>
        </w:rPr>
        <w:t>وبناء</w:t>
      </w:r>
      <w:r w:rsidR="0089666A" w:rsidRPr="005D59A7">
        <w:rPr>
          <w:rFonts w:ascii="T" w:hAnsi="T" w:cs="Simplified Arabic"/>
          <w:sz w:val="24"/>
          <w:szCs w:val="24"/>
          <w:rtl/>
        </w:rPr>
        <w:t xml:space="preserve"> </w:t>
      </w:r>
      <w:r w:rsidRPr="005D59A7">
        <w:rPr>
          <w:rFonts w:ascii="T" w:hAnsi="T" w:cs="Simplified Arabic"/>
          <w:sz w:val="24"/>
          <w:szCs w:val="24"/>
          <w:rtl/>
        </w:rPr>
        <w:t>وتشغيل</w:t>
      </w:r>
      <w:r w:rsidR="0089666A" w:rsidRPr="005D59A7">
        <w:rPr>
          <w:rFonts w:ascii="T" w:hAnsi="T" w:cs="Simplified Arabic"/>
          <w:sz w:val="24"/>
          <w:szCs w:val="24"/>
          <w:rtl/>
        </w:rPr>
        <w:t xml:space="preserve"> </w:t>
      </w:r>
      <w:r w:rsidRPr="005D59A7">
        <w:rPr>
          <w:rFonts w:ascii="T" w:hAnsi="T" w:cs="Simplified Arabic"/>
          <w:sz w:val="24"/>
          <w:szCs w:val="24"/>
          <w:rtl/>
        </w:rPr>
        <w:t>أكثر</w:t>
      </w:r>
      <w:r w:rsidR="0089666A" w:rsidRPr="005D59A7">
        <w:rPr>
          <w:rFonts w:ascii="T" w:hAnsi="T" w:cs="Simplified Arabic"/>
          <w:sz w:val="24"/>
          <w:szCs w:val="24"/>
          <w:rtl/>
        </w:rPr>
        <w:t xml:space="preserve"> </w:t>
      </w:r>
      <w:r w:rsidRPr="005D59A7">
        <w:rPr>
          <w:rFonts w:ascii="T" w:hAnsi="T" w:cs="Simplified Arabic"/>
          <w:sz w:val="24"/>
          <w:szCs w:val="24"/>
          <w:rtl/>
        </w:rPr>
        <w:t>كفاءة</w:t>
      </w:r>
      <w:r w:rsidR="0089666A" w:rsidRPr="005D59A7">
        <w:rPr>
          <w:rFonts w:ascii="T" w:hAnsi="T" w:cs="Simplified Arabic"/>
          <w:sz w:val="24"/>
          <w:szCs w:val="24"/>
          <w:rtl/>
        </w:rPr>
        <w:t xml:space="preserve"> </w:t>
      </w:r>
      <w:r w:rsidRPr="005D59A7">
        <w:rPr>
          <w:rFonts w:ascii="T" w:hAnsi="T" w:cs="Simplified Arabic"/>
          <w:sz w:val="24"/>
          <w:szCs w:val="24"/>
          <w:rtl/>
        </w:rPr>
        <w:t>للمشاريع.</w:t>
      </w:r>
    </w:p>
    <w:p w14:paraId="2B4A75C0" w14:textId="27DA7772"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تعزيز</w:t>
      </w:r>
      <w:r w:rsidR="00444E8E" w:rsidRPr="005D59A7">
        <w:rPr>
          <w:rFonts w:ascii="T" w:hAnsi="T" w:cs="Simplified Arabic"/>
          <w:sz w:val="24"/>
          <w:szCs w:val="24"/>
          <w:rtl/>
        </w:rPr>
        <w:t xml:space="preserve"> </w:t>
      </w:r>
      <w:r w:rsidRPr="005D59A7">
        <w:rPr>
          <w:rFonts w:ascii="T" w:hAnsi="T" w:cs="Simplified Arabic"/>
          <w:sz w:val="24"/>
          <w:szCs w:val="24"/>
          <w:rtl/>
        </w:rPr>
        <w:t>الكفاءة</w:t>
      </w:r>
      <w:r w:rsidR="00444E8E" w:rsidRPr="005D59A7">
        <w:rPr>
          <w:rFonts w:ascii="T" w:hAnsi="T" w:cs="Simplified Arabic"/>
          <w:sz w:val="24"/>
          <w:szCs w:val="24"/>
          <w:rtl/>
        </w:rPr>
        <w:t xml:space="preserve"> </w:t>
      </w:r>
      <w:r w:rsidRPr="005D59A7">
        <w:rPr>
          <w:rFonts w:ascii="T" w:hAnsi="T" w:cs="Simplified Arabic"/>
          <w:sz w:val="24"/>
          <w:szCs w:val="24"/>
          <w:rtl/>
        </w:rPr>
        <w:t>والابتكار:تحسين</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يُقدم</w:t>
      </w:r>
      <w:r w:rsidR="00444E8E" w:rsidRPr="005D59A7">
        <w:rPr>
          <w:rFonts w:ascii="T" w:hAnsi="T" w:cs="Simplified Arabic"/>
          <w:sz w:val="24"/>
          <w:szCs w:val="24"/>
          <w:rtl/>
        </w:rPr>
        <w:t xml:space="preserve"> </w:t>
      </w:r>
      <w:r w:rsidRPr="005D59A7">
        <w:rPr>
          <w:rFonts w:ascii="T" w:hAnsi="T" w:cs="Simplified Arabic"/>
          <w:sz w:val="24"/>
          <w:szCs w:val="24"/>
          <w:rtl/>
        </w:rPr>
        <w:t>شركاء</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تقنيات</w:t>
      </w:r>
      <w:r w:rsidR="00444E8E" w:rsidRPr="005D59A7">
        <w:rPr>
          <w:rFonts w:ascii="T" w:hAnsi="T" w:cs="Simplified Arabic"/>
          <w:sz w:val="24"/>
          <w:szCs w:val="24"/>
          <w:rtl/>
        </w:rPr>
        <w:t xml:space="preserve"> </w:t>
      </w:r>
      <w:r w:rsidRPr="005D59A7">
        <w:rPr>
          <w:rFonts w:ascii="T" w:hAnsi="T" w:cs="Simplified Arabic"/>
          <w:sz w:val="24"/>
          <w:szCs w:val="24"/>
          <w:rtl/>
        </w:rPr>
        <w:t>إدارة</w:t>
      </w:r>
      <w:r w:rsidR="00444E8E" w:rsidRPr="005D59A7">
        <w:rPr>
          <w:rFonts w:ascii="T" w:hAnsi="T" w:cs="Simplified Arabic"/>
          <w:sz w:val="24"/>
          <w:szCs w:val="24"/>
          <w:rtl/>
        </w:rPr>
        <w:t xml:space="preserve"> </w:t>
      </w:r>
      <w:r w:rsidRPr="005D59A7">
        <w:rPr>
          <w:rFonts w:ascii="T" w:hAnsi="T" w:cs="Simplified Arabic"/>
          <w:sz w:val="24"/>
          <w:szCs w:val="24"/>
          <w:rtl/>
        </w:rPr>
        <w:t>مشاريع</w:t>
      </w:r>
      <w:r w:rsidR="00444E8E" w:rsidRPr="005D59A7">
        <w:rPr>
          <w:rFonts w:ascii="T" w:hAnsi="T" w:cs="Simplified Arabic"/>
          <w:sz w:val="24"/>
          <w:szCs w:val="24"/>
          <w:rtl/>
        </w:rPr>
        <w:t xml:space="preserve"> </w:t>
      </w:r>
      <w:r w:rsidRPr="005D59A7">
        <w:rPr>
          <w:rFonts w:ascii="T" w:hAnsi="T" w:cs="Simplified Arabic"/>
          <w:sz w:val="24"/>
          <w:szCs w:val="24"/>
          <w:rtl/>
        </w:rPr>
        <w:t>متطورة،</w:t>
      </w:r>
      <w:r w:rsidR="00444E8E" w:rsidRPr="005D59A7">
        <w:rPr>
          <w:rFonts w:ascii="T" w:hAnsi="T" w:cs="Simplified Arabic"/>
          <w:sz w:val="24"/>
          <w:szCs w:val="24"/>
          <w:rtl/>
        </w:rPr>
        <w:t xml:space="preserve"> </w:t>
      </w:r>
      <w:r w:rsidRPr="005D59A7">
        <w:rPr>
          <w:rFonts w:ascii="T" w:hAnsi="T" w:cs="Simplified Arabic"/>
          <w:sz w:val="24"/>
          <w:szCs w:val="24"/>
          <w:rtl/>
        </w:rPr>
        <w:t>وعمليات</w:t>
      </w:r>
      <w:r w:rsidR="00444E8E" w:rsidRPr="005D59A7">
        <w:rPr>
          <w:rFonts w:ascii="T" w:hAnsi="T" w:cs="Simplified Arabic"/>
          <w:sz w:val="24"/>
          <w:szCs w:val="24"/>
          <w:rtl/>
        </w:rPr>
        <w:t xml:space="preserve"> </w:t>
      </w:r>
      <w:r w:rsidRPr="005D59A7">
        <w:rPr>
          <w:rFonts w:ascii="T" w:hAnsi="T" w:cs="Simplified Arabic"/>
          <w:sz w:val="24"/>
          <w:szCs w:val="24"/>
          <w:rtl/>
        </w:rPr>
        <w:t>مُبسطة،</w:t>
      </w:r>
      <w:r w:rsidR="00444E8E" w:rsidRPr="005D59A7">
        <w:rPr>
          <w:rFonts w:ascii="T" w:hAnsi="T" w:cs="Simplified Arabic"/>
          <w:sz w:val="24"/>
          <w:szCs w:val="24"/>
          <w:rtl/>
        </w:rPr>
        <w:t xml:space="preserve"> </w:t>
      </w:r>
      <w:r w:rsidRPr="005D59A7">
        <w:rPr>
          <w:rFonts w:ascii="T" w:hAnsi="T" w:cs="Simplified Arabic"/>
          <w:sz w:val="24"/>
          <w:szCs w:val="24"/>
          <w:rtl/>
        </w:rPr>
        <w:t>وتركيزًا</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الأداء،</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يُسهم</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تسريع</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w:t>
      </w:r>
      <w:r w:rsidR="00444E8E" w:rsidRPr="005D59A7">
        <w:rPr>
          <w:rFonts w:ascii="T" w:hAnsi="T" w:cs="Simplified Arabic"/>
          <w:sz w:val="24"/>
          <w:szCs w:val="24"/>
          <w:rtl/>
        </w:rPr>
        <w:t xml:space="preserve"> </w:t>
      </w:r>
      <w:r w:rsidRPr="005D59A7">
        <w:rPr>
          <w:rFonts w:ascii="T" w:hAnsi="T" w:cs="Simplified Arabic"/>
          <w:sz w:val="24"/>
          <w:szCs w:val="24"/>
          <w:rtl/>
        </w:rPr>
        <w:t>وتقليل</w:t>
      </w:r>
      <w:r w:rsidR="00444E8E" w:rsidRPr="005D59A7">
        <w:rPr>
          <w:rFonts w:ascii="T" w:hAnsi="T" w:cs="Simplified Arabic"/>
          <w:sz w:val="24"/>
          <w:szCs w:val="24"/>
          <w:rtl/>
        </w:rPr>
        <w:t xml:space="preserve"> </w:t>
      </w:r>
      <w:r w:rsidRPr="005D59A7">
        <w:rPr>
          <w:rFonts w:ascii="T" w:hAnsi="T" w:cs="Simplified Arabic"/>
          <w:sz w:val="24"/>
          <w:szCs w:val="24"/>
          <w:rtl/>
        </w:rPr>
        <w:t>التأخير.</w:t>
      </w:r>
    </w:p>
    <w:p w14:paraId="62941A12"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الابتكار: تُحرك</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الخاصة</w:t>
      </w:r>
      <w:r w:rsidR="00444E8E" w:rsidRPr="005D59A7">
        <w:rPr>
          <w:rFonts w:ascii="T" w:hAnsi="T" w:cs="Simplified Arabic"/>
          <w:sz w:val="24"/>
          <w:szCs w:val="24"/>
          <w:rtl/>
        </w:rPr>
        <w:t xml:space="preserve"> </w:t>
      </w:r>
      <w:r w:rsidRPr="005D59A7">
        <w:rPr>
          <w:rFonts w:ascii="T" w:hAnsi="T" w:cs="Simplified Arabic"/>
          <w:sz w:val="24"/>
          <w:szCs w:val="24"/>
          <w:rtl/>
        </w:rPr>
        <w:t>دوافع</w:t>
      </w:r>
      <w:r w:rsidR="00444E8E" w:rsidRPr="005D59A7">
        <w:rPr>
          <w:rFonts w:ascii="T" w:hAnsi="T" w:cs="Simplified Arabic"/>
          <w:sz w:val="24"/>
          <w:szCs w:val="24"/>
          <w:rtl/>
        </w:rPr>
        <w:t xml:space="preserve"> </w:t>
      </w:r>
      <w:r w:rsidRPr="005D59A7">
        <w:rPr>
          <w:rFonts w:ascii="T" w:hAnsi="T" w:cs="Simplified Arabic"/>
          <w:sz w:val="24"/>
          <w:szCs w:val="24"/>
          <w:rtl/>
        </w:rPr>
        <w:t>الربح</w:t>
      </w:r>
      <w:r w:rsidR="00444E8E" w:rsidRPr="005D59A7">
        <w:rPr>
          <w:rFonts w:ascii="T" w:hAnsi="T" w:cs="Simplified Arabic"/>
          <w:sz w:val="24"/>
          <w:szCs w:val="24"/>
          <w:rtl/>
        </w:rPr>
        <w:t xml:space="preserve"> </w:t>
      </w:r>
      <w:r w:rsidRPr="005D59A7">
        <w:rPr>
          <w:rFonts w:ascii="T" w:hAnsi="T" w:cs="Simplified Arabic"/>
          <w:sz w:val="24"/>
          <w:szCs w:val="24"/>
          <w:rtl/>
        </w:rPr>
        <w:t>والمنافسة،</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يُعزز</w:t>
      </w:r>
      <w:r w:rsidR="00444E8E" w:rsidRPr="005D59A7">
        <w:rPr>
          <w:rFonts w:ascii="T" w:hAnsi="T" w:cs="Simplified Arabic"/>
          <w:sz w:val="24"/>
          <w:szCs w:val="24"/>
          <w:rtl/>
        </w:rPr>
        <w:t xml:space="preserve"> </w:t>
      </w:r>
      <w:r w:rsidRPr="005D59A7">
        <w:rPr>
          <w:rFonts w:ascii="T" w:hAnsi="T" w:cs="Simplified Arabic"/>
          <w:sz w:val="24"/>
          <w:szCs w:val="24"/>
          <w:rtl/>
        </w:rPr>
        <w:t>الابتكار</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التكنولوجيا</w:t>
      </w:r>
      <w:r w:rsidR="00444E8E" w:rsidRPr="005D59A7">
        <w:rPr>
          <w:rFonts w:ascii="T" w:hAnsi="T" w:cs="Simplified Arabic"/>
          <w:sz w:val="24"/>
          <w:szCs w:val="24"/>
          <w:rtl/>
        </w:rPr>
        <w:t xml:space="preserve"> </w:t>
      </w:r>
      <w:r w:rsidRPr="005D59A7">
        <w:rPr>
          <w:rFonts w:ascii="T" w:hAnsi="T" w:cs="Simplified Arabic"/>
          <w:sz w:val="24"/>
          <w:szCs w:val="24"/>
          <w:rtl/>
        </w:rPr>
        <w:t>والعمليات</w:t>
      </w:r>
      <w:r w:rsidR="00444E8E" w:rsidRPr="005D59A7">
        <w:rPr>
          <w:rFonts w:ascii="T" w:hAnsi="T" w:cs="Simplified Arabic"/>
          <w:sz w:val="24"/>
          <w:szCs w:val="24"/>
          <w:rtl/>
        </w:rPr>
        <w:t xml:space="preserve"> </w:t>
      </w:r>
      <w:r w:rsidRPr="005D59A7">
        <w:rPr>
          <w:rFonts w:ascii="T" w:hAnsi="T" w:cs="Simplified Arabic"/>
          <w:sz w:val="24"/>
          <w:szCs w:val="24"/>
          <w:rtl/>
        </w:rPr>
        <w:t>وتقديم</w:t>
      </w:r>
      <w:r w:rsidR="00444E8E" w:rsidRPr="005D59A7">
        <w:rPr>
          <w:rFonts w:ascii="T" w:hAnsi="T" w:cs="Simplified Arabic"/>
          <w:sz w:val="24"/>
          <w:szCs w:val="24"/>
          <w:rtl/>
        </w:rPr>
        <w:t xml:space="preserve"> </w:t>
      </w:r>
      <w:r w:rsidRPr="005D59A7">
        <w:rPr>
          <w:rFonts w:ascii="T" w:hAnsi="T" w:cs="Simplified Arabic"/>
          <w:sz w:val="24"/>
          <w:szCs w:val="24"/>
          <w:rtl/>
        </w:rPr>
        <w:t>الخدمات. وهذا</w:t>
      </w:r>
      <w:r w:rsidR="00444E8E" w:rsidRPr="005D59A7">
        <w:rPr>
          <w:rFonts w:ascii="T" w:hAnsi="T" w:cs="Simplified Arabic"/>
          <w:sz w:val="24"/>
          <w:szCs w:val="24"/>
          <w:rtl/>
        </w:rPr>
        <w:t xml:space="preserve"> </w:t>
      </w:r>
      <w:r w:rsidRPr="005D59A7">
        <w:rPr>
          <w:rFonts w:ascii="T" w:hAnsi="T" w:cs="Simplified Arabic"/>
          <w:sz w:val="24"/>
          <w:szCs w:val="24"/>
          <w:rtl/>
        </w:rPr>
        <w:t>يُؤدي</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حلول</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وفعالية</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التكلفة.</w:t>
      </w:r>
    </w:p>
    <w:p w14:paraId="66B8FDC7" w14:textId="77777777" w:rsidR="005A5496"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نهج</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الشاملة: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تُراعي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دورة</w:t>
      </w:r>
      <w:r w:rsidR="00444E8E" w:rsidRPr="005D59A7">
        <w:rPr>
          <w:rFonts w:ascii="T" w:hAnsi="T" w:cs="Simplified Arabic"/>
          <w:sz w:val="24"/>
          <w:szCs w:val="24"/>
          <w:rtl/>
        </w:rPr>
        <w:t xml:space="preserve"> </w:t>
      </w:r>
      <w:r w:rsidRPr="005D59A7">
        <w:rPr>
          <w:rFonts w:ascii="T" w:hAnsi="T" w:cs="Simplified Arabic"/>
          <w:sz w:val="24"/>
          <w:szCs w:val="24"/>
          <w:rtl/>
        </w:rPr>
        <w:t>حياة</w:t>
      </w:r>
      <w:r w:rsidR="00444E8E" w:rsidRPr="005D59A7">
        <w:rPr>
          <w:rFonts w:ascii="T" w:hAnsi="T" w:cs="Simplified Arabic"/>
          <w:sz w:val="24"/>
          <w:szCs w:val="24"/>
          <w:rtl/>
        </w:rPr>
        <w:t xml:space="preserve"> </w:t>
      </w:r>
      <w:r w:rsidRPr="005D59A7">
        <w:rPr>
          <w:rFonts w:ascii="T" w:hAnsi="T" w:cs="Simplified Arabic"/>
          <w:sz w:val="24"/>
          <w:szCs w:val="24"/>
          <w:rtl/>
        </w:rPr>
        <w:t>المشروع</w:t>
      </w:r>
      <w:r w:rsidR="00444E8E" w:rsidRPr="005D59A7">
        <w:rPr>
          <w:rFonts w:ascii="T" w:hAnsi="T" w:cs="Simplified Arabic"/>
          <w:sz w:val="24"/>
          <w:szCs w:val="24"/>
          <w:rtl/>
        </w:rPr>
        <w:t xml:space="preserve"> </w:t>
      </w:r>
      <w:r w:rsidRPr="005D59A7">
        <w:rPr>
          <w:rFonts w:ascii="T" w:hAnsi="T" w:cs="Simplified Arabic"/>
          <w:sz w:val="24"/>
          <w:szCs w:val="24"/>
          <w:rtl/>
        </w:rPr>
        <w:t>بأكملها،</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يُحفز</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أعمال</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والصيانة</w:t>
      </w:r>
      <w:r w:rsidR="00444E8E" w:rsidRPr="005D59A7">
        <w:rPr>
          <w:rFonts w:ascii="T" w:hAnsi="T" w:cs="Simplified Arabic"/>
          <w:sz w:val="24"/>
          <w:szCs w:val="24"/>
          <w:rtl/>
        </w:rPr>
        <w:t xml:space="preserve"> </w:t>
      </w:r>
      <w:r w:rsidRPr="005D59A7">
        <w:rPr>
          <w:rFonts w:ascii="T" w:hAnsi="T" w:cs="Simplified Arabic"/>
          <w:sz w:val="24"/>
          <w:szCs w:val="24"/>
          <w:rtl/>
        </w:rPr>
        <w:t>المستمرة</w:t>
      </w:r>
      <w:r w:rsidR="00444E8E" w:rsidRPr="005D59A7">
        <w:rPr>
          <w:rFonts w:ascii="T" w:hAnsi="T" w:cs="Simplified Arabic"/>
          <w:sz w:val="24"/>
          <w:szCs w:val="24"/>
          <w:rtl/>
        </w:rPr>
        <w:t xml:space="preserve"> </w:t>
      </w:r>
      <w:r w:rsidRPr="005D59A7">
        <w:rPr>
          <w:rFonts w:ascii="T" w:hAnsi="T" w:cs="Simplified Arabic"/>
          <w:sz w:val="24"/>
          <w:szCs w:val="24"/>
          <w:rtl/>
        </w:rPr>
        <w:t>لتقليل</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p>
    <w:p w14:paraId="4E0D94E8" w14:textId="03251EDE"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تقاسم</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وإدارتها:التوزيع</w:t>
      </w:r>
      <w:r w:rsidR="00444E8E" w:rsidRPr="005D59A7">
        <w:rPr>
          <w:rFonts w:ascii="T" w:hAnsi="T" w:cs="Simplified Arabic"/>
          <w:sz w:val="24"/>
          <w:szCs w:val="24"/>
          <w:rtl/>
        </w:rPr>
        <w:t xml:space="preserve"> </w:t>
      </w:r>
      <w:r w:rsidRPr="005D59A7">
        <w:rPr>
          <w:rFonts w:ascii="T" w:hAnsi="T" w:cs="Simplified Arabic"/>
          <w:sz w:val="24"/>
          <w:szCs w:val="24"/>
          <w:rtl/>
        </w:rPr>
        <w:t>الأمثل</w:t>
      </w:r>
      <w:r w:rsidR="00444E8E" w:rsidRPr="005D59A7">
        <w:rPr>
          <w:rFonts w:ascii="T" w:hAnsi="T" w:cs="Simplified Arabic"/>
          <w:sz w:val="24"/>
          <w:szCs w:val="24"/>
          <w:rtl/>
        </w:rPr>
        <w:t xml:space="preserve"> </w:t>
      </w:r>
      <w:r w:rsidRPr="005D59A7">
        <w:rPr>
          <w:rFonts w:ascii="T" w:hAnsi="T" w:cs="Simplified Arabic"/>
          <w:sz w:val="24"/>
          <w:szCs w:val="24"/>
          <w:rtl/>
        </w:rPr>
        <w:t>للمخاطر: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توزيع</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والخاصة،</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يتحمل</w:t>
      </w:r>
      <w:r w:rsidR="00444E8E" w:rsidRPr="005D59A7">
        <w:rPr>
          <w:rFonts w:ascii="T" w:hAnsi="T" w:cs="Simplified Arabic"/>
          <w:sz w:val="24"/>
          <w:szCs w:val="24"/>
          <w:rtl/>
        </w:rPr>
        <w:t xml:space="preserve"> </w:t>
      </w:r>
      <w:r w:rsidRPr="005D59A7">
        <w:rPr>
          <w:rFonts w:ascii="T" w:hAnsi="T" w:cs="Simplified Arabic"/>
          <w:sz w:val="24"/>
          <w:szCs w:val="24"/>
          <w:rtl/>
        </w:rPr>
        <w:t>كل</w:t>
      </w:r>
      <w:r w:rsidR="00444E8E" w:rsidRPr="005D59A7">
        <w:rPr>
          <w:rFonts w:ascii="T" w:hAnsi="T" w:cs="Simplified Arabic"/>
          <w:sz w:val="24"/>
          <w:szCs w:val="24"/>
          <w:rtl/>
        </w:rPr>
        <w:t xml:space="preserve"> </w:t>
      </w:r>
      <w:r w:rsidRPr="005D59A7">
        <w:rPr>
          <w:rFonts w:ascii="T" w:hAnsi="T" w:cs="Simplified Arabic"/>
          <w:sz w:val="24"/>
          <w:szCs w:val="24"/>
          <w:rtl/>
        </w:rPr>
        <w:t>طرف</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التي</w:t>
      </w:r>
      <w:r w:rsidR="00444E8E" w:rsidRPr="005D59A7">
        <w:rPr>
          <w:rFonts w:ascii="T" w:hAnsi="T" w:cs="Simplified Arabic"/>
          <w:sz w:val="24"/>
          <w:szCs w:val="24"/>
          <w:rtl/>
        </w:rPr>
        <w:t xml:space="preserve"> </w:t>
      </w:r>
      <w:r w:rsidRPr="005D59A7">
        <w:rPr>
          <w:rFonts w:ascii="T" w:hAnsi="T" w:cs="Simplified Arabic"/>
          <w:sz w:val="24"/>
          <w:szCs w:val="24"/>
          <w:rtl/>
        </w:rPr>
        <w:t>يُعدّ</w:t>
      </w:r>
      <w:r w:rsidR="00444E8E" w:rsidRPr="005D59A7">
        <w:rPr>
          <w:rFonts w:ascii="T" w:hAnsi="T" w:cs="Simplified Arabic"/>
          <w:sz w:val="24"/>
          <w:szCs w:val="24"/>
          <w:rtl/>
        </w:rPr>
        <w:t xml:space="preserve"> </w:t>
      </w:r>
      <w:r w:rsidRPr="005D59A7">
        <w:rPr>
          <w:rFonts w:ascii="T" w:hAnsi="T" w:cs="Simplified Arabic"/>
          <w:sz w:val="24"/>
          <w:szCs w:val="24"/>
          <w:rtl/>
        </w:rPr>
        <w:t>الأقدر</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تقييمها</w:t>
      </w:r>
      <w:r w:rsidR="00444E8E" w:rsidRPr="005D59A7">
        <w:rPr>
          <w:rFonts w:ascii="T" w:hAnsi="T" w:cs="Simplified Arabic"/>
          <w:sz w:val="24"/>
          <w:szCs w:val="24"/>
          <w:rtl/>
        </w:rPr>
        <w:t xml:space="preserve"> </w:t>
      </w:r>
      <w:r w:rsidRPr="005D59A7">
        <w:rPr>
          <w:rFonts w:ascii="T" w:hAnsi="T" w:cs="Simplified Arabic"/>
          <w:sz w:val="24"/>
          <w:szCs w:val="24"/>
          <w:rtl/>
        </w:rPr>
        <w:t>والتحكم</w:t>
      </w:r>
      <w:r w:rsidR="00444E8E" w:rsidRPr="005D59A7">
        <w:rPr>
          <w:rFonts w:ascii="T" w:hAnsi="T" w:cs="Simplified Arabic"/>
          <w:sz w:val="24"/>
          <w:szCs w:val="24"/>
          <w:rtl/>
        </w:rPr>
        <w:t xml:space="preserve"> </w:t>
      </w:r>
      <w:r w:rsidRPr="005D59A7">
        <w:rPr>
          <w:rFonts w:ascii="T" w:hAnsi="T" w:cs="Simplified Arabic"/>
          <w:sz w:val="24"/>
          <w:szCs w:val="24"/>
          <w:rtl/>
        </w:rPr>
        <w:t>فيها</w:t>
      </w:r>
      <w:r w:rsidR="00444E8E" w:rsidRPr="005D59A7">
        <w:rPr>
          <w:rFonts w:ascii="T" w:hAnsi="T" w:cs="Simplified Arabic"/>
          <w:sz w:val="24"/>
          <w:szCs w:val="24"/>
          <w:rtl/>
        </w:rPr>
        <w:t xml:space="preserve"> </w:t>
      </w:r>
      <w:r w:rsidRPr="005D59A7">
        <w:rPr>
          <w:rFonts w:ascii="T" w:hAnsi="T" w:cs="Simplified Arabic"/>
          <w:sz w:val="24"/>
          <w:szCs w:val="24"/>
          <w:rtl/>
        </w:rPr>
        <w:t>ومواجهتها. ويشمل</w:t>
      </w:r>
      <w:r w:rsidR="00444E8E" w:rsidRPr="005D59A7">
        <w:rPr>
          <w:rFonts w:ascii="T" w:hAnsi="T" w:cs="Simplified Arabic"/>
          <w:sz w:val="24"/>
          <w:szCs w:val="24"/>
          <w:rtl/>
        </w:rPr>
        <w:t xml:space="preserve"> </w:t>
      </w:r>
      <w:r w:rsidRPr="005D59A7">
        <w:rPr>
          <w:rFonts w:ascii="T" w:hAnsi="T" w:cs="Simplified Arabic"/>
          <w:sz w:val="24"/>
          <w:szCs w:val="24"/>
          <w:rtl/>
        </w:rPr>
        <w:t>ذلك</w:t>
      </w:r>
      <w:r w:rsidR="00444E8E" w:rsidRPr="005D59A7">
        <w:rPr>
          <w:rFonts w:ascii="T" w:hAnsi="T" w:cs="Simplified Arabic"/>
          <w:sz w:val="24"/>
          <w:szCs w:val="24"/>
          <w:rtl/>
        </w:rPr>
        <w:t xml:space="preserve"> </w:t>
      </w:r>
      <w:r w:rsidRPr="005D59A7">
        <w:rPr>
          <w:rFonts w:ascii="T" w:hAnsi="T" w:cs="Simplified Arabic"/>
          <w:sz w:val="24"/>
          <w:szCs w:val="24"/>
          <w:rtl/>
        </w:rPr>
        <w:t>مخاطر</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التشغيلية،</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المالية.</w:t>
      </w:r>
    </w:p>
    <w:p w14:paraId="7A1679DF" w14:textId="77777777" w:rsidR="00EA148A"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المساءلة: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تتضمن</w:t>
      </w:r>
      <w:r w:rsidR="00444E8E" w:rsidRPr="005D59A7">
        <w:rPr>
          <w:rFonts w:ascii="T" w:hAnsi="T" w:cs="Simplified Arabic"/>
          <w:sz w:val="24"/>
          <w:szCs w:val="24"/>
          <w:rtl/>
        </w:rPr>
        <w:t xml:space="preserve"> </w:t>
      </w:r>
      <w:r w:rsidRPr="005D59A7">
        <w:rPr>
          <w:rFonts w:ascii="T" w:hAnsi="T" w:cs="Simplified Arabic"/>
          <w:sz w:val="24"/>
          <w:szCs w:val="24"/>
          <w:rtl/>
        </w:rPr>
        <w:t>الاتفاقيات</w:t>
      </w:r>
      <w:r w:rsidR="00444E8E" w:rsidRPr="005D59A7">
        <w:rPr>
          <w:rFonts w:ascii="T" w:hAnsi="T" w:cs="Simplified Arabic"/>
          <w:sz w:val="24"/>
          <w:szCs w:val="24"/>
          <w:rtl/>
        </w:rPr>
        <w:t xml:space="preserve"> </w:t>
      </w:r>
      <w:r w:rsidRPr="005D59A7">
        <w:rPr>
          <w:rFonts w:ascii="T" w:hAnsi="T" w:cs="Simplified Arabic"/>
          <w:sz w:val="24"/>
          <w:szCs w:val="24"/>
          <w:rtl/>
        </w:rPr>
        <w:t>التعاقدية</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مؤشرات</w:t>
      </w:r>
      <w:r w:rsidR="00444E8E" w:rsidRPr="005D59A7">
        <w:rPr>
          <w:rFonts w:ascii="T" w:hAnsi="T" w:cs="Simplified Arabic"/>
          <w:sz w:val="24"/>
          <w:szCs w:val="24"/>
          <w:rtl/>
        </w:rPr>
        <w:t xml:space="preserve"> </w:t>
      </w:r>
      <w:r w:rsidRPr="005D59A7">
        <w:rPr>
          <w:rFonts w:ascii="T" w:hAnsi="T" w:cs="Simplified Arabic"/>
          <w:sz w:val="24"/>
          <w:szCs w:val="24"/>
          <w:rtl/>
        </w:rPr>
        <w:t>ومعايير</w:t>
      </w:r>
      <w:r w:rsidR="00444E8E" w:rsidRPr="005D59A7">
        <w:rPr>
          <w:rFonts w:ascii="T" w:hAnsi="T" w:cs="Simplified Arabic"/>
          <w:sz w:val="24"/>
          <w:szCs w:val="24"/>
          <w:rtl/>
        </w:rPr>
        <w:t xml:space="preserve"> </w:t>
      </w:r>
      <w:r w:rsidRPr="005D59A7">
        <w:rPr>
          <w:rFonts w:ascii="T" w:hAnsi="T" w:cs="Simplified Arabic"/>
          <w:sz w:val="24"/>
          <w:szCs w:val="24"/>
          <w:rtl/>
        </w:rPr>
        <w:t>أداء</w:t>
      </w:r>
      <w:r w:rsidR="00444E8E" w:rsidRPr="005D59A7">
        <w:rPr>
          <w:rFonts w:ascii="T" w:hAnsi="T" w:cs="Simplified Arabic"/>
          <w:sz w:val="24"/>
          <w:szCs w:val="24"/>
          <w:rtl/>
        </w:rPr>
        <w:t xml:space="preserve"> </w:t>
      </w:r>
      <w:r w:rsidRPr="005D59A7">
        <w:rPr>
          <w:rFonts w:ascii="T" w:hAnsi="T" w:cs="Simplified Arabic"/>
          <w:sz w:val="24"/>
          <w:szCs w:val="24"/>
          <w:rtl/>
        </w:rPr>
        <w:t>واضحة،</w:t>
      </w:r>
      <w:r w:rsidR="00444E8E" w:rsidRPr="005D59A7">
        <w:rPr>
          <w:rFonts w:ascii="T" w:hAnsi="T" w:cs="Simplified Arabic"/>
          <w:sz w:val="24"/>
          <w:szCs w:val="24"/>
          <w:rtl/>
        </w:rPr>
        <w:t xml:space="preserve"> </w:t>
      </w:r>
      <w:r w:rsidRPr="005D59A7">
        <w:rPr>
          <w:rFonts w:ascii="T" w:hAnsi="T" w:cs="Simplified Arabic"/>
          <w:sz w:val="24"/>
          <w:szCs w:val="24"/>
          <w:rtl/>
        </w:rPr>
        <w:t>تُحمّل</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مسؤولية</w:t>
      </w:r>
      <w:r w:rsidR="00444E8E" w:rsidRPr="005D59A7">
        <w:rPr>
          <w:rFonts w:ascii="T" w:hAnsi="T" w:cs="Simplified Arabic"/>
          <w:sz w:val="24"/>
          <w:szCs w:val="24"/>
          <w:rtl/>
        </w:rPr>
        <w:t xml:space="preserve"> </w:t>
      </w:r>
      <w:r w:rsidRPr="005D59A7">
        <w:rPr>
          <w:rFonts w:ascii="T" w:hAnsi="T" w:cs="Simplified Arabic"/>
          <w:sz w:val="24"/>
          <w:szCs w:val="24"/>
          <w:rtl/>
        </w:rPr>
        <w:t>تحقيق</w:t>
      </w:r>
      <w:r w:rsidR="00444E8E" w:rsidRPr="005D59A7">
        <w:rPr>
          <w:rFonts w:ascii="T" w:hAnsi="T" w:cs="Simplified Arabic"/>
          <w:sz w:val="24"/>
          <w:szCs w:val="24"/>
          <w:rtl/>
        </w:rPr>
        <w:t xml:space="preserve"> </w:t>
      </w:r>
      <w:r w:rsidRPr="005D59A7">
        <w:rPr>
          <w:rFonts w:ascii="T" w:hAnsi="T" w:cs="Simplified Arabic"/>
          <w:sz w:val="24"/>
          <w:szCs w:val="24"/>
          <w:rtl/>
        </w:rPr>
        <w:t>الأهداف. وغالبًا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ترتبط</w:t>
      </w:r>
      <w:r w:rsidR="00444E8E" w:rsidRPr="005D59A7">
        <w:rPr>
          <w:rFonts w:ascii="T" w:hAnsi="T" w:cs="Simplified Arabic"/>
          <w:sz w:val="24"/>
          <w:szCs w:val="24"/>
          <w:rtl/>
        </w:rPr>
        <w:t xml:space="preserve"> </w:t>
      </w:r>
      <w:r w:rsidRPr="005D59A7">
        <w:rPr>
          <w:rFonts w:ascii="T" w:hAnsi="T" w:cs="Simplified Arabic"/>
          <w:sz w:val="24"/>
          <w:szCs w:val="24"/>
          <w:rtl/>
        </w:rPr>
        <w:t>ربحيتهم بهذه</w:t>
      </w:r>
      <w:r w:rsidR="00444E8E" w:rsidRPr="005D59A7">
        <w:rPr>
          <w:rFonts w:ascii="T" w:hAnsi="T" w:cs="Simplified Arabic"/>
          <w:sz w:val="24"/>
          <w:szCs w:val="24"/>
          <w:rtl/>
        </w:rPr>
        <w:t xml:space="preserve"> </w:t>
      </w:r>
      <w:r w:rsidRPr="005D59A7">
        <w:rPr>
          <w:rFonts w:ascii="T" w:hAnsi="T" w:cs="Simplified Arabic"/>
          <w:sz w:val="24"/>
          <w:szCs w:val="24"/>
          <w:rtl/>
        </w:rPr>
        <w:t>المقاييس.</w:t>
      </w:r>
    </w:p>
    <w:p w14:paraId="152A99A2" w14:textId="421DE4F1"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وتحقيق</w:t>
      </w:r>
      <w:r w:rsidR="00444E8E" w:rsidRPr="005D59A7">
        <w:rPr>
          <w:rFonts w:ascii="T" w:hAnsi="T" w:cs="Simplified Arabic"/>
          <w:sz w:val="24"/>
          <w:szCs w:val="24"/>
          <w:rtl/>
        </w:rPr>
        <w:t xml:space="preserve"> </w:t>
      </w: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المال:خدمات</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 من</w:t>
      </w:r>
      <w:r w:rsidR="00444E8E" w:rsidRPr="005D59A7">
        <w:rPr>
          <w:rFonts w:ascii="T" w:hAnsi="T" w:cs="Simplified Arabic"/>
          <w:sz w:val="24"/>
          <w:szCs w:val="24"/>
          <w:rtl/>
        </w:rPr>
        <w:t xml:space="preserve"> </w:t>
      </w:r>
      <w:r w:rsidRPr="005D59A7">
        <w:rPr>
          <w:rFonts w:ascii="T" w:hAnsi="T" w:cs="Simplified Arabic"/>
          <w:sz w:val="24"/>
          <w:szCs w:val="24"/>
          <w:rtl/>
        </w:rPr>
        <w:t>خلال</w:t>
      </w:r>
      <w:r w:rsidR="00444E8E" w:rsidRPr="005D59A7">
        <w:rPr>
          <w:rFonts w:ascii="T" w:hAnsi="T" w:cs="Simplified Arabic"/>
          <w:sz w:val="24"/>
          <w:szCs w:val="24"/>
          <w:rtl/>
        </w:rPr>
        <w:t xml:space="preserve"> </w:t>
      </w:r>
      <w:r w:rsidRPr="005D59A7">
        <w:rPr>
          <w:rFonts w:ascii="T" w:hAnsi="T" w:cs="Simplified Arabic"/>
          <w:sz w:val="24"/>
          <w:szCs w:val="24"/>
          <w:rtl/>
        </w:rPr>
        <w:t>دمج</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وابتكاراته،</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تؤدي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تقديمها،</w:t>
      </w:r>
      <w:r w:rsidR="00444E8E" w:rsidRPr="005D59A7">
        <w:rPr>
          <w:rFonts w:ascii="T" w:hAnsi="T" w:cs="Simplified Arabic"/>
          <w:sz w:val="24"/>
          <w:szCs w:val="24"/>
          <w:rtl/>
        </w:rPr>
        <w:t xml:space="preserve"> </w:t>
      </w:r>
      <w:r w:rsidRPr="005D59A7">
        <w:rPr>
          <w:rFonts w:ascii="T" w:hAnsi="T" w:cs="Simplified Arabic"/>
          <w:sz w:val="24"/>
          <w:szCs w:val="24"/>
          <w:rtl/>
        </w:rPr>
        <w:t>بدءاً</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شبكات</w:t>
      </w:r>
      <w:r w:rsidR="00444E8E" w:rsidRPr="005D59A7">
        <w:rPr>
          <w:rFonts w:ascii="T" w:hAnsi="T" w:cs="Simplified Arabic"/>
          <w:sz w:val="24"/>
          <w:szCs w:val="24"/>
          <w:rtl/>
        </w:rPr>
        <w:t xml:space="preserve"> </w:t>
      </w:r>
      <w:r w:rsidRPr="005D59A7">
        <w:rPr>
          <w:rFonts w:ascii="T" w:hAnsi="T" w:cs="Simplified Arabic"/>
          <w:sz w:val="24"/>
          <w:szCs w:val="24"/>
          <w:rtl/>
        </w:rPr>
        <w:t>النقل</w:t>
      </w:r>
      <w:r w:rsidR="00444E8E" w:rsidRPr="005D59A7">
        <w:rPr>
          <w:rFonts w:ascii="T" w:hAnsi="T" w:cs="Simplified Arabic"/>
          <w:sz w:val="24"/>
          <w:szCs w:val="24"/>
          <w:rtl/>
        </w:rPr>
        <w:t xml:space="preserve"> </w:t>
      </w:r>
      <w:r w:rsidRPr="005D59A7">
        <w:rPr>
          <w:rFonts w:ascii="T" w:hAnsi="T" w:cs="Simplified Arabic"/>
          <w:sz w:val="24"/>
          <w:szCs w:val="24"/>
          <w:rtl/>
        </w:rPr>
        <w:t>ومرافق</w:t>
      </w:r>
      <w:r w:rsidR="00444E8E" w:rsidRPr="005D59A7">
        <w:rPr>
          <w:rFonts w:ascii="T" w:hAnsi="T" w:cs="Simplified Arabic"/>
          <w:sz w:val="24"/>
          <w:szCs w:val="24"/>
          <w:rtl/>
        </w:rPr>
        <w:t xml:space="preserve"> </w:t>
      </w:r>
      <w:r w:rsidRPr="005D59A7">
        <w:rPr>
          <w:rFonts w:ascii="T" w:hAnsi="T" w:cs="Simplified Arabic"/>
          <w:sz w:val="24"/>
          <w:szCs w:val="24"/>
          <w:rtl/>
        </w:rPr>
        <w:t>الرعاية</w:t>
      </w:r>
      <w:r w:rsidR="00444E8E" w:rsidRPr="005D59A7">
        <w:rPr>
          <w:rFonts w:ascii="T" w:hAnsi="T" w:cs="Simplified Arabic"/>
          <w:sz w:val="24"/>
          <w:szCs w:val="24"/>
          <w:rtl/>
        </w:rPr>
        <w:t xml:space="preserve"> </w:t>
      </w:r>
      <w:r w:rsidRPr="005D59A7">
        <w:rPr>
          <w:rFonts w:ascii="T" w:hAnsi="T" w:cs="Simplified Arabic"/>
          <w:sz w:val="24"/>
          <w:szCs w:val="24"/>
          <w:rtl/>
        </w:rPr>
        <w:t>الصحية</w:t>
      </w:r>
      <w:r w:rsidR="00444E8E" w:rsidRPr="005D59A7">
        <w:rPr>
          <w:rFonts w:ascii="T" w:hAnsi="T" w:cs="Simplified Arabic"/>
          <w:sz w:val="24"/>
          <w:szCs w:val="24"/>
          <w:rtl/>
        </w:rPr>
        <w:t xml:space="preserve"> </w:t>
      </w:r>
      <w:r w:rsidRPr="005D59A7">
        <w:rPr>
          <w:rFonts w:ascii="T" w:hAnsi="T" w:cs="Simplified Arabic"/>
          <w:sz w:val="24"/>
          <w:szCs w:val="24"/>
          <w:rtl/>
        </w:rPr>
        <w:t>ووصولًا</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المؤسسات</w:t>
      </w:r>
      <w:r w:rsidR="00444E8E" w:rsidRPr="005D59A7">
        <w:rPr>
          <w:rFonts w:ascii="T" w:hAnsi="T" w:cs="Simplified Arabic"/>
          <w:sz w:val="24"/>
          <w:szCs w:val="24"/>
          <w:rtl/>
        </w:rPr>
        <w:t xml:space="preserve"> </w:t>
      </w:r>
      <w:r w:rsidRPr="005D59A7">
        <w:rPr>
          <w:rFonts w:ascii="T" w:hAnsi="T" w:cs="Simplified Arabic"/>
          <w:sz w:val="24"/>
          <w:szCs w:val="24"/>
          <w:rtl/>
        </w:rPr>
        <w:t>التعليمية.</w:t>
      </w:r>
    </w:p>
    <w:p w14:paraId="1E548E5B"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 في</w:t>
      </w:r>
      <w:r w:rsidR="00444E8E" w:rsidRPr="005D59A7">
        <w:rPr>
          <w:rFonts w:ascii="T" w:hAnsi="T" w:cs="Simplified Arabic"/>
          <w:sz w:val="24"/>
          <w:szCs w:val="24"/>
          <w:rtl/>
        </w:rPr>
        <w:t xml:space="preserve"> </w:t>
      </w:r>
      <w:r w:rsidRPr="005D59A7">
        <w:rPr>
          <w:rFonts w:ascii="T" w:hAnsi="T" w:cs="Simplified Arabic"/>
          <w:sz w:val="24"/>
          <w:szCs w:val="24"/>
          <w:rtl/>
        </w:rPr>
        <w:t>حين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الأولية</w:t>
      </w:r>
      <w:r w:rsidR="00444E8E" w:rsidRPr="005D59A7">
        <w:rPr>
          <w:rFonts w:ascii="T" w:hAnsi="T" w:cs="Simplified Arabic"/>
          <w:sz w:val="24"/>
          <w:szCs w:val="24"/>
          <w:rtl/>
        </w:rPr>
        <w:t xml:space="preserve"> </w:t>
      </w:r>
      <w:r w:rsidRPr="005D59A7">
        <w:rPr>
          <w:rFonts w:ascii="T" w:hAnsi="T" w:cs="Simplified Arabic"/>
          <w:sz w:val="24"/>
          <w:szCs w:val="24"/>
          <w:rtl/>
        </w:rPr>
        <w:t>قد</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بعض</w:t>
      </w:r>
      <w:r w:rsidR="00444E8E" w:rsidRPr="005D59A7">
        <w:rPr>
          <w:rFonts w:ascii="T" w:hAnsi="T" w:cs="Simplified Arabic"/>
          <w:sz w:val="24"/>
          <w:szCs w:val="24"/>
          <w:rtl/>
        </w:rPr>
        <w:t xml:space="preserve"> </w:t>
      </w:r>
      <w:r w:rsidRPr="005D59A7">
        <w:rPr>
          <w:rFonts w:ascii="T" w:hAnsi="T" w:cs="Simplified Arabic"/>
          <w:sz w:val="24"/>
          <w:szCs w:val="24"/>
          <w:rtl/>
        </w:rPr>
        <w:t>الأحيان،</w:t>
      </w:r>
      <w:r w:rsidR="00444E8E" w:rsidRPr="005D59A7">
        <w:rPr>
          <w:rFonts w:ascii="T" w:hAnsi="T" w:cs="Simplified Arabic"/>
          <w:sz w:val="24"/>
          <w:szCs w:val="24"/>
          <w:rtl/>
        </w:rPr>
        <w:t xml:space="preserve"> </w:t>
      </w:r>
      <w:r w:rsidRPr="005D59A7">
        <w:rPr>
          <w:rFonts w:ascii="T" w:hAnsi="T" w:cs="Simplified Arabic"/>
          <w:sz w:val="24"/>
          <w:szCs w:val="24"/>
          <w:rtl/>
        </w:rPr>
        <w:t>إلا</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القيمة</w:t>
      </w:r>
      <w:r w:rsidR="00444E8E" w:rsidRPr="005D59A7">
        <w:rPr>
          <w:rFonts w:ascii="T" w:hAnsi="T" w:cs="Simplified Arabic"/>
          <w:sz w:val="24"/>
          <w:szCs w:val="24"/>
          <w:rtl/>
        </w:rPr>
        <w:t xml:space="preserve"> </w:t>
      </w:r>
      <w:r w:rsidRPr="005D59A7">
        <w:rPr>
          <w:rFonts w:ascii="T" w:hAnsi="T" w:cs="Simplified Arabic"/>
          <w:sz w:val="24"/>
          <w:szCs w:val="24"/>
          <w:rtl/>
        </w:rPr>
        <w:t>الإجمالية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أكبر</w:t>
      </w:r>
      <w:r w:rsidR="00444E8E" w:rsidRPr="005D59A7">
        <w:rPr>
          <w:rFonts w:ascii="T" w:hAnsi="T" w:cs="Simplified Arabic"/>
          <w:sz w:val="24"/>
          <w:szCs w:val="24"/>
          <w:rtl/>
        </w:rPr>
        <w:t xml:space="preserve"> </w:t>
      </w:r>
      <w:r w:rsidRPr="005D59A7">
        <w:rPr>
          <w:rFonts w:ascii="T" w:hAnsi="T" w:cs="Simplified Arabic"/>
          <w:sz w:val="24"/>
          <w:szCs w:val="24"/>
          <w:rtl/>
        </w:rPr>
        <w:t>بفضل</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التسليم،</w:t>
      </w:r>
      <w:r w:rsidR="00444E8E" w:rsidRPr="005D59A7">
        <w:rPr>
          <w:rFonts w:ascii="T" w:hAnsi="T" w:cs="Simplified Arabic"/>
          <w:sz w:val="24"/>
          <w:szCs w:val="24"/>
          <w:rtl/>
        </w:rPr>
        <w:t xml:space="preserve"> </w:t>
      </w:r>
      <w:r w:rsidRPr="005D59A7">
        <w:rPr>
          <w:rFonts w:ascii="T" w:hAnsi="T" w:cs="Simplified Arabic"/>
          <w:sz w:val="24"/>
          <w:szCs w:val="24"/>
          <w:rtl/>
        </w:rPr>
        <w:t>وتحسين</w:t>
      </w:r>
      <w:r w:rsidR="00444E8E" w:rsidRPr="005D59A7">
        <w:rPr>
          <w:rFonts w:ascii="T" w:hAnsi="T" w:cs="Simplified Arabic"/>
          <w:sz w:val="24"/>
          <w:szCs w:val="24"/>
          <w:rtl/>
        </w:rPr>
        <w:t xml:space="preserve"> </w:t>
      </w:r>
      <w:r w:rsidRPr="005D59A7">
        <w:rPr>
          <w:rFonts w:ascii="T" w:hAnsi="T" w:cs="Simplified Arabic"/>
          <w:sz w:val="24"/>
          <w:szCs w:val="24"/>
          <w:rtl/>
        </w:rPr>
        <w:t>الجودة.</w:t>
      </w:r>
    </w:p>
    <w:p w14:paraId="2CE5FCDF" w14:textId="77777777" w:rsidR="00EA21E0"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الكفاءات</w:t>
      </w:r>
      <w:r w:rsidR="00444E8E" w:rsidRPr="005D59A7">
        <w:rPr>
          <w:rFonts w:ascii="T" w:hAnsi="T" w:cs="Simplified Arabic"/>
          <w:sz w:val="24"/>
          <w:szCs w:val="24"/>
          <w:rtl/>
        </w:rPr>
        <w:t xml:space="preserve"> </w:t>
      </w:r>
      <w:r w:rsidRPr="005D59A7">
        <w:rPr>
          <w:rFonts w:ascii="T" w:hAnsi="T" w:cs="Simplified Arabic"/>
          <w:sz w:val="24"/>
          <w:szCs w:val="24"/>
          <w:rtl/>
        </w:rPr>
        <w:t>الأساسية: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للقطاع</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السياسات</w:t>
      </w:r>
      <w:r w:rsidR="00444E8E" w:rsidRPr="005D59A7">
        <w:rPr>
          <w:rFonts w:ascii="T" w:hAnsi="T" w:cs="Simplified Arabic"/>
          <w:sz w:val="24"/>
          <w:szCs w:val="24"/>
          <w:rtl/>
        </w:rPr>
        <w:t xml:space="preserve"> </w:t>
      </w:r>
      <w:r w:rsidRPr="005D59A7">
        <w:rPr>
          <w:rFonts w:ascii="T" w:hAnsi="T" w:cs="Simplified Arabic"/>
          <w:sz w:val="24"/>
          <w:szCs w:val="24"/>
          <w:rtl/>
        </w:rPr>
        <w:t>والتخطيط</w:t>
      </w:r>
      <w:r w:rsidR="00444E8E" w:rsidRPr="005D59A7">
        <w:rPr>
          <w:rFonts w:ascii="T" w:hAnsi="T" w:cs="Simplified Arabic"/>
          <w:sz w:val="24"/>
          <w:szCs w:val="24"/>
          <w:rtl/>
        </w:rPr>
        <w:t xml:space="preserve"> </w:t>
      </w:r>
      <w:r w:rsidRPr="005D59A7">
        <w:rPr>
          <w:rFonts w:ascii="T" w:hAnsi="T" w:cs="Simplified Arabic"/>
          <w:sz w:val="24"/>
          <w:szCs w:val="24"/>
          <w:rtl/>
        </w:rPr>
        <w:t>والتنظيم،</w:t>
      </w:r>
      <w:r w:rsidR="00444E8E" w:rsidRPr="005D59A7">
        <w:rPr>
          <w:rFonts w:ascii="T" w:hAnsi="T" w:cs="Simplified Arabic"/>
          <w:sz w:val="24"/>
          <w:szCs w:val="24"/>
          <w:rtl/>
        </w:rPr>
        <w:t xml:space="preserve"> </w:t>
      </w:r>
      <w:r w:rsidRPr="005D59A7">
        <w:rPr>
          <w:rFonts w:ascii="T" w:hAnsi="T" w:cs="Simplified Arabic"/>
          <w:sz w:val="24"/>
          <w:szCs w:val="24"/>
          <w:rtl/>
        </w:rPr>
        <w:t>وتفويض</w:t>
      </w:r>
      <w:r w:rsidR="00444E8E" w:rsidRPr="005D59A7">
        <w:rPr>
          <w:rFonts w:ascii="T" w:hAnsi="T" w:cs="Simplified Arabic"/>
          <w:sz w:val="24"/>
          <w:szCs w:val="24"/>
          <w:rtl/>
        </w:rPr>
        <w:t xml:space="preserve"> </w:t>
      </w:r>
      <w:r w:rsidRPr="005D59A7">
        <w:rPr>
          <w:rFonts w:ascii="T" w:hAnsi="T" w:cs="Simplified Arabic"/>
          <w:sz w:val="24"/>
          <w:szCs w:val="24"/>
          <w:rtl/>
        </w:rPr>
        <w:t>العمليات</w:t>
      </w:r>
      <w:r w:rsidR="00444E8E" w:rsidRPr="005D59A7">
        <w:rPr>
          <w:rFonts w:ascii="T" w:hAnsi="T" w:cs="Simplified Arabic"/>
          <w:sz w:val="24"/>
          <w:szCs w:val="24"/>
          <w:rtl/>
        </w:rPr>
        <w:t xml:space="preserve"> </w:t>
      </w:r>
      <w:r w:rsidRPr="005D59A7">
        <w:rPr>
          <w:rFonts w:ascii="T" w:hAnsi="T" w:cs="Simplified Arabic"/>
          <w:sz w:val="24"/>
          <w:szCs w:val="24"/>
          <w:rtl/>
        </w:rPr>
        <w:t>اليومية</w:t>
      </w:r>
      <w:r w:rsidR="00444E8E" w:rsidRPr="005D59A7">
        <w:rPr>
          <w:rFonts w:ascii="T" w:hAnsi="T" w:cs="Simplified Arabic"/>
          <w:sz w:val="24"/>
          <w:szCs w:val="24"/>
          <w:rtl/>
        </w:rPr>
        <w:t xml:space="preserve"> </w:t>
      </w:r>
      <w:r w:rsidRPr="005D59A7">
        <w:rPr>
          <w:rFonts w:ascii="T" w:hAnsi="T" w:cs="Simplified Arabic"/>
          <w:sz w:val="24"/>
          <w:szCs w:val="24"/>
          <w:rtl/>
        </w:rPr>
        <w:t>والمشاريع</w:t>
      </w:r>
      <w:r w:rsidR="003F7572" w:rsidRPr="005D59A7">
        <w:rPr>
          <w:rFonts w:ascii="T" w:hAnsi="T" w:cs="Simplified Arabic"/>
          <w:sz w:val="24"/>
          <w:szCs w:val="24"/>
          <w:rtl/>
        </w:rPr>
        <w:t xml:space="preserve"> ذات</w:t>
      </w:r>
      <w:r w:rsidR="00444E8E" w:rsidRPr="005D59A7">
        <w:rPr>
          <w:rFonts w:ascii="T" w:hAnsi="T" w:cs="Simplified Arabic"/>
          <w:sz w:val="24"/>
          <w:szCs w:val="24"/>
          <w:rtl/>
        </w:rPr>
        <w:t xml:space="preserve"> </w:t>
      </w:r>
      <w:r w:rsidRPr="005D59A7">
        <w:rPr>
          <w:rFonts w:ascii="T" w:hAnsi="T" w:cs="Simplified Arabic"/>
          <w:sz w:val="24"/>
          <w:szCs w:val="24"/>
          <w:rtl/>
        </w:rPr>
        <w:t>رأس</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3F7572" w:rsidRPr="005D59A7">
        <w:rPr>
          <w:rFonts w:ascii="T" w:hAnsi="T" w:cs="Simplified Arabic"/>
          <w:sz w:val="24"/>
          <w:szCs w:val="24"/>
          <w:rtl/>
        </w:rPr>
        <w:t xml:space="preserve"> المرتفع</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p>
    <w:p w14:paraId="6529959A" w14:textId="0FE4D789"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التحفيز</w:t>
      </w:r>
      <w:r w:rsidR="00444E8E"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والنمو:خلق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العمل: يمكن</w:t>
      </w:r>
      <w:r w:rsidR="004F25C0" w:rsidRPr="005D59A7">
        <w:rPr>
          <w:rFonts w:ascii="T" w:hAnsi="T" w:cs="Simplified Arabic"/>
          <w:sz w:val="24"/>
          <w:szCs w:val="24"/>
          <w:rtl/>
        </w:rPr>
        <w:t xml:space="preserve"> </w:t>
      </w:r>
      <w:r w:rsidRPr="005D59A7">
        <w:rPr>
          <w:rFonts w:ascii="T" w:hAnsi="T" w:cs="Simplified Arabic"/>
          <w:sz w:val="24"/>
          <w:szCs w:val="24"/>
          <w:rtl/>
        </w:rPr>
        <w:t>للمشاريع</w:t>
      </w:r>
      <w:r w:rsidR="004F25C0" w:rsidRPr="005D59A7">
        <w:rPr>
          <w:rFonts w:ascii="T" w:hAnsi="T" w:cs="Simplified Arabic"/>
          <w:sz w:val="24"/>
          <w:szCs w:val="24"/>
          <w:rtl/>
        </w:rPr>
        <w:t xml:space="preserve"> </w:t>
      </w:r>
      <w:r w:rsidRPr="005D59A7">
        <w:rPr>
          <w:rFonts w:ascii="T" w:hAnsi="T" w:cs="Simplified Arabic"/>
          <w:sz w:val="24"/>
          <w:szCs w:val="24"/>
          <w:rtl/>
        </w:rPr>
        <w:t>الكبيرة</w:t>
      </w:r>
      <w:r w:rsidR="004F25C0" w:rsidRPr="005D59A7">
        <w:rPr>
          <w:rFonts w:ascii="T" w:hAnsi="T" w:cs="Simplified Arabic"/>
          <w:sz w:val="24"/>
          <w:szCs w:val="24"/>
          <w:rtl/>
        </w:rPr>
        <w:t xml:space="preserve"> </w:t>
      </w:r>
      <w:r w:rsidRPr="005D59A7">
        <w:rPr>
          <w:rFonts w:ascii="T" w:hAnsi="T" w:cs="Simplified Arabic"/>
          <w:sz w:val="24"/>
          <w:szCs w:val="24"/>
          <w:rtl/>
        </w:rPr>
        <w:t>الممولة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تحفيز</w:t>
      </w:r>
      <w:r w:rsidR="004F25C0" w:rsidRPr="005D59A7">
        <w:rPr>
          <w:rFonts w:ascii="T" w:hAnsi="T" w:cs="Simplified Arabic"/>
          <w:sz w:val="24"/>
          <w:szCs w:val="24"/>
          <w:rtl/>
        </w:rPr>
        <w:t xml:space="preserve"> </w:t>
      </w:r>
      <w:r w:rsidRPr="005D59A7">
        <w:rPr>
          <w:rFonts w:ascii="T" w:hAnsi="T" w:cs="Simplified Arabic"/>
          <w:sz w:val="24"/>
          <w:szCs w:val="24"/>
          <w:rtl/>
        </w:rPr>
        <w:t>النشاط</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يؤدي</w:t>
      </w:r>
      <w:r w:rsidR="004F25C0" w:rsidRPr="005D59A7">
        <w:rPr>
          <w:rFonts w:ascii="T" w:hAnsi="T" w:cs="Simplified Arabic"/>
          <w:sz w:val="24"/>
          <w:szCs w:val="24"/>
          <w:rtl/>
        </w:rPr>
        <w:t xml:space="preserve"> </w:t>
      </w:r>
      <w:r w:rsidRPr="005D59A7">
        <w:rPr>
          <w:rFonts w:ascii="T" w:hAnsi="T" w:cs="Simplified Arabic"/>
          <w:sz w:val="24"/>
          <w:szCs w:val="24"/>
          <w:rtl/>
        </w:rPr>
        <w:t>إلى</w:t>
      </w:r>
      <w:r w:rsidR="004F25C0" w:rsidRPr="005D59A7">
        <w:rPr>
          <w:rFonts w:ascii="T" w:hAnsi="T" w:cs="Simplified Arabic"/>
          <w:sz w:val="24"/>
          <w:szCs w:val="24"/>
          <w:rtl/>
        </w:rPr>
        <w:t xml:space="preserve"> </w:t>
      </w:r>
      <w:r w:rsidRPr="005D59A7">
        <w:rPr>
          <w:rFonts w:ascii="T" w:hAnsi="T" w:cs="Simplified Arabic"/>
          <w:sz w:val="24"/>
          <w:szCs w:val="24"/>
          <w:rtl/>
        </w:rPr>
        <w:t>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عمل</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قطاعات</w:t>
      </w:r>
      <w:r w:rsidR="004F25C0" w:rsidRPr="005D59A7">
        <w:rPr>
          <w:rFonts w:ascii="T" w:hAnsi="T" w:cs="Simplified Arabic"/>
          <w:sz w:val="24"/>
          <w:szCs w:val="24"/>
          <w:rtl/>
        </w:rPr>
        <w:t xml:space="preserve"> </w:t>
      </w:r>
      <w:r w:rsidRPr="005D59A7">
        <w:rPr>
          <w:rFonts w:ascii="T" w:hAnsi="T" w:cs="Simplified Arabic"/>
          <w:sz w:val="24"/>
          <w:szCs w:val="24"/>
          <w:rtl/>
        </w:rPr>
        <w:t>البناء</w:t>
      </w:r>
      <w:r w:rsidR="004F25C0" w:rsidRPr="005D59A7">
        <w:rPr>
          <w:rFonts w:ascii="T" w:hAnsi="T" w:cs="Simplified Arabic"/>
          <w:sz w:val="24"/>
          <w:szCs w:val="24"/>
          <w:rtl/>
        </w:rPr>
        <w:t xml:space="preserve"> </w:t>
      </w:r>
      <w:r w:rsidRPr="005D59A7">
        <w:rPr>
          <w:rFonts w:ascii="T" w:hAnsi="T" w:cs="Simplified Arabic"/>
          <w:sz w:val="24"/>
          <w:szCs w:val="24"/>
          <w:rtl/>
        </w:rPr>
        <w:t>والمعدات</w:t>
      </w:r>
      <w:r w:rsidR="004F25C0" w:rsidRPr="005D59A7">
        <w:rPr>
          <w:rFonts w:ascii="T" w:hAnsi="T" w:cs="Simplified Arabic"/>
          <w:sz w:val="24"/>
          <w:szCs w:val="24"/>
          <w:rtl/>
        </w:rPr>
        <w:t xml:space="preserve"> </w:t>
      </w:r>
      <w:r w:rsidRPr="005D59A7">
        <w:rPr>
          <w:rFonts w:ascii="T" w:hAnsi="T" w:cs="Simplified Arabic"/>
          <w:sz w:val="24"/>
          <w:szCs w:val="24"/>
          <w:rtl/>
        </w:rPr>
        <w:t>وخدمات</w:t>
      </w:r>
      <w:r w:rsidR="004F25C0" w:rsidRPr="005D59A7">
        <w:rPr>
          <w:rFonts w:ascii="T" w:hAnsi="T" w:cs="Simplified Arabic"/>
          <w:sz w:val="24"/>
          <w:szCs w:val="24"/>
          <w:rtl/>
        </w:rPr>
        <w:t xml:space="preserve"> </w:t>
      </w:r>
      <w:r w:rsidRPr="005D59A7">
        <w:rPr>
          <w:rFonts w:ascii="T" w:hAnsi="T" w:cs="Simplified Arabic"/>
          <w:sz w:val="24"/>
          <w:szCs w:val="24"/>
          <w:rtl/>
        </w:rPr>
        <w:t>الدعم</w:t>
      </w:r>
      <w:r w:rsidR="004F25C0" w:rsidRPr="005D59A7">
        <w:rPr>
          <w:rFonts w:ascii="T" w:hAnsi="T" w:cs="Simplified Arabic"/>
          <w:sz w:val="24"/>
          <w:szCs w:val="24"/>
          <w:rtl/>
        </w:rPr>
        <w:t xml:space="preserve"> </w:t>
      </w:r>
      <w:r w:rsidRPr="005D59A7">
        <w:rPr>
          <w:rFonts w:ascii="T" w:hAnsi="T" w:cs="Simplified Arabic"/>
          <w:sz w:val="24"/>
          <w:szCs w:val="24"/>
          <w:rtl/>
        </w:rPr>
        <w:t>وغيرها</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الصناعات</w:t>
      </w:r>
      <w:r w:rsidR="004F25C0" w:rsidRPr="005D59A7">
        <w:rPr>
          <w:rFonts w:ascii="T" w:hAnsi="T" w:cs="Simplified Arabic"/>
          <w:sz w:val="24"/>
          <w:szCs w:val="24"/>
          <w:rtl/>
        </w:rPr>
        <w:t xml:space="preserve"> </w:t>
      </w:r>
      <w:r w:rsidRPr="005D59A7">
        <w:rPr>
          <w:rFonts w:ascii="T" w:hAnsi="T" w:cs="Simplified Arabic"/>
          <w:sz w:val="24"/>
          <w:szCs w:val="24"/>
          <w:rtl/>
        </w:rPr>
        <w:t>ذات</w:t>
      </w:r>
      <w:r w:rsidR="004F25C0" w:rsidRPr="005D59A7">
        <w:rPr>
          <w:rFonts w:ascii="T" w:hAnsi="T" w:cs="Simplified Arabic"/>
          <w:sz w:val="24"/>
          <w:szCs w:val="24"/>
          <w:rtl/>
        </w:rPr>
        <w:t xml:space="preserve"> </w:t>
      </w:r>
      <w:r w:rsidRPr="005D59A7">
        <w:rPr>
          <w:rFonts w:ascii="T" w:hAnsi="T" w:cs="Simplified Arabic"/>
          <w:sz w:val="24"/>
          <w:szCs w:val="24"/>
          <w:rtl/>
        </w:rPr>
        <w:t>الصلة.</w:t>
      </w:r>
    </w:p>
    <w:p w14:paraId="075D2E7C"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الاستثمار: تتيح</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فرصًا</w:t>
      </w:r>
      <w:r w:rsidR="004F25C0" w:rsidRPr="005D59A7">
        <w:rPr>
          <w:rFonts w:ascii="T" w:hAnsi="T" w:cs="Simplified Arabic"/>
          <w:sz w:val="24"/>
          <w:szCs w:val="24"/>
          <w:rtl/>
        </w:rPr>
        <w:t xml:space="preserve"> </w:t>
      </w:r>
      <w:r w:rsidRPr="005D59A7">
        <w:rPr>
          <w:rFonts w:ascii="T" w:hAnsi="T" w:cs="Simplified Arabic"/>
          <w:sz w:val="24"/>
          <w:szCs w:val="24"/>
          <w:rtl/>
        </w:rPr>
        <w:t>استثمارية</w:t>
      </w:r>
      <w:r w:rsidR="004F25C0" w:rsidRPr="005D59A7">
        <w:rPr>
          <w:rFonts w:ascii="T" w:hAnsi="T" w:cs="Simplified Arabic"/>
          <w:sz w:val="24"/>
          <w:szCs w:val="24"/>
          <w:rtl/>
        </w:rPr>
        <w:t xml:space="preserve"> </w:t>
      </w:r>
      <w:r w:rsidRPr="005D59A7">
        <w:rPr>
          <w:rFonts w:ascii="T" w:hAnsi="T" w:cs="Simplified Arabic"/>
          <w:sz w:val="24"/>
          <w:szCs w:val="24"/>
          <w:rtl/>
        </w:rPr>
        <w:t>جديدة</w:t>
      </w:r>
      <w:r w:rsidR="004F25C0" w:rsidRPr="005D59A7">
        <w:rPr>
          <w:rFonts w:ascii="T" w:hAnsi="T" w:cs="Simplified Arabic"/>
          <w:sz w:val="24"/>
          <w:szCs w:val="24"/>
          <w:rtl/>
        </w:rPr>
        <w:t xml:space="preserve"> </w:t>
      </w:r>
      <w:r w:rsidRPr="005D59A7">
        <w:rPr>
          <w:rFonts w:ascii="T" w:hAnsi="T" w:cs="Simplified Arabic"/>
          <w:sz w:val="24"/>
          <w:szCs w:val="24"/>
          <w:rtl/>
        </w:rPr>
        <w:t>للشركات</w:t>
      </w:r>
      <w:r w:rsidR="004F25C0" w:rsidRPr="005D59A7">
        <w:rPr>
          <w:rFonts w:ascii="T" w:hAnsi="T" w:cs="Simplified Arabic"/>
          <w:sz w:val="24"/>
          <w:szCs w:val="24"/>
          <w:rtl/>
        </w:rPr>
        <w:t xml:space="preserve"> </w:t>
      </w:r>
      <w:r w:rsidRPr="005D59A7">
        <w:rPr>
          <w:rFonts w:ascii="T" w:hAnsi="T" w:cs="Simplified Arabic"/>
          <w:sz w:val="24"/>
          <w:szCs w:val="24"/>
          <w:rtl/>
        </w:rPr>
        <w:t>الخاصة،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يساعدها</w:t>
      </w:r>
      <w:r w:rsidR="004F25C0" w:rsidRPr="005D59A7">
        <w:rPr>
          <w:rFonts w:ascii="T" w:hAnsi="T" w:cs="Simplified Arabic"/>
          <w:sz w:val="24"/>
          <w:szCs w:val="24"/>
          <w:rtl/>
        </w:rPr>
        <w:t xml:space="preserve"> </w:t>
      </w:r>
      <w:r w:rsidRPr="005D59A7">
        <w:rPr>
          <w:rFonts w:ascii="T" w:hAnsi="T" w:cs="Simplified Arabic"/>
          <w:sz w:val="24"/>
          <w:szCs w:val="24"/>
          <w:rtl/>
        </w:rPr>
        <w:t>على</w:t>
      </w:r>
      <w:r w:rsidR="004F25C0" w:rsidRPr="005D59A7">
        <w:rPr>
          <w:rFonts w:ascii="T" w:hAnsi="T" w:cs="Simplified Arabic"/>
          <w:sz w:val="24"/>
          <w:szCs w:val="24"/>
          <w:rtl/>
        </w:rPr>
        <w:t xml:space="preserve"> </w:t>
      </w: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الخبرات</w:t>
      </w:r>
      <w:r w:rsidR="004F25C0" w:rsidRPr="005D59A7">
        <w:rPr>
          <w:rFonts w:ascii="T" w:hAnsi="T" w:cs="Simplified Arabic"/>
          <w:sz w:val="24"/>
          <w:szCs w:val="24"/>
          <w:rtl/>
        </w:rPr>
        <w:t xml:space="preserve"> </w:t>
      </w:r>
      <w:r w:rsidRPr="005D59A7">
        <w:rPr>
          <w:rFonts w:ascii="T" w:hAnsi="T" w:cs="Simplified Arabic"/>
          <w:sz w:val="24"/>
          <w:szCs w:val="24"/>
          <w:rtl/>
        </w:rPr>
        <w:t>والمهارات</w:t>
      </w:r>
      <w:r w:rsidR="004F25C0" w:rsidRPr="005D59A7">
        <w:rPr>
          <w:rFonts w:ascii="T" w:hAnsi="T" w:cs="Simplified Arabic"/>
          <w:sz w:val="24"/>
          <w:szCs w:val="24"/>
          <w:rtl/>
        </w:rPr>
        <w:t xml:space="preserve"> </w:t>
      </w:r>
      <w:r w:rsidRPr="005D59A7">
        <w:rPr>
          <w:rFonts w:ascii="T" w:hAnsi="T" w:cs="Simplified Arabic"/>
          <w:sz w:val="24"/>
          <w:szCs w:val="24"/>
          <w:rtl/>
        </w:rPr>
        <w:t>التي</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إعادة</w:t>
      </w:r>
      <w:r w:rsidR="004F25C0" w:rsidRPr="005D59A7">
        <w:rPr>
          <w:rFonts w:ascii="T" w:hAnsi="T" w:cs="Simplified Arabic"/>
          <w:sz w:val="24"/>
          <w:szCs w:val="24"/>
          <w:rtl/>
        </w:rPr>
        <w:t xml:space="preserve"> </w:t>
      </w:r>
      <w:r w:rsidRPr="005D59A7">
        <w:rPr>
          <w:rFonts w:ascii="T" w:hAnsi="T" w:cs="Simplified Arabic"/>
          <w:sz w:val="24"/>
          <w:szCs w:val="24"/>
          <w:rtl/>
        </w:rPr>
        <w:t>تطبيقها</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مشاريع</w:t>
      </w:r>
      <w:r w:rsidR="004F25C0" w:rsidRPr="005D59A7">
        <w:rPr>
          <w:rFonts w:ascii="T" w:hAnsi="T" w:cs="Simplified Arabic"/>
          <w:sz w:val="24"/>
          <w:szCs w:val="24"/>
          <w:rtl/>
        </w:rPr>
        <w:t xml:space="preserve"> </w:t>
      </w:r>
      <w:r w:rsidRPr="005D59A7">
        <w:rPr>
          <w:rFonts w:ascii="T" w:hAnsi="T" w:cs="Simplified Arabic"/>
          <w:sz w:val="24"/>
          <w:szCs w:val="24"/>
          <w:rtl/>
        </w:rPr>
        <w:t>أخرى.</w:t>
      </w:r>
    </w:p>
    <w:p w14:paraId="1CCCEFFD" w14:textId="77777777" w:rsidR="005A5496"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 تعتبر</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ضرورية</w:t>
      </w:r>
      <w:r w:rsidR="004F25C0" w:rsidRPr="005D59A7">
        <w:rPr>
          <w:rFonts w:ascii="T" w:hAnsi="T" w:cs="Simplified Arabic"/>
          <w:sz w:val="24"/>
          <w:szCs w:val="24"/>
          <w:rtl/>
        </w:rPr>
        <w:t xml:space="preserve"> </w:t>
      </w:r>
      <w:r w:rsidRPr="005D59A7">
        <w:rPr>
          <w:rFonts w:ascii="T" w:hAnsi="T" w:cs="Simplified Arabic"/>
          <w:sz w:val="24"/>
          <w:szCs w:val="24"/>
          <w:rtl/>
        </w:rPr>
        <w:t>لسد</w:t>
      </w:r>
      <w:r w:rsidR="004F25C0" w:rsidRPr="005D59A7">
        <w:rPr>
          <w:rFonts w:ascii="T" w:hAnsi="T" w:cs="Simplified Arabic"/>
          <w:sz w:val="24"/>
          <w:szCs w:val="24"/>
          <w:rtl/>
        </w:rPr>
        <w:t xml:space="preserve"> </w:t>
      </w:r>
      <w:r w:rsidRPr="005D59A7">
        <w:rPr>
          <w:rFonts w:ascii="T" w:hAnsi="T" w:cs="Simplified Arabic"/>
          <w:sz w:val="24"/>
          <w:szCs w:val="24"/>
          <w:rtl/>
        </w:rPr>
        <w:t>فجوات</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وخاصة</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المجتمعات</w:t>
      </w:r>
      <w:r w:rsidR="004F25C0" w:rsidRPr="005D59A7">
        <w:rPr>
          <w:rFonts w:ascii="T" w:hAnsi="T" w:cs="Simplified Arabic"/>
          <w:sz w:val="24"/>
          <w:szCs w:val="24"/>
          <w:rtl/>
        </w:rPr>
        <w:t xml:space="preserve"> </w:t>
      </w:r>
      <w:r w:rsidRPr="005D59A7">
        <w:rPr>
          <w:rFonts w:ascii="T" w:hAnsi="T" w:cs="Simplified Arabic"/>
          <w:sz w:val="24"/>
          <w:szCs w:val="24"/>
          <w:rtl/>
        </w:rPr>
        <w:t>والبلدان</w:t>
      </w:r>
      <w:r w:rsidR="004F25C0" w:rsidRPr="005D59A7">
        <w:rPr>
          <w:rFonts w:ascii="T" w:hAnsi="T" w:cs="Simplified Arabic"/>
          <w:sz w:val="24"/>
          <w:szCs w:val="24"/>
          <w:rtl/>
        </w:rPr>
        <w:t xml:space="preserve"> </w:t>
      </w:r>
      <w:r w:rsidRPr="005D59A7">
        <w:rPr>
          <w:rFonts w:ascii="T" w:hAnsi="T" w:cs="Simplified Arabic"/>
          <w:sz w:val="24"/>
          <w:szCs w:val="24"/>
          <w:rtl/>
        </w:rPr>
        <w:t>النامية،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أن</w:t>
      </w:r>
      <w:r w:rsidR="004F25C0" w:rsidRPr="005D59A7">
        <w:rPr>
          <w:rFonts w:ascii="T" w:hAnsi="T" w:cs="Simplified Arabic"/>
          <w:sz w:val="24"/>
          <w:szCs w:val="24"/>
          <w:rtl/>
        </w:rPr>
        <w:t xml:space="preserve"> </w:t>
      </w:r>
      <w:r w:rsidRPr="005D59A7">
        <w:rPr>
          <w:rFonts w:ascii="T" w:hAnsi="T" w:cs="Simplified Arabic"/>
          <w:sz w:val="24"/>
          <w:szCs w:val="24"/>
          <w:rtl/>
        </w:rPr>
        <w:t>يجذب</w:t>
      </w:r>
      <w:r w:rsidR="004F25C0" w:rsidRPr="005D59A7">
        <w:rPr>
          <w:rFonts w:ascii="T" w:hAnsi="T" w:cs="Simplified Arabic"/>
          <w:sz w:val="24"/>
          <w:szCs w:val="24"/>
          <w:rtl/>
        </w:rPr>
        <w:t xml:space="preserve"> </w:t>
      </w:r>
      <w:r w:rsidRPr="005D59A7">
        <w:rPr>
          <w:rFonts w:ascii="T" w:hAnsi="T" w:cs="Simplified Arabic"/>
          <w:sz w:val="24"/>
          <w:szCs w:val="24"/>
          <w:rtl/>
        </w:rPr>
        <w:t>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الشركات</w:t>
      </w:r>
      <w:r w:rsidR="004F25C0" w:rsidRPr="005D59A7">
        <w:rPr>
          <w:rFonts w:ascii="T" w:hAnsi="T" w:cs="Simplified Arabic"/>
          <w:sz w:val="24"/>
          <w:szCs w:val="24"/>
          <w:rtl/>
        </w:rPr>
        <w:t xml:space="preserve"> </w:t>
      </w:r>
      <w:r w:rsidRPr="005D59A7">
        <w:rPr>
          <w:rFonts w:ascii="T" w:hAnsi="T" w:cs="Simplified Arabic"/>
          <w:sz w:val="24"/>
          <w:szCs w:val="24"/>
          <w:rtl/>
        </w:rPr>
        <w:t>والمزيد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النمو</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p>
    <w:p w14:paraId="3D4F134C" w14:textId="63AE72A5" w:rsidR="00A41647"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لذلك،</w:t>
      </w:r>
      <w:r w:rsidR="004F25C0" w:rsidRPr="005D59A7">
        <w:rPr>
          <w:rFonts w:ascii="T" w:hAnsi="T" w:cs="Simplified Arabic"/>
          <w:sz w:val="24"/>
          <w:szCs w:val="24"/>
          <w:rtl/>
        </w:rPr>
        <w:t xml:space="preserve"> </w:t>
      </w:r>
      <w:r w:rsidRPr="005D59A7">
        <w:rPr>
          <w:rFonts w:ascii="T" w:hAnsi="T" w:cs="Simplified Arabic"/>
          <w:sz w:val="24"/>
          <w:szCs w:val="24"/>
          <w:rtl/>
        </w:rPr>
        <w:t>تعد</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مهمة</w:t>
      </w:r>
      <w:r w:rsidR="004F25C0" w:rsidRPr="005D59A7">
        <w:rPr>
          <w:rFonts w:ascii="T" w:hAnsi="T" w:cs="Simplified Arabic"/>
          <w:sz w:val="24"/>
          <w:szCs w:val="24"/>
          <w:rtl/>
        </w:rPr>
        <w:t xml:space="preserve"> </w:t>
      </w:r>
      <w:r w:rsidRPr="005D59A7">
        <w:rPr>
          <w:rFonts w:ascii="T" w:hAnsi="T" w:cs="Simplified Arabic"/>
          <w:sz w:val="24"/>
          <w:szCs w:val="24"/>
          <w:rtl/>
        </w:rPr>
        <w:t>لأنها</w:t>
      </w:r>
      <w:r w:rsidR="004F25C0" w:rsidRPr="005D59A7">
        <w:rPr>
          <w:rFonts w:ascii="T" w:hAnsi="T" w:cs="Simplified Arabic"/>
          <w:sz w:val="24"/>
          <w:szCs w:val="24"/>
          <w:rtl/>
        </w:rPr>
        <w:t xml:space="preserve"> </w:t>
      </w:r>
      <w:r w:rsidRPr="005D59A7">
        <w:rPr>
          <w:rFonts w:ascii="T" w:hAnsi="T" w:cs="Simplified Arabic"/>
          <w:sz w:val="24"/>
          <w:szCs w:val="24"/>
          <w:rtl/>
        </w:rPr>
        <w:t>توفر</w:t>
      </w:r>
      <w:r w:rsidR="004F25C0" w:rsidRPr="005D59A7">
        <w:rPr>
          <w:rFonts w:ascii="T" w:hAnsi="T" w:cs="Simplified Arabic"/>
          <w:sz w:val="24"/>
          <w:szCs w:val="24"/>
          <w:rtl/>
        </w:rPr>
        <w:t xml:space="preserve"> </w:t>
      </w:r>
      <w:r w:rsidRPr="005D59A7">
        <w:rPr>
          <w:rFonts w:ascii="T" w:hAnsi="T" w:cs="Simplified Arabic"/>
          <w:sz w:val="24"/>
          <w:szCs w:val="24"/>
          <w:rtl/>
        </w:rPr>
        <w:t>آلية</w:t>
      </w:r>
      <w:r w:rsidR="004F25C0" w:rsidRPr="005D59A7">
        <w:rPr>
          <w:rFonts w:ascii="T" w:hAnsi="T" w:cs="Simplified Arabic"/>
          <w:sz w:val="24"/>
          <w:szCs w:val="24"/>
          <w:rtl/>
        </w:rPr>
        <w:t xml:space="preserve"> </w:t>
      </w:r>
      <w:r w:rsidRPr="005D59A7">
        <w:rPr>
          <w:rFonts w:ascii="T" w:hAnsi="T" w:cs="Simplified Arabic"/>
          <w:sz w:val="24"/>
          <w:szCs w:val="24"/>
          <w:rtl/>
        </w:rPr>
        <w:t>قوية</w:t>
      </w:r>
      <w:r w:rsidR="004F25C0" w:rsidRPr="005D59A7">
        <w:rPr>
          <w:rFonts w:ascii="T" w:hAnsi="T" w:cs="Simplified Arabic"/>
          <w:sz w:val="24"/>
          <w:szCs w:val="24"/>
          <w:rtl/>
        </w:rPr>
        <w:t xml:space="preserve"> </w:t>
      </w:r>
      <w:r w:rsidRPr="005D59A7">
        <w:rPr>
          <w:rFonts w:ascii="T" w:hAnsi="T" w:cs="Simplified Arabic"/>
          <w:sz w:val="24"/>
          <w:szCs w:val="24"/>
          <w:rtl/>
        </w:rPr>
        <w:t>للحكومات</w:t>
      </w:r>
      <w:r w:rsidR="004F25C0" w:rsidRPr="005D59A7">
        <w:rPr>
          <w:rFonts w:ascii="T" w:hAnsi="T" w:cs="Simplified Arabic"/>
          <w:sz w:val="24"/>
          <w:szCs w:val="24"/>
          <w:rtl/>
        </w:rPr>
        <w:t xml:space="preserve"> </w:t>
      </w:r>
      <w:r w:rsidRPr="005D59A7">
        <w:rPr>
          <w:rFonts w:ascii="T" w:hAnsi="T" w:cs="Simplified Arabic"/>
          <w:sz w:val="24"/>
          <w:szCs w:val="24"/>
          <w:rtl/>
        </w:rPr>
        <w:t>لشراء</w:t>
      </w:r>
      <w:r w:rsidR="004F25C0" w:rsidRPr="005D59A7">
        <w:rPr>
          <w:rFonts w:ascii="T" w:hAnsi="T" w:cs="Simplified Arabic"/>
          <w:sz w:val="24"/>
          <w:szCs w:val="24"/>
          <w:rtl/>
        </w:rPr>
        <w:t xml:space="preserve"> </w:t>
      </w:r>
      <w:r w:rsidRPr="005D59A7">
        <w:rPr>
          <w:rFonts w:ascii="T" w:hAnsi="T" w:cs="Simplified Arabic"/>
          <w:sz w:val="24"/>
          <w:szCs w:val="24"/>
          <w:rtl/>
        </w:rPr>
        <w:t>وتنفيذ</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والخدمات</w:t>
      </w:r>
      <w:r w:rsidR="004F25C0" w:rsidRPr="005D59A7">
        <w:rPr>
          <w:rFonts w:ascii="T" w:hAnsi="T" w:cs="Simplified Arabic"/>
          <w:sz w:val="24"/>
          <w:szCs w:val="24"/>
          <w:rtl/>
        </w:rPr>
        <w:t xml:space="preserve"> </w:t>
      </w:r>
      <w:r w:rsidRPr="005D59A7">
        <w:rPr>
          <w:rFonts w:ascii="T" w:hAnsi="T" w:cs="Simplified Arabic"/>
          <w:sz w:val="24"/>
          <w:szCs w:val="24"/>
          <w:rtl/>
        </w:rPr>
        <w:t>العامة</w:t>
      </w:r>
      <w:r w:rsidR="004F25C0" w:rsidRPr="005D59A7">
        <w:rPr>
          <w:rFonts w:ascii="T" w:hAnsi="T" w:cs="Simplified Arabic"/>
          <w:sz w:val="24"/>
          <w:szCs w:val="24"/>
          <w:rtl/>
        </w:rPr>
        <w:t xml:space="preserve"> </w:t>
      </w:r>
      <w:r w:rsidRPr="005D59A7">
        <w:rPr>
          <w:rFonts w:ascii="T" w:hAnsi="T" w:cs="Simplified Arabic"/>
          <w:sz w:val="24"/>
          <w:szCs w:val="24"/>
          <w:rtl/>
        </w:rPr>
        <w:t>الأساسية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تسخير</w:t>
      </w:r>
      <w:r w:rsidR="004F25C0" w:rsidRPr="005D59A7">
        <w:rPr>
          <w:rFonts w:ascii="T" w:hAnsi="T" w:cs="Simplified Arabic"/>
          <w:sz w:val="24"/>
          <w:szCs w:val="24"/>
          <w:rtl/>
        </w:rPr>
        <w:t xml:space="preserve"> </w:t>
      </w:r>
      <w:r w:rsidRPr="005D59A7">
        <w:rPr>
          <w:rFonts w:ascii="T" w:hAnsi="T" w:cs="Simplified Arabic"/>
          <w:sz w:val="24"/>
          <w:szCs w:val="24"/>
          <w:rtl/>
        </w:rPr>
        <w:t>الموارد</w:t>
      </w:r>
      <w:r w:rsidR="004F25C0" w:rsidRPr="005D59A7">
        <w:rPr>
          <w:rFonts w:ascii="T" w:hAnsi="T" w:cs="Simplified Arabic"/>
          <w:sz w:val="24"/>
          <w:szCs w:val="24"/>
          <w:rtl/>
        </w:rPr>
        <w:t xml:space="preserve"> </w:t>
      </w:r>
      <w:r w:rsidRPr="005D59A7">
        <w:rPr>
          <w:rFonts w:ascii="T" w:hAnsi="T" w:cs="Simplified Arabic"/>
          <w:sz w:val="24"/>
          <w:szCs w:val="24"/>
          <w:rtl/>
        </w:rPr>
        <w:t>المالية</w:t>
      </w:r>
      <w:r w:rsidR="004F25C0" w:rsidRPr="005D59A7">
        <w:rPr>
          <w:rFonts w:ascii="T" w:hAnsi="T" w:cs="Simplified Arabic"/>
          <w:sz w:val="24"/>
          <w:szCs w:val="24"/>
          <w:rtl/>
        </w:rPr>
        <w:t xml:space="preserve"> </w:t>
      </w:r>
      <w:r w:rsidRPr="005D59A7">
        <w:rPr>
          <w:rFonts w:ascii="T" w:hAnsi="T" w:cs="Simplified Arabic"/>
          <w:sz w:val="24"/>
          <w:szCs w:val="24"/>
          <w:rtl/>
        </w:rPr>
        <w:t>والخبرة</w:t>
      </w:r>
      <w:r w:rsidR="004F25C0" w:rsidRPr="005D59A7">
        <w:rPr>
          <w:rFonts w:ascii="T" w:hAnsi="T" w:cs="Simplified Arabic"/>
          <w:sz w:val="24"/>
          <w:szCs w:val="24"/>
          <w:rtl/>
        </w:rPr>
        <w:t xml:space="preserve"> </w:t>
      </w:r>
      <w:r w:rsidRPr="005D59A7">
        <w:rPr>
          <w:rFonts w:ascii="T" w:hAnsi="T" w:cs="Simplified Arabic"/>
          <w:sz w:val="24"/>
          <w:szCs w:val="24"/>
          <w:rtl/>
        </w:rPr>
        <w:t>والابتكار</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القطاع</w:t>
      </w:r>
      <w:r w:rsidR="004F25C0" w:rsidRPr="005D59A7">
        <w:rPr>
          <w:rFonts w:ascii="T" w:hAnsi="T" w:cs="Simplified Arabic"/>
          <w:sz w:val="24"/>
          <w:szCs w:val="24"/>
          <w:rtl/>
        </w:rPr>
        <w:t xml:space="preserve"> </w:t>
      </w:r>
      <w:r w:rsidRPr="005D59A7">
        <w:rPr>
          <w:rFonts w:ascii="T" w:hAnsi="T" w:cs="Simplified Arabic"/>
          <w:sz w:val="24"/>
          <w:szCs w:val="24"/>
          <w:rtl/>
        </w:rPr>
        <w:t>الخاص،</w:t>
      </w:r>
      <w:r w:rsidR="004F25C0" w:rsidRPr="005D59A7">
        <w:rPr>
          <w:rFonts w:ascii="T" w:hAnsi="T" w:cs="Simplified Arabic"/>
          <w:sz w:val="24"/>
          <w:szCs w:val="24"/>
          <w:rtl/>
        </w:rPr>
        <w:t xml:space="preserve"> </w:t>
      </w:r>
      <w:r w:rsidRPr="005D59A7">
        <w:rPr>
          <w:rFonts w:ascii="T" w:hAnsi="T" w:cs="Simplified Arabic"/>
          <w:sz w:val="24"/>
          <w:szCs w:val="24"/>
          <w:rtl/>
        </w:rPr>
        <w:t>بهدف</w:t>
      </w:r>
      <w:r w:rsidR="004F25C0" w:rsidRPr="005D59A7">
        <w:rPr>
          <w:rFonts w:ascii="T" w:hAnsi="T" w:cs="Simplified Arabic"/>
          <w:sz w:val="24"/>
          <w:szCs w:val="24"/>
          <w:rtl/>
        </w:rPr>
        <w:t xml:space="preserve"> </w:t>
      </w:r>
      <w:r w:rsidRPr="005D59A7">
        <w:rPr>
          <w:rFonts w:ascii="T" w:hAnsi="T" w:cs="Simplified Arabic"/>
          <w:sz w:val="24"/>
          <w:szCs w:val="24"/>
          <w:rtl/>
        </w:rPr>
        <w:t>تحقيق</w:t>
      </w:r>
      <w:r w:rsidR="004F25C0" w:rsidRPr="005D59A7">
        <w:rPr>
          <w:rFonts w:ascii="T" w:hAnsi="T" w:cs="Simplified Arabic"/>
          <w:sz w:val="24"/>
          <w:szCs w:val="24"/>
          <w:rtl/>
        </w:rPr>
        <w:t xml:space="preserve"> </w:t>
      </w:r>
      <w:r w:rsidRPr="005D59A7">
        <w:rPr>
          <w:rFonts w:ascii="T" w:hAnsi="T" w:cs="Simplified Arabic"/>
          <w:sz w:val="24"/>
          <w:szCs w:val="24"/>
          <w:rtl/>
        </w:rPr>
        <w:t>نتائج</w:t>
      </w:r>
      <w:r w:rsidR="004F25C0" w:rsidRPr="005D59A7">
        <w:rPr>
          <w:rFonts w:ascii="T" w:hAnsi="T" w:cs="Simplified Arabic"/>
          <w:sz w:val="24"/>
          <w:szCs w:val="24"/>
          <w:rtl/>
        </w:rPr>
        <w:t xml:space="preserve"> </w:t>
      </w:r>
      <w:r w:rsidRPr="005D59A7">
        <w:rPr>
          <w:rFonts w:ascii="T" w:hAnsi="T" w:cs="Simplified Arabic"/>
          <w:sz w:val="24"/>
          <w:szCs w:val="24"/>
          <w:rtl/>
        </w:rPr>
        <w:t>أكثر</w:t>
      </w:r>
      <w:r w:rsidR="004F25C0" w:rsidRPr="005D59A7">
        <w:rPr>
          <w:rFonts w:ascii="T" w:hAnsi="T" w:cs="Simplified Arabic"/>
          <w:sz w:val="24"/>
          <w:szCs w:val="24"/>
          <w:rtl/>
        </w:rPr>
        <w:t xml:space="preserve"> </w:t>
      </w:r>
      <w:r w:rsidRPr="005D59A7">
        <w:rPr>
          <w:rFonts w:ascii="T" w:hAnsi="T" w:cs="Simplified Arabic"/>
          <w:sz w:val="24"/>
          <w:szCs w:val="24"/>
          <w:rtl/>
        </w:rPr>
        <w:t>كفاءة</w:t>
      </w:r>
      <w:r w:rsidR="004F25C0" w:rsidRPr="005D59A7">
        <w:rPr>
          <w:rFonts w:ascii="T" w:hAnsi="T" w:cs="Simplified Arabic"/>
          <w:sz w:val="24"/>
          <w:szCs w:val="24"/>
          <w:rtl/>
        </w:rPr>
        <w:t xml:space="preserve"> </w:t>
      </w:r>
      <w:r w:rsidRPr="005D59A7">
        <w:rPr>
          <w:rFonts w:ascii="T" w:hAnsi="T" w:cs="Simplified Arabic"/>
          <w:sz w:val="24"/>
          <w:szCs w:val="24"/>
          <w:rtl/>
        </w:rPr>
        <w:t>وأعلى</w:t>
      </w:r>
      <w:r w:rsidR="004F25C0" w:rsidRPr="005D59A7">
        <w:rPr>
          <w:rFonts w:ascii="T" w:hAnsi="T" w:cs="Simplified Arabic"/>
          <w:sz w:val="24"/>
          <w:szCs w:val="24"/>
          <w:rtl/>
        </w:rPr>
        <w:t xml:space="preserve"> </w:t>
      </w:r>
      <w:r w:rsidRPr="005D59A7">
        <w:rPr>
          <w:rFonts w:ascii="T" w:hAnsi="T" w:cs="Simplified Arabic"/>
          <w:sz w:val="24"/>
          <w:szCs w:val="24"/>
          <w:rtl/>
        </w:rPr>
        <w:t>جودة</w:t>
      </w:r>
      <w:r w:rsidR="004F25C0" w:rsidRPr="005D59A7">
        <w:rPr>
          <w:rFonts w:ascii="T" w:hAnsi="T" w:cs="Simplified Arabic"/>
          <w:sz w:val="24"/>
          <w:szCs w:val="24"/>
          <w:rtl/>
        </w:rPr>
        <w:t xml:space="preserve"> </w:t>
      </w:r>
      <w:r w:rsidRPr="005D59A7">
        <w:rPr>
          <w:rFonts w:ascii="T" w:hAnsi="T" w:cs="Simplified Arabic"/>
          <w:sz w:val="24"/>
          <w:szCs w:val="24"/>
          <w:rtl/>
        </w:rPr>
        <w:t>وفي</w:t>
      </w:r>
      <w:r w:rsidR="004F25C0" w:rsidRPr="005D59A7">
        <w:rPr>
          <w:rFonts w:ascii="T" w:hAnsi="T" w:cs="Simplified Arabic"/>
          <w:sz w:val="24"/>
          <w:szCs w:val="24"/>
          <w:rtl/>
        </w:rPr>
        <w:t xml:space="preserve"> </w:t>
      </w:r>
      <w:r w:rsidRPr="005D59A7">
        <w:rPr>
          <w:rFonts w:ascii="T" w:hAnsi="T" w:cs="Simplified Arabic"/>
          <w:sz w:val="24"/>
          <w:szCs w:val="24"/>
          <w:rtl/>
        </w:rPr>
        <w:t>الوقت</w:t>
      </w:r>
      <w:r w:rsidR="004F25C0" w:rsidRPr="005D59A7">
        <w:rPr>
          <w:rFonts w:ascii="T" w:hAnsi="T" w:cs="Simplified Arabic"/>
          <w:sz w:val="24"/>
          <w:szCs w:val="24"/>
          <w:rtl/>
        </w:rPr>
        <w:t xml:space="preserve"> </w:t>
      </w:r>
      <w:r w:rsidRPr="005D59A7">
        <w:rPr>
          <w:rFonts w:ascii="T" w:hAnsi="T" w:cs="Simplified Arabic"/>
          <w:sz w:val="24"/>
          <w:szCs w:val="24"/>
          <w:rtl/>
        </w:rPr>
        <w:t>المناسب</w:t>
      </w:r>
      <w:r w:rsidR="004F25C0" w:rsidRPr="005D59A7">
        <w:rPr>
          <w:rFonts w:ascii="T" w:hAnsi="T" w:cs="Simplified Arabic"/>
          <w:sz w:val="24"/>
          <w:szCs w:val="24"/>
          <w:rtl/>
        </w:rPr>
        <w:t xml:space="preserve"> </w:t>
      </w:r>
      <w:r w:rsidRPr="005D59A7">
        <w:rPr>
          <w:rFonts w:ascii="T" w:hAnsi="T" w:cs="Simplified Arabic"/>
          <w:sz w:val="24"/>
          <w:szCs w:val="24"/>
          <w:rtl/>
        </w:rPr>
        <w:t>للمواطنين</w:t>
      </w:r>
      <w:r w:rsidR="004F25C0" w:rsidRPr="005D59A7">
        <w:rPr>
          <w:rFonts w:ascii="T" w:hAnsi="T" w:cs="Simplified Arabic"/>
          <w:sz w:val="24"/>
          <w:szCs w:val="24"/>
          <w:rtl/>
        </w:rPr>
        <w:t xml:space="preserve"> </w:t>
      </w:r>
      <w:r w:rsidRPr="005D59A7">
        <w:rPr>
          <w:rFonts w:ascii="T" w:hAnsi="T" w:cs="Simplified Arabic"/>
          <w:sz w:val="24"/>
          <w:szCs w:val="24"/>
          <w:rtl/>
        </w:rPr>
        <w:t>(</w:t>
      </w:r>
      <w:r w:rsidR="004D3152" w:rsidRPr="005D59A7">
        <w:rPr>
          <w:rFonts w:ascii="T" w:hAnsi="T" w:cs="Simplified Arabic"/>
          <w:sz w:val="24"/>
          <w:szCs w:val="24"/>
        </w:rPr>
        <w:t xml:space="preserve">PPP </w:t>
      </w:r>
      <w:proofErr w:type="spellStart"/>
      <w:r w:rsidR="004D3152" w:rsidRPr="005D59A7">
        <w:rPr>
          <w:rFonts w:ascii="T" w:hAnsi="T" w:cs="Simplified Arabic"/>
          <w:sz w:val="24"/>
          <w:szCs w:val="24"/>
        </w:rPr>
        <w:t>Aliance</w:t>
      </w:r>
      <w:proofErr w:type="spellEnd"/>
      <w:r w:rsidRPr="005D59A7">
        <w:rPr>
          <w:rFonts w:ascii="T" w:hAnsi="T" w:cs="Simplified Arabic"/>
          <w:sz w:val="24"/>
          <w:szCs w:val="24"/>
        </w:rPr>
        <w:t>, 2024</w:t>
      </w:r>
      <w:r w:rsidRPr="005D59A7">
        <w:rPr>
          <w:rFonts w:ascii="T" w:hAnsi="T" w:cs="Simplified Arabic"/>
          <w:sz w:val="24"/>
          <w:szCs w:val="24"/>
          <w:rtl/>
        </w:rPr>
        <w:t>)</w:t>
      </w:r>
      <w:r w:rsidR="00A41647" w:rsidRPr="005D59A7">
        <w:rPr>
          <w:rFonts w:ascii="T" w:hAnsi="T" w:cs="Simplified Arabic"/>
          <w:sz w:val="24"/>
          <w:szCs w:val="24"/>
          <w:rtl/>
        </w:rPr>
        <w:t xml:space="preserve">. </w:t>
      </w:r>
      <w:r w:rsidR="005F48DB" w:rsidRPr="005D59A7">
        <w:rPr>
          <w:rFonts w:ascii="T" w:hAnsi="T" w:cs="Simplified Arabic"/>
          <w:sz w:val="24"/>
          <w:szCs w:val="24"/>
          <w:rtl/>
        </w:rPr>
        <w:t>وهنا تكمن الأهمية النظرية للدراسة في جوهر فعالية الشراكات بين القطاعين العام والخاص بشكل عام وفي القطاع البيئي على وجه الخصوص.</w:t>
      </w:r>
      <w:r w:rsidR="00285330" w:rsidRPr="005D59A7">
        <w:rPr>
          <w:rFonts w:ascii="T" w:hAnsi="T" w:cs="Simplified Arabic"/>
          <w:sz w:val="24"/>
          <w:szCs w:val="24"/>
        </w:rPr>
        <w:t>( Alomari,2018)</w:t>
      </w:r>
    </w:p>
    <w:p w14:paraId="3BF7AE62" w14:textId="77777777" w:rsidR="000073C4" w:rsidRPr="005D59A7" w:rsidRDefault="000073C4" w:rsidP="00F24293">
      <w:pPr>
        <w:pStyle w:val="Heading2"/>
        <w:bidi/>
        <w:rPr>
          <w:rFonts w:ascii="T" w:hAnsi="T" w:cs="Simplified Arabic"/>
          <w:b/>
          <w:bCs/>
          <w:color w:val="auto"/>
          <w:sz w:val="24"/>
          <w:szCs w:val="24"/>
          <w:rtl/>
        </w:rPr>
      </w:pPr>
      <w:bookmarkStart w:id="11" w:name="_Toc233202787"/>
      <w:r w:rsidRPr="005D59A7">
        <w:rPr>
          <w:rFonts w:ascii="T" w:hAnsi="T" w:cs="Simplified Arabic"/>
          <w:b/>
          <w:bCs/>
          <w:color w:val="auto"/>
          <w:sz w:val="24"/>
          <w:szCs w:val="24"/>
          <w:rtl/>
        </w:rPr>
        <w:t>الأهمية التطبيقية</w:t>
      </w:r>
      <w:bookmarkEnd w:id="11"/>
    </w:p>
    <w:p w14:paraId="27E9B51A" w14:textId="7B154B5F" w:rsidR="00646FBB" w:rsidRPr="005D59A7" w:rsidRDefault="00210FA3" w:rsidP="00F2429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على الرغم من التطور المشهود في الشراكة بين القطاعين العام والخاص</w:t>
      </w:r>
      <w:r w:rsidR="000073C4" w:rsidRPr="005D59A7">
        <w:rPr>
          <w:rFonts w:ascii="T" w:hAnsi="T" w:cs="Simplified Arabic"/>
          <w:sz w:val="24"/>
          <w:szCs w:val="24"/>
          <w:rtl/>
        </w:rPr>
        <w:t xml:space="preserve"> في بعض القطاعات في المملكة مثل الأمن والمرور والاتصالات وتقنية المعلومات</w:t>
      </w:r>
      <w:r w:rsidRPr="005D59A7">
        <w:rPr>
          <w:rFonts w:ascii="T" w:hAnsi="T" w:cs="Simplified Arabic"/>
          <w:sz w:val="24"/>
          <w:szCs w:val="24"/>
          <w:rtl/>
        </w:rPr>
        <w:t xml:space="preserve">، </w:t>
      </w:r>
      <w:r w:rsidR="000073C4" w:rsidRPr="005D59A7">
        <w:rPr>
          <w:rFonts w:ascii="T" w:hAnsi="T" w:cs="Simplified Arabic"/>
          <w:sz w:val="24"/>
          <w:szCs w:val="24"/>
          <w:rtl/>
        </w:rPr>
        <w:t>إلا أن القطاع البيئي</w:t>
      </w:r>
      <w:r w:rsidR="005F48DB" w:rsidRPr="005D59A7">
        <w:rPr>
          <w:rFonts w:ascii="T" w:hAnsi="T" w:cs="Simplified Arabic"/>
          <w:sz w:val="24"/>
          <w:szCs w:val="24"/>
          <w:rtl/>
        </w:rPr>
        <w:t xml:space="preserve"> بشكل عام</w:t>
      </w:r>
      <w:r w:rsidR="000073C4" w:rsidRPr="005D59A7">
        <w:rPr>
          <w:rFonts w:ascii="T" w:hAnsi="T" w:cs="Simplified Arabic"/>
          <w:sz w:val="24"/>
          <w:szCs w:val="24"/>
          <w:rtl/>
        </w:rPr>
        <w:t xml:space="preserve"> يفتقر إلى التميز التشغيلي والمشاركات الكافية بين القطاعين العام والخاص لتعظيم الإمكانات وزيادة الكفاءة وخفض التكاليف رغم </w:t>
      </w:r>
      <w:r w:rsidRPr="005D59A7">
        <w:rPr>
          <w:rFonts w:ascii="T" w:hAnsi="T" w:cs="Simplified Arabic"/>
          <w:sz w:val="24"/>
          <w:szCs w:val="24"/>
          <w:rtl/>
        </w:rPr>
        <w:t xml:space="preserve">إعادة </w:t>
      </w:r>
      <w:r w:rsidR="000073C4" w:rsidRPr="005D59A7">
        <w:rPr>
          <w:rFonts w:ascii="T" w:hAnsi="T" w:cs="Simplified Arabic"/>
          <w:sz w:val="24"/>
          <w:szCs w:val="24"/>
          <w:rtl/>
        </w:rPr>
        <w:t>ال</w:t>
      </w:r>
      <w:r w:rsidRPr="005D59A7">
        <w:rPr>
          <w:rFonts w:ascii="T" w:hAnsi="T" w:cs="Simplified Arabic"/>
          <w:sz w:val="24"/>
          <w:szCs w:val="24"/>
          <w:rtl/>
        </w:rPr>
        <w:t xml:space="preserve">هيكلة </w:t>
      </w:r>
      <w:r w:rsidR="000073C4" w:rsidRPr="005D59A7">
        <w:rPr>
          <w:rFonts w:ascii="T" w:hAnsi="T" w:cs="Simplified Arabic"/>
          <w:sz w:val="24"/>
          <w:szCs w:val="24"/>
          <w:rtl/>
        </w:rPr>
        <w:t>التي مر بها</w:t>
      </w:r>
      <w:r w:rsidRPr="005D59A7">
        <w:rPr>
          <w:rFonts w:ascii="T" w:hAnsi="T" w:cs="Simplified Arabic"/>
          <w:sz w:val="24"/>
          <w:szCs w:val="24"/>
          <w:rtl/>
        </w:rPr>
        <w:t>، فإنه ووفقًا</w:t>
      </w:r>
      <w:r w:rsidR="004F25C0" w:rsidRPr="005D59A7">
        <w:rPr>
          <w:rFonts w:ascii="T" w:hAnsi="T" w:cs="Simplified Arabic"/>
          <w:sz w:val="24"/>
          <w:szCs w:val="24"/>
          <w:rtl/>
        </w:rPr>
        <w:t xml:space="preserve"> </w:t>
      </w:r>
      <w:r w:rsidRPr="005D59A7">
        <w:rPr>
          <w:rFonts w:ascii="T" w:hAnsi="T" w:cs="Simplified Arabic"/>
          <w:sz w:val="24"/>
          <w:szCs w:val="24"/>
          <w:rtl/>
        </w:rPr>
        <w:t>للعديد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00410D73" w:rsidRPr="005D59A7">
        <w:rPr>
          <w:rFonts w:ascii="T" w:hAnsi="T" w:cs="Simplified Arabic"/>
          <w:sz w:val="24"/>
          <w:szCs w:val="24"/>
          <w:rtl/>
        </w:rPr>
        <w:t>الدراسات،</w:t>
      </w:r>
      <w:r w:rsidRPr="005D59A7">
        <w:rPr>
          <w:rFonts w:ascii="T" w:hAnsi="T" w:cs="Simplified Arabic"/>
          <w:sz w:val="24"/>
          <w:szCs w:val="24"/>
          <w:rtl/>
        </w:rPr>
        <w:t xml:space="preserve"> ونظراً</w:t>
      </w:r>
      <w:r w:rsidR="004F25C0" w:rsidRPr="005D59A7">
        <w:rPr>
          <w:rFonts w:ascii="T" w:hAnsi="T" w:cs="Simplified Arabic"/>
          <w:sz w:val="24"/>
          <w:szCs w:val="24"/>
          <w:rtl/>
        </w:rPr>
        <w:t xml:space="preserve"> </w:t>
      </w:r>
      <w:r w:rsidRPr="005D59A7">
        <w:rPr>
          <w:rFonts w:ascii="T" w:hAnsi="T" w:cs="Simplified Arabic"/>
          <w:sz w:val="24"/>
          <w:szCs w:val="24"/>
          <w:rtl/>
        </w:rPr>
        <w:t>لطبيعتها،</w:t>
      </w:r>
      <w:r w:rsidR="004F25C0" w:rsidRPr="005D59A7">
        <w:rPr>
          <w:rFonts w:ascii="T" w:hAnsi="T" w:cs="Simplified Arabic"/>
          <w:sz w:val="24"/>
          <w:szCs w:val="24"/>
          <w:rtl/>
        </w:rPr>
        <w:t xml:space="preserve"> </w:t>
      </w:r>
      <w:r w:rsidRPr="005D59A7">
        <w:rPr>
          <w:rFonts w:ascii="T" w:hAnsi="T" w:cs="Simplified Arabic"/>
          <w:sz w:val="24"/>
          <w:szCs w:val="24"/>
          <w:rtl/>
        </w:rPr>
        <w:t>تواجه</w:t>
      </w:r>
      <w:r w:rsidR="004F25C0" w:rsidRPr="005D59A7">
        <w:rPr>
          <w:rFonts w:ascii="T" w:hAnsi="T" w:cs="Simplified Arabic"/>
          <w:sz w:val="24"/>
          <w:szCs w:val="24"/>
          <w:rtl/>
        </w:rPr>
        <w:t xml:space="preserve"> </w:t>
      </w:r>
      <w:r w:rsidRPr="005D59A7">
        <w:rPr>
          <w:rFonts w:ascii="T" w:hAnsi="T" w:cs="Simplified Arabic"/>
          <w:sz w:val="24"/>
          <w:szCs w:val="24"/>
          <w:rtl/>
        </w:rPr>
        <w:t>المملكة عدة</w:t>
      </w:r>
      <w:r w:rsidR="004F25C0" w:rsidRPr="005D59A7">
        <w:rPr>
          <w:rFonts w:ascii="T" w:hAnsi="T" w:cs="Simplified Arabic"/>
          <w:sz w:val="24"/>
          <w:szCs w:val="24"/>
          <w:rtl/>
        </w:rPr>
        <w:t xml:space="preserve"> </w:t>
      </w:r>
      <w:r w:rsidRPr="005D59A7">
        <w:rPr>
          <w:rFonts w:ascii="T" w:hAnsi="T" w:cs="Simplified Arabic"/>
          <w:sz w:val="24"/>
          <w:szCs w:val="24"/>
          <w:rtl/>
        </w:rPr>
        <w:t>تحديات</w:t>
      </w:r>
      <w:r w:rsidR="004F25C0" w:rsidRPr="005D59A7">
        <w:rPr>
          <w:rFonts w:ascii="T" w:hAnsi="T" w:cs="Simplified Arabic"/>
          <w:sz w:val="24"/>
          <w:szCs w:val="24"/>
          <w:rtl/>
        </w:rPr>
        <w:t xml:space="preserve"> </w:t>
      </w:r>
      <w:r w:rsidRPr="005D59A7">
        <w:rPr>
          <w:rFonts w:ascii="T" w:hAnsi="T" w:cs="Simplified Arabic"/>
          <w:sz w:val="24"/>
          <w:szCs w:val="24"/>
          <w:rtl/>
        </w:rPr>
        <w:t>بيئية</w:t>
      </w:r>
      <w:r w:rsidR="004F25C0" w:rsidRPr="005D59A7">
        <w:rPr>
          <w:rFonts w:ascii="T" w:hAnsi="T" w:cs="Simplified Arabic"/>
          <w:sz w:val="24"/>
          <w:szCs w:val="24"/>
          <w:rtl/>
        </w:rPr>
        <w:t xml:space="preserve"> </w:t>
      </w:r>
      <w:r w:rsidRPr="005D59A7">
        <w:rPr>
          <w:rFonts w:ascii="T" w:hAnsi="T" w:cs="Simplified Arabic"/>
          <w:sz w:val="24"/>
          <w:szCs w:val="24"/>
          <w:rtl/>
        </w:rPr>
        <w:t>جسيمة،</w:t>
      </w:r>
      <w:r w:rsidR="004F25C0" w:rsidRPr="005D59A7">
        <w:rPr>
          <w:rFonts w:ascii="T" w:hAnsi="T" w:cs="Simplified Arabic"/>
          <w:sz w:val="24"/>
          <w:szCs w:val="24"/>
          <w:rtl/>
        </w:rPr>
        <w:t xml:space="preserve"> </w:t>
      </w:r>
      <w:r w:rsidRPr="005D59A7">
        <w:rPr>
          <w:rFonts w:ascii="T" w:hAnsi="T" w:cs="Simplified Arabic"/>
          <w:sz w:val="24"/>
          <w:szCs w:val="24"/>
          <w:rtl/>
        </w:rPr>
        <w:t xml:space="preserve">منها </w:t>
      </w:r>
      <w:r w:rsidR="00285330" w:rsidRPr="005D59A7">
        <w:rPr>
          <w:rFonts w:ascii="T" w:hAnsi="T" w:cs="Simplified Arabic"/>
          <w:sz w:val="24"/>
          <w:szCs w:val="24"/>
        </w:rPr>
        <w:t>(</w:t>
      </w:r>
      <w:proofErr w:type="spellStart"/>
      <w:r w:rsidR="00285330" w:rsidRPr="005D59A7">
        <w:rPr>
          <w:rFonts w:ascii="T" w:hAnsi="T" w:cs="Simplified Arabic"/>
          <w:sz w:val="24"/>
          <w:szCs w:val="24"/>
        </w:rPr>
        <w:t>liu,et</w:t>
      </w:r>
      <w:proofErr w:type="spellEnd"/>
      <w:r w:rsidR="00285330" w:rsidRPr="005D59A7">
        <w:rPr>
          <w:rFonts w:ascii="T" w:hAnsi="T" w:cs="Simplified Arabic"/>
          <w:sz w:val="24"/>
          <w:szCs w:val="24"/>
        </w:rPr>
        <w:t xml:space="preserve"> al ,2021)</w:t>
      </w:r>
      <w:r w:rsidRPr="005D59A7">
        <w:rPr>
          <w:rFonts w:ascii="T" w:hAnsi="T" w:cs="Simplified Arabic"/>
          <w:sz w:val="24"/>
          <w:szCs w:val="24"/>
          <w:rtl/>
        </w:rPr>
        <w:t>:</w:t>
      </w:r>
    </w:p>
    <w:p w14:paraId="570C34AF"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ندرة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تُمثل</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تحدياً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كبيراً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باعتبار 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المنطقة الجغرافية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قاحلة،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مما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يؤدي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الاعتماد</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الكبير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(وهي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عملية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كثيفة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الاستهلاك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للطاقة) والمياه</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الجوفية.</w:t>
      </w:r>
    </w:p>
    <w:p w14:paraId="0A4E04D4"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تلوث</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الهواء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والماء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والتربة: ينجم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الأنشطة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الصناعية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والتوسع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الحضري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وقضايا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إدارة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النفايات والتصحر.</w:t>
      </w:r>
    </w:p>
    <w:p w14:paraId="6E1BF80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التصحر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وتدهور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الأراضي: يتفاقمان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بسبب</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والرعي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الجائر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والاستخدام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المستدام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للأراضي.</w:t>
      </w:r>
    </w:p>
    <w:p w14:paraId="42071B8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فقدان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التنوع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البيولوجي: معظم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البيئية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المتنوعة مهددة،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في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ذلك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الحياة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البرية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والبحرية.</w:t>
      </w:r>
    </w:p>
    <w:p w14:paraId="25B7F4F8" w14:textId="77777777" w:rsidR="00AA4970"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آثار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 من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المتوقع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يتأثر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الشرق</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الأوسط</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بشدة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بارتفاع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درجات</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الحرارة،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أنماط</w:t>
      </w:r>
      <w:r w:rsidR="00AA4970" w:rsidRPr="005D59A7">
        <w:rPr>
          <w:rFonts w:ascii="T" w:hAnsi="T" w:cs="Simplified Arabic"/>
          <w:sz w:val="24"/>
          <w:szCs w:val="24"/>
          <w:shd w:val="clear" w:color="auto" w:fill="FFFFFF"/>
          <w:rtl/>
        </w:rPr>
        <w:t xml:space="preserve"> هطول ا</w:t>
      </w:r>
      <w:r w:rsidRPr="005D59A7">
        <w:rPr>
          <w:rFonts w:ascii="T" w:hAnsi="T" w:cs="Simplified Arabic"/>
          <w:sz w:val="24"/>
          <w:szCs w:val="24"/>
          <w:shd w:val="clear" w:color="auto" w:fill="FFFFFF"/>
          <w:rtl/>
        </w:rPr>
        <w:t>لأمطار،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وزيادة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وتيرة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الظواهر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المتطرفة.</w:t>
      </w:r>
    </w:p>
    <w:p w14:paraId="5CC8A264"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تشكل</w:t>
      </w:r>
      <w:r w:rsidR="00AA4970" w:rsidRPr="005D59A7">
        <w:rPr>
          <w:rFonts w:ascii="T" w:hAnsi="T" w:cs="Simplified Arabic"/>
          <w:sz w:val="24"/>
          <w:szCs w:val="24"/>
          <w:rtl/>
        </w:rPr>
        <w:t xml:space="preserve"> </w:t>
      </w:r>
      <w:r w:rsidRPr="005D59A7">
        <w:rPr>
          <w:rFonts w:ascii="T" w:hAnsi="T" w:cs="Simplified Arabic"/>
          <w:sz w:val="24"/>
          <w:szCs w:val="24"/>
          <w:rtl/>
        </w:rPr>
        <w:t>مشكلة</w:t>
      </w:r>
      <w:r w:rsidR="00AA4970" w:rsidRPr="005D59A7">
        <w:rPr>
          <w:rFonts w:ascii="T" w:hAnsi="T" w:cs="Simplified Arabic"/>
          <w:sz w:val="24"/>
          <w:szCs w:val="24"/>
          <w:rtl/>
        </w:rPr>
        <w:t xml:space="preserve"> </w:t>
      </w:r>
      <w:r w:rsidRPr="005D59A7">
        <w:rPr>
          <w:rFonts w:ascii="T" w:hAnsi="T" w:cs="Simplified Arabic"/>
          <w:sz w:val="24"/>
          <w:szCs w:val="24"/>
          <w:rtl/>
        </w:rPr>
        <w:t>ظاهرة</w:t>
      </w:r>
      <w:r w:rsidR="00AA4970" w:rsidRPr="005D59A7">
        <w:rPr>
          <w:rFonts w:ascii="T" w:hAnsi="T" w:cs="Simplified Arabic"/>
          <w:sz w:val="24"/>
          <w:szCs w:val="24"/>
          <w:rtl/>
        </w:rPr>
        <w:t xml:space="preserve"> </w:t>
      </w:r>
      <w:r w:rsidRPr="005D59A7">
        <w:rPr>
          <w:rFonts w:ascii="T" w:hAnsi="T" w:cs="Simplified Arabic"/>
          <w:sz w:val="24"/>
          <w:szCs w:val="24"/>
          <w:rtl/>
        </w:rPr>
        <w:t>التصحر</w:t>
      </w:r>
      <w:r w:rsidR="00AA4970" w:rsidRPr="005D59A7">
        <w:rPr>
          <w:rFonts w:ascii="T" w:hAnsi="T" w:cs="Simplified Arabic"/>
          <w:sz w:val="24"/>
          <w:szCs w:val="24"/>
          <w:rtl/>
        </w:rPr>
        <w:t xml:space="preserve"> </w:t>
      </w:r>
      <w:r w:rsidRPr="005D59A7">
        <w:rPr>
          <w:rFonts w:ascii="T" w:hAnsi="T" w:cs="Simplified Arabic"/>
          <w:sz w:val="24"/>
          <w:szCs w:val="24"/>
          <w:rtl/>
        </w:rPr>
        <w:t>والاعتماد</w:t>
      </w:r>
      <w:r w:rsidR="00AA4970" w:rsidRPr="005D59A7">
        <w:rPr>
          <w:rFonts w:ascii="T" w:hAnsi="T" w:cs="Simplified Arabic"/>
          <w:sz w:val="24"/>
          <w:szCs w:val="24"/>
          <w:rtl/>
        </w:rPr>
        <w:t xml:space="preserve"> </w:t>
      </w:r>
      <w:r w:rsidRPr="005D59A7">
        <w:rPr>
          <w:rFonts w:ascii="T" w:hAnsi="T" w:cs="Simplified Arabic"/>
          <w:sz w:val="24"/>
          <w:szCs w:val="24"/>
          <w:rtl/>
        </w:rPr>
        <w:t>الاقتصادي</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النفط مخاوف</w:t>
      </w:r>
      <w:r w:rsidR="00AA4970" w:rsidRPr="005D59A7">
        <w:rPr>
          <w:rFonts w:ascii="T" w:hAnsi="T" w:cs="Simplified Arabic"/>
          <w:sz w:val="24"/>
          <w:szCs w:val="24"/>
          <w:rtl/>
        </w:rPr>
        <w:t xml:space="preserve"> </w:t>
      </w:r>
      <w:r w:rsidRPr="005D59A7">
        <w:rPr>
          <w:rFonts w:ascii="T" w:hAnsi="T" w:cs="Simplified Arabic"/>
          <w:sz w:val="24"/>
          <w:szCs w:val="24"/>
          <w:rtl/>
        </w:rPr>
        <w:t>اقتصادية</w:t>
      </w:r>
      <w:r w:rsidR="00AA4970" w:rsidRPr="005D59A7">
        <w:rPr>
          <w:rFonts w:ascii="T" w:hAnsi="T" w:cs="Simplified Arabic"/>
          <w:sz w:val="24"/>
          <w:szCs w:val="24"/>
          <w:rtl/>
        </w:rPr>
        <w:t xml:space="preserve"> </w:t>
      </w:r>
      <w:r w:rsidRPr="005D59A7">
        <w:rPr>
          <w:rFonts w:ascii="T" w:hAnsi="T" w:cs="Simplified Arabic"/>
          <w:sz w:val="24"/>
          <w:szCs w:val="24"/>
          <w:rtl/>
        </w:rPr>
        <w:t>جسيمة</w:t>
      </w:r>
      <w:r w:rsidR="00AA4970" w:rsidRPr="005D59A7">
        <w:rPr>
          <w:rFonts w:ascii="T" w:hAnsi="T" w:cs="Simplified Arabic"/>
          <w:sz w:val="24"/>
          <w:szCs w:val="24"/>
          <w:rtl/>
        </w:rPr>
        <w:t xml:space="preserve"> </w:t>
      </w:r>
      <w:r w:rsidRPr="005D59A7">
        <w:rPr>
          <w:rFonts w:ascii="T" w:hAnsi="T" w:cs="Simplified Arabic"/>
          <w:sz w:val="24"/>
          <w:szCs w:val="24"/>
          <w:rtl/>
        </w:rPr>
        <w:t>وتعد أيضا</w:t>
      </w:r>
      <w:r w:rsidR="00AA4970" w:rsidRPr="005D59A7">
        <w:rPr>
          <w:rFonts w:ascii="T" w:hAnsi="T" w:cs="Simplified Arabic"/>
          <w:sz w:val="24"/>
          <w:szCs w:val="24"/>
          <w:rtl/>
        </w:rPr>
        <w:t xml:space="preserve"> </w:t>
      </w:r>
      <w:r w:rsidRPr="005D59A7">
        <w:rPr>
          <w:rFonts w:ascii="T" w:hAnsi="T" w:cs="Simplified Arabic"/>
          <w:sz w:val="24"/>
          <w:szCs w:val="24"/>
          <w:rtl/>
        </w:rPr>
        <w:t>أمراً</w:t>
      </w:r>
      <w:r w:rsidR="00AA4970" w:rsidRPr="005D59A7">
        <w:rPr>
          <w:rFonts w:ascii="T" w:hAnsi="T" w:cs="Simplified Arabic"/>
          <w:sz w:val="24"/>
          <w:szCs w:val="24"/>
          <w:rtl/>
        </w:rPr>
        <w:t xml:space="preserve"> </w:t>
      </w:r>
      <w:r w:rsidRPr="005D59A7">
        <w:rPr>
          <w:rFonts w:ascii="T" w:hAnsi="T" w:cs="Simplified Arabic"/>
          <w:sz w:val="24"/>
          <w:szCs w:val="24"/>
          <w:rtl/>
        </w:rPr>
        <w:t>مقلقاً</w:t>
      </w:r>
      <w:r w:rsidR="00AA4970" w:rsidRPr="005D59A7">
        <w:rPr>
          <w:rFonts w:ascii="T" w:hAnsi="T" w:cs="Simplified Arabic"/>
          <w:sz w:val="24"/>
          <w:szCs w:val="24"/>
          <w:rtl/>
        </w:rPr>
        <w:t xml:space="preserve"> </w:t>
      </w:r>
      <w:r w:rsidRPr="005D59A7">
        <w:rPr>
          <w:rFonts w:ascii="T" w:hAnsi="T" w:cs="Simplified Arabic"/>
          <w:sz w:val="24"/>
          <w:szCs w:val="24"/>
          <w:rtl/>
        </w:rPr>
        <w:t>يزيد</w:t>
      </w:r>
      <w:r w:rsidR="00AA4970" w:rsidRPr="005D59A7">
        <w:rPr>
          <w:rFonts w:ascii="T" w:hAnsi="T" w:cs="Simplified Arabic"/>
          <w:sz w:val="24"/>
          <w:szCs w:val="24"/>
          <w:rtl/>
        </w:rPr>
        <w:t xml:space="preserve"> </w:t>
      </w:r>
      <w:r w:rsidRPr="005D59A7">
        <w:rPr>
          <w:rFonts w:ascii="T" w:hAnsi="T" w:cs="Simplified Arabic"/>
          <w:sz w:val="24"/>
          <w:szCs w:val="24"/>
          <w:rtl/>
        </w:rPr>
        <w:t>من</w:t>
      </w:r>
      <w:r w:rsidR="00AA4970" w:rsidRPr="005D59A7">
        <w:rPr>
          <w:rFonts w:ascii="T" w:hAnsi="T" w:cs="Simplified Arabic"/>
          <w:sz w:val="24"/>
          <w:szCs w:val="24"/>
          <w:rtl/>
        </w:rPr>
        <w:t xml:space="preserve"> </w:t>
      </w:r>
      <w:r w:rsidRPr="005D59A7">
        <w:rPr>
          <w:rFonts w:ascii="T" w:hAnsi="T" w:cs="Simplified Arabic"/>
          <w:sz w:val="24"/>
          <w:szCs w:val="24"/>
          <w:rtl/>
        </w:rPr>
        <w:t>أعباء</w:t>
      </w:r>
      <w:r w:rsidR="00AA4970" w:rsidRPr="005D59A7">
        <w:rPr>
          <w:rFonts w:ascii="T" w:hAnsi="T" w:cs="Simplified Arabic"/>
          <w:sz w:val="24"/>
          <w:szCs w:val="24"/>
          <w:rtl/>
        </w:rPr>
        <w:t xml:space="preserve"> </w:t>
      </w:r>
      <w:r w:rsidRPr="005D59A7">
        <w:rPr>
          <w:rFonts w:ascii="T" w:hAnsi="T" w:cs="Simplified Arabic"/>
          <w:sz w:val="24"/>
          <w:szCs w:val="24"/>
          <w:rtl/>
        </w:rPr>
        <w:t>الأجهزة</w:t>
      </w:r>
      <w:r w:rsidR="00AA4970" w:rsidRPr="005D59A7">
        <w:rPr>
          <w:rFonts w:ascii="T" w:hAnsi="T" w:cs="Simplified Arabic"/>
          <w:sz w:val="24"/>
          <w:szCs w:val="24"/>
          <w:rtl/>
        </w:rPr>
        <w:t xml:space="preserve"> </w:t>
      </w:r>
      <w:r w:rsidRPr="005D59A7">
        <w:rPr>
          <w:rFonts w:ascii="T" w:hAnsi="T" w:cs="Simplified Arabic"/>
          <w:sz w:val="24"/>
          <w:szCs w:val="24"/>
          <w:rtl/>
        </w:rPr>
        <w:t>القائمة</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مكافحة هذه</w:t>
      </w:r>
      <w:r w:rsidR="00AA4970" w:rsidRPr="005D59A7">
        <w:rPr>
          <w:rFonts w:ascii="T" w:hAnsi="T" w:cs="Simplified Arabic"/>
          <w:sz w:val="24"/>
          <w:szCs w:val="24"/>
          <w:rtl/>
        </w:rPr>
        <w:t xml:space="preserve"> </w:t>
      </w:r>
      <w:r w:rsidRPr="005D59A7">
        <w:rPr>
          <w:rFonts w:ascii="T" w:hAnsi="T" w:cs="Simplified Arabic"/>
          <w:sz w:val="24"/>
          <w:szCs w:val="24"/>
          <w:rtl/>
        </w:rPr>
        <w:t>الظواهر</w:t>
      </w:r>
      <w:r w:rsidR="00AA4970" w:rsidRPr="005D59A7">
        <w:rPr>
          <w:rFonts w:ascii="T" w:hAnsi="T" w:cs="Simplified Arabic"/>
          <w:sz w:val="24"/>
          <w:szCs w:val="24"/>
          <w:rtl/>
        </w:rPr>
        <w:t xml:space="preserve"> </w:t>
      </w:r>
      <w:r w:rsidRPr="005D59A7">
        <w:rPr>
          <w:rFonts w:ascii="T" w:hAnsi="T" w:cs="Simplified Arabic"/>
          <w:sz w:val="24"/>
          <w:szCs w:val="24"/>
          <w:rtl/>
        </w:rPr>
        <w:t>الطبيعية. عليه، فقد</w:t>
      </w:r>
      <w:r w:rsidR="00AA4970" w:rsidRPr="005D59A7">
        <w:rPr>
          <w:rFonts w:ascii="T" w:hAnsi="T" w:cs="Simplified Arabic"/>
          <w:sz w:val="24"/>
          <w:szCs w:val="24"/>
          <w:rtl/>
        </w:rPr>
        <w:t xml:space="preserve"> </w:t>
      </w:r>
      <w:r w:rsidRPr="005D59A7">
        <w:rPr>
          <w:rFonts w:ascii="T" w:hAnsi="T" w:cs="Simplified Arabic"/>
          <w:sz w:val="24"/>
          <w:szCs w:val="24"/>
          <w:rtl/>
        </w:rPr>
        <w:t>وضعت</w:t>
      </w:r>
      <w:r w:rsidR="00AA4970" w:rsidRPr="005D59A7">
        <w:rPr>
          <w:rFonts w:ascii="T" w:hAnsi="T" w:cs="Simplified Arabic"/>
          <w:sz w:val="24"/>
          <w:szCs w:val="24"/>
          <w:rtl/>
        </w:rPr>
        <w:t xml:space="preserve"> </w:t>
      </w:r>
      <w:r w:rsidRPr="005D59A7">
        <w:rPr>
          <w:rFonts w:ascii="T" w:hAnsi="T" w:cs="Simplified Arabic"/>
          <w:sz w:val="24"/>
          <w:szCs w:val="24"/>
          <w:rtl/>
        </w:rPr>
        <w:t>عدة</w:t>
      </w:r>
      <w:r w:rsidR="00AA4970" w:rsidRPr="005D59A7">
        <w:rPr>
          <w:rFonts w:ascii="T" w:hAnsi="T" w:cs="Simplified Arabic"/>
          <w:sz w:val="24"/>
          <w:szCs w:val="24"/>
          <w:rtl/>
        </w:rPr>
        <w:t xml:space="preserve"> </w:t>
      </w:r>
      <w:r w:rsidRPr="005D59A7">
        <w:rPr>
          <w:rFonts w:ascii="T" w:hAnsi="T" w:cs="Simplified Arabic"/>
          <w:sz w:val="24"/>
          <w:szCs w:val="24"/>
          <w:rtl/>
        </w:rPr>
        <w:t>دراسات</w:t>
      </w:r>
      <w:r w:rsidR="00AA4970" w:rsidRPr="005D59A7">
        <w:rPr>
          <w:rFonts w:ascii="T" w:hAnsi="T" w:cs="Simplified Arabic"/>
          <w:sz w:val="24"/>
          <w:szCs w:val="24"/>
          <w:rtl/>
        </w:rPr>
        <w:t xml:space="preserve"> </w:t>
      </w:r>
      <w:r w:rsidRPr="005D59A7">
        <w:rPr>
          <w:rFonts w:ascii="T" w:hAnsi="T" w:cs="Simplified Arabic"/>
          <w:sz w:val="24"/>
          <w:szCs w:val="24"/>
          <w:rtl/>
        </w:rPr>
        <w:t>سابقة</w:t>
      </w:r>
      <w:r w:rsidR="00AA4970" w:rsidRPr="005D59A7">
        <w:rPr>
          <w:rFonts w:ascii="T" w:hAnsi="T" w:cs="Simplified Arabic"/>
          <w:sz w:val="24"/>
          <w:szCs w:val="24"/>
          <w:rtl/>
        </w:rPr>
        <w:t xml:space="preserve"> </w:t>
      </w:r>
      <w:r w:rsidRPr="005D59A7">
        <w:rPr>
          <w:rFonts w:ascii="T" w:hAnsi="T" w:cs="Simplified Arabic"/>
          <w:sz w:val="24"/>
          <w:szCs w:val="24"/>
          <w:rtl/>
        </w:rPr>
        <w:t>التقديرات</w:t>
      </w:r>
      <w:r w:rsidR="00AA4970" w:rsidRPr="005D59A7">
        <w:rPr>
          <w:rFonts w:ascii="T" w:hAnsi="T" w:cs="Simplified Arabic"/>
          <w:sz w:val="24"/>
          <w:szCs w:val="24"/>
          <w:rtl/>
        </w:rPr>
        <w:t xml:space="preserve"> </w:t>
      </w:r>
      <w:r w:rsidRPr="005D59A7">
        <w:rPr>
          <w:rFonts w:ascii="T" w:hAnsi="T" w:cs="Simplified Arabic"/>
          <w:sz w:val="24"/>
          <w:szCs w:val="24"/>
          <w:rtl/>
        </w:rPr>
        <w:t>المناسبة</w:t>
      </w:r>
      <w:r w:rsidR="00AA4970" w:rsidRPr="005D59A7">
        <w:rPr>
          <w:rFonts w:ascii="T" w:hAnsi="T" w:cs="Simplified Arabic"/>
          <w:sz w:val="24"/>
          <w:szCs w:val="24"/>
          <w:rtl/>
        </w:rPr>
        <w:t xml:space="preserve"> </w:t>
      </w:r>
      <w:r w:rsidRPr="005D59A7">
        <w:rPr>
          <w:rFonts w:ascii="T" w:hAnsi="T" w:cs="Simplified Arabic"/>
          <w:sz w:val="24"/>
          <w:szCs w:val="24"/>
          <w:rtl/>
        </w:rPr>
        <w:t>لتقييم</w:t>
      </w:r>
      <w:r w:rsidR="00AA4970" w:rsidRPr="005D59A7">
        <w:rPr>
          <w:rFonts w:ascii="T" w:hAnsi="T" w:cs="Simplified Arabic"/>
          <w:sz w:val="24"/>
          <w:szCs w:val="24"/>
          <w:rtl/>
        </w:rPr>
        <w:t xml:space="preserve"> </w:t>
      </w:r>
      <w:r w:rsidRPr="005D59A7">
        <w:rPr>
          <w:rFonts w:ascii="T" w:hAnsi="T" w:cs="Simplified Arabic"/>
          <w:sz w:val="24"/>
          <w:szCs w:val="24"/>
          <w:rtl/>
        </w:rPr>
        <w:t>تكلفة</w:t>
      </w:r>
      <w:r w:rsidR="00AA4970" w:rsidRPr="005D59A7">
        <w:rPr>
          <w:rFonts w:ascii="T" w:hAnsi="T" w:cs="Simplified Arabic"/>
          <w:sz w:val="24"/>
          <w:szCs w:val="24"/>
          <w:rtl/>
        </w:rPr>
        <w:t xml:space="preserve"> </w:t>
      </w:r>
      <w:r w:rsidRPr="005D59A7">
        <w:rPr>
          <w:rFonts w:ascii="T" w:hAnsi="T" w:cs="Simplified Arabic"/>
          <w:sz w:val="24"/>
          <w:szCs w:val="24"/>
          <w:rtl/>
        </w:rPr>
        <w:t>التدهور</w:t>
      </w:r>
      <w:r w:rsidR="00AA4970" w:rsidRPr="005D59A7">
        <w:rPr>
          <w:rFonts w:ascii="T" w:hAnsi="T" w:cs="Simplified Arabic"/>
          <w:sz w:val="24"/>
          <w:szCs w:val="24"/>
          <w:rtl/>
        </w:rPr>
        <w:t xml:space="preserve"> </w:t>
      </w:r>
      <w:r w:rsidRPr="005D59A7">
        <w:rPr>
          <w:rFonts w:ascii="T" w:hAnsi="T" w:cs="Simplified Arabic"/>
          <w:sz w:val="24"/>
          <w:szCs w:val="24"/>
          <w:rtl/>
        </w:rPr>
        <w:t>البيئي</w:t>
      </w:r>
      <w:r w:rsidR="00AA4970" w:rsidRPr="005D59A7">
        <w:rPr>
          <w:rFonts w:ascii="T" w:hAnsi="T" w:cs="Simplified Arabic"/>
          <w:sz w:val="24"/>
          <w:szCs w:val="24"/>
          <w:rtl/>
        </w:rPr>
        <w:t xml:space="preserve"> </w:t>
      </w:r>
      <w:r w:rsidRPr="005D59A7">
        <w:rPr>
          <w:rFonts w:ascii="T" w:hAnsi="T" w:cs="Simplified Arabic"/>
          <w:sz w:val="24"/>
          <w:szCs w:val="24"/>
          <w:rtl/>
        </w:rPr>
        <w:t>في</w:t>
      </w:r>
      <w:r w:rsidR="00AA4970" w:rsidRPr="005D59A7">
        <w:rPr>
          <w:rFonts w:ascii="T" w:hAnsi="T" w:cs="Simplified Arabic"/>
          <w:sz w:val="24"/>
          <w:szCs w:val="24"/>
          <w:rtl/>
        </w:rPr>
        <w:t xml:space="preserve"> </w:t>
      </w:r>
      <w:r w:rsidRPr="005D59A7">
        <w:rPr>
          <w:rFonts w:ascii="T" w:hAnsi="T" w:cs="Simplified Arabic"/>
          <w:sz w:val="24"/>
          <w:szCs w:val="24"/>
          <w:rtl/>
        </w:rPr>
        <w:t>المملكة</w:t>
      </w:r>
      <w:r w:rsidR="00AA4970" w:rsidRPr="005D59A7">
        <w:rPr>
          <w:rFonts w:ascii="T" w:hAnsi="T" w:cs="Simplified Arabic"/>
          <w:sz w:val="24"/>
          <w:szCs w:val="24"/>
          <w:rtl/>
        </w:rPr>
        <w:t xml:space="preserve"> </w:t>
      </w:r>
      <w:r w:rsidRPr="005D59A7">
        <w:rPr>
          <w:rFonts w:ascii="T" w:hAnsi="T" w:cs="Simplified Arabic"/>
          <w:sz w:val="24"/>
          <w:szCs w:val="24"/>
          <w:rtl/>
        </w:rPr>
        <w:t>ومنها:</w:t>
      </w:r>
    </w:p>
    <w:p w14:paraId="6CA51856" w14:textId="77777777" w:rsidR="00372E00"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لعام </w:t>
      </w:r>
      <w:r w:rsidR="008200D7" w:rsidRPr="005D59A7">
        <w:rPr>
          <w:rFonts w:ascii="T" w:hAnsi="T" w:cs="Simplified Arabic"/>
          <w:sz w:val="24"/>
          <w:szCs w:val="24"/>
          <w:rtl/>
        </w:rPr>
        <w:t>2014</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الأرقام</w:t>
      </w:r>
      <w:r w:rsidR="00045246" w:rsidRPr="005D59A7">
        <w:rPr>
          <w:rFonts w:ascii="T" w:hAnsi="T" w:cs="Simplified Arabic"/>
          <w:sz w:val="24"/>
          <w:szCs w:val="24"/>
        </w:rPr>
        <w:t xml:space="preserve"> </w:t>
      </w:r>
      <w:r w:rsidRPr="005D59A7">
        <w:rPr>
          <w:rFonts w:ascii="T" w:hAnsi="T" w:cs="Simplified Arabic"/>
          <w:sz w:val="24"/>
          <w:szCs w:val="24"/>
          <w:rtl/>
        </w:rPr>
        <w:t>الرئيسية</w:t>
      </w:r>
      <w:r w:rsidR="00045246" w:rsidRPr="005D59A7">
        <w:rPr>
          <w:rFonts w:ascii="T" w:hAnsi="T" w:cs="Simplified Arabic"/>
          <w:sz w:val="24"/>
          <w:szCs w:val="24"/>
        </w:rPr>
        <w:t xml:space="preserve"> </w:t>
      </w:r>
      <w:r w:rsidRPr="005D59A7">
        <w:rPr>
          <w:rFonts w:ascii="T" w:hAnsi="T" w:cs="Simplified Arabic"/>
          <w:sz w:val="24"/>
          <w:szCs w:val="24"/>
          <w:rtl/>
        </w:rPr>
        <w:t>التي</w:t>
      </w:r>
      <w:r w:rsidR="00045246" w:rsidRPr="005D59A7">
        <w:rPr>
          <w:rFonts w:ascii="T" w:hAnsi="T" w:cs="Simplified Arabic"/>
          <w:sz w:val="24"/>
          <w:szCs w:val="24"/>
        </w:rPr>
        <w:t xml:space="preserve"> </w:t>
      </w:r>
      <w:r w:rsidRPr="005D59A7">
        <w:rPr>
          <w:rFonts w:ascii="T" w:hAnsi="T" w:cs="Simplified Arabic"/>
          <w:sz w:val="24"/>
          <w:szCs w:val="24"/>
          <w:rtl/>
        </w:rPr>
        <w:t>يُستشهد</w:t>
      </w:r>
      <w:r w:rsidR="00045246" w:rsidRPr="005D59A7">
        <w:rPr>
          <w:rFonts w:ascii="T" w:hAnsi="T" w:cs="Simplified Arabic"/>
          <w:sz w:val="24"/>
          <w:szCs w:val="24"/>
        </w:rPr>
        <w:t xml:space="preserve"> </w:t>
      </w:r>
      <w:r w:rsidRPr="005D59A7">
        <w:rPr>
          <w:rFonts w:ascii="T" w:hAnsi="T" w:cs="Simplified Arabic"/>
          <w:sz w:val="24"/>
          <w:szCs w:val="24"/>
          <w:rtl/>
        </w:rPr>
        <w:t>بها</w:t>
      </w:r>
      <w:r w:rsidR="00045246" w:rsidRPr="005D59A7">
        <w:rPr>
          <w:rFonts w:ascii="T" w:hAnsi="T" w:cs="Simplified Arabic"/>
          <w:sz w:val="24"/>
          <w:szCs w:val="24"/>
        </w:rPr>
        <w:t xml:space="preserve"> </w:t>
      </w:r>
      <w:r w:rsidRPr="005D59A7">
        <w:rPr>
          <w:rFonts w:ascii="T" w:hAnsi="T" w:cs="Simplified Arabic"/>
          <w:sz w:val="24"/>
          <w:szCs w:val="24"/>
          <w:rtl/>
        </w:rPr>
        <w:t>كثيراً</w:t>
      </w:r>
      <w:r w:rsidR="00045246" w:rsidRPr="005D59A7">
        <w:rPr>
          <w:rFonts w:ascii="T" w:hAnsi="T" w:cs="Simplified Arabic"/>
          <w:sz w:val="24"/>
          <w:szCs w:val="24"/>
        </w:rPr>
        <w:t xml:space="preserve"> </w:t>
      </w: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أجراها</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2014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والتي</w:t>
      </w:r>
      <w:r w:rsidR="00045246" w:rsidRPr="005D59A7">
        <w:rPr>
          <w:rFonts w:ascii="T" w:hAnsi="T" w:cs="Simplified Arabic"/>
          <w:sz w:val="24"/>
          <w:szCs w:val="24"/>
        </w:rPr>
        <w:t xml:space="preserve"> </w:t>
      </w:r>
      <w:r w:rsidRPr="005D59A7">
        <w:rPr>
          <w:rFonts w:ascii="T" w:hAnsi="T" w:cs="Simplified Arabic"/>
          <w:sz w:val="24"/>
          <w:szCs w:val="24"/>
          <w:rtl/>
        </w:rPr>
        <w:t>قدرت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تكلفة</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تجاوزت </w:t>
      </w:r>
      <w:r w:rsidR="008200D7" w:rsidRPr="005D59A7">
        <w:rPr>
          <w:rFonts w:ascii="T" w:hAnsi="T" w:cs="Simplified Arabic"/>
          <w:sz w:val="24"/>
          <w:szCs w:val="24"/>
          <w:rtl/>
        </w:rPr>
        <w:t>86</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ريال</w:t>
      </w:r>
      <w:r w:rsidR="00045246" w:rsidRPr="005D59A7">
        <w:rPr>
          <w:rFonts w:ascii="T" w:hAnsi="T" w:cs="Simplified Arabic"/>
          <w:sz w:val="24"/>
          <w:szCs w:val="24"/>
        </w:rPr>
        <w:t xml:space="preserve"> </w:t>
      </w:r>
      <w:r w:rsidRPr="005D59A7">
        <w:rPr>
          <w:rFonts w:ascii="T" w:hAnsi="T" w:cs="Simplified Arabic"/>
          <w:sz w:val="24"/>
          <w:szCs w:val="24"/>
          <w:rtl/>
        </w:rPr>
        <w:t>سعودي،</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3</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المحلي</w:t>
      </w:r>
      <w:r w:rsidR="00045246" w:rsidRPr="005D59A7">
        <w:rPr>
          <w:rFonts w:ascii="T" w:hAnsi="T" w:cs="Simplified Arabic"/>
          <w:sz w:val="24"/>
          <w:szCs w:val="24"/>
        </w:rPr>
        <w:t xml:space="preserve"> </w:t>
      </w:r>
      <w:r w:rsidRPr="005D59A7">
        <w:rPr>
          <w:rFonts w:ascii="T" w:hAnsi="T" w:cs="Simplified Arabic"/>
          <w:sz w:val="24"/>
          <w:szCs w:val="24"/>
          <w:rtl/>
        </w:rPr>
        <w:t>الإجمالي،</w:t>
      </w:r>
      <w:r w:rsidR="00045246" w:rsidRPr="005D59A7">
        <w:rPr>
          <w:rFonts w:ascii="T" w:hAnsi="T" w:cs="Simplified Arabic"/>
          <w:sz w:val="24"/>
          <w:szCs w:val="24"/>
        </w:rPr>
        <w:t xml:space="preserve"> </w:t>
      </w:r>
      <w:r w:rsidRPr="005D59A7">
        <w:rPr>
          <w:rFonts w:ascii="T" w:hAnsi="T" w:cs="Simplified Arabic"/>
          <w:sz w:val="24"/>
          <w:szCs w:val="24"/>
          <w:rtl/>
        </w:rPr>
        <w:t>وذلك</w:t>
      </w:r>
      <w:r w:rsidR="00045246" w:rsidRPr="005D59A7">
        <w:rPr>
          <w:rFonts w:ascii="T" w:hAnsi="T" w:cs="Simplified Arabic"/>
          <w:sz w:val="24"/>
          <w:szCs w:val="24"/>
        </w:rPr>
        <w:t xml:space="preserve"> </w:t>
      </w:r>
      <w:r w:rsidRPr="005D59A7">
        <w:rPr>
          <w:rFonts w:ascii="T" w:hAnsi="T" w:cs="Simplified Arabic"/>
          <w:sz w:val="24"/>
          <w:szCs w:val="24"/>
          <w:rtl/>
        </w:rPr>
        <w:t>بسبب</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الالتزام</w:t>
      </w:r>
      <w:r w:rsidR="00045246" w:rsidRPr="005D59A7">
        <w:rPr>
          <w:rFonts w:ascii="T" w:hAnsi="T" w:cs="Simplified Arabic"/>
          <w:sz w:val="24"/>
          <w:szCs w:val="24"/>
        </w:rPr>
        <w:t xml:space="preserve"> </w:t>
      </w:r>
      <w:r w:rsidRPr="005D59A7">
        <w:rPr>
          <w:rFonts w:ascii="T" w:hAnsi="T" w:cs="Simplified Arabic"/>
          <w:sz w:val="24"/>
          <w:szCs w:val="24"/>
          <w:rtl/>
        </w:rPr>
        <w:t>بالضوابط</w:t>
      </w:r>
      <w:r w:rsidR="00045246" w:rsidRPr="005D59A7">
        <w:rPr>
          <w:rFonts w:ascii="T" w:hAnsi="T" w:cs="Simplified Arabic"/>
          <w:sz w:val="24"/>
          <w:szCs w:val="24"/>
        </w:rPr>
        <w:t xml:space="preserve"> </w:t>
      </w:r>
      <w:r w:rsidRPr="005D59A7">
        <w:rPr>
          <w:rFonts w:ascii="T" w:hAnsi="T" w:cs="Simplified Arabic"/>
          <w:sz w:val="24"/>
          <w:szCs w:val="24"/>
          <w:rtl/>
        </w:rPr>
        <w:t>والمعايير</w:t>
      </w:r>
      <w:r w:rsidR="00045246" w:rsidRPr="005D59A7">
        <w:rPr>
          <w:rFonts w:ascii="T" w:hAnsi="T" w:cs="Simplified Arabic"/>
          <w:sz w:val="24"/>
          <w:szCs w:val="24"/>
        </w:rPr>
        <w:t xml:space="preserve"> </w:t>
      </w:r>
      <w:r w:rsidRPr="005D59A7">
        <w:rPr>
          <w:rFonts w:ascii="T" w:hAnsi="T" w:cs="Simplified Arabic"/>
          <w:sz w:val="24"/>
          <w:szCs w:val="24"/>
          <w:rtl/>
        </w:rPr>
        <w:t>البيئية. وقد</w:t>
      </w:r>
      <w:r w:rsidR="00045246" w:rsidRPr="005D59A7">
        <w:rPr>
          <w:rFonts w:ascii="T" w:hAnsi="T" w:cs="Simplified Arabic"/>
          <w:sz w:val="24"/>
          <w:szCs w:val="24"/>
        </w:rPr>
        <w:t xml:space="preserve"> </w:t>
      </w:r>
      <w:r w:rsidRPr="005D59A7">
        <w:rPr>
          <w:rFonts w:ascii="T" w:hAnsi="T" w:cs="Simplified Arabic"/>
          <w:sz w:val="24"/>
          <w:szCs w:val="24"/>
          <w:rtl/>
        </w:rPr>
        <w:t>سلّط</w:t>
      </w:r>
      <w:r w:rsidR="00045246" w:rsidRPr="005D59A7">
        <w:rPr>
          <w:rFonts w:ascii="T" w:hAnsi="T" w:cs="Simplified Arabic"/>
          <w:sz w:val="24"/>
          <w:szCs w:val="24"/>
        </w:rPr>
        <w:t xml:space="preserve"> </w:t>
      </w:r>
      <w:r w:rsidRPr="005D59A7">
        <w:rPr>
          <w:rFonts w:ascii="T" w:hAnsi="T" w:cs="Simplified Arabic"/>
          <w:sz w:val="24"/>
          <w:szCs w:val="24"/>
          <w:rtl/>
        </w:rPr>
        <w:t>نائب</w:t>
      </w:r>
      <w:r w:rsidR="00045246" w:rsidRPr="005D59A7">
        <w:rPr>
          <w:rFonts w:ascii="T" w:hAnsi="T" w:cs="Simplified Arabic"/>
          <w:sz w:val="24"/>
          <w:szCs w:val="24"/>
        </w:rPr>
        <w:t xml:space="preserve"> </w:t>
      </w:r>
      <w:r w:rsidRPr="005D59A7">
        <w:rPr>
          <w:rFonts w:ascii="T" w:hAnsi="T" w:cs="Simplified Arabic"/>
          <w:sz w:val="24"/>
          <w:szCs w:val="24"/>
          <w:rtl/>
        </w:rPr>
        <w:t>وزير</w:t>
      </w:r>
      <w:r w:rsidR="00045246" w:rsidRPr="005D59A7">
        <w:rPr>
          <w:rFonts w:ascii="T" w:hAnsi="T" w:cs="Simplified Arabic"/>
          <w:sz w:val="24"/>
          <w:szCs w:val="24"/>
        </w:rPr>
        <w:t xml:space="preserve"> </w:t>
      </w:r>
      <w:r w:rsidRPr="005D59A7">
        <w:rPr>
          <w:rFonts w:ascii="T" w:hAnsi="T" w:cs="Simplified Arabic"/>
          <w:sz w:val="24"/>
          <w:szCs w:val="24"/>
          <w:rtl/>
        </w:rPr>
        <w:t>البيئة</w:t>
      </w:r>
      <w:r w:rsidR="00045246" w:rsidRPr="005D59A7">
        <w:rPr>
          <w:rFonts w:ascii="T" w:hAnsi="T" w:cs="Simplified Arabic"/>
          <w:sz w:val="24"/>
          <w:szCs w:val="24"/>
        </w:rPr>
        <w:t xml:space="preserve"> </w:t>
      </w:r>
      <w:r w:rsidRPr="005D59A7">
        <w:rPr>
          <w:rFonts w:ascii="T" w:hAnsi="T" w:cs="Simplified Arabic"/>
          <w:sz w:val="24"/>
          <w:szCs w:val="24"/>
          <w:rtl/>
        </w:rPr>
        <w:t>السعودي</w:t>
      </w:r>
      <w:r w:rsidR="00045246" w:rsidRPr="005D59A7">
        <w:rPr>
          <w:rFonts w:ascii="T" w:hAnsi="T" w:cs="Simplified Arabic"/>
          <w:sz w:val="24"/>
          <w:szCs w:val="24"/>
        </w:rPr>
        <w:t xml:space="preserve"> </w:t>
      </w:r>
      <w:r w:rsidRPr="005D59A7">
        <w:rPr>
          <w:rFonts w:ascii="T" w:hAnsi="T" w:cs="Simplified Arabic"/>
          <w:sz w:val="24"/>
          <w:szCs w:val="24"/>
          <w:rtl/>
        </w:rPr>
        <w:t>الضوء</w:t>
      </w:r>
      <w:r w:rsidR="00045246" w:rsidRPr="005D59A7">
        <w:rPr>
          <w:rFonts w:ascii="T" w:hAnsi="T" w:cs="Simplified Arabic"/>
          <w:sz w:val="24"/>
          <w:szCs w:val="24"/>
        </w:rPr>
        <w:t xml:space="preserve"> </w:t>
      </w:r>
      <w:r w:rsidRPr="005D59A7">
        <w:rPr>
          <w:rFonts w:ascii="T" w:hAnsi="T" w:cs="Simplified Arabic"/>
          <w:sz w:val="24"/>
          <w:szCs w:val="24"/>
          <w:rtl/>
        </w:rPr>
        <w:t>مؤخرًا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الرقم</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 xml:space="preserve">فبراير </w:t>
      </w:r>
      <w:r w:rsidR="008200D7" w:rsidRPr="005D59A7">
        <w:rPr>
          <w:rFonts w:ascii="T" w:hAnsi="T" w:cs="Simplified Arabic"/>
          <w:sz w:val="24"/>
          <w:szCs w:val="24"/>
          <w:rtl/>
        </w:rPr>
        <w:t>2024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مؤكدًا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أهميته</w:t>
      </w:r>
      <w:r w:rsidR="00045246" w:rsidRPr="005D59A7">
        <w:rPr>
          <w:rFonts w:ascii="T" w:hAnsi="T" w:cs="Simplified Arabic"/>
          <w:sz w:val="24"/>
          <w:szCs w:val="24"/>
        </w:rPr>
        <w:t xml:space="preserve"> </w:t>
      </w:r>
      <w:r w:rsidRPr="005D59A7">
        <w:rPr>
          <w:rFonts w:ascii="T" w:hAnsi="T" w:cs="Simplified Arabic"/>
          <w:sz w:val="24"/>
          <w:szCs w:val="24"/>
          <w:rtl/>
        </w:rPr>
        <w:t>المستمرة (</w:t>
      </w:r>
      <w:r w:rsidRPr="005D59A7">
        <w:rPr>
          <w:rFonts w:ascii="T" w:hAnsi="T" w:cs="Simplified Arabic"/>
          <w:sz w:val="24"/>
          <w:szCs w:val="24"/>
        </w:rPr>
        <w:t>World Bank, 2014</w:t>
      </w:r>
      <w:r w:rsidRPr="005D59A7">
        <w:rPr>
          <w:rFonts w:ascii="T" w:hAnsi="T" w:cs="Simplified Arabic"/>
          <w:sz w:val="24"/>
          <w:szCs w:val="24"/>
          <w:rtl/>
        </w:rPr>
        <w:t>).</w:t>
      </w:r>
    </w:p>
    <w:p w14:paraId="14A37BE7" w14:textId="77777777" w:rsidR="00685A20" w:rsidRPr="005D59A7" w:rsidRDefault="00210FA3"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 يُعدّ</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مساهماً</w:t>
      </w:r>
      <w:r w:rsidR="00045246" w:rsidRPr="005D59A7">
        <w:rPr>
          <w:rFonts w:ascii="T" w:hAnsi="T" w:cs="Simplified Arabic"/>
          <w:sz w:val="24"/>
          <w:szCs w:val="24"/>
        </w:rPr>
        <w:t xml:space="preserve"> </w:t>
      </w:r>
      <w:r w:rsidRPr="005D59A7">
        <w:rPr>
          <w:rFonts w:ascii="T" w:hAnsi="T" w:cs="Simplified Arabic"/>
          <w:sz w:val="24"/>
          <w:szCs w:val="24"/>
          <w:rtl/>
        </w:rPr>
        <w:t>رئيسياً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تكاليف</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 فقد</w:t>
      </w:r>
      <w:r w:rsidR="00045246" w:rsidRPr="005D59A7">
        <w:rPr>
          <w:rFonts w:ascii="T" w:hAnsi="T" w:cs="Simplified Arabic"/>
          <w:sz w:val="24"/>
          <w:szCs w:val="24"/>
        </w:rPr>
        <w:t xml:space="preserve"> </w:t>
      </w:r>
      <w:r w:rsidRPr="005D59A7">
        <w:rPr>
          <w:rFonts w:ascii="T" w:hAnsi="T" w:cs="Simplified Arabic"/>
          <w:sz w:val="24"/>
          <w:szCs w:val="24"/>
          <w:rtl/>
        </w:rPr>
        <w:t>أشار</w:t>
      </w:r>
      <w:r w:rsidR="00045246" w:rsidRPr="005D59A7">
        <w:rPr>
          <w:rFonts w:ascii="T" w:hAnsi="T" w:cs="Simplified Arabic"/>
          <w:sz w:val="24"/>
          <w:szCs w:val="24"/>
        </w:rPr>
        <w:t xml:space="preserve"> </w:t>
      </w:r>
      <w:r w:rsidRPr="005D59A7">
        <w:rPr>
          <w:rFonts w:ascii="T" w:hAnsi="T" w:cs="Simplified Arabic"/>
          <w:sz w:val="24"/>
          <w:szCs w:val="24"/>
          <w:rtl/>
        </w:rPr>
        <w:t>تقرير</w:t>
      </w:r>
      <w:r w:rsidR="00045246" w:rsidRPr="005D59A7">
        <w:rPr>
          <w:rFonts w:ascii="T" w:hAnsi="T" w:cs="Simplified Arabic"/>
          <w:sz w:val="24"/>
          <w:szCs w:val="24"/>
        </w:rPr>
        <w:t xml:space="preserve"> </w:t>
      </w:r>
      <w:r w:rsidRPr="005D59A7">
        <w:rPr>
          <w:rFonts w:ascii="T" w:hAnsi="T" w:cs="Simplified Arabic"/>
          <w:sz w:val="24"/>
          <w:szCs w:val="24"/>
          <w:rtl/>
        </w:rPr>
        <w:t>للبنك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2022</w:t>
      </w:r>
      <w:r w:rsidRPr="005D59A7">
        <w:rPr>
          <w:rFonts w:ascii="T" w:hAnsi="T" w:cs="Simplified Arabic"/>
          <w:sz w:val="24"/>
          <w:szCs w:val="24"/>
          <w:rtl/>
        </w:rPr>
        <w:t xml:space="preserve"> إلى</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يُكلّف</w:t>
      </w:r>
      <w:r w:rsidR="00045246" w:rsidRPr="005D59A7">
        <w:rPr>
          <w:rFonts w:ascii="T" w:hAnsi="T" w:cs="Simplified Arabic"/>
          <w:sz w:val="24"/>
          <w:szCs w:val="24"/>
        </w:rPr>
        <w:t xml:space="preserve"> </w:t>
      </w:r>
      <w:r w:rsidRPr="005D59A7">
        <w:rPr>
          <w:rFonts w:ascii="T" w:hAnsi="T" w:cs="Simplified Arabic"/>
          <w:sz w:val="24"/>
          <w:szCs w:val="24"/>
          <w:rtl/>
        </w:rPr>
        <w:t>منطقة</w:t>
      </w:r>
      <w:r w:rsidR="00045246" w:rsidRPr="005D59A7">
        <w:rPr>
          <w:rFonts w:ascii="T" w:hAnsi="T" w:cs="Simplified Arabic"/>
          <w:sz w:val="24"/>
          <w:szCs w:val="24"/>
        </w:rPr>
        <w:t xml:space="preserve"> </w:t>
      </w:r>
      <w:r w:rsidRPr="005D59A7">
        <w:rPr>
          <w:rFonts w:ascii="T" w:hAnsi="T" w:cs="Simplified Arabic"/>
          <w:sz w:val="24"/>
          <w:szCs w:val="24"/>
          <w:rtl/>
        </w:rPr>
        <w:t>الشرق</w:t>
      </w:r>
      <w:r w:rsidR="00045246" w:rsidRPr="005D59A7">
        <w:rPr>
          <w:rFonts w:ascii="T" w:hAnsi="T" w:cs="Simplified Arabic"/>
          <w:sz w:val="24"/>
          <w:szCs w:val="24"/>
        </w:rPr>
        <w:t xml:space="preserve"> </w:t>
      </w:r>
      <w:r w:rsidRPr="005D59A7">
        <w:rPr>
          <w:rFonts w:ascii="T" w:hAnsi="T" w:cs="Simplified Arabic"/>
          <w:sz w:val="24"/>
          <w:szCs w:val="24"/>
          <w:rtl/>
        </w:rPr>
        <w:t>الأوسط</w:t>
      </w:r>
      <w:r w:rsidR="00045246" w:rsidRPr="005D59A7">
        <w:rPr>
          <w:rFonts w:ascii="T" w:hAnsi="T" w:cs="Simplified Arabic"/>
          <w:sz w:val="24"/>
          <w:szCs w:val="24"/>
        </w:rPr>
        <w:t xml:space="preserve"> </w:t>
      </w:r>
      <w:r w:rsidRPr="005D59A7">
        <w:rPr>
          <w:rFonts w:ascii="T" w:hAnsi="T" w:cs="Simplified Arabic"/>
          <w:sz w:val="24"/>
          <w:szCs w:val="24"/>
          <w:rtl/>
        </w:rPr>
        <w:t>وشمال</w:t>
      </w:r>
      <w:r w:rsidR="00045246" w:rsidRPr="005D59A7">
        <w:rPr>
          <w:rFonts w:ascii="T" w:hAnsi="T" w:cs="Simplified Arabic"/>
          <w:sz w:val="24"/>
          <w:szCs w:val="24"/>
        </w:rPr>
        <w:t xml:space="preserve"> </w:t>
      </w:r>
      <w:r w:rsidRPr="005D59A7">
        <w:rPr>
          <w:rFonts w:ascii="T" w:hAnsi="T" w:cs="Simplified Arabic"/>
          <w:sz w:val="24"/>
          <w:szCs w:val="24"/>
          <w:rtl/>
        </w:rPr>
        <w:t>إفريقيا</w:t>
      </w:r>
      <w:r w:rsidR="00045246" w:rsidRPr="005D59A7">
        <w:rPr>
          <w:rFonts w:ascii="T" w:hAnsi="T" w:cs="Simplified Arabic"/>
          <w:sz w:val="24"/>
          <w:szCs w:val="24"/>
        </w:rPr>
        <w:t xml:space="preserve"> </w:t>
      </w:r>
      <w:r w:rsidRPr="005D59A7">
        <w:rPr>
          <w:rFonts w:ascii="T" w:hAnsi="T" w:cs="Simplified Arabic"/>
          <w:sz w:val="24"/>
          <w:szCs w:val="24"/>
          <w:rtl/>
        </w:rPr>
        <w:t>بأكملها</w:t>
      </w:r>
      <w:r w:rsidR="00045246" w:rsidRPr="005D59A7">
        <w:rPr>
          <w:rFonts w:ascii="T" w:hAnsi="T" w:cs="Simplified Arabic"/>
          <w:sz w:val="24"/>
          <w:szCs w:val="24"/>
        </w:rPr>
        <w:t xml:space="preserve"> </w:t>
      </w:r>
      <w:r w:rsidRPr="005D59A7">
        <w:rPr>
          <w:rFonts w:ascii="T" w:hAnsi="T" w:cs="Simplified Arabic"/>
          <w:sz w:val="24"/>
          <w:szCs w:val="24"/>
          <w:rtl/>
        </w:rPr>
        <w:t xml:space="preserve">حوالي </w:t>
      </w:r>
      <w:r w:rsidR="008200D7" w:rsidRPr="005D59A7">
        <w:rPr>
          <w:rFonts w:ascii="T" w:hAnsi="T" w:cs="Simplified Arabic"/>
          <w:sz w:val="24"/>
          <w:szCs w:val="24"/>
          <w:rtl/>
        </w:rPr>
        <w:t>141</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دولار</w:t>
      </w:r>
      <w:r w:rsidR="00045246" w:rsidRPr="005D59A7">
        <w:rPr>
          <w:rFonts w:ascii="T" w:hAnsi="T" w:cs="Simplified Arabic"/>
          <w:sz w:val="24"/>
          <w:szCs w:val="24"/>
        </w:rPr>
        <w:t xml:space="preserve"> </w:t>
      </w:r>
      <w:r w:rsidRPr="005D59A7">
        <w:rPr>
          <w:rFonts w:ascii="T" w:hAnsi="T" w:cs="Simplified Arabic"/>
          <w:sz w:val="24"/>
          <w:szCs w:val="24"/>
          <w:rtl/>
        </w:rPr>
        <w:t>سنويًا،</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2</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الاقتصادي</w:t>
      </w:r>
      <w:r w:rsidR="00045246" w:rsidRPr="005D59A7">
        <w:rPr>
          <w:rFonts w:ascii="T" w:hAnsi="T" w:cs="Simplified Arabic"/>
          <w:sz w:val="24"/>
          <w:szCs w:val="24"/>
        </w:rPr>
        <w:t xml:space="preserve"> </w:t>
      </w:r>
      <w:r w:rsidRPr="005D59A7">
        <w:rPr>
          <w:rFonts w:ascii="T" w:hAnsi="T" w:cs="Simplified Arabic"/>
          <w:sz w:val="24"/>
          <w:szCs w:val="24"/>
          <w:rtl/>
        </w:rPr>
        <w:t>للمنطقة،</w:t>
      </w:r>
      <w:r w:rsidR="00045246" w:rsidRPr="005D59A7">
        <w:rPr>
          <w:rFonts w:ascii="T" w:hAnsi="T" w:cs="Simplified Arabic"/>
          <w:sz w:val="24"/>
          <w:szCs w:val="24"/>
        </w:rPr>
        <w:t xml:space="preserve"> </w:t>
      </w:r>
      <w:r w:rsidRPr="005D59A7">
        <w:rPr>
          <w:rFonts w:ascii="T" w:hAnsi="T" w:cs="Simplified Arabic"/>
          <w:sz w:val="24"/>
          <w:szCs w:val="24"/>
          <w:rtl/>
        </w:rPr>
        <w:t>مما</w:t>
      </w:r>
      <w:r w:rsidR="00045246" w:rsidRPr="005D59A7">
        <w:rPr>
          <w:rFonts w:ascii="T" w:hAnsi="T" w:cs="Simplified Arabic"/>
          <w:sz w:val="24"/>
          <w:szCs w:val="24"/>
        </w:rPr>
        <w:t xml:space="preserve"> </w:t>
      </w:r>
      <w:r w:rsidRPr="005D59A7">
        <w:rPr>
          <w:rFonts w:ascii="T" w:hAnsi="T" w:cs="Simplified Arabic"/>
          <w:sz w:val="24"/>
          <w:szCs w:val="24"/>
          <w:rtl/>
        </w:rPr>
        <w:t>يؤدي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مشاكل</w:t>
      </w:r>
      <w:r w:rsidR="00045246" w:rsidRPr="005D59A7">
        <w:rPr>
          <w:rFonts w:ascii="T" w:hAnsi="T" w:cs="Simplified Arabic"/>
          <w:sz w:val="24"/>
          <w:szCs w:val="24"/>
        </w:rPr>
        <w:t xml:space="preserve"> </w:t>
      </w:r>
      <w:r w:rsidRPr="005D59A7">
        <w:rPr>
          <w:rFonts w:ascii="T" w:hAnsi="T" w:cs="Simplified Arabic"/>
          <w:sz w:val="24"/>
          <w:szCs w:val="24"/>
          <w:rtl/>
        </w:rPr>
        <w:t>صحية</w:t>
      </w:r>
      <w:r w:rsidR="00045246" w:rsidRPr="005D59A7">
        <w:rPr>
          <w:rFonts w:ascii="T" w:hAnsi="T" w:cs="Simplified Arabic"/>
          <w:sz w:val="24"/>
          <w:szCs w:val="24"/>
        </w:rPr>
        <w:t xml:space="preserve"> </w:t>
      </w:r>
      <w:r w:rsidRPr="005D59A7">
        <w:rPr>
          <w:rFonts w:ascii="T" w:hAnsi="T" w:cs="Simplified Arabic"/>
          <w:sz w:val="24"/>
          <w:szCs w:val="24"/>
          <w:rtl/>
        </w:rPr>
        <w:t>كبيرة</w:t>
      </w:r>
      <w:r w:rsidR="00045246" w:rsidRPr="005D59A7">
        <w:rPr>
          <w:rFonts w:ascii="T" w:hAnsi="T" w:cs="Simplified Arabic"/>
          <w:sz w:val="24"/>
          <w:szCs w:val="24"/>
        </w:rPr>
        <w:t xml:space="preserve"> </w:t>
      </w:r>
      <w:r w:rsidRPr="005D59A7">
        <w:rPr>
          <w:rFonts w:ascii="T" w:hAnsi="T" w:cs="Simplified Arabic"/>
          <w:sz w:val="24"/>
          <w:szCs w:val="24"/>
          <w:rtl/>
        </w:rPr>
        <w:t>ومعدلات</w:t>
      </w:r>
      <w:r w:rsidR="00045246" w:rsidRPr="005D59A7">
        <w:rPr>
          <w:rFonts w:ascii="T" w:hAnsi="T" w:cs="Simplified Arabic"/>
          <w:sz w:val="24"/>
          <w:szCs w:val="24"/>
        </w:rPr>
        <w:t xml:space="preserve"> </w:t>
      </w:r>
      <w:r w:rsidRPr="005D59A7">
        <w:rPr>
          <w:rFonts w:ascii="T" w:hAnsi="T" w:cs="Simplified Arabic"/>
          <w:sz w:val="24"/>
          <w:szCs w:val="24"/>
          <w:rtl/>
        </w:rPr>
        <w:t>وفيات. ورغم</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تقديم</w:t>
      </w:r>
      <w:r w:rsidR="00045246" w:rsidRPr="005D59A7">
        <w:rPr>
          <w:rFonts w:ascii="T" w:hAnsi="T" w:cs="Simplified Arabic"/>
          <w:sz w:val="24"/>
          <w:szCs w:val="24"/>
        </w:rPr>
        <w:t xml:space="preserve"> </w:t>
      </w:r>
      <w:r w:rsidRPr="005D59A7">
        <w:rPr>
          <w:rFonts w:ascii="T" w:hAnsi="T" w:cs="Simplified Arabic"/>
          <w:sz w:val="24"/>
          <w:szCs w:val="24"/>
          <w:rtl/>
        </w:rPr>
        <w:t>رقم</w:t>
      </w:r>
      <w:r w:rsidR="00045246" w:rsidRPr="005D59A7">
        <w:rPr>
          <w:rFonts w:ascii="T" w:hAnsi="T" w:cs="Simplified Arabic"/>
          <w:sz w:val="24"/>
          <w:szCs w:val="24"/>
        </w:rPr>
        <w:t xml:space="preserve"> </w:t>
      </w:r>
      <w:r w:rsidRPr="005D59A7">
        <w:rPr>
          <w:rFonts w:ascii="T" w:hAnsi="T" w:cs="Simplified Arabic"/>
          <w:sz w:val="24"/>
          <w:szCs w:val="24"/>
          <w:rtl/>
        </w:rPr>
        <w:t>محدد</w:t>
      </w:r>
      <w:r w:rsidR="00045246" w:rsidRPr="005D59A7">
        <w:rPr>
          <w:rFonts w:ascii="T" w:hAnsi="T" w:cs="Simplified Arabic"/>
          <w:sz w:val="24"/>
          <w:szCs w:val="24"/>
        </w:rPr>
        <w:t xml:space="preserve"> </w:t>
      </w:r>
      <w:r w:rsidRPr="005D59A7">
        <w:rPr>
          <w:rFonts w:ascii="T" w:hAnsi="T" w:cs="Simplified Arabic"/>
          <w:sz w:val="24"/>
          <w:szCs w:val="24"/>
          <w:rtl/>
        </w:rPr>
        <w:t>للمملكة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وحدها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التقرير،</w:t>
      </w:r>
      <w:r w:rsidR="00045246" w:rsidRPr="005D59A7">
        <w:rPr>
          <w:rFonts w:ascii="T" w:hAnsi="T" w:cs="Simplified Arabic"/>
          <w:sz w:val="24"/>
          <w:szCs w:val="24"/>
        </w:rPr>
        <w:t xml:space="preserve"> </w:t>
      </w:r>
      <w:r w:rsidRPr="005D59A7">
        <w:rPr>
          <w:rFonts w:ascii="T" w:hAnsi="T" w:cs="Simplified Arabic"/>
          <w:sz w:val="24"/>
          <w:szCs w:val="24"/>
          <w:rtl/>
        </w:rPr>
        <w:t>إلا</w:t>
      </w:r>
      <w:r w:rsidR="00045246" w:rsidRPr="005D59A7">
        <w:rPr>
          <w:rFonts w:ascii="T" w:hAnsi="T" w:cs="Simplified Arabic"/>
          <w:sz w:val="24"/>
          <w:szCs w:val="24"/>
        </w:rPr>
        <w:t xml:space="preserve"> </w:t>
      </w:r>
      <w:r w:rsidRPr="005D59A7">
        <w:rPr>
          <w:rFonts w:ascii="T" w:hAnsi="T" w:cs="Simplified Arabic"/>
          <w:sz w:val="24"/>
          <w:szCs w:val="24"/>
          <w:rtl/>
        </w:rPr>
        <w:t>أنه</w:t>
      </w:r>
      <w:r w:rsidR="00045246" w:rsidRPr="005D59A7">
        <w:rPr>
          <w:rFonts w:ascii="T" w:hAnsi="T" w:cs="Simplified Arabic"/>
          <w:sz w:val="24"/>
          <w:szCs w:val="24"/>
        </w:rPr>
        <w:t xml:space="preserve"> </w:t>
      </w:r>
      <w:r w:rsidRPr="005D59A7">
        <w:rPr>
          <w:rFonts w:ascii="T" w:hAnsi="T" w:cs="Simplified Arabic"/>
          <w:sz w:val="24"/>
          <w:szCs w:val="24"/>
          <w:rtl/>
        </w:rPr>
        <w:t>بالنظر</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النشاط</w:t>
      </w:r>
      <w:r w:rsidR="00045246" w:rsidRPr="005D59A7">
        <w:rPr>
          <w:rFonts w:ascii="T" w:hAnsi="T" w:cs="Simplified Arabic"/>
          <w:sz w:val="24"/>
          <w:szCs w:val="24"/>
        </w:rPr>
        <w:t xml:space="preserve"> </w:t>
      </w:r>
      <w:r w:rsidRPr="005D59A7">
        <w:rPr>
          <w:rFonts w:ascii="T" w:hAnsi="T" w:cs="Simplified Arabic"/>
          <w:sz w:val="24"/>
          <w:szCs w:val="24"/>
          <w:rtl/>
        </w:rPr>
        <w:t>الصناعي</w:t>
      </w:r>
      <w:r w:rsidR="00045246" w:rsidRPr="005D59A7">
        <w:rPr>
          <w:rFonts w:ascii="T" w:hAnsi="T" w:cs="Simplified Arabic"/>
          <w:sz w:val="24"/>
          <w:szCs w:val="24"/>
        </w:rPr>
        <w:t xml:space="preserve"> </w:t>
      </w:r>
      <w:r w:rsidRPr="005D59A7">
        <w:rPr>
          <w:rFonts w:ascii="T" w:hAnsi="T" w:cs="Simplified Arabic"/>
          <w:sz w:val="24"/>
          <w:szCs w:val="24"/>
          <w:rtl/>
        </w:rPr>
        <w:t>والتحضر</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فإن</w:t>
      </w:r>
      <w:r w:rsidR="00045246" w:rsidRPr="005D59A7">
        <w:rPr>
          <w:rFonts w:ascii="T" w:hAnsi="T" w:cs="Simplified Arabic"/>
          <w:sz w:val="24"/>
          <w:szCs w:val="24"/>
        </w:rPr>
        <w:t xml:space="preserve"> </w:t>
      </w:r>
      <w:r w:rsidRPr="005D59A7">
        <w:rPr>
          <w:rFonts w:ascii="T" w:hAnsi="T" w:cs="Simplified Arabic"/>
          <w:sz w:val="24"/>
          <w:szCs w:val="24"/>
          <w:rtl/>
        </w:rPr>
        <w:t>حصتها</w:t>
      </w:r>
      <w:r w:rsidR="00045246" w:rsidRPr="005D59A7">
        <w:rPr>
          <w:rFonts w:ascii="T" w:hAnsi="T" w:cs="Simplified Arabic"/>
          <w:sz w:val="24"/>
          <w:szCs w:val="24"/>
        </w:rPr>
        <w:t xml:space="preserve"> </w:t>
      </w:r>
      <w:r w:rsidRPr="005D59A7">
        <w:rPr>
          <w:rFonts w:ascii="T" w:hAnsi="T" w:cs="Simplified Arabic"/>
          <w:sz w:val="24"/>
          <w:szCs w:val="24"/>
          <w:rtl/>
        </w:rPr>
        <w:t>ستكون</w:t>
      </w:r>
      <w:r w:rsidR="00045246" w:rsidRPr="005D59A7">
        <w:rPr>
          <w:rFonts w:ascii="T" w:hAnsi="T" w:cs="Simplified Arabic"/>
          <w:sz w:val="24"/>
          <w:szCs w:val="24"/>
        </w:rPr>
        <w:t xml:space="preserve"> </w:t>
      </w:r>
      <w:r w:rsidRPr="005D59A7">
        <w:rPr>
          <w:rFonts w:ascii="T" w:hAnsi="T" w:cs="Simplified Arabic"/>
          <w:sz w:val="24"/>
          <w:szCs w:val="24"/>
          <w:rtl/>
        </w:rPr>
        <w:t>كبيرة. كما</w:t>
      </w:r>
      <w:r w:rsidR="00045246" w:rsidRPr="005D59A7">
        <w:rPr>
          <w:rFonts w:ascii="T" w:hAnsi="T" w:cs="Simplified Arabic"/>
          <w:sz w:val="24"/>
          <w:szCs w:val="24"/>
        </w:rPr>
        <w:t xml:space="preserve"> </w:t>
      </w:r>
      <w:r w:rsidRPr="005D59A7">
        <w:rPr>
          <w:rFonts w:ascii="T" w:hAnsi="T" w:cs="Simplified Arabic"/>
          <w:sz w:val="24"/>
          <w:szCs w:val="24"/>
          <w:rtl/>
        </w:rPr>
        <w:t>تُظهر</w:t>
      </w:r>
      <w:r w:rsidR="00045246" w:rsidRPr="005D59A7">
        <w:rPr>
          <w:rFonts w:ascii="T" w:hAnsi="T" w:cs="Simplified Arabic"/>
          <w:sz w:val="24"/>
          <w:szCs w:val="24"/>
        </w:rPr>
        <w:t xml:space="preserve"> </w:t>
      </w:r>
      <w:r w:rsidRPr="005D59A7">
        <w:rPr>
          <w:rFonts w:ascii="T" w:hAnsi="T" w:cs="Simplified Arabic"/>
          <w:sz w:val="24"/>
          <w:szCs w:val="24"/>
          <w:rtl/>
        </w:rPr>
        <w:t>الدراسات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زيادة</w:t>
      </w:r>
      <w:r w:rsidR="00045246" w:rsidRPr="005D59A7">
        <w:rPr>
          <w:rFonts w:ascii="T" w:hAnsi="T" w:cs="Simplified Arabic"/>
          <w:sz w:val="24"/>
          <w:szCs w:val="24"/>
        </w:rPr>
        <w:t xml:space="preserve"> </w:t>
      </w:r>
      <w:r w:rsidRPr="005D59A7">
        <w:rPr>
          <w:rFonts w:ascii="T" w:hAnsi="T" w:cs="Simplified Arabic"/>
          <w:sz w:val="24"/>
          <w:szCs w:val="24"/>
          <w:rtl/>
        </w:rPr>
        <w:t>انبعاثات</w:t>
      </w:r>
      <w:r w:rsidR="00045246" w:rsidRPr="005D59A7">
        <w:rPr>
          <w:rFonts w:ascii="T" w:hAnsi="T" w:cs="Simplified Arabic"/>
          <w:sz w:val="24"/>
          <w:szCs w:val="24"/>
        </w:rPr>
        <w:t xml:space="preserve"> </w:t>
      </w:r>
      <w:r w:rsidRPr="005D59A7">
        <w:rPr>
          <w:rFonts w:ascii="T" w:hAnsi="T" w:cs="Simplified Arabic"/>
          <w:sz w:val="24"/>
          <w:szCs w:val="24"/>
          <w:rtl/>
        </w:rPr>
        <w:t>ثاني</w:t>
      </w:r>
      <w:r w:rsidR="00045246" w:rsidRPr="005D59A7">
        <w:rPr>
          <w:rFonts w:ascii="T" w:hAnsi="T" w:cs="Simplified Arabic"/>
          <w:sz w:val="24"/>
          <w:szCs w:val="24"/>
        </w:rPr>
        <w:t xml:space="preserve"> </w:t>
      </w:r>
      <w:r w:rsidRPr="005D59A7">
        <w:rPr>
          <w:rFonts w:ascii="T" w:hAnsi="T" w:cs="Simplified Arabic"/>
          <w:sz w:val="24"/>
          <w:szCs w:val="24"/>
          <w:rtl/>
        </w:rPr>
        <w:t>أكسيد</w:t>
      </w:r>
      <w:r w:rsidR="00045246" w:rsidRPr="005D59A7">
        <w:rPr>
          <w:rFonts w:ascii="T" w:hAnsi="T" w:cs="Simplified Arabic"/>
          <w:sz w:val="24"/>
          <w:szCs w:val="24"/>
        </w:rPr>
        <w:t xml:space="preserve"> </w:t>
      </w:r>
      <w:r w:rsidRPr="005D59A7">
        <w:rPr>
          <w:rFonts w:ascii="T" w:hAnsi="T" w:cs="Simplified Arabic"/>
          <w:sz w:val="24"/>
          <w:szCs w:val="24"/>
          <w:rtl/>
        </w:rPr>
        <w:t>الكربون</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بنسبة </w:t>
      </w:r>
      <w:r w:rsidR="008200D7" w:rsidRPr="005D59A7">
        <w:rPr>
          <w:rFonts w:ascii="T" w:hAnsi="T" w:cs="Simplified Arabic"/>
          <w:sz w:val="24"/>
          <w:szCs w:val="24"/>
          <w:rtl/>
        </w:rPr>
        <w:t>10</w:t>
      </w:r>
      <w:r w:rsidRPr="005D59A7">
        <w:rPr>
          <w:rFonts w:ascii="T" w:hAnsi="T" w:cs="Simplified Arabic"/>
          <w:sz w:val="24"/>
          <w:szCs w:val="24"/>
          <w:rtl/>
        </w:rPr>
        <w:t>٪ يمكن</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انخفاض</w:t>
      </w:r>
      <w:r w:rsidR="00045246" w:rsidRPr="005D59A7">
        <w:rPr>
          <w:rFonts w:ascii="T" w:hAnsi="T" w:cs="Simplified Arabic"/>
          <w:sz w:val="24"/>
          <w:szCs w:val="24"/>
        </w:rPr>
        <w:t xml:space="preserve"> </w:t>
      </w:r>
      <w:r w:rsidRPr="005D59A7">
        <w:rPr>
          <w:rFonts w:ascii="T" w:hAnsi="T" w:cs="Simplified Arabic"/>
          <w:sz w:val="24"/>
          <w:szCs w:val="24"/>
          <w:rtl/>
        </w:rPr>
        <w:t>إنتاجية</w:t>
      </w:r>
      <w:r w:rsidR="00045246" w:rsidRPr="005D59A7">
        <w:rPr>
          <w:rFonts w:ascii="T" w:hAnsi="T" w:cs="Simplified Arabic"/>
          <w:sz w:val="24"/>
          <w:szCs w:val="24"/>
        </w:rPr>
        <w:t xml:space="preserve"> </w:t>
      </w:r>
      <w:r w:rsidRPr="005D59A7">
        <w:rPr>
          <w:rFonts w:ascii="T" w:hAnsi="T" w:cs="Simplified Arabic"/>
          <w:sz w:val="24"/>
          <w:szCs w:val="24"/>
          <w:rtl/>
        </w:rPr>
        <w:t>العمال</w:t>
      </w:r>
      <w:r w:rsidR="00045246" w:rsidRPr="005D59A7">
        <w:rPr>
          <w:rFonts w:ascii="T" w:hAnsi="T" w:cs="Simplified Arabic"/>
          <w:sz w:val="24"/>
          <w:szCs w:val="24"/>
        </w:rPr>
        <w:t xml:space="preserve"> </w:t>
      </w:r>
      <w:r w:rsidRPr="005D59A7">
        <w:rPr>
          <w:rFonts w:ascii="T" w:hAnsi="T" w:cs="Simplified Arabic"/>
          <w:sz w:val="24"/>
          <w:szCs w:val="24"/>
          <w:rtl/>
        </w:rPr>
        <w:t>وإنتاجية</w:t>
      </w:r>
      <w:r w:rsidR="00045246" w:rsidRPr="005D59A7">
        <w:rPr>
          <w:rFonts w:ascii="T" w:hAnsi="T" w:cs="Simplified Arabic"/>
          <w:sz w:val="24"/>
          <w:szCs w:val="24"/>
        </w:rPr>
        <w:t xml:space="preserve"> </w:t>
      </w:r>
      <w:r w:rsidRPr="005D59A7">
        <w:rPr>
          <w:rFonts w:ascii="T" w:hAnsi="T" w:cs="Simplified Arabic"/>
          <w:sz w:val="24"/>
          <w:szCs w:val="24"/>
          <w:rtl/>
        </w:rPr>
        <w:t>رأس</w:t>
      </w:r>
      <w:r w:rsidR="00045246" w:rsidRPr="005D59A7">
        <w:rPr>
          <w:rFonts w:ascii="T" w:hAnsi="T" w:cs="Simplified Arabic"/>
          <w:sz w:val="24"/>
          <w:szCs w:val="24"/>
        </w:rPr>
        <w:t xml:space="preserve"> </w:t>
      </w:r>
      <w:r w:rsidRPr="005D59A7">
        <w:rPr>
          <w:rFonts w:ascii="T" w:hAnsi="T" w:cs="Simplified Arabic"/>
          <w:sz w:val="24"/>
          <w:szCs w:val="24"/>
          <w:rtl/>
        </w:rPr>
        <w:t>المال</w:t>
      </w:r>
      <w:r w:rsidR="00045246" w:rsidRPr="005D59A7">
        <w:rPr>
          <w:rFonts w:ascii="T" w:hAnsi="T" w:cs="Simplified Arabic"/>
          <w:sz w:val="24"/>
          <w:szCs w:val="24"/>
        </w:rPr>
        <w:t xml:space="preserve"> </w:t>
      </w:r>
      <w:r w:rsidRPr="005D59A7">
        <w:rPr>
          <w:rFonts w:ascii="T" w:hAnsi="T" w:cs="Simplified Arabic"/>
          <w:sz w:val="24"/>
          <w:szCs w:val="24"/>
          <w:rtl/>
        </w:rPr>
        <w:t>المستثمر (</w:t>
      </w:r>
      <w:r w:rsidRPr="005D59A7">
        <w:rPr>
          <w:rFonts w:ascii="T" w:hAnsi="T" w:cs="Simplified Arabic"/>
          <w:sz w:val="24"/>
          <w:szCs w:val="24"/>
        </w:rPr>
        <w:t>World Bank, 2022</w:t>
      </w:r>
      <w:r w:rsidRPr="005D59A7">
        <w:rPr>
          <w:rFonts w:ascii="T" w:hAnsi="T" w:cs="Simplified Arabic"/>
          <w:sz w:val="24"/>
          <w:szCs w:val="24"/>
          <w:rtl/>
        </w:rPr>
        <w:t>).</w:t>
      </w:r>
    </w:p>
    <w:p w14:paraId="5ED50CAE" w14:textId="77777777" w:rsidR="00FB3FFD"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تدهور</w:t>
      </w:r>
      <w:r w:rsidR="00333C4D" w:rsidRPr="005D59A7">
        <w:rPr>
          <w:rFonts w:ascii="T" w:hAnsi="T" w:cs="Simplified Arabic"/>
          <w:sz w:val="24"/>
          <w:szCs w:val="24"/>
          <w:rtl/>
        </w:rPr>
        <w:t xml:space="preserve"> </w:t>
      </w:r>
      <w:r w:rsidRPr="005D59A7">
        <w:rPr>
          <w:rFonts w:ascii="T" w:hAnsi="T" w:cs="Simplified Arabic"/>
          <w:sz w:val="24"/>
          <w:szCs w:val="24"/>
          <w:rtl/>
        </w:rPr>
        <w:t>الأراضي: تواجه</w:t>
      </w:r>
      <w:r w:rsidR="009737DA" w:rsidRPr="005D59A7">
        <w:rPr>
          <w:rFonts w:ascii="T" w:hAnsi="T" w:cs="Simplified Arabic"/>
          <w:sz w:val="24"/>
          <w:szCs w:val="24"/>
        </w:rPr>
        <w:t xml:space="preserve"> </w:t>
      </w:r>
      <w:r w:rsidRPr="005D59A7">
        <w:rPr>
          <w:rFonts w:ascii="T" w:hAnsi="T" w:cs="Simplified Arabic"/>
          <w:sz w:val="24"/>
          <w:szCs w:val="24"/>
          <w:rtl/>
        </w:rPr>
        <w:t>المملكة</w:t>
      </w:r>
      <w:r w:rsidR="009737DA" w:rsidRPr="005D59A7">
        <w:rPr>
          <w:rFonts w:ascii="T" w:hAnsi="T" w:cs="Simplified Arabic"/>
          <w:sz w:val="24"/>
          <w:szCs w:val="24"/>
        </w:rPr>
        <w:t xml:space="preserve"> </w:t>
      </w:r>
      <w:r w:rsidRPr="005D59A7">
        <w:rPr>
          <w:rFonts w:ascii="T" w:hAnsi="T" w:cs="Simplified Arabic"/>
          <w:sz w:val="24"/>
          <w:szCs w:val="24"/>
          <w:rtl/>
        </w:rPr>
        <w:t>العربية</w:t>
      </w:r>
      <w:r w:rsidR="009737DA" w:rsidRPr="005D59A7">
        <w:rPr>
          <w:rFonts w:ascii="T" w:hAnsi="T" w:cs="Simplified Arabic"/>
          <w:sz w:val="24"/>
          <w:szCs w:val="24"/>
        </w:rPr>
        <w:t xml:space="preserve"> </w:t>
      </w:r>
      <w:r w:rsidRPr="005D59A7">
        <w:rPr>
          <w:rFonts w:ascii="T" w:hAnsi="T" w:cs="Simplified Arabic"/>
          <w:sz w:val="24"/>
          <w:szCs w:val="24"/>
          <w:rtl/>
        </w:rPr>
        <w:t>السعودية</w:t>
      </w:r>
      <w:r w:rsidR="009737DA" w:rsidRPr="005D59A7">
        <w:rPr>
          <w:rFonts w:ascii="T" w:hAnsi="T" w:cs="Simplified Arabic"/>
          <w:sz w:val="24"/>
          <w:szCs w:val="24"/>
        </w:rPr>
        <w:t xml:space="preserve"> </w:t>
      </w:r>
      <w:r w:rsidRPr="005D59A7">
        <w:rPr>
          <w:rFonts w:ascii="T" w:hAnsi="T" w:cs="Simplified Arabic"/>
          <w:sz w:val="24"/>
          <w:szCs w:val="24"/>
          <w:rtl/>
        </w:rPr>
        <w:t>تحديات</w:t>
      </w:r>
      <w:r w:rsidR="009737DA" w:rsidRPr="005D59A7">
        <w:rPr>
          <w:rFonts w:ascii="T" w:hAnsi="T" w:cs="Simplified Arabic"/>
          <w:sz w:val="24"/>
          <w:szCs w:val="24"/>
        </w:rPr>
        <w:t xml:space="preserve"> </w:t>
      </w:r>
      <w:r w:rsidRPr="005D59A7">
        <w:rPr>
          <w:rFonts w:ascii="T" w:hAnsi="T" w:cs="Simplified Arabic"/>
          <w:sz w:val="24"/>
          <w:szCs w:val="24"/>
          <w:rtl/>
        </w:rPr>
        <w:t>كبيرة</w:t>
      </w:r>
      <w:r w:rsidR="009737DA" w:rsidRPr="005D59A7">
        <w:rPr>
          <w:rFonts w:ascii="T" w:hAnsi="T" w:cs="Simplified Arabic"/>
          <w:sz w:val="24"/>
          <w:szCs w:val="24"/>
        </w:rPr>
        <w:t xml:space="preserve"> </w:t>
      </w:r>
      <w:r w:rsidRPr="005D59A7">
        <w:rPr>
          <w:rFonts w:ascii="T" w:hAnsi="T" w:cs="Simplified Arabic"/>
          <w:sz w:val="24"/>
          <w:szCs w:val="24"/>
          <w:rtl/>
        </w:rPr>
        <w:t>في</w:t>
      </w:r>
      <w:r w:rsidR="009737DA" w:rsidRPr="005D59A7">
        <w:rPr>
          <w:rFonts w:ascii="T" w:hAnsi="T" w:cs="Simplified Arabic"/>
          <w:sz w:val="24"/>
          <w:szCs w:val="24"/>
        </w:rPr>
        <w:t xml:space="preserve"> </w:t>
      </w:r>
      <w:r w:rsidRPr="005D59A7">
        <w:rPr>
          <w:rFonts w:ascii="T" w:hAnsi="T" w:cs="Simplified Arabic"/>
          <w:sz w:val="24"/>
          <w:szCs w:val="24"/>
          <w:rtl/>
        </w:rPr>
        <w:t>مجال</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حيث</w:t>
      </w:r>
      <w:r w:rsidR="009737DA" w:rsidRPr="005D59A7">
        <w:rPr>
          <w:rFonts w:ascii="T" w:hAnsi="T" w:cs="Simplified Arabic"/>
          <w:sz w:val="24"/>
          <w:szCs w:val="24"/>
        </w:rPr>
        <w:t xml:space="preserve"> </w:t>
      </w:r>
      <w:r w:rsidRPr="005D59A7">
        <w:rPr>
          <w:rFonts w:ascii="T" w:hAnsi="T" w:cs="Simplified Arabic"/>
          <w:sz w:val="24"/>
          <w:szCs w:val="24"/>
          <w:rtl/>
        </w:rPr>
        <w:t>تُصنف 95% من</w:t>
      </w:r>
      <w:r w:rsidR="009737DA" w:rsidRPr="005D59A7">
        <w:rPr>
          <w:rFonts w:ascii="T" w:hAnsi="T" w:cs="Simplified Arabic"/>
          <w:sz w:val="24"/>
          <w:szCs w:val="24"/>
        </w:rPr>
        <w:t xml:space="preserve"> </w:t>
      </w:r>
      <w:r w:rsidRPr="005D59A7">
        <w:rPr>
          <w:rFonts w:ascii="T" w:hAnsi="T" w:cs="Simplified Arabic"/>
          <w:sz w:val="24"/>
          <w:szCs w:val="24"/>
          <w:rtl/>
        </w:rPr>
        <w:t>أراضيها</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أنها</w:t>
      </w:r>
      <w:r w:rsidR="009737DA" w:rsidRPr="005D59A7">
        <w:rPr>
          <w:rFonts w:ascii="T" w:hAnsi="T" w:cs="Simplified Arabic"/>
          <w:sz w:val="24"/>
          <w:szCs w:val="24"/>
        </w:rPr>
        <w:t xml:space="preserve"> </w:t>
      </w:r>
      <w:r w:rsidRPr="005D59A7">
        <w:rPr>
          <w:rFonts w:ascii="T" w:hAnsi="T" w:cs="Simplified Arabic"/>
          <w:sz w:val="24"/>
          <w:szCs w:val="24"/>
          <w:rtl/>
        </w:rPr>
        <w:t>صحراوية. في</w:t>
      </w:r>
      <w:r w:rsidR="009737DA" w:rsidRPr="005D59A7">
        <w:rPr>
          <w:rFonts w:ascii="T" w:hAnsi="T" w:cs="Simplified Arabic"/>
          <w:sz w:val="24"/>
          <w:szCs w:val="24"/>
        </w:rPr>
        <w:t xml:space="preserve"> </w:t>
      </w:r>
      <w:r w:rsidRPr="005D59A7">
        <w:rPr>
          <w:rFonts w:ascii="T" w:hAnsi="T" w:cs="Simplified Arabic"/>
          <w:sz w:val="24"/>
          <w:szCs w:val="24"/>
          <w:rtl/>
        </w:rPr>
        <w:t>عام 2019،</w:t>
      </w:r>
      <w:r w:rsidR="009737DA" w:rsidRPr="005D59A7">
        <w:rPr>
          <w:rFonts w:ascii="T" w:hAnsi="T" w:cs="Simplified Arabic"/>
          <w:sz w:val="24"/>
          <w:szCs w:val="24"/>
        </w:rPr>
        <w:t xml:space="preserve"> </w:t>
      </w:r>
      <w:r w:rsidRPr="005D59A7">
        <w:rPr>
          <w:rFonts w:ascii="T" w:hAnsi="T" w:cs="Simplified Arabic"/>
          <w:sz w:val="24"/>
          <w:szCs w:val="24"/>
          <w:rtl/>
        </w:rPr>
        <w:t>أثر</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على 20 مليون</w:t>
      </w:r>
      <w:r w:rsidR="009737DA" w:rsidRPr="005D59A7">
        <w:rPr>
          <w:rFonts w:ascii="T" w:hAnsi="T" w:cs="Simplified Arabic"/>
          <w:sz w:val="24"/>
          <w:szCs w:val="24"/>
        </w:rPr>
        <w:t xml:space="preserve"> </w:t>
      </w:r>
      <w:r w:rsidRPr="005D59A7">
        <w:rPr>
          <w:rFonts w:ascii="T" w:hAnsi="T" w:cs="Simplified Arabic"/>
          <w:sz w:val="24"/>
          <w:szCs w:val="24"/>
          <w:rtl/>
        </w:rPr>
        <w:t>هكتار،</w:t>
      </w:r>
      <w:r w:rsidR="009737DA" w:rsidRPr="005D59A7">
        <w:rPr>
          <w:rFonts w:ascii="T" w:hAnsi="T" w:cs="Simplified Arabic"/>
          <w:sz w:val="24"/>
          <w:szCs w:val="24"/>
        </w:rPr>
        <w:t xml:space="preserve"> </w:t>
      </w:r>
      <w:r w:rsidRPr="005D59A7">
        <w:rPr>
          <w:rFonts w:ascii="T" w:hAnsi="T" w:cs="Simplified Arabic"/>
          <w:sz w:val="24"/>
          <w:szCs w:val="24"/>
          <w:rtl/>
        </w:rPr>
        <w:t>أي</w:t>
      </w:r>
      <w:r w:rsidR="009737DA" w:rsidRPr="005D59A7">
        <w:rPr>
          <w:rFonts w:ascii="T" w:hAnsi="T" w:cs="Simplified Arabic"/>
          <w:sz w:val="24"/>
          <w:szCs w:val="24"/>
        </w:rPr>
        <w:t xml:space="preserve"> </w:t>
      </w:r>
      <w:r w:rsidRPr="005D59A7">
        <w:rPr>
          <w:rFonts w:ascii="T" w:hAnsi="T" w:cs="Simplified Arabic"/>
          <w:sz w:val="24"/>
          <w:szCs w:val="24"/>
          <w:rtl/>
        </w:rPr>
        <w:t>أكثر</w:t>
      </w:r>
      <w:r w:rsidR="009737DA" w:rsidRPr="005D59A7">
        <w:rPr>
          <w:rFonts w:ascii="T" w:hAnsi="T" w:cs="Simplified Arabic"/>
          <w:sz w:val="24"/>
          <w:szCs w:val="24"/>
        </w:rPr>
        <w:t xml:space="preserve"> </w:t>
      </w:r>
      <w:r w:rsidRPr="005D59A7">
        <w:rPr>
          <w:rFonts w:ascii="T" w:hAnsi="T" w:cs="Simplified Arabic"/>
          <w:sz w:val="24"/>
          <w:szCs w:val="24"/>
          <w:rtl/>
        </w:rPr>
        <w:t xml:space="preserve">من </w:t>
      </w:r>
      <w:r w:rsidRPr="005D59A7">
        <w:rPr>
          <w:rFonts w:ascii="T" w:hAnsi="T" w:cs="Simplified Arabic"/>
          <w:sz w:val="24"/>
          <w:szCs w:val="24"/>
          <w:rtl/>
        </w:rPr>
        <w:lastRenderedPageBreak/>
        <w:t>10% من</w:t>
      </w:r>
      <w:r w:rsidR="009737DA" w:rsidRPr="005D59A7">
        <w:rPr>
          <w:rFonts w:ascii="T" w:hAnsi="T" w:cs="Simplified Arabic"/>
          <w:sz w:val="24"/>
          <w:szCs w:val="24"/>
        </w:rPr>
        <w:t xml:space="preserve"> </w:t>
      </w:r>
      <w:r w:rsidRPr="005D59A7">
        <w:rPr>
          <w:rFonts w:ascii="T" w:hAnsi="T" w:cs="Simplified Arabic"/>
          <w:sz w:val="24"/>
          <w:szCs w:val="24"/>
          <w:rtl/>
        </w:rPr>
        <w:t>أراضي</w:t>
      </w:r>
      <w:r w:rsidR="009737DA" w:rsidRPr="005D59A7">
        <w:rPr>
          <w:rFonts w:ascii="T" w:hAnsi="T" w:cs="Simplified Arabic"/>
          <w:sz w:val="24"/>
          <w:szCs w:val="24"/>
        </w:rPr>
        <w:t xml:space="preserve"> </w:t>
      </w:r>
      <w:r w:rsidRPr="005D59A7">
        <w:rPr>
          <w:rFonts w:ascii="T" w:hAnsi="T" w:cs="Simplified Arabic"/>
          <w:sz w:val="24"/>
          <w:szCs w:val="24"/>
          <w:rtl/>
        </w:rPr>
        <w:t>المملكة. تشمل</w:t>
      </w:r>
      <w:r w:rsidR="009737DA" w:rsidRPr="005D59A7">
        <w:rPr>
          <w:rFonts w:ascii="T" w:hAnsi="T" w:cs="Simplified Arabic"/>
          <w:sz w:val="24"/>
          <w:szCs w:val="24"/>
        </w:rPr>
        <w:t xml:space="preserve"> </w:t>
      </w:r>
      <w:r w:rsidRPr="005D59A7">
        <w:rPr>
          <w:rFonts w:ascii="T" w:hAnsi="T" w:cs="Simplified Arabic"/>
          <w:sz w:val="24"/>
          <w:szCs w:val="24"/>
          <w:rtl/>
        </w:rPr>
        <w:t>التكاليف</w:t>
      </w:r>
      <w:r w:rsidR="009737DA" w:rsidRPr="005D59A7">
        <w:rPr>
          <w:rFonts w:ascii="T" w:hAnsi="T" w:cs="Simplified Arabic"/>
          <w:sz w:val="24"/>
          <w:szCs w:val="24"/>
        </w:rPr>
        <w:t xml:space="preserve"> </w:t>
      </w:r>
      <w:r w:rsidRPr="005D59A7">
        <w:rPr>
          <w:rFonts w:ascii="T" w:hAnsi="T" w:cs="Simplified Arabic"/>
          <w:sz w:val="24"/>
          <w:szCs w:val="24"/>
          <w:rtl/>
        </w:rPr>
        <w:t>الاقتصادية</w:t>
      </w:r>
      <w:r w:rsidR="009737DA" w:rsidRPr="005D59A7">
        <w:rPr>
          <w:rFonts w:ascii="T" w:hAnsi="T" w:cs="Simplified Arabic"/>
          <w:sz w:val="24"/>
          <w:szCs w:val="24"/>
        </w:rPr>
        <w:t xml:space="preserve"> </w:t>
      </w:r>
      <w:r w:rsidRPr="005D59A7">
        <w:rPr>
          <w:rFonts w:ascii="T" w:hAnsi="T" w:cs="Simplified Arabic"/>
          <w:sz w:val="24"/>
          <w:szCs w:val="24"/>
          <w:rtl/>
        </w:rPr>
        <w:t>المرتبطة</w:t>
      </w:r>
      <w:r w:rsidR="009737DA" w:rsidRPr="005D59A7">
        <w:rPr>
          <w:rFonts w:ascii="T" w:hAnsi="T" w:cs="Simplified Arabic"/>
          <w:sz w:val="24"/>
          <w:szCs w:val="24"/>
        </w:rPr>
        <w:t xml:space="preserve"> </w:t>
      </w:r>
      <w:r w:rsidRPr="005D59A7">
        <w:rPr>
          <w:rFonts w:ascii="T" w:hAnsi="T" w:cs="Simplified Arabic"/>
          <w:sz w:val="24"/>
          <w:szCs w:val="24"/>
          <w:rtl/>
        </w:rPr>
        <w:t>بتدهور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انخفاض</w:t>
      </w:r>
      <w:r w:rsidR="009737DA" w:rsidRPr="005D59A7">
        <w:rPr>
          <w:rFonts w:ascii="T" w:hAnsi="T" w:cs="Simplified Arabic"/>
          <w:sz w:val="24"/>
          <w:szCs w:val="24"/>
        </w:rPr>
        <w:t xml:space="preserve"> </w:t>
      </w:r>
      <w:r w:rsidRPr="005D59A7">
        <w:rPr>
          <w:rFonts w:ascii="T" w:hAnsi="T" w:cs="Simplified Arabic"/>
          <w:sz w:val="24"/>
          <w:szCs w:val="24"/>
          <w:rtl/>
        </w:rPr>
        <w:t>الإنتاجية</w:t>
      </w:r>
      <w:r w:rsidR="009737DA" w:rsidRPr="005D59A7">
        <w:rPr>
          <w:rFonts w:ascii="T" w:hAnsi="T" w:cs="Simplified Arabic"/>
          <w:sz w:val="24"/>
          <w:szCs w:val="24"/>
        </w:rPr>
        <w:t xml:space="preserve"> </w:t>
      </w:r>
      <w:r w:rsidRPr="005D59A7">
        <w:rPr>
          <w:rFonts w:ascii="T" w:hAnsi="T" w:cs="Simplified Arabic"/>
          <w:sz w:val="24"/>
          <w:szCs w:val="24"/>
          <w:rtl/>
        </w:rPr>
        <w:t>الزراعية،</w:t>
      </w:r>
      <w:r w:rsidR="009737DA" w:rsidRPr="005D59A7">
        <w:rPr>
          <w:rFonts w:ascii="T" w:hAnsi="T" w:cs="Simplified Arabic"/>
          <w:sz w:val="24"/>
          <w:szCs w:val="24"/>
        </w:rPr>
        <w:t xml:space="preserve"> </w:t>
      </w:r>
      <w:r w:rsidRPr="005D59A7">
        <w:rPr>
          <w:rFonts w:ascii="T" w:hAnsi="T" w:cs="Simplified Arabic"/>
          <w:sz w:val="24"/>
          <w:szCs w:val="24"/>
          <w:rtl/>
        </w:rPr>
        <w:t>وفقدان</w:t>
      </w:r>
      <w:r w:rsidR="009737DA" w:rsidRPr="005D59A7">
        <w:rPr>
          <w:rFonts w:ascii="T" w:hAnsi="T" w:cs="Simplified Arabic"/>
          <w:sz w:val="24"/>
          <w:szCs w:val="24"/>
        </w:rPr>
        <w:t xml:space="preserve"> </w:t>
      </w:r>
      <w:r w:rsidRPr="005D59A7">
        <w:rPr>
          <w:rFonts w:ascii="T" w:hAnsi="T" w:cs="Simplified Arabic"/>
          <w:sz w:val="24"/>
          <w:szCs w:val="24"/>
          <w:rtl/>
        </w:rPr>
        <w:t>سبل</w:t>
      </w:r>
      <w:r w:rsidR="009737DA" w:rsidRPr="005D59A7">
        <w:rPr>
          <w:rFonts w:ascii="T" w:hAnsi="T" w:cs="Simplified Arabic"/>
          <w:sz w:val="24"/>
          <w:szCs w:val="24"/>
        </w:rPr>
        <w:t xml:space="preserve"> </w:t>
      </w:r>
      <w:r w:rsidRPr="005D59A7">
        <w:rPr>
          <w:rFonts w:ascii="T" w:hAnsi="T" w:cs="Simplified Arabic"/>
          <w:sz w:val="24"/>
          <w:szCs w:val="24"/>
          <w:rtl/>
        </w:rPr>
        <w:t>العيش،</w:t>
      </w:r>
      <w:r w:rsidR="009737DA" w:rsidRPr="005D59A7">
        <w:rPr>
          <w:rFonts w:ascii="T" w:hAnsi="T" w:cs="Simplified Arabic"/>
          <w:sz w:val="24"/>
          <w:szCs w:val="24"/>
        </w:rPr>
        <w:t xml:space="preserve"> </w:t>
      </w:r>
      <w:r w:rsidRPr="005D59A7">
        <w:rPr>
          <w:rFonts w:ascii="T" w:hAnsi="T" w:cs="Simplified Arabic"/>
          <w:sz w:val="24"/>
          <w:szCs w:val="24"/>
          <w:rtl/>
        </w:rPr>
        <w:t>وزيادة</w:t>
      </w:r>
      <w:r w:rsidR="009737DA" w:rsidRPr="005D59A7">
        <w:rPr>
          <w:rFonts w:ascii="T" w:hAnsi="T" w:cs="Simplified Arabic"/>
          <w:sz w:val="24"/>
          <w:szCs w:val="24"/>
        </w:rPr>
        <w:t xml:space="preserve"> </w:t>
      </w:r>
      <w:r w:rsidRPr="005D59A7">
        <w:rPr>
          <w:rFonts w:ascii="T" w:hAnsi="T" w:cs="Simplified Arabic"/>
          <w:sz w:val="24"/>
          <w:szCs w:val="24"/>
          <w:rtl/>
        </w:rPr>
        <w:t>الإنفاق</w:t>
      </w:r>
      <w:r w:rsidR="009737DA" w:rsidRPr="005D59A7">
        <w:rPr>
          <w:rFonts w:ascii="T" w:hAnsi="T" w:cs="Simplified Arabic"/>
          <w:sz w:val="24"/>
          <w:szCs w:val="24"/>
        </w:rPr>
        <w:t xml:space="preserve"> </w:t>
      </w:r>
      <w:r w:rsidRPr="005D59A7">
        <w:rPr>
          <w:rFonts w:ascii="T" w:hAnsi="T" w:cs="Simplified Arabic"/>
          <w:sz w:val="24"/>
          <w:szCs w:val="24"/>
          <w:rtl/>
        </w:rPr>
        <w:t>العام</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النقل</w:t>
      </w:r>
      <w:r w:rsidR="009737DA" w:rsidRPr="005D59A7">
        <w:rPr>
          <w:rFonts w:ascii="T" w:hAnsi="T" w:cs="Simplified Arabic"/>
          <w:sz w:val="24"/>
          <w:szCs w:val="24"/>
        </w:rPr>
        <w:t xml:space="preserve"> </w:t>
      </w:r>
      <w:r w:rsidRPr="005D59A7">
        <w:rPr>
          <w:rFonts w:ascii="T" w:hAnsi="T" w:cs="Simplified Arabic"/>
          <w:sz w:val="24"/>
          <w:szCs w:val="24"/>
          <w:rtl/>
        </w:rPr>
        <w:t>والاستعادة</w:t>
      </w:r>
      <w:r w:rsidR="009737DA" w:rsidRPr="005D59A7">
        <w:rPr>
          <w:rFonts w:ascii="T" w:hAnsi="T" w:cs="Simplified Arabic"/>
          <w:sz w:val="24"/>
          <w:szCs w:val="24"/>
        </w:rPr>
        <w:t xml:space="preserve"> </w:t>
      </w:r>
      <w:r w:rsidRPr="005D59A7">
        <w:rPr>
          <w:rFonts w:ascii="T" w:hAnsi="T" w:cs="Simplified Arabic"/>
          <w:sz w:val="24"/>
          <w:szCs w:val="24"/>
          <w:rtl/>
        </w:rPr>
        <w:t>البيئية. ويسلط</w:t>
      </w:r>
      <w:r w:rsidR="009737DA" w:rsidRPr="005D59A7">
        <w:rPr>
          <w:rFonts w:ascii="T" w:hAnsi="T" w:cs="Simplified Arabic"/>
          <w:sz w:val="24"/>
          <w:szCs w:val="24"/>
        </w:rPr>
        <w:t xml:space="preserve"> </w:t>
      </w:r>
      <w:r w:rsidRPr="005D59A7">
        <w:rPr>
          <w:rFonts w:ascii="T" w:hAnsi="T" w:cs="Simplified Arabic"/>
          <w:sz w:val="24"/>
          <w:szCs w:val="24"/>
          <w:rtl/>
        </w:rPr>
        <w:t>هدف</w:t>
      </w:r>
      <w:r w:rsidR="009737DA" w:rsidRPr="005D59A7">
        <w:rPr>
          <w:rFonts w:ascii="T" w:hAnsi="T" w:cs="Simplified Arabic"/>
          <w:sz w:val="24"/>
          <w:szCs w:val="24"/>
        </w:rPr>
        <w:t xml:space="preserve"> </w:t>
      </w:r>
      <w:r w:rsidRPr="005D59A7">
        <w:rPr>
          <w:rFonts w:ascii="T" w:hAnsi="T" w:cs="Simplified Arabic"/>
          <w:sz w:val="24"/>
          <w:szCs w:val="24"/>
          <w:rtl/>
        </w:rPr>
        <w:t>اتفاقية</w:t>
      </w:r>
      <w:r w:rsidR="009737DA" w:rsidRPr="005D59A7">
        <w:rPr>
          <w:rFonts w:ascii="T" w:hAnsi="T" w:cs="Simplified Arabic"/>
          <w:sz w:val="24"/>
          <w:szCs w:val="24"/>
        </w:rPr>
        <w:t xml:space="preserve"> </w:t>
      </w:r>
      <w:r w:rsidRPr="005D59A7">
        <w:rPr>
          <w:rFonts w:ascii="T" w:hAnsi="T" w:cs="Simplified Arabic"/>
          <w:sz w:val="24"/>
          <w:szCs w:val="24"/>
          <w:rtl/>
        </w:rPr>
        <w:t>الأمم</w:t>
      </w:r>
      <w:r w:rsidR="009737DA" w:rsidRPr="005D59A7">
        <w:rPr>
          <w:rFonts w:ascii="T" w:hAnsi="T" w:cs="Simplified Arabic"/>
          <w:sz w:val="24"/>
          <w:szCs w:val="24"/>
        </w:rPr>
        <w:t xml:space="preserve"> </w:t>
      </w:r>
      <w:r w:rsidRPr="005D59A7">
        <w:rPr>
          <w:rFonts w:ascii="T" w:hAnsi="T" w:cs="Simplified Arabic"/>
          <w:sz w:val="24"/>
          <w:szCs w:val="24"/>
          <w:rtl/>
        </w:rPr>
        <w:t>المتحدة</w:t>
      </w:r>
      <w:r w:rsidR="009737DA" w:rsidRPr="005D59A7">
        <w:rPr>
          <w:rFonts w:ascii="T" w:hAnsi="T" w:cs="Simplified Arabic"/>
          <w:sz w:val="24"/>
          <w:szCs w:val="24"/>
        </w:rPr>
        <w:t xml:space="preserve"> </w:t>
      </w:r>
      <w:r w:rsidRPr="005D59A7">
        <w:rPr>
          <w:rFonts w:ascii="T" w:hAnsi="T" w:cs="Simplified Arabic"/>
          <w:sz w:val="24"/>
          <w:szCs w:val="24"/>
          <w:rtl/>
        </w:rPr>
        <w:t>لمكافحة</w:t>
      </w:r>
      <w:r w:rsidR="009737DA" w:rsidRPr="005D59A7">
        <w:rPr>
          <w:rFonts w:ascii="T" w:hAnsi="T" w:cs="Simplified Arabic"/>
          <w:sz w:val="24"/>
          <w:szCs w:val="24"/>
        </w:rPr>
        <w:t xml:space="preserve"> </w:t>
      </w:r>
      <w:r w:rsidRPr="005D59A7">
        <w:rPr>
          <w:rFonts w:ascii="T" w:hAnsi="T" w:cs="Simplified Arabic"/>
          <w:sz w:val="24"/>
          <w:szCs w:val="24"/>
          <w:rtl/>
        </w:rPr>
        <w:t>التصحر</w:t>
      </w:r>
      <w:r w:rsidR="009737DA" w:rsidRPr="005D59A7">
        <w:rPr>
          <w:rFonts w:ascii="T" w:hAnsi="T" w:cs="Simplified Arabic"/>
          <w:sz w:val="24"/>
          <w:szCs w:val="24"/>
        </w:rPr>
        <w:t xml:space="preserve"> </w:t>
      </w:r>
      <w:r w:rsidRPr="005D59A7">
        <w:rPr>
          <w:rFonts w:ascii="T" w:hAnsi="T" w:cs="Simplified Arabic"/>
          <w:sz w:val="24"/>
          <w:szCs w:val="24"/>
          <w:rtl/>
        </w:rPr>
        <w:t>لاستعادة 1.5 مليار</w:t>
      </w:r>
      <w:r w:rsidR="009737DA" w:rsidRPr="005D59A7">
        <w:rPr>
          <w:rFonts w:ascii="T" w:hAnsi="T" w:cs="Simplified Arabic"/>
          <w:sz w:val="24"/>
          <w:szCs w:val="24"/>
        </w:rPr>
        <w:t xml:space="preserve"> </w:t>
      </w:r>
      <w:r w:rsidR="009737DA" w:rsidRPr="005D59A7">
        <w:rPr>
          <w:rFonts w:ascii="T" w:hAnsi="T" w:cs="Simplified Arabic"/>
          <w:sz w:val="24"/>
          <w:szCs w:val="24"/>
          <w:rtl/>
        </w:rPr>
        <w:t xml:space="preserve">هكتار </w:t>
      </w:r>
      <w:r w:rsidRPr="005D59A7">
        <w:rPr>
          <w:rFonts w:ascii="T" w:hAnsi="T" w:cs="Simplified Arabic"/>
          <w:sz w:val="24"/>
          <w:szCs w:val="24"/>
          <w:rtl/>
        </w:rPr>
        <w:t>عالميًا</w:t>
      </w:r>
      <w:r w:rsidR="009737DA" w:rsidRPr="005D59A7">
        <w:rPr>
          <w:rFonts w:ascii="T" w:hAnsi="T" w:cs="Simplified Arabic"/>
          <w:sz w:val="24"/>
          <w:szCs w:val="24"/>
          <w:rtl/>
        </w:rPr>
        <w:t xml:space="preserve"> </w:t>
      </w:r>
      <w:r w:rsidRPr="005D59A7">
        <w:rPr>
          <w:rFonts w:ascii="T" w:hAnsi="T" w:cs="Simplified Arabic"/>
          <w:sz w:val="24"/>
          <w:szCs w:val="24"/>
          <w:rtl/>
        </w:rPr>
        <w:t>بحلول</w:t>
      </w:r>
      <w:r w:rsidR="009737DA" w:rsidRPr="005D59A7">
        <w:rPr>
          <w:rFonts w:ascii="T" w:hAnsi="T" w:cs="Simplified Arabic"/>
          <w:sz w:val="24"/>
          <w:szCs w:val="24"/>
          <w:rtl/>
        </w:rPr>
        <w:t xml:space="preserve"> </w:t>
      </w:r>
      <w:r w:rsidRPr="005D59A7">
        <w:rPr>
          <w:rFonts w:ascii="T" w:hAnsi="T" w:cs="Simplified Arabic"/>
          <w:sz w:val="24"/>
          <w:szCs w:val="24"/>
          <w:rtl/>
        </w:rPr>
        <w:t>عام 2030 الضوء</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حجم</w:t>
      </w:r>
      <w:r w:rsidR="009737DA" w:rsidRPr="005D59A7">
        <w:rPr>
          <w:rFonts w:ascii="T" w:hAnsi="T" w:cs="Simplified Arabic"/>
          <w:sz w:val="24"/>
          <w:szCs w:val="24"/>
          <w:rtl/>
        </w:rPr>
        <w:t xml:space="preserve"> </w:t>
      </w:r>
      <w:r w:rsidRPr="005D59A7">
        <w:rPr>
          <w:rFonts w:ascii="T" w:hAnsi="T" w:cs="Simplified Arabic"/>
          <w:sz w:val="24"/>
          <w:szCs w:val="24"/>
          <w:rtl/>
        </w:rPr>
        <w:t>هذه</w:t>
      </w:r>
      <w:r w:rsidR="009737DA" w:rsidRPr="005D59A7">
        <w:rPr>
          <w:rFonts w:ascii="T" w:hAnsi="T" w:cs="Simplified Arabic"/>
          <w:sz w:val="24"/>
          <w:szCs w:val="24"/>
          <w:rtl/>
        </w:rPr>
        <w:t xml:space="preserve"> </w:t>
      </w:r>
      <w:r w:rsidRPr="005D59A7">
        <w:rPr>
          <w:rFonts w:ascii="T" w:hAnsi="T" w:cs="Simplified Arabic"/>
          <w:sz w:val="24"/>
          <w:szCs w:val="24"/>
          <w:rtl/>
        </w:rPr>
        <w:t>المشكلة (</w:t>
      </w:r>
      <w:r w:rsidRPr="005D59A7">
        <w:rPr>
          <w:rFonts w:ascii="T" w:hAnsi="T" w:cs="Simplified Arabic"/>
          <w:sz w:val="24"/>
          <w:szCs w:val="24"/>
        </w:rPr>
        <w:t>UNCCD, 2024</w:t>
      </w:r>
      <w:r w:rsidRPr="005D59A7">
        <w:rPr>
          <w:rFonts w:ascii="T" w:hAnsi="T" w:cs="Simplified Arabic"/>
          <w:sz w:val="24"/>
          <w:szCs w:val="24"/>
          <w:rtl/>
        </w:rPr>
        <w:t>).</w:t>
      </w:r>
    </w:p>
    <w:p w14:paraId="2E545F28" w14:textId="48E94FC4"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إدارة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وجدت</w:t>
      </w:r>
      <w:r w:rsidR="009737DA" w:rsidRPr="005D59A7">
        <w:rPr>
          <w:rFonts w:ascii="T" w:hAnsi="T" w:cs="Simplified Arabic"/>
          <w:sz w:val="24"/>
          <w:szCs w:val="24"/>
          <w:rtl/>
        </w:rPr>
        <w:t xml:space="preserve"> </w:t>
      </w:r>
      <w:r w:rsidRPr="005D59A7">
        <w:rPr>
          <w:rFonts w:ascii="T" w:hAnsi="T" w:cs="Simplified Arabic"/>
          <w:sz w:val="24"/>
          <w:szCs w:val="24"/>
          <w:rtl/>
        </w:rPr>
        <w:t>دراسة</w:t>
      </w:r>
      <w:r w:rsidR="009737DA" w:rsidRPr="005D59A7">
        <w:rPr>
          <w:rFonts w:ascii="T" w:hAnsi="T" w:cs="Simplified Arabic"/>
          <w:sz w:val="24"/>
          <w:szCs w:val="24"/>
          <w:rtl/>
        </w:rPr>
        <w:t xml:space="preserve"> </w:t>
      </w:r>
      <w:r w:rsidRPr="005D59A7">
        <w:rPr>
          <w:rFonts w:ascii="T" w:hAnsi="T" w:cs="Simplified Arabic"/>
          <w:sz w:val="24"/>
          <w:szCs w:val="24"/>
          <w:rtl/>
        </w:rPr>
        <w:t>ركزت</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تكاليف</w:t>
      </w:r>
      <w:r w:rsidR="009737DA" w:rsidRPr="005D59A7">
        <w:rPr>
          <w:rFonts w:ascii="T" w:hAnsi="T" w:cs="Simplified Arabic"/>
          <w:sz w:val="24"/>
          <w:szCs w:val="24"/>
          <w:rtl/>
        </w:rPr>
        <w:t xml:space="preserve"> </w:t>
      </w:r>
      <w:r w:rsidRPr="005D59A7">
        <w:rPr>
          <w:rFonts w:ascii="T" w:hAnsi="T" w:cs="Simplified Arabic"/>
          <w:sz w:val="24"/>
          <w:szCs w:val="24"/>
          <w:rtl/>
        </w:rPr>
        <w:t>التدهور</w:t>
      </w:r>
      <w:r w:rsidR="009737DA" w:rsidRPr="005D59A7">
        <w:rPr>
          <w:rFonts w:ascii="T" w:hAnsi="T" w:cs="Simplified Arabic"/>
          <w:sz w:val="24"/>
          <w:szCs w:val="24"/>
          <w:rtl/>
        </w:rPr>
        <w:t xml:space="preserve"> </w:t>
      </w:r>
      <w:r w:rsidRPr="005D59A7">
        <w:rPr>
          <w:rFonts w:ascii="T" w:hAnsi="T" w:cs="Simplified Arabic"/>
          <w:sz w:val="24"/>
          <w:szCs w:val="24"/>
          <w:rtl/>
        </w:rPr>
        <w:t>البيئي</w:t>
      </w:r>
      <w:r w:rsidR="009737DA" w:rsidRPr="005D59A7">
        <w:rPr>
          <w:rFonts w:ascii="T" w:hAnsi="T" w:cs="Simplified Arabic"/>
          <w:sz w:val="24"/>
          <w:szCs w:val="24"/>
          <w:rtl/>
        </w:rPr>
        <w:t xml:space="preserve"> </w:t>
      </w:r>
      <w:r w:rsidRPr="005D59A7">
        <w:rPr>
          <w:rFonts w:ascii="T" w:hAnsi="T" w:cs="Simplified Arabic"/>
          <w:sz w:val="24"/>
          <w:szCs w:val="24"/>
          <w:rtl/>
        </w:rPr>
        <w:t>الناتج</w:t>
      </w:r>
      <w:r w:rsidR="009737DA" w:rsidRPr="005D59A7">
        <w:rPr>
          <w:rFonts w:ascii="T" w:hAnsi="T" w:cs="Simplified Arabic"/>
          <w:sz w:val="24"/>
          <w:szCs w:val="24"/>
          <w:rtl/>
        </w:rPr>
        <w:t xml:space="preserve"> </w:t>
      </w:r>
      <w:r w:rsidRPr="005D59A7">
        <w:rPr>
          <w:rFonts w:ascii="T" w:hAnsi="T" w:cs="Simplified Arabic"/>
          <w:sz w:val="24"/>
          <w:szCs w:val="24"/>
          <w:rtl/>
        </w:rPr>
        <w:t>عن</w:t>
      </w:r>
      <w:r w:rsidR="009737DA" w:rsidRPr="005D59A7">
        <w:rPr>
          <w:rFonts w:ascii="T" w:hAnsi="T" w:cs="Simplified Arabic"/>
          <w:sz w:val="24"/>
          <w:szCs w:val="24"/>
          <w:rtl/>
        </w:rPr>
        <w:t xml:space="preserve"> </w:t>
      </w:r>
      <w:r w:rsidRPr="005D59A7">
        <w:rPr>
          <w:rFonts w:ascii="T" w:hAnsi="T" w:cs="Simplified Arabic"/>
          <w:sz w:val="24"/>
          <w:szCs w:val="24"/>
          <w:rtl/>
        </w:rPr>
        <w:t>عدم</w:t>
      </w:r>
      <w:r w:rsidR="009737DA" w:rsidRPr="005D59A7">
        <w:rPr>
          <w:rFonts w:ascii="T" w:hAnsi="T" w:cs="Simplified Arabic"/>
          <w:sz w:val="24"/>
          <w:szCs w:val="24"/>
          <w:rtl/>
        </w:rPr>
        <w:t xml:space="preserve"> </w:t>
      </w:r>
      <w:r w:rsidRPr="005D59A7">
        <w:rPr>
          <w:rFonts w:ascii="T" w:hAnsi="T" w:cs="Simplified Arabic"/>
          <w:sz w:val="24"/>
          <w:szCs w:val="24"/>
          <w:rtl/>
        </w:rPr>
        <w:t>إعادة</w:t>
      </w:r>
      <w:r w:rsidR="009737DA" w:rsidRPr="005D59A7">
        <w:rPr>
          <w:rFonts w:ascii="T" w:hAnsi="T" w:cs="Simplified Arabic"/>
          <w:sz w:val="24"/>
          <w:szCs w:val="24"/>
          <w:rtl/>
        </w:rPr>
        <w:t xml:space="preserve"> </w:t>
      </w:r>
      <w:r w:rsidRPr="005D59A7">
        <w:rPr>
          <w:rFonts w:ascii="T" w:hAnsi="T" w:cs="Simplified Arabic"/>
          <w:sz w:val="24"/>
          <w:szCs w:val="24"/>
          <w:rtl/>
        </w:rPr>
        <w:t>استخدام</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w:t>
      </w:r>
      <w:r w:rsidR="009737DA" w:rsidRPr="005D59A7">
        <w:rPr>
          <w:rFonts w:ascii="T" w:hAnsi="T" w:cs="Simplified Arabic"/>
          <w:sz w:val="24"/>
          <w:szCs w:val="24"/>
          <w:rtl/>
        </w:rPr>
        <w:t xml:space="preserve"> </w:t>
      </w:r>
      <w:r w:rsidRPr="005D59A7">
        <w:rPr>
          <w:rFonts w:ascii="T" w:hAnsi="T" w:cs="Simplified Arabic"/>
          <w:sz w:val="24"/>
          <w:szCs w:val="24"/>
          <w:rtl/>
        </w:rPr>
        <w:t>المعالجة</w:t>
      </w:r>
      <w:r w:rsidR="009737DA" w:rsidRPr="005D59A7">
        <w:rPr>
          <w:rFonts w:ascii="T" w:hAnsi="T" w:cs="Simplified Arabic"/>
          <w:sz w:val="24"/>
          <w:szCs w:val="24"/>
          <w:rtl/>
        </w:rPr>
        <w:t xml:space="preserve"> </w:t>
      </w:r>
      <w:r w:rsidRPr="005D59A7">
        <w:rPr>
          <w:rFonts w:ascii="T" w:hAnsi="T" w:cs="Simplified Arabic"/>
          <w:sz w:val="24"/>
          <w:szCs w:val="24"/>
          <w:rtl/>
        </w:rPr>
        <w:t>بالكامل</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المملكة</w:t>
      </w:r>
      <w:r w:rsidR="009737DA" w:rsidRPr="005D59A7">
        <w:rPr>
          <w:rFonts w:ascii="T" w:hAnsi="T" w:cs="Simplified Arabic"/>
          <w:sz w:val="24"/>
          <w:szCs w:val="24"/>
          <w:rtl/>
        </w:rPr>
        <w:t xml:space="preserve"> </w:t>
      </w:r>
      <w:r w:rsidRPr="005D59A7">
        <w:rPr>
          <w:rFonts w:ascii="T" w:hAnsi="T" w:cs="Simplified Arabic"/>
          <w:sz w:val="24"/>
          <w:szCs w:val="24"/>
          <w:rtl/>
        </w:rPr>
        <w:t>العربية</w:t>
      </w:r>
      <w:r w:rsidR="009737DA" w:rsidRPr="005D59A7">
        <w:rPr>
          <w:rFonts w:ascii="T" w:hAnsi="T" w:cs="Simplified Arabic"/>
          <w:sz w:val="24"/>
          <w:szCs w:val="24"/>
          <w:rtl/>
        </w:rPr>
        <w:t xml:space="preserve"> </w:t>
      </w:r>
      <w:r w:rsidRPr="005D59A7">
        <w:rPr>
          <w:rFonts w:ascii="T" w:hAnsi="T" w:cs="Simplified Arabic"/>
          <w:sz w:val="24"/>
          <w:szCs w:val="24"/>
          <w:rtl/>
        </w:rPr>
        <w:t>السعودية</w:t>
      </w:r>
      <w:r w:rsidR="009737DA" w:rsidRPr="005D59A7">
        <w:rPr>
          <w:rFonts w:ascii="T" w:hAnsi="T" w:cs="Simplified Arabic"/>
          <w:sz w:val="24"/>
          <w:szCs w:val="24"/>
          <w:rtl/>
        </w:rPr>
        <w:t xml:space="preserve"> </w:t>
      </w:r>
      <w:r w:rsidRPr="005D59A7">
        <w:rPr>
          <w:rFonts w:ascii="T" w:hAnsi="T" w:cs="Simplified Arabic"/>
          <w:sz w:val="24"/>
          <w:szCs w:val="24"/>
          <w:rtl/>
        </w:rPr>
        <w:t>أنه</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عام 2019،</w:t>
      </w:r>
      <w:r w:rsidR="009737DA" w:rsidRPr="005D59A7">
        <w:rPr>
          <w:rFonts w:ascii="T" w:hAnsi="T" w:cs="Simplified Arabic"/>
          <w:sz w:val="24"/>
          <w:szCs w:val="24"/>
          <w:rtl/>
        </w:rPr>
        <w:t xml:space="preserve"> </w:t>
      </w:r>
      <w:r w:rsidRPr="005D59A7">
        <w:rPr>
          <w:rFonts w:ascii="T" w:hAnsi="T" w:cs="Simplified Arabic"/>
          <w:sz w:val="24"/>
          <w:szCs w:val="24"/>
          <w:rtl/>
        </w:rPr>
        <w:t>بلغ</w:t>
      </w:r>
      <w:r w:rsidR="009737DA" w:rsidRPr="005D59A7">
        <w:rPr>
          <w:rFonts w:ascii="T" w:hAnsi="T" w:cs="Simplified Arabic"/>
          <w:sz w:val="24"/>
          <w:szCs w:val="24"/>
          <w:rtl/>
        </w:rPr>
        <w:t xml:space="preserve"> </w:t>
      </w:r>
      <w:r w:rsidRPr="005D59A7">
        <w:rPr>
          <w:rFonts w:ascii="T" w:hAnsi="T" w:cs="Simplified Arabic"/>
          <w:sz w:val="24"/>
          <w:szCs w:val="24"/>
          <w:rtl/>
        </w:rPr>
        <w:t>إجمالي</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التي</w:t>
      </w:r>
      <w:r w:rsidR="009737DA" w:rsidRPr="005D59A7">
        <w:rPr>
          <w:rFonts w:ascii="T" w:hAnsi="T" w:cs="Simplified Arabic"/>
          <w:sz w:val="24"/>
          <w:szCs w:val="24"/>
          <w:rtl/>
        </w:rPr>
        <w:t xml:space="preserve"> </w:t>
      </w:r>
      <w:r w:rsidRPr="005D59A7">
        <w:rPr>
          <w:rFonts w:ascii="T" w:hAnsi="T" w:cs="Simplified Arabic"/>
          <w:sz w:val="24"/>
          <w:szCs w:val="24"/>
          <w:rtl/>
        </w:rPr>
        <w:t>يتحملها</w:t>
      </w:r>
      <w:r w:rsidR="009737DA" w:rsidRPr="005D59A7">
        <w:rPr>
          <w:rFonts w:ascii="T" w:hAnsi="T" w:cs="Simplified Arabic"/>
          <w:sz w:val="24"/>
          <w:szCs w:val="24"/>
          <w:rtl/>
        </w:rPr>
        <w:t xml:space="preserve"> </w:t>
      </w:r>
      <w:r w:rsidRPr="005D59A7">
        <w:rPr>
          <w:rFonts w:ascii="T" w:hAnsi="T" w:cs="Simplified Arabic"/>
          <w:sz w:val="24"/>
          <w:szCs w:val="24"/>
          <w:rtl/>
        </w:rPr>
        <w:t>الاقتصاد</w:t>
      </w:r>
      <w:r w:rsidR="009737DA" w:rsidRPr="005D59A7">
        <w:rPr>
          <w:rFonts w:ascii="T" w:hAnsi="T" w:cs="Simplified Arabic"/>
          <w:sz w:val="24"/>
          <w:szCs w:val="24"/>
          <w:rtl/>
        </w:rPr>
        <w:t xml:space="preserve"> </w:t>
      </w:r>
      <w:r w:rsidRPr="005D59A7">
        <w:rPr>
          <w:rFonts w:ascii="T" w:hAnsi="T" w:cs="Simplified Arabic"/>
          <w:sz w:val="24"/>
          <w:szCs w:val="24"/>
          <w:rtl/>
        </w:rPr>
        <w:t>السعودي</w:t>
      </w:r>
      <w:r w:rsidR="009737DA" w:rsidRPr="005D59A7">
        <w:rPr>
          <w:rFonts w:ascii="T" w:hAnsi="T" w:cs="Simplified Arabic"/>
          <w:sz w:val="24"/>
          <w:szCs w:val="24"/>
          <w:rtl/>
        </w:rPr>
        <w:t xml:space="preserve"> </w:t>
      </w:r>
      <w:r w:rsidRPr="005D59A7">
        <w:rPr>
          <w:rFonts w:ascii="T" w:hAnsi="T" w:cs="Simplified Arabic"/>
          <w:sz w:val="24"/>
          <w:szCs w:val="24"/>
          <w:rtl/>
        </w:rPr>
        <w:t>لمعالجة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658.67 مليون</w:t>
      </w:r>
      <w:r w:rsidR="009737DA" w:rsidRPr="005D59A7">
        <w:rPr>
          <w:rFonts w:ascii="T" w:hAnsi="T" w:cs="Simplified Arabic"/>
          <w:sz w:val="24"/>
          <w:szCs w:val="24"/>
          <w:rtl/>
        </w:rPr>
        <w:t xml:space="preserve"> </w:t>
      </w:r>
      <w:r w:rsidRPr="005D59A7">
        <w:rPr>
          <w:rFonts w:ascii="T" w:hAnsi="T" w:cs="Simplified Arabic"/>
          <w:sz w:val="24"/>
          <w:szCs w:val="24"/>
          <w:rtl/>
        </w:rPr>
        <w:t>دولار</w:t>
      </w:r>
      <w:r w:rsidR="009737DA" w:rsidRPr="005D59A7">
        <w:rPr>
          <w:rFonts w:ascii="T" w:hAnsi="T" w:cs="Simplified Arabic"/>
          <w:sz w:val="24"/>
          <w:szCs w:val="24"/>
          <w:rtl/>
        </w:rPr>
        <w:t xml:space="preserve"> </w:t>
      </w:r>
      <w:r w:rsidRPr="005D59A7">
        <w:rPr>
          <w:rFonts w:ascii="T" w:hAnsi="T" w:cs="Simplified Arabic"/>
          <w:sz w:val="24"/>
          <w:szCs w:val="24"/>
          <w:rtl/>
        </w:rPr>
        <w:t>أمريكي. 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المباشرة 75.5% من</w:t>
      </w:r>
      <w:r w:rsidR="009737DA" w:rsidRPr="005D59A7">
        <w:rPr>
          <w:rFonts w:ascii="T" w:hAnsi="T" w:cs="Simplified Arabic"/>
          <w:sz w:val="24"/>
          <w:szCs w:val="24"/>
          <w:rtl/>
        </w:rPr>
        <w:t xml:space="preserve"> </w:t>
      </w:r>
      <w:r w:rsidRPr="005D59A7">
        <w:rPr>
          <w:rFonts w:ascii="T" w:hAnsi="T" w:cs="Simplified Arabic"/>
          <w:sz w:val="24"/>
          <w:szCs w:val="24"/>
          <w:rtl/>
        </w:rPr>
        <w:t>هذا</w:t>
      </w:r>
      <w:r w:rsidR="009737DA" w:rsidRPr="005D59A7">
        <w:rPr>
          <w:rFonts w:ascii="T" w:hAnsi="T" w:cs="Simplified Arabic"/>
          <w:sz w:val="24"/>
          <w:szCs w:val="24"/>
          <w:rtl/>
        </w:rPr>
        <w:t xml:space="preserve"> </w:t>
      </w:r>
      <w:r w:rsidRPr="005D59A7">
        <w:rPr>
          <w:rFonts w:ascii="T" w:hAnsi="T" w:cs="Simplified Arabic"/>
          <w:sz w:val="24"/>
          <w:szCs w:val="24"/>
          <w:rtl/>
        </w:rPr>
        <w:t>الإجمالي،</w:t>
      </w:r>
      <w:r w:rsidR="009737DA" w:rsidRPr="005D59A7">
        <w:rPr>
          <w:rFonts w:ascii="T" w:hAnsi="T" w:cs="Simplified Arabic"/>
          <w:sz w:val="24"/>
          <w:szCs w:val="24"/>
          <w:rtl/>
        </w:rPr>
        <w:t xml:space="preserve"> </w:t>
      </w:r>
      <w:r w:rsidRPr="005D59A7">
        <w:rPr>
          <w:rFonts w:ascii="T" w:hAnsi="T" w:cs="Simplified Arabic"/>
          <w:sz w:val="24"/>
          <w:szCs w:val="24"/>
          <w:rtl/>
        </w:rPr>
        <w:t>بينما</w:t>
      </w:r>
      <w:r w:rsidR="009737DA" w:rsidRPr="005D59A7">
        <w:rPr>
          <w:rFonts w:ascii="T" w:hAnsi="T" w:cs="Simplified Arabic"/>
          <w:sz w:val="24"/>
          <w:szCs w:val="24"/>
          <w:rtl/>
        </w:rPr>
        <w:t xml:space="preserve"> </w:t>
      </w:r>
      <w:r w:rsidRPr="005D59A7">
        <w:rPr>
          <w:rFonts w:ascii="T" w:hAnsi="T" w:cs="Simplified Arabic"/>
          <w:sz w:val="24"/>
          <w:szCs w:val="24"/>
          <w:rtl/>
        </w:rPr>
        <w:t>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غير</w:t>
      </w:r>
      <w:r w:rsidR="009737DA" w:rsidRPr="005D59A7">
        <w:rPr>
          <w:rFonts w:ascii="T" w:hAnsi="T" w:cs="Simplified Arabic"/>
          <w:sz w:val="24"/>
          <w:szCs w:val="24"/>
          <w:rtl/>
        </w:rPr>
        <w:t xml:space="preserve"> </w:t>
      </w:r>
      <w:r w:rsidRPr="005D59A7">
        <w:rPr>
          <w:rFonts w:ascii="T" w:hAnsi="T" w:cs="Simplified Arabic"/>
          <w:sz w:val="24"/>
          <w:szCs w:val="24"/>
          <w:rtl/>
        </w:rPr>
        <w:t>المباشرة</w:t>
      </w:r>
      <w:r w:rsidR="009737DA" w:rsidRPr="005D59A7">
        <w:rPr>
          <w:rFonts w:ascii="T" w:hAnsi="T" w:cs="Simplified Arabic"/>
          <w:sz w:val="24"/>
          <w:szCs w:val="24"/>
          <w:rtl/>
        </w:rPr>
        <w:t xml:space="preserve"> </w:t>
      </w:r>
      <w:r w:rsidRPr="005D59A7">
        <w:rPr>
          <w:rFonts w:ascii="T" w:hAnsi="T" w:cs="Simplified Arabic"/>
          <w:sz w:val="24"/>
          <w:szCs w:val="24"/>
          <w:rtl/>
        </w:rPr>
        <w:t xml:space="preserve">نسبة 24.5% المتبقية </w:t>
      </w:r>
      <w:r w:rsidR="00FF0AED" w:rsidRPr="005D59A7">
        <w:rPr>
          <w:rFonts w:ascii="T" w:hAnsi="T" w:cs="Simplified Arabic"/>
          <w:sz w:val="24"/>
          <w:szCs w:val="24"/>
        </w:rPr>
        <w:t>(Dawoud, et al , 2022)</w:t>
      </w:r>
    </w:p>
    <w:p w14:paraId="75D3433E"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الآثار</w:t>
      </w:r>
      <w:r w:rsidR="00665475" w:rsidRPr="005D59A7">
        <w:rPr>
          <w:rFonts w:ascii="T" w:hAnsi="T" w:cs="Simplified Arabic"/>
          <w:sz w:val="24"/>
          <w:szCs w:val="24"/>
        </w:rPr>
        <w:t xml:space="preserve"> </w:t>
      </w:r>
      <w:r w:rsidRPr="005D59A7">
        <w:rPr>
          <w:rFonts w:ascii="T" w:hAnsi="T" w:cs="Simplified Arabic"/>
          <w:sz w:val="24"/>
          <w:szCs w:val="24"/>
          <w:rtl/>
        </w:rPr>
        <w:t>الصحية: يؤثر</w:t>
      </w:r>
      <w:r w:rsidR="00665475" w:rsidRPr="005D59A7">
        <w:rPr>
          <w:rFonts w:ascii="T" w:hAnsi="T" w:cs="Simplified Arabic"/>
          <w:sz w:val="24"/>
          <w:szCs w:val="24"/>
        </w:rPr>
        <w:t xml:space="preserve"> </w:t>
      </w:r>
      <w:r w:rsidRPr="005D59A7">
        <w:rPr>
          <w:rFonts w:ascii="T" w:hAnsi="T" w:cs="Simplified Arabic"/>
          <w:sz w:val="24"/>
          <w:szCs w:val="24"/>
          <w:rtl/>
        </w:rPr>
        <w:t>التدهور</w:t>
      </w:r>
      <w:r w:rsidR="00665475" w:rsidRPr="005D59A7">
        <w:rPr>
          <w:rFonts w:ascii="T" w:hAnsi="T" w:cs="Simplified Arabic"/>
          <w:sz w:val="24"/>
          <w:szCs w:val="24"/>
        </w:rPr>
        <w:t xml:space="preserve"> </w:t>
      </w:r>
      <w:r w:rsidRPr="005D59A7">
        <w:rPr>
          <w:rFonts w:ascii="T" w:hAnsi="T" w:cs="Simplified Arabic"/>
          <w:sz w:val="24"/>
          <w:szCs w:val="24"/>
          <w:rtl/>
        </w:rPr>
        <w:t>البيئي،</w:t>
      </w:r>
      <w:r w:rsidR="00665475" w:rsidRPr="005D59A7">
        <w:rPr>
          <w:rFonts w:ascii="T" w:hAnsi="T" w:cs="Simplified Arabic"/>
          <w:sz w:val="24"/>
          <w:szCs w:val="24"/>
        </w:rPr>
        <w:t xml:space="preserve"> </w:t>
      </w:r>
      <w:r w:rsidRPr="005D59A7">
        <w:rPr>
          <w:rFonts w:ascii="T" w:hAnsi="T" w:cs="Simplified Arabic"/>
          <w:sz w:val="24"/>
          <w:szCs w:val="24"/>
          <w:rtl/>
        </w:rPr>
        <w:t>وخاصة</w:t>
      </w:r>
      <w:r w:rsidR="00665475" w:rsidRPr="005D59A7">
        <w:rPr>
          <w:rFonts w:ascii="T" w:hAnsi="T" w:cs="Simplified Arabic"/>
          <w:sz w:val="24"/>
          <w:szCs w:val="24"/>
        </w:rPr>
        <w:t xml:space="preserve"> </w:t>
      </w:r>
      <w:r w:rsidRPr="005D59A7">
        <w:rPr>
          <w:rFonts w:ascii="T" w:hAnsi="T" w:cs="Simplified Arabic"/>
          <w:sz w:val="24"/>
          <w:szCs w:val="24"/>
          <w:rtl/>
        </w:rPr>
        <w:t>تلوث</w:t>
      </w:r>
      <w:r w:rsidR="00665475" w:rsidRPr="005D59A7">
        <w:rPr>
          <w:rFonts w:ascii="T" w:hAnsi="T" w:cs="Simplified Arabic"/>
          <w:sz w:val="24"/>
          <w:szCs w:val="24"/>
        </w:rPr>
        <w:t xml:space="preserve"> </w:t>
      </w:r>
      <w:r w:rsidRPr="005D59A7">
        <w:rPr>
          <w:rFonts w:ascii="T" w:hAnsi="T" w:cs="Simplified Arabic"/>
          <w:sz w:val="24"/>
          <w:szCs w:val="24"/>
          <w:rtl/>
        </w:rPr>
        <w:t>الهواء</w:t>
      </w:r>
      <w:r w:rsidR="00665475" w:rsidRPr="005D59A7">
        <w:rPr>
          <w:rFonts w:ascii="T" w:hAnsi="T" w:cs="Simplified Arabic"/>
          <w:sz w:val="24"/>
          <w:szCs w:val="24"/>
        </w:rPr>
        <w:t xml:space="preserve"> </w:t>
      </w:r>
      <w:r w:rsidRPr="005D59A7">
        <w:rPr>
          <w:rFonts w:ascii="T" w:hAnsi="T" w:cs="Simplified Arabic"/>
          <w:sz w:val="24"/>
          <w:szCs w:val="24"/>
          <w:rtl/>
        </w:rPr>
        <w:t>والماء،</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مباشر</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الصحة</w:t>
      </w:r>
      <w:r w:rsidR="00665475" w:rsidRPr="005D59A7">
        <w:rPr>
          <w:rFonts w:ascii="T" w:hAnsi="T" w:cs="Simplified Arabic"/>
          <w:sz w:val="24"/>
          <w:szCs w:val="24"/>
        </w:rPr>
        <w:t xml:space="preserve"> </w:t>
      </w:r>
      <w:r w:rsidRPr="005D59A7">
        <w:rPr>
          <w:rFonts w:ascii="T" w:hAnsi="T" w:cs="Simplified Arabic"/>
          <w:sz w:val="24"/>
          <w:szCs w:val="24"/>
          <w:rtl/>
        </w:rPr>
        <w:t>العامة. يؤدي</w:t>
      </w:r>
      <w:r w:rsidR="00665475" w:rsidRPr="005D59A7">
        <w:rPr>
          <w:rFonts w:ascii="T" w:hAnsi="T" w:cs="Simplified Arabic"/>
          <w:sz w:val="24"/>
          <w:szCs w:val="24"/>
        </w:rPr>
        <w:t xml:space="preserve"> </w:t>
      </w:r>
      <w:r w:rsidRPr="005D59A7">
        <w:rPr>
          <w:rFonts w:ascii="T" w:hAnsi="T" w:cs="Simplified Arabic"/>
          <w:sz w:val="24"/>
          <w:szCs w:val="24"/>
          <w:rtl/>
        </w:rPr>
        <w:t>هذا</w:t>
      </w:r>
      <w:r w:rsidR="00665475" w:rsidRPr="005D59A7">
        <w:rPr>
          <w:rFonts w:ascii="T" w:hAnsi="T" w:cs="Simplified Arabic"/>
          <w:sz w:val="24"/>
          <w:szCs w:val="24"/>
        </w:rPr>
        <w:t xml:space="preserve"> </w:t>
      </w:r>
      <w:r w:rsidRPr="005D59A7">
        <w:rPr>
          <w:rFonts w:ascii="T" w:hAnsi="T" w:cs="Simplified Arabic"/>
          <w:sz w:val="24"/>
          <w:szCs w:val="24"/>
          <w:rtl/>
        </w:rPr>
        <w:t>إلى</w:t>
      </w:r>
      <w:r w:rsidR="00665475" w:rsidRPr="005D59A7">
        <w:rPr>
          <w:rFonts w:ascii="T" w:hAnsi="T" w:cs="Simplified Arabic"/>
          <w:sz w:val="24"/>
          <w:szCs w:val="24"/>
        </w:rPr>
        <w:t xml:space="preserve"> </w:t>
      </w:r>
      <w:r w:rsidRPr="005D59A7">
        <w:rPr>
          <w:rFonts w:ascii="T" w:hAnsi="T" w:cs="Simplified Arabic"/>
          <w:sz w:val="24"/>
          <w:szCs w:val="24"/>
          <w:rtl/>
        </w:rPr>
        <w:t>زيادة</w:t>
      </w:r>
      <w:r w:rsidR="00665475" w:rsidRPr="005D59A7">
        <w:rPr>
          <w:rFonts w:ascii="T" w:hAnsi="T" w:cs="Simplified Arabic"/>
          <w:sz w:val="24"/>
          <w:szCs w:val="24"/>
        </w:rPr>
        <w:t xml:space="preserve"> </w:t>
      </w:r>
      <w:r w:rsidRPr="005D59A7">
        <w:rPr>
          <w:rFonts w:ascii="T" w:hAnsi="T" w:cs="Simplified Arabic"/>
          <w:sz w:val="24"/>
          <w:szCs w:val="24"/>
          <w:rtl/>
        </w:rPr>
        <w:t>تكاليف</w:t>
      </w:r>
      <w:r w:rsidR="00665475" w:rsidRPr="005D59A7">
        <w:rPr>
          <w:rFonts w:ascii="T" w:hAnsi="T" w:cs="Simplified Arabic"/>
          <w:sz w:val="24"/>
          <w:szCs w:val="24"/>
        </w:rPr>
        <w:t xml:space="preserve"> </w:t>
      </w:r>
      <w:r w:rsidRPr="005D59A7">
        <w:rPr>
          <w:rFonts w:ascii="T" w:hAnsi="T" w:cs="Simplified Arabic"/>
          <w:sz w:val="24"/>
          <w:szCs w:val="24"/>
          <w:rtl/>
        </w:rPr>
        <w:t>الرعاية</w:t>
      </w:r>
      <w:r w:rsidR="00665475" w:rsidRPr="005D59A7">
        <w:rPr>
          <w:rFonts w:ascii="T" w:hAnsi="T" w:cs="Simplified Arabic"/>
          <w:sz w:val="24"/>
          <w:szCs w:val="24"/>
        </w:rPr>
        <w:t xml:space="preserve"> </w:t>
      </w:r>
      <w:r w:rsidRPr="005D59A7">
        <w:rPr>
          <w:rFonts w:ascii="T" w:hAnsi="T" w:cs="Simplified Arabic"/>
          <w:sz w:val="24"/>
          <w:szCs w:val="24"/>
          <w:rtl/>
        </w:rPr>
        <w:t>الصحية،</w:t>
      </w:r>
      <w:r w:rsidR="00665475" w:rsidRPr="005D59A7">
        <w:rPr>
          <w:rFonts w:ascii="T" w:hAnsi="T" w:cs="Simplified Arabic"/>
          <w:sz w:val="24"/>
          <w:szCs w:val="24"/>
        </w:rPr>
        <w:t xml:space="preserve"> </w:t>
      </w:r>
      <w:r w:rsidRPr="005D59A7">
        <w:rPr>
          <w:rFonts w:ascii="T" w:hAnsi="T" w:cs="Simplified Arabic"/>
          <w:sz w:val="24"/>
          <w:szCs w:val="24"/>
          <w:rtl/>
        </w:rPr>
        <w:t>وانخفاض</w:t>
      </w:r>
      <w:r w:rsidR="00665475" w:rsidRPr="005D59A7">
        <w:rPr>
          <w:rFonts w:ascii="T" w:hAnsi="T" w:cs="Simplified Arabic"/>
          <w:sz w:val="24"/>
          <w:szCs w:val="24"/>
        </w:rPr>
        <w:t xml:space="preserve"> </w:t>
      </w:r>
      <w:r w:rsidRPr="005D59A7">
        <w:rPr>
          <w:rFonts w:ascii="T" w:hAnsi="T" w:cs="Simplified Arabic"/>
          <w:sz w:val="24"/>
          <w:szCs w:val="24"/>
          <w:rtl/>
        </w:rPr>
        <w:t>الإنتاجية</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الأمراض،</w:t>
      </w:r>
      <w:r w:rsidR="00665475" w:rsidRPr="005D59A7">
        <w:rPr>
          <w:rFonts w:ascii="T" w:hAnsi="T" w:cs="Simplified Arabic"/>
          <w:sz w:val="24"/>
          <w:szCs w:val="24"/>
        </w:rPr>
        <w:t xml:space="preserve"> </w:t>
      </w:r>
      <w:r w:rsidRPr="005D59A7">
        <w:rPr>
          <w:rFonts w:ascii="T" w:hAnsi="T" w:cs="Simplified Arabic"/>
          <w:sz w:val="24"/>
          <w:szCs w:val="24"/>
          <w:rtl/>
        </w:rPr>
        <w:t>وارتفاع</w:t>
      </w:r>
      <w:r w:rsidR="00665475" w:rsidRPr="005D59A7">
        <w:rPr>
          <w:rFonts w:ascii="T" w:hAnsi="T" w:cs="Simplified Arabic"/>
          <w:sz w:val="24"/>
          <w:szCs w:val="24"/>
        </w:rPr>
        <w:t xml:space="preserve"> </w:t>
      </w:r>
      <w:r w:rsidRPr="005D59A7">
        <w:rPr>
          <w:rFonts w:ascii="T" w:hAnsi="T" w:cs="Simplified Arabic"/>
          <w:sz w:val="24"/>
          <w:szCs w:val="24"/>
          <w:rtl/>
        </w:rPr>
        <w:t>معدل</w:t>
      </w:r>
      <w:r w:rsidR="00665475" w:rsidRPr="005D59A7">
        <w:rPr>
          <w:rFonts w:ascii="T" w:hAnsi="T" w:cs="Simplified Arabic"/>
          <w:sz w:val="24"/>
          <w:szCs w:val="24"/>
        </w:rPr>
        <w:t xml:space="preserve"> </w:t>
      </w:r>
      <w:r w:rsidRPr="005D59A7">
        <w:rPr>
          <w:rFonts w:ascii="T" w:hAnsi="T" w:cs="Simplified Arabic"/>
          <w:sz w:val="24"/>
          <w:szCs w:val="24"/>
          <w:rtl/>
        </w:rPr>
        <w:t>الإصابة</w:t>
      </w:r>
      <w:r w:rsidR="00665475" w:rsidRPr="005D59A7">
        <w:rPr>
          <w:rFonts w:ascii="T" w:hAnsi="T" w:cs="Simplified Arabic"/>
          <w:sz w:val="24"/>
          <w:szCs w:val="24"/>
        </w:rPr>
        <w:t xml:space="preserve"> </w:t>
      </w:r>
      <w:r w:rsidRPr="005D59A7">
        <w:rPr>
          <w:rFonts w:ascii="T" w:hAnsi="T" w:cs="Simplified Arabic"/>
          <w:sz w:val="24"/>
          <w:szCs w:val="24"/>
          <w:rtl/>
        </w:rPr>
        <w:t>بأمراض</w:t>
      </w:r>
      <w:r w:rsidR="00665475" w:rsidRPr="005D59A7">
        <w:rPr>
          <w:rFonts w:ascii="T" w:hAnsi="T" w:cs="Simplified Arabic"/>
          <w:sz w:val="24"/>
          <w:szCs w:val="24"/>
        </w:rPr>
        <w:t xml:space="preserve"> </w:t>
      </w:r>
      <w:r w:rsidRPr="005D59A7">
        <w:rPr>
          <w:rFonts w:ascii="T" w:hAnsi="T" w:cs="Simplified Arabic"/>
          <w:sz w:val="24"/>
          <w:szCs w:val="24"/>
          <w:rtl/>
        </w:rPr>
        <w:t>مثل</w:t>
      </w:r>
      <w:r w:rsidR="00665475" w:rsidRPr="005D59A7">
        <w:rPr>
          <w:rFonts w:ascii="T" w:hAnsi="T" w:cs="Simplified Arabic"/>
          <w:sz w:val="24"/>
          <w:szCs w:val="24"/>
        </w:rPr>
        <w:t xml:space="preserve"> </w:t>
      </w:r>
      <w:r w:rsidRPr="005D59A7">
        <w:rPr>
          <w:rFonts w:ascii="T" w:hAnsi="T" w:cs="Simplified Arabic"/>
          <w:sz w:val="24"/>
          <w:szCs w:val="24"/>
          <w:rtl/>
        </w:rPr>
        <w:t>أمراض</w:t>
      </w:r>
      <w:r w:rsidR="00665475" w:rsidRPr="005D59A7">
        <w:rPr>
          <w:rFonts w:ascii="T" w:hAnsi="T" w:cs="Simplified Arabic"/>
          <w:sz w:val="24"/>
          <w:szCs w:val="24"/>
        </w:rPr>
        <w:t xml:space="preserve"> </w:t>
      </w:r>
      <w:r w:rsidRPr="005D59A7">
        <w:rPr>
          <w:rFonts w:ascii="T" w:hAnsi="T" w:cs="Simplified Arabic"/>
          <w:sz w:val="24"/>
          <w:szCs w:val="24"/>
          <w:rtl/>
        </w:rPr>
        <w:t>الجهاز</w:t>
      </w:r>
      <w:r w:rsidR="00665475" w:rsidRPr="005D59A7">
        <w:rPr>
          <w:rFonts w:ascii="T" w:hAnsi="T" w:cs="Simplified Arabic"/>
          <w:sz w:val="24"/>
          <w:szCs w:val="24"/>
        </w:rPr>
        <w:t xml:space="preserve"> </w:t>
      </w:r>
      <w:r w:rsidRPr="005D59A7">
        <w:rPr>
          <w:rFonts w:ascii="T" w:hAnsi="T" w:cs="Simplified Arabic"/>
          <w:sz w:val="24"/>
          <w:szCs w:val="24"/>
          <w:rtl/>
        </w:rPr>
        <w:t>التنفسي</w:t>
      </w:r>
      <w:r w:rsidR="00665475" w:rsidRPr="005D59A7">
        <w:rPr>
          <w:rFonts w:ascii="T" w:hAnsi="T" w:cs="Simplified Arabic"/>
          <w:sz w:val="24"/>
          <w:szCs w:val="24"/>
        </w:rPr>
        <w:t xml:space="preserve"> </w:t>
      </w:r>
      <w:r w:rsidRPr="005D59A7">
        <w:rPr>
          <w:rFonts w:ascii="T" w:hAnsi="T" w:cs="Simplified Arabic"/>
          <w:sz w:val="24"/>
          <w:szCs w:val="24"/>
          <w:rtl/>
        </w:rPr>
        <w:t>والسرطان (</w:t>
      </w:r>
      <w:r w:rsidRPr="005D59A7">
        <w:rPr>
          <w:rFonts w:ascii="T" w:hAnsi="T" w:cs="Simplified Arabic"/>
          <w:sz w:val="24"/>
          <w:szCs w:val="24"/>
        </w:rPr>
        <w:t>WHO, 2024</w:t>
      </w:r>
      <w:r w:rsidRPr="005D59A7">
        <w:rPr>
          <w:rFonts w:ascii="T" w:hAnsi="T" w:cs="Simplified Arabic"/>
          <w:sz w:val="24"/>
          <w:szCs w:val="24"/>
          <w:rtl/>
        </w:rPr>
        <w:t>).</w:t>
      </w:r>
    </w:p>
    <w:p w14:paraId="44C786D4" w14:textId="77777777" w:rsidR="00665475"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الاستهلاك</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للموارد: تُعد</w:t>
      </w:r>
      <w:r w:rsidR="00665475" w:rsidRPr="005D59A7">
        <w:rPr>
          <w:rFonts w:ascii="T" w:hAnsi="T" w:cs="Simplified Arabic"/>
          <w:sz w:val="24"/>
          <w:szCs w:val="24"/>
        </w:rPr>
        <w:t xml:space="preserve"> </w:t>
      </w:r>
      <w:r w:rsidRPr="005D59A7">
        <w:rPr>
          <w:rFonts w:ascii="T" w:hAnsi="T" w:cs="Simplified Arabic"/>
          <w:sz w:val="24"/>
          <w:szCs w:val="24"/>
          <w:rtl/>
        </w:rPr>
        <w:t>المملكة</w:t>
      </w:r>
      <w:r w:rsidR="00665475" w:rsidRPr="005D59A7">
        <w:rPr>
          <w:rFonts w:ascii="T" w:hAnsi="T" w:cs="Simplified Arabic"/>
          <w:sz w:val="24"/>
          <w:szCs w:val="24"/>
        </w:rPr>
        <w:t xml:space="preserve"> </w:t>
      </w:r>
      <w:r w:rsidRPr="005D59A7">
        <w:rPr>
          <w:rFonts w:ascii="T" w:hAnsi="T" w:cs="Simplified Arabic"/>
          <w:sz w:val="24"/>
          <w:szCs w:val="24"/>
          <w:rtl/>
        </w:rPr>
        <w:t>العربية</w:t>
      </w:r>
      <w:r w:rsidR="00665475" w:rsidRPr="005D59A7">
        <w:rPr>
          <w:rFonts w:ascii="T" w:hAnsi="T" w:cs="Simplified Arabic"/>
          <w:sz w:val="24"/>
          <w:szCs w:val="24"/>
        </w:rPr>
        <w:t xml:space="preserve"> </w:t>
      </w:r>
      <w:r w:rsidRPr="005D59A7">
        <w:rPr>
          <w:rFonts w:ascii="T" w:hAnsi="T" w:cs="Simplified Arabic"/>
          <w:sz w:val="24"/>
          <w:szCs w:val="24"/>
          <w:rtl/>
        </w:rPr>
        <w:t>السعودية</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مستهلكي</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للفرد</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العالم،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الرغم</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وقوعها</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إحدى</w:t>
      </w:r>
      <w:r w:rsidR="00665475" w:rsidRPr="005D59A7">
        <w:rPr>
          <w:rFonts w:ascii="T" w:hAnsi="T" w:cs="Simplified Arabic"/>
          <w:sz w:val="24"/>
          <w:szCs w:val="24"/>
        </w:rPr>
        <w:t xml:space="preserve"> </w:t>
      </w:r>
      <w:r w:rsidRPr="005D59A7">
        <w:rPr>
          <w:rFonts w:ascii="T" w:hAnsi="T" w:cs="Simplified Arabic"/>
          <w:sz w:val="24"/>
          <w:szCs w:val="24"/>
          <w:rtl/>
        </w:rPr>
        <w:t>أكثر</w:t>
      </w:r>
      <w:r w:rsidR="00665475" w:rsidRPr="005D59A7">
        <w:rPr>
          <w:rFonts w:ascii="T" w:hAnsi="T" w:cs="Simplified Arabic"/>
          <w:sz w:val="24"/>
          <w:szCs w:val="24"/>
        </w:rPr>
        <w:t xml:space="preserve"> </w:t>
      </w:r>
      <w:r w:rsidRPr="005D59A7">
        <w:rPr>
          <w:rFonts w:ascii="T" w:hAnsi="T" w:cs="Simplified Arabic"/>
          <w:sz w:val="24"/>
          <w:szCs w:val="24"/>
          <w:rtl/>
        </w:rPr>
        <w:t>المناطق</w:t>
      </w:r>
      <w:r w:rsidR="00665475" w:rsidRPr="005D59A7">
        <w:rPr>
          <w:rFonts w:ascii="T" w:hAnsi="T" w:cs="Simplified Arabic"/>
          <w:sz w:val="24"/>
          <w:szCs w:val="24"/>
        </w:rPr>
        <w:t xml:space="preserve"> </w:t>
      </w:r>
      <w:r w:rsidRPr="005D59A7">
        <w:rPr>
          <w:rFonts w:ascii="T" w:hAnsi="T" w:cs="Simplified Arabic"/>
          <w:sz w:val="24"/>
          <w:szCs w:val="24"/>
          <w:rtl/>
        </w:rPr>
        <w:t>جفافًا. هذا</w:t>
      </w:r>
      <w:r w:rsidR="00665475" w:rsidRPr="005D59A7">
        <w:rPr>
          <w:rFonts w:ascii="T" w:hAnsi="T" w:cs="Simplified Arabic"/>
          <w:sz w:val="24"/>
          <w:szCs w:val="24"/>
        </w:rPr>
        <w:t xml:space="preserve"> </w:t>
      </w:r>
      <w:r w:rsidRPr="005D59A7">
        <w:rPr>
          <w:rFonts w:ascii="T" w:hAnsi="T" w:cs="Simplified Arabic"/>
          <w:sz w:val="24"/>
          <w:szCs w:val="24"/>
          <w:rtl/>
        </w:rPr>
        <w:t>الاعتماد</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مصادر</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المحدودة،</w:t>
      </w:r>
      <w:r w:rsidR="00665475" w:rsidRPr="005D59A7">
        <w:rPr>
          <w:rFonts w:ascii="T" w:hAnsi="T" w:cs="Simplified Arabic"/>
          <w:sz w:val="24"/>
          <w:szCs w:val="24"/>
        </w:rPr>
        <w:t xml:space="preserve"> </w:t>
      </w:r>
      <w:r w:rsidRPr="005D59A7">
        <w:rPr>
          <w:rFonts w:ascii="T" w:hAnsi="T" w:cs="Simplified Arabic"/>
          <w:sz w:val="24"/>
          <w:szCs w:val="24"/>
          <w:rtl/>
        </w:rPr>
        <w:t>والذي</w:t>
      </w:r>
      <w:r w:rsidR="00665475" w:rsidRPr="005D59A7">
        <w:rPr>
          <w:rFonts w:ascii="T" w:hAnsi="T" w:cs="Simplified Arabic"/>
          <w:sz w:val="24"/>
          <w:szCs w:val="24"/>
        </w:rPr>
        <w:t xml:space="preserve"> </w:t>
      </w:r>
      <w:r w:rsidRPr="005D59A7">
        <w:rPr>
          <w:rFonts w:ascii="T" w:hAnsi="T" w:cs="Simplified Arabic"/>
          <w:sz w:val="24"/>
          <w:szCs w:val="24"/>
          <w:rtl/>
        </w:rPr>
        <w:t>يتفاقم</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التصحر،</w:t>
      </w:r>
      <w:r w:rsidR="00665475" w:rsidRPr="005D59A7">
        <w:rPr>
          <w:rFonts w:ascii="T" w:hAnsi="T" w:cs="Simplified Arabic"/>
          <w:sz w:val="24"/>
          <w:szCs w:val="24"/>
        </w:rPr>
        <w:t xml:space="preserve"> </w:t>
      </w:r>
      <w:r w:rsidRPr="005D59A7">
        <w:rPr>
          <w:rFonts w:ascii="T" w:hAnsi="T" w:cs="Simplified Arabic"/>
          <w:sz w:val="24"/>
          <w:szCs w:val="24"/>
          <w:rtl/>
        </w:rPr>
        <w:t>يُهدد</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توافر</w:t>
      </w:r>
      <w:r w:rsidR="00665475" w:rsidRPr="005D59A7">
        <w:rPr>
          <w:rFonts w:ascii="T" w:hAnsi="T" w:cs="Simplified Arabic"/>
          <w:sz w:val="24"/>
          <w:szCs w:val="24"/>
        </w:rPr>
        <w:t xml:space="preserve"> </w:t>
      </w:r>
      <w:r w:rsidRPr="005D59A7">
        <w:rPr>
          <w:rFonts w:ascii="T" w:hAnsi="T" w:cs="Simplified Arabic"/>
          <w:sz w:val="24"/>
          <w:szCs w:val="24"/>
          <w:rtl/>
        </w:rPr>
        <w:t>الموارد</w:t>
      </w:r>
      <w:r w:rsidR="00665475" w:rsidRPr="005D59A7">
        <w:rPr>
          <w:rFonts w:ascii="T" w:hAnsi="T" w:cs="Simplified Arabic"/>
          <w:sz w:val="24"/>
          <w:szCs w:val="24"/>
        </w:rPr>
        <w:t xml:space="preserve"> </w:t>
      </w:r>
      <w:r w:rsidRPr="005D59A7">
        <w:rPr>
          <w:rFonts w:ascii="T" w:hAnsi="T" w:cs="Simplified Arabic"/>
          <w:sz w:val="24"/>
          <w:szCs w:val="24"/>
          <w:rtl/>
        </w:rPr>
        <w:t>والإنتاجية</w:t>
      </w:r>
      <w:r w:rsidR="00665475" w:rsidRPr="005D59A7">
        <w:rPr>
          <w:rFonts w:ascii="T" w:hAnsi="T" w:cs="Simplified Arabic"/>
          <w:sz w:val="24"/>
          <w:szCs w:val="24"/>
        </w:rPr>
        <w:t xml:space="preserve"> </w:t>
      </w:r>
      <w:r w:rsidRPr="005D59A7">
        <w:rPr>
          <w:rFonts w:ascii="T" w:hAnsi="T" w:cs="Simplified Arabic"/>
          <w:sz w:val="24"/>
          <w:szCs w:val="24"/>
          <w:rtl/>
        </w:rPr>
        <w:t>الزراعية (</w:t>
      </w:r>
      <w:r w:rsidRPr="005D59A7">
        <w:rPr>
          <w:rFonts w:ascii="T" w:hAnsi="T" w:cs="Simplified Arabic"/>
          <w:sz w:val="24"/>
          <w:szCs w:val="24"/>
        </w:rPr>
        <w:t>CITA, 2024</w:t>
      </w:r>
      <w:r w:rsidRPr="005D59A7">
        <w:rPr>
          <w:rFonts w:ascii="T" w:hAnsi="T" w:cs="Simplified Arabic"/>
          <w:sz w:val="24"/>
          <w:szCs w:val="24"/>
          <w:rtl/>
        </w:rPr>
        <w:t>).</w:t>
      </w:r>
    </w:p>
    <w:p w14:paraId="358C3CAC" w14:textId="77777777" w:rsidR="005A5496" w:rsidRPr="005D59A7" w:rsidRDefault="005A5496"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وتكمن أهمية الدراسة في تطوير نموذج شراكة بين القطاعين العام والخاص بتفاصيل دقيقة لخدمة بيئية من اختيار الباحث، وحيث أن الشراكة بين القطاعين العام والخاص حذت نحو اتجاه مختلف وأكثر فاعلية بعد إطلاق رؤية المملكة 2030 وتعد حتى اليوم في مراحل مبدئية عند الأخذ بالاعتبار الخدمات الأساسية والهيكلة التنظيمية.</w:t>
      </w:r>
    </w:p>
    <w:p w14:paraId="60005B2A" w14:textId="1284440D" w:rsidR="00920785" w:rsidRPr="005D59A7" w:rsidRDefault="00FB7749"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ومن هنا، تنبع الأهمية التطبيقية في اختيار خدمة بيئية محددة مثل التفتيش البيئي ودراسة الفجوة الحالية بها من الإجراءات والتكاليف الرأس مالية والتشغيلية، و</w:t>
      </w:r>
      <w:r w:rsidR="005F48DB" w:rsidRPr="005D59A7">
        <w:rPr>
          <w:rFonts w:ascii="T" w:hAnsi="T" w:cs="Simplified Arabic"/>
          <w:sz w:val="24"/>
          <w:szCs w:val="24"/>
          <w:rtl/>
        </w:rPr>
        <w:t>عرض الدراسات السابقة المتوفرة بهذا الخصوص ل</w:t>
      </w:r>
      <w:r w:rsidRPr="005D59A7">
        <w:rPr>
          <w:rFonts w:ascii="T" w:hAnsi="T" w:cs="Simplified Arabic"/>
          <w:sz w:val="24"/>
          <w:szCs w:val="24"/>
          <w:rtl/>
        </w:rPr>
        <w:t>اقتراح نموذج شراكة بين القطاعي</w:t>
      </w:r>
      <w:r w:rsidR="005F48DB" w:rsidRPr="005D59A7">
        <w:rPr>
          <w:rFonts w:ascii="T" w:hAnsi="T" w:cs="Simplified Arabic"/>
          <w:sz w:val="24"/>
          <w:szCs w:val="24"/>
          <w:rtl/>
        </w:rPr>
        <w:t>ن العام والخاص لها</w:t>
      </w:r>
      <w:r w:rsidR="00C54779" w:rsidRPr="005D59A7">
        <w:rPr>
          <w:rFonts w:ascii="T" w:hAnsi="T" w:cs="Simplified Arabic"/>
          <w:sz w:val="24"/>
          <w:szCs w:val="24"/>
          <w:rtl/>
        </w:rPr>
        <w:t xml:space="preserve"> والذي يمكن استخدامه كنموذج للخدمات الأخرى</w:t>
      </w:r>
      <w:r w:rsidR="005F48DB" w:rsidRPr="005D59A7">
        <w:rPr>
          <w:rFonts w:ascii="T" w:hAnsi="T" w:cs="Simplified Arabic"/>
          <w:sz w:val="24"/>
          <w:szCs w:val="24"/>
          <w:rtl/>
        </w:rPr>
        <w:t xml:space="preserve">. </w:t>
      </w:r>
    </w:p>
    <w:tbl>
      <w:tblPr>
        <w:tblStyle w:val="TableGrid"/>
        <w:bidiVisual/>
        <w:tblW w:w="0" w:type="auto"/>
        <w:tblLook w:val="04A0" w:firstRow="1" w:lastRow="0" w:firstColumn="1" w:lastColumn="0" w:noHBand="0" w:noVBand="1"/>
      </w:tblPr>
      <w:tblGrid>
        <w:gridCol w:w="1491"/>
        <w:gridCol w:w="1942"/>
        <w:gridCol w:w="1970"/>
        <w:gridCol w:w="2893"/>
      </w:tblGrid>
      <w:tr w:rsidR="0048002A" w:rsidRPr="005D59A7" w14:paraId="25B06AD0" w14:textId="77777777" w:rsidTr="00285330">
        <w:tc>
          <w:tcPr>
            <w:tcW w:w="0" w:type="auto"/>
            <w:hideMark/>
          </w:tcPr>
          <w:p w14:paraId="21B734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الفائدة المتوقعة</w:t>
            </w:r>
          </w:p>
        </w:tc>
        <w:tc>
          <w:tcPr>
            <w:tcW w:w="0" w:type="auto"/>
            <w:hideMark/>
          </w:tcPr>
          <w:p w14:paraId="0C57456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مؤشر الأداء الرئيسي</w:t>
            </w:r>
            <w:r w:rsidRPr="005D59A7">
              <w:rPr>
                <w:rFonts w:ascii="T" w:hAnsi="T" w:cs="Simplified Arabic"/>
                <w:sz w:val="24"/>
                <w:szCs w:val="24"/>
                <w:shd w:val="clear" w:color="auto" w:fill="FFFFFF"/>
              </w:rPr>
              <w:t xml:space="preserve"> (KPI)</w:t>
            </w:r>
          </w:p>
        </w:tc>
        <w:tc>
          <w:tcPr>
            <w:tcW w:w="0" w:type="auto"/>
            <w:hideMark/>
          </w:tcPr>
          <w:p w14:paraId="0B0F615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c>
          <w:tcPr>
            <w:tcW w:w="0" w:type="auto"/>
            <w:hideMark/>
          </w:tcPr>
          <w:p w14:paraId="6815C1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طريقة القياس</w:t>
            </w:r>
          </w:p>
        </w:tc>
      </w:tr>
      <w:tr w:rsidR="0048002A" w:rsidRPr="005D59A7" w14:paraId="3384437D" w14:textId="77777777" w:rsidTr="00285330">
        <w:tc>
          <w:tcPr>
            <w:tcW w:w="0" w:type="auto"/>
            <w:hideMark/>
          </w:tcPr>
          <w:p w14:paraId="7BFE86C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خفض التكاليف التشغيلية</w:t>
            </w:r>
          </w:p>
        </w:tc>
        <w:tc>
          <w:tcPr>
            <w:tcW w:w="0" w:type="auto"/>
            <w:hideMark/>
          </w:tcPr>
          <w:p w14:paraId="6E864D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تكلفة الزيارة التفتيشية (ريال/زيارة)</w:t>
            </w:r>
          </w:p>
        </w:tc>
        <w:tc>
          <w:tcPr>
            <w:tcW w:w="0" w:type="auto"/>
            <w:hideMark/>
          </w:tcPr>
          <w:p w14:paraId="314998C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6F7696CE"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التكاليف التشغيلية ÷ عدد الزيارات</w:t>
            </w:r>
          </w:p>
        </w:tc>
      </w:tr>
      <w:tr w:rsidR="0048002A" w:rsidRPr="005D59A7" w14:paraId="039CD2B1" w14:textId="77777777" w:rsidTr="00285330">
        <w:tc>
          <w:tcPr>
            <w:tcW w:w="0" w:type="auto"/>
            <w:hideMark/>
          </w:tcPr>
          <w:p w14:paraId="741DE68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رفع كفاءة التغطية</w:t>
            </w:r>
          </w:p>
        </w:tc>
        <w:tc>
          <w:tcPr>
            <w:tcW w:w="0" w:type="auto"/>
            <w:hideMark/>
          </w:tcPr>
          <w:p w14:paraId="3A22AEC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تغطية المنشآت</w:t>
            </w:r>
            <w:r w:rsidRPr="005D59A7">
              <w:rPr>
                <w:rFonts w:ascii="T" w:hAnsi="T" w:cs="Simplified Arabic"/>
                <w:sz w:val="24"/>
                <w:szCs w:val="24"/>
                <w:shd w:val="clear" w:color="auto" w:fill="FFFFFF"/>
              </w:rPr>
              <w:t xml:space="preserve"> (%)</w:t>
            </w:r>
          </w:p>
        </w:tc>
        <w:tc>
          <w:tcPr>
            <w:tcW w:w="0" w:type="auto"/>
            <w:hideMark/>
          </w:tcPr>
          <w:p w14:paraId="5F96DB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3972C92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r>
      <w:tr w:rsidR="0048002A" w:rsidRPr="005D59A7" w14:paraId="2C9F55A4" w14:textId="77777777" w:rsidTr="00285330">
        <w:tc>
          <w:tcPr>
            <w:tcW w:w="0" w:type="auto"/>
            <w:hideMark/>
          </w:tcPr>
          <w:p w14:paraId="324B6FC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جودة الرصد</w:t>
            </w:r>
          </w:p>
        </w:tc>
        <w:tc>
          <w:tcPr>
            <w:tcW w:w="0" w:type="auto"/>
            <w:hideMark/>
          </w:tcPr>
          <w:p w14:paraId="130BBD7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4717E5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107A05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(المخالفات المرفوضة ÷ إجمالي المخالفات المرصودة) × 100</w:t>
            </w:r>
          </w:p>
        </w:tc>
      </w:tr>
      <w:tr w:rsidR="0048002A" w:rsidRPr="005D59A7" w14:paraId="575765B0" w14:textId="77777777" w:rsidTr="00285330">
        <w:tc>
          <w:tcPr>
            <w:tcW w:w="0" w:type="auto"/>
            <w:hideMark/>
          </w:tcPr>
          <w:p w14:paraId="77A5503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زيادة كفاءة الموارد</w:t>
            </w:r>
          </w:p>
        </w:tc>
        <w:tc>
          <w:tcPr>
            <w:tcW w:w="0" w:type="auto"/>
            <w:hideMark/>
          </w:tcPr>
          <w:p w14:paraId="1C032D7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0F30B6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4709A04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المنشآت ÷ عدد المفتشين</w:t>
            </w:r>
          </w:p>
        </w:tc>
      </w:tr>
      <w:tr w:rsidR="0048002A" w:rsidRPr="005D59A7" w14:paraId="34F8AC2E" w14:textId="77777777" w:rsidTr="00285330">
        <w:tc>
          <w:tcPr>
            <w:tcW w:w="0" w:type="auto"/>
            <w:hideMark/>
          </w:tcPr>
          <w:p w14:paraId="4EE5083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سرعة الإجراءات</w:t>
            </w:r>
          </w:p>
        </w:tc>
        <w:tc>
          <w:tcPr>
            <w:tcW w:w="0" w:type="auto"/>
            <w:hideMark/>
          </w:tcPr>
          <w:p w14:paraId="43795324"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متوسط زمن إغلاق المخالفات (أيام)</w:t>
            </w:r>
          </w:p>
        </w:tc>
        <w:tc>
          <w:tcPr>
            <w:tcW w:w="0" w:type="auto"/>
            <w:hideMark/>
          </w:tcPr>
          <w:p w14:paraId="20775D2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1E3D692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زمن إغلاق المخالفات ÷ عدد المخالفات</w:t>
            </w:r>
          </w:p>
        </w:tc>
      </w:tr>
      <w:tr w:rsidR="0048002A" w:rsidRPr="005D59A7" w14:paraId="268506AF" w14:textId="77777777" w:rsidTr="00285330">
        <w:tc>
          <w:tcPr>
            <w:tcW w:w="0" w:type="auto"/>
            <w:hideMark/>
          </w:tcPr>
          <w:p w14:paraId="42F2297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تحقيق الاستدامة المالية</w:t>
            </w:r>
          </w:p>
        </w:tc>
        <w:tc>
          <w:tcPr>
            <w:tcW w:w="0" w:type="auto"/>
            <w:hideMark/>
          </w:tcPr>
          <w:p w14:paraId="5F2DA26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w:t>
            </w:r>
            <w:r w:rsidRPr="005D59A7">
              <w:rPr>
                <w:rFonts w:ascii="T" w:hAnsi="T" w:cs="Simplified Arabic"/>
                <w:sz w:val="24"/>
                <w:szCs w:val="24"/>
                <w:shd w:val="clear" w:color="auto" w:fill="FFFFFF"/>
              </w:rPr>
              <w:t xml:space="preserve"> (%)</w:t>
            </w:r>
          </w:p>
        </w:tc>
        <w:tc>
          <w:tcPr>
            <w:tcW w:w="0" w:type="auto"/>
            <w:hideMark/>
          </w:tcPr>
          <w:p w14:paraId="74BB4F82"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0E61A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(الإيرادات ÷ التكاليف) × 100</w:t>
            </w:r>
          </w:p>
        </w:tc>
      </w:tr>
    </w:tbl>
    <w:p w14:paraId="08B63B72" w14:textId="77777777" w:rsidR="00C41994" w:rsidRPr="005D59A7" w:rsidRDefault="00C11026" w:rsidP="00410D73">
      <w:pPr>
        <w:pStyle w:val="Heading1"/>
        <w:bidi/>
        <w:spacing w:line="360" w:lineRule="auto"/>
        <w:rPr>
          <w:rFonts w:ascii="T" w:eastAsia="Times New Roman" w:hAnsi="T" w:cs="Simplified Arabic"/>
          <w:b/>
          <w:bCs/>
          <w:color w:val="auto"/>
          <w:sz w:val="24"/>
          <w:szCs w:val="24"/>
          <w:rtl/>
        </w:rPr>
      </w:pPr>
      <w:bookmarkStart w:id="12" w:name="_Toc233202788"/>
      <w:r w:rsidRPr="005D59A7">
        <w:rPr>
          <w:rFonts w:ascii="T" w:eastAsia="Times New Roman" w:hAnsi="T" w:cs="Simplified Arabic"/>
          <w:b/>
          <w:bCs/>
          <w:color w:val="auto"/>
          <w:sz w:val="24"/>
          <w:szCs w:val="24"/>
          <w:rtl/>
        </w:rPr>
        <w:t>أ</w:t>
      </w:r>
      <w:r w:rsidR="00A16E60" w:rsidRPr="005D59A7">
        <w:rPr>
          <w:rFonts w:ascii="T" w:eastAsia="Times New Roman" w:hAnsi="T" w:cs="Simplified Arabic"/>
          <w:b/>
          <w:bCs/>
          <w:color w:val="auto"/>
          <w:sz w:val="24"/>
          <w:szCs w:val="24"/>
          <w:rtl/>
        </w:rPr>
        <w:t>هد</w:t>
      </w:r>
      <w:r w:rsidRPr="005D59A7">
        <w:rPr>
          <w:rFonts w:ascii="T" w:eastAsia="Times New Roman" w:hAnsi="T" w:cs="Simplified Arabic"/>
          <w:b/>
          <w:bCs/>
          <w:color w:val="auto"/>
          <w:sz w:val="24"/>
          <w:szCs w:val="24"/>
          <w:rtl/>
        </w:rPr>
        <w:t>ا</w:t>
      </w:r>
      <w:r w:rsidR="00A16E60" w:rsidRPr="005D59A7">
        <w:rPr>
          <w:rFonts w:ascii="T" w:eastAsia="Times New Roman" w:hAnsi="T" w:cs="Simplified Arabic"/>
          <w:b/>
          <w:bCs/>
          <w:color w:val="auto"/>
          <w:sz w:val="24"/>
          <w:szCs w:val="24"/>
          <w:rtl/>
        </w:rPr>
        <w:t>ف الدراسة:</w:t>
      </w:r>
      <w:bookmarkEnd w:id="12"/>
    </w:p>
    <w:p w14:paraId="5F0D662B"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تهدف هذه الدراسة إلى تطوير نموذج شراكة فعّال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لتقديم خدمة التفتيش البيئي في المملكة العربية السعودية، استنادًا إلى البيانات المتاحة للفترة (2019–2022)، وبما يتوافق مع مستهدفات رؤية السعودية 2030، وذلك بهدف تعزيز كفاءة الأداء التشغيلي، وتحقيق الاستدامة المالية، ورفع مستوى الامتثال البيئي. كما تسعى الدراسة إلى دعم توجهات إعادة هيكلة القطاع البيئي المنبثقة عن الإستراتيجية الوطنية للبيئة، من خلال تقديم إطار تحليلي وتطبيقي متكامل لنمذجة الشراكات في الخدمات الرقابية</w:t>
      </w:r>
      <w:r w:rsidRPr="005D59A7">
        <w:rPr>
          <w:rFonts w:ascii="T" w:hAnsi="T" w:cs="Simplified Arabic"/>
          <w:sz w:val="24"/>
          <w:szCs w:val="24"/>
        </w:rPr>
        <w:t>.</w:t>
      </w:r>
    </w:p>
    <w:p w14:paraId="6EE4CC3A"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وينبثق عن هذا الهدف العام مجموعة من الأهداف الفرعية، تم هيكلتها بما يتوافق مع منهجية التحليل المعتمدة في الدراسة، على النحو التالي</w:t>
      </w:r>
      <w:r w:rsidRPr="005D59A7">
        <w:rPr>
          <w:rFonts w:ascii="T" w:hAnsi="T" w:cs="Simplified Arabic"/>
          <w:sz w:val="24"/>
          <w:szCs w:val="24"/>
        </w:rPr>
        <w:t>:</w:t>
      </w:r>
    </w:p>
    <w:p w14:paraId="3FC04479" w14:textId="48821F4A"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وتوصيف مؤشرات الأداء الحالية لخدمة التفتيش البيئي كما تقدمها المركز الوطني للرقابة على الالتزام البيئي، من حيث الكفاءة التشغيلية، جودة المخرجات، مستوى التغطية، وآلية التوريد التقليدية، بهدف بناء قاعدة مرجعية دقيقة</w:t>
      </w:r>
      <w:r w:rsidRPr="005D59A7">
        <w:rPr>
          <w:rFonts w:ascii="T" w:hAnsi="T" w:cs="Simplified Arabic"/>
          <w:sz w:val="24"/>
          <w:szCs w:val="24"/>
        </w:rPr>
        <w:t xml:space="preserve"> </w:t>
      </w:r>
      <w:r w:rsidRPr="005D59A7">
        <w:rPr>
          <w:rFonts w:ascii="T" w:hAnsi="T" w:cs="Simplified Arabic"/>
          <w:sz w:val="24"/>
          <w:szCs w:val="24"/>
          <w:rtl/>
        </w:rPr>
        <w:t>تمكّن من إجراء المقارنات التحليلية اللاحقة</w:t>
      </w:r>
      <w:r w:rsidRPr="005D59A7">
        <w:rPr>
          <w:rFonts w:ascii="T" w:hAnsi="T" w:cs="Simplified Arabic"/>
          <w:sz w:val="24"/>
          <w:szCs w:val="24"/>
        </w:rPr>
        <w:t>.</w:t>
      </w:r>
    </w:p>
    <w:p w14:paraId="565567EB"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تحديد وتحليل أوجه القصور والاختلال في النموذج الحالي لتقديم الخدمة، سواء على المستوى التشغيلي أو المؤسسي أو التعاقدي، وربط هذه الفجوات بمؤشرات الأداء الفعلية، بما يسهم في تفسير أسباب انخفاض الكفاءة وجودة المخرجات</w:t>
      </w:r>
      <w:r w:rsidRPr="005D59A7">
        <w:rPr>
          <w:rFonts w:ascii="T" w:hAnsi="T" w:cs="Simplified Arabic"/>
          <w:sz w:val="24"/>
          <w:szCs w:val="24"/>
        </w:rPr>
        <w:t>.</w:t>
      </w:r>
    </w:p>
    <w:p w14:paraId="6E2AFA85" w14:textId="02846615" w:rsidR="00E6351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إجراء تحليل جدوى متكامل يركز على تقييم كفاءة النموذج الحالي مقارنة بالنماذج البديلة، وذلك من خلال</w:t>
      </w:r>
      <w:r w:rsidR="00E6351B" w:rsidRPr="005D59A7">
        <w:rPr>
          <w:rFonts w:ascii="T" w:hAnsi="T" w:cs="Simplified Arabic"/>
          <w:sz w:val="24"/>
          <w:szCs w:val="24"/>
          <w:rtl/>
        </w:rPr>
        <w:t xml:space="preserve"> تحليل مؤشر التكلفة التشغيلية للزيارة التفتيشية، وحساب التكلفة الحالية وتقدير التكلفة المستهدفة في ظل نموذج الشراكة، مع تحليل الإيرادات المحتملة وفجوة التمويل.</w:t>
      </w:r>
    </w:p>
    <w:p w14:paraId="18B373F8"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مجموعة من النماذج التعاقدية المناسبة لتقديم خدمة التفتيش البيئي، مثل نماذج التشغيل والصيانة</w:t>
      </w:r>
      <w:r w:rsidRPr="005D59A7">
        <w:rPr>
          <w:rFonts w:ascii="T" w:hAnsi="T" w:cs="Simplified Arabic"/>
          <w:sz w:val="24"/>
          <w:szCs w:val="24"/>
        </w:rPr>
        <w:t xml:space="preserve"> (O&amp;M/DBO)</w:t>
      </w:r>
      <w:r w:rsidRPr="005D59A7">
        <w:rPr>
          <w:rFonts w:ascii="T" w:hAnsi="T" w:cs="Simplified Arabic"/>
          <w:sz w:val="24"/>
          <w:szCs w:val="24"/>
          <w:rtl/>
        </w:rPr>
        <w:t>، ونماذج التصميم والبناء والتمويل والتشغيل</w:t>
      </w:r>
      <w:r w:rsidRPr="005D59A7">
        <w:rPr>
          <w:rFonts w:ascii="T" w:hAnsi="T" w:cs="Simplified Arabic"/>
          <w:sz w:val="24"/>
          <w:szCs w:val="24"/>
        </w:rPr>
        <w:t xml:space="preserve"> (DBFM)</w:t>
      </w:r>
      <w:r w:rsidRPr="005D59A7">
        <w:rPr>
          <w:rFonts w:ascii="T" w:hAnsi="T" w:cs="Simplified Arabic"/>
          <w:sz w:val="24"/>
          <w:szCs w:val="24"/>
          <w:rtl/>
        </w:rPr>
        <w:t>، ونماذج التعهيد المتقدم، مع تحليل مزايا وقيود كل نموذج من حيث الكفاءة والمرونة وقابلية التطبيق في السياق التنظيمي البيئي</w:t>
      </w:r>
      <w:r w:rsidRPr="005D59A7">
        <w:rPr>
          <w:rFonts w:ascii="T" w:hAnsi="T" w:cs="Simplified Arabic"/>
          <w:sz w:val="24"/>
          <w:szCs w:val="24"/>
        </w:rPr>
        <w:t>.</w:t>
      </w:r>
    </w:p>
    <w:p w14:paraId="41E7613C"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إعداد إطار تحليلي شامل لتحديد وتصنيف المخاطر المرتبطة بتطبيق نماذج</w:t>
      </w:r>
      <w:r w:rsidRPr="005D59A7">
        <w:rPr>
          <w:rFonts w:ascii="T" w:hAnsi="T" w:cs="Simplified Arabic"/>
          <w:sz w:val="24"/>
          <w:szCs w:val="24"/>
        </w:rPr>
        <w:t xml:space="preserve"> PPP </w:t>
      </w:r>
      <w:r w:rsidRPr="005D59A7">
        <w:rPr>
          <w:rFonts w:ascii="T" w:hAnsi="T" w:cs="Simplified Arabic"/>
          <w:sz w:val="24"/>
          <w:szCs w:val="24"/>
          <w:rtl/>
        </w:rPr>
        <w:t>في التفتيش البيئي، بما يشمل المخاطر التشغيلية والمالية والتنظيمية، واستخدام أدوات تحليل استراتيجية مثل</w:t>
      </w:r>
      <w:r w:rsidRPr="005D59A7">
        <w:rPr>
          <w:rFonts w:ascii="T" w:hAnsi="T" w:cs="Simplified Arabic"/>
          <w:sz w:val="24"/>
          <w:szCs w:val="24"/>
        </w:rPr>
        <w:t xml:space="preserve"> SWOT </w:t>
      </w:r>
      <w:r w:rsidRPr="005D59A7">
        <w:rPr>
          <w:rFonts w:ascii="T" w:hAnsi="T" w:cs="Simplified Arabic"/>
          <w:sz w:val="24"/>
          <w:szCs w:val="24"/>
          <w:rtl/>
        </w:rPr>
        <w:t>و</w:t>
      </w:r>
      <w:r w:rsidRPr="005D59A7">
        <w:rPr>
          <w:rFonts w:ascii="T" w:hAnsi="T" w:cs="Simplified Arabic"/>
          <w:sz w:val="24"/>
          <w:szCs w:val="24"/>
        </w:rPr>
        <w:t>PESTEL</w:t>
      </w:r>
      <w:r w:rsidRPr="005D59A7">
        <w:rPr>
          <w:rFonts w:ascii="T" w:hAnsi="T" w:cs="Simplified Arabic"/>
          <w:sz w:val="24"/>
          <w:szCs w:val="24"/>
          <w:rtl/>
        </w:rPr>
        <w:t>، ومن ثم تطوير مصفوفة لتوزيع هذه المخاطر بين القطاعين العام والخاص بما يحقق التوازن ويعزز الكفاءة</w:t>
      </w:r>
      <w:r w:rsidRPr="005D59A7">
        <w:rPr>
          <w:rFonts w:ascii="T" w:hAnsi="T" w:cs="Simplified Arabic"/>
          <w:sz w:val="24"/>
          <w:szCs w:val="24"/>
        </w:rPr>
        <w:t>.</w:t>
      </w:r>
    </w:p>
    <w:p w14:paraId="131D8D67"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وتطوير نماذج تسعير مبتكرة لخدمة التفتيش البيئي، تشمل ربط الرسوم بمستوى المخاطر البيئية للمنشآت، وتطبيق آليات الدفع مقابل الأداء، وتقييم سيناريوهات تحقيق التوازن المالي أو الفائض، بما يدعم استدامة التمويل ويحفز الامتثال</w:t>
      </w:r>
      <w:r w:rsidRPr="005D59A7">
        <w:rPr>
          <w:rFonts w:ascii="T" w:hAnsi="T" w:cs="Simplified Arabic"/>
          <w:sz w:val="24"/>
          <w:szCs w:val="24"/>
        </w:rPr>
        <w:t>.</w:t>
      </w:r>
    </w:p>
    <w:p w14:paraId="3E92BB83"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تجميع مخرجات التحليل السابقة في نموذج تطبيقي متكامل يوضح آلية تنفيذ الشراكة بين القطاعين العام والخاص في خدمة التفتيش البيئي، متضمنًا هيكل الحوكمة، وآليات التعاقد، ومؤشرات الأداء، ونموذج التمويل</w:t>
      </w:r>
      <w:r w:rsidRPr="005D59A7">
        <w:rPr>
          <w:rFonts w:ascii="T" w:hAnsi="T" w:cs="Simplified Arabic"/>
          <w:sz w:val="24"/>
          <w:szCs w:val="24"/>
        </w:rPr>
        <w:t>.</w:t>
      </w:r>
    </w:p>
    <w:p w14:paraId="325276B2" w14:textId="0984F74C" w:rsidR="00920785" w:rsidRPr="005D59A7" w:rsidRDefault="006E7C5B"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صياغة مجموعة من التوصيات التطبيقية الموجهة لصناع القرار، بما يدعم تحسين كفاءة الخدمة، وتعزيز الحوكمة، وتوسيع مشاركة القطاع الخاص، وتحقيق مستهدفات برنامج التحول الوطني، وضمان الاستدامة البيئية والمالية على المدى الطويل.</w:t>
      </w:r>
    </w:p>
    <w:p w14:paraId="20A0470F" w14:textId="77777777" w:rsidR="00694E3F" w:rsidRPr="005D59A7" w:rsidRDefault="006E5511" w:rsidP="00410D73">
      <w:pPr>
        <w:pStyle w:val="Heading1"/>
        <w:bidi/>
        <w:spacing w:line="360" w:lineRule="auto"/>
        <w:rPr>
          <w:rFonts w:ascii="T" w:eastAsia="Times New Roman" w:hAnsi="T" w:cs="Simplified Arabic"/>
          <w:b/>
          <w:bCs/>
          <w:color w:val="auto"/>
          <w:sz w:val="24"/>
          <w:szCs w:val="24"/>
        </w:rPr>
      </w:pPr>
      <w:bookmarkStart w:id="13" w:name="_Toc233202789"/>
      <w:r w:rsidRPr="005D59A7">
        <w:rPr>
          <w:rFonts w:ascii="T" w:eastAsia="Times New Roman" w:hAnsi="T" w:cs="Simplified Arabic"/>
          <w:b/>
          <w:bCs/>
          <w:color w:val="auto"/>
          <w:sz w:val="24"/>
          <w:szCs w:val="24"/>
          <w:rtl/>
        </w:rPr>
        <w:t>مفاهيم الدراسة:</w:t>
      </w:r>
      <w:bookmarkEnd w:id="13"/>
    </w:p>
    <w:p w14:paraId="3FD2CD5C" w14:textId="77777777" w:rsidR="00694E3F" w:rsidRPr="005D59A7" w:rsidRDefault="006E5511" w:rsidP="00410D73">
      <w:pPr>
        <w:pStyle w:val="Heading2"/>
        <w:bidi/>
        <w:rPr>
          <w:rFonts w:ascii="T" w:hAnsi="T" w:cs="Simplified Arabic"/>
          <w:color w:val="auto"/>
          <w:sz w:val="24"/>
          <w:szCs w:val="24"/>
          <w:rtl/>
        </w:rPr>
      </w:pPr>
      <w:bookmarkStart w:id="14" w:name="_Toc233202790"/>
      <w:r w:rsidRPr="005D59A7">
        <w:rPr>
          <w:rFonts w:ascii="T" w:hAnsi="T" w:cs="Simplified Arabic"/>
          <w:color w:val="auto"/>
          <w:sz w:val="24"/>
          <w:szCs w:val="24"/>
          <w:rtl/>
        </w:rPr>
        <w:t>المفاهيم ال</w:t>
      </w:r>
      <w:r w:rsidR="00694E3F" w:rsidRPr="005D59A7">
        <w:rPr>
          <w:rFonts w:ascii="T" w:hAnsi="T" w:cs="Simplified Arabic"/>
          <w:color w:val="auto"/>
          <w:sz w:val="24"/>
          <w:szCs w:val="24"/>
          <w:rtl/>
        </w:rPr>
        <w:t>اص</w:t>
      </w:r>
      <w:r w:rsidRPr="005D59A7">
        <w:rPr>
          <w:rFonts w:ascii="T" w:hAnsi="T" w:cs="Simplified Arabic"/>
          <w:color w:val="auto"/>
          <w:sz w:val="24"/>
          <w:szCs w:val="24"/>
          <w:rtl/>
        </w:rPr>
        <w:t>طلاحية</w:t>
      </w:r>
      <w:bookmarkEnd w:id="14"/>
    </w:p>
    <w:p w14:paraId="151D2422" w14:textId="6A087472" w:rsidR="009B69C0"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برنامج</w:t>
      </w:r>
      <w:r w:rsidRPr="005D59A7">
        <w:rPr>
          <w:rFonts w:ascii="T" w:hAnsi="T" w:cs="Simplified Arabic"/>
          <w:sz w:val="24"/>
          <w:szCs w:val="24"/>
        </w:rPr>
        <w:t xml:space="preserve"> </w:t>
      </w:r>
      <w:r w:rsidRPr="005D59A7">
        <w:rPr>
          <w:rFonts w:ascii="T" w:hAnsi="T" w:cs="Simplified Arabic"/>
          <w:sz w:val="24"/>
          <w:szCs w:val="24"/>
          <w:rtl/>
        </w:rPr>
        <w:t>التحول</w:t>
      </w:r>
      <w:r w:rsidRPr="005D59A7">
        <w:rPr>
          <w:rFonts w:ascii="T" w:hAnsi="T" w:cs="Simplified Arabic"/>
          <w:sz w:val="24"/>
          <w:szCs w:val="24"/>
        </w:rPr>
        <w:t xml:space="preserve"> </w:t>
      </w:r>
      <w:r w:rsidRPr="005D59A7">
        <w:rPr>
          <w:rFonts w:ascii="T" w:hAnsi="T" w:cs="Simplified Arabic"/>
          <w:sz w:val="24"/>
          <w:szCs w:val="24"/>
          <w:rtl/>
        </w:rPr>
        <w:t>الوطني (</w:t>
      </w:r>
      <w:r w:rsidRPr="005D59A7">
        <w:rPr>
          <w:rFonts w:ascii="T" w:hAnsi="T" w:cs="Simplified Arabic"/>
          <w:sz w:val="24"/>
          <w:szCs w:val="24"/>
        </w:rPr>
        <w:t>NTP</w:t>
      </w:r>
      <w:r w:rsidRPr="005D59A7">
        <w:rPr>
          <w:rFonts w:ascii="T" w:hAnsi="T" w:cs="Simplified Arabic"/>
          <w:sz w:val="24"/>
          <w:szCs w:val="24"/>
          <w:rtl/>
        </w:rPr>
        <w:t>): البرنامج الذي استندت عليه رؤية المملكة 2030 في إعادة هيكلة الجهات الحكومية والربط بينها ويشمل خدمات رقمية حكومية سهلة، توفير الجهد والوقت، بالإضافة إلى تعزيز دور القطاع الخاص ليشارك في تسهيل حياة المواطنين (</w:t>
      </w:r>
      <w:r w:rsidRPr="005D59A7">
        <w:rPr>
          <w:rFonts w:ascii="T" w:hAnsi="T" w:cs="Simplified Arabic"/>
          <w:sz w:val="24"/>
          <w:szCs w:val="24"/>
        </w:rPr>
        <w:t>Vision 2030, 2025</w:t>
      </w:r>
      <w:r w:rsidRPr="005D59A7">
        <w:rPr>
          <w:rFonts w:ascii="T" w:hAnsi="T" w:cs="Simplified Arabic"/>
          <w:sz w:val="24"/>
          <w:szCs w:val="24"/>
          <w:rtl/>
        </w:rPr>
        <w:t>) (</w:t>
      </w:r>
      <w:proofErr w:type="spellStart"/>
      <w:r w:rsidR="00747729" w:rsidRPr="005D59A7">
        <w:rPr>
          <w:rFonts w:ascii="T" w:hAnsi="T" w:cs="Simplified Arabic"/>
          <w:sz w:val="24"/>
          <w:szCs w:val="24"/>
        </w:rPr>
        <w:t>Alkhurayji,et</w:t>
      </w:r>
      <w:proofErr w:type="spellEnd"/>
      <w:r w:rsidR="00747729" w:rsidRPr="005D59A7">
        <w:rPr>
          <w:rFonts w:ascii="T" w:hAnsi="T" w:cs="Simplified Arabic"/>
          <w:sz w:val="24"/>
          <w:szCs w:val="24"/>
        </w:rPr>
        <w:t xml:space="preserve"> al ,2024</w:t>
      </w:r>
      <w:r w:rsidRPr="005D59A7">
        <w:rPr>
          <w:rFonts w:ascii="T" w:hAnsi="T" w:cs="Simplified Arabic"/>
          <w:sz w:val="24"/>
          <w:szCs w:val="24"/>
          <w:rtl/>
        </w:rPr>
        <w:t>).</w:t>
      </w:r>
    </w:p>
    <w:p w14:paraId="19FFDA6F" w14:textId="7269D7CB"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lastRenderedPageBreak/>
        <w:t>الإستراتيجية</w:t>
      </w:r>
      <w:r w:rsidRPr="005D59A7">
        <w:rPr>
          <w:rFonts w:ascii="T" w:hAnsi="T" w:cs="Simplified Arabic"/>
          <w:sz w:val="24"/>
          <w:szCs w:val="24"/>
        </w:rPr>
        <w:t xml:space="preserve"> </w:t>
      </w:r>
      <w:r w:rsidRPr="005D59A7">
        <w:rPr>
          <w:rFonts w:ascii="T" w:hAnsi="T" w:cs="Simplified Arabic"/>
          <w:sz w:val="24"/>
          <w:szCs w:val="24"/>
          <w:rtl/>
        </w:rPr>
        <w:t>الوطنية</w:t>
      </w:r>
      <w:r w:rsidRPr="005D59A7">
        <w:rPr>
          <w:rFonts w:ascii="T" w:hAnsi="T" w:cs="Simplified Arabic"/>
          <w:sz w:val="24"/>
          <w:szCs w:val="24"/>
        </w:rPr>
        <w:t xml:space="preserve"> </w:t>
      </w:r>
      <w:r w:rsidRPr="005D59A7">
        <w:rPr>
          <w:rFonts w:ascii="T" w:hAnsi="T" w:cs="Simplified Arabic"/>
          <w:sz w:val="24"/>
          <w:szCs w:val="24"/>
          <w:rtl/>
        </w:rPr>
        <w:t>للبيئة (</w:t>
      </w:r>
      <w:r w:rsidRPr="005D59A7">
        <w:rPr>
          <w:rFonts w:ascii="T" w:hAnsi="T" w:cs="Simplified Arabic"/>
          <w:sz w:val="24"/>
          <w:szCs w:val="24"/>
        </w:rPr>
        <w:t>NET</w:t>
      </w:r>
      <w:r w:rsidRPr="005D59A7">
        <w:rPr>
          <w:rFonts w:ascii="T" w:hAnsi="T" w:cs="Simplified Arabic"/>
          <w:sz w:val="24"/>
          <w:szCs w:val="24"/>
          <w:rtl/>
        </w:rPr>
        <w:t>): الإستراتيجية المعنية بإعادة هيكلة قطاع البيئة والتي تم إطلاقها من قبل وزارة البيئة والمياه والزراعة والتي تشمل الدراسات المرجعية والميزانيات التشغيلية وإطلاق المراكز الوطنية البيئية الخمسة وصندوق البيئة</w:t>
      </w:r>
      <w:r w:rsidRPr="005D59A7">
        <w:rPr>
          <w:rFonts w:ascii="T" w:hAnsi="T" w:cs="Simplified Arabic"/>
          <w:sz w:val="24"/>
          <w:szCs w:val="24"/>
        </w:rPr>
        <w:t xml:space="preserve"> </w:t>
      </w:r>
      <w:r w:rsidR="00747729" w:rsidRPr="005D59A7">
        <w:rPr>
          <w:rFonts w:ascii="T" w:hAnsi="T" w:cs="Simplified Arabic"/>
          <w:sz w:val="24"/>
          <w:szCs w:val="24"/>
        </w:rPr>
        <w:t>(</w:t>
      </w:r>
      <w:proofErr w:type="spellStart"/>
      <w:r w:rsidR="00747729" w:rsidRPr="005D59A7">
        <w:rPr>
          <w:rFonts w:ascii="T" w:hAnsi="T" w:cs="Simplified Arabic"/>
          <w:sz w:val="24"/>
          <w:szCs w:val="24"/>
        </w:rPr>
        <w:t>Alshuwaikhat</w:t>
      </w:r>
      <w:proofErr w:type="spellEnd"/>
      <w:r w:rsidR="00747729" w:rsidRPr="005D59A7">
        <w:rPr>
          <w:rFonts w:ascii="T" w:hAnsi="T" w:cs="Simplified Arabic"/>
          <w:sz w:val="24"/>
          <w:szCs w:val="24"/>
        </w:rPr>
        <w:t xml:space="preserve"> ,et al ,2023)</w:t>
      </w:r>
      <w:r w:rsidRPr="005D59A7">
        <w:rPr>
          <w:rFonts w:ascii="T" w:hAnsi="T" w:cs="Simplified Arabic"/>
          <w:sz w:val="24"/>
          <w:szCs w:val="24"/>
          <w:rtl/>
        </w:rPr>
        <w:t>.</w:t>
      </w:r>
    </w:p>
    <w:p w14:paraId="076BA301" w14:textId="21DD5FE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وزارة</w:t>
      </w:r>
      <w:r w:rsidRPr="005D59A7">
        <w:rPr>
          <w:rFonts w:ascii="T" w:hAnsi="T" w:cs="Simplified Arabic"/>
          <w:sz w:val="24"/>
          <w:szCs w:val="24"/>
        </w:rPr>
        <w:t xml:space="preserve"> </w:t>
      </w:r>
      <w:r w:rsidRPr="005D59A7">
        <w:rPr>
          <w:rFonts w:ascii="T" w:hAnsi="T" w:cs="Simplified Arabic"/>
          <w:sz w:val="24"/>
          <w:szCs w:val="24"/>
          <w:rtl/>
        </w:rPr>
        <w:t>البيئة</w:t>
      </w:r>
      <w:r w:rsidRPr="005D59A7">
        <w:rPr>
          <w:rFonts w:ascii="T" w:hAnsi="T" w:cs="Simplified Arabic"/>
          <w:sz w:val="24"/>
          <w:szCs w:val="24"/>
        </w:rPr>
        <w:t xml:space="preserve"> </w:t>
      </w:r>
      <w:r w:rsidRPr="005D59A7">
        <w:rPr>
          <w:rFonts w:ascii="T" w:hAnsi="T" w:cs="Simplified Arabic"/>
          <w:sz w:val="24"/>
          <w:szCs w:val="24"/>
          <w:rtl/>
        </w:rPr>
        <w:t>والمياه</w:t>
      </w:r>
      <w:r w:rsidRPr="005D59A7">
        <w:rPr>
          <w:rFonts w:ascii="T" w:hAnsi="T" w:cs="Simplified Arabic"/>
          <w:sz w:val="24"/>
          <w:szCs w:val="24"/>
        </w:rPr>
        <w:t xml:space="preserve"> </w:t>
      </w:r>
      <w:r w:rsidRPr="005D59A7">
        <w:rPr>
          <w:rFonts w:ascii="T" w:hAnsi="T" w:cs="Simplified Arabic"/>
          <w:sz w:val="24"/>
          <w:szCs w:val="24"/>
          <w:rtl/>
        </w:rPr>
        <w:t>والزراعة (</w:t>
      </w:r>
      <w:r w:rsidRPr="005D59A7">
        <w:rPr>
          <w:rFonts w:ascii="T" w:hAnsi="T" w:cs="Simplified Arabic"/>
          <w:sz w:val="24"/>
          <w:szCs w:val="24"/>
        </w:rPr>
        <w:t>MEWA</w:t>
      </w:r>
      <w:r w:rsidRPr="005D59A7">
        <w:rPr>
          <w:rFonts w:ascii="T" w:hAnsi="T" w:cs="Simplified Arabic"/>
          <w:sz w:val="24"/>
          <w:szCs w:val="24"/>
          <w:rtl/>
        </w:rPr>
        <w:t xml:space="preserve">): الجهة الحكومية الرئيسية المسؤولة عن السياسات البيئية والتشريعات والتخطيط. </w:t>
      </w:r>
      <w:r w:rsidR="00747729" w:rsidRPr="005D59A7">
        <w:rPr>
          <w:rFonts w:ascii="T" w:hAnsi="T" w:cs="Simplified Arabic"/>
          <w:sz w:val="24"/>
          <w:szCs w:val="24"/>
          <w:rtl/>
        </w:rPr>
        <w:t>(</w:t>
      </w:r>
      <w:proofErr w:type="spellStart"/>
      <w:r w:rsidR="00747729" w:rsidRPr="005D59A7">
        <w:rPr>
          <w:rFonts w:ascii="T" w:hAnsi="T" w:cs="Simplified Arabic"/>
          <w:sz w:val="24"/>
          <w:szCs w:val="24"/>
        </w:rPr>
        <w:t>Odnoletkova</w:t>
      </w:r>
      <w:proofErr w:type="spellEnd"/>
      <w:r w:rsidR="00747729" w:rsidRPr="005D59A7">
        <w:rPr>
          <w:rFonts w:ascii="T" w:hAnsi="T" w:cs="Simplified Arabic"/>
          <w:sz w:val="24"/>
          <w:szCs w:val="24"/>
        </w:rPr>
        <w:t xml:space="preserve"> &amp; </w:t>
      </w:r>
      <w:proofErr w:type="spellStart"/>
      <w:r w:rsidR="00747729" w:rsidRPr="005D59A7">
        <w:rPr>
          <w:rFonts w:ascii="T" w:hAnsi="T" w:cs="Simplified Arabic"/>
          <w:sz w:val="24"/>
          <w:szCs w:val="24"/>
        </w:rPr>
        <w:t>Patzek</w:t>
      </w:r>
      <w:proofErr w:type="spellEnd"/>
      <w:r w:rsidR="00747729" w:rsidRPr="005D59A7">
        <w:rPr>
          <w:rFonts w:ascii="T" w:hAnsi="T" w:cs="Simplified Arabic"/>
          <w:sz w:val="24"/>
          <w:szCs w:val="24"/>
        </w:rPr>
        <w:t>, 2023</w:t>
      </w:r>
      <w:r w:rsidR="00747729" w:rsidRPr="005D59A7">
        <w:rPr>
          <w:rFonts w:ascii="T" w:hAnsi="T" w:cs="Simplified Arabic"/>
          <w:sz w:val="24"/>
          <w:szCs w:val="24"/>
          <w:rtl/>
        </w:rPr>
        <w:t>).‏</w:t>
      </w:r>
    </w:p>
    <w:p w14:paraId="47590633" w14:textId="1A205DC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للالتزام</w:t>
      </w:r>
      <w:r w:rsidRPr="005D59A7">
        <w:rPr>
          <w:rFonts w:ascii="T" w:hAnsi="T" w:cs="Simplified Arabic"/>
          <w:sz w:val="24"/>
          <w:szCs w:val="24"/>
        </w:rPr>
        <w:t xml:space="preserve"> </w:t>
      </w:r>
      <w:r w:rsidRPr="005D59A7">
        <w:rPr>
          <w:rFonts w:ascii="T" w:hAnsi="T" w:cs="Simplified Arabic"/>
          <w:sz w:val="24"/>
          <w:szCs w:val="24"/>
          <w:rtl/>
        </w:rPr>
        <w:t>البيئي (</w:t>
      </w:r>
      <w:r w:rsidRPr="005D59A7">
        <w:rPr>
          <w:rFonts w:ascii="T" w:hAnsi="T" w:cs="Simplified Arabic"/>
          <w:sz w:val="24"/>
          <w:szCs w:val="24"/>
        </w:rPr>
        <w:t>NCEC</w:t>
      </w:r>
      <w:r w:rsidRPr="005D59A7">
        <w:rPr>
          <w:rFonts w:ascii="T" w:hAnsi="T" w:cs="Simplified Arabic"/>
          <w:sz w:val="24"/>
          <w:szCs w:val="24"/>
          <w:rtl/>
        </w:rPr>
        <w:t xml:space="preserve">): يضمن الالتزام بالمعايير واللوائح البيئية، بما في ذلك إصدار التصاريح البيئية، ومراقبة التلوث، وتطبيق العقوبات. </w:t>
      </w:r>
      <w:r w:rsidR="007270C8" w:rsidRPr="005D59A7">
        <w:rPr>
          <w:rFonts w:ascii="T" w:hAnsi="T" w:cs="Simplified Arabic"/>
          <w:sz w:val="24"/>
          <w:szCs w:val="24"/>
          <w:rtl/>
        </w:rPr>
        <w:t>(</w:t>
      </w:r>
      <w:proofErr w:type="spellStart"/>
      <w:r w:rsidR="007270C8" w:rsidRPr="005D59A7">
        <w:rPr>
          <w:rFonts w:ascii="T" w:hAnsi="T" w:cs="Simplified Arabic"/>
          <w:sz w:val="24"/>
          <w:szCs w:val="24"/>
        </w:rPr>
        <w:t>Algamdy</w:t>
      </w:r>
      <w:proofErr w:type="spellEnd"/>
      <w:r w:rsidR="007270C8" w:rsidRPr="005D59A7">
        <w:rPr>
          <w:rFonts w:ascii="T" w:hAnsi="T" w:cs="Simplified Arabic"/>
          <w:sz w:val="24"/>
          <w:szCs w:val="24"/>
        </w:rPr>
        <w:t>, 2022</w:t>
      </w:r>
      <w:r w:rsidR="007270C8" w:rsidRPr="005D59A7">
        <w:rPr>
          <w:rFonts w:ascii="T" w:hAnsi="T" w:cs="Simplified Arabic"/>
          <w:sz w:val="24"/>
          <w:szCs w:val="24"/>
          <w:rtl/>
        </w:rPr>
        <w:t>)</w:t>
      </w:r>
    </w:p>
    <w:p w14:paraId="3D4FAC24"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للغطاء</w:t>
      </w:r>
      <w:r w:rsidRPr="005D59A7">
        <w:rPr>
          <w:rFonts w:ascii="T" w:hAnsi="T" w:cs="Simplified Arabic"/>
          <w:sz w:val="24"/>
          <w:szCs w:val="24"/>
        </w:rPr>
        <w:t xml:space="preserve"> </w:t>
      </w:r>
      <w:r w:rsidRPr="005D59A7">
        <w:rPr>
          <w:rFonts w:ascii="T" w:hAnsi="T" w:cs="Simplified Arabic"/>
          <w:sz w:val="24"/>
          <w:szCs w:val="24"/>
          <w:rtl/>
        </w:rPr>
        <w:t>النباتي</w:t>
      </w:r>
      <w:r w:rsidRPr="005D59A7">
        <w:rPr>
          <w:rFonts w:ascii="T" w:hAnsi="T" w:cs="Simplified Arabic"/>
          <w:sz w:val="24"/>
          <w:szCs w:val="24"/>
        </w:rPr>
        <w:t xml:space="preserve"> </w:t>
      </w:r>
      <w:r w:rsidRPr="005D59A7">
        <w:rPr>
          <w:rFonts w:ascii="T" w:hAnsi="T" w:cs="Simplified Arabic"/>
          <w:sz w:val="24"/>
          <w:szCs w:val="24"/>
          <w:rtl/>
        </w:rPr>
        <w:t>ومكافحة</w:t>
      </w:r>
      <w:r w:rsidRPr="005D59A7">
        <w:rPr>
          <w:rFonts w:ascii="T" w:hAnsi="T" w:cs="Simplified Arabic"/>
          <w:sz w:val="24"/>
          <w:szCs w:val="24"/>
        </w:rPr>
        <w:t xml:space="preserve"> </w:t>
      </w:r>
      <w:r w:rsidRPr="005D59A7">
        <w:rPr>
          <w:rFonts w:ascii="T" w:hAnsi="T" w:cs="Simplified Arabic"/>
          <w:sz w:val="24"/>
          <w:szCs w:val="24"/>
          <w:rtl/>
        </w:rPr>
        <w:t>التصحر (</w:t>
      </w:r>
      <w:r w:rsidRPr="005D59A7">
        <w:rPr>
          <w:rFonts w:ascii="T" w:hAnsi="T" w:cs="Simplified Arabic"/>
          <w:sz w:val="24"/>
          <w:szCs w:val="24"/>
        </w:rPr>
        <w:t>NCVC</w:t>
      </w:r>
      <w:r w:rsidRPr="005D59A7">
        <w:rPr>
          <w:rFonts w:ascii="T" w:hAnsi="T" w:cs="Simplified Arabic"/>
          <w:sz w:val="24"/>
          <w:szCs w:val="24"/>
          <w:rtl/>
        </w:rPr>
        <w:t>): يركز على التشجير، وإعادة تأهيل الأراضي، ومكافحة التصحر (يتوفر رابط الجهة ضمن المراجع).</w:t>
      </w:r>
    </w:p>
    <w:p w14:paraId="348BC436"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للحياة</w:t>
      </w:r>
      <w:r w:rsidRPr="005D59A7">
        <w:rPr>
          <w:rFonts w:ascii="T" w:hAnsi="T" w:cs="Simplified Arabic"/>
          <w:sz w:val="24"/>
          <w:szCs w:val="24"/>
        </w:rPr>
        <w:t xml:space="preserve"> </w:t>
      </w:r>
      <w:r w:rsidRPr="005D59A7">
        <w:rPr>
          <w:rFonts w:ascii="T" w:hAnsi="T" w:cs="Simplified Arabic"/>
          <w:sz w:val="24"/>
          <w:szCs w:val="24"/>
          <w:rtl/>
        </w:rPr>
        <w:t>الفطرية (</w:t>
      </w:r>
      <w:r w:rsidRPr="005D59A7">
        <w:rPr>
          <w:rFonts w:ascii="T" w:hAnsi="T" w:cs="Simplified Arabic"/>
          <w:sz w:val="24"/>
          <w:szCs w:val="24"/>
        </w:rPr>
        <w:t>NCW</w:t>
      </w:r>
      <w:r w:rsidRPr="005D59A7">
        <w:rPr>
          <w:rFonts w:ascii="T" w:hAnsi="T" w:cs="Simplified Arabic"/>
          <w:sz w:val="24"/>
          <w:szCs w:val="24"/>
          <w:rtl/>
        </w:rPr>
        <w:t>): مسؤول عن تنمية وحماية الحياة الفطرية البرية والبحرية (يتوفر رابط الجهة ضمن المراجع).</w:t>
      </w:r>
    </w:p>
    <w:p w14:paraId="70F30B01"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للأرصاد</w:t>
      </w:r>
      <w:r w:rsidRPr="005D59A7">
        <w:rPr>
          <w:rFonts w:ascii="T" w:hAnsi="T" w:cs="Simplified Arabic"/>
          <w:sz w:val="24"/>
          <w:szCs w:val="24"/>
        </w:rPr>
        <w:t xml:space="preserve"> </w:t>
      </w:r>
      <w:r w:rsidRPr="005D59A7">
        <w:rPr>
          <w:rFonts w:ascii="T" w:hAnsi="T" w:cs="Simplified Arabic"/>
          <w:sz w:val="24"/>
          <w:szCs w:val="24"/>
          <w:rtl/>
        </w:rPr>
        <w:t>الجوية (</w:t>
      </w:r>
      <w:r w:rsidRPr="005D59A7">
        <w:rPr>
          <w:rFonts w:ascii="T" w:hAnsi="T" w:cs="Simplified Arabic"/>
          <w:sz w:val="24"/>
          <w:szCs w:val="24"/>
        </w:rPr>
        <w:t>NCM</w:t>
      </w:r>
      <w:r w:rsidRPr="005D59A7">
        <w:rPr>
          <w:rFonts w:ascii="T" w:hAnsi="T" w:cs="Simplified Arabic"/>
          <w:sz w:val="24"/>
          <w:szCs w:val="24"/>
          <w:rtl/>
        </w:rPr>
        <w:t>): يُقدّم خدمات الأرصاد الجوية، ويرصد جودة الهواء (يتوفر رابط الجهة ضمن المراجع).</w:t>
      </w:r>
    </w:p>
    <w:p w14:paraId="36FA18D4" w14:textId="77777777" w:rsidR="00646FBB"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لإدارة</w:t>
      </w:r>
      <w:r w:rsidRPr="005D59A7">
        <w:rPr>
          <w:rFonts w:ascii="T" w:hAnsi="T" w:cs="Simplified Arabic"/>
          <w:sz w:val="24"/>
          <w:szCs w:val="24"/>
        </w:rPr>
        <w:t xml:space="preserve"> </w:t>
      </w:r>
      <w:r w:rsidRPr="005D59A7">
        <w:rPr>
          <w:rFonts w:ascii="T" w:hAnsi="T" w:cs="Simplified Arabic"/>
          <w:sz w:val="24"/>
          <w:szCs w:val="24"/>
          <w:rtl/>
        </w:rPr>
        <w:t>النفايات (</w:t>
      </w:r>
      <w:r w:rsidRPr="005D59A7">
        <w:rPr>
          <w:rFonts w:ascii="T" w:hAnsi="T" w:cs="Simplified Arabic"/>
          <w:sz w:val="24"/>
          <w:szCs w:val="24"/>
        </w:rPr>
        <w:t>MWAN</w:t>
      </w:r>
      <w:r w:rsidRPr="005D59A7">
        <w:rPr>
          <w:rFonts w:ascii="T" w:hAnsi="T" w:cs="Simplified Arabic"/>
          <w:sz w:val="24"/>
          <w:szCs w:val="24"/>
          <w:rtl/>
        </w:rPr>
        <w:t>): يُشرف على استراتيجيات ومبادرات إدارة النفايات (يتوفر رابط الجهة ضمن المراجع).</w:t>
      </w:r>
    </w:p>
    <w:p w14:paraId="33975369" w14:textId="77777777" w:rsidR="006E5511" w:rsidRPr="005D59A7" w:rsidRDefault="006E5511" w:rsidP="00410D73">
      <w:pPr>
        <w:pStyle w:val="Heading2"/>
        <w:bidi/>
        <w:rPr>
          <w:rFonts w:ascii="T" w:hAnsi="T" w:cs="Simplified Arabic"/>
          <w:color w:val="auto"/>
          <w:sz w:val="24"/>
          <w:szCs w:val="24"/>
          <w:rtl/>
        </w:rPr>
      </w:pPr>
      <w:bookmarkStart w:id="15" w:name="_Toc233202791"/>
      <w:r w:rsidRPr="005D59A7">
        <w:rPr>
          <w:rFonts w:ascii="T" w:hAnsi="T" w:cs="Simplified Arabic"/>
          <w:color w:val="auto"/>
          <w:sz w:val="24"/>
          <w:szCs w:val="24"/>
          <w:rtl/>
        </w:rPr>
        <w:t>المفاهيم الإجرائية</w:t>
      </w:r>
      <w:bookmarkEnd w:id="15"/>
    </w:p>
    <w:tbl>
      <w:tblPr>
        <w:tblStyle w:val="TableGrid"/>
        <w:bidiVisual/>
        <w:tblW w:w="0" w:type="auto"/>
        <w:tblLook w:val="04A0" w:firstRow="1" w:lastRow="0" w:firstColumn="1" w:lastColumn="0" w:noHBand="0" w:noVBand="1"/>
      </w:tblPr>
      <w:tblGrid>
        <w:gridCol w:w="1426"/>
        <w:gridCol w:w="2856"/>
        <w:gridCol w:w="2280"/>
        <w:gridCol w:w="1734"/>
      </w:tblGrid>
      <w:tr w:rsidR="0048002A" w:rsidRPr="005D59A7" w14:paraId="7FA088B3" w14:textId="77777777" w:rsidTr="007270C8">
        <w:tc>
          <w:tcPr>
            <w:tcW w:w="0" w:type="auto"/>
            <w:hideMark/>
          </w:tcPr>
          <w:p w14:paraId="6A7DFD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المفهوم</w:t>
            </w:r>
          </w:p>
        </w:tc>
        <w:tc>
          <w:tcPr>
            <w:tcW w:w="0" w:type="auto"/>
            <w:hideMark/>
          </w:tcPr>
          <w:p w14:paraId="7E6186C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الإجرائي</w:t>
            </w:r>
          </w:p>
        </w:tc>
        <w:tc>
          <w:tcPr>
            <w:tcW w:w="0" w:type="auto"/>
            <w:hideMark/>
          </w:tcPr>
          <w:p w14:paraId="7E7D77A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مؤشر/طريقة القياس</w:t>
            </w:r>
          </w:p>
        </w:tc>
        <w:tc>
          <w:tcPr>
            <w:tcW w:w="0" w:type="auto"/>
            <w:hideMark/>
          </w:tcPr>
          <w:p w14:paraId="2E654F5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r>
      <w:tr w:rsidR="0048002A" w:rsidRPr="005D59A7" w14:paraId="4C77B5C3" w14:textId="77777777" w:rsidTr="007270C8">
        <w:tc>
          <w:tcPr>
            <w:tcW w:w="0" w:type="auto"/>
            <w:hideMark/>
          </w:tcPr>
          <w:p w14:paraId="4CA936A9"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الشراكة بين القطاعين العام والخاص</w:t>
            </w:r>
            <w:r w:rsidRPr="005D59A7">
              <w:rPr>
                <w:rFonts w:ascii="T" w:hAnsi="T" w:cs="Simplified Arabic"/>
                <w:sz w:val="24"/>
                <w:szCs w:val="24"/>
                <w:shd w:val="clear" w:color="auto" w:fill="FFFFFF"/>
              </w:rPr>
              <w:t xml:space="preserve"> (PPP)</w:t>
            </w:r>
          </w:p>
        </w:tc>
        <w:tc>
          <w:tcPr>
            <w:tcW w:w="0" w:type="auto"/>
            <w:hideMark/>
          </w:tcPr>
          <w:p w14:paraId="12A2C02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نموذج تعاقدي يجمع بين القطاعين العام والخاص لتقديم خدمة عامة، حيث يتولى القطاع الخاص تنفيذ الخدمة مقابل عائد مالي مرتبط بالأداء</w:t>
            </w:r>
          </w:p>
        </w:tc>
        <w:tc>
          <w:tcPr>
            <w:tcW w:w="0" w:type="auto"/>
            <w:hideMark/>
          </w:tcPr>
          <w:p w14:paraId="08B2219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نوع النموذج التعاقدي</w:t>
            </w:r>
            <w:r w:rsidRPr="005D59A7">
              <w:rPr>
                <w:rFonts w:ascii="T" w:hAnsi="T" w:cs="Simplified Arabic"/>
                <w:sz w:val="24"/>
                <w:szCs w:val="24"/>
                <w:shd w:val="clear" w:color="auto" w:fill="FFFFFF"/>
              </w:rPr>
              <w:t xml:space="preserve"> (O&amp;M / DBO / DBFM / Outsourcing)</w:t>
            </w:r>
          </w:p>
        </w:tc>
        <w:tc>
          <w:tcPr>
            <w:tcW w:w="0" w:type="auto"/>
            <w:hideMark/>
          </w:tcPr>
          <w:p w14:paraId="34C0332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للتخصيص</w:t>
            </w:r>
            <w:r w:rsidRPr="005D59A7">
              <w:rPr>
                <w:rFonts w:ascii="T" w:hAnsi="T" w:cs="Simplified Arabic"/>
                <w:sz w:val="24"/>
                <w:szCs w:val="24"/>
                <w:shd w:val="clear" w:color="auto" w:fill="FFFFFF"/>
              </w:rPr>
              <w:t xml:space="preserve"> (NCP, 2022)</w:t>
            </w:r>
          </w:p>
        </w:tc>
      </w:tr>
      <w:tr w:rsidR="0048002A" w:rsidRPr="005D59A7" w14:paraId="580E5B14" w14:textId="77777777" w:rsidTr="007270C8">
        <w:tc>
          <w:tcPr>
            <w:tcW w:w="0" w:type="auto"/>
            <w:hideMark/>
          </w:tcPr>
          <w:p w14:paraId="2784DC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الحوكمة البيئية</w:t>
            </w:r>
          </w:p>
        </w:tc>
        <w:tc>
          <w:tcPr>
            <w:tcW w:w="0" w:type="auto"/>
            <w:hideMark/>
          </w:tcPr>
          <w:p w14:paraId="2EFB7D6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الإطار المؤسسي والتشريعي المنظم لقطاع البيئة، بما في ذلك توزيع المسؤوليات والصلاحيات بين الجهات المعنية</w:t>
            </w:r>
          </w:p>
        </w:tc>
        <w:tc>
          <w:tcPr>
            <w:tcW w:w="0" w:type="auto"/>
            <w:hideMark/>
          </w:tcPr>
          <w:p w14:paraId="01068A4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درجة وضوح توزيع المسؤوليات، عدد الجهات المعنية بالخدمة</w:t>
            </w:r>
          </w:p>
        </w:tc>
        <w:tc>
          <w:tcPr>
            <w:tcW w:w="0" w:type="auto"/>
            <w:hideMark/>
          </w:tcPr>
          <w:p w14:paraId="72F264B5"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w:t>
            </w:r>
            <w:r w:rsidRPr="005D59A7">
              <w:rPr>
                <w:rFonts w:ascii="T" w:hAnsi="T" w:cs="Simplified Arabic"/>
                <w:sz w:val="24"/>
                <w:szCs w:val="24"/>
                <w:shd w:val="clear" w:color="auto" w:fill="FFFFFF"/>
              </w:rPr>
              <w:t xml:space="preserve"> (MEWA, 2020)</w:t>
            </w:r>
          </w:p>
        </w:tc>
      </w:tr>
      <w:tr w:rsidR="0048002A" w:rsidRPr="005D59A7" w14:paraId="2431BBF3" w14:textId="77777777" w:rsidTr="007270C8">
        <w:tc>
          <w:tcPr>
            <w:tcW w:w="0" w:type="auto"/>
            <w:hideMark/>
          </w:tcPr>
          <w:p w14:paraId="39C906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الخدمة</w:t>
            </w:r>
          </w:p>
        </w:tc>
        <w:tc>
          <w:tcPr>
            <w:tcW w:w="0" w:type="auto"/>
            <w:hideMark/>
          </w:tcPr>
          <w:p w14:paraId="7000B17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المخرجات إلى المدخلات في تقديم خدمة التفتيش البيئي، معبراً عنها بالتكلفة لكل وحدة خدمة</w:t>
            </w:r>
          </w:p>
        </w:tc>
        <w:tc>
          <w:tcPr>
            <w:tcW w:w="0" w:type="auto"/>
            <w:hideMark/>
          </w:tcPr>
          <w:p w14:paraId="65A6011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التكلفة التشغيلية للزيارة التفتيشية (ريال/زيارة)</w:t>
            </w:r>
          </w:p>
        </w:tc>
        <w:tc>
          <w:tcPr>
            <w:tcW w:w="0" w:type="auto"/>
            <w:hideMark/>
          </w:tcPr>
          <w:p w14:paraId="2C85CDB7"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09AF6901" w14:textId="77777777" w:rsidTr="007270C8">
        <w:tc>
          <w:tcPr>
            <w:tcW w:w="0" w:type="auto"/>
            <w:hideMark/>
          </w:tcPr>
          <w:p w14:paraId="2304244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جودة المخرجات</w:t>
            </w:r>
          </w:p>
        </w:tc>
        <w:tc>
          <w:tcPr>
            <w:tcW w:w="0" w:type="auto"/>
            <w:hideMark/>
          </w:tcPr>
          <w:p w14:paraId="70F0B12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دقة وفعالية عمليات التفتيش البيئي، معبراً عنها بنسبة المخالفات المقبولة إدارياً وقانونياً</w:t>
            </w:r>
          </w:p>
        </w:tc>
        <w:tc>
          <w:tcPr>
            <w:tcW w:w="0" w:type="auto"/>
            <w:hideMark/>
          </w:tcPr>
          <w:p w14:paraId="5CC9EF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9E5A31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B63B459" w14:textId="77777777" w:rsidTr="007270C8">
        <w:tc>
          <w:tcPr>
            <w:tcW w:w="0" w:type="auto"/>
            <w:hideMark/>
          </w:tcPr>
          <w:p w14:paraId="295BFA3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مستوى التغطية</w:t>
            </w:r>
          </w:p>
        </w:tc>
        <w:tc>
          <w:tcPr>
            <w:tcW w:w="0" w:type="auto"/>
            <w:hideMark/>
          </w:tcPr>
          <w:p w14:paraId="489A17C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المنشآت التي تمت زيارتها تفتيشياً إلى إجمالي المنشآت المسجلة في قاعدة البيانات</w:t>
            </w:r>
          </w:p>
        </w:tc>
        <w:tc>
          <w:tcPr>
            <w:tcW w:w="0" w:type="auto"/>
            <w:hideMark/>
          </w:tcPr>
          <w:p w14:paraId="5A8FB97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c>
          <w:tcPr>
            <w:tcW w:w="0" w:type="auto"/>
            <w:hideMark/>
          </w:tcPr>
          <w:p w14:paraId="56CAC1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1E15013" w14:textId="77777777" w:rsidTr="007270C8">
        <w:tc>
          <w:tcPr>
            <w:tcW w:w="0" w:type="auto"/>
            <w:hideMark/>
          </w:tcPr>
          <w:p w14:paraId="7B0A91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الموارد البشرية</w:t>
            </w:r>
          </w:p>
        </w:tc>
        <w:tc>
          <w:tcPr>
            <w:tcW w:w="0" w:type="auto"/>
            <w:hideMark/>
          </w:tcPr>
          <w:p w14:paraId="5F8A11A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تناسب عدد المفتشين مع عدد المنشآت المشمولة بالتفتيش</w:t>
            </w:r>
          </w:p>
        </w:tc>
        <w:tc>
          <w:tcPr>
            <w:tcW w:w="0" w:type="auto"/>
            <w:hideMark/>
          </w:tcPr>
          <w:p w14:paraId="4ED48CE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B2DAA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489E7816" w14:textId="77777777" w:rsidTr="007270C8">
        <w:tc>
          <w:tcPr>
            <w:tcW w:w="0" w:type="auto"/>
            <w:hideMark/>
          </w:tcPr>
          <w:p w14:paraId="2BC9A7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الجدوى المالية</w:t>
            </w:r>
          </w:p>
        </w:tc>
        <w:tc>
          <w:tcPr>
            <w:tcW w:w="0" w:type="auto"/>
            <w:hideMark/>
          </w:tcPr>
          <w:p w14:paraId="7238D31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قدرة النموذج التشغيلي على تحقيق توازن بين الإيرادات والتكاليف، مع تحقيق فائض أو تغطية العجز</w:t>
            </w:r>
          </w:p>
        </w:tc>
        <w:tc>
          <w:tcPr>
            <w:tcW w:w="0" w:type="auto"/>
            <w:hideMark/>
          </w:tcPr>
          <w:p w14:paraId="09083B4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 (%)، صافي العائد السنوي (ريال)</w:t>
            </w:r>
          </w:p>
        </w:tc>
        <w:tc>
          <w:tcPr>
            <w:tcW w:w="0" w:type="auto"/>
            <w:hideMark/>
          </w:tcPr>
          <w:p w14:paraId="1BD800A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bl>
    <w:p w14:paraId="570FAE87" w14:textId="77777777" w:rsidR="007270C8" w:rsidRPr="005D59A7" w:rsidRDefault="007270C8" w:rsidP="00DF52A6">
      <w:pPr>
        <w:bidi/>
        <w:spacing w:after="200" w:line="276" w:lineRule="auto"/>
        <w:ind w:left="8" w:firstLine="720"/>
        <w:jc w:val="both"/>
        <w:rPr>
          <w:rFonts w:ascii="T" w:hAnsi="T" w:cs="Simplified Arabic"/>
          <w:sz w:val="24"/>
          <w:szCs w:val="24"/>
          <w:shd w:val="clear" w:color="auto" w:fill="FFFFFF"/>
        </w:rPr>
      </w:pPr>
    </w:p>
    <w:p w14:paraId="65BA2C0D" w14:textId="1CA93507" w:rsidR="00F41E95" w:rsidRPr="005D59A7" w:rsidRDefault="00F41E95" w:rsidP="00410D73">
      <w:pPr>
        <w:pStyle w:val="Heading2"/>
        <w:bidi/>
        <w:rPr>
          <w:rFonts w:ascii="T" w:hAnsi="T" w:cs="Simplified Arabic"/>
          <w:color w:val="auto"/>
          <w:sz w:val="24"/>
          <w:szCs w:val="24"/>
          <w:rtl/>
        </w:rPr>
      </w:pPr>
      <w:bookmarkStart w:id="16" w:name="_Toc233202792"/>
      <w:r w:rsidRPr="005D59A7">
        <w:rPr>
          <w:rFonts w:ascii="T" w:hAnsi="T" w:cs="Simplified Arabic"/>
          <w:color w:val="auto"/>
          <w:sz w:val="24"/>
          <w:szCs w:val="24"/>
          <w:rtl/>
        </w:rPr>
        <w:t>المفاهيم التطبيقية</w:t>
      </w:r>
      <w:bookmarkEnd w:id="16"/>
    </w:p>
    <w:p w14:paraId="22640285" w14:textId="77777777" w:rsidR="00410D73" w:rsidRPr="005D59A7" w:rsidRDefault="00410D73" w:rsidP="00410D73">
      <w:pPr>
        <w:bidi/>
        <w:rPr>
          <w:rFonts w:ascii="T" w:hAnsi="T" w:cs="Simplified Arabic"/>
          <w:sz w:val="24"/>
          <w:szCs w:val="24"/>
          <w:rtl/>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3050"/>
        <w:gridCol w:w="4240"/>
      </w:tblGrid>
      <w:tr w:rsidR="0048002A" w:rsidRPr="005D59A7" w14:paraId="67F2E174" w14:textId="77777777" w:rsidTr="00410D73">
        <w:tc>
          <w:tcPr>
            <w:tcW w:w="3050" w:type="dxa"/>
            <w:vAlign w:val="center"/>
          </w:tcPr>
          <w:p w14:paraId="3238EC87"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المصطلح</w:t>
            </w:r>
          </w:p>
        </w:tc>
        <w:tc>
          <w:tcPr>
            <w:tcW w:w="4240" w:type="dxa"/>
            <w:vAlign w:val="center"/>
          </w:tcPr>
          <w:p w14:paraId="4CD6CFE8"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التعريف</w:t>
            </w:r>
          </w:p>
        </w:tc>
      </w:tr>
      <w:tr w:rsidR="0048002A" w:rsidRPr="005D59A7" w14:paraId="30D4D57C" w14:textId="77777777" w:rsidTr="00410D73">
        <w:tc>
          <w:tcPr>
            <w:tcW w:w="3050" w:type="dxa"/>
            <w:vAlign w:val="center"/>
          </w:tcPr>
          <w:p w14:paraId="6BC007B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lastRenderedPageBreak/>
              <w:t>المفتش البيئي</w:t>
            </w:r>
          </w:p>
        </w:tc>
        <w:tc>
          <w:tcPr>
            <w:tcW w:w="4240" w:type="dxa"/>
            <w:vAlign w:val="center"/>
          </w:tcPr>
          <w:p w14:paraId="40F5CD61"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الموظف المختص والمسؤول عن القيام بالزيارة التفتيشية. يمتلك مؤهلات علمية وخلفية عملية ذات صلة بال</w:t>
            </w:r>
            <w:r w:rsidR="00463130" w:rsidRPr="005D59A7">
              <w:rPr>
                <w:rFonts w:ascii="T" w:hAnsi="T" w:cs="Simplified Arabic"/>
                <w:sz w:val="24"/>
                <w:szCs w:val="24"/>
                <w:rtl/>
              </w:rPr>
              <w:t>مجال.</w:t>
            </w:r>
          </w:p>
        </w:tc>
      </w:tr>
      <w:tr w:rsidR="0048002A" w:rsidRPr="005D59A7" w14:paraId="48859639" w14:textId="77777777" w:rsidTr="00410D73">
        <w:tc>
          <w:tcPr>
            <w:tcW w:w="3050" w:type="dxa"/>
            <w:vAlign w:val="center"/>
          </w:tcPr>
          <w:p w14:paraId="700EC851"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الزيارة التفتيشية</w:t>
            </w:r>
          </w:p>
        </w:tc>
        <w:tc>
          <w:tcPr>
            <w:tcW w:w="4240" w:type="dxa"/>
            <w:vAlign w:val="center"/>
          </w:tcPr>
          <w:p w14:paraId="0227B63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زيارة المفتش البيئي للمنشأة للتأكد من مطابقة العمليات التشغيلية للاشتراطات والمعايير المندرجة تحت النظام العام للبيئية واللوائح التنفيذية.</w:t>
            </w:r>
          </w:p>
        </w:tc>
      </w:tr>
      <w:tr w:rsidR="0048002A" w:rsidRPr="005D59A7" w14:paraId="616D811B" w14:textId="77777777" w:rsidTr="00410D73">
        <w:tc>
          <w:tcPr>
            <w:tcW w:w="3050" w:type="dxa"/>
            <w:vAlign w:val="center"/>
          </w:tcPr>
          <w:p w14:paraId="47E0DE6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تكلفة الزيارة التفتيشية</w:t>
            </w:r>
          </w:p>
        </w:tc>
        <w:tc>
          <w:tcPr>
            <w:tcW w:w="4240" w:type="dxa"/>
            <w:vAlign w:val="center"/>
          </w:tcPr>
          <w:p w14:paraId="18C1E4A6"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يتم عقد الزيارات التفتيشية بدون مقابل مالي من قبل القطاع العام. الهدف الرئيسي لمشاركة القطاع الخاص هو فرض رسوم على الزيارة التفتيشية.</w:t>
            </w:r>
          </w:p>
        </w:tc>
      </w:tr>
      <w:tr w:rsidR="0048002A" w:rsidRPr="005D59A7" w14:paraId="7AFE670A" w14:textId="77777777" w:rsidTr="00410D73">
        <w:tc>
          <w:tcPr>
            <w:tcW w:w="3050" w:type="dxa"/>
            <w:vAlign w:val="center"/>
          </w:tcPr>
          <w:p w14:paraId="40FEC99E"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المخالفة البيئية</w:t>
            </w:r>
          </w:p>
        </w:tc>
        <w:tc>
          <w:tcPr>
            <w:tcW w:w="4240" w:type="dxa"/>
            <w:vAlign w:val="center"/>
          </w:tcPr>
          <w:p w14:paraId="09897FF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إجراء تشغيلي أو إنشائي مخالف للأنظمة العامة للبيئة واللوائح التنفيذية ذات الصلة من قبل المنشأة.</w:t>
            </w:r>
          </w:p>
        </w:tc>
      </w:tr>
      <w:tr w:rsidR="0048002A" w:rsidRPr="005D59A7" w14:paraId="60253EDA" w14:textId="77777777" w:rsidTr="00410D73">
        <w:tc>
          <w:tcPr>
            <w:tcW w:w="3050" w:type="dxa"/>
            <w:vAlign w:val="center"/>
          </w:tcPr>
          <w:p w14:paraId="0CC3DBB4"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المنشأة</w:t>
            </w:r>
          </w:p>
        </w:tc>
        <w:tc>
          <w:tcPr>
            <w:tcW w:w="4240" w:type="dxa"/>
            <w:vAlign w:val="center"/>
          </w:tcPr>
          <w:p w14:paraId="50D03F9D"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منشأة ذات نشاط له تأثير سلبي على البيئية، ويتم تصنيفها وفق النظام تحت 3 فئات حسب حجم الأثر المتوقع ونوع النشاط وحجمه.</w:t>
            </w:r>
          </w:p>
        </w:tc>
      </w:tr>
      <w:tr w:rsidR="0048002A" w:rsidRPr="005D59A7" w14:paraId="68959163" w14:textId="77777777" w:rsidTr="00410D73">
        <w:tc>
          <w:tcPr>
            <w:tcW w:w="3050" w:type="dxa"/>
            <w:vAlign w:val="center"/>
          </w:tcPr>
          <w:p w14:paraId="0FE922B7"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نسبة التغطية</w:t>
            </w:r>
          </w:p>
        </w:tc>
        <w:tc>
          <w:tcPr>
            <w:tcW w:w="4240" w:type="dxa"/>
            <w:vAlign w:val="center"/>
          </w:tcPr>
          <w:p w14:paraId="7DE58112"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نسبة التغطية الجغرافية لعمليات التفتيش البيئي للمنشآت في كافة مناطق المملكة.</w:t>
            </w:r>
          </w:p>
        </w:tc>
      </w:tr>
    </w:tbl>
    <w:p w14:paraId="4CF77AED" w14:textId="58870859" w:rsidR="00F41E95" w:rsidRPr="005D59A7" w:rsidRDefault="002F1419" w:rsidP="00DF52A6">
      <w:pPr>
        <w:pStyle w:val="Caption"/>
        <w:bidi/>
        <w:ind w:firstLine="720"/>
        <w:jc w:val="center"/>
        <w:rPr>
          <w:rFonts w:ascii="T" w:hAnsi="T" w:cs="Simplified Arabic"/>
          <w:color w:val="auto"/>
          <w:sz w:val="24"/>
          <w:szCs w:val="24"/>
          <w:rtl/>
        </w:rPr>
      </w:pPr>
      <w:r w:rsidRPr="005D59A7">
        <w:rPr>
          <w:rFonts w:ascii="T" w:hAnsi="T" w:cs="Simplified Arabic"/>
          <w:color w:val="auto"/>
          <w:sz w:val="24"/>
          <w:szCs w:val="24"/>
        </w:rPr>
        <w:br w:type="textWrapping" w:clear="all"/>
      </w:r>
      <w:bookmarkStart w:id="17" w:name="_Toc225991173"/>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المصطلحات التطبيقية</w:t>
      </w:r>
      <w:bookmarkEnd w:id="17"/>
    </w:p>
    <w:p w14:paraId="211D57C7" w14:textId="77777777" w:rsidR="007270C8" w:rsidRPr="005D59A7" w:rsidRDefault="007270C8" w:rsidP="00DF52A6">
      <w:pPr>
        <w:shd w:val="clear" w:color="auto" w:fill="FFFFFF"/>
        <w:bidi/>
        <w:spacing w:before="240" w:after="240" w:line="240" w:lineRule="auto"/>
        <w:ind w:firstLine="720"/>
        <w:rPr>
          <w:rFonts w:ascii="T" w:hAnsi="T" w:cs="Simplified Arabic"/>
          <w:sz w:val="24"/>
          <w:szCs w:val="24"/>
        </w:rPr>
      </w:pPr>
      <w:r w:rsidRPr="005D59A7">
        <w:rPr>
          <w:rFonts w:ascii="T" w:hAnsi="T" w:cs="Simplified Arabic"/>
          <w:sz w:val="24"/>
          <w:szCs w:val="24"/>
          <w:rtl/>
        </w:rPr>
        <w:t>لضمان الدقة المفاهيمية في الدراسة، يتم التمييز بين المصطلحات التالية</w:t>
      </w:r>
      <w:r w:rsidRPr="005D59A7">
        <w:rPr>
          <w:rFonts w:ascii="T" w:hAnsi="T" w:cs="Simplified Arabic"/>
          <w:sz w:val="24"/>
          <w:szCs w:val="24"/>
        </w:rPr>
        <w:t>:</w:t>
      </w:r>
    </w:p>
    <w:tbl>
      <w:tblPr>
        <w:tblStyle w:val="TableGrid"/>
        <w:bidiVisual/>
        <w:tblW w:w="8635" w:type="dxa"/>
        <w:tblLook w:val="04A0" w:firstRow="1" w:lastRow="0" w:firstColumn="1" w:lastColumn="0" w:noHBand="0" w:noVBand="1"/>
      </w:tblPr>
      <w:tblGrid>
        <w:gridCol w:w="2283"/>
        <w:gridCol w:w="3379"/>
        <w:gridCol w:w="2973"/>
      </w:tblGrid>
      <w:tr w:rsidR="0048002A" w:rsidRPr="005D59A7" w14:paraId="54945F43" w14:textId="77777777" w:rsidTr="007270C8">
        <w:trPr>
          <w:trHeight w:val="372"/>
        </w:trPr>
        <w:tc>
          <w:tcPr>
            <w:tcW w:w="0" w:type="auto"/>
            <w:hideMark/>
          </w:tcPr>
          <w:p w14:paraId="7DBD2F8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w:t>
            </w:r>
          </w:p>
        </w:tc>
        <w:tc>
          <w:tcPr>
            <w:tcW w:w="0" w:type="auto"/>
            <w:hideMark/>
          </w:tcPr>
          <w:p w14:paraId="5DD53DC2"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التعريف</w:t>
            </w:r>
          </w:p>
        </w:tc>
        <w:tc>
          <w:tcPr>
            <w:tcW w:w="0" w:type="auto"/>
            <w:hideMark/>
          </w:tcPr>
          <w:p w14:paraId="58AF351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الاستخدام في الدراسة</w:t>
            </w:r>
          </w:p>
        </w:tc>
      </w:tr>
      <w:tr w:rsidR="0048002A" w:rsidRPr="005D59A7" w14:paraId="0286FD54" w14:textId="77777777" w:rsidTr="007270C8">
        <w:trPr>
          <w:trHeight w:val="1490"/>
        </w:trPr>
        <w:tc>
          <w:tcPr>
            <w:tcW w:w="0" w:type="auto"/>
            <w:hideMark/>
          </w:tcPr>
          <w:p w14:paraId="5B17781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w:t>
            </w:r>
          </w:p>
        </w:tc>
        <w:tc>
          <w:tcPr>
            <w:tcW w:w="0" w:type="auto"/>
            <w:hideMark/>
          </w:tcPr>
          <w:p w14:paraId="2E67C42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طويل الأجل يتعاون فيه القطاعان العام والخاص لتقديم خدمة عامة، حيث يتولى القطاع الخاص مسؤولية التمويل والبناء والتشغيل (كلياً أو جزئياً)، مع بقاء ملكية الأصول للقطاع العام</w:t>
            </w:r>
            <w:r w:rsidRPr="005D59A7">
              <w:rPr>
                <w:rFonts w:ascii="T" w:hAnsi="T" w:cs="Simplified Arabic"/>
                <w:sz w:val="24"/>
                <w:szCs w:val="24"/>
              </w:rPr>
              <w:t>.</w:t>
            </w:r>
          </w:p>
        </w:tc>
        <w:tc>
          <w:tcPr>
            <w:tcW w:w="0" w:type="auto"/>
            <w:hideMark/>
          </w:tcPr>
          <w:p w14:paraId="5DDD014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 المظلي الذي تعتمده الدراسة، ويشمل جميع نماذج التعاقد التي تتضمن مشاركة القطاع الخاص في تقديم الخدمة</w:t>
            </w:r>
            <w:r w:rsidRPr="005D59A7">
              <w:rPr>
                <w:rFonts w:ascii="T" w:hAnsi="T" w:cs="Simplified Arabic"/>
                <w:sz w:val="24"/>
                <w:szCs w:val="24"/>
              </w:rPr>
              <w:t>.</w:t>
            </w:r>
          </w:p>
        </w:tc>
      </w:tr>
      <w:tr w:rsidR="0048002A" w:rsidRPr="005D59A7" w14:paraId="47FBF719" w14:textId="77777777" w:rsidTr="007270C8">
        <w:trPr>
          <w:trHeight w:val="1117"/>
        </w:trPr>
        <w:tc>
          <w:tcPr>
            <w:tcW w:w="0" w:type="auto"/>
            <w:hideMark/>
          </w:tcPr>
          <w:p w14:paraId="0FB12EA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lastRenderedPageBreak/>
              <w:t>التخصيص</w:t>
            </w:r>
            <w:r w:rsidRPr="005D59A7">
              <w:rPr>
                <w:rFonts w:ascii="T" w:hAnsi="T" w:cs="Simplified Arabic"/>
                <w:sz w:val="24"/>
                <w:szCs w:val="24"/>
              </w:rPr>
              <w:t xml:space="preserve"> (Privatization)</w:t>
            </w:r>
          </w:p>
        </w:tc>
        <w:tc>
          <w:tcPr>
            <w:tcW w:w="0" w:type="auto"/>
            <w:hideMark/>
          </w:tcPr>
          <w:p w14:paraId="1B575373"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نقل ملكية الأصول أو الخدمات من القطاع العام إلى القطاع الخاص بشكل كامل أو جزئي، مع تحول المسؤولية الكاملة إلى القطاع الخاص</w:t>
            </w:r>
            <w:r w:rsidRPr="005D59A7">
              <w:rPr>
                <w:rFonts w:ascii="T" w:hAnsi="T" w:cs="Simplified Arabic"/>
                <w:sz w:val="24"/>
                <w:szCs w:val="24"/>
              </w:rPr>
              <w:t>.</w:t>
            </w:r>
          </w:p>
        </w:tc>
        <w:tc>
          <w:tcPr>
            <w:tcW w:w="0" w:type="auto"/>
            <w:hideMark/>
          </w:tcPr>
          <w:p w14:paraId="002935A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 حيث تبقى ملكية خدمة التفتيش البيئي للقطاع العام</w:t>
            </w:r>
            <w:r w:rsidRPr="005D59A7">
              <w:rPr>
                <w:rFonts w:ascii="T" w:hAnsi="T" w:cs="Simplified Arabic"/>
                <w:sz w:val="24"/>
                <w:szCs w:val="24"/>
              </w:rPr>
              <w:t>.</w:t>
            </w:r>
          </w:p>
        </w:tc>
      </w:tr>
      <w:tr w:rsidR="0048002A" w:rsidRPr="005D59A7" w14:paraId="051A37FE" w14:textId="77777777" w:rsidTr="007270C8">
        <w:trPr>
          <w:trHeight w:val="1117"/>
        </w:trPr>
        <w:tc>
          <w:tcPr>
            <w:tcW w:w="0" w:type="auto"/>
            <w:hideMark/>
          </w:tcPr>
          <w:p w14:paraId="2843531A"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الخصخصة</w:t>
            </w:r>
            <w:r w:rsidRPr="005D59A7">
              <w:rPr>
                <w:rFonts w:ascii="T" w:hAnsi="T" w:cs="Simplified Arabic"/>
                <w:sz w:val="24"/>
                <w:szCs w:val="24"/>
              </w:rPr>
              <w:t xml:space="preserve"> (Corporatization)</w:t>
            </w:r>
          </w:p>
        </w:tc>
        <w:tc>
          <w:tcPr>
            <w:tcW w:w="0" w:type="auto"/>
            <w:hideMark/>
          </w:tcPr>
          <w:p w14:paraId="39D7C63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تحويل جهة حكومية إلى شركة مملوكة للدولة مع تطبيق ممارسات القطاع الخاص في الإدارة والتشغيل</w:t>
            </w:r>
            <w:r w:rsidRPr="005D59A7">
              <w:rPr>
                <w:rFonts w:ascii="T" w:hAnsi="T" w:cs="Simplified Arabic"/>
                <w:sz w:val="24"/>
                <w:szCs w:val="24"/>
              </w:rPr>
              <w:t>.</w:t>
            </w:r>
          </w:p>
        </w:tc>
        <w:tc>
          <w:tcPr>
            <w:tcW w:w="0" w:type="auto"/>
            <w:hideMark/>
          </w:tcPr>
          <w:p w14:paraId="25DC078B"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w:t>
            </w:r>
            <w:r w:rsidRPr="005D59A7">
              <w:rPr>
                <w:rFonts w:ascii="T" w:hAnsi="T" w:cs="Simplified Arabic"/>
                <w:sz w:val="24"/>
                <w:szCs w:val="24"/>
              </w:rPr>
              <w:t>.</w:t>
            </w:r>
          </w:p>
        </w:tc>
      </w:tr>
      <w:tr w:rsidR="0048002A" w:rsidRPr="005D59A7" w14:paraId="463F9344" w14:textId="77777777" w:rsidTr="007270C8">
        <w:trPr>
          <w:trHeight w:val="1490"/>
        </w:trPr>
        <w:tc>
          <w:tcPr>
            <w:tcW w:w="0" w:type="auto"/>
            <w:hideMark/>
          </w:tcPr>
          <w:p w14:paraId="59E2AC3E"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التوريد</w:t>
            </w:r>
            <w:r w:rsidRPr="005D59A7">
              <w:rPr>
                <w:rFonts w:ascii="T" w:hAnsi="T" w:cs="Simplified Arabic"/>
                <w:sz w:val="24"/>
                <w:szCs w:val="24"/>
              </w:rPr>
              <w:t xml:space="preserve"> (Outsourcing)</w:t>
            </w:r>
          </w:p>
        </w:tc>
        <w:tc>
          <w:tcPr>
            <w:tcW w:w="0" w:type="auto"/>
            <w:hideMark/>
          </w:tcPr>
          <w:p w14:paraId="67F69D5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قصير الأجل تقوم فيه الجهة الحكومية بتعيين مقاول خارجي لتقديم خدمة محددة، مع احتفاظها بالمسؤولية الكاملة والرقابة المباشرة</w:t>
            </w:r>
            <w:r w:rsidRPr="005D59A7">
              <w:rPr>
                <w:rFonts w:ascii="T" w:hAnsi="T" w:cs="Simplified Arabic"/>
                <w:sz w:val="24"/>
                <w:szCs w:val="24"/>
              </w:rPr>
              <w:t>.</w:t>
            </w:r>
          </w:p>
        </w:tc>
        <w:tc>
          <w:tcPr>
            <w:tcW w:w="0" w:type="auto"/>
            <w:hideMark/>
          </w:tcPr>
          <w:p w14:paraId="7AFFE6A0"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يمثل النموذج التقليدي الحالي</w:t>
            </w:r>
            <w:r w:rsidRPr="005D59A7">
              <w:rPr>
                <w:rFonts w:ascii="T" w:hAnsi="T" w:cs="Simplified Arabic"/>
                <w:sz w:val="24"/>
                <w:szCs w:val="24"/>
              </w:rPr>
              <w:t xml:space="preserve"> (Input-Based Contracting) </w:t>
            </w:r>
            <w:r w:rsidRPr="005D59A7">
              <w:rPr>
                <w:rFonts w:ascii="T" w:hAnsi="T" w:cs="Simplified Arabic"/>
                <w:sz w:val="24"/>
                <w:szCs w:val="24"/>
                <w:rtl/>
              </w:rPr>
              <w:t>الذي تسعى الدراسة إلى تجاوزه نحو نموذج</w:t>
            </w:r>
            <w:r w:rsidRPr="005D59A7">
              <w:rPr>
                <w:rFonts w:ascii="T" w:hAnsi="T" w:cs="Simplified Arabic"/>
                <w:sz w:val="24"/>
                <w:szCs w:val="24"/>
              </w:rPr>
              <w:t xml:space="preserve"> PPP </w:t>
            </w:r>
            <w:r w:rsidRPr="005D59A7">
              <w:rPr>
                <w:rFonts w:ascii="T" w:hAnsi="T" w:cs="Simplified Arabic"/>
                <w:sz w:val="24"/>
                <w:szCs w:val="24"/>
                <w:rtl/>
              </w:rPr>
              <w:t>قائم على الأداء</w:t>
            </w:r>
            <w:r w:rsidRPr="005D59A7">
              <w:rPr>
                <w:rFonts w:ascii="T" w:hAnsi="T" w:cs="Simplified Arabic"/>
                <w:sz w:val="24"/>
                <w:szCs w:val="24"/>
              </w:rPr>
              <w:t>.</w:t>
            </w:r>
          </w:p>
        </w:tc>
      </w:tr>
    </w:tbl>
    <w:p w14:paraId="10017D62" w14:textId="77777777" w:rsidR="007270C8" w:rsidRPr="005D59A7" w:rsidRDefault="007270C8"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تبنى المصطلح المظلي</w:t>
      </w:r>
      <w:r w:rsidRPr="005D59A7">
        <w:rPr>
          <w:rFonts w:ascii="T" w:hAnsi="T" w:cs="Simplified Arabic"/>
          <w:sz w:val="24"/>
          <w:szCs w:val="24"/>
        </w:rPr>
        <w:t>: </w:t>
      </w:r>
      <w:r w:rsidRPr="005D59A7">
        <w:rPr>
          <w:rFonts w:ascii="T" w:hAnsi="T" w:cs="Simplified Arabic"/>
          <w:sz w:val="24"/>
          <w:szCs w:val="24"/>
          <w:rtl/>
        </w:rPr>
        <w:t>تعتمد الدراسة مصطلح </w:t>
      </w:r>
      <w:r w:rsidRPr="005D59A7">
        <w:rPr>
          <w:rFonts w:ascii="T" w:hAnsi="T" w:cs="Simplified Arabic"/>
          <w:sz w:val="24"/>
          <w:szCs w:val="24"/>
        </w:rPr>
        <w:t>"</w:t>
      </w: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كمصطلح مظلي يشير إلى جميع النماذج التعاقدية التي تتضمن تعاوناً هيكلياً طويل الأجل بين القطاعين العام والخاص في تقديم خدمة التفتيش البيئي، مع التركيز على نموذج التشغيل والصيانة</w:t>
      </w:r>
      <w:r w:rsidRPr="005D59A7">
        <w:rPr>
          <w:rFonts w:ascii="T" w:hAnsi="T" w:cs="Simplified Arabic"/>
          <w:sz w:val="24"/>
          <w:szCs w:val="24"/>
        </w:rPr>
        <w:t xml:space="preserve"> (O&amp;M) </w:t>
      </w:r>
      <w:r w:rsidRPr="005D59A7">
        <w:rPr>
          <w:rFonts w:ascii="T" w:hAnsi="T" w:cs="Simplified Arabic"/>
          <w:sz w:val="24"/>
          <w:szCs w:val="24"/>
          <w:rtl/>
        </w:rPr>
        <w:t>باعتباره الأنسب للخدمة</w:t>
      </w:r>
      <w:r w:rsidRPr="005D59A7">
        <w:rPr>
          <w:rFonts w:ascii="T" w:hAnsi="T" w:cs="Simplified Arabic"/>
          <w:sz w:val="24"/>
          <w:szCs w:val="24"/>
        </w:rPr>
        <w:t>.</w:t>
      </w:r>
    </w:p>
    <w:p w14:paraId="6B22ED22" w14:textId="77777777" w:rsidR="00177E64" w:rsidRPr="005D59A7" w:rsidRDefault="00177E64" w:rsidP="00861DC2">
      <w:pPr>
        <w:pStyle w:val="Heading1"/>
        <w:bidi/>
        <w:spacing w:line="360" w:lineRule="auto"/>
        <w:rPr>
          <w:rFonts w:ascii="T" w:eastAsia="Times New Roman" w:hAnsi="T" w:cs="Simplified Arabic"/>
          <w:b/>
          <w:bCs/>
          <w:color w:val="auto"/>
          <w:sz w:val="24"/>
          <w:szCs w:val="24"/>
          <w:rtl/>
        </w:rPr>
      </w:pPr>
      <w:bookmarkStart w:id="18" w:name="_Toc233202793"/>
      <w:r w:rsidRPr="005D59A7">
        <w:rPr>
          <w:rFonts w:ascii="T" w:eastAsia="Times New Roman" w:hAnsi="T" w:cs="Simplified Arabic"/>
          <w:b/>
          <w:bCs/>
          <w:color w:val="auto"/>
          <w:sz w:val="24"/>
          <w:szCs w:val="24"/>
          <w:rtl/>
        </w:rPr>
        <w:t>الدراسات المرجعية:</w:t>
      </w:r>
      <w:bookmarkEnd w:id="18"/>
    </w:p>
    <w:p w14:paraId="35F02737" w14:textId="77777777" w:rsidR="00177E64" w:rsidRPr="005D59A7" w:rsidRDefault="00177E64"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سيتم</w:t>
      </w:r>
      <w:r w:rsidR="00556639" w:rsidRPr="005D59A7">
        <w:rPr>
          <w:rFonts w:ascii="T" w:hAnsi="T" w:cs="Simplified Arabic"/>
          <w:sz w:val="24"/>
          <w:szCs w:val="24"/>
          <w:rtl/>
        </w:rPr>
        <w:t xml:space="preserve"> التعليق على الدراسات السابقة في فصل الثاني والخاص بعرضها ومراجعتها، وتشمل أهم الدراسات المرجعية التي سيتم الاعتماد عليها ما يلي</w:t>
      </w:r>
      <w:r w:rsidRPr="005D59A7">
        <w:rPr>
          <w:rFonts w:ascii="T" w:hAnsi="T" w:cs="Simplified Arabic"/>
          <w:sz w:val="24"/>
          <w:szCs w:val="24"/>
          <w:rtl/>
        </w:rPr>
        <w:t>:</w:t>
      </w:r>
    </w:p>
    <w:tbl>
      <w:tblPr>
        <w:tblStyle w:val="TableGrid"/>
        <w:bidiVisual/>
        <w:tblW w:w="0" w:type="auto"/>
        <w:tblInd w:w="674" w:type="dxa"/>
        <w:tblLook w:val="04A0" w:firstRow="1" w:lastRow="0" w:firstColumn="1" w:lastColumn="0" w:noHBand="0" w:noVBand="1"/>
      </w:tblPr>
      <w:tblGrid>
        <w:gridCol w:w="2186"/>
        <w:gridCol w:w="2752"/>
        <w:gridCol w:w="2684"/>
      </w:tblGrid>
      <w:tr w:rsidR="0048002A" w:rsidRPr="005D59A7" w14:paraId="06B51CEA" w14:textId="77777777" w:rsidTr="00463130">
        <w:tc>
          <w:tcPr>
            <w:tcW w:w="2230" w:type="dxa"/>
            <w:vAlign w:val="center"/>
          </w:tcPr>
          <w:p w14:paraId="591D382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الدراسة/المرجع</w:t>
            </w:r>
          </w:p>
        </w:tc>
        <w:tc>
          <w:tcPr>
            <w:tcW w:w="2837" w:type="dxa"/>
            <w:vAlign w:val="center"/>
          </w:tcPr>
          <w:p w14:paraId="51011653"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المنهج</w:t>
            </w:r>
          </w:p>
        </w:tc>
        <w:tc>
          <w:tcPr>
            <w:tcW w:w="2763" w:type="dxa"/>
            <w:vAlign w:val="center"/>
          </w:tcPr>
          <w:p w14:paraId="31C25149"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أوجه الاستفادة</w:t>
            </w:r>
          </w:p>
        </w:tc>
      </w:tr>
      <w:tr w:rsidR="0048002A" w:rsidRPr="005D59A7" w14:paraId="19438BA1" w14:textId="77777777" w:rsidTr="00463130">
        <w:tc>
          <w:tcPr>
            <w:tcW w:w="2230" w:type="dxa"/>
            <w:vAlign w:val="center"/>
          </w:tcPr>
          <w:p w14:paraId="6D22E3B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رؤية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2030</w:t>
            </w:r>
          </w:p>
        </w:tc>
        <w:tc>
          <w:tcPr>
            <w:tcW w:w="2837" w:type="dxa"/>
            <w:vAlign w:val="center"/>
          </w:tcPr>
          <w:p w14:paraId="6E87ECB4"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وتشمل الإطار المؤسسي والأهداف والمبادرات والمشاريع والمؤشرات لإعادة هيكلة النظام الحكومي شاملاً كافة القطاعات</w:t>
            </w:r>
          </w:p>
        </w:tc>
        <w:tc>
          <w:tcPr>
            <w:tcW w:w="2763" w:type="dxa"/>
            <w:vAlign w:val="center"/>
          </w:tcPr>
          <w:p w14:paraId="6F9098D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الحصول على البيانات المتعلقة بمؤشرات الأداء والأهداف لقطاع البيئة وبرامج التخصيص</w:t>
            </w:r>
          </w:p>
        </w:tc>
      </w:tr>
      <w:tr w:rsidR="0048002A" w:rsidRPr="005D59A7" w14:paraId="61887E38" w14:textId="77777777" w:rsidTr="00463130">
        <w:tc>
          <w:tcPr>
            <w:tcW w:w="2230" w:type="dxa"/>
            <w:vAlign w:val="center"/>
          </w:tcPr>
          <w:p w14:paraId="4F5063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الجهات الحكومية المستهدفة مثل وزارة البيئة والمياه والزراعة والمراكز </w:t>
            </w:r>
            <w:r w:rsidRPr="005D59A7">
              <w:rPr>
                <w:rFonts w:ascii="T" w:hAnsi="T" w:cs="Simplified Arabic"/>
                <w:sz w:val="24"/>
                <w:szCs w:val="24"/>
                <w:shd w:val="clear" w:color="auto" w:fill="FFFFFF"/>
                <w:rtl/>
              </w:rPr>
              <w:lastRenderedPageBreak/>
              <w:t>الوطنية البيئية ومركز التخصيص</w:t>
            </w:r>
          </w:p>
        </w:tc>
        <w:tc>
          <w:tcPr>
            <w:tcW w:w="2837" w:type="dxa"/>
            <w:vAlign w:val="center"/>
          </w:tcPr>
          <w:p w14:paraId="59F88377"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كافة المواقع الإلكترونية للجهات الممثلة لقطاع البيئة والمركز الوطني للتخصيص</w:t>
            </w:r>
          </w:p>
        </w:tc>
        <w:tc>
          <w:tcPr>
            <w:tcW w:w="2763" w:type="dxa"/>
            <w:vAlign w:val="center"/>
          </w:tcPr>
          <w:p w14:paraId="2DD8643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وتمثل مصادر ذات أهمية للحصول على البيانات </w:t>
            </w:r>
            <w:r w:rsidRPr="005D59A7">
              <w:rPr>
                <w:rFonts w:ascii="T" w:hAnsi="T" w:cs="Simplified Arabic"/>
                <w:sz w:val="24"/>
                <w:szCs w:val="24"/>
                <w:shd w:val="clear" w:color="auto" w:fill="FFFFFF"/>
                <w:rtl/>
              </w:rPr>
              <w:lastRenderedPageBreak/>
              <w:t>والمعلومات والمؤشرات والتقارير المتعلقة بالخدمات البيئية</w:t>
            </w:r>
          </w:p>
        </w:tc>
      </w:tr>
      <w:tr w:rsidR="0048002A" w:rsidRPr="005D59A7" w14:paraId="64D31E0A" w14:textId="77777777" w:rsidTr="00463130">
        <w:tc>
          <w:tcPr>
            <w:tcW w:w="2230" w:type="dxa"/>
            <w:vAlign w:val="center"/>
          </w:tcPr>
          <w:p w14:paraId="4C5F230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الملخص التنفيذي للإستراتيجية الوطنية للبيئة</w:t>
            </w:r>
          </w:p>
        </w:tc>
        <w:tc>
          <w:tcPr>
            <w:tcW w:w="2837" w:type="dxa"/>
            <w:vAlign w:val="center"/>
          </w:tcPr>
          <w:p w14:paraId="78D09B7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شامل قامت بإصداره وزارة البيئة والمياه والزراعة عام 2018</w:t>
            </w:r>
          </w:p>
        </w:tc>
        <w:tc>
          <w:tcPr>
            <w:tcW w:w="2763" w:type="dxa"/>
            <w:vAlign w:val="center"/>
          </w:tcPr>
          <w:p w14:paraId="75E8F3BA"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يشمل الإطار المؤسسي النظري والتنفيذي لإعادة هيكلة قطاع البيئة شاملاً تحليل الفجوة الحالية والدراسات المرجعية الإقليمية والدولية والمبادرات والمشاريع وغيرها.</w:t>
            </w:r>
          </w:p>
          <w:p w14:paraId="04DB1C23" w14:textId="77777777" w:rsidR="00C146B6" w:rsidRPr="005D59A7" w:rsidRDefault="00C146B6" w:rsidP="00410D73">
            <w:pPr>
              <w:pStyle w:val="ListParagraph"/>
              <w:bidi/>
              <w:ind w:left="0"/>
              <w:jc w:val="center"/>
              <w:rPr>
                <w:rFonts w:ascii="T" w:hAnsi="T" w:cs="Simplified Arabic"/>
                <w:sz w:val="24"/>
                <w:szCs w:val="24"/>
                <w:shd w:val="clear" w:color="auto" w:fill="FFFFFF"/>
                <w:rtl/>
              </w:rPr>
            </w:pPr>
          </w:p>
        </w:tc>
      </w:tr>
      <w:tr w:rsidR="0048002A" w:rsidRPr="005D59A7" w14:paraId="4B33FD1D" w14:textId="77777777" w:rsidTr="00463130">
        <w:tc>
          <w:tcPr>
            <w:tcW w:w="2230" w:type="dxa"/>
            <w:vAlign w:val="center"/>
          </w:tcPr>
          <w:p w14:paraId="12344FB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تخطيط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وتطوير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قطاع</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الشراكة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القطاعين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والخاص،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الصادر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المركز</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الوطني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للتخصيص (</w:t>
            </w:r>
            <w:r w:rsidRPr="005D59A7">
              <w:rPr>
                <w:rFonts w:ascii="T" w:hAnsi="T" w:cs="Simplified Arabic"/>
                <w:sz w:val="24"/>
                <w:szCs w:val="24"/>
                <w:shd w:val="clear" w:color="auto" w:fill="FFFFFF"/>
              </w:rPr>
              <w:t>NCP</w:t>
            </w:r>
            <w:r w:rsidRPr="005D59A7">
              <w:rPr>
                <w:rFonts w:ascii="T" w:hAnsi="T" w:cs="Simplified Arabic"/>
                <w:sz w:val="24"/>
                <w:szCs w:val="24"/>
                <w:shd w:val="clear" w:color="auto" w:fill="FFFFFF"/>
                <w:rtl/>
              </w:rPr>
              <w:t>)</w:t>
            </w:r>
          </w:p>
        </w:tc>
        <w:tc>
          <w:tcPr>
            <w:tcW w:w="2837" w:type="dxa"/>
            <w:vAlign w:val="center"/>
          </w:tcPr>
          <w:p w14:paraId="7BE39A90"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 يشمل الأطر التنفيذية لإجراءات بناء الشراكة مع القطاع الخاص في الجهات القطاعية بالمملكة والصادر من المركز الوطني للتخصيص عام 2022</w:t>
            </w:r>
          </w:p>
        </w:tc>
        <w:tc>
          <w:tcPr>
            <w:tcW w:w="2763" w:type="dxa"/>
            <w:vAlign w:val="center"/>
          </w:tcPr>
          <w:p w14:paraId="65AD7A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الإطار التنظيمي والإجرائي للشراكات بين القطاعين العام والخاص في المملكة.</w:t>
            </w:r>
          </w:p>
        </w:tc>
      </w:tr>
      <w:tr w:rsidR="0048002A" w:rsidRPr="005D59A7" w14:paraId="42DAFC62" w14:textId="77777777" w:rsidTr="00463130">
        <w:tc>
          <w:tcPr>
            <w:tcW w:w="2230" w:type="dxa"/>
            <w:vAlign w:val="center"/>
          </w:tcPr>
          <w:p w14:paraId="24821E4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برنامج</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العمل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w:t>
            </w:r>
            <w:r w:rsidRPr="005D59A7">
              <w:rPr>
                <w:rFonts w:ascii="T" w:hAnsi="T" w:cs="Simplified Arabic"/>
                <w:sz w:val="24"/>
                <w:szCs w:val="24"/>
                <w:shd w:val="clear" w:color="auto" w:fill="FFFFFF"/>
              </w:rPr>
              <w:t>SAEP</w:t>
            </w:r>
            <w:r w:rsidRPr="005D59A7">
              <w:rPr>
                <w:rFonts w:ascii="T" w:hAnsi="T" w:cs="Simplified Arabic"/>
                <w:sz w:val="24"/>
                <w:szCs w:val="24"/>
                <w:shd w:val="clear" w:color="auto" w:fill="FFFFFF"/>
                <w:rtl/>
              </w:rPr>
              <w:t>)</w:t>
            </w:r>
          </w:p>
        </w:tc>
        <w:tc>
          <w:tcPr>
            <w:tcW w:w="2837" w:type="dxa"/>
            <w:vAlign w:val="center"/>
          </w:tcPr>
          <w:p w14:paraId="2ED11E81" w14:textId="16E4D66C"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يشمل تكلفة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التدهور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عام 2014 والصادر من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البنك</w:t>
            </w:r>
            <w:r w:rsidRPr="005D59A7">
              <w:rPr>
                <w:rFonts w:ascii="T" w:hAnsi="T" w:cs="Simplified Arabic"/>
                <w:sz w:val="24"/>
                <w:szCs w:val="24"/>
                <w:shd w:val="clear" w:color="auto" w:fill="FFFFFF"/>
              </w:rPr>
              <w:t xml:space="preserve"> </w:t>
            </w:r>
            <w:r w:rsidR="00861DC2" w:rsidRPr="005D59A7">
              <w:rPr>
                <w:rFonts w:ascii="T" w:hAnsi="T" w:cs="Simplified Arabic"/>
                <w:sz w:val="24"/>
                <w:szCs w:val="24"/>
                <w:shd w:val="clear" w:color="auto" w:fill="FFFFFF"/>
                <w:rtl/>
              </w:rPr>
              <w:t>الدول قسم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الممارسات</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العالمية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للبيئة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والموارد</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الطبيعية في 2016 والمختص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بمنطقة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الشرق</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الأوسط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وشمال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أفريقيا</w:t>
            </w:r>
          </w:p>
        </w:tc>
        <w:tc>
          <w:tcPr>
            <w:tcW w:w="2763" w:type="dxa"/>
            <w:vAlign w:val="center"/>
          </w:tcPr>
          <w:p w14:paraId="278C0CFD"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الأرقام والمعلومات الخاصة بتكاليف التدهور البيئي في المملكة قبل إنشاء المراكز وإطلاق الإستراتيجية الوطنية للبيئة. وتعد معلومات هامة لتقييم الفجوة التي تستهدفها الدراسة</w:t>
            </w:r>
          </w:p>
        </w:tc>
      </w:tr>
      <w:tr w:rsidR="0048002A" w:rsidRPr="005D59A7" w14:paraId="7E726447" w14:textId="77777777" w:rsidTr="00463130">
        <w:tc>
          <w:tcPr>
            <w:tcW w:w="2230" w:type="dxa"/>
            <w:vAlign w:val="center"/>
          </w:tcPr>
          <w:p w14:paraId="66111776"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اللجنة الإشرافية</w:t>
            </w:r>
          </w:p>
        </w:tc>
        <w:tc>
          <w:tcPr>
            <w:tcW w:w="2837" w:type="dxa"/>
            <w:vAlign w:val="center"/>
          </w:tcPr>
          <w:p w14:paraId="38BDFE3B"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هي اللجنة التي تم اعتمادها لمشاريع تخصيص قطاع البيئة وتشمل وزير البيئة والمياه والزراعة والرئيس التنفيذي للمركز الوطني للتخصيص والرؤساء التنفيذيين للمراكز الوطنية البيئية الخمسة</w:t>
            </w:r>
          </w:p>
        </w:tc>
        <w:tc>
          <w:tcPr>
            <w:tcW w:w="2763" w:type="dxa"/>
            <w:vAlign w:val="center"/>
          </w:tcPr>
          <w:p w14:paraId="6BCEFAA4"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مادة علمية مقدمة للجنة تشمل مقترح ومبادرة تخصيص التفتيش البيئي وتتبعها عدد من المواد العلمية المتعلقة مثل دراسات الجدوى وغيرها من المعلومات</w:t>
            </w:r>
          </w:p>
        </w:tc>
      </w:tr>
    </w:tbl>
    <w:p w14:paraId="057DFDFE" w14:textId="25F00ACE" w:rsidR="007F4785" w:rsidRPr="005D59A7" w:rsidRDefault="007F4785" w:rsidP="00DF52A6">
      <w:pPr>
        <w:pStyle w:val="Caption"/>
        <w:keepNext/>
        <w:bidi/>
        <w:ind w:firstLine="720"/>
        <w:jc w:val="center"/>
        <w:rPr>
          <w:rFonts w:ascii="T" w:hAnsi="T" w:cs="Simplified Arabic"/>
          <w:color w:val="auto"/>
          <w:sz w:val="24"/>
          <w:szCs w:val="24"/>
        </w:rPr>
      </w:pPr>
      <w:bookmarkStart w:id="19" w:name="_Toc225991174"/>
      <w:r w:rsidRPr="005D59A7">
        <w:rPr>
          <w:rFonts w:ascii="T" w:hAnsi="T" w:cs="Simplified Arabic"/>
          <w:color w:val="auto"/>
          <w:sz w:val="24"/>
          <w:szCs w:val="24"/>
        </w:rPr>
        <w:lastRenderedPageBreak/>
        <w:t xml:space="preserve">Table </w:t>
      </w:r>
      <w:r w:rsidR="00FD30BF" w:rsidRPr="005D59A7">
        <w:rPr>
          <w:rFonts w:ascii="T" w:hAnsi="T" w:cs="Simplified Arabic"/>
          <w:color w:val="auto"/>
          <w:sz w:val="24"/>
          <w:szCs w:val="24"/>
        </w:rPr>
        <w:fldChar w:fldCharType="begin"/>
      </w:r>
      <w:r w:rsidRPr="005D59A7">
        <w:rPr>
          <w:rFonts w:ascii="T" w:hAnsi="T" w:cs="Simplified Arabic"/>
          <w:color w:val="auto"/>
          <w:sz w:val="24"/>
          <w:szCs w:val="24"/>
        </w:rPr>
        <w:instrText xml:space="preserve"> SEQ Table \* ARABIC </w:instrText>
      </w:r>
      <w:r w:rsidR="00FD30BF" w:rsidRPr="005D59A7">
        <w:rPr>
          <w:rFonts w:ascii="T" w:hAnsi="T" w:cs="Simplified Arabic"/>
          <w:color w:val="auto"/>
          <w:sz w:val="24"/>
          <w:szCs w:val="24"/>
        </w:rPr>
        <w:fldChar w:fldCharType="separate"/>
      </w:r>
      <w:r w:rsidR="00E86871">
        <w:rPr>
          <w:rFonts w:ascii="T" w:hAnsi="T" w:cs="Simplified Arabic"/>
          <w:noProof/>
          <w:color w:val="auto"/>
          <w:sz w:val="24"/>
          <w:szCs w:val="24"/>
        </w:rPr>
        <w:t>2</w:t>
      </w:r>
      <w:r w:rsidR="00FD30BF" w:rsidRPr="005D59A7">
        <w:rPr>
          <w:rFonts w:ascii="T" w:hAnsi="T" w:cs="Simplified Arabic"/>
          <w:color w:val="auto"/>
          <w:sz w:val="24"/>
          <w:szCs w:val="24"/>
        </w:rPr>
        <w:fldChar w:fldCharType="end"/>
      </w:r>
      <w:r w:rsidRPr="005D59A7">
        <w:rPr>
          <w:rFonts w:ascii="T" w:hAnsi="T" w:cs="Simplified Arabic"/>
          <w:noProof/>
          <w:color w:val="auto"/>
          <w:sz w:val="24"/>
          <w:szCs w:val="24"/>
          <w:rtl/>
        </w:rPr>
        <w:t>: الدراسات المرجعية المختارة</w:t>
      </w:r>
      <w:bookmarkEnd w:id="19"/>
    </w:p>
    <w:p w14:paraId="4D85B909" w14:textId="77777777" w:rsidR="00E4150D" w:rsidRPr="005D59A7" w:rsidRDefault="00CC208F" w:rsidP="00861DC2">
      <w:pPr>
        <w:pStyle w:val="Heading1"/>
        <w:bidi/>
        <w:spacing w:line="360" w:lineRule="auto"/>
        <w:rPr>
          <w:rFonts w:ascii="T" w:eastAsia="Times New Roman" w:hAnsi="T" w:cs="Simplified Arabic"/>
          <w:b/>
          <w:bCs/>
          <w:color w:val="auto"/>
          <w:sz w:val="24"/>
          <w:szCs w:val="24"/>
          <w:rtl/>
        </w:rPr>
      </w:pPr>
      <w:bookmarkStart w:id="20" w:name="_Toc233202794"/>
      <w:r w:rsidRPr="005D59A7">
        <w:rPr>
          <w:rFonts w:ascii="T" w:eastAsia="Times New Roman" w:hAnsi="T" w:cs="Simplified Arabic"/>
          <w:b/>
          <w:bCs/>
          <w:color w:val="auto"/>
          <w:sz w:val="24"/>
          <w:szCs w:val="24"/>
          <w:rtl/>
        </w:rPr>
        <w:t>حدود الدراسة:</w:t>
      </w:r>
      <w:bookmarkEnd w:id="20"/>
    </w:p>
    <w:p w14:paraId="77E9605D"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تختص الدراسة بتقييم القطاع البيئي في المملكة العربية السعودية منذ انطلاق الرؤية وتقييم الهيكل التنظيمي له. وستركز الرسالة بشكل أدق على الموارد البشرية والمعلومات الأخرى الهامة الخاصة بخدمة التفتيش البيئي التي تم اختيارها لتطبيق نموذج شراكة مع القطاع الخاص لها. ويمكن تقسيم حدود الدراسة كالتالي</w:t>
      </w:r>
      <w:r w:rsidRPr="005D59A7">
        <w:rPr>
          <w:rFonts w:ascii="T" w:hAnsi="T" w:cs="Simplified Arabic"/>
          <w:sz w:val="24"/>
          <w:szCs w:val="24"/>
        </w:rPr>
        <w:t>:</w:t>
      </w:r>
    </w:p>
    <w:p w14:paraId="02E5CD71" w14:textId="77777777" w:rsidR="00FF0AED" w:rsidRPr="005D59A7" w:rsidRDefault="00FF0AED" w:rsidP="00861DC2">
      <w:pPr>
        <w:pStyle w:val="Heading2"/>
        <w:bidi/>
        <w:rPr>
          <w:rFonts w:ascii="T" w:hAnsi="T" w:cs="Simplified Arabic"/>
          <w:color w:val="auto"/>
          <w:sz w:val="24"/>
          <w:szCs w:val="24"/>
          <w:rtl/>
        </w:rPr>
      </w:pPr>
      <w:bookmarkStart w:id="21" w:name="_Toc233202795"/>
      <w:r w:rsidRPr="005D59A7">
        <w:rPr>
          <w:rFonts w:ascii="T" w:hAnsi="T" w:cs="Simplified Arabic"/>
          <w:color w:val="auto"/>
          <w:sz w:val="24"/>
          <w:szCs w:val="24"/>
          <w:rtl/>
        </w:rPr>
        <w:t>أولاً: الحدود المكانية</w:t>
      </w:r>
      <w:bookmarkEnd w:id="21"/>
    </w:p>
    <w:p w14:paraId="45071169"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تقتصر الدراسة على التغطية الجغرافية التي تشملها خدمة التفتيش البيئي تحت إشراف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وهي كافة مناطق المملكة العربية السعودية (الرياض، مكة المكرمة، المدينة المنورة، الشرقية، عسير، تبوك، حائل، الحدود الشمالية، جازان، نجران، الباحة، الجوف، القصيم). ويتم اختيار عينة طبقية من المنشآت المشمولة بالتفتيش وفقاً لتصنيفها إلى ثلاث فئات رئيسية: المنشآت عالية الخطورة (مثل المصانع الكبرى والمنشآت البتروكيماوية)، والمنشآت متوسطة الخطورة (مثل المنشآت الصناعية المتوسطة والمرافق الخدمية)، والمنشآت منخفضة الخطورة (مثل المنشآت التجارية والمكاتب). ويهدف هذا التصنيف إلى ضمان تمثيل متوازن لجميع فئات المنشآت في التحليل، بما يعزز دقة النتائج وقابليتها للتعميم</w:t>
      </w:r>
      <w:r w:rsidRPr="005D59A7">
        <w:rPr>
          <w:rFonts w:ascii="T" w:hAnsi="T" w:cs="Simplified Arabic"/>
          <w:sz w:val="24"/>
          <w:szCs w:val="24"/>
        </w:rPr>
        <w:t>.</w:t>
      </w:r>
    </w:p>
    <w:p w14:paraId="4D5314A2" w14:textId="77777777" w:rsidR="00FF0AED" w:rsidRPr="005D59A7" w:rsidRDefault="00FF0AED" w:rsidP="00861DC2">
      <w:pPr>
        <w:pStyle w:val="Heading2"/>
        <w:bidi/>
        <w:rPr>
          <w:rFonts w:ascii="T" w:hAnsi="T" w:cs="Simplified Arabic"/>
          <w:color w:val="auto"/>
          <w:sz w:val="24"/>
          <w:szCs w:val="24"/>
          <w:rtl/>
        </w:rPr>
      </w:pPr>
      <w:bookmarkStart w:id="22" w:name="_Toc233202796"/>
      <w:r w:rsidRPr="005D59A7">
        <w:rPr>
          <w:rFonts w:ascii="T" w:hAnsi="T" w:cs="Simplified Arabic"/>
          <w:color w:val="auto"/>
          <w:sz w:val="24"/>
          <w:szCs w:val="24"/>
          <w:rtl/>
        </w:rPr>
        <w:t>ثانياً: الحدود الزمانية</w:t>
      </w:r>
      <w:bookmarkEnd w:id="22"/>
    </w:p>
    <w:p w14:paraId="074B6A2A"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تم جمع البيانات والمعلومات خلال الفترة 2019-2022، وتشمل دراسات ومعلومات تمتد من 2017 إلى 2022. وتعتمد الدراسة نافذة قياس محددة تتمثل في مقارنة أداء خدمة التفتيش البيئي بين فترتين: الفترة الأولى (2017-2019) التي تمثل مرحلة التوريد التقليدي بالكامل، والفترة الثانية (2020-2022) التي شهدت بداية التحول نحو نماذج تشغيلية مختلفة. ويهدف هذا التقسيم إلى إتاحة إمكانية قياس الفروق في مؤشرات الأداء الرئيسية (التكلفة التشغيلية، نسبة التغطية، نسبة المخالفات المرفوضة) بين النموذجين، مع تبرير اختيار الفترة الزمنية بناءً على توفر البيانات الرسمية من المركز الوطني للرقابة على الالتزام البيئي واستقرار الظروف التشغيلية خلال هذه الفترة</w:t>
      </w:r>
      <w:r w:rsidRPr="005D59A7">
        <w:rPr>
          <w:rFonts w:ascii="T" w:hAnsi="T" w:cs="Simplified Arabic"/>
          <w:sz w:val="24"/>
          <w:szCs w:val="24"/>
        </w:rPr>
        <w:t>.</w:t>
      </w:r>
    </w:p>
    <w:p w14:paraId="40807ADD" w14:textId="77777777" w:rsidR="00FF0AED" w:rsidRPr="005D59A7" w:rsidRDefault="00FF0AED" w:rsidP="00861DC2">
      <w:pPr>
        <w:pStyle w:val="Heading2"/>
        <w:bidi/>
        <w:rPr>
          <w:rFonts w:ascii="T" w:hAnsi="T" w:cs="Simplified Arabic"/>
          <w:color w:val="auto"/>
          <w:sz w:val="24"/>
          <w:szCs w:val="24"/>
          <w:rtl/>
        </w:rPr>
      </w:pPr>
      <w:bookmarkStart w:id="23" w:name="_Toc233202797"/>
      <w:r w:rsidRPr="005D59A7">
        <w:rPr>
          <w:rFonts w:ascii="T" w:hAnsi="T" w:cs="Simplified Arabic"/>
          <w:color w:val="auto"/>
          <w:sz w:val="24"/>
          <w:szCs w:val="24"/>
          <w:rtl/>
        </w:rPr>
        <w:lastRenderedPageBreak/>
        <w:t>ثالثاً: الحدود البشرية</w:t>
      </w:r>
      <w:bookmarkEnd w:id="23"/>
    </w:p>
    <w:p w14:paraId="1BF65A03"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تقتصر الدراسة على المفتشين البيئيين العاملين في خدمة التفتيش البيئي، وعناصر الموارد البشرية الأخرى ذات الصلة المباشرة بالخدمة (كالمشرفين، محللي البيانات، فرق الدعم الإداري). ويتم التركيز على تحليل كفاءة هيكل الموارد البشرية من حيث العدد، التوزيع الجغرافي، مؤهلات المفتشين، وهيكل الحوافز، بهدف تحديد الفجوات واقتراح التحسينات اللازمة لرفع كفاءة الخدمة وتحسين جودة المخرجات وتقليل التكاليف التشغيلية</w:t>
      </w:r>
      <w:r w:rsidRPr="005D59A7">
        <w:rPr>
          <w:rFonts w:ascii="T" w:hAnsi="T" w:cs="Simplified Arabic"/>
          <w:sz w:val="24"/>
          <w:szCs w:val="24"/>
        </w:rPr>
        <w:t>.</w:t>
      </w:r>
    </w:p>
    <w:p w14:paraId="5F1E10D1" w14:textId="77777777" w:rsidR="00FF0AED" w:rsidRPr="005D59A7" w:rsidRDefault="00FF0AED" w:rsidP="00DF0990">
      <w:pPr>
        <w:pStyle w:val="Heading2"/>
        <w:bidi/>
        <w:rPr>
          <w:rFonts w:ascii="T" w:hAnsi="T" w:cs="Simplified Arabic"/>
          <w:color w:val="auto"/>
          <w:sz w:val="24"/>
          <w:szCs w:val="24"/>
          <w:rtl/>
        </w:rPr>
      </w:pPr>
      <w:bookmarkStart w:id="24" w:name="_Toc233202798"/>
      <w:r w:rsidRPr="005D59A7">
        <w:rPr>
          <w:rFonts w:ascii="T" w:hAnsi="T" w:cs="Simplified Arabic"/>
          <w:color w:val="auto"/>
          <w:sz w:val="24"/>
          <w:szCs w:val="24"/>
          <w:rtl/>
        </w:rPr>
        <w:t>رابعاً: الحدود الموضوعية</w:t>
      </w:r>
      <w:bookmarkEnd w:id="24"/>
    </w:p>
    <w:p w14:paraId="1F781937"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التعريج على إعادة هيكلة القطاع البيئي بشكل عام، مع الإشارة إلى المراكز الوطنية الأخرى (المركز الوطني لتنمية الغطاء النباتي، المركز الوطني لإدارة النفايات، المركز الوطني للأرصاد، المركز الوطني لتنمية الحياة الفطرية) بشكل موجز. غير أن الهدف الموضوعي الأساسي ينصب على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وتحديداً خدمة التفتيش البيئي، وذلك بسبب توفر الدراسات والبيانات المرتبطة بهذه الخدمة لدى الباحث، ولطبيعة هذه الخدمة كخدمة رقابية عالية الحساسية يمكن من خلالها اختبار نماذج الشراكة بين القطاعين العام والخاص في القطاع البيئي</w:t>
      </w:r>
      <w:r w:rsidRPr="005D59A7">
        <w:rPr>
          <w:rFonts w:ascii="T" w:hAnsi="T" w:cs="Simplified Arabic"/>
          <w:sz w:val="24"/>
          <w:szCs w:val="24"/>
        </w:rPr>
        <w:t>.</w:t>
      </w:r>
    </w:p>
    <w:p w14:paraId="72E9661D"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استبعاد ما يلي من نطاق الدراسة</w:t>
      </w:r>
      <w:r w:rsidRPr="005D59A7">
        <w:rPr>
          <w:rFonts w:ascii="T" w:hAnsi="T" w:cs="Simplified Arabic"/>
          <w:sz w:val="24"/>
          <w:szCs w:val="24"/>
        </w:rPr>
        <w:t>:</w:t>
      </w:r>
    </w:p>
    <w:p w14:paraId="2488AFB1"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الخدمات البيئية الأخرى التي تقدمها المراكز الوطنية الأخرى (مثل خدمات التشجير، إدارة النفايات، الرصد الجوي، حماية المحميات الطبيعية)، وذلك لاختلاف طبيعتها التشغيلية وآليات الشراكة المناسبة لها، ولعدم توفر بيانات كمية موثقة مماثلة لتلك المتوفرة لخدمة التفتيش البيئي</w:t>
      </w:r>
      <w:r w:rsidRPr="005D59A7">
        <w:rPr>
          <w:rFonts w:ascii="T" w:hAnsi="T" w:cs="Simplified Arabic"/>
          <w:sz w:val="24"/>
          <w:szCs w:val="24"/>
        </w:rPr>
        <w:t>.</w:t>
      </w:r>
    </w:p>
    <w:p w14:paraId="768CA722"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عمليات التفتيش ذات الطبيعة الخاصة أو العالية الحساسية التي تتطلب تدخلاً مباشراً من الجهات الأمنية أو ذات الطابع السري، حيث تختلف آليات إدارتها وتوزيع المخاطر فيها عن عمليات التفتيش الروتينية</w:t>
      </w:r>
      <w:r w:rsidRPr="005D59A7">
        <w:rPr>
          <w:rFonts w:ascii="T" w:hAnsi="T" w:cs="Simplified Arabic"/>
          <w:sz w:val="24"/>
          <w:szCs w:val="24"/>
        </w:rPr>
        <w:t>.</w:t>
      </w:r>
    </w:p>
    <w:p w14:paraId="2155DA7F"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المنشآت التي لم تُسجل في قاعدة بيانات المركز الوطني للرقابة على الالتزام البيئي خلال الفترة الزمنية للدراسة، حيث لا تتوفر عنها بيانات موثقة يمكن الاعتماد عليها في التحليل</w:t>
      </w:r>
      <w:r w:rsidRPr="005D59A7">
        <w:rPr>
          <w:rFonts w:ascii="T" w:hAnsi="T" w:cs="Simplified Arabic"/>
          <w:sz w:val="24"/>
          <w:szCs w:val="24"/>
        </w:rPr>
        <w:t>.</w:t>
      </w:r>
    </w:p>
    <w:p w14:paraId="60DE4529"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الجوانب الفنية البحتة لأنظمة التفتيش البيئي (مثل معايير القياس والاختبارات المعملية)، حيث تركز الدراسة على الجوانب التشغيلية والإدارية والمالية للخدمة</w:t>
      </w:r>
      <w:r w:rsidRPr="005D59A7">
        <w:rPr>
          <w:rFonts w:ascii="T" w:hAnsi="T" w:cs="Simplified Arabic"/>
          <w:sz w:val="24"/>
          <w:szCs w:val="24"/>
        </w:rPr>
        <w:t>.</w:t>
      </w:r>
    </w:p>
    <w:p w14:paraId="687FCB34" w14:textId="09A37B8F"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يترتب على استبعاد هذه العناصر أن نتائج الدراسة تكون قابلة للتعميم على خدمة التفتيش البيئي الروتيني للمنشآت المسجلة ضمن قاعدة بيانات المركز الوطني للرقابة على الالتزام البيئي. أما تعميم النتائج على خدمات بيئية أخرى أو على عمليات التفتيش عالية المخاطر أو الخاصة، فيتطلب دراسات إضافية تأخذ في الاعتبار الخصائص المختلفة لكل خدمة أو نوع تفتيش</w:t>
      </w:r>
      <w:r w:rsidRPr="005D59A7">
        <w:rPr>
          <w:rFonts w:ascii="T" w:hAnsi="T" w:cs="Simplified Arabic"/>
          <w:sz w:val="24"/>
          <w:szCs w:val="24"/>
        </w:rPr>
        <w:t>.</w:t>
      </w:r>
    </w:p>
    <w:p w14:paraId="2C41608C" w14:textId="77777777" w:rsidR="00E4150D" w:rsidRPr="005D59A7" w:rsidRDefault="00E4150D" w:rsidP="00DF0990">
      <w:pPr>
        <w:pStyle w:val="Heading1"/>
        <w:bidi/>
        <w:spacing w:line="360" w:lineRule="auto"/>
        <w:rPr>
          <w:rFonts w:ascii="T" w:eastAsia="Times New Roman" w:hAnsi="T" w:cs="Simplified Arabic"/>
          <w:b/>
          <w:bCs/>
          <w:color w:val="auto"/>
          <w:sz w:val="24"/>
          <w:szCs w:val="24"/>
          <w:rtl/>
        </w:rPr>
      </w:pPr>
      <w:bookmarkStart w:id="25" w:name="_Toc233202799"/>
      <w:r w:rsidRPr="005D59A7">
        <w:rPr>
          <w:rFonts w:ascii="T" w:eastAsia="Times New Roman" w:hAnsi="T" w:cs="Simplified Arabic"/>
          <w:b/>
          <w:bCs/>
          <w:color w:val="auto"/>
          <w:sz w:val="24"/>
          <w:szCs w:val="24"/>
          <w:rtl/>
        </w:rPr>
        <w:t>إجراءات</w:t>
      </w:r>
      <w:r w:rsidR="00E1181E" w:rsidRPr="005D59A7">
        <w:rPr>
          <w:rFonts w:ascii="T" w:eastAsia="Times New Roman" w:hAnsi="T" w:cs="Simplified Arabic"/>
          <w:b/>
          <w:bCs/>
          <w:color w:val="auto"/>
          <w:sz w:val="24"/>
          <w:szCs w:val="24"/>
          <w:rtl/>
        </w:rPr>
        <w:t xml:space="preserve"> ومنهجية</w:t>
      </w:r>
      <w:r w:rsidRPr="005D59A7">
        <w:rPr>
          <w:rFonts w:ascii="T" w:eastAsia="Times New Roman" w:hAnsi="T" w:cs="Simplified Arabic"/>
          <w:b/>
          <w:bCs/>
          <w:color w:val="auto"/>
          <w:sz w:val="24"/>
          <w:szCs w:val="24"/>
          <w:rtl/>
        </w:rPr>
        <w:t xml:space="preserve"> الدراسة:</w:t>
      </w:r>
      <w:bookmarkEnd w:id="25"/>
    </w:p>
    <w:p w14:paraId="6321A004" w14:textId="77777777" w:rsidR="003530A3" w:rsidRPr="005D59A7" w:rsidRDefault="003530A3" w:rsidP="00DF0990">
      <w:pPr>
        <w:pStyle w:val="Heading2"/>
        <w:bidi/>
        <w:rPr>
          <w:rFonts w:ascii="T" w:hAnsi="T" w:cs="Simplified Arabic"/>
          <w:color w:val="auto"/>
          <w:sz w:val="24"/>
          <w:szCs w:val="24"/>
          <w:rtl/>
        </w:rPr>
      </w:pPr>
      <w:bookmarkStart w:id="26" w:name="_Toc233202800"/>
      <w:r w:rsidRPr="005D59A7">
        <w:rPr>
          <w:rFonts w:ascii="T" w:hAnsi="T" w:cs="Simplified Arabic"/>
          <w:color w:val="auto"/>
          <w:sz w:val="24"/>
          <w:szCs w:val="24"/>
          <w:rtl/>
        </w:rPr>
        <w:t>مجتمع وعينة الدراسة:</w:t>
      </w:r>
      <w:bookmarkEnd w:id="26"/>
    </w:p>
    <w:p w14:paraId="1C04AC65" w14:textId="77777777" w:rsidR="003530A3" w:rsidRPr="005D59A7" w:rsidRDefault="003530A3"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بحكم اختصاص الدراسة بعرض نموذج مقترح للشراكة مع القطاع الخاص في تقديم خدمة التفتيش البيئي، وهي خدمة مدرجة تحت القطاع البيئي بالمملكة، عليه، تعد الجهات المتمثلة في القطاع وعددها 7 وهي وزارة البيئة والمياه والزراعة والمركز الوطني للرقابة على الالتزام البيئي والمركز الوطني لتنمية الغطاء النباتي ومكافحة التصحر والمركز الوطني لتنمية الحياة الفطرية والمركز الوطني للأرصاد والمركز الوطني لإدارة النفايات وصندوق البيئة العينة الشاملة لمجتمع الدراسة. ويعد مجتمع الدراسة الدقيق هو الخدمات البيئية التي تقدمها هذه الجهات، بالإضافة إلى الجهة المعنية بالشراكات وبرامج التخصيص وهي المركز الوطني للتخصيص.</w:t>
      </w:r>
    </w:p>
    <w:p w14:paraId="7A566A97" w14:textId="77777777" w:rsidR="00646FBB" w:rsidRPr="005D59A7" w:rsidRDefault="003530A3" w:rsidP="00861DC2">
      <w:pPr>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بينما تعد عينة الدراسة هي الخدمة البيئية التي تم اختيارها لعمل نموذج شراكة بين القطاعين العام والخاص لها وهي خدمة التفتيش البيئي.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w:t>
      </w:r>
      <w:r w:rsidR="005A3D0B" w:rsidRPr="005D59A7">
        <w:rPr>
          <w:rFonts w:ascii="T" w:hAnsi="T" w:cs="Simplified Arabic"/>
          <w:sz w:val="24"/>
          <w:szCs w:val="24"/>
          <w:shd w:val="clear" w:color="auto" w:fill="FFFFFF"/>
          <w:rtl/>
        </w:rPr>
        <w:t xml:space="preserve"> ويعود ذلك إلى وجود دراسات سابقة لدى المراجع والمصادر التي يعتمد عليها الباحث.</w:t>
      </w:r>
    </w:p>
    <w:p w14:paraId="60442322" w14:textId="77777777" w:rsidR="00167E73" w:rsidRPr="005D59A7" w:rsidRDefault="00167E73" w:rsidP="00DF0990">
      <w:pPr>
        <w:pStyle w:val="Heading2"/>
        <w:bidi/>
        <w:rPr>
          <w:rFonts w:ascii="T" w:hAnsi="T" w:cs="Simplified Arabic"/>
          <w:color w:val="auto"/>
          <w:sz w:val="24"/>
          <w:szCs w:val="24"/>
          <w:rtl/>
        </w:rPr>
      </w:pPr>
      <w:bookmarkStart w:id="27" w:name="_Toc233202801"/>
      <w:r w:rsidRPr="005D59A7">
        <w:rPr>
          <w:rFonts w:ascii="T" w:hAnsi="T" w:cs="Simplified Arabic"/>
          <w:color w:val="auto"/>
          <w:sz w:val="24"/>
          <w:szCs w:val="24"/>
          <w:rtl/>
        </w:rPr>
        <w:lastRenderedPageBreak/>
        <w:t>وسائل جمع بيانات الدراسة</w:t>
      </w:r>
      <w:bookmarkEnd w:id="27"/>
    </w:p>
    <w:p w14:paraId="3104A7FE" w14:textId="77777777" w:rsidR="005E3641" w:rsidRPr="005D59A7" w:rsidRDefault="005956A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المصادر الحكومية المتعلقة بالدراسة، المنصات الإلكترونية للجهات المختصة، والبيانات الثانوية عبر الإنترنت، والبيانات المتعلقة بالمراجع الخاصة بالباحث. بالإضافة إلى البيانات الدقيقة التي قد يتطلبها البحث عند الحاجة وحسب المعلومات المطلوبة والمقابلات الشخصية مع الأشخاص والجهات ذوي العلاقة والمتمثلة على وجه الخصوص في البيانات التي يقدمها المركز الوطني للرقابة على الالتزام البيئي وذلك كونه الجهة المسؤولة عن تقديم خدمة التفتيش البيئي والجهة الرقابية التنفيذية على المراكز الأخرى والتابعة لقطاع البيئة ككل.</w:t>
      </w:r>
      <w:r w:rsidR="005E3641" w:rsidRPr="005D59A7">
        <w:rPr>
          <w:rFonts w:ascii="T" w:hAnsi="T" w:cs="Simplified Arabic"/>
          <w:sz w:val="24"/>
          <w:szCs w:val="24"/>
          <w:shd w:val="clear" w:color="auto" w:fill="FFFFFF"/>
          <w:rtl/>
        </w:rPr>
        <w:t xml:space="preserve"> عليه، فإن كافة الحسابات والدراسات المطلوبة للنموذج المقترح تدخل ضمن نطاق المعالجات الإحصائية المقترحة مثل عدد العاملين وساعات العمل والتكاليف التشغيلية والرأس مالية والأجهزة والمعدات ودراسات الجدوى لفرض رسوم تشغيلية وغيرها.</w:t>
      </w:r>
    </w:p>
    <w:p w14:paraId="0F8EF319" w14:textId="77777777" w:rsidR="00D11980" w:rsidRPr="005D59A7" w:rsidRDefault="00D11980" w:rsidP="008A5ED9">
      <w:pPr>
        <w:pStyle w:val="Heading2"/>
        <w:bidi/>
        <w:rPr>
          <w:rFonts w:ascii="T" w:hAnsi="T" w:cs="Simplified Arabic"/>
          <w:color w:val="auto"/>
          <w:sz w:val="24"/>
          <w:szCs w:val="24"/>
          <w:shd w:val="clear" w:color="auto" w:fill="FFFFFF"/>
          <w:rtl/>
        </w:rPr>
      </w:pPr>
      <w:bookmarkStart w:id="28" w:name="_Toc233202802"/>
      <w:r w:rsidRPr="005D59A7">
        <w:rPr>
          <w:rFonts w:ascii="T" w:hAnsi="T" w:cs="Simplified Arabic"/>
          <w:color w:val="auto"/>
          <w:sz w:val="24"/>
          <w:szCs w:val="24"/>
          <w:shd w:val="clear" w:color="auto" w:fill="FFFFFF"/>
          <w:rtl/>
        </w:rPr>
        <w:t>إطار التحليل</w:t>
      </w:r>
      <w:bookmarkEnd w:id="28"/>
    </w:p>
    <w:p w14:paraId="7A10CE4F" w14:textId="0D85481B" w:rsidR="000D1D88" w:rsidRPr="005D59A7" w:rsidRDefault="00D11980"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بحكم اعتماد الدراسة على عرض بيانات ومعلومات متعلقة بدراسة جدوى لمشاركة القطاع الخاص لخدمة التفتيش البيئي، فإن التحليل يعد تحليل المنافع والتكاليف حيث يتم جمع كافة المعلومات المتعلقة بالخدمة مثل عدد الموظفين وعدد المخالفات البيئية المرصودة وعدد الزيارات التفتيشية ومتوسط رواتب المفتشين وعدد المنشآت وتصنيفها وغيرها من المعلومات المتعلقة بحساب التكلفة التشغيلية للخدمة على عاتق القطاع العام ومن ثم بحث سبل تحديد تكلفة رمزية للخدمة يتم من خلالها إشراك القطاع الخاص لتوفير أعداد أكبر من المفتشين ورفع جودة الرقابة والمخرجات. </w:t>
      </w:r>
    </w:p>
    <w:p w14:paraId="6F95A14F" w14:textId="5CFC793E"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29" w:name="_Toc233202803"/>
      <w:r w:rsidRPr="005D59A7">
        <w:rPr>
          <w:rFonts w:ascii="T" w:hAnsi="T" w:cs="Simplified Arabic"/>
          <w:color w:val="auto"/>
          <w:sz w:val="24"/>
          <w:szCs w:val="24"/>
          <w:shd w:val="clear" w:color="auto" w:fill="FFFFFF"/>
          <w:rtl/>
        </w:rPr>
        <w:t>أدوات التحليل المالي ومعايير اتخاذ القرار</w:t>
      </w:r>
      <w:bookmarkEnd w:id="29"/>
    </w:p>
    <w:p w14:paraId="57264D18"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لتقييم الجدوى المالية للنموذج المقترح، سيتم الاعتماد على المقاييس المالية القياسية التالية</w:t>
      </w:r>
      <w:r w:rsidRPr="005D59A7">
        <w:rPr>
          <w:rFonts w:ascii="T" w:hAnsi="T" w:cs="Simplified Arabic"/>
          <w:sz w:val="24"/>
          <w:szCs w:val="24"/>
          <w:shd w:val="clear" w:color="auto" w:fill="FFFFFF"/>
        </w:rPr>
        <w:t>:</w:t>
      </w:r>
    </w:p>
    <w:p w14:paraId="0937F003"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حساب صافي القيمة الحالية</w:t>
      </w:r>
      <w:r w:rsidRPr="005D59A7">
        <w:rPr>
          <w:rFonts w:ascii="T" w:hAnsi="T" w:cs="Simplified Arabic"/>
          <w:sz w:val="24"/>
          <w:szCs w:val="24"/>
          <w:shd w:val="clear" w:color="auto" w:fill="FFFFFF"/>
        </w:rPr>
        <w:t xml:space="preserve"> (Net Present Value - NPV) </w:t>
      </w:r>
      <w:r w:rsidRPr="005D59A7">
        <w:rPr>
          <w:rFonts w:ascii="T" w:hAnsi="T" w:cs="Simplified Arabic"/>
          <w:sz w:val="24"/>
          <w:szCs w:val="24"/>
          <w:shd w:val="clear" w:color="auto" w:fill="FFFFFF"/>
          <w:rtl/>
        </w:rPr>
        <w:t>كمجموع القيم الحالية للتدفقات النقدية المستقبلية مطروحاً منها الاستثمار الأولي، ويتم قبول النموذج إذا كانت قيمة</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أكبر من الصفر، مما يعني أن العوائد المتوقعة تفوق التكاليف الاستثمارية</w:t>
      </w:r>
      <w:r w:rsidRPr="005D59A7">
        <w:rPr>
          <w:rFonts w:ascii="T" w:hAnsi="T" w:cs="Simplified Arabic"/>
          <w:sz w:val="24"/>
          <w:szCs w:val="24"/>
          <w:shd w:val="clear" w:color="auto" w:fill="FFFFFF"/>
        </w:rPr>
        <w:t>.</w:t>
      </w:r>
    </w:p>
    <w:p w14:paraId="7ACE542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أما معدل العائد الداخلي</w:t>
      </w:r>
      <w:r w:rsidRPr="005D59A7">
        <w:rPr>
          <w:rFonts w:ascii="T" w:hAnsi="T" w:cs="Simplified Arabic"/>
          <w:sz w:val="24"/>
          <w:szCs w:val="24"/>
          <w:shd w:val="clear" w:color="auto" w:fill="FFFFFF"/>
        </w:rPr>
        <w:t xml:space="preserve"> (Internal Rate of Return - IRR) </w:t>
      </w:r>
      <w:r w:rsidRPr="005D59A7">
        <w:rPr>
          <w:rFonts w:ascii="T" w:hAnsi="T" w:cs="Simplified Arabic"/>
          <w:sz w:val="24"/>
          <w:szCs w:val="24"/>
          <w:shd w:val="clear" w:color="auto" w:fill="FFFFFF"/>
          <w:rtl/>
        </w:rPr>
        <w:t>فهو معدل الخصم الذي يجعل صافي القيمة الحالية يساوي صفراً، ويتم قبول النموذج إذا كان</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أكبر من تكلفة رأس المال المقدرة بـ 8-10%، وهو ما يشير إلى أن العائد على الاستثمار يفوق تكلفة التمويل</w:t>
      </w:r>
      <w:r w:rsidRPr="005D59A7">
        <w:rPr>
          <w:rFonts w:ascii="T" w:hAnsi="T" w:cs="Simplified Arabic"/>
          <w:sz w:val="24"/>
          <w:szCs w:val="24"/>
          <w:shd w:val="clear" w:color="auto" w:fill="FFFFFF"/>
        </w:rPr>
        <w:t>.</w:t>
      </w:r>
    </w:p>
    <w:p w14:paraId="46A66519"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كما سيتم حساب فترة الاسترداد</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وهي الوقت اللازم لاسترداد الاستثمار الأولي من التدفقات النقدية، ويتم قبول النموذج إذا كانت فترة الاسترداد أقل من 5 سنوات، وهو معيار يعكس سرعة استعادة رأس المال المستثمر</w:t>
      </w:r>
      <w:r w:rsidRPr="005D59A7">
        <w:rPr>
          <w:rFonts w:ascii="T" w:hAnsi="T" w:cs="Simplified Arabic"/>
          <w:sz w:val="24"/>
          <w:szCs w:val="24"/>
          <w:shd w:val="clear" w:color="auto" w:fill="FFFFFF"/>
        </w:rPr>
        <w:t>.</w:t>
      </w:r>
    </w:p>
    <w:p w14:paraId="11CA223F"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نسبة استرداد التكاليف</w:t>
      </w:r>
      <w:r w:rsidRPr="005D59A7">
        <w:rPr>
          <w:rFonts w:ascii="T" w:hAnsi="T" w:cs="Simplified Arabic"/>
          <w:sz w:val="24"/>
          <w:szCs w:val="24"/>
          <w:shd w:val="clear" w:color="auto" w:fill="FFFFFF"/>
        </w:rPr>
        <w:t xml:space="preserve"> (Cost Recovery Ratio) </w:t>
      </w:r>
      <w:r w:rsidRPr="005D59A7">
        <w:rPr>
          <w:rFonts w:ascii="T" w:hAnsi="T" w:cs="Simplified Arabic"/>
          <w:sz w:val="24"/>
          <w:szCs w:val="24"/>
          <w:shd w:val="clear" w:color="auto" w:fill="FFFFFF"/>
          <w:rtl/>
        </w:rPr>
        <w:t>فتحسب بقسمة الإيرادات المتوقعة على التكاليف التشغيلية مضروبة في 100، ويتم قبول النموذج إذا كانت النسبة تساوي أو تزيد عن 100%، مما يعني أن الإيرادات تغطي التكاليف التشغيلية بالكامل</w:t>
      </w:r>
      <w:r w:rsidRPr="005D59A7">
        <w:rPr>
          <w:rFonts w:ascii="T" w:hAnsi="T" w:cs="Simplified Arabic"/>
          <w:sz w:val="24"/>
          <w:szCs w:val="24"/>
          <w:shd w:val="clear" w:color="auto" w:fill="FFFFFF"/>
        </w:rPr>
        <w:t>.</w:t>
      </w:r>
    </w:p>
    <w:p w14:paraId="4F156762" w14:textId="36BAB290"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0" w:name="_Toc233202804"/>
      <w:r w:rsidRPr="005D59A7">
        <w:rPr>
          <w:rFonts w:ascii="T" w:hAnsi="T" w:cs="Simplified Arabic"/>
          <w:color w:val="auto"/>
          <w:sz w:val="24"/>
          <w:szCs w:val="24"/>
          <w:shd w:val="clear" w:color="auto" w:fill="FFFFFF"/>
          <w:rtl/>
        </w:rPr>
        <w:t>مؤشرات مستوى الخدمة</w:t>
      </w:r>
      <w:bookmarkEnd w:id="30"/>
    </w:p>
    <w:p w14:paraId="073921AD"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اعتماد مؤشرات الأداء الرئيسية التالية لقياس جودة الخدمة في النموذج المقترح.</w:t>
      </w:r>
    </w:p>
    <w:p w14:paraId="4A4D0DB4" w14:textId="0BFD15C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 هذه المؤشرات هي نسبة تغطية المنشآت، والتي تقاس بقسمة عدد المنشآت التي تمت زيارتها تفتيشياً على إجمالي المنشآت المسجلة في قاعدة البيانات، مضروبة في 100، والمستهدف أن تصل هذه النسبة إلى 85% على الأقل</w:t>
      </w:r>
      <w:r w:rsidRPr="005D59A7">
        <w:rPr>
          <w:rFonts w:ascii="T" w:hAnsi="T" w:cs="Simplified Arabic"/>
          <w:sz w:val="24"/>
          <w:szCs w:val="24"/>
          <w:shd w:val="clear" w:color="auto" w:fill="FFFFFF"/>
        </w:rPr>
        <w:t>.</w:t>
      </w:r>
    </w:p>
    <w:p w14:paraId="4D3424E7"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الثاني هو نسبة المخالفات المرفوضة، والتي تقاس بقسمة عدد المخالفات المرفوضة على إجمالي المخالفات المرصودة، مضروبة في 100، والمستهدف ألا تتجاوز هذه النسبة 20%، وذلك لضمان جودة ودقة عمليات الرصد</w:t>
      </w:r>
      <w:r w:rsidRPr="005D59A7">
        <w:rPr>
          <w:rFonts w:ascii="T" w:hAnsi="T" w:cs="Simplified Arabic"/>
          <w:sz w:val="24"/>
          <w:szCs w:val="24"/>
          <w:shd w:val="clear" w:color="auto" w:fill="FFFFFF"/>
        </w:rPr>
        <w:t>.</w:t>
      </w:r>
    </w:p>
    <w:p w14:paraId="7FE9BF65"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الثالث هو متوسط زمن إغلاق المخالفة، ويقاس بقسمة إجمالي زمن إغلاق المخالفات على عدد المخالفات، والمستهدف ألا يتجاوز 30 يوماً، مما يعكس سرعة الإجراءات وفعاليتها</w:t>
      </w:r>
      <w:r w:rsidRPr="005D59A7">
        <w:rPr>
          <w:rFonts w:ascii="T" w:hAnsi="T" w:cs="Simplified Arabic"/>
          <w:sz w:val="24"/>
          <w:szCs w:val="24"/>
          <w:shd w:val="clear" w:color="auto" w:fill="FFFFFF"/>
        </w:rPr>
        <w:t>.</w:t>
      </w:r>
    </w:p>
    <w:p w14:paraId="22429C6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المؤشر الرابع فهو عدد الزيارات لكل مفتش سنوياً، ويقاس بقسمة إجمالي الزيارات على عدد المفتشين، والمستهدف أن يتراوح بين 50 و80 زيارة سنوياً، مما يعكس تحقيق توازن بين عبء العمل وجودة الأداء</w:t>
      </w:r>
      <w:r w:rsidRPr="005D59A7">
        <w:rPr>
          <w:rFonts w:ascii="T" w:hAnsi="T" w:cs="Simplified Arabic"/>
          <w:sz w:val="24"/>
          <w:szCs w:val="24"/>
          <w:shd w:val="clear" w:color="auto" w:fill="FFFFFF"/>
        </w:rPr>
        <w:t>.</w:t>
      </w:r>
    </w:p>
    <w:p w14:paraId="379637AD" w14:textId="2E9A4DFC"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1" w:name="_Toc233202805"/>
      <w:r w:rsidRPr="005D59A7">
        <w:rPr>
          <w:rFonts w:ascii="T" w:hAnsi="T" w:cs="Simplified Arabic"/>
          <w:color w:val="auto"/>
          <w:sz w:val="24"/>
          <w:szCs w:val="24"/>
          <w:shd w:val="clear" w:color="auto" w:fill="FFFFFF"/>
          <w:rtl/>
        </w:rPr>
        <w:lastRenderedPageBreak/>
        <w:t>أداة التحليل</w:t>
      </w:r>
      <w:bookmarkEnd w:id="31"/>
    </w:p>
    <w:p w14:paraId="4BFFA7B3" w14:textId="0521DCF9"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برنامج</w:t>
      </w:r>
      <w:r w:rsidRPr="005D59A7">
        <w:rPr>
          <w:rFonts w:ascii="T" w:hAnsi="T" w:cs="Simplified Arabic"/>
          <w:sz w:val="24"/>
          <w:szCs w:val="24"/>
          <w:shd w:val="clear" w:color="auto" w:fill="FFFFFF"/>
        </w:rPr>
        <w:t xml:space="preserve"> Microsoft Excel </w:t>
      </w:r>
      <w:r w:rsidRPr="005D59A7">
        <w:rPr>
          <w:rFonts w:ascii="T" w:hAnsi="T" w:cs="Simplified Arabic"/>
          <w:sz w:val="24"/>
          <w:szCs w:val="24"/>
          <w:shd w:val="clear" w:color="auto" w:fill="FFFFFF"/>
          <w:rtl/>
        </w:rPr>
        <w:t>كأداة رئيسية لإجراء التحليلات المالية والإحصائية، وذلك لتوفره وسهولة استخدامه وقدرته على تنفيذ حسابات</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باستخدام الدوال المالية المدمجة مثل</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XNPV</w:t>
      </w:r>
      <w:r w:rsidRPr="005D59A7">
        <w:rPr>
          <w:rFonts w:ascii="T" w:hAnsi="T" w:cs="Simplified Arabic"/>
          <w:sz w:val="24"/>
          <w:szCs w:val="24"/>
          <w:shd w:val="clear" w:color="auto" w:fill="FFFFFF"/>
          <w:rtl/>
        </w:rPr>
        <w:t>، كما يتيح البرنامج إجراء تحليل الحساسية وإنشاء السيناريوهات المالية المختلفة</w:t>
      </w:r>
      <w:r w:rsidRPr="005D59A7">
        <w:rPr>
          <w:rFonts w:ascii="T" w:hAnsi="T" w:cs="Simplified Arabic"/>
          <w:sz w:val="24"/>
          <w:szCs w:val="24"/>
          <w:shd w:val="clear" w:color="auto" w:fill="FFFFFF"/>
        </w:rPr>
        <w:t>.</w:t>
      </w:r>
    </w:p>
    <w:p w14:paraId="1533FF73" w14:textId="06E8B36A" w:rsidR="004F7ABA" w:rsidRPr="005D59A7" w:rsidRDefault="004F7ABA"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2" w:name="_Toc233202806"/>
      <w:r w:rsidRPr="005D59A7">
        <w:rPr>
          <w:rFonts w:ascii="T" w:hAnsi="T" w:cs="Simplified Arabic"/>
          <w:color w:val="auto"/>
          <w:sz w:val="24"/>
          <w:szCs w:val="24"/>
          <w:shd w:val="clear" w:color="auto" w:fill="FFFFFF"/>
          <w:rtl/>
        </w:rPr>
        <w:t>المتغيرات الضابطة</w:t>
      </w:r>
      <w:bookmarkEnd w:id="32"/>
    </w:p>
    <w:p w14:paraId="06DB8B3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لضمان دقة تفسير النتائج وقابليتها للتعميم، تم تحديد مجموعة من المتغيرات الضابطة التي سيتم استخدامها في التحليل لتقييم تأثير العوامل المختلفة على كفاءة وجودة خدمة التفتيش البيئي. تساعد هذه المتغيرات في عزل تأثير العوامل الخارجية والتركيز على العلاقة الحقيقية بين المتغيرات المستقلة (نموذج التوريد التقليدي / نموذج الشراكة المقترح) والمتغيرات التابعة (الكفاءة التشغيلية، جودة المخرجات، الاستدامة المالية)</w:t>
      </w:r>
      <w:r w:rsidRPr="005D59A7">
        <w:rPr>
          <w:rFonts w:ascii="T" w:hAnsi="T" w:cs="Simplified Arabic"/>
          <w:sz w:val="24"/>
          <w:szCs w:val="24"/>
          <w:shd w:val="clear" w:color="auto" w:fill="FFFFFF"/>
        </w:rPr>
        <w:t>.</w:t>
      </w:r>
    </w:p>
    <w:p w14:paraId="38D87D3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أولاً: تصنيف المنشآت حسب خطورة النشاط</w:t>
      </w:r>
    </w:p>
    <w:p w14:paraId="22FFC815" w14:textId="5037F313"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المشمولة بخدمة التفتيش البيئي إلى ثلاث فئات رئيسية وفقاً لمستوى تأثيرها البيئي المحتمل، وذلك بناءً على التصنيف المعتمد من المركز الوطني للرقابة على الالتزام البيئي</w:t>
      </w:r>
      <w:r w:rsidRPr="005D59A7">
        <w:rPr>
          <w:rFonts w:ascii="T" w:hAnsi="T" w:cs="Simplified Arabic"/>
          <w:sz w:val="24"/>
          <w:szCs w:val="24"/>
          <w:shd w:val="clear" w:color="auto" w:fill="FFFFFF"/>
        </w:rPr>
        <w:t xml:space="preserve"> (NCEC,  2020). </w:t>
      </w:r>
      <w:r w:rsidRPr="005D59A7">
        <w:rPr>
          <w:rFonts w:ascii="T" w:hAnsi="T" w:cs="Simplified Arabic"/>
          <w:sz w:val="24"/>
          <w:szCs w:val="24"/>
          <w:shd w:val="clear" w:color="auto" w:fill="FFFFFF"/>
          <w:rtl/>
        </w:rPr>
        <w:t>تشمل فئة المنشآت عالية الخطورة المنشآت ذات التأثير البيئي الكبير المحتمل، مثل المصانع الكبرى والمنشآت البتروكيماوية ومحطات الطاقة ومصانع الأسمنت، والتي تتطلب تفتيشاً مكثفاً ومتكرراً. أما فئة المنشآت متوسطة الخطورة فتشمل المنشآت ذات التأثير البيئي المتوسط مثل المنشآت الصناعية المتوسطة والمرافق الخدمية الكبرى والمستشفيات، والتي تتطلب تفتيشاً دورياً منتظماً. فيما تشمل فئة المنشآت منخفضة الخطورة المنشآت ذات التأثير البيئي المحدود مثل المنشآت التجارية والمكاتب والمرافق الصغيرة، والتي تتطلب تفتيشاً أقل تكراراً</w:t>
      </w:r>
      <w:r w:rsidRPr="005D59A7">
        <w:rPr>
          <w:rFonts w:ascii="T" w:hAnsi="T" w:cs="Simplified Arabic"/>
          <w:sz w:val="24"/>
          <w:szCs w:val="24"/>
          <w:shd w:val="clear" w:color="auto" w:fill="FFFFFF"/>
        </w:rPr>
        <w:t>.</w:t>
      </w:r>
    </w:p>
    <w:p w14:paraId="543F9213"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ثانياً: تصنيف المنشآت حسب الحجم</w:t>
      </w:r>
    </w:p>
    <w:p w14:paraId="4705364F"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يتم تصنيف المنشآت حسب حجمها التشغيلي إلى ثلاث فئات: المنشآت الكبيرة التي يزيد عدد موظفيها عن 500 موظف أو ذات مساحة تشغيلية كبيرة أو إنتاج سنوي مرتفع، والمنشآت المتوسطة التي </w:t>
      </w:r>
      <w:r w:rsidRPr="005D59A7">
        <w:rPr>
          <w:rFonts w:ascii="T" w:hAnsi="T" w:cs="Simplified Arabic"/>
          <w:sz w:val="24"/>
          <w:szCs w:val="24"/>
          <w:shd w:val="clear" w:color="auto" w:fill="FFFFFF"/>
          <w:rtl/>
        </w:rPr>
        <w:lastRenderedPageBreak/>
        <w:t>يتراوح عدد موظفيها بين 50 و500 موظف، والمنشآت الصغيرة التي يقل عدد موظفيها عن 50 موظفاً. يساعد هذا التصنيف في تقييم تأثير حجم المنشأة على تكلفة وكثافة التفتيش المطلوبة</w:t>
      </w:r>
      <w:r w:rsidRPr="005D59A7">
        <w:rPr>
          <w:rFonts w:ascii="T" w:hAnsi="T" w:cs="Simplified Arabic"/>
          <w:sz w:val="24"/>
          <w:szCs w:val="24"/>
          <w:shd w:val="clear" w:color="auto" w:fill="FFFFFF"/>
        </w:rPr>
        <w:t>.</w:t>
      </w:r>
    </w:p>
    <w:p w14:paraId="01434BE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ثالثاً: تصنيف المنشآت حسب نوع النشاط</w:t>
      </w:r>
    </w:p>
    <w:p w14:paraId="415401A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النشاط الاقتصادي الرئيسي إلى خمس فئات: الصناعية (المنشآت العاملة في قطاع التصنيع والإنتاج الصناعي)، والخدمية (المستشفيات والفنادق والمطاعم والمراكز التجارية)، والزراعية (المنشآت العاملة في قطاع الزراعة والإنتاج الحيواني)، والإنشائية (المنشآت العاملة في قطاع البناء والتشييد)، والبتروكيماوية (المنشآت العاملة في قطاع النفط والغاز والبتروكيماويات). يساعد هذا التصنيف في تقييم تأثير نوع النشاط على طبيعة المخالفات البيئية المتوقعة وكثافة التفتيش المطلوبة</w:t>
      </w:r>
      <w:r w:rsidRPr="005D59A7">
        <w:rPr>
          <w:rFonts w:ascii="T" w:hAnsi="T" w:cs="Simplified Arabic"/>
          <w:sz w:val="24"/>
          <w:szCs w:val="24"/>
          <w:shd w:val="clear" w:color="auto" w:fill="FFFFFF"/>
        </w:rPr>
        <w:t>.</w:t>
      </w:r>
    </w:p>
    <w:p w14:paraId="7B758DDE"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رابعاً: تصنيف المنشآت حسب المنطقة الجغرافية</w:t>
      </w:r>
    </w:p>
    <w:p w14:paraId="45EE9521"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المنطقة الإدارية التي تقع فيها إلى خمس مناطق رئيسية: المنطقة الوسطى (الرياض، القصيم)، والمنطقة الشرقية (الدمام، الأحساء، الجبيل، الظهران)، والمنطقة الغربية (مكة المكرمة، جدة، المدينة المنورة، الطائف)، والمنطقة الشمالية (تبوك، حائل، الحدود الشمالية، الجوف)، والمنطقة الجنوبية (عسير، جازان، نجران، الباحة). يساعد هذا التصنيف في تقييم تأثير العوامل الجغرافية والمناخية والاقتصادية على أداء خدمة التفتيش البيئي</w:t>
      </w:r>
      <w:r w:rsidRPr="005D59A7">
        <w:rPr>
          <w:rFonts w:ascii="T" w:hAnsi="T" w:cs="Simplified Arabic"/>
          <w:sz w:val="24"/>
          <w:szCs w:val="24"/>
          <w:shd w:val="clear" w:color="auto" w:fill="FFFFFF"/>
        </w:rPr>
        <w:t>.</w:t>
      </w:r>
    </w:p>
    <w:p w14:paraId="4D47251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خامساً: آلية استخدام المتغيرات الضابطة في التحليل</w:t>
      </w:r>
    </w:p>
    <w:p w14:paraId="448A40E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المتغيرات الضابطة وفق الآليات التالية: أولاً، التصنيف الطبقي</w:t>
      </w:r>
      <w:r w:rsidRPr="005D59A7">
        <w:rPr>
          <w:rFonts w:ascii="T" w:hAnsi="T" w:cs="Simplified Arabic"/>
          <w:sz w:val="24"/>
          <w:szCs w:val="24"/>
          <w:shd w:val="clear" w:color="auto" w:fill="FFFFFF"/>
        </w:rPr>
        <w:t xml:space="preserve"> (Stratification) </w:t>
      </w:r>
      <w:r w:rsidRPr="005D59A7">
        <w:rPr>
          <w:rFonts w:ascii="T" w:hAnsi="T" w:cs="Simplified Arabic"/>
          <w:sz w:val="24"/>
          <w:szCs w:val="24"/>
          <w:shd w:val="clear" w:color="auto" w:fill="FFFFFF"/>
          <w:rtl/>
        </w:rPr>
        <w:t>حيث سيتم تقسيم عينة الدراسة إلى طبقات متجانسة بناءً على المتغيرات الضابطة (خطورة النشاط، حجم المنشأة، نوع النشاط، المنطقة الجغرافية)، وذلك لضمان تمثيل متوازن لجميع الفئات في التحليل. ثانياً، المقارنة المتجانسة</w:t>
      </w:r>
      <w:r w:rsidRPr="005D59A7">
        <w:rPr>
          <w:rFonts w:ascii="T" w:hAnsi="T" w:cs="Simplified Arabic"/>
          <w:sz w:val="24"/>
          <w:szCs w:val="24"/>
          <w:shd w:val="clear" w:color="auto" w:fill="FFFFFF"/>
        </w:rPr>
        <w:t xml:space="preserve"> (Homogeneous Comparison) </w:t>
      </w:r>
      <w:r w:rsidRPr="005D59A7">
        <w:rPr>
          <w:rFonts w:ascii="T" w:hAnsi="T" w:cs="Simplified Arabic"/>
          <w:sz w:val="24"/>
          <w:szCs w:val="24"/>
          <w:shd w:val="clear" w:color="auto" w:fill="FFFFFF"/>
          <w:rtl/>
        </w:rPr>
        <w:t>حيث سيتم إجراء المقارنات بين النموذج الحالي والنموذج المقترح داخل كل طبقة من المتغيرات الضابطة على حدة، لضمان أن الفروق في الأداء تعزى إلى النموذج التشغيلي وليس إلى اختلافات في خصائص المنشآت. ثالثاً، تحليل التباين متعدد المتغيرات</w:t>
      </w:r>
      <w:r w:rsidRPr="005D59A7">
        <w:rPr>
          <w:rFonts w:ascii="T" w:hAnsi="T" w:cs="Simplified Arabic"/>
          <w:sz w:val="24"/>
          <w:szCs w:val="24"/>
          <w:shd w:val="clear" w:color="auto" w:fill="FFFFFF"/>
        </w:rPr>
        <w:t xml:space="preserve"> (MANOVA) </w:t>
      </w:r>
      <w:r w:rsidRPr="005D59A7">
        <w:rPr>
          <w:rFonts w:ascii="T" w:hAnsi="T" w:cs="Simplified Arabic"/>
          <w:sz w:val="24"/>
          <w:szCs w:val="24"/>
          <w:shd w:val="clear" w:color="auto" w:fill="FFFFFF"/>
          <w:rtl/>
        </w:rPr>
        <w:t xml:space="preserve">لتقييم تأثير المتغيرات الضابطة على المؤشرات التابعة (التكلفة التشغيلية للزيارة، نسبة المخالفات المرفوضة، نسبة التغطية)، وذلك لتحديد ما إذا كانت الفروق بين المجموعات ذات دلالة إحصائية. رابعاً، تحليل الانحدار </w:t>
      </w:r>
      <w:r w:rsidRPr="005D59A7">
        <w:rPr>
          <w:rFonts w:ascii="T" w:hAnsi="T" w:cs="Simplified Arabic"/>
          <w:sz w:val="24"/>
          <w:szCs w:val="24"/>
          <w:shd w:val="clear" w:color="auto" w:fill="FFFFFF"/>
          <w:rtl/>
        </w:rPr>
        <w:lastRenderedPageBreak/>
        <w:t>المتعدد</w:t>
      </w:r>
      <w:r w:rsidRPr="005D59A7">
        <w:rPr>
          <w:rFonts w:ascii="T" w:hAnsi="T" w:cs="Simplified Arabic"/>
          <w:sz w:val="24"/>
          <w:szCs w:val="24"/>
          <w:shd w:val="clear" w:color="auto" w:fill="FFFFFF"/>
        </w:rPr>
        <w:t xml:space="preserve"> (Multiple Regression) </w:t>
      </w:r>
      <w:r w:rsidRPr="005D59A7">
        <w:rPr>
          <w:rFonts w:ascii="T" w:hAnsi="T" w:cs="Simplified Arabic"/>
          <w:sz w:val="24"/>
          <w:szCs w:val="24"/>
          <w:shd w:val="clear" w:color="auto" w:fill="FFFFFF"/>
          <w:rtl/>
        </w:rPr>
        <w:t>لتقدير تأثير كل من المتغيرات المستقلة (نوع النموذج) والمتغيرات الضابطة على المتغيرات التابعة، وذلك لتحديد المساهم النسبي لكل متغير في تفسير التباين. خامساً، تحليل الحساسية</w:t>
      </w:r>
      <w:r w:rsidRPr="005D59A7">
        <w:rPr>
          <w:rFonts w:ascii="T" w:hAnsi="T" w:cs="Simplified Arabic"/>
          <w:sz w:val="24"/>
          <w:szCs w:val="24"/>
          <w:shd w:val="clear" w:color="auto" w:fill="FFFFFF"/>
        </w:rPr>
        <w:t xml:space="preserve"> (Sensitivity Analysis) </w:t>
      </w:r>
      <w:r w:rsidRPr="005D59A7">
        <w:rPr>
          <w:rFonts w:ascii="T" w:hAnsi="T" w:cs="Simplified Arabic"/>
          <w:sz w:val="24"/>
          <w:szCs w:val="24"/>
          <w:shd w:val="clear" w:color="auto" w:fill="FFFFFF"/>
          <w:rtl/>
        </w:rPr>
        <w:t>لتقييم مدى استقرار النتائج عند تغيير تصنيفات المتغيرات الضابطة</w:t>
      </w:r>
      <w:r w:rsidRPr="005D59A7">
        <w:rPr>
          <w:rFonts w:ascii="T" w:hAnsi="T" w:cs="Simplified Arabic"/>
          <w:sz w:val="24"/>
          <w:szCs w:val="24"/>
          <w:shd w:val="clear" w:color="auto" w:fill="FFFFFF"/>
        </w:rPr>
        <w:t>.</w:t>
      </w:r>
    </w:p>
    <w:p w14:paraId="14D664F1" w14:textId="317B29B9" w:rsidR="00E4150D" w:rsidRPr="005D59A7" w:rsidRDefault="005E3641" w:rsidP="008A5ED9">
      <w:pPr>
        <w:pStyle w:val="Heading2"/>
        <w:bidi/>
        <w:rPr>
          <w:rFonts w:ascii="T" w:hAnsi="T" w:cs="Simplified Arabic"/>
          <w:color w:val="auto"/>
          <w:sz w:val="24"/>
          <w:szCs w:val="24"/>
          <w:shd w:val="clear" w:color="auto" w:fill="FFFFFF"/>
          <w:rtl/>
        </w:rPr>
      </w:pPr>
      <w:bookmarkStart w:id="33" w:name="_Toc233202807"/>
      <w:r w:rsidRPr="005D59A7">
        <w:rPr>
          <w:rFonts w:ascii="T" w:hAnsi="T" w:cs="Simplified Arabic"/>
          <w:color w:val="auto"/>
          <w:sz w:val="24"/>
          <w:szCs w:val="24"/>
          <w:shd w:val="clear" w:color="auto" w:fill="FFFFFF"/>
          <w:rtl/>
        </w:rPr>
        <w:t>نموذج الدراسة</w:t>
      </w:r>
      <w:bookmarkEnd w:id="33"/>
    </w:p>
    <w:p w14:paraId="7FEB3B80" w14:textId="77777777" w:rsidR="00210FA3" w:rsidRPr="005D59A7" w:rsidRDefault="00E4150D" w:rsidP="00861DC2">
      <w:pPr>
        <w:bidi/>
        <w:spacing w:after="0" w:line="360" w:lineRule="auto"/>
        <w:ind w:left="720"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5E3641" w:rsidRPr="005D59A7">
        <w:rPr>
          <w:rFonts w:ascii="T" w:hAnsi="T" w:cs="Simplified Arabic"/>
          <w:sz w:val="24"/>
          <w:szCs w:val="24"/>
          <w:shd w:val="clear" w:color="auto" w:fill="FFFFFF"/>
          <w:rtl/>
        </w:rPr>
        <w:t>لل</w:t>
      </w:r>
      <w:r w:rsidRPr="005D59A7">
        <w:rPr>
          <w:rFonts w:ascii="T" w:hAnsi="T" w:cs="Simplified Arabic"/>
          <w:sz w:val="24"/>
          <w:szCs w:val="24"/>
          <w:shd w:val="clear" w:color="auto" w:fill="FFFFFF"/>
          <w:rtl/>
        </w:rPr>
        <w:t xml:space="preserve">خدمة </w:t>
      </w:r>
      <w:r w:rsidR="005E3641" w:rsidRPr="005D59A7">
        <w:rPr>
          <w:rFonts w:ascii="T" w:hAnsi="T" w:cs="Simplified Arabic"/>
          <w:sz w:val="24"/>
          <w:szCs w:val="24"/>
          <w:shd w:val="clear" w:color="auto" w:fill="FFFFFF"/>
          <w:rtl/>
        </w:rPr>
        <w:t>ال</w:t>
      </w:r>
      <w:r w:rsidRPr="005D59A7">
        <w:rPr>
          <w:rFonts w:ascii="T" w:hAnsi="T" w:cs="Simplified Arabic"/>
          <w:sz w:val="24"/>
          <w:szCs w:val="24"/>
          <w:shd w:val="clear" w:color="auto" w:fill="FFFFFF"/>
          <w:rtl/>
        </w:rPr>
        <w:t xml:space="preserve">بيئية </w:t>
      </w:r>
      <w:r w:rsidR="005E3641" w:rsidRPr="005D59A7">
        <w:rPr>
          <w:rFonts w:ascii="T" w:hAnsi="T" w:cs="Simplified Arabic"/>
          <w:sz w:val="24"/>
          <w:szCs w:val="24"/>
          <w:shd w:val="clear" w:color="auto" w:fill="FFFFFF"/>
          <w:rtl/>
        </w:rPr>
        <w:t xml:space="preserve">المختارة </w:t>
      </w:r>
      <w:r w:rsidRPr="005D59A7">
        <w:rPr>
          <w:rFonts w:ascii="T" w:hAnsi="T" w:cs="Simplified Arabic"/>
          <w:sz w:val="24"/>
          <w:szCs w:val="24"/>
          <w:shd w:val="clear" w:color="auto" w:fill="FFFFFF"/>
          <w:rtl/>
        </w:rPr>
        <w:t>كنموذج وعمل دراسات الجدوى اللازمة لها لاقتراح نموذج شراكة بين القطاع العام والخاص لها شاملةً تحاليل الكفاءة التشغيلية والمالية.</w:t>
      </w:r>
      <w:r w:rsidR="005E3641" w:rsidRPr="005D59A7">
        <w:rPr>
          <w:rFonts w:ascii="T" w:hAnsi="T" w:cs="Simplified Arabic"/>
          <w:sz w:val="24"/>
          <w:szCs w:val="24"/>
          <w:shd w:val="clear" w:color="auto" w:fill="FFFFFF"/>
          <w:rtl/>
        </w:rPr>
        <w:t xml:space="preserve"> و</w:t>
      </w:r>
      <w:r w:rsidRPr="005D59A7">
        <w:rPr>
          <w:rFonts w:ascii="T" w:hAnsi="T" w:cs="Simplified Arabic"/>
          <w:sz w:val="24"/>
          <w:szCs w:val="24"/>
          <w:shd w:val="clear" w:color="auto" w:fill="FFFFFF"/>
          <w:rtl/>
        </w:rPr>
        <w:t xml:space="preserve">يعد التحليل وصفي كمي لتحليل الجدوى والتحليل المالي مثل تحليل التكاليف، وتحليل الكفاءة، وغيرها من التحاليل المطلوبة عند الحاجة وفقاً لبنود دراسة الجدوى الأولية </w:t>
      </w:r>
      <w:r w:rsidR="000C7BC3" w:rsidRPr="005D59A7">
        <w:rPr>
          <w:rFonts w:ascii="T" w:hAnsi="T" w:cs="Simplified Arabic"/>
          <w:sz w:val="24"/>
          <w:szCs w:val="24"/>
          <w:shd w:val="clear" w:color="auto" w:fill="FFFFFF"/>
          <w:rtl/>
        </w:rPr>
        <w:t>واشتراطات دليل تخصيص المشاريع الصادر من المركز الوطني للتخصيص</w:t>
      </w:r>
      <w:r w:rsidRPr="005D59A7">
        <w:rPr>
          <w:rFonts w:ascii="T" w:hAnsi="T" w:cs="Simplified Arabic"/>
          <w:sz w:val="24"/>
          <w:szCs w:val="24"/>
          <w:shd w:val="clear" w:color="auto" w:fill="FFFFFF"/>
          <w:rtl/>
        </w:rPr>
        <w:t>.</w:t>
      </w:r>
      <w:r w:rsidR="005E3641" w:rsidRPr="005D59A7">
        <w:rPr>
          <w:rFonts w:ascii="T" w:hAnsi="T" w:cs="Simplified Arabic"/>
          <w:sz w:val="24"/>
          <w:szCs w:val="24"/>
          <w:shd w:val="clear" w:color="auto" w:fill="FFFFFF"/>
          <w:rtl/>
        </w:rPr>
        <w:t xml:space="preserve"> وبالتالي، يوضح النموذج الموضح أدناه </w:t>
      </w:r>
      <w:r w:rsidR="00210FA3" w:rsidRPr="005D59A7">
        <w:rPr>
          <w:rFonts w:ascii="T" w:hAnsi="T" w:cs="Simplified Arabic"/>
          <w:sz w:val="24"/>
          <w:szCs w:val="24"/>
          <w:shd w:val="clear" w:color="auto" w:fill="FFFFFF"/>
          <w:rtl/>
        </w:rPr>
        <w:t>المراجعة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النظرية</w:t>
      </w:r>
      <w:r w:rsidR="005E3641" w:rsidRPr="005D59A7">
        <w:rPr>
          <w:rFonts w:ascii="T" w:hAnsi="T" w:cs="Simplified Arabic"/>
          <w:sz w:val="24"/>
          <w:szCs w:val="24"/>
          <w:shd w:val="clear" w:color="auto" w:fill="FFFFFF"/>
          <w:rtl/>
        </w:rPr>
        <w:t xml:space="preserve"> التي تعتمد</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الدراسة</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عليها. وتشمل</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إعادة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هيكلة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القطاع</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البيئي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الحالية،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بما</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في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ذلك</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رؤية 2030 والإستراتيجية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الوطنية</w:t>
      </w:r>
      <w:r w:rsidR="00AB3EFD"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للبيئة.</w:t>
      </w:r>
    </w:p>
    <w:p w14:paraId="7E56A86A" w14:textId="77777777" w:rsidR="00ED6028" w:rsidRPr="005D59A7" w:rsidRDefault="00ED6028" w:rsidP="00861DC2">
      <w:pPr>
        <w:pStyle w:val="ListParagraph"/>
        <w:bidi/>
        <w:spacing w:line="360" w:lineRule="auto"/>
        <w:ind w:firstLine="720"/>
        <w:rPr>
          <w:rFonts w:ascii="T" w:hAnsi="T" w:cs="Simplified Arabic"/>
          <w:sz w:val="24"/>
          <w:szCs w:val="24"/>
          <w:shd w:val="clear" w:color="auto" w:fill="FFFFFF"/>
          <w:rtl/>
        </w:rPr>
      </w:pPr>
    </w:p>
    <w:p w14:paraId="5D87E1B8" w14:textId="501DD20E" w:rsidR="00210FA3" w:rsidRPr="005D59A7" w:rsidRDefault="003B4A9A" w:rsidP="003B4A9A">
      <w:pPr>
        <w:bidi/>
        <w:spacing w:line="360" w:lineRule="auto"/>
        <w:rPr>
          <w:rFonts w:ascii="T" w:hAnsi="T" w:cs="Simplified Arabic"/>
          <w:sz w:val="24"/>
          <w:szCs w:val="24"/>
          <w:shd w:val="clear" w:color="auto" w:fill="FFFFFF"/>
          <w:rtl/>
        </w:rPr>
      </w:pPr>
      <w:r w:rsidRPr="005D59A7">
        <w:rPr>
          <w:rFonts w:ascii="T" w:hAnsi="T" w:cs="Simplified Arabic"/>
          <w:sz w:val="24"/>
          <w:szCs w:val="24"/>
          <w:shd w:val="clear" w:color="auto" w:fill="FFFFFF"/>
        </w:rPr>
        <w:t xml:space="preserve"> </w:t>
      </w:r>
      <w:r w:rsidR="002F608A" w:rsidRPr="005D59A7">
        <w:rPr>
          <w:rFonts w:ascii="T" w:hAnsi="T"/>
          <w:shd w:val="clear" w:color="auto" w:fill="FFFFFF"/>
        </w:rPr>
        <w:object w:dxaOrig="4320" w:dyaOrig="4320" w14:anchorId="7C503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235.5pt" o:ole="">
            <v:imagedata r:id="rId10" o:title=""/>
          </v:shape>
          <o:OLEObject Type="Embed" ProgID="FoxitReader.Document" ShapeID="_x0000_i1025" DrawAspect="Content" ObjectID="_1844186635" r:id="rId11"/>
        </w:object>
      </w:r>
    </w:p>
    <w:p w14:paraId="40EB2962" w14:textId="0079C0D8" w:rsidR="000B0E21" w:rsidRPr="005D59A7" w:rsidRDefault="00920785" w:rsidP="00861DC2">
      <w:pPr>
        <w:pStyle w:val="Caption"/>
        <w:bidi/>
        <w:spacing w:line="360" w:lineRule="auto"/>
        <w:ind w:firstLine="720"/>
        <w:jc w:val="center"/>
        <w:rPr>
          <w:rFonts w:ascii="T" w:hAnsi="T" w:cs="Simplified Arabic"/>
          <w:noProof/>
          <w:color w:val="auto"/>
          <w:sz w:val="24"/>
          <w:szCs w:val="24"/>
          <w:rtl/>
        </w:rPr>
      </w:pPr>
      <w:bookmarkStart w:id="34" w:name="_Toc213846040"/>
      <w:bookmarkStart w:id="35" w:name="_Toc225991165"/>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الإطار الهيكلي لنموذج الدراسة</w:t>
      </w:r>
      <w:bookmarkEnd w:id="34"/>
      <w:bookmarkEnd w:id="35"/>
    </w:p>
    <w:p w14:paraId="189F70C4" w14:textId="77777777" w:rsidR="00646FBB" w:rsidRPr="005D59A7" w:rsidRDefault="00646FBB" w:rsidP="00861DC2">
      <w:pPr>
        <w:bidi/>
        <w:spacing w:line="360" w:lineRule="auto"/>
        <w:ind w:firstLine="720"/>
        <w:rPr>
          <w:rFonts w:ascii="T" w:hAnsi="T" w:cs="Simplified Arabic"/>
          <w:sz w:val="24"/>
          <w:szCs w:val="24"/>
          <w:rtl/>
        </w:rPr>
      </w:pPr>
    </w:p>
    <w:p w14:paraId="37B5D2B7" w14:textId="77777777" w:rsidR="00A42786" w:rsidRPr="005D59A7" w:rsidRDefault="00A42786"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يشير النموذج إلى</w:t>
      </w:r>
      <w:r w:rsidR="00333980" w:rsidRPr="005D59A7">
        <w:rPr>
          <w:rFonts w:ascii="T" w:hAnsi="T" w:cs="Simplified Arabic"/>
          <w:sz w:val="24"/>
          <w:szCs w:val="24"/>
          <w:rtl/>
        </w:rPr>
        <w:t xml:space="preserve"> </w:t>
      </w:r>
      <w:r w:rsidR="0010375B" w:rsidRPr="005D59A7">
        <w:rPr>
          <w:rFonts w:ascii="T" w:hAnsi="T" w:cs="Simplified Arabic"/>
          <w:sz w:val="24"/>
          <w:szCs w:val="24"/>
          <w:rtl/>
        </w:rPr>
        <w:t>إعادة الهيكلة للقطاع للبيئي</w:t>
      </w:r>
      <w:r w:rsidRPr="005D59A7">
        <w:rPr>
          <w:rFonts w:ascii="T" w:hAnsi="T" w:cs="Simplified Arabic"/>
          <w:sz w:val="24"/>
          <w:szCs w:val="24"/>
          <w:rtl/>
        </w:rPr>
        <w:t xml:space="preserve"> انطلاقاً من الرؤية ومروراً ببرنامج التحول الوطني وبرنامج التخصيص والإستراتيجية الوطنية للبيئة والجهات المستحدثة تحت إشراف وزارة البيئة والمياه والزراعة. كما يشير إلى أنه سيتم مناقشة الخدمات البيئية التي تقدمها الجهات وما يتم تقديمه من خلال القطاع الخاص مع التنويه بأنه سيتم عرض نموذج مقترح للشراكة مع القطاع الخاص لخدمة التفتيش البيئي. وكما تم الذكر مسبقاً، تم اختيار خدمة التفتيش البيئي لثلاثة أسباب رئيسية وهي: 1) يعد المركز الوطني للرقابة على الالتزام البيئي الجهة الرئيسية بين المراكز الخمسة المستحدثة من الإستراتيجية الوطنية للبيئة، 2) يعد التفتيش البيئي الخدمة الأساسية والرئيسية والدورية التي يقدمها المركز ويستند عليها بشكل رئيسي، 3) وجود بيانات ودراسات سابقة لدى الباحث في المستهدف المطلوب. </w:t>
      </w:r>
    </w:p>
    <w:p w14:paraId="55618335" w14:textId="77777777" w:rsidR="00C54779" w:rsidRPr="005D59A7" w:rsidRDefault="00AA774F"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عليه، س</w:t>
      </w:r>
      <w:r w:rsidR="00C838F5" w:rsidRPr="005D59A7">
        <w:rPr>
          <w:rFonts w:ascii="T" w:hAnsi="T" w:cs="Simplified Arabic"/>
          <w:sz w:val="24"/>
          <w:szCs w:val="24"/>
          <w:rtl/>
        </w:rPr>
        <w:t>تساهم هذه الدراسة في تمكين القطاع الخاص من المشاركة في تقديم الخدمات البيئية مع القطاع العا</w:t>
      </w:r>
      <w:r w:rsidR="009F4758" w:rsidRPr="005D59A7">
        <w:rPr>
          <w:rFonts w:ascii="T" w:hAnsi="T" w:cs="Simplified Arabic"/>
          <w:sz w:val="24"/>
          <w:szCs w:val="24"/>
          <w:rtl/>
        </w:rPr>
        <w:t xml:space="preserve">م وذلك عن طريق </w:t>
      </w:r>
      <w:r w:rsidR="00C54779" w:rsidRPr="005D59A7">
        <w:rPr>
          <w:rFonts w:ascii="T" w:hAnsi="T" w:cs="Simplified Arabic"/>
          <w:sz w:val="24"/>
          <w:szCs w:val="24"/>
          <w:rtl/>
        </w:rPr>
        <w:t>عرض الدراسات والبيانات الموجودة وتحليلها لتكون نموذج يحتذى به في الخدمات الأخرى</w:t>
      </w:r>
      <w:r w:rsidR="009F4758" w:rsidRPr="005D59A7">
        <w:rPr>
          <w:rFonts w:ascii="T" w:hAnsi="T" w:cs="Simplified Arabic"/>
          <w:sz w:val="24"/>
          <w:szCs w:val="24"/>
          <w:rtl/>
        </w:rPr>
        <w:t xml:space="preserve">. وتتمثل العلاقة السببية أو </w:t>
      </w:r>
      <w:r w:rsidR="00EA0711" w:rsidRPr="005D59A7">
        <w:rPr>
          <w:rFonts w:ascii="T" w:hAnsi="T" w:cs="Simplified Arabic"/>
          <w:sz w:val="24"/>
          <w:szCs w:val="24"/>
          <w:rtl/>
        </w:rPr>
        <w:t>الإرتباطية</w:t>
      </w:r>
      <w:r w:rsidR="009F4758" w:rsidRPr="005D59A7">
        <w:rPr>
          <w:rFonts w:ascii="T" w:hAnsi="T" w:cs="Simplified Arabic"/>
          <w:sz w:val="24"/>
          <w:szCs w:val="24"/>
          <w:rtl/>
        </w:rPr>
        <w:t xml:space="preserve"> الأساسية في</w:t>
      </w:r>
      <w:r w:rsidR="00C838F5" w:rsidRPr="005D59A7">
        <w:rPr>
          <w:rFonts w:ascii="T" w:hAnsi="T" w:cs="Simplified Arabic"/>
          <w:sz w:val="24"/>
          <w:szCs w:val="24"/>
          <w:rtl/>
        </w:rPr>
        <w:t xml:space="preserve"> المساهمة في خفض التكاليف على عاتق القطاع العام</w:t>
      </w:r>
      <w:r w:rsidR="00B71861" w:rsidRPr="005D59A7">
        <w:rPr>
          <w:rFonts w:ascii="T" w:hAnsi="T" w:cs="Simplified Arabic"/>
          <w:sz w:val="24"/>
          <w:szCs w:val="24"/>
          <w:rtl/>
        </w:rPr>
        <w:t xml:space="preserve"> والتموي</w:t>
      </w:r>
      <w:r w:rsidR="009F4758" w:rsidRPr="005D59A7">
        <w:rPr>
          <w:rFonts w:ascii="T" w:hAnsi="T" w:cs="Simplified Arabic"/>
          <w:sz w:val="24"/>
          <w:szCs w:val="24"/>
          <w:rtl/>
        </w:rPr>
        <w:t>ل البيئي القادم من صندوق البيئة للمراكز البيئية الخمسة عن طريق إشراك القطاع الخاص في تقديم الخدمات</w:t>
      </w:r>
      <w:r w:rsidR="00E4150D" w:rsidRPr="005D59A7">
        <w:rPr>
          <w:rFonts w:ascii="T" w:hAnsi="T" w:cs="Simplified Arabic"/>
          <w:sz w:val="24"/>
          <w:szCs w:val="24"/>
          <w:rtl/>
        </w:rPr>
        <w:t>.</w:t>
      </w:r>
    </w:p>
    <w:p w14:paraId="4C070464" w14:textId="77777777" w:rsidR="0010375B" w:rsidRPr="005D59A7" w:rsidRDefault="0010375B"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t xml:space="preserve"> </w:t>
      </w:r>
      <w:r w:rsidR="00060EF4" w:rsidRPr="005D59A7">
        <w:rPr>
          <w:rFonts w:ascii="T" w:hAnsi="T" w:cs="Simplified Arabic"/>
          <w:sz w:val="24"/>
          <w:szCs w:val="24"/>
          <w:rtl/>
        </w:rPr>
        <w:t>و</w:t>
      </w:r>
      <w:r w:rsidRPr="005D59A7">
        <w:rPr>
          <w:rFonts w:ascii="T" w:hAnsi="T" w:cs="Simplified Arabic"/>
          <w:sz w:val="24"/>
          <w:szCs w:val="24"/>
          <w:rtl/>
        </w:rPr>
        <w:t>تعد الخطوات الموضحة أدناه هي الخطوات الأساسية لتنفيذ الدراسة</w:t>
      </w:r>
      <w:r w:rsidR="00060EF4" w:rsidRPr="005D59A7">
        <w:rPr>
          <w:rFonts w:ascii="T" w:hAnsi="T" w:cs="Simplified Arabic"/>
          <w:sz w:val="24"/>
          <w:szCs w:val="24"/>
          <w:rtl/>
        </w:rPr>
        <w:t xml:space="preserve"> والتي سيتم مناقشتها في الفصول القادمة للرسالة:</w:t>
      </w:r>
    </w:p>
    <w:p w14:paraId="444049B8"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المراجعة الأدبية ابتداءً من رؤية المملكة ومبادرات الشراكة بين القطاعين العام والخاص.</w:t>
      </w:r>
    </w:p>
    <w:p w14:paraId="7158E611"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 والهيكلة التنظيمية لقطاع البيئية.</w:t>
      </w:r>
    </w:p>
    <w:p w14:paraId="7A7F0C4A"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بالجهات المعنية ومهامها.</w:t>
      </w:r>
    </w:p>
    <w:p w14:paraId="7707654C"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مناقشة الخدمات البيئية المتوفرة.</w:t>
      </w:r>
    </w:p>
    <w:p w14:paraId="71C5FC88" w14:textId="77777777" w:rsidR="00C54779"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إعداد وعرض دراسة الجدوى لخدمة التفتيش البيئي لاقتراح نموذج شراكة مع القطاع الخاص</w:t>
      </w:r>
      <w:r w:rsidR="00A42786" w:rsidRPr="005D59A7">
        <w:rPr>
          <w:rFonts w:ascii="T" w:hAnsi="T" w:cs="Simplified Arabic"/>
          <w:sz w:val="24"/>
          <w:szCs w:val="24"/>
          <w:shd w:val="clear" w:color="auto" w:fill="FFFFFF"/>
          <w:rtl/>
        </w:rPr>
        <w:t>.</w:t>
      </w:r>
    </w:p>
    <w:p w14:paraId="5375EB36" w14:textId="7E997925" w:rsidR="00B5432A" w:rsidRPr="005D59A7" w:rsidRDefault="00060EF4"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وفي </w:t>
      </w:r>
      <w:r w:rsidR="00DB16F3" w:rsidRPr="005D59A7">
        <w:rPr>
          <w:rFonts w:ascii="T" w:hAnsi="T" w:cs="Simplified Arabic"/>
          <w:sz w:val="24"/>
          <w:szCs w:val="24"/>
          <w:rtl/>
        </w:rPr>
        <w:t>ختام</w:t>
      </w:r>
      <w:r w:rsidRPr="005D59A7">
        <w:rPr>
          <w:rFonts w:ascii="T" w:hAnsi="T" w:cs="Simplified Arabic"/>
          <w:sz w:val="24"/>
          <w:szCs w:val="24"/>
          <w:rtl/>
        </w:rPr>
        <w:t xml:space="preserve"> هذا الفصل</w:t>
      </w:r>
      <w:r w:rsidR="00DB16F3" w:rsidRPr="005D59A7">
        <w:rPr>
          <w:rFonts w:ascii="T" w:hAnsi="T" w:cs="Simplified Arabic"/>
          <w:sz w:val="24"/>
          <w:szCs w:val="24"/>
          <w:rtl/>
        </w:rPr>
        <w:t>، يقدّم الفصل الثاني مراجعةً مُركّزة للأدبيات والنموذج المفاهيمي النهائي وفجوة البحث؛ ويعرض الفصل الثالث المنهجية التفصيلية وخطة التحليل</w:t>
      </w:r>
      <w:r w:rsidR="00E31E98" w:rsidRPr="005D59A7">
        <w:rPr>
          <w:rFonts w:ascii="T" w:hAnsi="T" w:cs="Simplified Arabic"/>
          <w:sz w:val="24"/>
          <w:szCs w:val="24"/>
          <w:rtl/>
        </w:rPr>
        <w:t xml:space="preserve">، بينما يستعرض الفصل </w:t>
      </w:r>
      <w:r w:rsidR="00EB1549" w:rsidRPr="005D59A7">
        <w:rPr>
          <w:rFonts w:ascii="T" w:hAnsi="T" w:cs="Simplified Arabic"/>
          <w:sz w:val="24"/>
          <w:szCs w:val="24"/>
          <w:rtl/>
        </w:rPr>
        <w:t>الرابع النتائج</w:t>
      </w:r>
      <w:r w:rsidR="00E31E98" w:rsidRPr="005D59A7">
        <w:rPr>
          <w:rFonts w:ascii="T" w:hAnsi="T" w:cs="Simplified Arabic"/>
          <w:sz w:val="24"/>
          <w:szCs w:val="24"/>
          <w:rtl/>
        </w:rPr>
        <w:t xml:space="preserve"> واختبار الفرضيات</w:t>
      </w:r>
      <w:r w:rsidR="00DB16F3" w:rsidRPr="005D59A7">
        <w:rPr>
          <w:rFonts w:ascii="T" w:hAnsi="T" w:cs="Simplified Arabic"/>
          <w:sz w:val="24"/>
          <w:szCs w:val="24"/>
          <w:rtl/>
        </w:rPr>
        <w:t xml:space="preserve">؛ </w:t>
      </w:r>
      <w:r w:rsidR="00E31E98" w:rsidRPr="005D59A7">
        <w:rPr>
          <w:rFonts w:ascii="T" w:hAnsi="T" w:cs="Simplified Arabic"/>
          <w:sz w:val="24"/>
          <w:szCs w:val="24"/>
          <w:rtl/>
        </w:rPr>
        <w:t>وتختتم الرسالة</w:t>
      </w:r>
      <w:r w:rsidR="00DB16F3" w:rsidRPr="005D59A7">
        <w:rPr>
          <w:rFonts w:ascii="T" w:hAnsi="T" w:cs="Simplified Arabic"/>
          <w:sz w:val="24"/>
          <w:szCs w:val="24"/>
          <w:rtl/>
        </w:rPr>
        <w:t xml:space="preserve"> </w:t>
      </w:r>
      <w:r w:rsidR="00E31E98" w:rsidRPr="005D59A7">
        <w:rPr>
          <w:rFonts w:ascii="T" w:hAnsi="T" w:cs="Simplified Arabic"/>
          <w:sz w:val="24"/>
          <w:szCs w:val="24"/>
          <w:rtl/>
        </w:rPr>
        <w:t>ب</w:t>
      </w:r>
      <w:r w:rsidR="00DB16F3" w:rsidRPr="005D59A7">
        <w:rPr>
          <w:rFonts w:ascii="T" w:hAnsi="T" w:cs="Simplified Arabic"/>
          <w:sz w:val="24"/>
          <w:szCs w:val="24"/>
          <w:rtl/>
        </w:rPr>
        <w:t xml:space="preserve">الفصل </w:t>
      </w:r>
      <w:r w:rsidR="00E31E98" w:rsidRPr="005D59A7">
        <w:rPr>
          <w:rFonts w:ascii="T" w:hAnsi="T" w:cs="Simplified Arabic"/>
          <w:sz w:val="24"/>
          <w:szCs w:val="24"/>
          <w:rtl/>
        </w:rPr>
        <w:t>الخامس ب</w:t>
      </w:r>
      <w:r w:rsidR="00DB16F3" w:rsidRPr="005D59A7">
        <w:rPr>
          <w:rFonts w:ascii="T" w:hAnsi="T" w:cs="Simplified Arabic"/>
          <w:sz w:val="24"/>
          <w:szCs w:val="24"/>
          <w:rtl/>
        </w:rPr>
        <w:t>مناقشة</w:t>
      </w:r>
      <w:r w:rsidRPr="005D59A7">
        <w:rPr>
          <w:rFonts w:ascii="T" w:hAnsi="T" w:cs="Simplified Arabic"/>
          <w:sz w:val="24"/>
          <w:szCs w:val="24"/>
          <w:rtl/>
        </w:rPr>
        <w:t xml:space="preserve"> مصفوفة المخاطر</w:t>
      </w:r>
      <w:r w:rsidR="00DB16F3" w:rsidRPr="005D59A7">
        <w:rPr>
          <w:rFonts w:ascii="T" w:hAnsi="T" w:cs="Simplified Arabic"/>
          <w:sz w:val="24"/>
          <w:szCs w:val="24"/>
          <w:rtl/>
        </w:rPr>
        <w:t xml:space="preserve"> والتوصيات والسياسات والحدود والبحوث المستقبلية.</w:t>
      </w:r>
    </w:p>
    <w:bookmarkEnd w:id="4"/>
    <w:p w14:paraId="6DCD4F8E" w14:textId="77777777" w:rsidR="00077001" w:rsidRPr="005D59A7" w:rsidRDefault="00077001" w:rsidP="00861DC2">
      <w:pPr>
        <w:bidi/>
        <w:spacing w:after="200" w:line="360" w:lineRule="auto"/>
        <w:ind w:left="720" w:firstLine="720"/>
        <w:jc w:val="both"/>
        <w:rPr>
          <w:rFonts w:ascii="T" w:hAnsi="T" w:cs="Simplified Arabic"/>
          <w:sz w:val="24"/>
          <w:szCs w:val="24"/>
          <w:rtl/>
        </w:rPr>
      </w:pPr>
    </w:p>
    <w:p w14:paraId="3F60071C" w14:textId="77777777" w:rsidR="008A5ED9" w:rsidRPr="005D59A7" w:rsidRDefault="008A5ED9" w:rsidP="008A5ED9">
      <w:pPr>
        <w:rPr>
          <w:rFonts w:ascii="T" w:hAnsi="T" w:cs="Simplified Arabic"/>
          <w:sz w:val="24"/>
          <w:szCs w:val="24"/>
          <w:shd w:val="clear" w:color="auto" w:fill="FFFFFF"/>
          <w:rtl/>
        </w:rPr>
      </w:pPr>
      <w:bookmarkStart w:id="36" w:name="_Hlk225713754"/>
    </w:p>
    <w:p w14:paraId="5563E49E" w14:textId="77777777" w:rsidR="008A5ED9" w:rsidRPr="005D59A7" w:rsidRDefault="008A5ED9" w:rsidP="008A5ED9">
      <w:pPr>
        <w:rPr>
          <w:rFonts w:ascii="T" w:hAnsi="T" w:cs="Simplified Arabic"/>
          <w:sz w:val="24"/>
          <w:szCs w:val="24"/>
          <w:shd w:val="clear" w:color="auto" w:fill="FFFFFF"/>
          <w:rtl/>
        </w:rPr>
      </w:pPr>
    </w:p>
    <w:p w14:paraId="1D3B5A52" w14:textId="77777777" w:rsidR="008A5ED9" w:rsidRPr="005D59A7" w:rsidRDefault="008A5ED9" w:rsidP="008A5ED9">
      <w:pPr>
        <w:rPr>
          <w:rFonts w:ascii="T" w:hAnsi="T" w:cs="Simplified Arabic"/>
          <w:sz w:val="24"/>
          <w:szCs w:val="24"/>
          <w:shd w:val="clear" w:color="auto" w:fill="FFFFFF"/>
          <w:rtl/>
        </w:rPr>
      </w:pPr>
    </w:p>
    <w:p w14:paraId="664818F5" w14:textId="77777777" w:rsidR="008A5ED9" w:rsidRPr="005D59A7" w:rsidRDefault="008A5ED9" w:rsidP="008A5ED9">
      <w:pPr>
        <w:rPr>
          <w:rFonts w:ascii="T" w:hAnsi="T" w:cs="Simplified Arabic"/>
          <w:sz w:val="24"/>
          <w:szCs w:val="24"/>
          <w:shd w:val="clear" w:color="auto" w:fill="FFFFFF"/>
          <w:rtl/>
        </w:rPr>
      </w:pPr>
    </w:p>
    <w:p w14:paraId="30930744" w14:textId="77777777" w:rsidR="008A5ED9" w:rsidRPr="005D59A7" w:rsidRDefault="008A5ED9" w:rsidP="008A5ED9">
      <w:pPr>
        <w:rPr>
          <w:rFonts w:ascii="T" w:hAnsi="T" w:cs="Simplified Arabic"/>
          <w:sz w:val="24"/>
          <w:szCs w:val="24"/>
          <w:shd w:val="clear" w:color="auto" w:fill="FFFFFF"/>
          <w:rtl/>
        </w:rPr>
      </w:pPr>
    </w:p>
    <w:p w14:paraId="53E4C31E" w14:textId="6D964224" w:rsidR="008A5ED9" w:rsidRPr="005D59A7" w:rsidRDefault="008A5ED9" w:rsidP="008A5ED9">
      <w:pPr>
        <w:rPr>
          <w:rFonts w:ascii="T" w:hAnsi="T" w:cs="Simplified Arabic"/>
          <w:sz w:val="24"/>
          <w:szCs w:val="24"/>
          <w:shd w:val="clear" w:color="auto" w:fill="FFFFFF"/>
          <w:rtl/>
        </w:rPr>
      </w:pPr>
    </w:p>
    <w:p w14:paraId="387450AC" w14:textId="6147980C" w:rsidR="008A5ED9" w:rsidRPr="005D59A7" w:rsidRDefault="008A5ED9" w:rsidP="008A5ED9">
      <w:pPr>
        <w:rPr>
          <w:rFonts w:ascii="T" w:hAnsi="T" w:cs="Simplified Arabic"/>
          <w:sz w:val="24"/>
          <w:szCs w:val="24"/>
          <w:shd w:val="clear" w:color="auto" w:fill="FFFFFF"/>
          <w:rtl/>
        </w:rPr>
      </w:pPr>
    </w:p>
    <w:p w14:paraId="300B8B94" w14:textId="77777777" w:rsidR="008A5ED9" w:rsidRDefault="008A5ED9" w:rsidP="008A5ED9">
      <w:pPr>
        <w:rPr>
          <w:rFonts w:ascii="T" w:hAnsi="T" w:cs="Simplified Arabic"/>
          <w:sz w:val="24"/>
          <w:szCs w:val="24"/>
          <w:shd w:val="clear" w:color="auto" w:fill="FFFFFF"/>
        </w:rPr>
      </w:pPr>
    </w:p>
    <w:p w14:paraId="3B2A7326" w14:textId="77777777" w:rsidR="00294C02" w:rsidRDefault="00294C02" w:rsidP="008A5ED9">
      <w:pPr>
        <w:rPr>
          <w:rFonts w:ascii="T" w:hAnsi="T" w:cs="Simplified Arabic"/>
          <w:sz w:val="24"/>
          <w:szCs w:val="24"/>
          <w:shd w:val="clear" w:color="auto" w:fill="FFFFFF"/>
        </w:rPr>
      </w:pPr>
    </w:p>
    <w:p w14:paraId="469799F4" w14:textId="77777777" w:rsidR="00294C02" w:rsidRDefault="00294C02" w:rsidP="008A5ED9">
      <w:pPr>
        <w:rPr>
          <w:rFonts w:ascii="T" w:hAnsi="T" w:cs="Simplified Arabic"/>
          <w:sz w:val="24"/>
          <w:szCs w:val="24"/>
          <w:shd w:val="clear" w:color="auto" w:fill="FFFFFF"/>
        </w:rPr>
      </w:pPr>
    </w:p>
    <w:p w14:paraId="5D3C35A7" w14:textId="77777777" w:rsidR="00294C02" w:rsidRDefault="00294C02" w:rsidP="008A5ED9">
      <w:pPr>
        <w:rPr>
          <w:rFonts w:ascii="T" w:hAnsi="T" w:cs="Simplified Arabic"/>
          <w:sz w:val="24"/>
          <w:szCs w:val="24"/>
          <w:shd w:val="clear" w:color="auto" w:fill="FFFFFF"/>
        </w:rPr>
      </w:pPr>
    </w:p>
    <w:p w14:paraId="3B105CC9" w14:textId="77777777" w:rsidR="00294C02" w:rsidRDefault="00294C02" w:rsidP="008A5ED9">
      <w:pPr>
        <w:rPr>
          <w:rFonts w:ascii="T" w:hAnsi="T" w:cs="Simplified Arabic"/>
          <w:sz w:val="24"/>
          <w:szCs w:val="24"/>
          <w:shd w:val="clear" w:color="auto" w:fill="FFFFFF"/>
        </w:rPr>
      </w:pPr>
    </w:p>
    <w:p w14:paraId="387E8DAE" w14:textId="77777777" w:rsidR="00294C02" w:rsidRDefault="00294C02" w:rsidP="008A5ED9">
      <w:pPr>
        <w:rPr>
          <w:rFonts w:ascii="T" w:hAnsi="T" w:cs="Simplified Arabic"/>
          <w:sz w:val="24"/>
          <w:szCs w:val="24"/>
          <w:shd w:val="clear" w:color="auto" w:fill="FFFFFF"/>
        </w:rPr>
      </w:pPr>
    </w:p>
    <w:p w14:paraId="206C2DA1" w14:textId="77777777" w:rsidR="00294C02" w:rsidRDefault="00294C02" w:rsidP="008A5ED9">
      <w:pPr>
        <w:rPr>
          <w:rFonts w:ascii="T" w:hAnsi="T" w:cs="Simplified Arabic"/>
          <w:sz w:val="24"/>
          <w:szCs w:val="24"/>
          <w:shd w:val="clear" w:color="auto" w:fill="FFFFFF"/>
        </w:rPr>
      </w:pPr>
    </w:p>
    <w:p w14:paraId="2E61E1C0" w14:textId="77777777" w:rsidR="00294C02" w:rsidRDefault="00294C02" w:rsidP="008A5ED9">
      <w:pPr>
        <w:rPr>
          <w:rFonts w:ascii="T" w:hAnsi="T" w:cs="Simplified Arabic"/>
          <w:sz w:val="24"/>
          <w:szCs w:val="24"/>
          <w:shd w:val="clear" w:color="auto" w:fill="FFFFFF"/>
        </w:rPr>
      </w:pPr>
    </w:p>
    <w:p w14:paraId="606F6AF3" w14:textId="77777777" w:rsidR="00294C02" w:rsidRDefault="00294C02" w:rsidP="008A5ED9">
      <w:pPr>
        <w:rPr>
          <w:rFonts w:ascii="T" w:hAnsi="T" w:cs="Simplified Arabic"/>
          <w:sz w:val="24"/>
          <w:szCs w:val="24"/>
          <w:shd w:val="clear" w:color="auto" w:fill="FFFFFF"/>
        </w:rPr>
      </w:pPr>
    </w:p>
    <w:p w14:paraId="6814D87E" w14:textId="77777777" w:rsidR="00294C02" w:rsidRPr="005D59A7" w:rsidRDefault="00294C02" w:rsidP="008A5ED9">
      <w:pPr>
        <w:rPr>
          <w:rFonts w:ascii="T" w:hAnsi="T" w:cs="Simplified Arabic"/>
          <w:sz w:val="24"/>
          <w:szCs w:val="24"/>
          <w:shd w:val="clear" w:color="auto" w:fill="FFFFFF"/>
          <w:rtl/>
        </w:rPr>
      </w:pPr>
    </w:p>
    <w:p w14:paraId="6FD19A19" w14:textId="36F79A3C" w:rsidR="00E31E98" w:rsidRPr="005D59A7" w:rsidRDefault="00E31E98" w:rsidP="00057D71">
      <w:pPr>
        <w:pStyle w:val="Heading1"/>
        <w:bidi/>
        <w:spacing w:line="360" w:lineRule="auto"/>
        <w:ind w:firstLine="720"/>
        <w:jc w:val="center"/>
        <w:rPr>
          <w:rFonts w:ascii="T" w:hAnsi="T" w:cs="Simplified Arabic"/>
          <w:b/>
          <w:bCs/>
          <w:color w:val="auto"/>
          <w:sz w:val="28"/>
          <w:szCs w:val="28"/>
          <w:u w:val="single"/>
          <w:shd w:val="clear" w:color="auto" w:fill="FFFFFF"/>
          <w:rtl/>
        </w:rPr>
      </w:pPr>
      <w:bookmarkStart w:id="37" w:name="_Toc233202808"/>
      <w:r w:rsidRPr="005D59A7">
        <w:rPr>
          <w:rFonts w:ascii="T" w:hAnsi="T" w:cs="Simplified Arabic"/>
          <w:b/>
          <w:bCs/>
          <w:color w:val="auto"/>
          <w:sz w:val="28"/>
          <w:szCs w:val="28"/>
          <w:u w:val="single"/>
          <w:shd w:val="clear" w:color="auto" w:fill="FFFFFF"/>
          <w:rtl/>
        </w:rPr>
        <w:lastRenderedPageBreak/>
        <w:t>الفصل الثاني: الإطار النظري للدراسة (مراجعة الأدبيات ذات العلاقة)</w:t>
      </w:r>
      <w:bookmarkEnd w:id="37"/>
    </w:p>
    <w:p w14:paraId="5B276226" w14:textId="29304036" w:rsidR="008432FD" w:rsidRPr="005D59A7" w:rsidRDefault="00B554E2"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الفصل ستتم مناقشة الأدبيات ذات العلاقة بالرسالة وذلك من خلال مناقشة التاريخ العام للشراكات مع القطاع الخاص وأهميتها وتطورها عبر السنوات. ومن ثم مناقشة رؤية المملكة 2030 كانطلاقة حقيقية لإعادة الهيكلة المؤسسية في المملكة وتفعيل الشراكات مع القطاع الخاص. وأخيراً، التعريج على قطاع البيئة وما مر به من إعادة هيكلة وإنشاء جهات متخصصة حديثة وإطلاق الإستراتيجية الوطنية للبيئة. </w:t>
      </w:r>
    </w:p>
    <w:p w14:paraId="6D03A8A1" w14:textId="77777777" w:rsidR="00843CD6" w:rsidRPr="005D59A7" w:rsidRDefault="00843CD6" w:rsidP="00861DC2">
      <w:pPr>
        <w:pStyle w:val="Heading1"/>
        <w:bidi/>
        <w:spacing w:line="360" w:lineRule="auto"/>
        <w:ind w:firstLine="720"/>
        <w:rPr>
          <w:rFonts w:ascii="T" w:hAnsi="T" w:cs="Simplified Arabic"/>
          <w:b/>
          <w:bCs/>
          <w:color w:val="auto"/>
          <w:sz w:val="24"/>
          <w:szCs w:val="24"/>
          <w:u w:val="single"/>
          <w:shd w:val="clear" w:color="auto" w:fill="FFFFFF"/>
        </w:rPr>
      </w:pPr>
      <w:bookmarkStart w:id="38" w:name="_Toc233202809"/>
      <w:r w:rsidRPr="005D59A7">
        <w:rPr>
          <w:rFonts w:ascii="T" w:hAnsi="T" w:cs="Simplified Arabic"/>
          <w:b/>
          <w:bCs/>
          <w:color w:val="auto"/>
          <w:sz w:val="24"/>
          <w:szCs w:val="24"/>
          <w:u w:val="single"/>
          <w:shd w:val="clear" w:color="auto" w:fill="FFFFFF"/>
          <w:rtl/>
        </w:rPr>
        <w:t>منهجية مراجعة الأدبيات</w:t>
      </w:r>
      <w:bookmarkEnd w:id="38"/>
    </w:p>
    <w:p w14:paraId="40692BC3" w14:textId="77777777" w:rsidR="00843CD6" w:rsidRPr="005D59A7" w:rsidRDefault="00843CD6" w:rsidP="00861DC2">
      <w:pPr>
        <w:bidi/>
        <w:spacing w:line="360" w:lineRule="auto"/>
        <w:ind w:firstLine="720"/>
        <w:jc w:val="both"/>
        <w:rPr>
          <w:rFonts w:ascii="T" w:hAnsi="T" w:cs="Simplified Arabic"/>
          <w:sz w:val="24"/>
          <w:szCs w:val="24"/>
        </w:rPr>
      </w:pPr>
      <w:r w:rsidRPr="005D59A7">
        <w:rPr>
          <w:rFonts w:ascii="T" w:hAnsi="T" w:cs="Simplified Arabic"/>
          <w:sz w:val="24"/>
          <w:szCs w:val="24"/>
          <w:rtl/>
        </w:rPr>
        <w:t>تم اعتماد منهجية منظمة ومرنة لمراجعة الأدبيات في هذا الفصل، وذلك بهدف ضمان الشمولية والموضوعية والدقة في تغطية الدراسات السابقة ذات الصلة بموضوع البحث. اعتمدت المراجعة على أسس ومعايير واضحة يمكن تلخيصها في المحاور التالية: مصادر البيانات، الكلمات المفتاحية، الفترة الزمنية، معايير الاختيار والاستبعاد، تنظيم المراجعة، إجراءات تحليل المحتوى، حدود المراجعة، وإجراءات التحديث</w:t>
      </w:r>
      <w:r w:rsidRPr="005D59A7">
        <w:rPr>
          <w:rFonts w:ascii="T" w:hAnsi="T" w:cs="Simplified Arabic"/>
          <w:sz w:val="24"/>
          <w:szCs w:val="24"/>
        </w:rPr>
        <w:t>.</w:t>
      </w:r>
    </w:p>
    <w:p w14:paraId="1DC0BAAC"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39" w:name="_Toc233202810"/>
      <w:r w:rsidRPr="005D59A7">
        <w:rPr>
          <w:rFonts w:ascii="T" w:eastAsiaTheme="majorEastAsia" w:hAnsi="T" w:cs="Simplified Arabic"/>
          <w:b/>
          <w:bCs/>
          <w:sz w:val="24"/>
          <w:szCs w:val="24"/>
          <w:u w:val="single"/>
          <w:shd w:val="clear" w:color="auto" w:fill="FFFFFF"/>
          <w:rtl/>
        </w:rPr>
        <w:t>أولاً: قواعد البيانات والمصادر</w:t>
      </w:r>
      <w:bookmarkEnd w:id="39"/>
    </w:p>
    <w:p w14:paraId="05C6225E"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 الاعتماد على مجموعة متنوعة من قواعد البيانات والمصادر لضمان تغطية شاملة للأدبيات ذات الصلة. تم اختيار هذه المصادر بناءً على ثلاثة اعتبارات رئيسية: (1) تغطيتها الواسعة للمجالات ذات الصلة (الاقتصاد، الإدارة العامة، العلوم البيئية، الهندسة)، (2) مصداقيتها العلمية، (3) توفرها للباحث</w:t>
      </w:r>
      <w:r w:rsidRPr="005D59A7">
        <w:rPr>
          <w:rFonts w:ascii="T" w:hAnsi="T" w:cs="Simplified Arabic"/>
          <w:sz w:val="24"/>
          <w:szCs w:val="24"/>
        </w:rPr>
        <w:t>.</w:t>
      </w:r>
    </w:p>
    <w:p w14:paraId="1D21275F"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0" w:name="_Toc233202811"/>
      <w:r w:rsidRPr="005D59A7">
        <w:rPr>
          <w:rFonts w:ascii="T" w:eastAsiaTheme="majorEastAsia" w:hAnsi="T" w:cs="Simplified Arabic"/>
          <w:b/>
          <w:bCs/>
          <w:sz w:val="24"/>
          <w:szCs w:val="24"/>
          <w:u w:val="single"/>
          <w:shd w:val="clear" w:color="auto" w:fill="FFFFFF"/>
          <w:rtl/>
        </w:rPr>
        <w:t>قواعد البيانات العلمية المحكمة</w:t>
      </w:r>
      <w:r w:rsidRPr="005D59A7">
        <w:rPr>
          <w:rFonts w:ascii="T" w:eastAsiaTheme="majorEastAsia" w:hAnsi="T" w:cs="Simplified Arabic"/>
          <w:b/>
          <w:bCs/>
          <w:sz w:val="24"/>
          <w:szCs w:val="24"/>
          <w:u w:val="single"/>
          <w:shd w:val="clear" w:color="auto" w:fill="FFFFFF"/>
        </w:rPr>
        <w:t>:</w:t>
      </w:r>
      <w:bookmarkEnd w:id="40"/>
    </w:p>
    <w:tbl>
      <w:tblPr>
        <w:tblStyle w:val="TableGrid"/>
        <w:bidiVisual/>
        <w:tblW w:w="0" w:type="auto"/>
        <w:tblLook w:val="04A0" w:firstRow="1" w:lastRow="0" w:firstColumn="1" w:lastColumn="0" w:noHBand="0" w:noVBand="1"/>
      </w:tblPr>
      <w:tblGrid>
        <w:gridCol w:w="2195"/>
        <w:gridCol w:w="1645"/>
        <w:gridCol w:w="4456"/>
      </w:tblGrid>
      <w:tr w:rsidR="0048002A" w:rsidRPr="005D59A7" w14:paraId="4D21D4C6" w14:textId="77777777" w:rsidTr="00970F45">
        <w:tc>
          <w:tcPr>
            <w:tcW w:w="0" w:type="auto"/>
            <w:hideMark/>
          </w:tcPr>
          <w:p w14:paraId="1BF03C55"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قاعدة البيانات</w:t>
            </w:r>
          </w:p>
        </w:tc>
        <w:tc>
          <w:tcPr>
            <w:tcW w:w="0" w:type="auto"/>
            <w:hideMark/>
          </w:tcPr>
          <w:p w14:paraId="6A475408"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مجال التغطية</w:t>
            </w:r>
          </w:p>
        </w:tc>
        <w:tc>
          <w:tcPr>
            <w:tcW w:w="0" w:type="auto"/>
            <w:hideMark/>
          </w:tcPr>
          <w:p w14:paraId="4D6F97DD"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سبب الاختيار</w:t>
            </w:r>
          </w:p>
        </w:tc>
      </w:tr>
      <w:tr w:rsidR="0048002A" w:rsidRPr="005D59A7" w14:paraId="3AB60E17" w14:textId="77777777" w:rsidTr="00970F45">
        <w:tc>
          <w:tcPr>
            <w:tcW w:w="0" w:type="auto"/>
            <w:hideMark/>
          </w:tcPr>
          <w:p w14:paraId="25EC8174"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Scopus</w:t>
            </w:r>
          </w:p>
        </w:tc>
        <w:tc>
          <w:tcPr>
            <w:tcW w:w="0" w:type="auto"/>
            <w:hideMark/>
          </w:tcPr>
          <w:p w14:paraId="7D2F0A97"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10B63FB0"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أكبر قاعدة بيانات للدراسات المحكمة، تغطي أكثر من 22 ألف دورية علمية</w:t>
            </w:r>
          </w:p>
        </w:tc>
      </w:tr>
      <w:tr w:rsidR="0048002A" w:rsidRPr="005D59A7" w14:paraId="65D3D9B5" w14:textId="77777777" w:rsidTr="00970F45">
        <w:tc>
          <w:tcPr>
            <w:tcW w:w="0" w:type="auto"/>
            <w:hideMark/>
          </w:tcPr>
          <w:p w14:paraId="7547694F"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Web of Science (</w:t>
            </w:r>
            <w:proofErr w:type="spellStart"/>
            <w:r w:rsidRPr="005D59A7">
              <w:rPr>
                <w:rFonts w:ascii="T" w:hAnsi="T" w:cs="Simplified Arabic"/>
                <w:sz w:val="24"/>
                <w:szCs w:val="24"/>
              </w:rPr>
              <w:t>WoS</w:t>
            </w:r>
            <w:proofErr w:type="spellEnd"/>
            <w:r w:rsidRPr="005D59A7">
              <w:rPr>
                <w:rFonts w:ascii="T" w:hAnsi="T" w:cs="Simplified Arabic"/>
                <w:sz w:val="24"/>
                <w:szCs w:val="24"/>
              </w:rPr>
              <w:t>)</w:t>
            </w:r>
          </w:p>
        </w:tc>
        <w:tc>
          <w:tcPr>
            <w:tcW w:w="0" w:type="auto"/>
            <w:hideMark/>
          </w:tcPr>
          <w:p w14:paraId="4F9FFD8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47CEDB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المجلات العلمية عالية التأثير</w:t>
            </w:r>
            <w:r w:rsidRPr="005D59A7">
              <w:rPr>
                <w:rFonts w:ascii="T" w:hAnsi="T" w:cs="Simplified Arabic"/>
                <w:sz w:val="24"/>
                <w:szCs w:val="24"/>
              </w:rPr>
              <w:t xml:space="preserve"> (Core Collection)</w:t>
            </w:r>
          </w:p>
        </w:tc>
      </w:tr>
      <w:tr w:rsidR="0048002A" w:rsidRPr="005D59A7" w14:paraId="3E50181C" w14:textId="77777777" w:rsidTr="00970F45">
        <w:tc>
          <w:tcPr>
            <w:tcW w:w="0" w:type="auto"/>
            <w:hideMark/>
          </w:tcPr>
          <w:p w14:paraId="0B53ED78"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Google Scholar</w:t>
            </w:r>
          </w:p>
        </w:tc>
        <w:tc>
          <w:tcPr>
            <w:tcW w:w="0" w:type="auto"/>
            <w:hideMark/>
          </w:tcPr>
          <w:p w14:paraId="2DC9B99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2EE2652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واسعة للدراسات الأكاديمية والتقارير والكتب</w:t>
            </w:r>
          </w:p>
        </w:tc>
      </w:tr>
      <w:tr w:rsidR="0048002A" w:rsidRPr="005D59A7" w14:paraId="15CB5445" w14:textId="77777777" w:rsidTr="00970F45">
        <w:tc>
          <w:tcPr>
            <w:tcW w:w="0" w:type="auto"/>
            <w:hideMark/>
          </w:tcPr>
          <w:p w14:paraId="21B9BC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ScienceDirect</w:t>
            </w:r>
          </w:p>
        </w:tc>
        <w:tc>
          <w:tcPr>
            <w:tcW w:w="0" w:type="auto"/>
            <w:hideMark/>
          </w:tcPr>
          <w:p w14:paraId="6D8D852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العلوم والطب والهندسة</w:t>
            </w:r>
          </w:p>
        </w:tc>
        <w:tc>
          <w:tcPr>
            <w:tcW w:w="0" w:type="auto"/>
            <w:hideMark/>
          </w:tcPr>
          <w:p w14:paraId="693AF4B9"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منشورات</w:t>
            </w:r>
            <w:r w:rsidRPr="005D59A7">
              <w:rPr>
                <w:rFonts w:ascii="T" w:hAnsi="T" w:cs="Simplified Arabic"/>
                <w:sz w:val="24"/>
                <w:szCs w:val="24"/>
              </w:rPr>
              <w:t xml:space="preserve"> Elsevier </w:t>
            </w:r>
            <w:r w:rsidRPr="005D59A7">
              <w:rPr>
                <w:rFonts w:ascii="T" w:hAnsi="T" w:cs="Simplified Arabic"/>
                <w:sz w:val="24"/>
                <w:szCs w:val="24"/>
                <w:rtl/>
              </w:rPr>
              <w:t>في مجالات البيئة والإدارة</w:t>
            </w:r>
          </w:p>
        </w:tc>
      </w:tr>
    </w:tbl>
    <w:p w14:paraId="346CA69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1" w:name="_Toc233202812"/>
      <w:r w:rsidRPr="005D59A7">
        <w:rPr>
          <w:rFonts w:ascii="T" w:eastAsiaTheme="majorEastAsia" w:hAnsi="T" w:cs="Simplified Arabic"/>
          <w:b/>
          <w:bCs/>
          <w:sz w:val="24"/>
          <w:szCs w:val="24"/>
          <w:u w:val="single"/>
          <w:shd w:val="clear" w:color="auto" w:fill="FFFFFF"/>
          <w:rtl/>
        </w:rPr>
        <w:lastRenderedPageBreak/>
        <w:t>المصادر الرسمية والتقارير</w:t>
      </w:r>
      <w:r w:rsidRPr="005D59A7">
        <w:rPr>
          <w:rFonts w:ascii="T" w:eastAsiaTheme="majorEastAsia" w:hAnsi="T" w:cs="Simplified Arabic"/>
          <w:b/>
          <w:bCs/>
          <w:sz w:val="24"/>
          <w:szCs w:val="24"/>
          <w:u w:val="single"/>
          <w:shd w:val="clear" w:color="auto" w:fill="FFFFFF"/>
        </w:rPr>
        <w:t>:</w:t>
      </w:r>
      <w:bookmarkEnd w:id="41"/>
    </w:p>
    <w:p w14:paraId="473FF2A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الحكومية السعودية</w:t>
      </w:r>
      <w:r w:rsidRPr="005D59A7">
        <w:rPr>
          <w:rFonts w:ascii="T" w:hAnsi="T" w:cs="Simplified Arabic"/>
          <w:sz w:val="24"/>
          <w:szCs w:val="24"/>
        </w:rPr>
        <w:t>: </w:t>
      </w:r>
      <w:r w:rsidRPr="005D59A7">
        <w:rPr>
          <w:rFonts w:ascii="T" w:hAnsi="T" w:cs="Simplified Arabic"/>
          <w:sz w:val="24"/>
          <w:szCs w:val="24"/>
          <w:rtl/>
        </w:rPr>
        <w:t>وزارة البيئة والمياه والزراعة</w:t>
      </w:r>
      <w:r w:rsidRPr="005D59A7">
        <w:rPr>
          <w:rFonts w:ascii="T" w:hAnsi="T" w:cs="Simplified Arabic"/>
          <w:sz w:val="24"/>
          <w:szCs w:val="24"/>
        </w:rPr>
        <w:t xml:space="preserve"> (MEWA)</w:t>
      </w:r>
      <w:r w:rsidRPr="005D59A7">
        <w:rPr>
          <w:rFonts w:ascii="T" w:hAnsi="T" w:cs="Simplified Arabic"/>
          <w:sz w:val="24"/>
          <w:szCs w:val="24"/>
          <w:rtl/>
        </w:rPr>
        <w:t>، المركز الوطني للتخصيص</w:t>
      </w:r>
      <w:r w:rsidRPr="005D59A7">
        <w:rPr>
          <w:rFonts w:ascii="T" w:hAnsi="T" w:cs="Simplified Arabic"/>
          <w:sz w:val="24"/>
          <w:szCs w:val="24"/>
        </w:rPr>
        <w:t xml:space="preserve"> (NCP)</w:t>
      </w:r>
      <w:r w:rsidRPr="005D59A7">
        <w:rPr>
          <w:rFonts w:ascii="T" w:hAnsi="T" w:cs="Simplified Arabic"/>
          <w:sz w:val="24"/>
          <w:szCs w:val="24"/>
          <w:rtl/>
        </w:rPr>
        <w:t>،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صندوق البيئة</w:t>
      </w:r>
      <w:r w:rsidRPr="005D59A7">
        <w:rPr>
          <w:rFonts w:ascii="T" w:hAnsi="T" w:cs="Simplified Arabic"/>
          <w:sz w:val="24"/>
          <w:szCs w:val="24"/>
        </w:rPr>
        <w:t xml:space="preserve"> (EF).</w:t>
      </w:r>
    </w:p>
    <w:p w14:paraId="7B4CDDE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الدولية</w:t>
      </w:r>
      <w:r w:rsidRPr="005D59A7">
        <w:rPr>
          <w:rFonts w:ascii="T" w:hAnsi="T" w:cs="Simplified Arabic"/>
          <w:sz w:val="24"/>
          <w:szCs w:val="24"/>
        </w:rPr>
        <w:t>: </w:t>
      </w:r>
      <w:r w:rsidRPr="005D59A7">
        <w:rPr>
          <w:rFonts w:ascii="T" w:hAnsi="T" w:cs="Simplified Arabic"/>
          <w:sz w:val="24"/>
          <w:szCs w:val="24"/>
          <w:rtl/>
        </w:rPr>
        <w:t>البنك الدولي</w:t>
      </w:r>
      <w:r w:rsidRPr="005D59A7">
        <w:rPr>
          <w:rFonts w:ascii="T" w:hAnsi="T" w:cs="Simplified Arabic"/>
          <w:sz w:val="24"/>
          <w:szCs w:val="24"/>
        </w:rPr>
        <w:t xml:space="preserve"> (World Bank)</w:t>
      </w:r>
      <w:r w:rsidRPr="005D59A7">
        <w:rPr>
          <w:rFonts w:ascii="T" w:hAnsi="T" w:cs="Simplified Arabic"/>
          <w:sz w:val="24"/>
          <w:szCs w:val="24"/>
          <w:rtl/>
        </w:rPr>
        <w:t>، منظمة التعاون الاقتصادي والتنمية</w:t>
      </w:r>
      <w:r w:rsidRPr="005D59A7">
        <w:rPr>
          <w:rFonts w:ascii="T" w:hAnsi="T" w:cs="Simplified Arabic"/>
          <w:sz w:val="24"/>
          <w:szCs w:val="24"/>
        </w:rPr>
        <w:t xml:space="preserve"> (OECD)</w:t>
      </w:r>
      <w:r w:rsidRPr="005D59A7">
        <w:rPr>
          <w:rFonts w:ascii="T" w:hAnsi="T" w:cs="Simplified Arabic"/>
          <w:sz w:val="24"/>
          <w:szCs w:val="24"/>
          <w:rtl/>
        </w:rPr>
        <w:t>، الأمم المتحدة</w:t>
      </w:r>
      <w:r w:rsidRPr="005D59A7">
        <w:rPr>
          <w:rFonts w:ascii="T" w:hAnsi="T" w:cs="Simplified Arabic"/>
          <w:sz w:val="24"/>
          <w:szCs w:val="24"/>
        </w:rPr>
        <w:t xml:space="preserve"> (UN)</w:t>
      </w:r>
      <w:r w:rsidRPr="005D59A7">
        <w:rPr>
          <w:rFonts w:ascii="T" w:hAnsi="T" w:cs="Simplified Arabic"/>
          <w:sz w:val="24"/>
          <w:szCs w:val="24"/>
          <w:rtl/>
        </w:rPr>
        <w:t>، منظمة الصحة العالمية</w:t>
      </w:r>
      <w:r w:rsidRPr="005D59A7">
        <w:rPr>
          <w:rFonts w:ascii="T" w:hAnsi="T" w:cs="Simplified Arabic"/>
          <w:sz w:val="24"/>
          <w:szCs w:val="24"/>
        </w:rPr>
        <w:t xml:space="preserve"> (WHO)</w:t>
      </w:r>
      <w:r w:rsidRPr="005D59A7">
        <w:rPr>
          <w:rFonts w:ascii="T" w:hAnsi="T" w:cs="Simplified Arabic"/>
          <w:sz w:val="24"/>
          <w:szCs w:val="24"/>
          <w:rtl/>
        </w:rPr>
        <w:t>، الاتحاد الأوروبي</w:t>
      </w:r>
      <w:r w:rsidRPr="005D59A7">
        <w:rPr>
          <w:rFonts w:ascii="T" w:hAnsi="T" w:cs="Simplified Arabic"/>
          <w:sz w:val="24"/>
          <w:szCs w:val="24"/>
        </w:rPr>
        <w:t xml:space="preserve"> (EU).</w:t>
      </w:r>
    </w:p>
    <w:p w14:paraId="4EEA2D6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الكتب والمراجع العلمية</w:t>
      </w:r>
      <w:r w:rsidRPr="005D59A7">
        <w:rPr>
          <w:rFonts w:ascii="T" w:hAnsi="T" w:cs="Simplified Arabic"/>
          <w:sz w:val="24"/>
          <w:szCs w:val="24"/>
        </w:rPr>
        <w:t>: </w:t>
      </w:r>
      <w:r w:rsidRPr="005D59A7">
        <w:rPr>
          <w:rFonts w:ascii="T" w:hAnsi="T" w:cs="Simplified Arabic"/>
          <w:sz w:val="24"/>
          <w:szCs w:val="24"/>
          <w:rtl/>
        </w:rPr>
        <w:t>الصادرة عن دور نشر أكاديمية موثوقة مثل</w:t>
      </w:r>
      <w:r w:rsidRPr="005D59A7">
        <w:rPr>
          <w:rFonts w:ascii="T" w:hAnsi="T" w:cs="Simplified Arabic"/>
          <w:sz w:val="24"/>
          <w:szCs w:val="24"/>
        </w:rPr>
        <w:t xml:space="preserve"> Springer</w:t>
      </w:r>
      <w:r w:rsidRPr="005D59A7">
        <w:rPr>
          <w:rFonts w:ascii="T" w:hAnsi="T" w:cs="Simplified Arabic"/>
          <w:sz w:val="24"/>
          <w:szCs w:val="24"/>
          <w:rtl/>
        </w:rPr>
        <w:t xml:space="preserve">، </w:t>
      </w:r>
      <w:r w:rsidRPr="005D59A7">
        <w:rPr>
          <w:rFonts w:ascii="T" w:hAnsi="T" w:cs="Simplified Arabic"/>
          <w:sz w:val="24"/>
          <w:szCs w:val="24"/>
        </w:rPr>
        <w:t>Elsevier</w:t>
      </w:r>
      <w:r w:rsidRPr="005D59A7">
        <w:rPr>
          <w:rFonts w:ascii="T" w:hAnsi="T" w:cs="Simplified Arabic"/>
          <w:sz w:val="24"/>
          <w:szCs w:val="24"/>
          <w:rtl/>
        </w:rPr>
        <w:t xml:space="preserve">، </w:t>
      </w:r>
      <w:r w:rsidRPr="005D59A7">
        <w:rPr>
          <w:rFonts w:ascii="T" w:hAnsi="T" w:cs="Simplified Arabic"/>
          <w:sz w:val="24"/>
          <w:szCs w:val="24"/>
        </w:rPr>
        <w:t>Routledge.</w:t>
      </w:r>
    </w:p>
    <w:p w14:paraId="08DCA8B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أطروحات الدكتوراه والماجستير</w:t>
      </w:r>
      <w:r w:rsidRPr="005D59A7">
        <w:rPr>
          <w:rFonts w:ascii="T" w:hAnsi="T" w:cs="Simplified Arabic"/>
          <w:sz w:val="24"/>
          <w:szCs w:val="24"/>
        </w:rPr>
        <w:t>: </w:t>
      </w:r>
      <w:r w:rsidRPr="005D59A7">
        <w:rPr>
          <w:rFonts w:ascii="T" w:hAnsi="T" w:cs="Simplified Arabic"/>
          <w:sz w:val="24"/>
          <w:szCs w:val="24"/>
          <w:rtl/>
        </w:rPr>
        <w:t>من الجامعات السعودية والعربية والعالمية، عبر قواعد بيانات مثل</w:t>
      </w:r>
      <w:r w:rsidRPr="005D59A7">
        <w:rPr>
          <w:rFonts w:ascii="T" w:hAnsi="T" w:cs="Simplified Arabic"/>
          <w:sz w:val="24"/>
          <w:szCs w:val="24"/>
        </w:rPr>
        <w:t xml:space="preserve"> ProQuest </w:t>
      </w:r>
      <w:r w:rsidRPr="005D59A7">
        <w:rPr>
          <w:rFonts w:ascii="T" w:hAnsi="T" w:cs="Simplified Arabic"/>
          <w:sz w:val="24"/>
          <w:szCs w:val="24"/>
          <w:rtl/>
        </w:rPr>
        <w:t>و</w:t>
      </w:r>
      <w:r w:rsidRPr="005D59A7">
        <w:rPr>
          <w:rFonts w:ascii="T" w:hAnsi="T" w:cs="Simplified Arabic"/>
          <w:sz w:val="24"/>
          <w:szCs w:val="24"/>
        </w:rPr>
        <w:t>DAR.</w:t>
      </w:r>
    </w:p>
    <w:p w14:paraId="1440C48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2" w:name="_Toc233202813"/>
      <w:r w:rsidRPr="005D59A7">
        <w:rPr>
          <w:rFonts w:ascii="T" w:eastAsiaTheme="majorEastAsia" w:hAnsi="T" w:cs="Simplified Arabic"/>
          <w:b/>
          <w:bCs/>
          <w:sz w:val="24"/>
          <w:szCs w:val="24"/>
          <w:u w:val="single"/>
          <w:shd w:val="clear" w:color="auto" w:fill="FFFFFF"/>
          <w:rtl/>
        </w:rPr>
        <w:t>ثانياً: الكلمات المفتاحية</w:t>
      </w:r>
      <w:bookmarkEnd w:id="42"/>
    </w:p>
    <w:p w14:paraId="13C03F4B"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 استخدام مجموعة متكاملة من الكلمات المفتاحية باللغتين العربية والإنجليزية، وتم دمجها باستخدام أدوات البحث المنطقية</w:t>
      </w:r>
      <w:r w:rsidRPr="005D59A7">
        <w:rPr>
          <w:rFonts w:ascii="T" w:hAnsi="T" w:cs="Simplified Arabic"/>
          <w:sz w:val="24"/>
          <w:szCs w:val="24"/>
        </w:rPr>
        <w:t xml:space="preserve"> (Boolean Operators) </w:t>
      </w:r>
      <w:r w:rsidRPr="005D59A7">
        <w:rPr>
          <w:rFonts w:ascii="T" w:hAnsi="T" w:cs="Simplified Arabic"/>
          <w:sz w:val="24"/>
          <w:szCs w:val="24"/>
          <w:rtl/>
        </w:rPr>
        <w:t>مثل </w:t>
      </w:r>
      <w:r w:rsidRPr="005D59A7">
        <w:rPr>
          <w:rFonts w:ascii="T" w:hAnsi="T" w:cs="Simplified Arabic"/>
          <w:sz w:val="24"/>
          <w:szCs w:val="24"/>
        </w:rPr>
        <w:t>AND</w:t>
      </w:r>
      <w:r w:rsidRPr="005D59A7">
        <w:rPr>
          <w:rFonts w:ascii="T" w:hAnsi="T" w:cs="Simplified Arabic"/>
          <w:sz w:val="24"/>
          <w:szCs w:val="24"/>
          <w:rtl/>
        </w:rPr>
        <w:t>، </w:t>
      </w:r>
      <w:r w:rsidRPr="005D59A7">
        <w:rPr>
          <w:rFonts w:ascii="T" w:hAnsi="T" w:cs="Simplified Arabic"/>
          <w:sz w:val="24"/>
          <w:szCs w:val="24"/>
        </w:rPr>
        <w:t>OR</w:t>
      </w:r>
      <w:r w:rsidRPr="005D59A7">
        <w:rPr>
          <w:rFonts w:ascii="T" w:hAnsi="T" w:cs="Simplified Arabic"/>
          <w:sz w:val="24"/>
          <w:szCs w:val="24"/>
          <w:rtl/>
        </w:rPr>
        <w:t>، </w:t>
      </w:r>
      <w:r w:rsidRPr="005D59A7">
        <w:rPr>
          <w:rFonts w:ascii="T" w:hAnsi="T" w:cs="Simplified Arabic"/>
          <w:sz w:val="24"/>
          <w:szCs w:val="24"/>
        </w:rPr>
        <w:t>NOT </w:t>
      </w:r>
      <w:r w:rsidRPr="005D59A7">
        <w:rPr>
          <w:rFonts w:ascii="T" w:hAnsi="T" w:cs="Simplified Arabic"/>
          <w:sz w:val="24"/>
          <w:szCs w:val="24"/>
          <w:rtl/>
        </w:rPr>
        <w:t>لضمان دقة نتائج البحث. كلمات المفتاحية إلى أربع مجموعات رئيسية:</w:t>
      </w:r>
    </w:p>
    <w:p w14:paraId="5148E85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 xml:space="preserve"> المجموعة الأولى: مفاهيم الشراكة الأساسية</w:t>
      </w:r>
    </w:p>
    <w:tbl>
      <w:tblPr>
        <w:tblStyle w:val="TableGrid"/>
        <w:bidiVisual/>
        <w:tblW w:w="8650" w:type="dxa"/>
        <w:tblLook w:val="04A0" w:firstRow="1" w:lastRow="0" w:firstColumn="1" w:lastColumn="0" w:noHBand="0" w:noVBand="1"/>
      </w:tblPr>
      <w:tblGrid>
        <w:gridCol w:w="916"/>
        <w:gridCol w:w="7734"/>
      </w:tblGrid>
      <w:tr w:rsidR="0048002A" w:rsidRPr="005D59A7" w14:paraId="0A770DFA" w14:textId="77777777" w:rsidTr="00970F45">
        <w:trPr>
          <w:trHeight w:val="517"/>
        </w:trPr>
        <w:tc>
          <w:tcPr>
            <w:tcW w:w="0" w:type="auto"/>
            <w:hideMark/>
          </w:tcPr>
          <w:p w14:paraId="7505AE5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5FD1E0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8A3D9AD" w14:textId="77777777" w:rsidTr="00970F45">
        <w:trPr>
          <w:trHeight w:val="517"/>
        </w:trPr>
        <w:tc>
          <w:tcPr>
            <w:tcW w:w="0" w:type="auto"/>
            <w:hideMark/>
          </w:tcPr>
          <w:p w14:paraId="145FF24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3FDE926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"Public-Private </w:t>
            </w:r>
            <w:proofErr w:type="gramStart"/>
            <w:r w:rsidRPr="005D59A7">
              <w:rPr>
                <w:rFonts w:ascii="T" w:hAnsi="T" w:cs="Simplified Arabic"/>
                <w:sz w:val="24"/>
                <w:szCs w:val="24"/>
              </w:rPr>
              <w:t>Partnerships"</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PPP"</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w:t>
            </w:r>
            <w:proofErr w:type="gramStart"/>
            <w:r w:rsidRPr="005D59A7">
              <w:rPr>
                <w:rFonts w:ascii="T" w:hAnsi="T" w:cs="Simplified Arabic"/>
                <w:sz w:val="24"/>
                <w:szCs w:val="24"/>
              </w:rPr>
              <w:t>P3"</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"Private finance </w:t>
            </w:r>
            <w:proofErr w:type="gramStart"/>
            <w:r w:rsidRPr="005D59A7">
              <w:rPr>
                <w:rFonts w:ascii="T" w:hAnsi="T" w:cs="Simplified Arabic"/>
                <w:sz w:val="24"/>
                <w:szCs w:val="24"/>
              </w:rPr>
              <w:t>initiative"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"PFI"</w:t>
            </w:r>
          </w:p>
        </w:tc>
      </w:tr>
      <w:tr w:rsidR="0048002A" w:rsidRPr="005D59A7" w14:paraId="7E9977A6" w14:textId="77777777" w:rsidTr="00970F45">
        <w:trPr>
          <w:trHeight w:val="517"/>
        </w:trPr>
        <w:tc>
          <w:tcPr>
            <w:tcW w:w="0" w:type="auto"/>
            <w:hideMark/>
          </w:tcPr>
          <w:p w14:paraId="20E2B4A4"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38B58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proofErr w:type="gramStart"/>
            <w:r w:rsidRPr="005D59A7">
              <w:rPr>
                <w:rFonts w:ascii="T" w:hAnsi="T" w:cs="Simplified Arabic"/>
                <w:sz w:val="24"/>
                <w:szCs w:val="24"/>
                <w:rtl/>
              </w:rPr>
              <w:t>الشراكة بين القطاعين العام والخاص"،</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المشاركة مع القطاع الخاص"،</w:t>
            </w:r>
            <w:proofErr w:type="gramEnd"/>
            <w:r w:rsidRPr="005D59A7">
              <w:rPr>
                <w:rFonts w:ascii="T" w:hAnsi="T" w:cs="Simplified Arabic"/>
                <w:sz w:val="24"/>
                <w:szCs w:val="24"/>
                <w:rtl/>
              </w:rPr>
              <w:t xml:space="preserve"> "مبادرة التمويل الخاص</w:t>
            </w:r>
            <w:r w:rsidRPr="005D59A7">
              <w:rPr>
                <w:rFonts w:ascii="T" w:hAnsi="T" w:cs="Simplified Arabic"/>
                <w:sz w:val="24"/>
                <w:szCs w:val="24"/>
              </w:rPr>
              <w:t>"</w:t>
            </w:r>
          </w:p>
        </w:tc>
      </w:tr>
    </w:tbl>
    <w:p w14:paraId="6090198F"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الثانية: مفاهيم الحوكمة والأداء</w:t>
      </w:r>
    </w:p>
    <w:tbl>
      <w:tblPr>
        <w:tblStyle w:val="TableGrid"/>
        <w:bidiVisual/>
        <w:tblW w:w="8475" w:type="dxa"/>
        <w:tblLook w:val="04A0" w:firstRow="1" w:lastRow="0" w:firstColumn="1" w:lastColumn="0" w:noHBand="0" w:noVBand="1"/>
      </w:tblPr>
      <w:tblGrid>
        <w:gridCol w:w="916"/>
        <w:gridCol w:w="7559"/>
      </w:tblGrid>
      <w:tr w:rsidR="0048002A" w:rsidRPr="005D59A7" w14:paraId="2B2799C2" w14:textId="77777777" w:rsidTr="00970F45">
        <w:trPr>
          <w:trHeight w:val="430"/>
        </w:trPr>
        <w:tc>
          <w:tcPr>
            <w:tcW w:w="0" w:type="auto"/>
            <w:hideMark/>
          </w:tcPr>
          <w:p w14:paraId="13315F5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68233EA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B1416D5" w14:textId="77777777" w:rsidTr="00970F45">
        <w:trPr>
          <w:trHeight w:val="843"/>
        </w:trPr>
        <w:tc>
          <w:tcPr>
            <w:tcW w:w="0" w:type="auto"/>
            <w:hideMark/>
          </w:tcPr>
          <w:p w14:paraId="2942827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الإنجليزية</w:t>
            </w:r>
          </w:p>
        </w:tc>
        <w:tc>
          <w:tcPr>
            <w:tcW w:w="0" w:type="auto"/>
            <w:hideMark/>
          </w:tcPr>
          <w:p w14:paraId="7792F02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governance"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compliance"</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"Performance-based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"Output-based </w:t>
            </w:r>
            <w:proofErr w:type="gramStart"/>
            <w:r w:rsidRPr="005D59A7">
              <w:rPr>
                <w:rFonts w:ascii="T" w:hAnsi="T" w:cs="Simplified Arabic"/>
                <w:sz w:val="24"/>
                <w:szCs w:val="24"/>
              </w:rPr>
              <w:t>contracting"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"Risk </w:t>
            </w:r>
            <w:proofErr w:type="gramStart"/>
            <w:r w:rsidRPr="005D59A7">
              <w:rPr>
                <w:rFonts w:ascii="T" w:hAnsi="T" w:cs="Simplified Arabic"/>
                <w:sz w:val="24"/>
                <w:szCs w:val="24"/>
              </w:rPr>
              <w:t>allocation"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"Risk sharing"</w:t>
            </w:r>
          </w:p>
        </w:tc>
      </w:tr>
      <w:tr w:rsidR="0048002A" w:rsidRPr="005D59A7" w14:paraId="1AF11498" w14:textId="77777777" w:rsidTr="00970F45">
        <w:trPr>
          <w:trHeight w:val="430"/>
        </w:trPr>
        <w:tc>
          <w:tcPr>
            <w:tcW w:w="0" w:type="auto"/>
            <w:hideMark/>
          </w:tcPr>
          <w:p w14:paraId="2CBCBD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5FB4175C"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الحوكمة البيئية"، "الامتثال البيئي"، "التعاقد القائم على الأداء"، "توزيع المخاطر"، "تقاسم المخاطر</w:t>
            </w:r>
            <w:r w:rsidRPr="005D59A7">
              <w:rPr>
                <w:rFonts w:ascii="T" w:hAnsi="T" w:cs="Simplified Arabic"/>
                <w:sz w:val="24"/>
                <w:szCs w:val="24"/>
              </w:rPr>
              <w:t>"</w:t>
            </w:r>
          </w:p>
        </w:tc>
      </w:tr>
    </w:tbl>
    <w:p w14:paraId="2DAFBB7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الثالثة: مفاهيم التفتيش البيئي</w:t>
      </w:r>
    </w:p>
    <w:tbl>
      <w:tblPr>
        <w:tblStyle w:val="TableGrid"/>
        <w:bidiVisual/>
        <w:tblW w:w="8636" w:type="dxa"/>
        <w:tblLook w:val="04A0" w:firstRow="1" w:lastRow="0" w:firstColumn="1" w:lastColumn="0" w:noHBand="0" w:noVBand="1"/>
      </w:tblPr>
      <w:tblGrid>
        <w:gridCol w:w="916"/>
        <w:gridCol w:w="7720"/>
      </w:tblGrid>
      <w:tr w:rsidR="0048002A" w:rsidRPr="005D59A7" w14:paraId="7E7B8C5B" w14:textId="77777777" w:rsidTr="00970F45">
        <w:trPr>
          <w:trHeight w:val="379"/>
        </w:trPr>
        <w:tc>
          <w:tcPr>
            <w:tcW w:w="0" w:type="auto"/>
            <w:hideMark/>
          </w:tcPr>
          <w:p w14:paraId="49B7E9E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2F94E75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2AEB00FD" w14:textId="77777777" w:rsidTr="00970F45">
        <w:trPr>
          <w:trHeight w:val="758"/>
        </w:trPr>
        <w:tc>
          <w:tcPr>
            <w:tcW w:w="0" w:type="auto"/>
            <w:hideMark/>
          </w:tcPr>
          <w:p w14:paraId="64C46F2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5EE8FAD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 xml:space="preserve">"Environmental </w:t>
            </w:r>
            <w:proofErr w:type="gramStart"/>
            <w:r w:rsidRPr="005D59A7">
              <w:rPr>
                <w:rFonts w:ascii="T" w:hAnsi="T" w:cs="Simplified Arabic"/>
                <w:sz w:val="24"/>
                <w:szCs w:val="24"/>
              </w:rPr>
              <w:t>inspection"</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"Environmental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"Regulatory </w:t>
            </w:r>
            <w:proofErr w:type="gramStart"/>
            <w:r w:rsidRPr="005D59A7">
              <w:rPr>
                <w:rFonts w:ascii="T" w:hAnsi="T" w:cs="Simplified Arabic"/>
                <w:sz w:val="24"/>
                <w:szCs w:val="24"/>
              </w:rPr>
              <w:t>enforcement"</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 xml:space="preserve">"Compliance </w:t>
            </w:r>
            <w:proofErr w:type="gramStart"/>
            <w:r w:rsidRPr="005D59A7">
              <w:rPr>
                <w:rFonts w:ascii="T" w:hAnsi="T" w:cs="Simplified Arabic"/>
                <w:sz w:val="24"/>
                <w:szCs w:val="24"/>
              </w:rPr>
              <w:t>monitoring"</w:t>
            </w:r>
            <w:r w:rsidRPr="005D59A7">
              <w:rPr>
                <w:rFonts w:ascii="T" w:hAnsi="T" w:cs="Simplified Arabic"/>
                <w:sz w:val="24"/>
                <w:szCs w:val="24"/>
                <w:rtl/>
              </w:rPr>
              <w:t>،</w:t>
            </w:r>
            <w:proofErr w:type="gramEnd"/>
            <w:r w:rsidRPr="005D59A7">
              <w:rPr>
                <w:rFonts w:ascii="T" w:hAnsi="T" w:cs="Simplified Arabic"/>
                <w:sz w:val="24"/>
                <w:szCs w:val="24"/>
                <w:rtl/>
              </w:rPr>
              <w:t xml:space="preserve"> </w:t>
            </w:r>
            <w:r w:rsidRPr="005D59A7">
              <w:rPr>
                <w:rFonts w:ascii="T" w:hAnsi="T" w:cs="Simplified Arabic"/>
                <w:sz w:val="24"/>
                <w:szCs w:val="24"/>
              </w:rPr>
              <w:t>"Inspection efficiency"</w:t>
            </w:r>
          </w:p>
        </w:tc>
      </w:tr>
      <w:tr w:rsidR="0048002A" w:rsidRPr="005D59A7" w14:paraId="2962C926" w14:textId="77777777" w:rsidTr="00970F45">
        <w:trPr>
          <w:trHeight w:val="379"/>
        </w:trPr>
        <w:tc>
          <w:tcPr>
            <w:tcW w:w="0" w:type="auto"/>
            <w:hideMark/>
          </w:tcPr>
          <w:p w14:paraId="1491B45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BF491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التفتيش البيئي"، "الرقابة البيئية"، "الإنفاذ التنظيمي"، "مراقبة الامتثال"، "كفاءة التفتيش</w:t>
            </w:r>
            <w:r w:rsidRPr="005D59A7">
              <w:rPr>
                <w:rFonts w:ascii="T" w:hAnsi="T" w:cs="Simplified Arabic"/>
                <w:sz w:val="24"/>
                <w:szCs w:val="24"/>
              </w:rPr>
              <w:t>"</w:t>
            </w:r>
          </w:p>
        </w:tc>
      </w:tr>
    </w:tbl>
    <w:p w14:paraId="4DCB849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الرابعة: السياق السعودي</w:t>
      </w:r>
    </w:p>
    <w:tbl>
      <w:tblPr>
        <w:tblStyle w:val="TableGrid"/>
        <w:tblW w:w="8429" w:type="dxa"/>
        <w:tblLook w:val="04A0" w:firstRow="1" w:lastRow="0" w:firstColumn="1" w:lastColumn="0" w:noHBand="0" w:noVBand="1"/>
      </w:tblPr>
      <w:tblGrid>
        <w:gridCol w:w="916"/>
        <w:gridCol w:w="7513"/>
      </w:tblGrid>
      <w:tr w:rsidR="0048002A" w:rsidRPr="005D59A7" w14:paraId="4528862D" w14:textId="77777777" w:rsidTr="00970F45">
        <w:trPr>
          <w:trHeight w:val="401"/>
        </w:trPr>
        <w:tc>
          <w:tcPr>
            <w:tcW w:w="0" w:type="auto"/>
            <w:hideMark/>
          </w:tcPr>
          <w:p w14:paraId="13AA107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E45570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22CC962" w14:textId="77777777" w:rsidTr="00970F45">
        <w:trPr>
          <w:trHeight w:val="787"/>
        </w:trPr>
        <w:tc>
          <w:tcPr>
            <w:tcW w:w="0" w:type="auto"/>
            <w:hideMark/>
          </w:tcPr>
          <w:p w14:paraId="3EB0561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0DE2D5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"Saudi Vision 2030"</w:t>
            </w:r>
            <w:r w:rsidRPr="005D59A7">
              <w:rPr>
                <w:rFonts w:ascii="T" w:hAnsi="T" w:cs="Simplified Arabic"/>
                <w:sz w:val="24"/>
                <w:szCs w:val="24"/>
                <w:rtl/>
              </w:rPr>
              <w:t xml:space="preserve">، </w:t>
            </w:r>
            <w:r w:rsidRPr="005D59A7">
              <w:rPr>
                <w:rFonts w:ascii="T" w:hAnsi="T" w:cs="Simplified Arabic"/>
                <w:sz w:val="24"/>
                <w:szCs w:val="24"/>
              </w:rPr>
              <w:t>"Saudi environmental sector"</w:t>
            </w:r>
            <w:r w:rsidRPr="005D59A7">
              <w:rPr>
                <w:rFonts w:ascii="T" w:hAnsi="T" w:cs="Simplified Arabic"/>
                <w:sz w:val="24"/>
                <w:szCs w:val="24"/>
                <w:rtl/>
              </w:rPr>
              <w:t xml:space="preserve">، </w:t>
            </w:r>
            <w:r w:rsidRPr="005D59A7">
              <w:rPr>
                <w:rFonts w:ascii="T" w:hAnsi="T" w:cs="Simplified Arabic"/>
                <w:sz w:val="24"/>
                <w:szCs w:val="24"/>
              </w:rPr>
              <w:t>"National Environment Strategy"</w:t>
            </w:r>
            <w:r w:rsidRPr="005D59A7">
              <w:rPr>
                <w:rFonts w:ascii="T" w:hAnsi="T" w:cs="Simplified Arabic"/>
                <w:sz w:val="24"/>
                <w:szCs w:val="24"/>
                <w:rtl/>
              </w:rPr>
              <w:t xml:space="preserve">، </w:t>
            </w:r>
            <w:r w:rsidRPr="005D59A7">
              <w:rPr>
                <w:rFonts w:ascii="T" w:hAnsi="T" w:cs="Simplified Arabic"/>
                <w:sz w:val="24"/>
                <w:szCs w:val="24"/>
              </w:rPr>
              <w:t>"Saudi Green Initiative"</w:t>
            </w:r>
            <w:r w:rsidRPr="005D59A7">
              <w:rPr>
                <w:rFonts w:ascii="T" w:hAnsi="T" w:cs="Simplified Arabic"/>
                <w:sz w:val="24"/>
                <w:szCs w:val="24"/>
                <w:rtl/>
              </w:rPr>
              <w:t xml:space="preserve">، </w:t>
            </w:r>
            <w:r w:rsidRPr="005D59A7">
              <w:rPr>
                <w:rFonts w:ascii="T" w:hAnsi="T" w:cs="Simplified Arabic"/>
                <w:sz w:val="24"/>
                <w:szCs w:val="24"/>
              </w:rPr>
              <w:t>"NCEC"</w:t>
            </w:r>
          </w:p>
        </w:tc>
      </w:tr>
      <w:tr w:rsidR="0048002A" w:rsidRPr="005D59A7" w14:paraId="3367979C" w14:textId="77777777" w:rsidTr="00970F45">
        <w:trPr>
          <w:trHeight w:val="803"/>
        </w:trPr>
        <w:tc>
          <w:tcPr>
            <w:tcW w:w="0" w:type="auto"/>
            <w:hideMark/>
          </w:tcPr>
          <w:p w14:paraId="1B36858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15AD46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رؤية السعودية 2030"، "</w:t>
            </w:r>
            <w:proofErr w:type="gramStart"/>
            <w:r w:rsidRPr="005D59A7">
              <w:rPr>
                <w:rFonts w:ascii="T" w:hAnsi="T" w:cs="Simplified Arabic"/>
                <w:sz w:val="24"/>
                <w:szCs w:val="24"/>
                <w:rtl/>
              </w:rPr>
              <w:t>القطاع البيئي السعودي"،</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الإستراتيجية الوطنية للبيئة"،</w:t>
            </w:r>
            <w:proofErr w:type="gramEnd"/>
            <w:r w:rsidRPr="005D59A7">
              <w:rPr>
                <w:rFonts w:ascii="T" w:hAnsi="T" w:cs="Simplified Arabic"/>
                <w:sz w:val="24"/>
                <w:szCs w:val="24"/>
                <w:rtl/>
              </w:rPr>
              <w:t xml:space="preserve"> "</w:t>
            </w:r>
            <w:proofErr w:type="gramStart"/>
            <w:r w:rsidRPr="005D59A7">
              <w:rPr>
                <w:rFonts w:ascii="T" w:hAnsi="T" w:cs="Simplified Arabic"/>
                <w:sz w:val="24"/>
                <w:szCs w:val="24"/>
                <w:rtl/>
              </w:rPr>
              <w:t>المبادرة السعودية الخضراء"،</w:t>
            </w:r>
            <w:proofErr w:type="gramEnd"/>
            <w:r w:rsidRPr="005D59A7">
              <w:rPr>
                <w:rFonts w:ascii="T" w:hAnsi="T" w:cs="Simplified Arabic"/>
                <w:sz w:val="24"/>
                <w:szCs w:val="24"/>
                <w:rtl/>
              </w:rPr>
              <w:t xml:space="preserve"> "المركز الوطني للرقابة على الالتزام البيئي</w:t>
            </w:r>
            <w:r w:rsidRPr="005D59A7">
              <w:rPr>
                <w:rFonts w:ascii="T" w:hAnsi="T" w:cs="Simplified Arabic"/>
                <w:sz w:val="24"/>
                <w:szCs w:val="24"/>
              </w:rPr>
              <w:t>"</w:t>
            </w:r>
          </w:p>
        </w:tc>
      </w:tr>
    </w:tbl>
    <w:p w14:paraId="283003AE" w14:textId="79BDB5C0" w:rsidR="00843CD6" w:rsidRPr="005D59A7" w:rsidRDefault="00843CD6" w:rsidP="00861DC2">
      <w:pPr>
        <w:bidi/>
        <w:spacing w:line="360" w:lineRule="auto"/>
        <w:ind w:firstLine="720"/>
        <w:rPr>
          <w:rFonts w:ascii="T" w:hAnsi="T" w:cs="Simplified Arabic"/>
          <w:sz w:val="24"/>
          <w:szCs w:val="24"/>
          <w:rtl/>
        </w:rPr>
      </w:pPr>
    </w:p>
    <w:p w14:paraId="0E730131"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ثالثاً: الفترة الزمنية</w:t>
      </w:r>
    </w:p>
    <w:p w14:paraId="6D017756"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تحديد الفترة الزمنية للمراجعة بناءً على تطور المجال والحاجة إلى تغطية كل من الدراسات المؤسسة والحديثة. تم تقسيم الفترة الزمنية إلى ثلاث فئات رئيسية</w:t>
      </w:r>
      <w:r w:rsidRPr="005D59A7">
        <w:rPr>
          <w:rFonts w:ascii="T" w:hAnsi="T" w:cs="Simplified Arabic"/>
          <w:sz w:val="24"/>
          <w:szCs w:val="24"/>
        </w:rPr>
        <w:t>:</w:t>
      </w:r>
    </w:p>
    <w:tbl>
      <w:tblPr>
        <w:tblStyle w:val="TableGrid"/>
        <w:bidiVisual/>
        <w:tblW w:w="0" w:type="auto"/>
        <w:tblLook w:val="04A0" w:firstRow="1" w:lastRow="0" w:firstColumn="1" w:lastColumn="0" w:noHBand="0" w:noVBand="1"/>
      </w:tblPr>
      <w:tblGrid>
        <w:gridCol w:w="2434"/>
        <w:gridCol w:w="1027"/>
        <w:gridCol w:w="3924"/>
        <w:gridCol w:w="911"/>
      </w:tblGrid>
      <w:tr w:rsidR="0048002A" w:rsidRPr="005D59A7" w14:paraId="015CE52D" w14:textId="77777777" w:rsidTr="00843CD6">
        <w:tc>
          <w:tcPr>
            <w:tcW w:w="0" w:type="auto"/>
            <w:hideMark/>
          </w:tcPr>
          <w:p w14:paraId="6C4C03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الفئة</w:t>
            </w:r>
          </w:p>
        </w:tc>
        <w:tc>
          <w:tcPr>
            <w:tcW w:w="0" w:type="auto"/>
            <w:hideMark/>
          </w:tcPr>
          <w:p w14:paraId="3B2DFB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النطاق الزمني</w:t>
            </w:r>
          </w:p>
        </w:tc>
        <w:tc>
          <w:tcPr>
            <w:tcW w:w="0" w:type="auto"/>
            <w:hideMark/>
          </w:tcPr>
          <w:p w14:paraId="6E1E95B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الأساس المنطقي</w:t>
            </w:r>
          </w:p>
        </w:tc>
        <w:tc>
          <w:tcPr>
            <w:tcW w:w="0" w:type="auto"/>
            <w:hideMark/>
          </w:tcPr>
          <w:p w14:paraId="2661649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نسبة التغطية</w:t>
            </w:r>
          </w:p>
        </w:tc>
      </w:tr>
      <w:tr w:rsidR="0048002A" w:rsidRPr="005D59A7" w14:paraId="36F9B900" w14:textId="77777777" w:rsidTr="00843CD6">
        <w:tc>
          <w:tcPr>
            <w:tcW w:w="0" w:type="auto"/>
            <w:hideMark/>
          </w:tcPr>
          <w:p w14:paraId="63D0AD8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الأساسية</w:t>
            </w:r>
            <w:r w:rsidRPr="005D59A7">
              <w:rPr>
                <w:rFonts w:ascii="T" w:hAnsi="T" w:cs="Simplified Arabic"/>
                <w:sz w:val="24"/>
                <w:szCs w:val="24"/>
              </w:rPr>
              <w:t xml:space="preserve"> (Foundation)</w:t>
            </w:r>
          </w:p>
        </w:tc>
        <w:tc>
          <w:tcPr>
            <w:tcW w:w="0" w:type="auto"/>
            <w:hideMark/>
          </w:tcPr>
          <w:p w14:paraId="579E57D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1970-2000</w:t>
            </w:r>
          </w:p>
        </w:tc>
        <w:tc>
          <w:tcPr>
            <w:tcW w:w="0" w:type="auto"/>
            <w:hideMark/>
          </w:tcPr>
          <w:p w14:paraId="709C5D5E" w14:textId="3154F2D2"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النظريات المؤسسة (نظرية الوكالة) والتجارب التاريخية الأولى للشراكة</w:t>
            </w:r>
          </w:p>
        </w:tc>
        <w:tc>
          <w:tcPr>
            <w:tcW w:w="0" w:type="auto"/>
            <w:hideMark/>
          </w:tcPr>
          <w:p w14:paraId="39B6DA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15%</w:t>
            </w:r>
          </w:p>
        </w:tc>
      </w:tr>
      <w:tr w:rsidR="0048002A" w:rsidRPr="005D59A7" w14:paraId="4821AEEC" w14:textId="77777777" w:rsidTr="00843CD6">
        <w:tc>
          <w:tcPr>
            <w:tcW w:w="0" w:type="auto"/>
            <w:hideMark/>
          </w:tcPr>
          <w:p w14:paraId="253AF4F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الحديثة</w:t>
            </w:r>
            <w:r w:rsidRPr="005D59A7">
              <w:rPr>
                <w:rFonts w:ascii="T" w:hAnsi="T" w:cs="Simplified Arabic"/>
                <w:sz w:val="24"/>
                <w:szCs w:val="24"/>
              </w:rPr>
              <w:t xml:space="preserve"> (Recent)</w:t>
            </w:r>
          </w:p>
        </w:tc>
        <w:tc>
          <w:tcPr>
            <w:tcW w:w="0" w:type="auto"/>
            <w:hideMark/>
          </w:tcPr>
          <w:p w14:paraId="61D56C6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2000-2015</w:t>
            </w:r>
          </w:p>
        </w:tc>
        <w:tc>
          <w:tcPr>
            <w:tcW w:w="0" w:type="auto"/>
            <w:hideMark/>
          </w:tcPr>
          <w:p w14:paraId="53AC3A6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تطور نماذج الشراكة وانتشارها عالميًا، وظهور الإطارات التشريعية والتنظيمية</w:t>
            </w:r>
          </w:p>
        </w:tc>
        <w:tc>
          <w:tcPr>
            <w:tcW w:w="0" w:type="auto"/>
            <w:hideMark/>
          </w:tcPr>
          <w:p w14:paraId="114967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25%</w:t>
            </w:r>
          </w:p>
        </w:tc>
      </w:tr>
      <w:tr w:rsidR="0048002A" w:rsidRPr="005D59A7" w14:paraId="3D0D8B83" w14:textId="77777777" w:rsidTr="00843CD6">
        <w:tc>
          <w:tcPr>
            <w:tcW w:w="0" w:type="auto"/>
            <w:hideMark/>
          </w:tcPr>
          <w:p w14:paraId="4F406B5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الدراسات المعاصرة</w:t>
            </w:r>
            <w:r w:rsidRPr="005D59A7">
              <w:rPr>
                <w:rFonts w:ascii="T" w:hAnsi="T" w:cs="Simplified Arabic"/>
                <w:sz w:val="24"/>
                <w:szCs w:val="24"/>
              </w:rPr>
              <w:t xml:space="preserve"> (Contemporary)</w:t>
            </w:r>
          </w:p>
        </w:tc>
        <w:tc>
          <w:tcPr>
            <w:tcW w:w="0" w:type="auto"/>
            <w:hideMark/>
          </w:tcPr>
          <w:p w14:paraId="756235F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2015-2025</w:t>
            </w:r>
          </w:p>
        </w:tc>
        <w:tc>
          <w:tcPr>
            <w:tcW w:w="0" w:type="auto"/>
            <w:hideMark/>
          </w:tcPr>
          <w:p w14:paraId="53BCB39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التطبيقات الحديثة للشراكة في القطاع البيئي، ودراسات الحالة في منطقة الشرق الأوسط، وما بعد رؤية 2030</w:t>
            </w:r>
          </w:p>
        </w:tc>
        <w:tc>
          <w:tcPr>
            <w:tcW w:w="0" w:type="auto"/>
            <w:hideMark/>
          </w:tcPr>
          <w:p w14:paraId="0941D1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60%</w:t>
            </w:r>
          </w:p>
        </w:tc>
      </w:tr>
    </w:tbl>
    <w:p w14:paraId="4BADECCB" w14:textId="00936A7F"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إعطاء أولوية خاصة للدراسات المنشورة خلال السنوات الخمس الأخيرة (2020-2025) لضمان مواكبة أحدث التطورات في المجال، مع الاحتفاظ بالدراسات المؤسسة والتاريخية الضرورية لفهم تطور المفاهيم والنظريات</w:t>
      </w:r>
      <w:r w:rsidRPr="005D59A7">
        <w:rPr>
          <w:rFonts w:ascii="T" w:hAnsi="T" w:cs="Simplified Arabic"/>
          <w:sz w:val="24"/>
          <w:szCs w:val="24"/>
        </w:rPr>
        <w:t>.</w:t>
      </w:r>
    </w:p>
    <w:p w14:paraId="1C5111C3"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رابعاً: معايير الاختيار والاستبعاد</w:t>
      </w:r>
    </w:p>
    <w:p w14:paraId="6D232873"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تطبيق مجموعة من المعايير المنهجية لاختيار أو استبعاد المصادر، بهدف ضمان جودة وملاءمة المواد التي تم تضمينها في المراجعة</w:t>
      </w:r>
      <w:r w:rsidRPr="005D59A7">
        <w:rPr>
          <w:rFonts w:ascii="T" w:hAnsi="T" w:cs="Simplified Arabic"/>
          <w:sz w:val="24"/>
          <w:szCs w:val="24"/>
        </w:rPr>
        <w:t>.</w:t>
      </w:r>
    </w:p>
    <w:p w14:paraId="78D3AFF8"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معايير الاختيار</w:t>
      </w:r>
      <w:r w:rsidRPr="005D59A7">
        <w:rPr>
          <w:rFonts w:ascii="T" w:hAnsi="T" w:cs="Simplified Arabic"/>
          <w:b/>
          <w:bCs/>
          <w:sz w:val="24"/>
          <w:szCs w:val="24"/>
        </w:rPr>
        <w:t xml:space="preserve"> (Inclusion Criteria):</w:t>
      </w:r>
    </w:p>
    <w:tbl>
      <w:tblPr>
        <w:tblStyle w:val="TableGrid"/>
        <w:bidiVisual/>
        <w:tblW w:w="8396" w:type="dxa"/>
        <w:tblLook w:val="04A0" w:firstRow="1" w:lastRow="0" w:firstColumn="1" w:lastColumn="0" w:noHBand="0" w:noVBand="1"/>
      </w:tblPr>
      <w:tblGrid>
        <w:gridCol w:w="1877"/>
        <w:gridCol w:w="6519"/>
      </w:tblGrid>
      <w:tr w:rsidR="0048002A" w:rsidRPr="005D59A7" w14:paraId="0279F5DC" w14:textId="77777777" w:rsidTr="00843CD6">
        <w:trPr>
          <w:trHeight w:val="395"/>
        </w:trPr>
        <w:tc>
          <w:tcPr>
            <w:tcW w:w="0" w:type="auto"/>
            <w:hideMark/>
          </w:tcPr>
          <w:p w14:paraId="279E4B3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7EB8614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047A3D07" w14:textId="77777777" w:rsidTr="00843CD6">
        <w:trPr>
          <w:trHeight w:val="379"/>
        </w:trPr>
        <w:tc>
          <w:tcPr>
            <w:tcW w:w="0" w:type="auto"/>
            <w:hideMark/>
          </w:tcPr>
          <w:p w14:paraId="087299D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المحكمة</w:t>
            </w:r>
          </w:p>
        </w:tc>
        <w:tc>
          <w:tcPr>
            <w:tcW w:w="0" w:type="auto"/>
            <w:hideMark/>
          </w:tcPr>
          <w:p w14:paraId="2F84609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في مجلات علمية محكمة</w:t>
            </w:r>
            <w:r w:rsidRPr="005D59A7">
              <w:rPr>
                <w:rFonts w:ascii="T" w:hAnsi="T" w:cs="Simplified Arabic"/>
                <w:sz w:val="24"/>
                <w:szCs w:val="24"/>
              </w:rPr>
              <w:t xml:space="preserve"> (Peer-reviewed journals)</w:t>
            </w:r>
          </w:p>
        </w:tc>
      </w:tr>
      <w:tr w:rsidR="0048002A" w:rsidRPr="005D59A7" w14:paraId="2128D1E6" w14:textId="77777777" w:rsidTr="00843CD6">
        <w:trPr>
          <w:trHeight w:val="395"/>
        </w:trPr>
        <w:tc>
          <w:tcPr>
            <w:tcW w:w="0" w:type="auto"/>
            <w:hideMark/>
          </w:tcPr>
          <w:p w14:paraId="3EBD5F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الرسمية</w:t>
            </w:r>
          </w:p>
        </w:tc>
        <w:tc>
          <w:tcPr>
            <w:tcW w:w="0" w:type="auto"/>
            <w:hideMark/>
          </w:tcPr>
          <w:p w14:paraId="021600C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الصادرة عن الجهات الحكومية السعودية والمنظمات الدولية</w:t>
            </w:r>
          </w:p>
        </w:tc>
      </w:tr>
      <w:tr w:rsidR="0048002A" w:rsidRPr="005D59A7" w14:paraId="202382DE" w14:textId="77777777" w:rsidTr="00843CD6">
        <w:trPr>
          <w:trHeight w:val="395"/>
        </w:trPr>
        <w:tc>
          <w:tcPr>
            <w:tcW w:w="0" w:type="auto"/>
            <w:hideMark/>
          </w:tcPr>
          <w:p w14:paraId="17D75D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العلمية</w:t>
            </w:r>
          </w:p>
        </w:tc>
        <w:tc>
          <w:tcPr>
            <w:tcW w:w="0" w:type="auto"/>
            <w:hideMark/>
          </w:tcPr>
          <w:p w14:paraId="3C2986C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والمراجع الصادرة عن دور نشر أكاديمية موثوقة</w:t>
            </w:r>
          </w:p>
        </w:tc>
      </w:tr>
      <w:tr w:rsidR="0048002A" w:rsidRPr="005D59A7" w14:paraId="20748F55" w14:textId="77777777" w:rsidTr="00843CD6">
        <w:trPr>
          <w:trHeight w:val="379"/>
        </w:trPr>
        <w:tc>
          <w:tcPr>
            <w:tcW w:w="0" w:type="auto"/>
            <w:hideMark/>
          </w:tcPr>
          <w:p w14:paraId="3E0E0B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الأطروحات الجامعية</w:t>
            </w:r>
          </w:p>
        </w:tc>
        <w:tc>
          <w:tcPr>
            <w:tcW w:w="0" w:type="auto"/>
            <w:hideMark/>
          </w:tcPr>
          <w:p w14:paraId="3BE377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أطروحات الدكتوراه والماجستير من جامعات معترف بها</w:t>
            </w:r>
          </w:p>
        </w:tc>
      </w:tr>
      <w:tr w:rsidR="0048002A" w:rsidRPr="005D59A7" w14:paraId="5A3732B8" w14:textId="77777777" w:rsidTr="00843CD6">
        <w:trPr>
          <w:trHeight w:val="395"/>
        </w:trPr>
        <w:tc>
          <w:tcPr>
            <w:tcW w:w="0" w:type="auto"/>
            <w:hideMark/>
          </w:tcPr>
          <w:p w14:paraId="7864F9C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w:t>
            </w:r>
          </w:p>
        </w:tc>
        <w:tc>
          <w:tcPr>
            <w:tcW w:w="0" w:type="auto"/>
            <w:hideMark/>
          </w:tcPr>
          <w:p w14:paraId="54D068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 الموثقة التي تتضمن بيانات كمية أو كيفية قابلة للتحقق</w:t>
            </w:r>
          </w:p>
        </w:tc>
      </w:tr>
      <w:tr w:rsidR="0048002A" w:rsidRPr="005D59A7" w14:paraId="5A6BFC8E" w14:textId="77777777" w:rsidTr="00843CD6">
        <w:trPr>
          <w:trHeight w:val="379"/>
        </w:trPr>
        <w:tc>
          <w:tcPr>
            <w:tcW w:w="0" w:type="auto"/>
            <w:hideMark/>
          </w:tcPr>
          <w:p w14:paraId="5E4F100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التنوع اللغوي</w:t>
            </w:r>
          </w:p>
        </w:tc>
        <w:tc>
          <w:tcPr>
            <w:tcW w:w="0" w:type="auto"/>
            <w:hideMark/>
          </w:tcPr>
          <w:p w14:paraId="1A26B7F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باللغتين العربية والإنجليزية</w:t>
            </w:r>
          </w:p>
        </w:tc>
      </w:tr>
    </w:tbl>
    <w:p w14:paraId="7BC4C985" w14:textId="77777777" w:rsidR="00843CD6" w:rsidRPr="005D59A7" w:rsidRDefault="00843CD6" w:rsidP="00861DC2">
      <w:pPr>
        <w:shd w:val="clear" w:color="auto" w:fill="FFFFFF"/>
        <w:bidi/>
        <w:spacing w:before="240" w:after="240" w:line="360" w:lineRule="auto"/>
        <w:ind w:firstLine="720"/>
        <w:rPr>
          <w:rFonts w:ascii="T" w:hAnsi="T" w:cs="Simplified Arabic"/>
          <w:b/>
          <w:bCs/>
          <w:sz w:val="24"/>
          <w:szCs w:val="24"/>
        </w:rPr>
      </w:pPr>
      <w:r w:rsidRPr="005D59A7">
        <w:rPr>
          <w:rFonts w:ascii="T" w:hAnsi="T" w:cs="Simplified Arabic"/>
          <w:b/>
          <w:bCs/>
          <w:sz w:val="24"/>
          <w:szCs w:val="24"/>
          <w:rtl/>
        </w:rPr>
        <w:t>معايير</w:t>
      </w:r>
      <w:r w:rsidRPr="005D59A7">
        <w:rPr>
          <w:rFonts w:ascii="T" w:eastAsia="Times New Roman" w:hAnsi="T" w:cs="Simplified Arabic"/>
          <w:b/>
          <w:bCs/>
          <w:sz w:val="24"/>
          <w:szCs w:val="24"/>
          <w:rtl/>
        </w:rPr>
        <w:t xml:space="preserve"> </w:t>
      </w:r>
      <w:r w:rsidRPr="005D59A7">
        <w:rPr>
          <w:rFonts w:ascii="T" w:hAnsi="T" w:cs="Simplified Arabic"/>
          <w:b/>
          <w:bCs/>
          <w:sz w:val="24"/>
          <w:szCs w:val="24"/>
          <w:rtl/>
        </w:rPr>
        <w:t>الاستبعاد</w:t>
      </w:r>
      <w:r w:rsidRPr="005D59A7">
        <w:rPr>
          <w:rFonts w:ascii="T" w:hAnsi="T" w:cs="Simplified Arabic"/>
          <w:b/>
          <w:bCs/>
          <w:sz w:val="24"/>
          <w:szCs w:val="24"/>
        </w:rPr>
        <w:t xml:space="preserve"> (Exclusion Criteria):</w:t>
      </w:r>
    </w:p>
    <w:tbl>
      <w:tblPr>
        <w:tblStyle w:val="TableGrid"/>
        <w:bidiVisual/>
        <w:tblW w:w="7947" w:type="dxa"/>
        <w:tblLook w:val="04A0" w:firstRow="1" w:lastRow="0" w:firstColumn="1" w:lastColumn="0" w:noHBand="0" w:noVBand="1"/>
      </w:tblPr>
      <w:tblGrid>
        <w:gridCol w:w="1950"/>
        <w:gridCol w:w="5997"/>
      </w:tblGrid>
      <w:tr w:rsidR="0048002A" w:rsidRPr="005D59A7" w14:paraId="0DAEA4F4" w14:textId="77777777" w:rsidTr="00843CD6">
        <w:trPr>
          <w:trHeight w:val="395"/>
        </w:trPr>
        <w:tc>
          <w:tcPr>
            <w:tcW w:w="0" w:type="auto"/>
            <w:hideMark/>
          </w:tcPr>
          <w:p w14:paraId="45C24D8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4A2522A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60210C2F" w14:textId="77777777" w:rsidTr="00843CD6">
        <w:trPr>
          <w:trHeight w:val="379"/>
        </w:trPr>
        <w:tc>
          <w:tcPr>
            <w:tcW w:w="0" w:type="auto"/>
            <w:hideMark/>
          </w:tcPr>
          <w:p w14:paraId="5697D92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غير المحكمة</w:t>
            </w:r>
          </w:p>
        </w:tc>
        <w:tc>
          <w:tcPr>
            <w:tcW w:w="0" w:type="auto"/>
            <w:hideMark/>
          </w:tcPr>
          <w:p w14:paraId="1A739B7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المنشورة في مجلات غير محكمة أو منصات إلكترونية غير موثقة</w:t>
            </w:r>
          </w:p>
        </w:tc>
      </w:tr>
      <w:tr w:rsidR="0048002A" w:rsidRPr="005D59A7" w14:paraId="4BEA8E5D" w14:textId="77777777" w:rsidTr="00843CD6">
        <w:trPr>
          <w:trHeight w:val="395"/>
        </w:trPr>
        <w:tc>
          <w:tcPr>
            <w:tcW w:w="0" w:type="auto"/>
            <w:hideMark/>
          </w:tcPr>
          <w:p w14:paraId="3C857A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w:t>
            </w:r>
          </w:p>
        </w:tc>
        <w:tc>
          <w:tcPr>
            <w:tcW w:w="0" w:type="auto"/>
            <w:hideMark/>
          </w:tcPr>
          <w:p w14:paraId="67C6AD1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 غير الموثقة أو الافتتاحيات</w:t>
            </w:r>
          </w:p>
        </w:tc>
      </w:tr>
      <w:tr w:rsidR="0048002A" w:rsidRPr="005D59A7" w14:paraId="07C7571F" w14:textId="77777777" w:rsidTr="00843CD6">
        <w:trPr>
          <w:trHeight w:val="395"/>
        </w:trPr>
        <w:tc>
          <w:tcPr>
            <w:tcW w:w="0" w:type="auto"/>
            <w:hideMark/>
          </w:tcPr>
          <w:p w14:paraId="268A053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w:t>
            </w:r>
          </w:p>
        </w:tc>
        <w:tc>
          <w:tcPr>
            <w:tcW w:w="0" w:type="auto"/>
            <w:hideMark/>
          </w:tcPr>
          <w:p w14:paraId="17F75D6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 والمدونات والتعليقات غير العلمية</w:t>
            </w:r>
          </w:p>
        </w:tc>
      </w:tr>
      <w:tr w:rsidR="0048002A" w:rsidRPr="005D59A7" w14:paraId="76D7E8AF" w14:textId="77777777" w:rsidTr="00843CD6">
        <w:trPr>
          <w:trHeight w:val="379"/>
        </w:trPr>
        <w:tc>
          <w:tcPr>
            <w:tcW w:w="0" w:type="auto"/>
            <w:hideMark/>
          </w:tcPr>
          <w:p w14:paraId="31A0BE3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غير الموثقة</w:t>
            </w:r>
          </w:p>
        </w:tc>
        <w:tc>
          <w:tcPr>
            <w:tcW w:w="0" w:type="auto"/>
            <w:hideMark/>
          </w:tcPr>
          <w:p w14:paraId="7EAE11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التي لا تحدد تاريخ النشر أو المصدر بوضوح</w:t>
            </w:r>
          </w:p>
        </w:tc>
      </w:tr>
      <w:tr w:rsidR="0048002A" w:rsidRPr="005D59A7" w14:paraId="0AF2EA70" w14:textId="77777777" w:rsidTr="00843CD6">
        <w:trPr>
          <w:trHeight w:val="395"/>
        </w:trPr>
        <w:tc>
          <w:tcPr>
            <w:tcW w:w="0" w:type="auto"/>
            <w:hideMark/>
          </w:tcPr>
          <w:p w14:paraId="18E6FE7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عدم الصلة</w:t>
            </w:r>
          </w:p>
        </w:tc>
        <w:tc>
          <w:tcPr>
            <w:tcW w:w="0" w:type="auto"/>
            <w:hideMark/>
          </w:tcPr>
          <w:p w14:paraId="70BC82CD"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التي لا ترتبط بشكل مباشر بموضوع البحث</w:t>
            </w:r>
          </w:p>
        </w:tc>
      </w:tr>
      <w:tr w:rsidR="0048002A" w:rsidRPr="005D59A7" w14:paraId="5E9FCE8C" w14:textId="77777777" w:rsidTr="00843CD6">
        <w:trPr>
          <w:trHeight w:val="379"/>
        </w:trPr>
        <w:tc>
          <w:tcPr>
            <w:tcW w:w="0" w:type="auto"/>
            <w:hideMark/>
          </w:tcPr>
          <w:p w14:paraId="59932F9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w:t>
            </w:r>
          </w:p>
        </w:tc>
        <w:tc>
          <w:tcPr>
            <w:tcW w:w="0" w:type="auto"/>
            <w:hideMark/>
          </w:tcPr>
          <w:p w14:paraId="7E96149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 في أكثر من قاعدة بيانات</w:t>
            </w:r>
          </w:p>
        </w:tc>
      </w:tr>
    </w:tbl>
    <w:p w14:paraId="33C3C2FA" w14:textId="77777777" w:rsidR="00843CD6" w:rsidRPr="005D59A7" w:rsidRDefault="00843CD6" w:rsidP="00E25EBC">
      <w:pPr>
        <w:shd w:val="clear" w:color="auto" w:fill="FFFFFF"/>
        <w:bidi/>
        <w:spacing w:before="240" w:after="240" w:line="360" w:lineRule="auto"/>
        <w:ind w:firstLine="84"/>
        <w:rPr>
          <w:rFonts w:ascii="T" w:eastAsia="Times New Roman" w:hAnsi="T" w:cs="Simplified Arabic"/>
          <w:sz w:val="24"/>
          <w:szCs w:val="24"/>
        </w:rPr>
      </w:pPr>
      <w:r w:rsidRPr="005D59A7">
        <w:rPr>
          <w:rFonts w:ascii="T" w:hAnsi="T" w:cs="Simplified Arabic"/>
          <w:b/>
          <w:bCs/>
          <w:sz w:val="24"/>
          <w:szCs w:val="24"/>
          <w:rtl/>
        </w:rPr>
        <w:lastRenderedPageBreak/>
        <w:t>إجراءات ضمان الجودة</w:t>
      </w:r>
      <w:r w:rsidRPr="005D59A7">
        <w:rPr>
          <w:rFonts w:ascii="T" w:eastAsia="Times New Roman" w:hAnsi="T" w:cs="Simplified Arabic"/>
          <w:b/>
          <w:bCs/>
          <w:sz w:val="24"/>
          <w:szCs w:val="24"/>
        </w:rPr>
        <w:t>:</w:t>
      </w:r>
    </w:p>
    <w:p w14:paraId="781BBCCB"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التحقق من مصداقية المصادر من خلال التحقق من الناشر وتاريخ النشر وعدد الاستشهادات السابقة</w:t>
      </w:r>
      <w:r w:rsidRPr="005D59A7">
        <w:rPr>
          <w:rFonts w:ascii="T" w:hAnsi="T" w:cs="Simplified Arabic"/>
          <w:sz w:val="24"/>
          <w:szCs w:val="24"/>
        </w:rPr>
        <w:t>.</w:t>
      </w:r>
    </w:p>
    <w:p w14:paraId="5B26BEFE"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المصادر ذات معامل التأثير العالي</w:t>
      </w:r>
      <w:r w:rsidRPr="005D59A7">
        <w:rPr>
          <w:rFonts w:ascii="T" w:hAnsi="T" w:cs="Simplified Arabic"/>
          <w:sz w:val="24"/>
          <w:szCs w:val="24"/>
        </w:rPr>
        <w:t xml:space="preserve"> (Impact Factor) </w:t>
      </w:r>
      <w:r w:rsidRPr="005D59A7">
        <w:rPr>
          <w:rFonts w:ascii="T" w:hAnsi="T" w:cs="Simplified Arabic"/>
          <w:sz w:val="24"/>
          <w:szCs w:val="24"/>
          <w:rtl/>
        </w:rPr>
        <w:t>في المجلات العلمية</w:t>
      </w:r>
      <w:r w:rsidRPr="005D59A7">
        <w:rPr>
          <w:rFonts w:ascii="T" w:hAnsi="T" w:cs="Simplified Arabic"/>
          <w:sz w:val="24"/>
          <w:szCs w:val="24"/>
        </w:rPr>
        <w:t>.</w:t>
      </w:r>
    </w:p>
    <w:p w14:paraId="7879EADD"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التقارير الصادرة عن جهات رسمية ذات سمعة عالمية</w:t>
      </w:r>
      <w:r w:rsidRPr="005D59A7">
        <w:rPr>
          <w:rFonts w:ascii="T" w:hAnsi="T" w:cs="Simplified Arabic"/>
          <w:sz w:val="24"/>
          <w:szCs w:val="24"/>
        </w:rPr>
        <w:t xml:space="preserve"> (</w:t>
      </w:r>
      <w:r w:rsidRPr="005D59A7">
        <w:rPr>
          <w:rFonts w:ascii="T" w:hAnsi="T" w:cs="Simplified Arabic"/>
          <w:sz w:val="24"/>
          <w:szCs w:val="24"/>
          <w:rtl/>
        </w:rPr>
        <w:t xml:space="preserve">البنك الدولي، </w:t>
      </w:r>
      <w:r w:rsidRPr="005D59A7">
        <w:rPr>
          <w:rFonts w:ascii="T" w:hAnsi="T" w:cs="Simplified Arabic"/>
          <w:sz w:val="24"/>
          <w:szCs w:val="24"/>
        </w:rPr>
        <w:t>OECD</w:t>
      </w:r>
      <w:r w:rsidRPr="005D59A7">
        <w:rPr>
          <w:rFonts w:ascii="T" w:hAnsi="T" w:cs="Simplified Arabic"/>
          <w:sz w:val="24"/>
          <w:szCs w:val="24"/>
          <w:rtl/>
        </w:rPr>
        <w:t>، الأمم المتحدة</w:t>
      </w:r>
      <w:r w:rsidRPr="005D59A7">
        <w:rPr>
          <w:rFonts w:ascii="T" w:hAnsi="T" w:cs="Simplified Arabic"/>
          <w:sz w:val="24"/>
          <w:szCs w:val="24"/>
        </w:rPr>
        <w:t>).</w:t>
      </w:r>
    </w:p>
    <w:p w14:paraId="78342342"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اعتماد مبدأ "التشبع النظري</w:t>
      </w:r>
      <w:r w:rsidRPr="005D59A7">
        <w:rPr>
          <w:rFonts w:ascii="T" w:hAnsi="T" w:cs="Simplified Arabic"/>
          <w:sz w:val="24"/>
          <w:szCs w:val="24"/>
        </w:rPr>
        <w:t xml:space="preserve">" (Theoretical Saturation) </w:t>
      </w:r>
      <w:r w:rsidRPr="005D59A7">
        <w:rPr>
          <w:rFonts w:ascii="T" w:hAnsi="T" w:cs="Simplified Arabic"/>
          <w:sz w:val="24"/>
          <w:szCs w:val="24"/>
          <w:rtl/>
        </w:rPr>
        <w:t>كمعيار لوقف إضافة المصادر الجديدة</w:t>
      </w:r>
      <w:r w:rsidRPr="005D59A7">
        <w:rPr>
          <w:rFonts w:ascii="T" w:hAnsi="T" w:cs="Simplified Arabic"/>
          <w:sz w:val="24"/>
          <w:szCs w:val="24"/>
        </w:rPr>
        <w:t>.</w:t>
      </w:r>
    </w:p>
    <w:p w14:paraId="4B8FCF44" w14:textId="51784205" w:rsidR="001F38D7" w:rsidRPr="005D59A7" w:rsidRDefault="001F38D7" w:rsidP="00E25EBC">
      <w:pPr>
        <w:pStyle w:val="Heading1"/>
        <w:bidi/>
        <w:rPr>
          <w:rFonts w:ascii="T" w:hAnsi="T" w:cs="Simplified Arabic"/>
          <w:b/>
          <w:bCs/>
          <w:color w:val="auto"/>
          <w:sz w:val="24"/>
          <w:szCs w:val="24"/>
          <w:rtl/>
        </w:rPr>
      </w:pPr>
      <w:bookmarkStart w:id="43" w:name="_Toc233202814"/>
      <w:r w:rsidRPr="005D59A7">
        <w:rPr>
          <w:rFonts w:ascii="T" w:hAnsi="T" w:cs="Simplified Arabic"/>
          <w:b/>
          <w:bCs/>
          <w:color w:val="auto"/>
          <w:sz w:val="24"/>
          <w:szCs w:val="24"/>
          <w:rtl/>
        </w:rPr>
        <w:t>النظريات المفسرة</w:t>
      </w:r>
      <w:bookmarkEnd w:id="43"/>
    </w:p>
    <w:p w14:paraId="1F6D7ACC" w14:textId="2165703E" w:rsidR="001F38D7" w:rsidRPr="005D59A7" w:rsidRDefault="001F38D7" w:rsidP="00E25EBC">
      <w:pPr>
        <w:pStyle w:val="Heading2"/>
        <w:bidi/>
        <w:rPr>
          <w:rFonts w:ascii="T" w:hAnsi="T" w:cs="Simplified Arabic"/>
          <w:b/>
          <w:bCs/>
          <w:color w:val="auto"/>
          <w:sz w:val="24"/>
          <w:szCs w:val="24"/>
          <w:rtl/>
        </w:rPr>
      </w:pPr>
      <w:bookmarkStart w:id="44" w:name="_Toc233202815"/>
      <w:r w:rsidRPr="005D59A7">
        <w:rPr>
          <w:rFonts w:ascii="T" w:hAnsi="T" w:cs="Simplified Arabic"/>
          <w:b/>
          <w:bCs/>
          <w:color w:val="auto"/>
          <w:sz w:val="24"/>
          <w:szCs w:val="24"/>
          <w:rtl/>
        </w:rPr>
        <w:t>نظرية الوكالة</w:t>
      </w:r>
      <w:r w:rsidRPr="005D59A7">
        <w:rPr>
          <w:rFonts w:ascii="T" w:hAnsi="T" w:cs="Simplified Arabic"/>
          <w:b/>
          <w:bCs/>
          <w:color w:val="auto"/>
          <w:sz w:val="24"/>
          <w:szCs w:val="24"/>
        </w:rPr>
        <w:t xml:space="preserve"> (Agency Theory)</w:t>
      </w:r>
      <w:bookmarkEnd w:id="44"/>
    </w:p>
    <w:p w14:paraId="460CA2D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أولاً: مفهوم نظرية الوكالة وأساسها الفكري</w:t>
      </w:r>
    </w:p>
    <w:p w14:paraId="6DCF53C3" w14:textId="0D899C3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تعد نظرية الوكالة من النظريات المحورية في الفكر الإداري والاقتصادي المعاصر، حيث تسعى إلى تفسير العلاقات التعاقدية بين الأطراف المختلفة وفهم التحديات التي تنشأ عن فصل الملكية عن الإدارة. تعود جذور هذه النظرية إلى أعمال</w:t>
      </w:r>
      <w:r w:rsidRPr="005D59A7">
        <w:rPr>
          <w:rFonts w:ascii="T" w:hAnsi="T" w:cs="Simplified Arabic"/>
          <w:sz w:val="24"/>
          <w:szCs w:val="24"/>
        </w:rPr>
        <w:t xml:space="preserve"> Ross (1973) </w:t>
      </w:r>
      <w:r w:rsidRPr="005D59A7">
        <w:rPr>
          <w:rFonts w:ascii="T" w:hAnsi="T" w:cs="Simplified Arabic"/>
          <w:sz w:val="24"/>
          <w:szCs w:val="24"/>
          <w:rtl/>
        </w:rPr>
        <w:t>الذي صاغ مفهوم "علاقة الوكالة" لأول مرة، و</w:t>
      </w:r>
      <w:r w:rsidRPr="005D59A7">
        <w:rPr>
          <w:rFonts w:ascii="T" w:hAnsi="T" w:cs="Simplified Arabic"/>
          <w:sz w:val="24"/>
          <w:szCs w:val="24"/>
        </w:rPr>
        <w:t xml:space="preserve">Jensen &amp; Meckling (1976) </w:t>
      </w:r>
      <w:r w:rsidRPr="005D59A7">
        <w:rPr>
          <w:rFonts w:ascii="T" w:hAnsi="T" w:cs="Simplified Arabic"/>
          <w:sz w:val="24"/>
          <w:szCs w:val="24"/>
          <w:rtl/>
        </w:rPr>
        <w:t xml:space="preserve"> الذين قدما التعريف الكلاسيكي للنظرية. في جوهرها، تتناول نظرية الوكالة العلاقة بين "الأصيل</w:t>
      </w:r>
      <w:r w:rsidRPr="005D59A7">
        <w:rPr>
          <w:rFonts w:ascii="T" w:hAnsi="T" w:cs="Simplified Arabic"/>
          <w:sz w:val="24"/>
          <w:szCs w:val="24"/>
        </w:rPr>
        <w:t xml:space="preserve">" (Principal) </w:t>
      </w:r>
      <w:r w:rsidRPr="005D59A7">
        <w:rPr>
          <w:rFonts w:ascii="T" w:hAnsi="T" w:cs="Simplified Arabic"/>
          <w:sz w:val="24"/>
          <w:szCs w:val="24"/>
          <w:rtl/>
        </w:rPr>
        <w:t>الذي يفوض سلطاته وصلاحياته، و"الوكيل</w:t>
      </w:r>
      <w:r w:rsidRPr="005D59A7">
        <w:rPr>
          <w:rFonts w:ascii="T" w:hAnsi="T" w:cs="Simplified Arabic"/>
          <w:sz w:val="24"/>
          <w:szCs w:val="24"/>
        </w:rPr>
        <w:t xml:space="preserve">" (Agent) </w:t>
      </w:r>
      <w:r w:rsidRPr="005D59A7">
        <w:rPr>
          <w:rFonts w:ascii="T" w:hAnsi="T" w:cs="Simplified Arabic"/>
          <w:sz w:val="24"/>
          <w:szCs w:val="24"/>
          <w:rtl/>
        </w:rPr>
        <w:t>الذي يتولى تنفيذ المهام نيابة عن الأصيل</w:t>
      </w:r>
      <w:r w:rsidRPr="005D59A7">
        <w:rPr>
          <w:rFonts w:ascii="T" w:hAnsi="T" w:cs="Simplified Arabic"/>
          <w:sz w:val="24"/>
          <w:szCs w:val="24"/>
        </w:rPr>
        <w:t>.</w:t>
      </w:r>
    </w:p>
    <w:p w14:paraId="7232600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تفسر نظرية الوكالة كيفية تنظيم العلاقة بين المالكين (الأصيل) والمديرين (الوكيل) في المنظمات، حيث يفوض المالكون سلطات اتخاذ القرار إلى المديرين لإدارة أعمالهم. غير أن هذا التفويض يخلق حالة من عدم تطابق المصالح، حيث قد يسعى الوكيل لتحقيق أهدافه الشخصية على حساب مصالح الأصيل. وتلعب آليات حوكمة الشركات دوراً حاسماً في الحد من الآثار السلبية الناجمة عن هذه العلاقة، من خلال وضع أنظمة رقابية وحوافز مناسبة تهدف إلى مواءمة مصالح الطرفين</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E7C10E0" w14:textId="1E293CC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تطورت نظرية الوكالة عبر الزمن لتشمل تحليلاً أعمق لمشكلة "عدم تطابق المصالح</w:t>
      </w:r>
      <w:r w:rsidRPr="005D59A7">
        <w:rPr>
          <w:rFonts w:ascii="T" w:hAnsi="T" w:cs="Simplified Arabic"/>
          <w:sz w:val="24"/>
          <w:szCs w:val="24"/>
        </w:rPr>
        <w:t xml:space="preserve">" (Interest Misalignment) </w:t>
      </w:r>
      <w:r w:rsidRPr="005D59A7">
        <w:rPr>
          <w:rFonts w:ascii="T" w:hAnsi="T" w:cs="Simplified Arabic"/>
          <w:sz w:val="24"/>
          <w:szCs w:val="24"/>
          <w:rtl/>
        </w:rPr>
        <w:t>بين الأصيل والوكيل، وكيفية تصميم آليات الحوافز والرقابة للتخفيف من هذه المشكلة. وقد ساهمت أعمال</w:t>
      </w:r>
      <w:r w:rsidRPr="005D59A7">
        <w:rPr>
          <w:rFonts w:ascii="T" w:hAnsi="T" w:cs="Simplified Arabic"/>
          <w:sz w:val="24"/>
          <w:szCs w:val="24"/>
        </w:rPr>
        <w:t xml:space="preserve"> Eisenhardt (1989) </w:t>
      </w:r>
      <w:r w:rsidRPr="005D59A7">
        <w:rPr>
          <w:rFonts w:ascii="T" w:hAnsi="T" w:cs="Simplified Arabic"/>
          <w:sz w:val="24"/>
          <w:szCs w:val="24"/>
          <w:rtl/>
        </w:rPr>
        <w:t>في تقديم توليفة شاملة لنظرية الوكالة، حيث ميزت بين سيناريوهين رئيسيين: الأول عندما يكون سلوك الوكيل قابلاً للملاحظة</w:t>
      </w:r>
      <w:r w:rsidRPr="005D59A7">
        <w:rPr>
          <w:rFonts w:ascii="T" w:hAnsi="T" w:cs="Simplified Arabic"/>
          <w:sz w:val="24"/>
          <w:szCs w:val="24"/>
        </w:rPr>
        <w:t xml:space="preserve"> (Behavior-Based Contracting)</w:t>
      </w:r>
      <w:r w:rsidRPr="005D59A7">
        <w:rPr>
          <w:rFonts w:ascii="T" w:hAnsi="T" w:cs="Simplified Arabic"/>
          <w:sz w:val="24"/>
          <w:szCs w:val="24"/>
          <w:rtl/>
        </w:rPr>
        <w:t>، والثاني عندما تكون النتائج فقط هي القابلة للقياس</w:t>
      </w:r>
      <w:r w:rsidRPr="005D59A7">
        <w:rPr>
          <w:rFonts w:ascii="T" w:hAnsi="T" w:cs="Simplified Arabic"/>
          <w:sz w:val="24"/>
          <w:szCs w:val="24"/>
        </w:rPr>
        <w:t xml:space="preserve"> (Outcome-Based Contracting).</w:t>
      </w:r>
    </w:p>
    <w:p w14:paraId="2B1CE47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العلاقات التعاقدية بين القطاعين العام والخاص، طُبقت نظرية الوكالة بشكل متزايد لفهم التحديات التي تنشأ عندما يفوض القطاع العام (الأصيل) مسؤوليات تشغيلية إلى القطاع الخاص (الوكيل). وتشير أدبيات الحوكمة إلى أن المنظمات تبنت بشكل متزايد نماذج الشراكة كاستجابة للضغوط الهيكلية ولتوسيع نطاق سلطتها في مجالات جديدة، مما يعكس تطبيقًا لمبادئ نظرية الوكالة في السياقات متعددة الأطراف</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5DE47AE7"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ثانياً: الافتراضات الأساسية لنظرية الوكالة</w:t>
      </w:r>
    </w:p>
    <w:p w14:paraId="214BD36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تقوم نظرية الوكالة على مجموعة من الافتراضات الأساسية التي تشكل الأساس المنطقي لفهم العلاقة بين الأصيل والوكيل. تساعد هذه الافتراضات في تفسير التحديات التي تنشأ في العلاقات التعاقدية وتوجيه تصميم آليات الحوكمة المناسبة</w:t>
      </w:r>
      <w:r w:rsidRPr="005D59A7">
        <w:rPr>
          <w:rFonts w:ascii="T" w:hAnsi="T" w:cs="Simplified Arabic"/>
          <w:sz w:val="24"/>
          <w:szCs w:val="24"/>
        </w:rPr>
        <w:t>.</w:t>
      </w:r>
    </w:p>
    <w:p w14:paraId="51838C17" w14:textId="28E136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تضارب المصالح</w:t>
      </w:r>
      <w:r w:rsidRPr="005D59A7">
        <w:rPr>
          <w:rFonts w:ascii="T" w:hAnsi="T" w:cs="Simplified Arabic"/>
          <w:sz w:val="24"/>
          <w:szCs w:val="24"/>
        </w:rPr>
        <w:t xml:space="preserve"> (Conflict of Interest):</w:t>
      </w:r>
    </w:p>
    <w:p w14:paraId="6DB35A6C"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الأصيل والوكيل لديهما أهداف ومصالح مختلفة. فالأصيل يسعى إلى تحقيق أهداف اجتماعية وخدماتية عامة (مثل جودة التفتيش البيئي، والامتثال للمعايير)، بينما يسعى الوكيل إلى تعظيم أرباحه وتقليل تكاليفه. هذا التضارب في المصالح يخلق حاجة إلى آليات رقابية وحوافز لمواءمة سلوك الوكيل مع أهداف الأصيل</w:t>
      </w:r>
      <w:r w:rsidRPr="005D59A7">
        <w:rPr>
          <w:rFonts w:ascii="T" w:hAnsi="T" w:cs="Simplified Arabic"/>
          <w:sz w:val="24"/>
          <w:szCs w:val="24"/>
        </w:rPr>
        <w:t xml:space="preserve"> (Jensen &amp; Meckling, 1976).</w:t>
      </w:r>
    </w:p>
    <w:p w14:paraId="75FED09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يتجلى هذا التضارب بوضوح في سياق الشراكات بين القطاعين العام والخاص، حيث تسعى الجهات الحكومية إلى تحقيق أهداف اجتماعية وبيئية، بينما يسعى الشركاء من القطاع الخاص إلى تعظيم عوائدهم المالية. </w:t>
      </w:r>
      <w:r w:rsidRPr="005D59A7">
        <w:rPr>
          <w:rFonts w:ascii="T" w:hAnsi="T" w:cs="Simplified Arabic"/>
          <w:sz w:val="24"/>
          <w:szCs w:val="24"/>
          <w:rtl/>
        </w:rPr>
        <w:lastRenderedPageBreak/>
        <w:t>وقد أشارت الدراسات إلى أن آليات حوكمة الشركات تلعب دورًا محوريًا في معالجة هذا التضارب من خلال وضع أطر تنظيمية تحدد مسؤوليات وواجبات كل طرف (محمد علي خيري ويسري، 2022)</w:t>
      </w:r>
      <w:r w:rsidRPr="005D59A7">
        <w:rPr>
          <w:rFonts w:ascii="T" w:hAnsi="T" w:cs="Simplified Arabic"/>
          <w:sz w:val="24"/>
          <w:szCs w:val="24"/>
        </w:rPr>
        <w:t>.</w:t>
      </w:r>
    </w:p>
    <w:p w14:paraId="3945130E" w14:textId="54B6E2F3"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عدم تماثل المعلومات</w:t>
      </w:r>
      <w:r w:rsidRPr="005D59A7">
        <w:rPr>
          <w:rFonts w:ascii="T" w:hAnsi="T" w:cs="Simplified Arabic"/>
          <w:sz w:val="24"/>
          <w:szCs w:val="24"/>
        </w:rPr>
        <w:t xml:space="preserve"> (Information Asymmetry):</w:t>
      </w:r>
    </w:p>
    <w:p w14:paraId="4C0C3C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الوكيل يمتلك معلومات أكثر من الأصيل حول العمليات التشغيلية والتكاليف والجهد المبذول. في سياق التفتيش البيئي، يكون للقطاع الخاص (المكلف بتنفيذ التفتيش) معلومات تفصيلية عن كيفية تنفيذ الزيارات التفتيشية، وجودة المفتشين، وكفاءة الإجراءات، بينما يفتقر القطاع العام إلى هذه المعلومات التفصيلية. هذا التفاوت في المعلومات يخلق إمكانية للسلوك الانتهازي من قبل الوكيل</w:t>
      </w:r>
      <w:r w:rsidRPr="005D59A7">
        <w:rPr>
          <w:rFonts w:ascii="T" w:hAnsi="T" w:cs="Simplified Arabic"/>
          <w:sz w:val="24"/>
          <w:szCs w:val="24"/>
        </w:rPr>
        <w:t xml:space="preserve"> (Eisenhardt, 1989).</w:t>
      </w:r>
    </w:p>
    <w:p w14:paraId="3AB86BBD" w14:textId="5F8F2FC6"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أن عدم تماثل المعلومات يعد من أهم التحديات التي تواجه العلاقات التعاقدية، حيث يمكن للوكيل استغلال هذه المعلومات لصالحه على حساب الأصيل. وتؤكد الدراسات أن آليات التحصين الإداري</w:t>
      </w:r>
      <w:r w:rsidRPr="005D59A7">
        <w:rPr>
          <w:rFonts w:ascii="T" w:hAnsi="T" w:cs="Simplified Arabic"/>
          <w:sz w:val="24"/>
          <w:szCs w:val="24"/>
        </w:rPr>
        <w:t xml:space="preserve"> (Managerial Entrenchment) </w:t>
      </w:r>
      <w:r w:rsidRPr="005D59A7">
        <w:rPr>
          <w:rFonts w:ascii="T" w:hAnsi="T" w:cs="Simplified Arabic"/>
          <w:sz w:val="24"/>
          <w:szCs w:val="24"/>
          <w:rtl/>
        </w:rPr>
        <w:t>يمكن أن تؤثر بشكل كبير على سلوك التكلفة غير المتماثل، حيث يستغل المديرون عدم تماثل المعلومات لتحقيق أهدافهم الشخصية (يسري،اخرون, 2022؛ عفيفي ,اخرون، 2023)</w:t>
      </w:r>
      <w:r w:rsidRPr="005D59A7">
        <w:rPr>
          <w:rFonts w:ascii="T" w:hAnsi="T" w:cs="Simplified Arabic"/>
          <w:sz w:val="24"/>
          <w:szCs w:val="24"/>
        </w:rPr>
        <w:t>.</w:t>
      </w:r>
    </w:p>
    <w:p w14:paraId="2934C408" w14:textId="1328AF07"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السلوك الانتهازي</w:t>
      </w:r>
      <w:r w:rsidRPr="005D59A7">
        <w:rPr>
          <w:rFonts w:ascii="T" w:hAnsi="T" w:cs="Simplified Arabic"/>
          <w:sz w:val="24"/>
          <w:szCs w:val="24"/>
        </w:rPr>
        <w:t xml:space="preserve"> (Opportunism):</w:t>
      </w:r>
    </w:p>
    <w:p w14:paraId="0DE62B5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الأطراف الاقتصادية قد تسعى لتحقيق مصالحها الخاصة بوسائل قد لا تكون شفافة أو نزيهة، بما في ذلك إخفاء المعلومات أو تشويهها. هذا السلوك، الذي يُعرِّف</w:t>
      </w:r>
      <w:r w:rsidRPr="005D59A7">
        <w:rPr>
          <w:rFonts w:ascii="T" w:hAnsi="T" w:cs="Simplified Arabic"/>
          <w:sz w:val="24"/>
          <w:szCs w:val="24"/>
        </w:rPr>
        <w:t xml:space="preserve"> Williamson (1975) </w:t>
      </w:r>
      <w:r w:rsidRPr="005D59A7">
        <w:rPr>
          <w:rFonts w:ascii="T" w:hAnsi="T" w:cs="Simplified Arabic"/>
          <w:sz w:val="24"/>
          <w:szCs w:val="24"/>
          <w:rtl/>
        </w:rPr>
        <w:t>بأنه "السعي وراء المصلحة الذاتية بالمكر والخداع"، يُعد تحديًا رئيسيًا في العلاقات التعاقدية، خاصة عندما تكون العقود غير مكتملة</w:t>
      </w:r>
      <w:r w:rsidRPr="005D59A7">
        <w:rPr>
          <w:rFonts w:ascii="T" w:hAnsi="T" w:cs="Simplified Arabic"/>
          <w:sz w:val="24"/>
          <w:szCs w:val="24"/>
        </w:rPr>
        <w:t xml:space="preserve"> (Williamson, 1985).</w:t>
      </w:r>
    </w:p>
    <w:p w14:paraId="0E421E2C" w14:textId="232762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نماذج التوريد التقليدية، قد يتجلى السلوك الانتهازي في تقديم جودة أقل من المتفق عليها، أو تضخيم ساعات العمل، أو تقليل الجهد المبذول في التدقيق. وقد أشارت الدراسات إلى أن السلوك الانتهازي يرتبط ارتباطًا وثيقًا بمشكلة التحصين الإداري، حيث يسعى المديرون إلى تعزيز مواقعهم وزيادة قوتهم التفاوضية على حساب المالكين (عفيفي ,اخرون، 2023)</w:t>
      </w:r>
      <w:r w:rsidRPr="005D59A7">
        <w:rPr>
          <w:rFonts w:ascii="T" w:hAnsi="T" w:cs="Simplified Arabic"/>
          <w:sz w:val="24"/>
          <w:szCs w:val="24"/>
        </w:rPr>
        <w:t>.</w:t>
      </w:r>
    </w:p>
    <w:p w14:paraId="33DC1BD3" w14:textId="38FD5D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العقلانية المحدودة</w:t>
      </w:r>
      <w:r w:rsidRPr="005D59A7">
        <w:rPr>
          <w:rFonts w:ascii="T" w:hAnsi="T" w:cs="Simplified Arabic"/>
          <w:sz w:val="24"/>
          <w:szCs w:val="24"/>
        </w:rPr>
        <w:t xml:space="preserve"> (Bounded Rationality):</w:t>
      </w:r>
    </w:p>
    <w:p w14:paraId="4B66356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تترتب على العقلانية المحدودة عدة آثار مهمة في سياق الشراكات بين القطاعين العام والخاص. أولاً، يصعب توقع جميع المخاطر المحتملة وتوزيعها بشكل مسبق. ثانيًا، تظهر الحاجة إلى آليات تكيف وتعديل خلال فترة العقد. ثالثًا، تبرز أهمية الثقة والسمعة كآليات تكميلية للعقود المكتوبة. وقد أشارت الدراسات إلى أن فهم هذه الافتراضات يساعد في تصميم عقود أكثر مرونة وفعالية (بتول وعلي وخلف، 2011)</w:t>
      </w:r>
      <w:r w:rsidRPr="005D59A7">
        <w:rPr>
          <w:rFonts w:ascii="T" w:hAnsi="T" w:cs="Simplified Arabic"/>
          <w:sz w:val="24"/>
          <w:szCs w:val="24"/>
        </w:rPr>
        <w:t>.</w:t>
      </w:r>
    </w:p>
    <w:p w14:paraId="0217308E"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ثالثاً: تكاليف الوكالة</w:t>
      </w:r>
      <w:r w:rsidRPr="005D59A7">
        <w:rPr>
          <w:rFonts w:ascii="T" w:hAnsi="T" w:cs="Simplified Arabic"/>
          <w:b/>
          <w:bCs/>
          <w:sz w:val="24"/>
          <w:szCs w:val="24"/>
        </w:rPr>
        <w:t xml:space="preserve"> (Agency Costs)</w:t>
      </w:r>
    </w:p>
    <w:p w14:paraId="4EAE69F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تُعرّف تكاليف الوكالة بأنها إجمالي التكاليف الناشئة عن علاقة الوكالة، وتشمل ثلاثة أنواع رئيسية</w:t>
      </w:r>
      <w:r w:rsidRPr="005D59A7">
        <w:rPr>
          <w:rFonts w:ascii="T" w:hAnsi="T" w:cs="Simplified Arabic"/>
          <w:sz w:val="24"/>
          <w:szCs w:val="24"/>
        </w:rPr>
        <w:t>:</w:t>
      </w:r>
    </w:p>
    <w:p w14:paraId="1CA14F1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الأول: تكاليف المراقبة</w:t>
      </w:r>
      <w:r w:rsidRPr="005D59A7">
        <w:rPr>
          <w:rFonts w:ascii="T" w:hAnsi="T" w:cs="Simplified Arabic"/>
          <w:sz w:val="24"/>
          <w:szCs w:val="24"/>
        </w:rPr>
        <w:t xml:space="preserve"> (Monitoring Costs):</w:t>
      </w:r>
    </w:p>
    <w:p w14:paraId="4ED184A9"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الأصيل لمراقبة سلوك الوكيل والتأكد من امتثاله للعقد. تشمل هذه التكاليف أنظمة الإبلاغ الدوري، والتدقيق المستقل، وأنظمة التفتيش المزدوج، والرقابة الداخلية. في سياق التفتيش البيئي، تشمل تكاليف المراقبة الإشراف على أداء القطاع الخاص، وتكاليف أنظمة الرقابة الداخلية، وتكاليف التدقيق والمراجعة</w:t>
      </w:r>
      <w:r w:rsidRPr="005D59A7">
        <w:rPr>
          <w:rFonts w:ascii="T" w:hAnsi="T" w:cs="Simplified Arabic"/>
          <w:sz w:val="24"/>
          <w:szCs w:val="24"/>
        </w:rPr>
        <w:t xml:space="preserve"> (Jensen &amp; Meckling, 1976).</w:t>
      </w:r>
    </w:p>
    <w:p w14:paraId="2DD660A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تشير الأدبيات إلى أن تكاليف المراقبة يمكن تخفيضها من خلال تصميم أنظمة حوافز فعالة تقلل من الحاجة إلى المراقبة المباشرة. فقد أظهرت الدراسات أن آليات حوكمة الشركات الفعالة تساهم في خفض تكاليف المراقبة من خلال تحسين شفافية المعلومات وتعزيز المساءلة</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6C5EE22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الثاني: تكاليف التزام</w:t>
      </w:r>
      <w:r w:rsidRPr="005D59A7">
        <w:rPr>
          <w:rFonts w:ascii="T" w:hAnsi="T" w:cs="Simplified Arabic"/>
          <w:sz w:val="24"/>
          <w:szCs w:val="24"/>
        </w:rPr>
        <w:t xml:space="preserve"> (Bonding Costs):</w:t>
      </w:r>
    </w:p>
    <w:p w14:paraId="6719043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الوكيل لإثبات التزامه بتنفيذ العقد وفقًا لشروطه. تشمل هذه التكاليف تقديم الضمانات البنكية، وتكاليف إعداد التقارير الدورية، وتكاليف الامتثال لمعايير الجودة، وتكاليف التأمين ضد المخاطر. يتحمل الوكيل هذه التكاليف بهدف طمأنة الأصيل بأنه سينفذ العقد بأمانة وكفاءة</w:t>
      </w:r>
      <w:r w:rsidRPr="005D59A7">
        <w:rPr>
          <w:rFonts w:ascii="T" w:hAnsi="T" w:cs="Simplified Arabic"/>
          <w:sz w:val="24"/>
          <w:szCs w:val="24"/>
        </w:rPr>
        <w:t xml:space="preserve"> (Jensen &amp; Meckling, 1976).</w:t>
      </w:r>
    </w:p>
    <w:p w14:paraId="03E47538" w14:textId="5CA5FA5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أشارت دراسة </w:t>
      </w:r>
      <w:r w:rsidR="003709B2" w:rsidRPr="005D59A7">
        <w:rPr>
          <w:rFonts w:ascii="T" w:hAnsi="T" w:cs="Simplified Arabic"/>
          <w:sz w:val="24"/>
          <w:szCs w:val="24"/>
          <w:rtl/>
        </w:rPr>
        <w:t>نوري,اخرون</w:t>
      </w:r>
      <w:r w:rsidRPr="005D59A7">
        <w:rPr>
          <w:rFonts w:ascii="T" w:hAnsi="T" w:cs="Simplified Arabic"/>
          <w:sz w:val="24"/>
          <w:szCs w:val="24"/>
          <w:rtl/>
        </w:rPr>
        <w:t xml:space="preserve"> (2011) إلى أن تكاليف الالتزام تلعب دورًا مهمًا في بناء الثقة بين الأصيل والوكيل، حيث تعمل كإشارة</w:t>
      </w:r>
      <w:r w:rsidRPr="005D59A7">
        <w:rPr>
          <w:rFonts w:ascii="T" w:hAnsi="T" w:cs="Simplified Arabic"/>
          <w:sz w:val="24"/>
          <w:szCs w:val="24"/>
        </w:rPr>
        <w:t xml:space="preserve"> (Signaling) </w:t>
      </w:r>
      <w:r w:rsidRPr="005D59A7">
        <w:rPr>
          <w:rFonts w:ascii="T" w:hAnsi="T" w:cs="Simplified Arabic"/>
          <w:sz w:val="24"/>
          <w:szCs w:val="24"/>
          <w:rtl/>
        </w:rPr>
        <w:t>على نزاهة وكفاءة الوكيل. كما أشارت إلى أن حوكمة الشركات تساهم في تخفيض هذه التكاليف من خلال وضع معايير موحدة للإفصاح والشفافية</w:t>
      </w:r>
      <w:r w:rsidRPr="005D59A7">
        <w:rPr>
          <w:rFonts w:ascii="T" w:hAnsi="T" w:cs="Simplified Arabic"/>
          <w:sz w:val="24"/>
          <w:szCs w:val="24"/>
        </w:rPr>
        <w:t>.</w:t>
      </w:r>
    </w:p>
    <w:p w14:paraId="161D6C2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الثالث: الخسارة المتبقية</w:t>
      </w:r>
      <w:r w:rsidRPr="005D59A7">
        <w:rPr>
          <w:rFonts w:ascii="T" w:hAnsi="T" w:cs="Simplified Arabic"/>
          <w:sz w:val="24"/>
          <w:szCs w:val="24"/>
        </w:rPr>
        <w:t xml:space="preserve"> (Residual Loss):</w:t>
      </w:r>
    </w:p>
    <w:p w14:paraId="0655678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تمثل الخسارة في قيمة العقد الناتجة عن الفجوة بين قرارات الوكيل والقرارات التي كان سيتخذها الأصيل لو كان لديه نفس المعلومات. هذه الخسارة هي "الثمن" الذي يدفعه الأصيل مقابل تفويض السلطة للوكيل، وهي تنشأ حتى في ظل وجود أنظمة مراقبة وحوافز مثالية</w:t>
      </w:r>
      <w:r w:rsidRPr="005D59A7">
        <w:rPr>
          <w:rFonts w:ascii="T" w:hAnsi="T" w:cs="Simplified Arabic"/>
          <w:sz w:val="24"/>
          <w:szCs w:val="24"/>
        </w:rPr>
        <w:t xml:space="preserve"> (Jensen &amp; Meckling, 1976).</w:t>
      </w:r>
    </w:p>
    <w:p w14:paraId="653A690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خدمة التفتيش البيئي، تتجلى الخسارة المتبقية في انخفاض جودة التفتيش، وزيادة نسبة المخالفات المرفوضة، وتراجع كفاءة التغطية، والعجز المالي المستمر. وقد أظهرت البيانات أن النموذج التقليدي للتفتيش البيئي عانى من خسارة متبقية كبيرة تمثلت في عجز مالي بلغ 41 مليون ريال خلال الفترة 2017-2019 (المركز الوطني للرقابة على الالتزام البيئي، 2020)</w:t>
      </w:r>
      <w:r w:rsidRPr="005D59A7">
        <w:rPr>
          <w:rFonts w:ascii="T" w:hAnsi="T" w:cs="Simplified Arabic"/>
          <w:sz w:val="24"/>
          <w:szCs w:val="24"/>
        </w:rPr>
        <w:t>.</w:t>
      </w:r>
    </w:p>
    <w:p w14:paraId="51A2F5D5"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رابعاً: مشكلة الوكيل-الأصيل في عقود الشراكة</w:t>
      </w:r>
    </w:p>
    <w:p w14:paraId="73BDC80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تتجسد مشكلة الوكيل-الأصيل في عقود الشراكة بين القطاعين العام والخاص في عدة أبعاد رئيسية</w:t>
      </w:r>
      <w:r w:rsidRPr="005D59A7">
        <w:rPr>
          <w:rFonts w:ascii="T" w:hAnsi="T" w:cs="Simplified Arabic"/>
          <w:sz w:val="24"/>
          <w:szCs w:val="24"/>
        </w:rPr>
        <w:t>:</w:t>
      </w:r>
    </w:p>
    <w:p w14:paraId="238E745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الأول: مشكلة الاختيار السلبي</w:t>
      </w:r>
      <w:r w:rsidRPr="005D59A7">
        <w:rPr>
          <w:rFonts w:ascii="T" w:hAnsi="T" w:cs="Simplified Arabic"/>
          <w:sz w:val="24"/>
          <w:szCs w:val="24"/>
        </w:rPr>
        <w:t xml:space="preserve"> (Adverse Selection):</w:t>
      </w:r>
    </w:p>
    <w:p w14:paraId="17A4A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قبل توقيع العقد، حيث قد يقدم الوكيل معلومات غير دقيقة حول قدراته وكفاءاته بهدف الفوز بالعقد. في مشاريع التفتيش البيئي، قد تبالغ الشركات المتقدمة في تقدير قدرتها على تغطية عدد معين من المنشآت أو تحقيق مستويات جودة محددة</w:t>
      </w:r>
      <w:r w:rsidRPr="005D59A7">
        <w:rPr>
          <w:rFonts w:ascii="T" w:hAnsi="T" w:cs="Simplified Arabic"/>
          <w:sz w:val="24"/>
          <w:szCs w:val="24"/>
        </w:rPr>
        <w:t xml:space="preserve"> (Eisenhardt, 1989).</w:t>
      </w:r>
    </w:p>
    <w:p w14:paraId="5CB49628" w14:textId="2C71F414"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الأدبيات إلى أن آليات التحصين الإداري تساهم في تفاقم مشكلة الاختيار السلبي، حيث يسعى المديرون إلى إظهار أداء أفضل من حقيقتهم بهدف تعزيز مواقعهم وزيادة قوتهم التفاوضية. وقد أظهرت الدراسات </w:t>
      </w:r>
      <w:r w:rsidRPr="005D59A7">
        <w:rPr>
          <w:rFonts w:ascii="T" w:hAnsi="T" w:cs="Simplified Arabic"/>
          <w:sz w:val="24"/>
          <w:szCs w:val="24"/>
          <w:rtl/>
        </w:rPr>
        <w:lastRenderedPageBreak/>
        <w:t>أن العلاقة بين التحصين الإداري والسلوك غير المتماثل للتكلفة تعكس وجود هذه المشكلة في العديد من المنظمات (يسري,اخرون، 2022؛ عفيفي ,اخرون، 2023)</w:t>
      </w:r>
      <w:r w:rsidRPr="005D59A7">
        <w:rPr>
          <w:rFonts w:ascii="T" w:hAnsi="T" w:cs="Simplified Arabic"/>
          <w:sz w:val="24"/>
          <w:szCs w:val="24"/>
        </w:rPr>
        <w:t>.</w:t>
      </w:r>
    </w:p>
    <w:p w14:paraId="47FAB91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الثاني: مشكلة المخاطر الخلقية</w:t>
      </w:r>
      <w:r w:rsidRPr="005D59A7">
        <w:rPr>
          <w:rFonts w:ascii="T" w:hAnsi="T" w:cs="Simplified Arabic"/>
          <w:sz w:val="24"/>
          <w:szCs w:val="24"/>
        </w:rPr>
        <w:t xml:space="preserve"> (Moral Hazard):</w:t>
      </w:r>
    </w:p>
    <w:p w14:paraId="0F6AE38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بعد توقيع العقد، حيث قد يبذل الوكيل جهدًا أقل من المتفق عليه لأنه لا يتحمل العواقب الكاملة لتقصيره. في النموذج التقليدي للتفتيش البيئي، حيث يتم الدفع مقابل المدخلات (عدد المفتشين، ساعات العمل) بغض النظر عن المخرجات، يكون هناك حافز ضعيف لبذل جهد عالي الجودة، مما يفسر ارتفاع نسبة المخالفات المرفوضة وضعف كفاءة الرصد (المركز الوطني للرقابة على الالتزام البيئي، 2020)</w:t>
      </w:r>
      <w:r w:rsidRPr="005D59A7">
        <w:rPr>
          <w:rFonts w:ascii="T" w:hAnsi="T" w:cs="Simplified Arabic"/>
          <w:sz w:val="24"/>
          <w:szCs w:val="24"/>
        </w:rPr>
        <w:t>.</w:t>
      </w:r>
    </w:p>
    <w:p w14:paraId="5F94CADE" w14:textId="2D001DF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تتضاعف مشكلة المخاطر الخلقية في حالة عدم وجود آليات رقابية فعالة. أن تضارب المصالح بين العاملين في الشركة (كأصحاب مصالح) والشركة نفسها يمكن أن يؤدي إلى سلوكيات غير مرغوب فيها، مثل تقليل الجهد أو الإهمال </w:t>
      </w:r>
      <w:r w:rsidR="003709B2" w:rsidRPr="005D59A7">
        <w:rPr>
          <w:rFonts w:ascii="T" w:hAnsi="T" w:cs="Simplified Arabic"/>
          <w:sz w:val="24"/>
          <w:szCs w:val="24"/>
          <w:rtl/>
        </w:rPr>
        <w:t>المتعمد</w:t>
      </w:r>
      <w:r w:rsidR="003709B2" w:rsidRPr="005D59A7">
        <w:rPr>
          <w:rFonts w:ascii="T" w:hAnsi="T" w:cs="Simplified Arabic"/>
          <w:sz w:val="24"/>
          <w:szCs w:val="24"/>
        </w:rPr>
        <w:t>.</w:t>
      </w:r>
      <w:r w:rsidR="003709B2" w:rsidRPr="005D59A7">
        <w:rPr>
          <w:rFonts w:ascii="T" w:hAnsi="T" w:cs="Simplified Arabic"/>
          <w:sz w:val="24"/>
          <w:szCs w:val="24"/>
          <w:rtl/>
        </w:rPr>
        <w:t xml:space="preserve"> (</w:t>
      </w:r>
      <w:r w:rsidRPr="005D59A7">
        <w:rPr>
          <w:rFonts w:ascii="T" w:hAnsi="T" w:cs="Simplified Arabic"/>
          <w:sz w:val="24"/>
          <w:szCs w:val="24"/>
          <w:rtl/>
        </w:rPr>
        <w:t>عبدو,اخرون ,2024)</w:t>
      </w:r>
    </w:p>
    <w:p w14:paraId="705FB506"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الثالث: مشكلة استيلاء ذوي المصالح</w:t>
      </w:r>
      <w:r w:rsidRPr="005D59A7">
        <w:rPr>
          <w:rFonts w:ascii="T" w:hAnsi="T" w:cs="Simplified Arabic"/>
          <w:sz w:val="24"/>
          <w:szCs w:val="24"/>
        </w:rPr>
        <w:t xml:space="preserve"> (Hold-up Problem):</w:t>
      </w:r>
    </w:p>
    <w:p w14:paraId="6E1DABD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عندما يقوم الوكيل باستثمارات خاصة بالعقد (مثل تدريب مفتشين على أنظمة محددة)، وبعد أن تصبح هذه الاستثمارات محصورة في العلاقة، قد يحاول الوكيل استغلال ذلك لإعادة التفاوض على شروط العقد لصالحه</w:t>
      </w:r>
      <w:r w:rsidRPr="005D59A7">
        <w:rPr>
          <w:rFonts w:ascii="T" w:hAnsi="T" w:cs="Simplified Arabic"/>
          <w:sz w:val="24"/>
          <w:szCs w:val="24"/>
        </w:rPr>
        <w:t xml:space="preserve"> (Williamson, 1985).</w:t>
      </w:r>
    </w:p>
    <w:p w14:paraId="0FA2BB5E" w14:textId="5BCB5518"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هذه المشكلة شائعة في العقود طويلة الأجل حيث تتطلب خصوصية أصول عالية. وتشير الأدبيات إلى أن نظام الحاكمية المؤسسية يمكن أن يوفر حلاً مناسبًا لهذه المشكلة من خلال وضع أطر تنظيمية تحمي حقوق الأطراف وتوفر آليات لحل النزاعات (</w:t>
      </w:r>
      <w:r w:rsidR="003709B2" w:rsidRPr="005D59A7">
        <w:rPr>
          <w:rFonts w:ascii="T" w:hAnsi="T" w:cs="Simplified Arabic"/>
          <w:sz w:val="24"/>
          <w:szCs w:val="24"/>
          <w:rtl/>
        </w:rPr>
        <w:t>عثمان,اخرون</w:t>
      </w:r>
      <w:r w:rsidRPr="005D59A7">
        <w:rPr>
          <w:rFonts w:ascii="T" w:hAnsi="T" w:cs="Simplified Arabic"/>
          <w:sz w:val="24"/>
          <w:szCs w:val="24"/>
          <w:rtl/>
        </w:rPr>
        <w:t>، 2015)</w:t>
      </w:r>
      <w:r w:rsidRPr="005D59A7">
        <w:rPr>
          <w:rFonts w:ascii="T" w:hAnsi="T" w:cs="Simplified Arabic"/>
          <w:sz w:val="24"/>
          <w:szCs w:val="24"/>
        </w:rPr>
        <w:t>.</w:t>
      </w:r>
    </w:p>
    <w:p w14:paraId="61359981"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خامساً: آليات معالجة مشكلة الوكالة</w:t>
      </w:r>
    </w:p>
    <w:p w14:paraId="604EE4D2"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لتخفيف مشكلة الوكالة، طورت الأدبيات الإدارية والاقتصادية مجموعة من الآليات</w:t>
      </w:r>
      <w:r w:rsidRPr="005D59A7">
        <w:rPr>
          <w:rFonts w:ascii="T" w:hAnsi="T" w:cs="Simplified Arabic"/>
          <w:sz w:val="24"/>
          <w:szCs w:val="24"/>
        </w:rPr>
        <w:t>:</w:t>
      </w:r>
    </w:p>
    <w:p w14:paraId="0706ECE1" w14:textId="228C4DC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التعاقد القائم على الأداء</w:t>
      </w:r>
      <w:r w:rsidRPr="005D59A7">
        <w:rPr>
          <w:rFonts w:ascii="T" w:hAnsi="T" w:cs="Simplified Arabic"/>
          <w:sz w:val="24"/>
          <w:szCs w:val="24"/>
        </w:rPr>
        <w:t xml:space="preserve"> (Performance-Based Contracting):</w:t>
      </w:r>
    </w:p>
    <w:p w14:paraId="139359C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ربط تعويض الوكيل بتحقيق مؤشرات أداء محددة وقابلة للقياس بدلاً من الدفع مقابل المدخلات. في سياق التفتيش البيئي، يمكن ربط الدفع بمؤشرات مثل: عدد المخالفات المعتمدة، نسبة المخالفات المرفوضة، نسبة تغطية المنشآت، زمن إغلاق المخالفات</w:t>
      </w:r>
      <w:r w:rsidRPr="005D59A7">
        <w:rPr>
          <w:rFonts w:ascii="T" w:hAnsi="T" w:cs="Simplified Arabic"/>
          <w:sz w:val="24"/>
          <w:szCs w:val="24"/>
        </w:rPr>
        <w:t xml:space="preserve"> (Eisenhardt, 1989).</w:t>
      </w:r>
    </w:p>
    <w:p w14:paraId="30DE2918" w14:textId="06D844D2"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الأبحاث إلى أن التعاقد القائم على الأداء يساهم في تقليل مشكلة عدم تطابق المصالح من خلال مواءمة حوافز الوكيل مع أهداف الأصيل. وقد أظهرت الدراسات أن الشركات التي تتبنى آليات حوكمة فعالة تحقق كفاءة استثمارية أعلى، مما يعكس فعالية هذه الآليات في معالجة مشكلة الوكالة (عفيفي </w:t>
      </w:r>
      <w:r w:rsidR="003709B2" w:rsidRPr="005D59A7">
        <w:rPr>
          <w:rFonts w:ascii="T" w:hAnsi="T" w:cs="Simplified Arabic"/>
          <w:sz w:val="24"/>
          <w:szCs w:val="24"/>
          <w:rtl/>
        </w:rPr>
        <w:t>,اخرون</w:t>
      </w:r>
      <w:r w:rsidRPr="005D59A7">
        <w:rPr>
          <w:rFonts w:ascii="T" w:hAnsi="T" w:cs="Simplified Arabic"/>
          <w:sz w:val="24"/>
          <w:szCs w:val="24"/>
          <w:rtl/>
        </w:rPr>
        <w:t>، 2023)</w:t>
      </w:r>
      <w:r w:rsidRPr="005D59A7">
        <w:rPr>
          <w:rFonts w:ascii="T" w:hAnsi="T" w:cs="Simplified Arabic"/>
          <w:sz w:val="24"/>
          <w:szCs w:val="24"/>
        </w:rPr>
        <w:t>.</w:t>
      </w:r>
    </w:p>
    <w:p w14:paraId="5AAC7B44" w14:textId="7B9110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آليات المراقبة والرقابة</w:t>
      </w:r>
      <w:r w:rsidRPr="005D59A7">
        <w:rPr>
          <w:rFonts w:ascii="T" w:hAnsi="T" w:cs="Simplified Arabic"/>
          <w:sz w:val="24"/>
          <w:szCs w:val="24"/>
        </w:rPr>
        <w:t xml:space="preserve"> (Monitoring Mechanisms):</w:t>
      </w:r>
    </w:p>
    <w:p w14:paraId="2E3D186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تشمل أنظمة الإبلاغ الدوري، والتدقيق المستقل، وأنظمة التفتيش المزدوج. تهدف هذه الآليات إلى تقليل عدم تماثل المعلومات من خلال توفير تدفق منتظم للمعلومات من الوكيل إلى الأصيل</w:t>
      </w:r>
      <w:r w:rsidRPr="005D59A7">
        <w:rPr>
          <w:rFonts w:ascii="T" w:hAnsi="T" w:cs="Simplified Arabic"/>
          <w:sz w:val="24"/>
          <w:szCs w:val="24"/>
        </w:rPr>
        <w:t xml:space="preserve"> (Jensen &amp; Meckling, 1976).</w:t>
      </w:r>
    </w:p>
    <w:p w14:paraId="55EBB9DC" w14:textId="6435918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تعتبر هذه الآليات جزءًا أساسيًا من نظام الحوكمة المؤسسية، حيث تساهم في تخفيض مشاكل نظرية الوكالة من خلال تعزيز الشفافية والمساءلة. أن حوكمة الشركات تلعب دورًا محوريًا في تخفيض مشاكل نظرية الوكالة من خلال وضع أطر تنظيمية تحدد مسؤوليات الأطراف وتضمن حقوقهم</w:t>
      </w:r>
      <w:r w:rsidRPr="005D59A7">
        <w:rPr>
          <w:rFonts w:ascii="T" w:hAnsi="T" w:cs="Simplified Arabic"/>
          <w:sz w:val="24"/>
          <w:szCs w:val="24"/>
        </w:rPr>
        <w:t>.</w:t>
      </w:r>
      <w:r w:rsidR="003709B2" w:rsidRPr="005D59A7">
        <w:rPr>
          <w:rFonts w:ascii="T" w:hAnsi="T" w:cs="Simplified Arabic"/>
          <w:sz w:val="24"/>
          <w:szCs w:val="24"/>
          <w:rtl/>
        </w:rPr>
        <w:t>(نوري,اخرون,2011)</w:t>
      </w:r>
    </w:p>
    <w:p w14:paraId="4C27FC64" w14:textId="788B4BEC"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أنظمة الحوافز والعقوبات</w:t>
      </w:r>
      <w:r w:rsidRPr="005D59A7">
        <w:rPr>
          <w:rFonts w:ascii="T" w:hAnsi="T" w:cs="Simplified Arabic"/>
          <w:sz w:val="24"/>
          <w:szCs w:val="24"/>
        </w:rPr>
        <w:t xml:space="preserve"> (Incentive &amp; Penalty Systems):</w:t>
      </w:r>
    </w:p>
    <w:p w14:paraId="6B9B4F5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تصميم عقود تتضمن مكافآت للأداء المتميز وعقوبات للأداء الضعيف. يمكن أن تشمل المكافآت نسبًا إضافية من الإيرادات، بينما تشمل العقوبات تخفيض الدفع أو إنهاء العقد</w:t>
      </w:r>
      <w:r w:rsidRPr="005D59A7">
        <w:rPr>
          <w:rFonts w:ascii="T" w:hAnsi="T" w:cs="Simplified Arabic"/>
          <w:sz w:val="24"/>
          <w:szCs w:val="24"/>
        </w:rPr>
        <w:t xml:space="preserve"> (Eisenhardt, 1989).</w:t>
      </w:r>
    </w:p>
    <w:p w14:paraId="4DB594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تعمل أنظمة الحوافز والعقوبات على تحفيز الوكيل لبذل جهد أعلى وتقليل السلوك الانتهازي. وقد أظهرت الدراسات أن هذه الأنظمة تساهم في تخفيض مشكلة المخاطر الخلقية من خلال ربط مكافآت الوكيل بأدائه الفعلي</w:t>
      </w:r>
      <w:r w:rsidRPr="005D59A7">
        <w:rPr>
          <w:rFonts w:ascii="T" w:hAnsi="T" w:cs="Simplified Arabic"/>
          <w:sz w:val="24"/>
          <w:szCs w:val="24"/>
        </w:rPr>
        <w:t xml:space="preserve"> (Salem, </w:t>
      </w:r>
      <w:proofErr w:type="spellStart"/>
      <w:r w:rsidRPr="005D59A7">
        <w:rPr>
          <w:rFonts w:ascii="T" w:hAnsi="T" w:cs="Simplified Arabic"/>
          <w:sz w:val="24"/>
          <w:szCs w:val="24"/>
        </w:rPr>
        <w:t>Zbain</w:t>
      </w:r>
      <w:proofErr w:type="spellEnd"/>
      <w:r w:rsidRPr="005D59A7">
        <w:rPr>
          <w:rFonts w:ascii="T" w:hAnsi="T" w:cs="Simplified Arabic"/>
          <w:sz w:val="24"/>
          <w:szCs w:val="24"/>
        </w:rPr>
        <w:t>, &amp; Abdullah, 2021).</w:t>
      </w:r>
    </w:p>
    <w:p w14:paraId="35B50E9A" w14:textId="12EC94D9"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تقاسم المخاطر</w:t>
      </w:r>
      <w:r w:rsidRPr="005D59A7">
        <w:rPr>
          <w:rFonts w:ascii="T" w:hAnsi="T" w:cs="Simplified Arabic"/>
          <w:sz w:val="24"/>
          <w:szCs w:val="24"/>
        </w:rPr>
        <w:t xml:space="preserve"> (Risk Sharing):</w:t>
      </w:r>
    </w:p>
    <w:p w14:paraId="11D34B0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توزيع المخاطر بين الأصيل والوكيل وفقًا لمبدأ "الطرف الأكثر قدرة على إدارتها". المخاطر التشغيلية (مثل ضعف أداء المفتشين) يمكن نقلها إلى القطاع الخاص، بينما تبقى المخاطر التنظيمية (مثل تغير اللوائح) مع القطاع العام</w:t>
      </w:r>
      <w:r w:rsidRPr="005D59A7">
        <w:rPr>
          <w:rFonts w:ascii="T" w:hAnsi="T" w:cs="Simplified Arabic"/>
          <w:sz w:val="24"/>
          <w:szCs w:val="24"/>
        </w:rPr>
        <w:t xml:space="preserve"> (Williamson, 1985).</w:t>
      </w:r>
    </w:p>
    <w:p w14:paraId="4564AF0B" w14:textId="763F14F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يعتبر توزيع المخاطر بشكل عادل من أهم عناصر عقود الشراكة الناجحة. نظام الحاكمية المؤسسية يمثل الحل الأمثل للأطراف المتعارضة في ظل نظرية الوكالة، من خلال توزيع المسؤوليات والمخاطر بشكل متوازن</w:t>
      </w:r>
      <w:r w:rsidRPr="005D59A7">
        <w:rPr>
          <w:rFonts w:ascii="T" w:hAnsi="T" w:cs="Simplified Arabic"/>
          <w:sz w:val="24"/>
          <w:szCs w:val="24"/>
        </w:rPr>
        <w:t>.</w:t>
      </w:r>
      <w:r w:rsidR="003709B2" w:rsidRPr="005D59A7">
        <w:rPr>
          <w:rFonts w:ascii="T" w:hAnsi="T" w:cs="Simplified Arabic"/>
          <w:sz w:val="24"/>
          <w:szCs w:val="24"/>
          <w:rtl/>
        </w:rPr>
        <w:t>(عثمان,اخرون,2015)</w:t>
      </w:r>
    </w:p>
    <w:p w14:paraId="762A08D4"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سادساً: تطبيق النظرية على الدراسة الحالية</w:t>
      </w:r>
    </w:p>
    <w:p w14:paraId="45A1A41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تُستخدم نظرية الوكالة في هذه الدراسة لتفسير العلاقة بين المركز الوطني للرقابة على الالتزام البيئي (الأصيل) والقطاع الخاص (الوكيل) في تقديم خدمة التفتيش البيئي. تشير النظرية إلى أن النموذج التقليدي القائم على التوريد</w:t>
      </w:r>
      <w:r w:rsidRPr="005D59A7">
        <w:rPr>
          <w:rFonts w:ascii="T" w:hAnsi="T" w:cs="Simplified Arabic"/>
          <w:sz w:val="24"/>
          <w:szCs w:val="24"/>
        </w:rPr>
        <w:t xml:space="preserve"> (Input-Based Contracting) </w:t>
      </w:r>
      <w:r w:rsidRPr="005D59A7">
        <w:rPr>
          <w:rFonts w:ascii="T" w:hAnsi="T" w:cs="Simplified Arabic"/>
          <w:sz w:val="24"/>
          <w:szCs w:val="24"/>
          <w:rtl/>
        </w:rPr>
        <w:t>يعاني من مشكلة الوكالة الأساسية، حيث يتم الدفع للقطاع الخاص مقابل توفير المدخلات (عدد المفتشين، ساعات العمل) بغض النظر عن جودة المخرجات</w:t>
      </w:r>
      <w:r w:rsidRPr="005D59A7">
        <w:rPr>
          <w:rFonts w:ascii="T" w:hAnsi="T" w:cs="Simplified Arabic"/>
          <w:sz w:val="24"/>
          <w:szCs w:val="24"/>
        </w:rPr>
        <w:t>.</w:t>
      </w:r>
    </w:p>
    <w:p w14:paraId="25E44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هذا النموذج أدى إلى عدة مظاهر لمشكلة الوكالة في خدمة التفتيش البيئي</w:t>
      </w:r>
      <w:r w:rsidRPr="005D59A7">
        <w:rPr>
          <w:rFonts w:ascii="T" w:hAnsi="T" w:cs="Simplified Arabic"/>
          <w:sz w:val="24"/>
          <w:szCs w:val="24"/>
        </w:rPr>
        <w:t>:</w:t>
      </w:r>
    </w:p>
    <w:p w14:paraId="63A9EE9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المخاطر الخلقية: ضعف كفاءة الرصد (تراجع المخالفات لكل زيارة من 1.2 إلى 0.4) بسبب غياب الحوافز لبذل جهد عالي الجودة</w:t>
      </w:r>
      <w:r w:rsidRPr="005D59A7">
        <w:rPr>
          <w:rFonts w:ascii="T" w:hAnsi="T" w:cs="Simplified Arabic"/>
          <w:sz w:val="24"/>
          <w:szCs w:val="24"/>
        </w:rPr>
        <w:t>.</w:t>
      </w:r>
    </w:p>
    <w:p w14:paraId="13F522C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الاختيار السلبي: ارتفاع نسبة المخالفات المرفوضة إلى 45% نتيجة تقديم معلومات غير دقيقة حول جودة التفتيش</w:t>
      </w:r>
      <w:r w:rsidRPr="005D59A7">
        <w:rPr>
          <w:rFonts w:ascii="T" w:hAnsi="T" w:cs="Simplified Arabic"/>
          <w:sz w:val="24"/>
          <w:szCs w:val="24"/>
        </w:rPr>
        <w:t>.</w:t>
      </w:r>
    </w:p>
    <w:p w14:paraId="52221E3B"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الخسارة المتبقية: العجز المالي المستمر (41 مليون ريال) نتيجة الفجوة بين الأداء الفعلي والأداء المطلوب</w:t>
      </w:r>
      <w:r w:rsidRPr="005D59A7">
        <w:rPr>
          <w:rFonts w:ascii="T" w:hAnsi="T" w:cs="Simplified Arabic"/>
          <w:sz w:val="24"/>
          <w:szCs w:val="24"/>
        </w:rPr>
        <w:t>.</w:t>
      </w:r>
    </w:p>
    <w:p w14:paraId="3A02E08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وتقترح النظرية أن الانتقال إلى نموذج التعاقد القائم على الأداء</w:t>
      </w:r>
      <w:r w:rsidRPr="005D59A7">
        <w:rPr>
          <w:rFonts w:ascii="T" w:hAnsi="T" w:cs="Simplified Arabic"/>
          <w:sz w:val="24"/>
          <w:szCs w:val="24"/>
        </w:rPr>
        <w:t xml:space="preserve"> (Performance-Based Contracting)</w:t>
      </w:r>
      <w:r w:rsidRPr="005D59A7">
        <w:rPr>
          <w:rFonts w:ascii="T" w:hAnsi="T" w:cs="Simplified Arabic"/>
          <w:sz w:val="24"/>
          <w:szCs w:val="24"/>
          <w:rtl/>
        </w:rPr>
        <w:t>، مع ربط المقابل المالي بمؤشرات أداء محددة</w:t>
      </w:r>
      <w:r w:rsidRPr="005D59A7">
        <w:rPr>
          <w:rFonts w:ascii="T" w:hAnsi="T" w:cs="Simplified Arabic"/>
          <w:sz w:val="24"/>
          <w:szCs w:val="24"/>
        </w:rPr>
        <w:t xml:space="preserve"> (KPIs)</w:t>
      </w:r>
      <w:r w:rsidRPr="005D59A7">
        <w:rPr>
          <w:rFonts w:ascii="T" w:hAnsi="T" w:cs="Simplified Arabic"/>
          <w:sz w:val="24"/>
          <w:szCs w:val="24"/>
          <w:rtl/>
        </w:rPr>
        <w:t xml:space="preserve">، يمكن أن يخفف من مشكلة عدم تطابق </w:t>
      </w:r>
      <w:r w:rsidRPr="005D59A7">
        <w:rPr>
          <w:rFonts w:ascii="T" w:hAnsi="T" w:cs="Simplified Arabic"/>
          <w:sz w:val="24"/>
          <w:szCs w:val="24"/>
          <w:rtl/>
        </w:rPr>
        <w:lastRenderedPageBreak/>
        <w:t>المصالح ويحسن كفاءة وجودة الخدمة. هذا يتوافق مع ما أشارت إليه دراسة مجدي عبد اللطيف عبدو (2024) حول أهمية معالجة تضارب المصالح بين الأطراف المختلفة لتحقيق أداء أفضل</w:t>
      </w:r>
      <w:r w:rsidRPr="005D59A7">
        <w:rPr>
          <w:rFonts w:ascii="T" w:hAnsi="T" w:cs="Simplified Arabic"/>
          <w:sz w:val="24"/>
          <w:szCs w:val="24"/>
        </w:rPr>
        <w:t>.</w:t>
      </w:r>
    </w:p>
    <w:p w14:paraId="30C625FA"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سابعاً: العلاقة بين نظرية الوكالة وحوكمة الشركات</w:t>
      </w:r>
    </w:p>
    <w:p w14:paraId="3CABB273" w14:textId="6D14D76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ترتبط نظرية الوكالة ارتباطًا وثيقًا بحوكمة الشركات، حيث تشكل النظرية الأساس الفكري لفهم آليات الحوكمة ودورها في معالجة مشاكل الوكالة. حوكمة الشركات تلعب دورًا محوريًا في تخفيض مشاكل نظرية الوكالة من خلال</w:t>
      </w:r>
      <w:r w:rsidRPr="005D59A7">
        <w:rPr>
          <w:rFonts w:ascii="T" w:hAnsi="T" w:cs="Simplified Arabic"/>
          <w:sz w:val="24"/>
          <w:szCs w:val="24"/>
        </w:rPr>
        <w:t>:</w:t>
      </w:r>
    </w:p>
    <w:p w14:paraId="1EEA67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وضع أطر تنظيمية تحدد مسؤوليات وواجبات الأطراف المختلفة</w:t>
      </w:r>
      <w:r w:rsidRPr="005D59A7">
        <w:rPr>
          <w:rFonts w:ascii="T" w:hAnsi="T" w:cs="Simplified Arabic"/>
          <w:sz w:val="24"/>
          <w:szCs w:val="24"/>
        </w:rPr>
        <w:t>.</w:t>
      </w:r>
    </w:p>
    <w:p w14:paraId="638DA0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تعزيز الشفافية والإفصاح لتقليل عدم تماثل المعلومات</w:t>
      </w:r>
      <w:r w:rsidRPr="005D59A7">
        <w:rPr>
          <w:rFonts w:ascii="T" w:hAnsi="T" w:cs="Simplified Arabic"/>
          <w:sz w:val="24"/>
          <w:szCs w:val="24"/>
        </w:rPr>
        <w:t>.</w:t>
      </w:r>
    </w:p>
    <w:p w14:paraId="554AE265"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تصميم أنظمة حوافز فعالة لمواءمة مصالح الأصيل والوكيل</w:t>
      </w:r>
      <w:r w:rsidRPr="005D59A7">
        <w:rPr>
          <w:rFonts w:ascii="T" w:hAnsi="T" w:cs="Simplified Arabic"/>
          <w:sz w:val="24"/>
          <w:szCs w:val="24"/>
        </w:rPr>
        <w:t>.</w:t>
      </w:r>
    </w:p>
    <w:p w14:paraId="7A8CEEBF"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إنشاء آليات رقابية مستقلة لمراقبة أداء الوكيل</w:t>
      </w:r>
      <w:r w:rsidRPr="005D59A7">
        <w:rPr>
          <w:rFonts w:ascii="T" w:hAnsi="T" w:cs="Simplified Arabic"/>
          <w:sz w:val="24"/>
          <w:szCs w:val="24"/>
        </w:rPr>
        <w:t>.</w:t>
      </w:r>
    </w:p>
    <w:p w14:paraId="73F2664F" w14:textId="339A74E7" w:rsidR="008432FD" w:rsidRDefault="00545FDC" w:rsidP="0045581D">
      <w:pPr>
        <w:pStyle w:val="Heading2"/>
        <w:numPr>
          <w:ilvl w:val="2"/>
          <w:numId w:val="3"/>
        </w:numPr>
        <w:bidi/>
        <w:spacing w:line="360" w:lineRule="auto"/>
        <w:ind w:firstLine="720"/>
        <w:rPr>
          <w:rFonts w:ascii="T" w:hAnsi="T" w:cs="Simplified Arabic"/>
          <w:b/>
          <w:bCs/>
          <w:color w:val="auto"/>
          <w:sz w:val="24"/>
          <w:szCs w:val="24"/>
          <w:rtl/>
        </w:rPr>
      </w:pPr>
      <w:bookmarkStart w:id="45" w:name="_Toc233202816"/>
      <w:r w:rsidRPr="005D59A7">
        <w:rPr>
          <w:rFonts w:ascii="T" w:hAnsi="T" w:cs="Simplified Arabic"/>
          <w:b/>
          <w:bCs/>
          <w:color w:val="auto"/>
          <w:sz w:val="24"/>
          <w:szCs w:val="24"/>
          <w:rtl/>
        </w:rPr>
        <w:t xml:space="preserve">نظرة عامة عن </w:t>
      </w:r>
      <w:r w:rsidR="008432FD" w:rsidRPr="005D59A7">
        <w:rPr>
          <w:rFonts w:ascii="T" w:hAnsi="T" w:cs="Simplified Arabic"/>
          <w:b/>
          <w:bCs/>
          <w:color w:val="auto"/>
          <w:sz w:val="24"/>
          <w:szCs w:val="24"/>
          <w:rtl/>
        </w:rPr>
        <w:t>الشراكة مع القطاع الخاص</w:t>
      </w:r>
      <w:bookmarkEnd w:id="45"/>
      <w:r w:rsidR="008432FD" w:rsidRPr="005D59A7">
        <w:rPr>
          <w:rFonts w:ascii="T" w:hAnsi="T" w:cs="Simplified Arabic"/>
          <w:b/>
          <w:bCs/>
          <w:color w:val="auto"/>
          <w:sz w:val="24"/>
          <w:szCs w:val="24"/>
          <w:rtl/>
        </w:rPr>
        <w:t xml:space="preserve"> </w:t>
      </w:r>
    </w:p>
    <w:p w14:paraId="2D68773A" w14:textId="1814CC53" w:rsidR="00AE0CA0" w:rsidRPr="00AE0CA0" w:rsidRDefault="00AE0CA0" w:rsidP="00AE0CA0">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AE0CA0">
        <w:rPr>
          <w:rFonts w:ascii="T" w:hAnsi="T" w:cs="Simplified Arabic"/>
          <w:b/>
          <w:bCs/>
          <w:sz w:val="24"/>
          <w:szCs w:val="24"/>
          <w:rtl/>
        </w:rPr>
        <w:t>تعريف الشراكة بين القطاعين العام والخاص ومكوناتها الجوهرية</w:t>
      </w:r>
    </w:p>
    <w:p w14:paraId="1BB2C696"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تُعرَّف الشراكة بين القطاعين العام والخاص</w:t>
      </w:r>
      <w:r w:rsidRPr="00AE0CA0">
        <w:rPr>
          <w:rFonts w:ascii="T" w:hAnsi="T" w:cs="Simplified Arabic"/>
          <w:sz w:val="24"/>
          <w:szCs w:val="24"/>
        </w:rPr>
        <w:t xml:space="preserve"> (Public-Private Partnership – PPP) </w:t>
      </w:r>
      <w:r w:rsidRPr="00AE0CA0">
        <w:rPr>
          <w:rFonts w:ascii="T" w:hAnsi="T" w:cs="Simplified Arabic"/>
          <w:sz w:val="24"/>
          <w:szCs w:val="24"/>
          <w:rtl/>
        </w:rPr>
        <w:t>بأنها نموذج تعاقدي تعاوني طويل الأجل، تجتمع بموجبه جهة حكومية مع كيان من القطاع الخاص بهدف توفير البنية التحتية أو الخدمات العامة. وقد تزايد الاعتماد على هذا النموذج عالميًا كأداة مبتكرة تتجاوز قدرات التمويل التقليدية، خاصة في ظل القيود المالية التي تواجهها الحكومات، أو معاناتها من تحديات هيكلية في الكفاءة التشغيلية</w:t>
      </w:r>
      <w:r w:rsidRPr="00AE0CA0">
        <w:rPr>
          <w:rFonts w:ascii="T" w:hAnsi="T" w:cs="Simplified Arabic"/>
          <w:sz w:val="24"/>
          <w:szCs w:val="24"/>
        </w:rPr>
        <w:t xml:space="preserve"> (Investopedia, 2024).</w:t>
      </w:r>
    </w:p>
    <w:p w14:paraId="34792C27"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تختلف هذه الشراكة اختلافًا جوهريًا عن أنماط المشتريات العامة التقليدية. ففي العقود التقليدية، تتولى الحكومة تصميم المشروع وتمويله وتنفيذه بنفسها أو عبر مقاولين محددين</w:t>
      </w:r>
      <w:r w:rsidRPr="00AE0CA0">
        <w:rPr>
          <w:rFonts w:ascii="T" w:hAnsi="T" w:cs="Simplified Arabic"/>
          <w:sz w:val="24"/>
          <w:szCs w:val="24"/>
        </w:rPr>
        <w:t>. (</w:t>
      </w:r>
      <w:proofErr w:type="spellStart"/>
      <w:proofErr w:type="gramStart"/>
      <w:r w:rsidRPr="00AE0CA0">
        <w:rPr>
          <w:rFonts w:ascii="T" w:hAnsi="T" w:cs="Simplified Arabic"/>
          <w:sz w:val="24"/>
          <w:szCs w:val="24"/>
        </w:rPr>
        <w:t>Owojori,et</w:t>
      </w:r>
      <w:proofErr w:type="spellEnd"/>
      <w:proofErr w:type="gramEnd"/>
      <w:r w:rsidRPr="00AE0CA0">
        <w:rPr>
          <w:rFonts w:ascii="T" w:hAnsi="T" w:cs="Simplified Arabic"/>
          <w:sz w:val="24"/>
          <w:szCs w:val="24"/>
        </w:rPr>
        <w:t xml:space="preserve"> al ,2025) </w:t>
      </w:r>
      <w:r w:rsidRPr="00AE0CA0">
        <w:rPr>
          <w:rFonts w:ascii="T" w:hAnsi="T" w:cs="Simplified Arabic"/>
          <w:sz w:val="24"/>
          <w:szCs w:val="24"/>
          <w:rtl/>
        </w:rPr>
        <w:t xml:space="preserve">أما في عقود الشراكة، فتُنقل حزمة متكاملة من المسؤوليات – إلى جانب المخاطر المرتبطة بها – إلى الشريك الخاص. وتشمل هذه المسؤوليات: التصميم، والبناء، والتمويل، والتشغيل، والصيانة. كما تمتد لتشمل الأصول العامة كالطرق </w:t>
      </w:r>
      <w:r w:rsidRPr="00AE0CA0">
        <w:rPr>
          <w:rFonts w:ascii="T" w:hAnsi="T" w:cs="Simplified Arabic"/>
          <w:sz w:val="24"/>
          <w:szCs w:val="24"/>
          <w:rtl/>
        </w:rPr>
        <w:lastRenderedPageBreak/>
        <w:t>والمستشفيات ومرافق معالجة المياه، والخدمات المرتبطة كالتفتيش وإعداد التقارير ومراقبة الجودة</w:t>
      </w:r>
      <w:r w:rsidRPr="00AE0CA0">
        <w:rPr>
          <w:rFonts w:ascii="T" w:hAnsi="T" w:cs="Simplified Arabic"/>
          <w:sz w:val="24"/>
          <w:szCs w:val="24"/>
        </w:rPr>
        <w:t xml:space="preserve"> (Casady et al., 2024).</w:t>
      </w:r>
    </w:p>
    <w:p w14:paraId="279FAED5" w14:textId="20C5C2B2"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الأسباب الاستراتيجية للجوء إلى نموذج الشراكة</w:t>
      </w:r>
    </w:p>
    <w:p w14:paraId="3402F2FA"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يتأسس المنطق الدافع لاعتماد الشراكات بين القطاعين العام والخاص على ركيزتين متكاملتين: الأولى تتعلق بالقطاع العام، والثانية بالقطاع الخاص</w:t>
      </w:r>
      <w:r w:rsidRPr="00AE0CA0">
        <w:rPr>
          <w:rFonts w:ascii="T" w:hAnsi="T" w:cs="Simplified Arabic"/>
          <w:sz w:val="24"/>
          <w:szCs w:val="24"/>
        </w:rPr>
        <w:t>.</w:t>
      </w:r>
    </w:p>
    <w:p w14:paraId="7030333D"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العام: تسعى الحكومات من خلال هذه الشراكات إلى استقطاب خبرات القطاع الخاص، والاستفادة من كفاءاته التشغيلية، وقدرته على الوصول إلى رؤوس الأموال بسهولة أكبر. وتتمثل الغايات المنشودة في: تسريع وتيرة إنجاز المشاريع، وتحقيق ما يُعرف بـ "القيمة مقابل المال" وتحفيز الإبداع والابتكار في تقديم الخدمات العامة</w:t>
      </w:r>
      <w:r w:rsidRPr="00AE0CA0">
        <w:rPr>
          <w:rFonts w:ascii="T" w:hAnsi="T" w:cs="Simplified Arabic"/>
          <w:sz w:val="24"/>
          <w:szCs w:val="24"/>
        </w:rPr>
        <w:t xml:space="preserve"> (Investopedia, 2024).</w:t>
      </w:r>
    </w:p>
    <w:p w14:paraId="042AA3E0"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من منظور القطاع الخاص: تُمثل الشراكات نافذة على فرص تجارية جديدة مستقرة وطويلة الأجل، تتيح للشركات إمكانية تحقيق تدفقات نقدية وإيرادات يمكن التنبؤ بها، وغالبًا ما تُربط هذه الإيرادات بمستويات أداء محددة وجودة خدمات متفق عليها</w:t>
      </w:r>
      <w:r w:rsidRPr="00AE0CA0">
        <w:rPr>
          <w:rFonts w:ascii="T" w:hAnsi="T" w:cs="Simplified Arabic"/>
          <w:sz w:val="24"/>
          <w:szCs w:val="24"/>
        </w:rPr>
        <w:t xml:space="preserve"> (Investopedia, 2024).</w:t>
      </w:r>
    </w:p>
    <w:p w14:paraId="72DD6D76" w14:textId="084CEF5D" w:rsidR="00AE0CA0" w:rsidRPr="00E6041B" w:rsidRDefault="00AE0CA0" w:rsidP="00E6041B">
      <w:pPr>
        <w:pStyle w:val="ListParagraph"/>
        <w:numPr>
          <w:ilvl w:val="0"/>
          <w:numId w:val="36"/>
        </w:numPr>
        <w:shd w:val="clear" w:color="auto" w:fill="FFFFFF"/>
        <w:bidi/>
        <w:spacing w:before="240" w:after="240" w:line="360" w:lineRule="auto"/>
        <w:jc w:val="both"/>
        <w:rPr>
          <w:rFonts w:ascii="T" w:hAnsi="T" w:cs="Simplified Arabic"/>
          <w:b/>
          <w:bCs/>
          <w:sz w:val="24"/>
          <w:szCs w:val="24"/>
          <w:rtl/>
        </w:rPr>
      </w:pPr>
      <w:r w:rsidRPr="00E6041B">
        <w:rPr>
          <w:rFonts w:ascii="T" w:hAnsi="T" w:cs="Simplified Arabic"/>
          <w:b/>
          <w:bCs/>
          <w:sz w:val="24"/>
          <w:szCs w:val="24"/>
          <w:rtl/>
        </w:rPr>
        <w:t>الخصائص المميزة للشراكة عن العقود التقليدية</w:t>
      </w:r>
    </w:p>
    <w:p w14:paraId="33BD44B3" w14:textId="77777777" w:rsidR="00AE0CA0" w:rsidRPr="00AE0CA0" w:rsidRDefault="00AE0CA0" w:rsidP="00AE0CA0">
      <w:pPr>
        <w:shd w:val="clear" w:color="auto" w:fill="FFFFFF"/>
        <w:bidi/>
        <w:spacing w:before="240" w:after="240" w:line="360" w:lineRule="auto"/>
        <w:ind w:firstLine="720"/>
        <w:jc w:val="both"/>
        <w:rPr>
          <w:rFonts w:ascii="T" w:hAnsi="T" w:cs="Simplified Arabic"/>
          <w:sz w:val="24"/>
          <w:szCs w:val="24"/>
          <w:rtl/>
        </w:rPr>
      </w:pPr>
      <w:r w:rsidRPr="00AE0CA0">
        <w:rPr>
          <w:rFonts w:ascii="T" w:hAnsi="T" w:cs="Simplified Arabic"/>
          <w:sz w:val="24"/>
          <w:szCs w:val="24"/>
          <w:rtl/>
        </w:rPr>
        <w:t>على الرغم من غياب اتفاق نظري جامع حول تعريف محدد للشراكة بين القطاعين العام والخاص، إلا أن ثمة سمات فريدة يمكن بواسطتها تمييزها عن الاتفاقيات التعاقدية التقليدية. يلخص</w:t>
      </w:r>
      <w:r w:rsidRPr="00AE0CA0">
        <w:rPr>
          <w:rFonts w:ascii="T" w:hAnsi="T" w:cs="Simplified Arabic"/>
          <w:sz w:val="24"/>
          <w:szCs w:val="24"/>
        </w:rPr>
        <w:t xml:space="preserve"> (</w:t>
      </w:r>
      <w:proofErr w:type="spellStart"/>
      <w:r w:rsidRPr="00AE0CA0">
        <w:rPr>
          <w:rFonts w:ascii="T" w:hAnsi="T" w:cs="Simplified Arabic"/>
          <w:sz w:val="24"/>
          <w:szCs w:val="24"/>
        </w:rPr>
        <w:t>LawTeacher</w:t>
      </w:r>
      <w:proofErr w:type="spellEnd"/>
      <w:r w:rsidRPr="00AE0CA0">
        <w:rPr>
          <w:rFonts w:ascii="T" w:hAnsi="T" w:cs="Simplified Arabic"/>
          <w:sz w:val="24"/>
          <w:szCs w:val="24"/>
        </w:rPr>
        <w:t xml:space="preserve">, 2018)  </w:t>
      </w:r>
      <w:r w:rsidRPr="00AE0CA0">
        <w:rPr>
          <w:rFonts w:ascii="T" w:hAnsi="T" w:cs="Simplified Arabic"/>
          <w:sz w:val="24"/>
          <w:szCs w:val="24"/>
          <w:rtl/>
        </w:rPr>
        <w:t>و</w:t>
      </w:r>
      <w:r w:rsidRPr="00AE0CA0">
        <w:rPr>
          <w:rFonts w:ascii="T" w:hAnsi="T" w:cs="Simplified Arabic"/>
          <w:sz w:val="24"/>
          <w:szCs w:val="24"/>
        </w:rPr>
        <w:t>(</w:t>
      </w:r>
      <w:proofErr w:type="spellStart"/>
      <w:r w:rsidRPr="00AE0CA0">
        <w:rPr>
          <w:rFonts w:ascii="T" w:hAnsi="T" w:cs="Simplified Arabic"/>
          <w:sz w:val="24"/>
          <w:szCs w:val="24"/>
        </w:rPr>
        <w:t>Ramolobe</w:t>
      </w:r>
      <w:proofErr w:type="spellEnd"/>
      <w:r w:rsidRPr="00AE0CA0">
        <w:rPr>
          <w:rFonts w:ascii="T" w:hAnsi="T" w:cs="Simplified Arabic"/>
          <w:sz w:val="24"/>
          <w:szCs w:val="24"/>
        </w:rPr>
        <w:t xml:space="preserve"> &amp; </w:t>
      </w:r>
      <w:proofErr w:type="spellStart"/>
      <w:r w:rsidRPr="00AE0CA0">
        <w:rPr>
          <w:rFonts w:ascii="T" w:hAnsi="T" w:cs="Simplified Arabic"/>
          <w:sz w:val="24"/>
          <w:szCs w:val="24"/>
        </w:rPr>
        <w:t>Khandanisa</w:t>
      </w:r>
      <w:proofErr w:type="spellEnd"/>
      <w:r w:rsidRPr="00AE0CA0">
        <w:rPr>
          <w:rFonts w:ascii="T" w:hAnsi="T" w:cs="Simplified Arabic"/>
          <w:sz w:val="24"/>
          <w:szCs w:val="24"/>
        </w:rPr>
        <w:t xml:space="preserve">, 2024)  </w:t>
      </w:r>
      <w:r w:rsidRPr="00AE0CA0">
        <w:rPr>
          <w:rFonts w:ascii="T" w:hAnsi="T" w:cs="Simplified Arabic"/>
          <w:sz w:val="24"/>
          <w:szCs w:val="24"/>
          <w:rtl/>
        </w:rPr>
        <w:t>هذه السمات في خمس خصائص رئيسة</w:t>
      </w:r>
      <w:r w:rsidRPr="00AE0CA0">
        <w:rPr>
          <w:rFonts w:ascii="T" w:hAnsi="T" w:cs="Simplified Arabic"/>
          <w:sz w:val="24"/>
          <w:szCs w:val="24"/>
        </w:rPr>
        <w:t>:</w:t>
      </w:r>
    </w:p>
    <w:p w14:paraId="7F01522D" w14:textId="05016B7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تمويل القطاع الخاص للمشروع: لا يقتصر دور القطاع الخاص على التنفيذ، بل يمتد ليشمل توفير التمويل اللازم، غالبًا من خلال إنشاء كيان قانوني مستقل يُعرف بالشركة ذات الغرض الخاص، والتي قد تلجأ بدورها إلى المؤسسات المالية والبنوك</w:t>
      </w:r>
      <w:r w:rsidRPr="00E6041B">
        <w:rPr>
          <w:rFonts w:ascii="T" w:hAnsi="T" w:cs="Simplified Arabic"/>
          <w:sz w:val="24"/>
          <w:szCs w:val="24"/>
        </w:rPr>
        <w:t>.</w:t>
      </w:r>
    </w:p>
    <w:p w14:paraId="70BA8FAA" w14:textId="7E21A276"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lastRenderedPageBreak/>
        <w:t>العلاقة التعاقدية طويلة الأجل: تفترض الشراكة أفقًا زمنيًا ممتدًا يعكس دورة حياة الأصل أو الخدمة. وتختلف المدة حسب طبيعة المشروع، إلا أنها في مشاريع البنية التحتية الكبرى قد تمتد من 15 إلى 20 عامًا أو أكثر. ‏</w:t>
      </w:r>
    </w:p>
    <w:p w14:paraId="40266EC2" w14:textId="6B6282A0"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الدور الاستراتيجي الممتد للقطاع الخاص: يتجاوز دور القطاع الخاص في هذه الشراكات مجرد المقاول المنفذ، ليتحول إلى شريك استراتيجي يشارك في مختلف مراحل المشروع: بدءًا من التصميم، مرورًا بالتمويل والبناء، وصولاً إلى التشغيل والصيانة</w:t>
      </w:r>
      <w:r w:rsidRPr="00E6041B">
        <w:rPr>
          <w:rFonts w:ascii="T" w:hAnsi="T" w:cs="Simplified Arabic"/>
          <w:sz w:val="24"/>
          <w:szCs w:val="24"/>
        </w:rPr>
        <w:t>.</w:t>
      </w:r>
    </w:p>
    <w:p w14:paraId="1D73E803" w14:textId="3D3A1469"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توزيع المخاطر بين الطرفين: تُعد إعادة توزيع المخاطر السمة الأكثر جوهرية في عقود الشراكة. فبدلاً من أن يتحمل القطاع العام وحده المخاطر، تُنقل حزمة منها إلى القطاع الخاص وفقًا لقدرة كل طرف على إدارتها. وتصنف هذه المخاطر إلى خمسة أنواع رئيسة</w:t>
      </w:r>
      <w:r w:rsidRPr="00E6041B">
        <w:rPr>
          <w:rFonts w:ascii="T" w:hAnsi="T" w:cs="Simplified Arabic"/>
          <w:sz w:val="24"/>
          <w:szCs w:val="24"/>
        </w:rPr>
        <w:t>:</w:t>
      </w:r>
    </w:p>
    <w:p w14:paraId="303D7B2A"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الإنشاء: وتشمل عيوب التصميم، وتأخيرات الجدول الزمني، وتجاوز التكاليف</w:t>
      </w:r>
      <w:r w:rsidRPr="00AE0CA0">
        <w:rPr>
          <w:rFonts w:cs="Arial"/>
          <w:color w:val="FF0000"/>
          <w:rtl/>
        </w:rPr>
        <w:t xml:space="preserve"> </w:t>
      </w:r>
      <w:r w:rsidRPr="00E6041B">
        <w:rPr>
          <w:rFonts w:ascii="T" w:hAnsi="T" w:cs="Simplified Arabic"/>
          <w:sz w:val="24"/>
          <w:szCs w:val="24"/>
          <w:rtl/>
        </w:rPr>
        <w:t>المقررة</w:t>
      </w:r>
      <w:r w:rsidRPr="00E6041B">
        <w:rPr>
          <w:rFonts w:ascii="T" w:hAnsi="T" w:cs="Simplified Arabic"/>
          <w:sz w:val="24"/>
          <w:szCs w:val="24"/>
        </w:rPr>
        <w:t>.</w:t>
      </w:r>
    </w:p>
    <w:p w14:paraId="41AABE98"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المخاطر المالية: وتتمثل في تقلبات أسعار الفائدة، وأسعار الصرف، ومعدلات التضخم</w:t>
      </w:r>
      <w:r w:rsidRPr="00E6041B">
        <w:rPr>
          <w:rFonts w:ascii="T" w:hAnsi="T" w:cs="Simplified Arabic"/>
          <w:sz w:val="24"/>
          <w:szCs w:val="24"/>
        </w:rPr>
        <w:t>.</w:t>
      </w:r>
    </w:p>
    <w:p w14:paraId="4E5EB0DF"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الأداء: وتتعلق بمدى توافر الخدمة واستمراريتها، إلى جانب جودة الأداء ومدى مطابقته للمعايير</w:t>
      </w:r>
      <w:r w:rsidRPr="00E6041B">
        <w:rPr>
          <w:rFonts w:ascii="T" w:hAnsi="T" w:cs="Simplified Arabic"/>
          <w:sz w:val="24"/>
          <w:szCs w:val="24"/>
        </w:rPr>
        <w:t>. (</w:t>
      </w:r>
      <w:proofErr w:type="spellStart"/>
      <w:proofErr w:type="gramStart"/>
      <w:r w:rsidRPr="00E6041B">
        <w:rPr>
          <w:rFonts w:ascii="T" w:hAnsi="T" w:cs="Simplified Arabic"/>
          <w:sz w:val="24"/>
          <w:szCs w:val="24"/>
        </w:rPr>
        <w:t>Rybnicek,et</w:t>
      </w:r>
      <w:proofErr w:type="spellEnd"/>
      <w:proofErr w:type="gramEnd"/>
      <w:r w:rsidRPr="00E6041B">
        <w:rPr>
          <w:rFonts w:ascii="T" w:hAnsi="T" w:cs="Simplified Arabic"/>
          <w:sz w:val="24"/>
          <w:szCs w:val="24"/>
        </w:rPr>
        <w:t xml:space="preserve"> al ,2020)</w:t>
      </w:r>
    </w:p>
    <w:p w14:paraId="21B44B2E"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الطلب: وتعبر عن حالة عدم اليقين بشأن الحجم الفعلي للطلب على الخدمة أو المنتج في السوق</w:t>
      </w:r>
      <w:r w:rsidRPr="00E6041B">
        <w:rPr>
          <w:rFonts w:ascii="T" w:hAnsi="T" w:cs="Simplified Arabic"/>
          <w:sz w:val="24"/>
          <w:szCs w:val="24"/>
        </w:rPr>
        <w:t>.</w:t>
      </w:r>
    </w:p>
    <w:p w14:paraId="1CB4FA55"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مخاطر القيمة المتبقية: وتنشأ في نهاية العقد، وتتعلق بالقيمة الفعلية للأصل بعد انتهاء فترة التشغيل</w:t>
      </w:r>
      <w:r w:rsidRPr="00E6041B">
        <w:rPr>
          <w:rFonts w:ascii="T" w:hAnsi="T" w:cs="Simplified Arabic"/>
          <w:sz w:val="24"/>
          <w:szCs w:val="24"/>
        </w:rPr>
        <w:t>. (</w:t>
      </w:r>
      <w:proofErr w:type="spellStart"/>
      <w:proofErr w:type="gramStart"/>
      <w:r w:rsidRPr="00E6041B">
        <w:rPr>
          <w:rFonts w:ascii="T" w:hAnsi="T" w:cs="Simplified Arabic"/>
          <w:sz w:val="24"/>
          <w:szCs w:val="24"/>
        </w:rPr>
        <w:t>Akhtar,et</w:t>
      </w:r>
      <w:proofErr w:type="spellEnd"/>
      <w:proofErr w:type="gramEnd"/>
      <w:r w:rsidRPr="00E6041B">
        <w:rPr>
          <w:rFonts w:ascii="T" w:hAnsi="T" w:cs="Simplified Arabic"/>
          <w:sz w:val="24"/>
          <w:szCs w:val="24"/>
        </w:rPr>
        <w:t xml:space="preserve"> al,2023) </w:t>
      </w:r>
      <w:r w:rsidRPr="00E6041B">
        <w:rPr>
          <w:rFonts w:ascii="T" w:hAnsi="T" w:cs="Simplified Arabic"/>
          <w:sz w:val="24"/>
          <w:szCs w:val="24"/>
          <w:rtl/>
        </w:rPr>
        <w:t>‏</w:t>
      </w:r>
    </w:p>
    <w:p w14:paraId="65F44174" w14:textId="77777777" w:rsidR="00AE0CA0" w:rsidRPr="00E6041B" w:rsidRDefault="00AE0CA0" w:rsidP="00E6041B">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الشراكة كحل أمثل للبنية التحتية: في ظل محدودية الموارد العامة وتعقيدات التحديات التشغيلية، تبرز الشراكات بين القطاعين العام والخاص كحل استراتيجي متكامل لتوفير البنية التحتية والخدمات العامة، بجودة وكفاءة وتكلفة مجدية</w:t>
      </w:r>
      <w:r w:rsidRPr="00E6041B">
        <w:rPr>
          <w:rFonts w:ascii="T" w:hAnsi="T" w:cs="Simplified Arabic"/>
          <w:sz w:val="24"/>
          <w:szCs w:val="24"/>
        </w:rPr>
        <w:t xml:space="preserve"> (</w:t>
      </w:r>
      <w:proofErr w:type="spellStart"/>
      <w:r w:rsidRPr="00E6041B">
        <w:rPr>
          <w:rFonts w:ascii="T" w:hAnsi="T" w:cs="Simplified Arabic"/>
          <w:sz w:val="24"/>
          <w:szCs w:val="24"/>
        </w:rPr>
        <w:t>LawTeacher</w:t>
      </w:r>
      <w:proofErr w:type="spellEnd"/>
      <w:r w:rsidRPr="00E6041B">
        <w:rPr>
          <w:rFonts w:ascii="T" w:hAnsi="T" w:cs="Simplified Arabic"/>
          <w:sz w:val="24"/>
          <w:szCs w:val="24"/>
        </w:rPr>
        <w:t>, 2018).</w:t>
      </w:r>
    </w:p>
    <w:p w14:paraId="667FF048" w14:textId="6FA446B2" w:rsidR="00AE0CA0" w:rsidRPr="00E6041B" w:rsidRDefault="00AE0CA0" w:rsidP="00E6041B">
      <w:pPr>
        <w:pStyle w:val="ListParagraph"/>
        <w:numPr>
          <w:ilvl w:val="0"/>
          <w:numId w:val="36"/>
        </w:numPr>
        <w:shd w:val="clear" w:color="auto" w:fill="FFFFFF"/>
        <w:bidi/>
        <w:spacing w:before="240" w:after="240" w:line="360" w:lineRule="auto"/>
        <w:jc w:val="both"/>
        <w:rPr>
          <w:rtl/>
        </w:rPr>
      </w:pPr>
      <w:r w:rsidRPr="00E6041B">
        <w:rPr>
          <w:rFonts w:ascii="T" w:hAnsi="T" w:cs="Simplified Arabic"/>
          <w:b/>
          <w:bCs/>
          <w:sz w:val="24"/>
          <w:szCs w:val="24"/>
          <w:rtl/>
        </w:rPr>
        <w:t>الهيكل المؤسسي لنموذج الشراكة</w:t>
      </w:r>
      <w:r w:rsidRPr="00E6041B">
        <w:rPr>
          <w:rFonts w:ascii="T" w:hAnsi="T" w:cs="Simplified Arabic"/>
          <w:b/>
          <w:bCs/>
          <w:sz w:val="24"/>
          <w:szCs w:val="24"/>
        </w:rPr>
        <w:t xml:space="preserve"> </w:t>
      </w:r>
    </w:p>
    <w:p w14:paraId="5531DEA2"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يعتمد تنفيذ نموذج الشراكة على إنشاء كيان قانوني مستقل يُعرف بالشركة ذات الغرض الخاص، تتولى هذه</w:t>
      </w:r>
      <w:r w:rsidRPr="00AE0CA0">
        <w:rPr>
          <w:rFonts w:cs="Arial"/>
          <w:color w:val="FF0000"/>
          <w:rtl/>
        </w:rPr>
        <w:t xml:space="preserve"> </w:t>
      </w:r>
      <w:r w:rsidRPr="00E6041B">
        <w:rPr>
          <w:rFonts w:ascii="T" w:hAnsi="T" w:cs="Simplified Arabic"/>
          <w:sz w:val="24"/>
          <w:szCs w:val="24"/>
          <w:rtl/>
        </w:rPr>
        <w:t>الشركة مسؤولية توقيع العقد الإطاري مع الحكومة، وتتحمل المسؤولية الكاملة عن إدارة المشروع وتنفيذه. ويتألف هيكل هذه الشركة غالبًا من تحالف يضم</w:t>
      </w:r>
      <w:r w:rsidRPr="00E6041B">
        <w:rPr>
          <w:rFonts w:ascii="T" w:hAnsi="T" w:cs="Simplified Arabic"/>
          <w:sz w:val="24"/>
          <w:szCs w:val="24"/>
        </w:rPr>
        <w:t>:</w:t>
      </w:r>
    </w:p>
    <w:p w14:paraId="7536DCF1"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مقاول البناء: المسؤول عن تنفيذ الأعمال الهندسية والإنشائية</w:t>
      </w:r>
      <w:r w:rsidRPr="00E6041B">
        <w:rPr>
          <w:rFonts w:ascii="T" w:hAnsi="T" w:cs="Simplified Arabic"/>
          <w:sz w:val="24"/>
          <w:szCs w:val="24"/>
        </w:rPr>
        <w:t>.</w:t>
      </w:r>
    </w:p>
    <w:p w14:paraId="54C6FF90"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شركة الصيانة والتشغيل: المسؤولة عن إدارة الأصل وضمان استمرارية الخدمة وجودتها</w:t>
      </w:r>
      <w:r w:rsidRPr="00E6041B">
        <w:rPr>
          <w:rFonts w:ascii="T" w:hAnsi="T" w:cs="Simplified Arabic"/>
          <w:sz w:val="24"/>
          <w:szCs w:val="24"/>
        </w:rPr>
        <w:t>. (Quan &amp; Solheim, 2023)</w:t>
      </w:r>
    </w:p>
    <w:p w14:paraId="4EE85126" w14:textId="77777777" w:rsidR="00AE0CA0" w:rsidRPr="00E6041B" w:rsidRDefault="00AE0CA0" w:rsidP="00E6041B">
      <w:pPr>
        <w:pStyle w:val="ListParagraph"/>
        <w:numPr>
          <w:ilvl w:val="0"/>
          <w:numId w:val="37"/>
        </w:numPr>
        <w:shd w:val="clear" w:color="auto" w:fill="FFFFFF"/>
        <w:bidi/>
        <w:spacing w:before="240" w:after="240" w:line="360" w:lineRule="auto"/>
        <w:jc w:val="both"/>
        <w:rPr>
          <w:rFonts w:ascii="T" w:hAnsi="T" w:cs="Simplified Arabic"/>
          <w:sz w:val="24"/>
          <w:szCs w:val="24"/>
          <w:rtl/>
        </w:rPr>
      </w:pPr>
      <w:r w:rsidRPr="00E6041B">
        <w:rPr>
          <w:rFonts w:ascii="T" w:hAnsi="T" w:cs="Simplified Arabic"/>
          <w:sz w:val="24"/>
          <w:szCs w:val="24"/>
          <w:rtl/>
        </w:rPr>
        <w:t>الممولون البنكيون: وهم المؤسسات المالية التي توفر التمويل اللازم، غالبًا بنظام الدين طويل الأجل</w:t>
      </w:r>
      <w:r w:rsidRPr="00E6041B">
        <w:rPr>
          <w:rFonts w:ascii="T" w:hAnsi="T" w:cs="Simplified Arabic"/>
          <w:sz w:val="24"/>
          <w:szCs w:val="24"/>
        </w:rPr>
        <w:t>.</w:t>
      </w:r>
    </w:p>
    <w:p w14:paraId="417E02D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وتقوم الشركة ذات الغرض الخاص بدور الوسيط والمدير التعاقدي، حيث تتعاقد مع مقاولين من الباطن، وتشرف على الأداء، وتضمن الالتزام بالشروط والمواصفات المتفق عليها. ويمتد نطاق تطبيق هذا النموذج ليشمل قطاعات متعددة، أبرزها: البنية التحتية، الإسكان، النقل، الصحة، التعليم، الطاقة، والدفاع</w:t>
      </w:r>
      <w:r w:rsidRPr="00E6041B">
        <w:rPr>
          <w:rFonts w:ascii="T" w:hAnsi="T" w:cs="Simplified Arabic"/>
          <w:sz w:val="24"/>
          <w:szCs w:val="24"/>
        </w:rPr>
        <w:t xml:space="preserve"> (</w:t>
      </w:r>
      <w:proofErr w:type="spellStart"/>
      <w:r w:rsidRPr="00E6041B">
        <w:rPr>
          <w:rFonts w:ascii="T" w:hAnsi="T" w:cs="Simplified Arabic"/>
          <w:sz w:val="24"/>
          <w:szCs w:val="24"/>
        </w:rPr>
        <w:t>Ramolobe</w:t>
      </w:r>
      <w:proofErr w:type="spellEnd"/>
      <w:r w:rsidRPr="00E6041B">
        <w:rPr>
          <w:rFonts w:ascii="T" w:hAnsi="T" w:cs="Simplified Arabic"/>
          <w:sz w:val="24"/>
          <w:szCs w:val="24"/>
        </w:rPr>
        <w:t xml:space="preserve"> &amp; </w:t>
      </w:r>
      <w:proofErr w:type="spellStart"/>
      <w:r w:rsidRPr="00E6041B">
        <w:rPr>
          <w:rFonts w:ascii="T" w:hAnsi="T" w:cs="Simplified Arabic"/>
          <w:sz w:val="24"/>
          <w:szCs w:val="24"/>
        </w:rPr>
        <w:t>Khandanisa</w:t>
      </w:r>
      <w:proofErr w:type="spellEnd"/>
      <w:r w:rsidRPr="00E6041B">
        <w:rPr>
          <w:rFonts w:ascii="T" w:hAnsi="T" w:cs="Simplified Arabic"/>
          <w:sz w:val="24"/>
          <w:szCs w:val="24"/>
        </w:rPr>
        <w:t>, 2024).</w:t>
      </w:r>
    </w:p>
    <w:p w14:paraId="1A3F9207" w14:textId="22CB5DEE" w:rsidR="00AE0CA0" w:rsidRPr="00E6041B" w:rsidRDefault="00AE0CA0" w:rsidP="00E6041B">
      <w:pPr>
        <w:pStyle w:val="Heading2"/>
        <w:numPr>
          <w:ilvl w:val="2"/>
          <w:numId w:val="3"/>
        </w:numPr>
        <w:bidi/>
        <w:spacing w:line="360" w:lineRule="auto"/>
        <w:ind w:firstLine="720"/>
        <w:rPr>
          <w:rFonts w:ascii="T" w:hAnsi="T" w:cs="Simplified Arabic"/>
          <w:b/>
          <w:bCs/>
          <w:color w:val="auto"/>
          <w:sz w:val="24"/>
          <w:szCs w:val="24"/>
          <w:rtl/>
        </w:rPr>
      </w:pPr>
      <w:bookmarkStart w:id="46" w:name="_Toc233202817"/>
      <w:r w:rsidRPr="00E6041B">
        <w:rPr>
          <w:rFonts w:ascii="T" w:hAnsi="T" w:cs="Simplified Arabic"/>
          <w:b/>
          <w:bCs/>
          <w:color w:val="auto"/>
          <w:sz w:val="24"/>
          <w:szCs w:val="24"/>
          <w:rtl/>
        </w:rPr>
        <w:t>منافع وفوائد الشراكة مع القطاع الخاص</w:t>
      </w:r>
      <w:bookmarkEnd w:id="46"/>
    </w:p>
    <w:p w14:paraId="13D1D88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تختلف أسباب الشراكات بين القطاعين العام والخاص من بلد إلى آخر. ومع ذلك، فيما يلي بعض الأسباب العامة الموجزة التي تدفع الحكومات إلى تبني هذه الشراكات</w:t>
      </w:r>
      <w:r w:rsidRPr="00E6041B">
        <w:rPr>
          <w:rFonts w:ascii="T" w:hAnsi="T" w:cs="Simplified Arabic"/>
          <w:sz w:val="24"/>
          <w:szCs w:val="24"/>
        </w:rPr>
        <w:t>.</w:t>
      </w:r>
    </w:p>
    <w:p w14:paraId="746D9A65"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أولاً: للسماح للقطاع الخاص بالتأثير على تقديم الخدمات العامة</w:t>
      </w:r>
      <w:r w:rsidRPr="00E6041B">
        <w:rPr>
          <w:rFonts w:ascii="T" w:hAnsi="T" w:cs="Simplified Arabic"/>
          <w:b/>
          <w:bCs/>
          <w:sz w:val="24"/>
          <w:szCs w:val="24"/>
        </w:rPr>
        <w:t xml:space="preserve">: </w:t>
      </w:r>
    </w:p>
    <w:p w14:paraId="2BC91A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فقد تمكن القطاع الخاص على مر السنين من الحفاظ على مستوى متميز في الإدارة والتنفيذ، إلا أن الوضع عادةً ما يكون عكس ذلك في معظم القطاعات العامة، التي تعاني من الديون وسوء الإدارة وانعدام الرقابة الفعالة. يُنظر إلى الشراكة بين القطاعين العام والخاص على أنها أداة فعالة لتوجيه تقديم الخدمات العامة بكفاءة، وقد كانت النتائج إيجابية في العديد من الحالات</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p>
    <w:p w14:paraId="5D0DDD1C"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ثانيًا: قيود الميزانية</w:t>
      </w:r>
      <w:r w:rsidRPr="00E6041B">
        <w:rPr>
          <w:rFonts w:ascii="T" w:hAnsi="T" w:cs="Simplified Arabic"/>
          <w:b/>
          <w:bCs/>
          <w:sz w:val="24"/>
          <w:szCs w:val="24"/>
        </w:rPr>
        <w:t>:</w:t>
      </w:r>
    </w:p>
    <w:p w14:paraId="77E8553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 xml:space="preserve"> </w:t>
      </w:r>
      <w:r w:rsidRPr="00E6041B">
        <w:rPr>
          <w:rFonts w:ascii="T" w:hAnsi="T" w:cs="Simplified Arabic"/>
          <w:sz w:val="24"/>
          <w:szCs w:val="24"/>
          <w:rtl/>
        </w:rPr>
        <w:t>ترى معظم الدول المثقلة بالديون أن الشراكة بين القطاعين العام والخاص خيارٌ مجدٍ لتوفير الخدمات العامة مع القدرة على توجيه ميزانيتها المحدودة إلى مشاريع أخرى. وقد حقق هذا السبب تحديدًا نجاحًا كبيرًا</w:t>
      </w:r>
      <w:r w:rsidRPr="00E6041B">
        <w:rPr>
          <w:rFonts w:ascii="T" w:hAnsi="T" w:cs="Simplified Arabic"/>
          <w:sz w:val="24"/>
          <w:szCs w:val="24"/>
        </w:rPr>
        <w:t>.</w:t>
      </w:r>
    </w:p>
    <w:p w14:paraId="271AC560"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ثالثًا: تطور القطاع الخاص</w:t>
      </w:r>
      <w:r w:rsidRPr="00E6041B">
        <w:rPr>
          <w:rFonts w:ascii="T" w:hAnsi="T" w:cs="Simplified Arabic"/>
          <w:b/>
          <w:bCs/>
          <w:sz w:val="24"/>
          <w:szCs w:val="24"/>
        </w:rPr>
        <w:t>:</w:t>
      </w:r>
    </w:p>
    <w:p w14:paraId="4912C0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 xml:space="preserve"> </w:t>
      </w:r>
      <w:r w:rsidRPr="00E6041B">
        <w:rPr>
          <w:rFonts w:ascii="T" w:hAnsi="T" w:cs="Simplified Arabic"/>
          <w:sz w:val="24"/>
          <w:szCs w:val="24"/>
          <w:rtl/>
        </w:rPr>
        <w:t>يتمتع القطاع الخاص بمستوى متقدم للغاية مقارنة بالقطاع العام، حيث أنه على اطلاع دائم بأحدث المعارف والخبرات التقنية لتعظيم إمكانات أي قطاع يشارك فيه. يحضر معظم موظفي القطاع الخاص ندوات وورش عمل، مما يزودهم بالمهارات الفكرية، وهي ميزة يفتقر إليها القطاع العام</w:t>
      </w:r>
      <w:r w:rsidRPr="00E6041B">
        <w:rPr>
          <w:rFonts w:ascii="T" w:hAnsi="T" w:cs="Simplified Arabic"/>
          <w:sz w:val="24"/>
          <w:szCs w:val="24"/>
        </w:rPr>
        <w:t>. (</w:t>
      </w:r>
      <w:proofErr w:type="spellStart"/>
      <w:proofErr w:type="gramStart"/>
      <w:r w:rsidRPr="00E6041B">
        <w:rPr>
          <w:rFonts w:ascii="T" w:hAnsi="T" w:cs="Simplified Arabic"/>
          <w:sz w:val="24"/>
          <w:szCs w:val="24"/>
        </w:rPr>
        <w:t>Verweij,et</w:t>
      </w:r>
      <w:proofErr w:type="spellEnd"/>
      <w:proofErr w:type="gramEnd"/>
      <w:r w:rsidRPr="00E6041B">
        <w:rPr>
          <w:rFonts w:ascii="T" w:hAnsi="T" w:cs="Simplified Arabic"/>
          <w:sz w:val="24"/>
          <w:szCs w:val="24"/>
        </w:rPr>
        <w:t xml:space="preserve"> al,2022)</w:t>
      </w:r>
      <w:r w:rsidRPr="00E6041B">
        <w:rPr>
          <w:rFonts w:ascii="T" w:hAnsi="T" w:cs="Simplified Arabic"/>
          <w:sz w:val="24"/>
          <w:szCs w:val="24"/>
          <w:rtl/>
        </w:rPr>
        <w:t>‏</w:t>
      </w:r>
    </w:p>
    <w:p w14:paraId="6F820D23"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رابعًا: المعالجة المحاسبية للشراكات بين القطاعين العام والخاص خارج الميزانية العمومية</w:t>
      </w:r>
      <w:r w:rsidRPr="00E6041B">
        <w:rPr>
          <w:rFonts w:ascii="T" w:hAnsi="T" w:cs="Simplified Arabic"/>
          <w:b/>
          <w:bCs/>
          <w:sz w:val="24"/>
          <w:szCs w:val="24"/>
        </w:rPr>
        <w:t xml:space="preserve">: </w:t>
      </w:r>
    </w:p>
    <w:p w14:paraId="6B3EDB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غالبًا ما تعاني القطاعات العامة من سوء إدارة سجلاتها المالية، مما يعيقها عن تحقيق أقصى إمكاناتها وضمان دوران فعال للأموال. وهنا يأتي دور القطاع الخاص لإنشاء وكالة مربحة لتقديم الخدمات العامة</w:t>
      </w:r>
      <w:r w:rsidRPr="00E6041B">
        <w:rPr>
          <w:rFonts w:ascii="T" w:hAnsi="T" w:cs="Simplified Arabic"/>
          <w:sz w:val="24"/>
          <w:szCs w:val="24"/>
        </w:rPr>
        <w:t>. (Verweij &amp; Satheesh, 2023)</w:t>
      </w:r>
    </w:p>
    <w:p w14:paraId="6569F5C7" w14:textId="77777777" w:rsidR="00AE0CA0" w:rsidRPr="00E6041B"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E6041B">
        <w:rPr>
          <w:rFonts w:ascii="T" w:hAnsi="T" w:cs="Simplified Arabic"/>
          <w:b/>
          <w:bCs/>
          <w:sz w:val="24"/>
          <w:szCs w:val="24"/>
          <w:rtl/>
        </w:rPr>
        <w:t>خامسا: الابتكار</w:t>
      </w:r>
      <w:r w:rsidRPr="00E6041B">
        <w:rPr>
          <w:rFonts w:ascii="T" w:hAnsi="T" w:cs="Simplified Arabic"/>
          <w:b/>
          <w:bCs/>
          <w:sz w:val="24"/>
          <w:szCs w:val="24"/>
        </w:rPr>
        <w:t xml:space="preserve">: </w:t>
      </w:r>
    </w:p>
    <w:p w14:paraId="2D06BD5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يعني الابتكار إدخال شيء جديد. يقوم القطاع الخاص بإعادة ابتكار وتقديم تقنيات جديدة للمساعدة في تقديم خدمات عامة فعالة</w:t>
      </w:r>
      <w:r w:rsidRPr="00E6041B">
        <w:rPr>
          <w:rFonts w:ascii="T" w:hAnsi="T" w:cs="Simplified Arabic"/>
          <w:sz w:val="24"/>
          <w:szCs w:val="24"/>
        </w:rPr>
        <w:t>.</w:t>
      </w:r>
    </w:p>
    <w:p w14:paraId="7699A71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يتمتع القطاع الخاص بمستوى أعلى من التقدم التكنولوجي ويواكب أحدث التقنيات، ولهذا السبب يحقق مشاركته في معظم الحالات نجاحًا كبيرًا في تقديم الخدمات العامة</w:t>
      </w:r>
      <w:r w:rsidRPr="00E6041B">
        <w:rPr>
          <w:rFonts w:ascii="T" w:hAnsi="T" w:cs="Simplified Arabic"/>
          <w:sz w:val="24"/>
          <w:szCs w:val="24"/>
        </w:rPr>
        <w:t>.</w:t>
      </w:r>
    </w:p>
    <w:p w14:paraId="7FABEEF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إدارة المخاطر - لا تقع المخاطر على عاتق طرف واحد فقط، بل يتم تقاسمها بين القطاعين الخاص والعام، وهو أمرٌ سليمٌ ومُستحسنٌ اقتصاديًا. وفي حال وقوع أي خسارة، تقع المسؤولية على عاتق الطرفين معًا بشكلٍ قاطع</w:t>
      </w:r>
      <w:r w:rsidRPr="00E6041B">
        <w:rPr>
          <w:rFonts w:ascii="T" w:hAnsi="T" w:cs="Simplified Arabic"/>
          <w:sz w:val="24"/>
          <w:szCs w:val="24"/>
        </w:rPr>
        <w:t xml:space="preserve"> (Law Teacher, 2018). </w:t>
      </w:r>
    </w:p>
    <w:p w14:paraId="01FAD92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وتعد من أهم أسباب ودوافع الشراكات مع القطاع الخاص على الأصعدة الدولية الأسباب الآتية</w:t>
      </w:r>
      <w:r w:rsidRPr="00E6041B">
        <w:rPr>
          <w:rFonts w:ascii="T" w:hAnsi="T" w:cs="Simplified Arabic"/>
          <w:sz w:val="24"/>
          <w:szCs w:val="24"/>
        </w:rPr>
        <w:t xml:space="preserve">: </w:t>
      </w:r>
    </w:p>
    <w:p w14:paraId="0F68ED1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lastRenderedPageBreak/>
        <w:t>•</w:t>
      </w:r>
      <w:r w:rsidRPr="00E6041B">
        <w:rPr>
          <w:rFonts w:ascii="T" w:hAnsi="T" w:cs="Simplified Arabic"/>
          <w:sz w:val="24"/>
          <w:szCs w:val="24"/>
        </w:rPr>
        <w:tab/>
      </w:r>
      <w:r w:rsidRPr="00E6041B">
        <w:rPr>
          <w:rFonts w:ascii="T" w:hAnsi="T" w:cs="Simplified Arabic"/>
          <w:sz w:val="24"/>
          <w:szCs w:val="24"/>
          <w:rtl/>
        </w:rPr>
        <w:t>القيود المالية: تواجه العديد من الحكومات ميزانيات محدودة أو ديوناً مرتفعة، مما يجعل الاستثمار العام المباشر أمراً صعباً. توفر الشراكات بين القطاعين العام والخاص وسيلةً لسد فجوة الميزانية عن طريق تحويل المدفوعات إلى ميزانيات مستقبلية. وبفضل تأجيل النفقات الفورية، بدت هذه الشراكات جذابة في ظل القواعد المالية الصارمة</w:t>
      </w:r>
      <w:r w:rsidRPr="00E6041B">
        <w:rPr>
          <w:rFonts w:ascii="T" w:hAnsi="T" w:cs="Simplified Arabic"/>
          <w:sz w:val="24"/>
          <w:szCs w:val="24"/>
        </w:rPr>
        <w:t>. (Verweij &amp; Satheesh, 2023)</w:t>
      </w:r>
      <w:r w:rsidRPr="00E6041B">
        <w:rPr>
          <w:rFonts w:ascii="T" w:hAnsi="T" w:cs="Simplified Arabic"/>
          <w:sz w:val="24"/>
          <w:szCs w:val="24"/>
          <w:rtl/>
        </w:rPr>
        <w:t>‏</w:t>
      </w:r>
    </w:p>
    <w:p w14:paraId="475CF30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فجوات الاستثمار في البنية التحتية: تشير التحليلات الدولية إلى أن احتياجات العالم من البنية التحتية ستبلغ حوالي 100 تريليون دولار بحلول عام 2040 (خاصة في قطاعات الطاقة والمياه والنقل). ومع ذلك، غالبًا ما يكون الاستثمار العام غير كافٍ (على سبيل المثال، تواجه الولايات المتحدة فجوة تبلغ عدة تريليونات من الدولارات). ويتم الترويج للشراكات بين القطاعين العام والخاص كوسيلة للاستفادة من رأس المال الخاص للمساعدة في سد هذه الفجوات. وكما يشير أحد محللي البنك الدولي، فإن التوسع الحضري الهائل وأهداف المناخ تخلق طلبًا ضخمًا "يجب تمويله" جزئيًا من خلال أدوات جديدة</w:t>
      </w:r>
      <w:r w:rsidRPr="00E6041B">
        <w:rPr>
          <w:rFonts w:ascii="T" w:hAnsi="T" w:cs="Simplified Arabic"/>
          <w:sz w:val="24"/>
          <w:szCs w:val="24"/>
        </w:rPr>
        <w:t xml:space="preserve"> (Heathcote, 2017).</w:t>
      </w:r>
    </w:p>
    <w:p w14:paraId="53E4830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Pr>
        <w:t>•</w:t>
      </w:r>
      <w:r w:rsidRPr="00E6041B">
        <w:rPr>
          <w:rFonts w:ascii="T" w:hAnsi="T" w:cs="Simplified Arabic"/>
          <w:sz w:val="24"/>
          <w:szCs w:val="24"/>
        </w:rPr>
        <w:tab/>
      </w:r>
      <w:r w:rsidRPr="00E6041B">
        <w:rPr>
          <w:rFonts w:ascii="T" w:hAnsi="T" w:cs="Simplified Arabic"/>
          <w:sz w:val="24"/>
          <w:szCs w:val="24"/>
          <w:rtl/>
        </w:rPr>
        <w:t>توافر رأس المال الخاص: يسعى المستثمرون المؤسسيون (صناديق التقاعد، وشركات التأمين، ومديرو الأصول) حاليًا إلى تحقيق عوائد طويلة الأجل مرتبطة بالتضخم. ويمكن لمشاريع البنية التحتية القائمة على الشراكة بين القطاعين العام والخاص أن تلبي احتياجاتهم. ولذلك، تستثمر صناديق التقاعد أو صناديق الثروة السيادية الكبيرة بنشاط في مشاريع الطرق السريعة أو مشاريع الطاقة القائمة على الشراكة بين القطاعين العام والخاص، مما يزيد من تدفق رأس المال إلى هذه المشاريع</w:t>
      </w:r>
      <w:r w:rsidRPr="00E6041B">
        <w:rPr>
          <w:rFonts w:ascii="T" w:hAnsi="T" w:cs="Simplified Arabic"/>
          <w:sz w:val="24"/>
          <w:szCs w:val="24"/>
        </w:rPr>
        <w:t>. (Rodrigues, 2023).</w:t>
      </w:r>
      <w:r w:rsidRPr="00E6041B">
        <w:rPr>
          <w:rFonts w:ascii="T" w:hAnsi="T" w:cs="Simplified Arabic"/>
          <w:sz w:val="24"/>
          <w:szCs w:val="24"/>
          <w:rtl/>
        </w:rPr>
        <w:t>‏</w:t>
      </w:r>
    </w:p>
    <w:p w14:paraId="0083667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بالإضافة، فإن للشراكات بين القطاعين العام والخاص منافع وفوائد كثيرة للقطاع الخاص نفسه حيث تتيح الشراكات بين القطاعين العام والخاص للقطاع الخاص الوصول إلى فرص استثمارية طويلة الأجل. ويمكن تأسيس الشركات بثقة وأمان من خلال ضمان الحصول على عقود حكومية. ويتم الدفع إما عن طريق رسوم متفق عليها مقابل الخدمة، أو من خلال تحصيل رسوم المستخدمين. وتبقى الإيرادات مضمونة لمدة تتراوح بين 15 و20 عامًا. وبفضل كفاءتها العالية، وقدراتها الإدارية والفنية والمالية، تستطيع الشركات الشريكة في القطاع الخاص توسيع نطاق خبراتها لتشمل فرصًا تجارية أخرى، وحتى مناطق أخرى، نظرًا لسجلها الحافل بالإنجازات</w:t>
      </w:r>
      <w:r w:rsidRPr="00E6041B">
        <w:rPr>
          <w:rFonts w:ascii="T" w:hAnsi="T" w:cs="Simplified Arabic"/>
          <w:sz w:val="24"/>
          <w:szCs w:val="24"/>
        </w:rPr>
        <w:t>. (Batjargal &amp; Zhang,2022)</w:t>
      </w:r>
    </w:p>
    <w:p w14:paraId="4BFE51D9" w14:textId="2AFB9A26"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7" w:name="_Toc233202818"/>
      <w:r w:rsidRPr="001625B8">
        <w:rPr>
          <w:rFonts w:ascii="T" w:hAnsi="T" w:cs="Simplified Arabic"/>
          <w:b/>
          <w:bCs/>
          <w:color w:val="auto"/>
          <w:sz w:val="24"/>
          <w:szCs w:val="24"/>
          <w:rtl/>
        </w:rPr>
        <w:lastRenderedPageBreak/>
        <w:t>أنواع العقود وطرق التعاقد بين القطاعين العام والخاص</w:t>
      </w:r>
      <w:bookmarkEnd w:id="47"/>
    </w:p>
    <w:p w14:paraId="7696C646"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توجد أنواع ونماذج تنفيذ عديدة للشراكات بين القطاعين العام والخاص، وفيما يلي قائمة غير شاملة لبعض التصاميم</w:t>
      </w:r>
      <w:r w:rsidRPr="00E6041B">
        <w:rPr>
          <w:rFonts w:ascii="T" w:hAnsi="T" w:cs="Simplified Arabic"/>
          <w:sz w:val="24"/>
          <w:szCs w:val="24"/>
        </w:rPr>
        <w:t>:</w:t>
      </w:r>
    </w:p>
    <w:p w14:paraId="11416BEF"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عقد التشغيل والصيانة: يتولى وكيل اقتصادي خاص، بموجب عقد حكومي، تشغيل أصل مملوك للدولة لفترة زمنية محددة. وتبقى ملكية الأصل، من الناحية الرسمية، للجهة العامة. وفيما يتعلق بمخاطر القطاع الخاص ومشاركته، يُعد هذا النموذج منخفضاً نسبياً من حيث كلٍ من المشاركة والمخاطر</w:t>
      </w:r>
      <w:r w:rsidRPr="00E6041B">
        <w:rPr>
          <w:rFonts w:ascii="T" w:hAnsi="T" w:cs="Simplified Arabic"/>
          <w:sz w:val="24"/>
          <w:szCs w:val="24"/>
        </w:rPr>
        <w:t xml:space="preserve"> (</w:t>
      </w:r>
      <w:proofErr w:type="spellStart"/>
      <w:r w:rsidRPr="00E6041B">
        <w:rPr>
          <w:rFonts w:ascii="T" w:hAnsi="T" w:cs="Simplified Arabic"/>
          <w:sz w:val="24"/>
          <w:szCs w:val="24"/>
        </w:rPr>
        <w:t>Aboelazm,et</w:t>
      </w:r>
      <w:proofErr w:type="spellEnd"/>
      <w:r w:rsidRPr="00E6041B">
        <w:rPr>
          <w:rFonts w:ascii="T" w:hAnsi="T" w:cs="Simplified Arabic"/>
          <w:sz w:val="24"/>
          <w:szCs w:val="24"/>
        </w:rPr>
        <w:t xml:space="preserve"> al , 2025) </w:t>
      </w:r>
    </w:p>
    <w:p w14:paraId="15D6771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والتمويل: يقوم القطاع الخاص ببناء المشروع وتمويل تكلفته خلال فترة الإنشاء، ثم تُنقل المسؤولية إلى الجهة الحكومية. وفيما يتعلق بمخاطر القطاع الخاص ومشاركته، يُعد هذا النموذج منخفضًا نسبيًا في كلا المعيارين</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5FA3308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والتشغيل والتحويل: يمثل نموذج البناء والتشغيل والتحويل تكاملاً كاملاً لتنفيذ المشروع: إذ ينظم العقد نفسه تصميم المشروع وبنائه وتشغيله وصيانته وتمويله. وبعد فترة امتياز معينة، يُعاد تسليم المنشأة إلى مالكها</w:t>
      </w:r>
      <w:r w:rsidRPr="00E6041B">
        <w:rPr>
          <w:rFonts w:ascii="T" w:hAnsi="T" w:cs="Simplified Arabic"/>
          <w:sz w:val="24"/>
          <w:szCs w:val="24"/>
        </w:rPr>
        <w:t>.</w:t>
      </w:r>
    </w:p>
    <w:p w14:paraId="12889078"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 التملك - التشغيل - النقل: يختلف هيكل البناء والتشغيل والتحويل عن هيكل البناء والتشغيل والتحويل في أن الكيان الخاص يمتلك الأعمال. خلال فترة الامتياز، تمتلك الشركة الخاصة المنشأة وتديرها بهدف رئيسي هو استرداد تكاليف الاستثمار والصيانة مع السعي لتحقيق هامش ربح أعلى على المشروع. وقد تم استخدام هيكل البناء والتشغيل والتحويل في مشاريع مثل الطرق السريعة، وشبكات النقل الجماعي، والنقل بالسكك الحديدية، وتوليد الطاقة</w:t>
      </w:r>
      <w:r w:rsidRPr="00E6041B">
        <w:rPr>
          <w:rFonts w:ascii="T" w:hAnsi="T" w:cs="Simplified Arabic"/>
          <w:sz w:val="24"/>
          <w:szCs w:val="24"/>
        </w:rPr>
        <w:t xml:space="preserve"> (</w:t>
      </w:r>
      <w:proofErr w:type="spellStart"/>
      <w:r w:rsidRPr="00E6041B">
        <w:rPr>
          <w:rFonts w:ascii="T" w:hAnsi="T" w:cs="Simplified Arabic"/>
          <w:sz w:val="24"/>
          <w:szCs w:val="24"/>
        </w:rPr>
        <w:t>Stafano</w:t>
      </w:r>
      <w:proofErr w:type="spellEnd"/>
      <w:r w:rsidRPr="00E6041B">
        <w:rPr>
          <w:rFonts w:ascii="T" w:hAnsi="T" w:cs="Simplified Arabic"/>
          <w:sz w:val="24"/>
          <w:szCs w:val="24"/>
        </w:rPr>
        <w:t>, 2007).</w:t>
      </w:r>
    </w:p>
    <w:p w14:paraId="1C1B09A3"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البناء والتملك والتشغيل: في مشاريع البناء والتشغيل والتملك، تبقى ملكية المشروع عادةً للشركة المنفذة، مثل شبكات الهاتف المحمول. وبالتالي، تستفيد الشركة الخاصة من أي قيمة متبقية للمشروع. يُستخدم هذا الإطار عندما يتزامن العمر الافتراضي للمشروع مع فترة الامتياز. يتطلب نظام البناء والتشغيل والتملك مبالغ مالية ضخمة </w:t>
      </w:r>
      <w:r w:rsidRPr="00E6041B">
        <w:rPr>
          <w:rFonts w:ascii="T" w:hAnsi="T" w:cs="Simplified Arabic"/>
          <w:sz w:val="24"/>
          <w:szCs w:val="24"/>
          <w:rtl/>
        </w:rPr>
        <w:lastRenderedPageBreak/>
        <w:t>وفترة استرداد طويلة. ومن أمثلة مشاريع البناء والتشغيل والتملك محطات معالجة المياه</w:t>
      </w:r>
      <w:r w:rsidRPr="00E6041B">
        <w:rPr>
          <w:rFonts w:ascii="T" w:hAnsi="T" w:cs="Simplified Arabic"/>
          <w:sz w:val="24"/>
          <w:szCs w:val="24"/>
        </w:rPr>
        <w:t xml:space="preserve"> (.</w:t>
      </w:r>
      <w:proofErr w:type="spellStart"/>
      <w:r w:rsidRPr="00E6041B">
        <w:rPr>
          <w:rFonts w:ascii="T" w:hAnsi="T" w:cs="Simplified Arabic"/>
          <w:sz w:val="24"/>
          <w:szCs w:val="24"/>
        </w:rPr>
        <w:t>Grimsy</w:t>
      </w:r>
      <w:proofErr w:type="spellEnd"/>
      <w:r w:rsidRPr="00E6041B">
        <w:rPr>
          <w:rFonts w:ascii="T" w:hAnsi="T" w:cs="Simplified Arabic"/>
          <w:sz w:val="24"/>
          <w:szCs w:val="24"/>
        </w:rPr>
        <w:t xml:space="preserve">,.Darrin, 2007). </w:t>
      </w:r>
    </w:p>
    <w:p w14:paraId="544D74F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البناء والتأجير والتحويل: بموجب اتفاقية البناء والتأجير، تقوم جهة خاصة ببناء مشروع متكامل وتأجيره للحكومة. وبهذه الطريقة، تنتقل السيطرة على المشروع من مالكه إلى المستأجر. بعبارة أخرى، تبقى الملكية للمساهمين، بينما تُؤجَّر أغراض التشغيل. بعد انتهاء مدة الإيجار، تنتقل ملكية الأصل ومسؤولية التشغيل إلى الحكومة بسعر متفق عليه مسبقاً</w:t>
      </w:r>
      <w:r w:rsidRPr="00E6041B">
        <w:rPr>
          <w:rFonts w:ascii="T" w:hAnsi="T" w:cs="Simplified Arabic"/>
          <w:sz w:val="24"/>
          <w:szCs w:val="24"/>
        </w:rPr>
        <w:t>.</w:t>
      </w:r>
    </w:p>
    <w:p w14:paraId="3A8D6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يقوم القطاع الخاص بتصميم وبناء وتمويل الأصول، ويقدم خدمات إدارة وصيانة المرافق بموجب اتفاقية طويلة الأجل. ويتولى المالك (عادةً القطاع العام) تشغيل المنشأة. ويُعدّ هذا النموذج متوسطًا من حيث مستوى المخاطرة والمشاركة من جانب القطاع الخاص</w:t>
      </w:r>
      <w:r w:rsidRPr="00E6041B">
        <w:rPr>
          <w:rFonts w:ascii="T" w:hAnsi="T" w:cs="Simplified Arabic"/>
          <w:sz w:val="24"/>
          <w:szCs w:val="24"/>
        </w:rPr>
        <w:t xml:space="preserve"> (</w:t>
      </w:r>
      <w:proofErr w:type="spellStart"/>
      <w:r w:rsidRPr="00E6041B">
        <w:rPr>
          <w:rFonts w:ascii="T" w:hAnsi="T" w:cs="Simplified Arabic"/>
          <w:sz w:val="24"/>
          <w:szCs w:val="24"/>
        </w:rPr>
        <w:t>Akinsulire</w:t>
      </w:r>
      <w:proofErr w:type="spellEnd"/>
      <w:r w:rsidRPr="00E6041B">
        <w:rPr>
          <w:rFonts w:ascii="T" w:hAnsi="T" w:cs="Simplified Arabic"/>
          <w:sz w:val="24"/>
          <w:szCs w:val="24"/>
        </w:rPr>
        <w:t xml:space="preserve">, et al,2024). </w:t>
      </w:r>
    </w:p>
    <w:p w14:paraId="5ED8738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والتمويل والصيانة والتشغيل: يُعدّ نموذج التصميم والبناء والتمويل والتشغيل أسلوبًا لتنفيذ المشاريع مشابهًا جدًا لنموذج البناء والتشغيل والتحويل، باستثناء عدم وجود نقل فعلي للملكية. علاوة على ذلك، يتحمل المقاول مخاطر التمويل حتى نهاية مدة العقد، ثم يتولى المالك مسؤولية الصيانة والتشغيل</w:t>
      </w:r>
      <w:r w:rsidRPr="00E6041B">
        <w:rPr>
          <w:rFonts w:ascii="T" w:hAnsi="T" w:cs="Simplified Arabic"/>
          <w:sz w:val="24"/>
          <w:szCs w:val="24"/>
        </w:rPr>
        <w:t xml:space="preserve">. </w:t>
      </w:r>
    </w:p>
    <w:p w14:paraId="30D5696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يُستخدم هذا النموذج على نطاق واسع في مشاريع بنية تحتية محددة، مثل الطرق السريعة ذات الرسوم. تتولى شركة الإنشاءات الخاصة مسؤولية تصميم وبناء جزء من البنية التحتية لصالح الحكومة، وهي المالك الحقيقي. كما تتحمل الجهة الخاصة مسؤولية توفير التمويل خلال مرحلتي الإنشاء والتشغيل. عادةً، يبدأ القطاع العام في سداد المدفوعات للقطاع الخاص مقابل استخدام الأصل بعد اكتمال الإنشاء. يُعدّ هذا النموذج الأكثر شيوعًا في الاتحاد الأوروبي، وفقًا لمحكمة المدققين الأوروبية</w:t>
      </w:r>
      <w:r w:rsidRPr="00E6041B">
        <w:rPr>
          <w:rFonts w:ascii="T" w:hAnsi="T" w:cs="Simplified Arabic"/>
          <w:sz w:val="24"/>
          <w:szCs w:val="24"/>
        </w:rPr>
        <w:t xml:space="preserve"> (</w:t>
      </w:r>
      <w:proofErr w:type="spellStart"/>
      <w:r w:rsidRPr="00E6041B">
        <w:rPr>
          <w:rFonts w:ascii="T" w:hAnsi="T" w:cs="Simplified Arabic"/>
          <w:sz w:val="24"/>
          <w:szCs w:val="24"/>
        </w:rPr>
        <w:t>Raina,et</w:t>
      </w:r>
      <w:proofErr w:type="spellEnd"/>
      <w:r w:rsidRPr="00E6041B">
        <w:rPr>
          <w:rFonts w:ascii="T" w:hAnsi="T" w:cs="Simplified Arabic"/>
          <w:sz w:val="24"/>
          <w:szCs w:val="24"/>
        </w:rPr>
        <w:t xml:space="preserve"> al ,2024). </w:t>
      </w:r>
    </w:p>
    <w:p w14:paraId="063A2A7B"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التصميم والبناء والتشغيل والتحويل: يُعدّ هذا الخيار التمويلي شائعًا عندما لا يكون لدى العميل أي فكرة عن تفاصيل المشروع. ولذلك، يُسند المشروع إلى شركة لتصميمه وبنائه وتشغيله، ثم نقله إلى شركة أخرى. ومن أمثلة هذه المشاريع إنشاء مصافي النفط</w:t>
      </w:r>
      <w:r w:rsidRPr="00E6041B">
        <w:rPr>
          <w:rFonts w:ascii="T" w:hAnsi="T" w:cs="Simplified Arabic"/>
          <w:sz w:val="24"/>
          <w:szCs w:val="24"/>
        </w:rPr>
        <w:t xml:space="preserve"> (Ninad, 2010). </w:t>
      </w:r>
    </w:p>
    <w:p w14:paraId="007C66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lastRenderedPageBreak/>
        <w:t>التصميم - البناء - الإدارة - التمويل: تُعهد إلى جهة خاصة بتصميم وبناء وإدارة وتمويل منشأة، وفقًا لمواصفات الحكومة. وتنتج التدفقات النقدية للمشروع من مدفوعات الحكومة مقابل إيجار المنشأة. ومن أمثلة نموذج التمويل المشترك بين القطاعين العام والخاص السجون والمستشفيات العامة</w:t>
      </w:r>
      <w:r w:rsidRPr="00E6041B">
        <w:rPr>
          <w:rFonts w:ascii="T" w:hAnsi="T" w:cs="Simplified Arabic"/>
          <w:sz w:val="24"/>
          <w:szCs w:val="24"/>
        </w:rPr>
        <w:t>.</w:t>
      </w:r>
    </w:p>
    <w:p w14:paraId="3F7FE60A"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امتياز: الامتياز هو منح حقوق أو أراضٍ أو ممتلكات من قبل حكومة أو سلطة محلية أو شركة أو فرد أو أي كيان قانوني آخر. ويمكن تشغيل الخدمات العامة، مثل إمدادات المياه، بموجب امتياز. في حالة امتياز الخدمة العامة، تُبرم شركة خاصة اتفاقية مع الحكومة للحصول على الحق الحصري في تشغيل وصيانة واستثمار مرفق عام (مثل خصخصة المياه) لعدد محدد من السنوات</w:t>
      </w:r>
      <w:r w:rsidRPr="00E6041B">
        <w:rPr>
          <w:rFonts w:ascii="T" w:hAnsi="T" w:cs="Simplified Arabic"/>
          <w:sz w:val="24"/>
          <w:szCs w:val="24"/>
        </w:rPr>
        <w:t xml:space="preserve"> (</w:t>
      </w:r>
      <w:proofErr w:type="spellStart"/>
      <w:r w:rsidRPr="00E6041B">
        <w:rPr>
          <w:rFonts w:ascii="T" w:hAnsi="T" w:cs="Simplified Arabic"/>
          <w:sz w:val="24"/>
          <w:szCs w:val="24"/>
        </w:rPr>
        <w:t>Alshboul</w:t>
      </w:r>
      <w:proofErr w:type="spellEnd"/>
      <w:r w:rsidRPr="00E6041B">
        <w:rPr>
          <w:rFonts w:ascii="T" w:hAnsi="T" w:cs="Simplified Arabic"/>
          <w:sz w:val="24"/>
          <w:szCs w:val="24"/>
        </w:rPr>
        <w:t xml:space="preserve"> &amp; Shehadeh, 2026).</w:t>
      </w:r>
    </w:p>
    <w:p w14:paraId="28A8F03E"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في حين أن مشاريع البنية التحتية طويلة الأجل تشكل الجزء الأكبر من الشراكات بين القطاعين العام والخاص في جميع أنحاء العالم، إلا أن هناك أنواعًا أخرى من الشراكات بين القطاعين العام والخاص تناسب أغراضًا وجهات فاعلة مختلفة</w:t>
      </w:r>
      <w:r w:rsidRPr="00E6041B">
        <w:rPr>
          <w:rFonts w:ascii="T" w:hAnsi="T" w:cs="Simplified Arabic"/>
          <w:sz w:val="24"/>
          <w:szCs w:val="24"/>
        </w:rPr>
        <w:t>.</w:t>
      </w:r>
    </w:p>
    <w:p w14:paraId="74153AF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تسييل الأصول: من أشكال الشراكة بين القطاعين العام والخاص التي شاعت في المدن الأمريكية خلال القرن الحادي والعشرين، اتفاقيات تسييل الأصول. وتتعلق هذه الاتفاقيات بأصول المدينة المدرة للدخل (مثل مواقف السيارات، والمرائب، والعدادات، والإضاءة العامة، والطرق ذات الرسوم، وغيرها) وتحويلها إلى أصول مالية يمكن للمدينة تأجيرها لشركة خاصة مقابل تغطية تكاليف التشغيل والصيانة. وعادةً ما تُبرم هذه الصفقات خلال فترات الضائقة المالية التي تمر بها المدينة، وتُستخدم الإيرادات الفورية التي تحصل عليها البلديات لسداد الديون أو سد العجز في الميزانية. وقد تضمنت اتفاقية إفلاس ديترويت عام 2014 العديد من اتفاقيات تسييل الأصول</w:t>
      </w:r>
      <w:r w:rsidRPr="00E6041B">
        <w:rPr>
          <w:rFonts w:ascii="T" w:hAnsi="T" w:cs="Simplified Arabic"/>
          <w:sz w:val="24"/>
          <w:szCs w:val="24"/>
        </w:rPr>
        <w:t xml:space="preserve"> (Heather, 2016).</w:t>
      </w:r>
    </w:p>
    <w:p w14:paraId="6D83D14C"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شراكة عالمية بين القطاعين العام والخاص: الشراكة العالمية بين القطاعين العام والخاص هي آلية حوكمة تهدف إلى تعزيز التعاون بين القطاعين العام والخاص، وتحديداً بين منظمة حكومية دولية كالأمم المتحدة والشركات الخاصة. وتسعى هذه الشراكات، من بين أمور أخرى، إلى زيادة إمكانية الحصول على الأدوية واللقاحات الأساسية وغيرها</w:t>
      </w:r>
      <w:r w:rsidRPr="00E6041B">
        <w:rPr>
          <w:rFonts w:ascii="T" w:hAnsi="T" w:cs="Simplified Arabic"/>
          <w:sz w:val="24"/>
          <w:szCs w:val="24"/>
        </w:rPr>
        <w:t xml:space="preserve"> (Kevin, 2016). </w:t>
      </w:r>
    </w:p>
    <w:p w14:paraId="75013A08" w14:textId="69F1942C" w:rsidR="00AE0CA0" w:rsidRPr="001625B8" w:rsidRDefault="00AE0CA0" w:rsidP="001625B8">
      <w:pPr>
        <w:pStyle w:val="Heading2"/>
        <w:numPr>
          <w:ilvl w:val="2"/>
          <w:numId w:val="3"/>
        </w:numPr>
        <w:bidi/>
        <w:spacing w:line="360" w:lineRule="auto"/>
        <w:ind w:firstLine="720"/>
        <w:rPr>
          <w:rFonts w:ascii="T" w:hAnsi="T" w:cs="Simplified Arabic"/>
          <w:b/>
          <w:bCs/>
          <w:color w:val="auto"/>
          <w:sz w:val="24"/>
          <w:szCs w:val="24"/>
          <w:rtl/>
        </w:rPr>
      </w:pPr>
      <w:bookmarkStart w:id="48" w:name="_Toc233202819"/>
      <w:r w:rsidRPr="001625B8">
        <w:rPr>
          <w:rFonts w:ascii="T" w:hAnsi="T" w:cs="Simplified Arabic"/>
          <w:b/>
          <w:bCs/>
          <w:color w:val="auto"/>
          <w:sz w:val="24"/>
          <w:szCs w:val="24"/>
          <w:rtl/>
        </w:rPr>
        <w:lastRenderedPageBreak/>
        <w:t>الحوكمة البيئية</w:t>
      </w:r>
      <w:bookmarkEnd w:id="48"/>
    </w:p>
    <w:p w14:paraId="4B1C34A0"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مفهوم الحوكمة البيئية وتطورها</w:t>
      </w:r>
    </w:p>
    <w:p w14:paraId="141BB160"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تشير الحوكمة البيئية إلى منظومة متكاملة من الآليات والمؤسسات والسياسات التي تنظم كيفية إدارة الموارد الطبيعية والتفاعل مع النظم البيئية، بهدف تحقيق توازن ديناميكي بين متطلبات التنمية الاقتصادية وضرورات الحفاظ على البيئة للأجيال الحالية والمستقبلية. يتسع مفهوم الحوكمة البيئية ليشمل أكثر من مجرد الإدارة التقليدية للموارد، إذ يركز على عمليات صنع القرار، وتوزيع السلطات والمسؤوليات، وآليات المساءلة، وأطر إشراك مختلف الأطراف المعنية</w:t>
      </w:r>
      <w:r w:rsidRPr="00E6041B">
        <w:rPr>
          <w:rFonts w:ascii="T" w:hAnsi="T" w:cs="Simplified Arabic"/>
          <w:sz w:val="24"/>
          <w:szCs w:val="24"/>
        </w:rPr>
        <w:t>. (</w:t>
      </w:r>
      <w:proofErr w:type="spellStart"/>
      <w:proofErr w:type="gramStart"/>
      <w:r w:rsidRPr="00E6041B">
        <w:rPr>
          <w:rFonts w:ascii="T" w:hAnsi="T" w:cs="Simplified Arabic"/>
          <w:sz w:val="24"/>
          <w:szCs w:val="24"/>
        </w:rPr>
        <w:t>Newig,et</w:t>
      </w:r>
      <w:proofErr w:type="spellEnd"/>
      <w:proofErr w:type="gramEnd"/>
      <w:r w:rsidRPr="00E6041B">
        <w:rPr>
          <w:rFonts w:ascii="T" w:hAnsi="T" w:cs="Simplified Arabic"/>
          <w:sz w:val="24"/>
          <w:szCs w:val="24"/>
        </w:rPr>
        <w:t xml:space="preserve"> al,2023)</w:t>
      </w:r>
    </w:p>
    <w:p w14:paraId="05705BC9"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تتأسس الحوكمة البيئية على أربع مكونات تشغيلية رئيسة، أولها التشريعات البيئية التي تضم مجموعة القوانين واللوائح والمعايير التي تحدد الإطار القانوني للسلوك البيئي المسموح به والممنوع، مثل أنظمة حماية البيئة ولوائح تقييم الأثر البيئي. وثانيها الرقابة والامتثال، وهي الآليات المخصصة لمتابعة الالتزام بالمعايير البيئية وفرض الجزاءات على المخالفين، وتشمل التفتيش الميداني وأنظمة الرصد المستمر. أما ثالثها فهو مشاركة أصحاب المصلحة، أي إدماج جميع الأطراف ذات العلاقة (حكومة، قطاع خاص، مجتمع مدني، مواطنين) في عمليات صنع القرار البيئي عبر المشاورات العامة ولجان الأطراف المعنية. ورابعها الشفافية والمساءلة، وهي ضمان تدفق المعلومات البيئية بحرية، وإتاحة آليات لمحاسبة الجهات العامة والخاصة عن أفعالها وقراراتها ذات البعد البيئي</w:t>
      </w:r>
      <w:r w:rsidRPr="00E6041B">
        <w:rPr>
          <w:rFonts w:ascii="T" w:hAnsi="T" w:cs="Simplified Arabic"/>
          <w:sz w:val="24"/>
          <w:szCs w:val="24"/>
        </w:rPr>
        <w:t>. (</w:t>
      </w:r>
      <w:proofErr w:type="spellStart"/>
      <w:proofErr w:type="gramStart"/>
      <w:r w:rsidRPr="00E6041B">
        <w:rPr>
          <w:rFonts w:ascii="T" w:hAnsi="T" w:cs="Simplified Arabic"/>
          <w:sz w:val="24"/>
          <w:szCs w:val="24"/>
        </w:rPr>
        <w:t>Soussi,et</w:t>
      </w:r>
      <w:proofErr w:type="spellEnd"/>
      <w:proofErr w:type="gramEnd"/>
      <w:r w:rsidRPr="00E6041B">
        <w:rPr>
          <w:rFonts w:ascii="T" w:hAnsi="T" w:cs="Simplified Arabic"/>
          <w:sz w:val="24"/>
          <w:szCs w:val="24"/>
        </w:rPr>
        <w:t xml:space="preserve"> al,2025)</w:t>
      </w:r>
    </w:p>
    <w:p w14:paraId="427DF26E"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أبعاد الحوكمة البيئية</w:t>
      </w:r>
    </w:p>
    <w:p w14:paraId="74CA3994"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تتكون الحوكمة البيئية من عدة أبعاد رئيسية متداخلة، يُشكل فهمها ضرورة أساسية لتصميم أي نموذج شراكة ناجح في القطاع البيئي</w:t>
      </w:r>
      <w:r w:rsidRPr="00E6041B">
        <w:rPr>
          <w:rFonts w:ascii="T" w:hAnsi="T" w:cs="Simplified Arabic"/>
          <w:sz w:val="24"/>
          <w:szCs w:val="24"/>
        </w:rPr>
        <w:t>.</w:t>
      </w:r>
    </w:p>
    <w:p w14:paraId="33D9A8FB"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أولاً: البعد المؤسسي</w:t>
      </w:r>
    </w:p>
    <w:p w14:paraId="403481A5"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يركز هذا البعد على هيكلة الجهات المعنية بإدارة الشؤون البيئية وتوزيع الاختصاصات فيما بينها. في المملكة العربية السعودية، يبرز في هذا السياق المركز الوطني للرقابة على الالتزام البيئي، إلى جانب وزارة البيئة </w:t>
      </w:r>
      <w:r w:rsidRPr="00E6041B">
        <w:rPr>
          <w:rFonts w:ascii="T" w:hAnsi="T" w:cs="Simplified Arabic"/>
          <w:sz w:val="24"/>
          <w:szCs w:val="24"/>
          <w:rtl/>
        </w:rPr>
        <w:lastRenderedPageBreak/>
        <w:t>والمياه والزراعة، كجهات تنظيمية محورية. وقد اتجهت المملكة في السنوات الأخيرة إلى تعزيز هذه المؤسسات ورفع قدراتها بهدف تحقيق رقابة بيئية فعالة، خاصة في ظل التوسع في مشاريع الشراكة مع القطاع الخاص التي تتطلب أطراً رقابية قوية ومتخصصة</w:t>
      </w:r>
      <w:r w:rsidRPr="00E6041B">
        <w:rPr>
          <w:rFonts w:ascii="T" w:hAnsi="T" w:cs="Simplified Arabic"/>
          <w:sz w:val="24"/>
          <w:szCs w:val="24"/>
        </w:rPr>
        <w:t>. (</w:t>
      </w:r>
      <w:proofErr w:type="spellStart"/>
      <w:proofErr w:type="gramStart"/>
      <w:r w:rsidRPr="00E6041B">
        <w:rPr>
          <w:rFonts w:ascii="T" w:hAnsi="T" w:cs="Simplified Arabic"/>
          <w:sz w:val="24"/>
          <w:szCs w:val="24"/>
        </w:rPr>
        <w:t>Alwadani,et</w:t>
      </w:r>
      <w:proofErr w:type="spellEnd"/>
      <w:proofErr w:type="gramEnd"/>
      <w:r w:rsidRPr="00E6041B">
        <w:rPr>
          <w:rFonts w:ascii="T" w:hAnsi="T" w:cs="Simplified Arabic"/>
          <w:sz w:val="24"/>
          <w:szCs w:val="24"/>
        </w:rPr>
        <w:t xml:space="preserve"> al,2024)</w:t>
      </w:r>
      <w:r w:rsidRPr="00E6041B">
        <w:rPr>
          <w:rFonts w:ascii="T" w:hAnsi="T" w:cs="Simplified Arabic"/>
          <w:sz w:val="24"/>
          <w:szCs w:val="24"/>
          <w:rtl/>
        </w:rPr>
        <w:t>‏</w:t>
      </w:r>
    </w:p>
    <w:p w14:paraId="395E7653"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ثانياً: البعد التنظيمي والتشريعي</w:t>
      </w:r>
    </w:p>
    <w:p w14:paraId="77EE30C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Pr>
      </w:pPr>
      <w:r w:rsidRPr="00E6041B">
        <w:rPr>
          <w:rFonts w:ascii="T" w:hAnsi="T" w:cs="Simplified Arabic"/>
          <w:sz w:val="24"/>
          <w:szCs w:val="24"/>
          <w:rtl/>
        </w:rPr>
        <w:t>يتعلق هذا البعد بالقوانين والأنظمة والسياسات التي تحكم السلوك البيئي وتنظم العلاقة بين مختلف الفاعلين. وتشير الأدبيات الأكاديمية إلى أن العوائق القانونية والتنظيمية تمثل أحد أبرز التحديات التي تواجه تطبيق مشاريع الشراكة بين القطاعين العام والخاص بشكل عام</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07D15DD1" w14:textId="77777777" w:rsidR="00AE0CA0" w:rsidRPr="001625B8" w:rsidRDefault="00AE0CA0" w:rsidP="00E6041B">
      <w:pPr>
        <w:shd w:val="clear" w:color="auto" w:fill="FFFFFF"/>
        <w:bidi/>
        <w:spacing w:before="240" w:after="240" w:line="360" w:lineRule="auto"/>
        <w:ind w:firstLine="720"/>
        <w:jc w:val="both"/>
        <w:rPr>
          <w:rFonts w:ascii="T" w:hAnsi="T" w:cs="Simplified Arabic"/>
          <w:b/>
          <w:bCs/>
          <w:sz w:val="24"/>
          <w:szCs w:val="24"/>
          <w:rtl/>
        </w:rPr>
      </w:pPr>
      <w:r w:rsidRPr="001625B8">
        <w:rPr>
          <w:rFonts w:ascii="T" w:hAnsi="T" w:cs="Simplified Arabic"/>
          <w:b/>
          <w:bCs/>
          <w:sz w:val="24"/>
          <w:szCs w:val="24"/>
          <w:rtl/>
        </w:rPr>
        <w:t>ثالثاً: البعد التشاركي</w:t>
      </w:r>
    </w:p>
    <w:p w14:paraId="0608DE97"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يركز هذا البعد على آليات إشراك مختلف الأطراف المعنية في عمليات صنع القرار البيئي وتنفيذ السياسات. ولا يقتصر الأمر على إشراك القطاع الخاص بصفته شريكاً تعاقدياً، بل يمتد ليشمل المجتمع المدني والمنظمات غير الربحية والجمعيات الأهلية</w:t>
      </w:r>
      <w:r w:rsidRPr="00E6041B">
        <w:rPr>
          <w:rFonts w:ascii="T" w:hAnsi="T" w:cs="Simplified Arabic"/>
          <w:sz w:val="24"/>
          <w:szCs w:val="24"/>
        </w:rPr>
        <w:t>. (Alnor, 2024)</w:t>
      </w:r>
      <w:r w:rsidRPr="00E6041B">
        <w:rPr>
          <w:rFonts w:ascii="T" w:hAnsi="T" w:cs="Simplified Arabic"/>
          <w:sz w:val="24"/>
          <w:szCs w:val="24"/>
          <w:rtl/>
        </w:rPr>
        <w:t>‏ ومن الأمثلة البارزة في المملكة العربية السعودية "الجمعية السعودية للبيئة</w:t>
      </w:r>
      <w:r w:rsidRPr="00E6041B">
        <w:rPr>
          <w:rFonts w:ascii="T" w:hAnsi="T" w:cs="Simplified Arabic"/>
          <w:sz w:val="24"/>
          <w:szCs w:val="24"/>
        </w:rPr>
        <w:t>" (Saudi Environmental Society - SENS)</w:t>
      </w:r>
      <w:r w:rsidRPr="00E6041B">
        <w:rPr>
          <w:rFonts w:ascii="T" w:hAnsi="T" w:cs="Simplified Arabic"/>
          <w:sz w:val="24"/>
          <w:szCs w:val="24"/>
          <w:rtl/>
        </w:rPr>
        <w:t>، وهي جمعية وطنية غير ربحية تأسست عام 2006 بموجب قرار من وزارة الشؤون الاجتماعية، وتهدف إلى تطوير البيئة السعودية وتحسين أوضاع السكان في المناطق التي تعاني مشكلات بيئية، وذلك من خلال العمل على تطوير برامج التنمية المستدامة، وتعزيز العمل التطوعي، والمساهمة في تقوية دور القطاع الخاص لخدمة القضايا البيئية في مجالات حماية البيئة والمحافظة على الموارد الطبيعية والحياة الفطرية. ويُظهر وجود مثل هذه الجمعيات إدراكاً متزايداً لأهمية البعد التشاركي في الحوكمة البيئية السعودية</w:t>
      </w:r>
      <w:r w:rsidRPr="00E6041B">
        <w:rPr>
          <w:rFonts w:ascii="T" w:hAnsi="T" w:cs="Simplified Arabic"/>
          <w:sz w:val="24"/>
          <w:szCs w:val="24"/>
        </w:rPr>
        <w:t>. (</w:t>
      </w:r>
      <w:proofErr w:type="spellStart"/>
      <w:proofErr w:type="gramStart"/>
      <w:r w:rsidRPr="00E6041B">
        <w:rPr>
          <w:rFonts w:ascii="T" w:hAnsi="T" w:cs="Simplified Arabic"/>
          <w:sz w:val="24"/>
          <w:szCs w:val="24"/>
        </w:rPr>
        <w:t>Hashed,et</w:t>
      </w:r>
      <w:proofErr w:type="spellEnd"/>
      <w:proofErr w:type="gramEnd"/>
      <w:r w:rsidRPr="00E6041B">
        <w:rPr>
          <w:rFonts w:ascii="T" w:hAnsi="T" w:cs="Simplified Arabic"/>
          <w:sz w:val="24"/>
          <w:szCs w:val="24"/>
        </w:rPr>
        <w:t xml:space="preserve"> al ,2025)</w:t>
      </w:r>
      <w:r w:rsidRPr="00E6041B">
        <w:rPr>
          <w:rFonts w:ascii="T" w:hAnsi="T" w:cs="Simplified Arabic"/>
          <w:sz w:val="24"/>
          <w:szCs w:val="24"/>
          <w:rtl/>
        </w:rPr>
        <w:t>‏</w:t>
      </w:r>
    </w:p>
    <w:p w14:paraId="1D4FFB28" w14:textId="77777777" w:rsidR="00AE0CA0" w:rsidRPr="001625B8" w:rsidRDefault="00AE0CA0" w:rsidP="001625B8">
      <w:pPr>
        <w:pStyle w:val="ListParagraph"/>
        <w:numPr>
          <w:ilvl w:val="0"/>
          <w:numId w:val="39"/>
        </w:numPr>
        <w:shd w:val="clear" w:color="auto" w:fill="FFFFFF"/>
        <w:bidi/>
        <w:spacing w:before="240" w:after="240" w:line="360" w:lineRule="auto"/>
        <w:jc w:val="both"/>
        <w:rPr>
          <w:rFonts w:ascii="T" w:hAnsi="T" w:cs="Simplified Arabic"/>
          <w:b/>
          <w:bCs/>
          <w:sz w:val="24"/>
          <w:szCs w:val="24"/>
          <w:rtl/>
        </w:rPr>
      </w:pPr>
      <w:r w:rsidRPr="001625B8">
        <w:rPr>
          <w:rFonts w:ascii="T" w:hAnsi="T" w:cs="Simplified Arabic"/>
          <w:b/>
          <w:bCs/>
          <w:sz w:val="24"/>
          <w:szCs w:val="24"/>
          <w:rtl/>
        </w:rPr>
        <w:t>أهمية الحوكمة البيئية في سياق شراكات القطاعين العام والخاص</w:t>
      </w:r>
    </w:p>
    <w:p w14:paraId="2062FF21" w14:textId="77777777"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 xml:space="preserve">تكمن أهمية الحوكمة البيئية في سياق الشراكات بين القطاعين العام والخاص في قدرتها على معالجة التحديات الفريدة التي يفرضها هذا النموذج التعاقدي في القطاع البيئي. فهي توفر الإطار المؤسسي والقانوني الذي </w:t>
      </w:r>
      <w:r w:rsidRPr="00E6041B">
        <w:rPr>
          <w:rFonts w:ascii="T" w:hAnsi="T" w:cs="Simplified Arabic"/>
          <w:sz w:val="24"/>
          <w:szCs w:val="24"/>
          <w:rtl/>
        </w:rPr>
        <w:lastRenderedPageBreak/>
        <w:t>يُمكن القطاع العام من مراقبة أداء الشريك الخاص وضمان التزامه بالمعايير البيئية طوال مدة العقد التي قد تمتد لعقود</w:t>
      </w:r>
      <w:r w:rsidRPr="00E6041B">
        <w:rPr>
          <w:rFonts w:ascii="T" w:hAnsi="T" w:cs="Simplified Arabic"/>
          <w:sz w:val="24"/>
          <w:szCs w:val="24"/>
        </w:rPr>
        <w:t>. (</w:t>
      </w:r>
      <w:proofErr w:type="spellStart"/>
      <w:r w:rsidRPr="00E6041B">
        <w:rPr>
          <w:rFonts w:ascii="T" w:hAnsi="T" w:cs="Simplified Arabic"/>
          <w:sz w:val="24"/>
          <w:szCs w:val="24"/>
        </w:rPr>
        <w:t>Alregab</w:t>
      </w:r>
      <w:proofErr w:type="spellEnd"/>
      <w:r w:rsidRPr="00E6041B">
        <w:rPr>
          <w:rFonts w:ascii="T" w:hAnsi="T" w:cs="Simplified Arabic"/>
          <w:sz w:val="24"/>
          <w:szCs w:val="24"/>
        </w:rPr>
        <w:t>, 2022)</w:t>
      </w:r>
      <w:r w:rsidRPr="00E6041B">
        <w:rPr>
          <w:rFonts w:ascii="T" w:hAnsi="T" w:cs="Simplified Arabic"/>
          <w:sz w:val="24"/>
          <w:szCs w:val="24"/>
          <w:rtl/>
        </w:rPr>
        <w:t>‏</w:t>
      </w:r>
    </w:p>
    <w:p w14:paraId="47838C3F" w14:textId="10E2676A" w:rsidR="00AE0CA0" w:rsidRPr="00E6041B" w:rsidRDefault="00AE0CA0" w:rsidP="00E6041B">
      <w:pPr>
        <w:shd w:val="clear" w:color="auto" w:fill="FFFFFF"/>
        <w:bidi/>
        <w:spacing w:before="240" w:after="240" w:line="360" w:lineRule="auto"/>
        <w:ind w:firstLine="720"/>
        <w:jc w:val="both"/>
        <w:rPr>
          <w:rFonts w:ascii="T" w:hAnsi="T" w:cs="Simplified Arabic"/>
          <w:sz w:val="24"/>
          <w:szCs w:val="24"/>
          <w:rtl/>
        </w:rPr>
      </w:pPr>
      <w:r w:rsidRPr="00E6041B">
        <w:rPr>
          <w:rFonts w:ascii="T" w:hAnsi="T" w:cs="Simplified Arabic"/>
          <w:sz w:val="24"/>
          <w:szCs w:val="24"/>
          <w:rtl/>
        </w:rPr>
        <w:t>كما تعمل آليات الشفافية والمشاركة على بناء الثقة بين الأطراف المختلفة وتقليل مخاطر النزاعات والمقاومة المجتمعية. وفي المقابل، فإن ضعف الحوكمة البيئية - كما توثق الأدبيات - يؤدي إلى تفاقم المعوقات التي تحول دون نجاح مشاريع الشراكة، مثل غياب المساءلة، وتأخر المفاوضات، وعدم وضوح الأدوار والمسؤوليات. لذلك، يُعتبر تطوير نموذج متكامل للحوكمة البيئية شرطاً أساسياً لتعظيم فوائد الشراكات وتقليل مخاطرها في القطاع البيئي السعودي. (</w:t>
      </w:r>
      <w:r w:rsidRPr="00E6041B">
        <w:rPr>
          <w:rFonts w:ascii="T" w:hAnsi="T" w:cs="Simplified Arabic"/>
          <w:sz w:val="24"/>
          <w:szCs w:val="24"/>
        </w:rPr>
        <w:t>Umar, et al,2024</w:t>
      </w:r>
      <w:r w:rsidRPr="00E6041B">
        <w:rPr>
          <w:rFonts w:ascii="T" w:hAnsi="T" w:cs="Simplified Arabic"/>
          <w:sz w:val="24"/>
          <w:szCs w:val="24"/>
          <w:rtl/>
        </w:rPr>
        <w:t>)‏</w:t>
      </w:r>
    </w:p>
    <w:p w14:paraId="4F662256" w14:textId="77777777" w:rsidR="00745C19" w:rsidRPr="005D59A7" w:rsidRDefault="00CB3FA0" w:rsidP="001625B8">
      <w:pPr>
        <w:pStyle w:val="Heading2"/>
        <w:numPr>
          <w:ilvl w:val="2"/>
          <w:numId w:val="3"/>
        </w:numPr>
        <w:bidi/>
        <w:spacing w:line="360" w:lineRule="auto"/>
        <w:ind w:firstLine="720"/>
        <w:rPr>
          <w:rFonts w:ascii="T" w:hAnsi="T" w:cs="Simplified Arabic"/>
          <w:b/>
          <w:bCs/>
          <w:color w:val="auto"/>
          <w:sz w:val="24"/>
          <w:szCs w:val="24"/>
          <w:rtl/>
        </w:rPr>
      </w:pPr>
      <w:bookmarkStart w:id="49" w:name="_Toc233202820"/>
      <w:r w:rsidRPr="005D59A7">
        <w:rPr>
          <w:rFonts w:ascii="T" w:hAnsi="T" w:cs="Simplified Arabic"/>
          <w:b/>
          <w:bCs/>
          <w:color w:val="auto"/>
          <w:sz w:val="24"/>
          <w:szCs w:val="24"/>
          <w:rtl/>
        </w:rPr>
        <w:t>رؤية المملكة 2030</w:t>
      </w:r>
      <w:bookmarkEnd w:id="49"/>
      <w:r w:rsidRPr="005D59A7">
        <w:rPr>
          <w:rFonts w:ascii="T" w:hAnsi="T" w:cs="Simplified Arabic"/>
          <w:b/>
          <w:bCs/>
          <w:color w:val="auto"/>
          <w:sz w:val="24"/>
          <w:szCs w:val="24"/>
          <w:rtl/>
        </w:rPr>
        <w:t xml:space="preserve"> </w:t>
      </w:r>
    </w:p>
    <w:p w14:paraId="1C401EE0" w14:textId="77777777" w:rsidR="00CB3FA0" w:rsidRPr="005D59A7" w:rsidRDefault="00057791" w:rsidP="0045581D">
      <w:pPr>
        <w:pStyle w:val="Heading3"/>
        <w:numPr>
          <w:ilvl w:val="0"/>
          <w:numId w:val="7"/>
        </w:numPr>
        <w:bidi/>
        <w:spacing w:line="360" w:lineRule="auto"/>
        <w:ind w:firstLine="720"/>
        <w:rPr>
          <w:rFonts w:ascii="T" w:hAnsi="T" w:cs="Simplified Arabic"/>
          <w:color w:val="auto"/>
          <w:sz w:val="24"/>
          <w:szCs w:val="24"/>
          <w:rtl/>
        </w:rPr>
      </w:pPr>
      <w:bookmarkStart w:id="50" w:name="_Toc233202821"/>
      <w:r w:rsidRPr="005D59A7">
        <w:rPr>
          <w:rFonts w:ascii="T" w:hAnsi="T" w:cs="Simplified Arabic"/>
          <w:color w:val="auto"/>
          <w:sz w:val="24"/>
          <w:szCs w:val="24"/>
          <w:rtl/>
        </w:rPr>
        <w:t>أهداف التنمية المستدامة</w:t>
      </w:r>
      <w:bookmarkEnd w:id="50"/>
    </w:p>
    <w:p w14:paraId="62ED44D9" w14:textId="189C94CB" w:rsidR="00057791" w:rsidRPr="005D59A7" w:rsidRDefault="00057791"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تُقدّم خطة التنمية المستدامة لعام 2030، التي اعتمدتها جميع الدول الأعضاء في الأمم المتحدة عام 2015، خارطة طريق مشتركة لتحقيق السلام والازدهار للبشرية وكوكب الأرض، حاضراً ومستقبلاً. وتتمحور هذه الخطة حول 17 هدفاً للتنمية المستدامة، تُشكّل دعوة ملحة للعمل من قِبل جميع الدول، المتقدمة والنامية، في إطار شراكة عالمية. وتُقرّ هذه الأهداف بأنّ القضاء على الفقر والحرمان يتطلب استراتيجيات تُحسّن الصحة والتعليم، وتُقلّل من عدم المساواة، وتُحفّز النمو الاقتصادي، مع العمل في الوقت نفسه على معالجة تغيّر المناخ والحفاظ على محيطاتنا وغاباتنا (</w:t>
      </w:r>
      <w:r w:rsidRPr="005D59A7">
        <w:rPr>
          <w:rFonts w:ascii="T" w:hAnsi="T" w:cs="Simplified Arabic"/>
          <w:sz w:val="24"/>
          <w:szCs w:val="24"/>
        </w:rPr>
        <w:t>UN-DESA, 2026</w:t>
      </w:r>
      <w:r w:rsidRPr="005D59A7">
        <w:rPr>
          <w:rFonts w:ascii="T" w:hAnsi="T" w:cs="Simplified Arabic"/>
          <w:sz w:val="24"/>
          <w:szCs w:val="24"/>
          <w:rtl/>
        </w:rPr>
        <w:t>). وتستند أهداف التنمية المستدامة إلى عقود من العمل الذي قامت به الدول والأمم المتحدة، بما في ذلك إدارة الشؤون الاقتصادية والاجتماعية التابعة للأمم المتحدة.</w:t>
      </w:r>
      <w:r w:rsidR="0072501F" w:rsidRPr="005D59A7">
        <w:rPr>
          <w:rFonts w:ascii="T" w:hAnsi="T" w:cs="Simplified Arabic"/>
          <w:sz w:val="24"/>
          <w:szCs w:val="24"/>
          <w:rtl/>
        </w:rPr>
        <w:t>(النعمى ,2022)</w:t>
      </w:r>
    </w:p>
    <w:p w14:paraId="437731FE" w14:textId="77777777" w:rsidR="00057791" w:rsidRPr="005D59A7" w:rsidRDefault="00057791"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في يونيو/حزيران 1992، وخلال قمة الأرض في ريو دي جانيرو، البرازيل، تبنت أكثر من 178 دولة جدول أعمال القرن الحادي والعشرين، وهو خطة عمل شاملة لبناء شراكة عالمية من أجل التنمية المستدامة لتحسين حياة الإنسان وحماية البيئة. وتبنت الدول الأعضاء بالإجماع إعلان الألفية في قمة الألفية التي عُقدت في سبتمبر/أيلول 2000 في مقر الأمم المتحدة بنيويورك. وأسفرت القمة عن وضع ثمانية أهداف إنمائية للألفية للحد من الفقر المدقع بحلول عام 2015 (</w:t>
      </w:r>
      <w:r w:rsidRPr="005D59A7">
        <w:rPr>
          <w:rFonts w:ascii="T" w:hAnsi="T" w:cs="Simplified Arabic"/>
          <w:sz w:val="24"/>
          <w:szCs w:val="24"/>
        </w:rPr>
        <w:t>UN-DESA, 2026</w:t>
      </w:r>
      <w:r w:rsidRPr="005D59A7">
        <w:rPr>
          <w:rFonts w:ascii="T" w:hAnsi="T" w:cs="Simplified Arabic"/>
          <w:sz w:val="24"/>
          <w:szCs w:val="24"/>
          <w:rtl/>
        </w:rPr>
        <w:t>).</w:t>
      </w:r>
    </w:p>
    <w:p w14:paraId="56F8C4AB"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شهدت الجهود الدولية لتحقيق التنمية المستدامة تطوراً كبيراً على مدار العقود الماضية. ففي عام 1992، تبنت أكثر من 178 دولة جدول أعمال القرن الحادي والعشرين في قمة الأرض بريو دي جانيرو، كخطة عمل شاملة لبناء شراكة عالمية من أجل التنمية المستدامة</w:t>
      </w:r>
      <w:r w:rsidRPr="005D59A7">
        <w:rPr>
          <w:rFonts w:ascii="T" w:hAnsi="T" w:cs="Simplified Arabic"/>
          <w:sz w:val="24"/>
          <w:szCs w:val="24"/>
        </w:rPr>
        <w:t xml:space="preserve"> (UN-DESA, 2026). </w:t>
      </w:r>
      <w:r w:rsidRPr="005D59A7">
        <w:rPr>
          <w:rFonts w:ascii="T" w:hAnsi="T" w:cs="Simplified Arabic"/>
          <w:sz w:val="24"/>
          <w:szCs w:val="24"/>
          <w:rtl/>
        </w:rPr>
        <w:t>وفي عام 2000، تبنت الدول الأعضاء إعلان الألفية، الذي أسفر عن وضع ثمانية أهداف إنمائية للألفية للحد من الفقر المدقع بحلول عام 2015</w:t>
      </w:r>
      <w:r w:rsidRPr="005D59A7">
        <w:rPr>
          <w:rFonts w:ascii="T" w:hAnsi="T" w:cs="Simplified Arabic"/>
          <w:sz w:val="24"/>
          <w:szCs w:val="24"/>
        </w:rPr>
        <w:t>.</w:t>
      </w:r>
    </w:p>
    <w:p w14:paraId="5FC23E86"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أعاد إعلان جوهانسبرج بشأن التنمية المستدامة وخطة تنفيذه (2002) تأكيد التزامات المجتمع الدولي بالقضاء على الفقر وحماية البيئة، مع التركيز بشكل أكبر على الشراكات متعددة الأطراف</w:t>
      </w:r>
      <w:r w:rsidRPr="005D59A7">
        <w:rPr>
          <w:rFonts w:ascii="T" w:hAnsi="T" w:cs="Simplified Arabic"/>
          <w:sz w:val="24"/>
          <w:szCs w:val="24"/>
        </w:rPr>
        <w:t xml:space="preserve"> (UN-DESA, 2026). </w:t>
      </w:r>
      <w:r w:rsidRPr="005D59A7">
        <w:rPr>
          <w:rFonts w:ascii="T" w:hAnsi="T" w:cs="Simplified Arabic"/>
          <w:sz w:val="24"/>
          <w:szCs w:val="24"/>
          <w:rtl/>
        </w:rPr>
        <w:t>وفي مؤتمر الأمم المتحدة للتنمية المستدامة (ريو+20) عام 2012، اعتمدت الدول الأعضاء الوثيقة الختامية "المستقبل الذي نريده"، والتي قررت إطلاق عملية لوضع مجموعة من أهداف التنمية المستدامة للبناء على الأهداف الإنمائية للألفية، وإنشاء المنتدى السياسي رفيع المستوى المعني بالتنمية المستدامة</w:t>
      </w:r>
      <w:r w:rsidRPr="005D59A7">
        <w:rPr>
          <w:rFonts w:ascii="T" w:hAnsi="T" w:cs="Simplified Arabic"/>
          <w:sz w:val="24"/>
          <w:szCs w:val="24"/>
        </w:rPr>
        <w:t>.</w:t>
      </w:r>
    </w:p>
    <w:p w14:paraId="359C627E"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في عام 2013، شكلت الجمعية العامة فريق عمل مفتوحًا لوضع مقترح بشأن أهداف التنمية المستدامة، وفي عام 2015 بدأت عملية التفاوض بشأن خطة التنمية لما بعد عام 2015. تُوِّجت هذه العملية باعتماد خطة التنمية المستدامة لعام 2030، التي تتضمن 17 هدفًا، في قمة الأمم المتحدة للتنمية المستدامة في سبتمبر 2015. وكان عام 2015 عامًا مفصليًا، حيث تم اعتماد إطار سنداي للحد من مخاطر الكوارث (مارس 2015)، وخطة عمل أديس أبابا بشأن تمويل التنمية (يوليو 2015)، واتفاقية باريس بشأن تغير المناخ (ديسمبر 2015)</w:t>
      </w:r>
      <w:r w:rsidRPr="005D59A7">
        <w:rPr>
          <w:rFonts w:ascii="T" w:hAnsi="T" w:cs="Simplified Arabic"/>
          <w:sz w:val="24"/>
          <w:szCs w:val="24"/>
        </w:rPr>
        <w:t xml:space="preserve"> (UN-DESA, 2026).</w:t>
      </w:r>
    </w:p>
    <w:p w14:paraId="0F380150" w14:textId="77777777" w:rsidR="00FC55F4" w:rsidRPr="005D59A7" w:rsidRDefault="00FC55F4" w:rsidP="00335E83">
      <w:pPr>
        <w:bidi/>
        <w:spacing w:line="360" w:lineRule="auto"/>
        <w:ind w:hanging="58"/>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2CE5CA3E" wp14:editId="746D1067">
            <wp:extent cx="5274086" cy="3534508"/>
            <wp:effectExtent l="0" t="0" r="0" b="0"/>
            <wp:docPr id="1" name="صورة 3" descr="C:\Users\PC\Desktop\Cga1FaAW4AAnq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Cga1FaAW4AAnquc.jpg"/>
                    <pic:cNvPicPr>
                      <a:picLocks noChangeAspect="1" noChangeArrowheads="1"/>
                    </pic:cNvPicPr>
                  </pic:nvPicPr>
                  <pic:blipFill>
                    <a:blip r:embed="rId12"/>
                    <a:srcRect/>
                    <a:stretch>
                      <a:fillRect/>
                    </a:stretch>
                  </pic:blipFill>
                  <pic:spPr bwMode="auto">
                    <a:xfrm>
                      <a:off x="0" y="0"/>
                      <a:ext cx="5280498" cy="3538805"/>
                    </a:xfrm>
                    <a:prstGeom prst="rect">
                      <a:avLst/>
                    </a:prstGeom>
                    <a:noFill/>
                    <a:ln w="9525">
                      <a:noFill/>
                      <a:miter lim="800000"/>
                      <a:headEnd/>
                      <a:tailEnd/>
                    </a:ln>
                  </pic:spPr>
                </pic:pic>
              </a:graphicData>
            </a:graphic>
          </wp:inline>
        </w:drawing>
      </w:r>
    </w:p>
    <w:p w14:paraId="7297207E" w14:textId="6500CE7B" w:rsidR="00FC55F4" w:rsidRPr="005D59A7" w:rsidRDefault="00FC55F4" w:rsidP="00861DC2">
      <w:pPr>
        <w:pStyle w:val="Caption"/>
        <w:bidi/>
        <w:spacing w:line="360" w:lineRule="auto"/>
        <w:ind w:firstLine="720"/>
        <w:jc w:val="center"/>
        <w:rPr>
          <w:rFonts w:ascii="T" w:hAnsi="T" w:cs="Simplified Arabic"/>
          <w:color w:val="auto"/>
          <w:sz w:val="24"/>
          <w:szCs w:val="24"/>
          <w:rtl/>
        </w:rPr>
      </w:pPr>
      <w:bookmarkStart w:id="51" w:name="_Toc225991166"/>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2</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xml:space="preserve">: أهداف التنمية المستدامة </w:t>
      </w:r>
      <w:r w:rsidRPr="005D59A7">
        <w:rPr>
          <w:rFonts w:ascii="T" w:hAnsi="T" w:cs="Simplified Arabic"/>
          <w:color w:val="auto"/>
          <w:sz w:val="24"/>
          <w:szCs w:val="24"/>
        </w:rPr>
        <w:t>UNDP Egypt</w:t>
      </w:r>
      <w:bookmarkEnd w:id="51"/>
    </w:p>
    <w:p w14:paraId="1AF9B6A4" w14:textId="77777777" w:rsidR="00FC55F4" w:rsidRPr="005D59A7" w:rsidRDefault="00C11E95" w:rsidP="0045581D">
      <w:pPr>
        <w:pStyle w:val="Heading3"/>
        <w:numPr>
          <w:ilvl w:val="0"/>
          <w:numId w:val="7"/>
        </w:numPr>
        <w:bidi/>
        <w:spacing w:line="360" w:lineRule="auto"/>
        <w:ind w:firstLine="720"/>
        <w:rPr>
          <w:rFonts w:ascii="T" w:hAnsi="T" w:cs="Simplified Arabic"/>
          <w:color w:val="auto"/>
          <w:sz w:val="24"/>
          <w:szCs w:val="24"/>
        </w:rPr>
      </w:pPr>
      <w:bookmarkStart w:id="52" w:name="_Toc233202822"/>
      <w:r w:rsidRPr="005D59A7">
        <w:rPr>
          <w:rFonts w:ascii="T" w:hAnsi="T" w:cs="Simplified Arabic"/>
          <w:color w:val="auto"/>
          <w:sz w:val="24"/>
          <w:szCs w:val="24"/>
          <w:rtl/>
        </w:rPr>
        <w:t xml:space="preserve">انطلاق </w:t>
      </w:r>
      <w:r w:rsidR="00FC55F4" w:rsidRPr="005D59A7">
        <w:rPr>
          <w:rFonts w:ascii="T" w:hAnsi="T" w:cs="Simplified Arabic"/>
          <w:color w:val="auto"/>
          <w:sz w:val="24"/>
          <w:szCs w:val="24"/>
          <w:rtl/>
        </w:rPr>
        <w:t>رؤية المملكة 2030</w:t>
      </w:r>
      <w:bookmarkEnd w:id="52"/>
    </w:p>
    <w:p w14:paraId="78E07276" w14:textId="77777777" w:rsidR="00FC55F4" w:rsidRPr="005D59A7" w:rsidRDefault="007A0C68" w:rsidP="00453B38">
      <w:pPr>
        <w:bidi/>
        <w:spacing w:line="360" w:lineRule="auto"/>
        <w:ind w:left="84" w:firstLine="720"/>
        <w:rPr>
          <w:rFonts w:ascii="T" w:hAnsi="T" w:cs="Simplified Arabic"/>
          <w:sz w:val="24"/>
          <w:szCs w:val="24"/>
          <w:rtl/>
        </w:rPr>
      </w:pPr>
      <w:r w:rsidRPr="005D59A7">
        <w:rPr>
          <w:rFonts w:ascii="T" w:hAnsi="T" w:cs="Simplified Arabic"/>
          <w:sz w:val="24"/>
          <w:szCs w:val="24"/>
          <w:rtl/>
        </w:rPr>
        <w:t>ب</w:t>
      </w:r>
      <w:r w:rsidR="00875D32" w:rsidRPr="005D59A7">
        <w:rPr>
          <w:rFonts w:ascii="T" w:hAnsi="T" w:cs="Simplified Arabic"/>
          <w:sz w:val="24"/>
          <w:szCs w:val="24"/>
          <w:rtl/>
        </w:rPr>
        <w:t>توجيه من خادم الحرمين الشريفين الملك سلمان بن عبدالعزيز آل سعود، 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ميلاديًا</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تمثل رؤية السعودية 2030 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 xml:space="preserve">صُمّمت الرؤية ليتم تنفيذها وفق ثلاثة مراحل رئيسية، تمتد كل مرحلة منها لخمسة سنوات، وتبنى على نجاحات المرحلة التي تسبقها؛ بدأت بإرساء أسس التحول عبر إصلاحات هيكلية واقتصادية ومالية واجتماعية واسعة النطاق، واستمرت في مرحلتها الثانية بدفع عجلة الإنجاز، والتركيز على تعظيم الفائدة من القطاعات ذات الأولوية، عبر استراتيجيات تنموية، فيما ستعزز المرحلة الثالثة من استدامة أثر التحول والاستفادة من فرص </w:t>
      </w:r>
      <w:r w:rsidR="00875D32" w:rsidRPr="005D59A7">
        <w:rPr>
          <w:rFonts w:ascii="T" w:hAnsi="T" w:cs="Simplified Arabic"/>
          <w:sz w:val="24"/>
          <w:szCs w:val="24"/>
          <w:rtl/>
        </w:rPr>
        <w:lastRenderedPageBreak/>
        <w:t>النمو الجديدة. بفضل ما حققته الرؤية حتى اليوم، تشهد المملكة أثر التحول على كافة الأصعدة، وتتولد فيها فرص النمو والفرص الاقتصادية بتسارع لا مثيل له، ويستمر التقدم في تحقيق أهداف رؤية السعودية 2030، من خلال برامج تحقيق الرؤية والاستراتيجيات الوطنية المتكاملة، والمشاريع الطموحة، لترسيخ أثرٍ دائمٍ يستمر إلى ما بعدها، ويدفع بالمزيد من التطورات والمنافع للمملكة العربية السعودية وشعبها. تشكل رؤية السعودية 2030 مستقبلًا تسير فيه الثقافة والابتكار جنبًا إلى جنب، يواكب التغيرات العالمية السريعة، ويستفيد منها، لتفتح المملكة آفاقًا أرحب لمواطنيها، والمقيمين على أراضيها، وزائريها من العالم أجمع</w:t>
      </w:r>
      <w:r w:rsidRPr="005D59A7">
        <w:rPr>
          <w:rFonts w:ascii="T" w:hAnsi="T" w:cs="Simplified Arabic"/>
          <w:sz w:val="24"/>
          <w:szCs w:val="24"/>
          <w:rtl/>
        </w:rPr>
        <w:t xml:space="preserve"> (</w:t>
      </w:r>
      <w:r w:rsidRPr="005D59A7">
        <w:rPr>
          <w:rFonts w:ascii="T" w:hAnsi="T" w:cs="Simplified Arabic"/>
          <w:sz w:val="24"/>
          <w:szCs w:val="24"/>
        </w:rPr>
        <w:t>Vision 2030, 2025</w:t>
      </w:r>
      <w:r w:rsidRPr="005D59A7">
        <w:rPr>
          <w:rFonts w:ascii="T" w:hAnsi="T" w:cs="Simplified Arabic"/>
          <w:sz w:val="24"/>
          <w:szCs w:val="24"/>
          <w:rtl/>
        </w:rPr>
        <w:t>).</w:t>
      </w:r>
    </w:p>
    <w:p w14:paraId="5594249C"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الأول, مجتمع حيوي</w:t>
      </w:r>
      <w:r w:rsidRPr="005D59A7">
        <w:rPr>
          <w:rFonts w:ascii="T" w:hAnsi="T" w:cs="Simplified Arabic"/>
          <w:sz w:val="24"/>
          <w:szCs w:val="24"/>
          <w:rtl/>
        </w:rPr>
        <w:t xml:space="preserve">: </w:t>
      </w:r>
    </w:p>
    <w:p w14:paraId="2F4D455F" w14:textId="77777777" w:rsidR="007A0C68" w:rsidRPr="005D59A7" w:rsidRDefault="008D7382"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تتحول رؤية السعودية 2030 إلى واقع في مجتمع نابض بالحياة.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 (</w:t>
      </w:r>
      <w:r w:rsidRPr="005D59A7">
        <w:rPr>
          <w:rFonts w:ascii="T" w:hAnsi="T" w:cs="Simplified Arabic"/>
          <w:sz w:val="24"/>
          <w:szCs w:val="24"/>
        </w:rPr>
        <w:t>Vision 2030, 2025</w:t>
      </w:r>
      <w:r w:rsidRPr="005D59A7">
        <w:rPr>
          <w:rFonts w:ascii="T" w:hAnsi="T" w:cs="Simplified Arabic"/>
          <w:sz w:val="24"/>
          <w:szCs w:val="24"/>
          <w:rtl/>
        </w:rPr>
        <w:t xml:space="preserve">). </w:t>
      </w:r>
    </w:p>
    <w:p w14:paraId="0A4179A2"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 xml:space="preserve">المحور الثاني، </w:t>
      </w:r>
      <w:r w:rsidR="00D35465" w:rsidRPr="005D59A7">
        <w:rPr>
          <w:rStyle w:val="Heading4Char"/>
          <w:rFonts w:ascii="T" w:hAnsi="T" w:cs="Simplified Arabic"/>
          <w:b w:val="0"/>
          <w:bCs w:val="0"/>
          <w:color w:val="auto"/>
          <w:sz w:val="24"/>
          <w:szCs w:val="24"/>
          <w:rtl/>
        </w:rPr>
        <w:t>اقتصاد مزدهر</w:t>
      </w:r>
      <w:r w:rsidR="00D35465" w:rsidRPr="005D59A7">
        <w:rPr>
          <w:rFonts w:ascii="T" w:hAnsi="T" w:cs="Simplified Arabic"/>
          <w:sz w:val="24"/>
          <w:szCs w:val="24"/>
          <w:rtl/>
        </w:rPr>
        <w:t>:</w:t>
      </w:r>
    </w:p>
    <w:p w14:paraId="0CE3F5C6" w14:textId="77777777" w:rsidR="00D35465" w:rsidRPr="005D59A7" w:rsidRDefault="00D35465"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مكنت الرؤية شباب الوطن من المشاركة الفاعلة في جميع القطاعات، ورسمت مستقبلاً واعداً يصنعونه بأيديهم، بعدما أعطت الأولوية للمبدعين، والموهوبين، ودعمت ثقافة الابتكار والمثابرة، ووفرت فرصأ مميزة للنمو، وعملت على توليد وظائف نوعية، مع استقطاب أفضل الخبرات العالمية. وفرت المملكة بيئة تنافسية جاذبة مفتوحة للأعمال، لبناء اقتصاد عالمي رائد، يعزز ريادة الأعمال، ويعيد هيكلة المدن الاقتصادية، ويسهم في إنشاء مناطق خاصة، ويطلق إمكانات سوق الطاقة، لجعله أكثر تنافسية، كما تستثمر المملكة من أجل مستقبل مشرق، بإطلاق العنان لقطاعات جديدة واعدة، وتخصيص المزيد من الخدمات الحكومية، </w:t>
      </w:r>
      <w:r w:rsidR="00717B72" w:rsidRPr="005D59A7">
        <w:rPr>
          <w:rFonts w:ascii="T" w:hAnsi="T" w:cs="Simplified Arabic"/>
          <w:sz w:val="24"/>
          <w:szCs w:val="24"/>
          <w:rtl/>
        </w:rPr>
        <w:t>لتنويع الاقتصاد وضمان استدامته</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20587011" w14:textId="77777777" w:rsidR="00D35465" w:rsidRPr="005D59A7" w:rsidRDefault="00D35465"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تقع المملكة في ملتقى الطرق بين ثلاث قارات، وتسهم الرؤية في أن يكون موقعها فاعلاً لتصبح مركزاُ رئيسياً للتجارة الدولية، وتطلق شراكات جديدة لتنمية الاقتصاد ودعم الشركات المحلية في تنمية الصادرات. </w:t>
      </w:r>
    </w:p>
    <w:p w14:paraId="7BD00C6C" w14:textId="77777777" w:rsidR="00D35465" w:rsidRPr="005D59A7" w:rsidRDefault="00D35465" w:rsidP="0072501F">
      <w:pPr>
        <w:pStyle w:val="ListParagraph"/>
        <w:bidi/>
        <w:spacing w:line="360" w:lineRule="auto"/>
        <w:ind w:left="84"/>
        <w:jc w:val="both"/>
        <w:rPr>
          <w:rFonts w:ascii="T" w:hAnsi="T" w:cs="Simplified Arabic"/>
          <w:sz w:val="24"/>
          <w:szCs w:val="24"/>
          <w:rtl/>
        </w:rPr>
      </w:pPr>
      <w:r w:rsidRPr="005D59A7">
        <w:rPr>
          <w:rFonts w:ascii="T" w:hAnsi="T" w:cs="Simplified Arabic"/>
          <w:sz w:val="24"/>
          <w:szCs w:val="24"/>
          <w:rtl/>
        </w:rPr>
        <w:t xml:space="preserve">تسعى رؤية السعودية 2030 عبر جهود عديدة ومتنوعة، للوصول إلى اقتصاد مزدهر، يقود نحو وطن طموح، ومجتمع حيوي. </w:t>
      </w:r>
    </w:p>
    <w:p w14:paraId="1CB5E863" w14:textId="77777777" w:rsidR="009E0C57" w:rsidRPr="005D59A7" w:rsidRDefault="001846BB"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الثالث، وطن طموح</w:t>
      </w:r>
      <w:r w:rsidRPr="005D59A7">
        <w:rPr>
          <w:rFonts w:ascii="T" w:hAnsi="T" w:cs="Simplified Arabic"/>
          <w:sz w:val="24"/>
          <w:szCs w:val="24"/>
          <w:rtl/>
        </w:rPr>
        <w:t xml:space="preserve">: </w:t>
      </w:r>
    </w:p>
    <w:p w14:paraId="09A0DCFC" w14:textId="77777777" w:rsidR="001846BB" w:rsidRPr="005D59A7" w:rsidRDefault="001846BB"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تعزز رؤية السعودية 2030 الطموحة من وجود حكومة فاعلة، تعمل بشفافية ومسؤولية، وتحفز على المواطنة، وتشجع المجتمع بجميع فئاته، من مواطنين وقطاع خاص وقطاع غير ربحي على القيام بدورهم، وأخذ زمام المبادرة لاستكشاف الفرص واستثمارها للنهوض بالوط</w:t>
      </w:r>
      <w:r w:rsidR="00717B72" w:rsidRPr="005D59A7">
        <w:rPr>
          <w:rFonts w:ascii="T" w:hAnsi="T" w:cs="Simplified Arabic"/>
          <w:sz w:val="24"/>
          <w:szCs w:val="24"/>
          <w:rtl/>
        </w:rPr>
        <w:t>ن، والمساهمة في تشكيل المستقبل</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7B4A654E" w14:textId="258BC4F3" w:rsidR="001846BB" w:rsidRPr="005D59A7" w:rsidRDefault="001846B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تتولى الحكومة مسؤوليات كبيرة تحتم المرونة في التعامل مع المتغيرات الحديثة والتحديات الجديدة، وتلتزم بالشفافية والخضوع </w:t>
      </w:r>
      <w:r w:rsidR="00E54263" w:rsidRPr="005D59A7">
        <w:rPr>
          <w:rFonts w:ascii="T" w:hAnsi="T" w:cs="Simplified Arabic"/>
          <w:sz w:val="24"/>
          <w:szCs w:val="24"/>
          <w:rtl/>
        </w:rPr>
        <w:t>للمسألة</w:t>
      </w:r>
      <w:r w:rsidRPr="005D59A7">
        <w:rPr>
          <w:rFonts w:ascii="T" w:hAnsi="T" w:cs="Simplified Arabic"/>
          <w:sz w:val="24"/>
          <w:szCs w:val="24"/>
          <w:rtl/>
        </w:rPr>
        <w:t>، وتعمل على إدارة مواردها المالية بكفاءة وفعالية، مع سرعة في الإنجاز ومراقبة للأداء. مهما كان القطاع الذي تعمل به، سيكون لديك دور مهم تؤديه للمساهمة في بناء وطنك، إذا كنت صاحب عمل أو تعمل في مؤسسة غير ربحية، أو في أي قطاع آخر، فأنت مدعو للمساهمة في تنمية هذا الوطن، وسيبقى القطاع غير الربحي جزءاً مهماً من مجتمعنا، يؤدي دوراً حاسماً في تلبية الاحت</w:t>
      </w:r>
      <w:r w:rsidR="00717B72" w:rsidRPr="005D59A7">
        <w:rPr>
          <w:rFonts w:ascii="T" w:hAnsi="T" w:cs="Simplified Arabic"/>
          <w:sz w:val="24"/>
          <w:szCs w:val="24"/>
          <w:rtl/>
        </w:rPr>
        <w:t>ياجات المجتمعية والرقي بالمجتمع</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 xml:space="preserve">). </w:t>
      </w:r>
      <w:r w:rsidRPr="005D59A7">
        <w:rPr>
          <w:rFonts w:ascii="T" w:hAnsi="T" w:cs="Simplified Arabic"/>
          <w:sz w:val="24"/>
          <w:szCs w:val="24"/>
          <w:rtl/>
        </w:rPr>
        <w:t xml:space="preserve"> </w:t>
      </w:r>
    </w:p>
    <w:p w14:paraId="668BB8C8" w14:textId="77777777" w:rsidR="00863EE1" w:rsidRPr="005D59A7" w:rsidRDefault="00717B72"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وقد انبثقت من هذه الرؤية ومحاورها الثلاث أحد عشر برنامجاً تكاملية من شأنها تحقيق الرؤية ومستهدفاتها. حيث تعد برامج تحقيق الرؤية القوة الدافعة لتحقيق رؤية السعودية 2030، وتعمل على ترجمتها </w:t>
      </w:r>
      <w:r w:rsidR="00863EE1" w:rsidRPr="005D59A7">
        <w:rPr>
          <w:rFonts w:ascii="T" w:hAnsi="T" w:cs="Simplified Arabic"/>
          <w:sz w:val="24"/>
          <w:szCs w:val="24"/>
          <w:rtl/>
        </w:rPr>
        <w:t>وتحويلها إلى واقع ملموس، يمثل كل برنامج خارطة طريق محددة، تتم موائمتها من خلال خطط التنفيذ المعتمدة، التي تسترشد بالأهداف المحددة مسبقاً ومؤشرات الأداء الرئيسية في غضون خمس سنوات. ومع تطور رؤية السعودية 2030، أعيدت هيكلة بعض برامج تحقيق الرؤية لتلبية الاحتياجات المتغيرة وعكس طموحات وقدرات المملكة وضمان تحقيق رؤية 2030 على أكمل وجه (</w:t>
      </w:r>
      <w:r w:rsidR="00863EE1" w:rsidRPr="005D59A7">
        <w:rPr>
          <w:rFonts w:ascii="T" w:hAnsi="T" w:cs="Simplified Arabic"/>
          <w:sz w:val="24"/>
          <w:szCs w:val="24"/>
        </w:rPr>
        <w:t>Vision 2030, 2025</w:t>
      </w:r>
      <w:r w:rsidR="00863EE1" w:rsidRPr="005D59A7">
        <w:rPr>
          <w:rFonts w:ascii="T" w:hAnsi="T" w:cs="Simplified Arabic"/>
          <w:sz w:val="24"/>
          <w:szCs w:val="24"/>
          <w:rtl/>
        </w:rPr>
        <w:t>).</w:t>
      </w:r>
    </w:p>
    <w:p w14:paraId="0B38766A" w14:textId="77777777" w:rsidR="00F87DA7" w:rsidRPr="005D59A7" w:rsidRDefault="00F87DA7" w:rsidP="0045581D">
      <w:pPr>
        <w:pStyle w:val="Heading2"/>
        <w:numPr>
          <w:ilvl w:val="2"/>
          <w:numId w:val="3"/>
        </w:numPr>
        <w:bidi/>
        <w:spacing w:line="360" w:lineRule="auto"/>
        <w:ind w:left="84" w:firstLine="0"/>
        <w:rPr>
          <w:rFonts w:ascii="T" w:hAnsi="T" w:cs="Simplified Arabic"/>
          <w:color w:val="auto"/>
          <w:sz w:val="24"/>
          <w:szCs w:val="24"/>
          <w:rtl/>
        </w:rPr>
      </w:pPr>
      <w:bookmarkStart w:id="53" w:name="_Toc233202823"/>
      <w:r w:rsidRPr="005D59A7">
        <w:rPr>
          <w:rFonts w:ascii="T" w:hAnsi="T" w:cs="Simplified Arabic"/>
          <w:color w:val="auto"/>
          <w:sz w:val="24"/>
          <w:szCs w:val="24"/>
          <w:rtl/>
        </w:rPr>
        <w:lastRenderedPageBreak/>
        <w:t>قطاع البيئة</w:t>
      </w:r>
      <w:r w:rsidR="0083758C" w:rsidRPr="005D59A7">
        <w:rPr>
          <w:rFonts w:ascii="T" w:hAnsi="T" w:cs="Simplified Arabic"/>
          <w:color w:val="auto"/>
          <w:sz w:val="24"/>
          <w:szCs w:val="24"/>
          <w:rtl/>
        </w:rPr>
        <w:t xml:space="preserve"> في المملكة العربية السعودية</w:t>
      </w:r>
      <w:bookmarkEnd w:id="53"/>
    </w:p>
    <w:p w14:paraId="10238669" w14:textId="77777777" w:rsidR="00F87DA7" w:rsidRPr="005D59A7" w:rsidRDefault="00F87DA7" w:rsidP="0045581D">
      <w:pPr>
        <w:pStyle w:val="Heading3"/>
        <w:numPr>
          <w:ilvl w:val="0"/>
          <w:numId w:val="9"/>
        </w:numPr>
        <w:bidi/>
        <w:spacing w:line="360" w:lineRule="auto"/>
        <w:ind w:left="84" w:firstLine="0"/>
        <w:rPr>
          <w:rFonts w:ascii="T" w:hAnsi="T" w:cs="Simplified Arabic"/>
          <w:color w:val="auto"/>
          <w:sz w:val="24"/>
          <w:szCs w:val="24"/>
          <w:rtl/>
        </w:rPr>
      </w:pPr>
      <w:bookmarkStart w:id="54" w:name="_Toc233202824"/>
      <w:r w:rsidRPr="005D59A7">
        <w:rPr>
          <w:rFonts w:ascii="T" w:hAnsi="T" w:cs="Simplified Arabic"/>
          <w:color w:val="auto"/>
          <w:sz w:val="24"/>
          <w:szCs w:val="24"/>
          <w:rtl/>
        </w:rPr>
        <w:t>علاقة الرؤية بالتحول بالقطاع في البيئي</w:t>
      </w:r>
      <w:bookmarkEnd w:id="54"/>
    </w:p>
    <w:p w14:paraId="63DB90A0"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البرامج المرتبطة بالتحول في القطاع البيئي</w:t>
      </w:r>
    </w:p>
    <w:p w14:paraId="79482BC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تعد البرامج التي لها ارتباط مباشر أو غير مباشر بالتحول في القطاع البيئي هي: برنامج التحول الوطني، وبرنامج التخصيص، وبرنامج صندوق الاستثمارات العامة.</w:t>
      </w:r>
    </w:p>
    <w:p w14:paraId="46EA2996"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أولاً: برنامج التحول الوطني</w:t>
      </w:r>
    </w:p>
    <w:p w14:paraId="5AF65E8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التحول الوطني البرنامج الرئيسي لإحداث تحول في القطاعات الحكومية بالمملكة من حيث الهيكلة المؤسسية والارتقاء بجودة الخدمات وتفعيل الحكومة الرقمية وغيرها. تشمل أهداف البرنامج ذات العلاقة بالقطاع البيئي: الحد من التلوث بمختلف أنواعه، وحماية البيئة من الأخطار الطبيعية، وحماية وتهيئة المناطق الطبيعية، وضمان استفادة مستدامة من الموارد المائية. كما يرتبط هدف جذب الاستثمارات الأجنبية والمحلية بشكل غير مباشر بتحسين القطاع ومشاركة القطاع الخاص (</w:t>
      </w:r>
      <w:r w:rsidRPr="005D59A7">
        <w:rPr>
          <w:rFonts w:ascii="T" w:hAnsi="T" w:cs="Simplified Arabic"/>
          <w:sz w:val="24"/>
          <w:szCs w:val="24"/>
        </w:rPr>
        <w:t>Vision 2030, 2025</w:t>
      </w:r>
      <w:r w:rsidRPr="005D59A7">
        <w:rPr>
          <w:rFonts w:ascii="T" w:hAnsi="T" w:cs="Simplified Arabic"/>
          <w:sz w:val="24"/>
          <w:szCs w:val="24"/>
          <w:rtl/>
        </w:rPr>
        <w:t>).</w:t>
      </w:r>
    </w:p>
    <w:p w14:paraId="3219FA2B"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ثانياً: برنامج التخصيص</w:t>
      </w:r>
    </w:p>
    <w:p w14:paraId="5887A60C"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التخصيص ركيزة أساسية في تطوير القطاعات الحكومية وجذب الاستثمارات لتعزيز مشاركة القطاع الخاص ورفع كفاءة الخدمات الحكومية المقدمة وتقليل التكاليف التشغيلية لها، وهو عامل مساند رئيسي لبرنامج التحول الوطني في تحقيق أهدافه.</w:t>
      </w:r>
    </w:p>
    <w:p w14:paraId="1E9B746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تشمل أبرز إنجازات البرنامج تأسيس المركز الوطني للتخصيص (</w:t>
      </w:r>
      <w:r w:rsidRPr="005D59A7">
        <w:rPr>
          <w:rFonts w:ascii="T" w:hAnsi="T" w:cs="Simplified Arabic"/>
          <w:sz w:val="24"/>
          <w:szCs w:val="24"/>
        </w:rPr>
        <w:t>NCP</w:t>
      </w:r>
      <w:r w:rsidRPr="005D59A7">
        <w:rPr>
          <w:rFonts w:ascii="T" w:hAnsi="T" w:cs="Simplified Arabic"/>
          <w:sz w:val="24"/>
          <w:szCs w:val="24"/>
          <w:rtl/>
        </w:rPr>
        <w:t xml:space="preserve">)، وهو الجهة المسؤولة عن وضع الأطر والتشريعات لكافة الجهات الحكومية في مشاركة القطاع الخاص. وقد قام المركز بإنشاء دليل مشاريع التخصيص الذي يشمل كافة الإجراءات التنظيمية والخطوات التنفيذية للجهات في طرح خدماتها للشراكة مع القطاع الخاص. ومن إنجازات البرنامج أيضاً تهيئة وفتح قطاعات حيوية أمام التخصيص، واعتماد نظام التخصيص، وإعداد الأطر والأدوات النظامية له. أما أبرز مبادراته فتتمثل في تطوير الأطر التشريعية العامة </w:t>
      </w:r>
      <w:r w:rsidRPr="005D59A7">
        <w:rPr>
          <w:rFonts w:ascii="T" w:hAnsi="T" w:cs="Simplified Arabic"/>
          <w:sz w:val="24"/>
          <w:szCs w:val="24"/>
          <w:rtl/>
        </w:rPr>
        <w:lastRenderedPageBreak/>
        <w:t>للتخصيص، وتمكين المركز الوطني للتخصيص، ومبادرات استراتيجيات القطاعات المستهدفة بالتخصيص وتهيئة المشاريع (</w:t>
      </w:r>
      <w:r w:rsidRPr="005D59A7">
        <w:rPr>
          <w:rFonts w:ascii="T" w:hAnsi="T" w:cs="Simplified Arabic"/>
          <w:sz w:val="24"/>
          <w:szCs w:val="24"/>
        </w:rPr>
        <w:t>Vision 2030, 2025</w:t>
      </w:r>
      <w:r w:rsidRPr="005D59A7">
        <w:rPr>
          <w:rFonts w:ascii="T" w:hAnsi="T" w:cs="Simplified Arabic"/>
          <w:sz w:val="24"/>
          <w:szCs w:val="24"/>
          <w:rtl/>
        </w:rPr>
        <w:t>).</w:t>
      </w:r>
    </w:p>
    <w:p w14:paraId="5E49F1B8"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ثالثاً: برنامج صندوق الاستثمارات العامة</w:t>
      </w:r>
    </w:p>
    <w:p w14:paraId="69BC3F0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صندوق الاستثمارات العامة ركيزة أساسية لاقتصاد المملكة، حيث يعنى بجذب وخلق وتمكين الاستثمارات المتنوعة لتحقيق عوائد مالية تدعم اقتصاد الدولة. تشمل أهدافه الاستراتيجية: تعظيم أصول الصندوق، وإطلاق قطاعات جديدة من خلاله، وتوطين التقنيات والمعرفة، وبناء شراكات اقتصادية استراتيجية (</w:t>
      </w:r>
      <w:r w:rsidRPr="005D59A7">
        <w:rPr>
          <w:rFonts w:ascii="T" w:hAnsi="T" w:cs="Simplified Arabic"/>
          <w:sz w:val="24"/>
          <w:szCs w:val="24"/>
        </w:rPr>
        <w:t>Vision 2030, 2025</w:t>
      </w:r>
      <w:r w:rsidRPr="005D59A7">
        <w:rPr>
          <w:rFonts w:ascii="T" w:hAnsi="T" w:cs="Simplified Arabic"/>
          <w:sz w:val="24"/>
          <w:szCs w:val="24"/>
          <w:rtl/>
        </w:rPr>
        <w:t>). وقد استثمر الصندوق في القطاع البيئي من خلال إنشاء والاستحواذ على شركات بيئية مثل الشركة السعودية لإعادة التدوير (</w:t>
      </w:r>
      <w:r w:rsidRPr="005D59A7">
        <w:rPr>
          <w:rFonts w:ascii="T" w:hAnsi="T" w:cs="Simplified Arabic"/>
          <w:sz w:val="24"/>
          <w:szCs w:val="24"/>
        </w:rPr>
        <w:t>SIRC</w:t>
      </w:r>
      <w:r w:rsidRPr="005D59A7">
        <w:rPr>
          <w:rFonts w:ascii="T" w:hAnsi="T" w:cs="Simplified Arabic"/>
          <w:sz w:val="24"/>
          <w:szCs w:val="24"/>
          <w:rtl/>
        </w:rPr>
        <w:t>)، مما يعكس التوجه نحو دعم الاستدامة البيئية عبر آليات الاستثمار والشراكة مع القطاع الخاص.</w:t>
      </w:r>
    </w:p>
    <w:p w14:paraId="5A592309" w14:textId="77777777" w:rsidR="00C31B82" w:rsidRPr="005D59A7" w:rsidRDefault="00917142" w:rsidP="0045581D">
      <w:pPr>
        <w:pStyle w:val="Heading3"/>
        <w:numPr>
          <w:ilvl w:val="0"/>
          <w:numId w:val="9"/>
        </w:numPr>
        <w:bidi/>
        <w:spacing w:line="360" w:lineRule="auto"/>
        <w:ind w:firstLine="720"/>
        <w:rPr>
          <w:rFonts w:ascii="T" w:hAnsi="T" w:cs="Simplified Arabic"/>
          <w:color w:val="auto"/>
          <w:sz w:val="24"/>
          <w:szCs w:val="24"/>
          <w:rtl/>
        </w:rPr>
      </w:pPr>
      <w:bookmarkStart w:id="55" w:name="_Toc233202825"/>
      <w:r w:rsidRPr="005D59A7">
        <w:rPr>
          <w:rFonts w:ascii="T" w:hAnsi="T" w:cs="Simplified Arabic"/>
          <w:color w:val="auto"/>
          <w:sz w:val="24"/>
          <w:szCs w:val="24"/>
          <w:rtl/>
        </w:rPr>
        <w:t>لمحة تاريخية عن قطاع البيئة في المملكة</w:t>
      </w:r>
      <w:bookmarkEnd w:id="55"/>
    </w:p>
    <w:p w14:paraId="28A208C2" w14:textId="1AFE1EFF" w:rsidR="00222118" w:rsidRPr="005D59A7" w:rsidRDefault="00222118" w:rsidP="00453B38">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منذ القدم ومن قبل انطلاق رؤية المملكة 2030، كان النشاط البيئي في المملكة محدوداً نوعاً ما وذلك لعدة أساب منها الطبيعة الجغرافية للمملكة وبيئتها وتضاريسها الصحراوية، اعتماد اقتصاد المملكة على النفط، ندرة مصادر المياه الطبيعية ومياه الأمطار، المناخ الجاف والعواصف الرملية، قلة وجود القطاع الخاص وبالتحديد في القطاع، وغيرها من الأسباب والتي أدت إلى غياب وجود جهة مؤسسية رئيسية للقطاع. </w:t>
      </w:r>
      <w:r w:rsidR="00453B38" w:rsidRPr="005D59A7">
        <w:rPr>
          <w:rFonts w:ascii="T" w:hAnsi="T" w:cs="Simplified Arabic"/>
          <w:sz w:val="24"/>
          <w:szCs w:val="24"/>
          <w:rtl/>
          <w:lang w:bidi="ar-EG"/>
        </w:rPr>
        <w:t>(</w:t>
      </w:r>
      <w:r w:rsidR="00453B38" w:rsidRPr="005D59A7">
        <w:rPr>
          <w:rFonts w:ascii="T" w:hAnsi="T" w:cs="Simplified Arabic"/>
          <w:sz w:val="24"/>
          <w:szCs w:val="24"/>
          <w:lang w:bidi="ar-EG"/>
        </w:rPr>
        <w:t>Ghanem,  Alamri, 2023</w:t>
      </w:r>
      <w:r w:rsidR="00453B38" w:rsidRPr="005D59A7">
        <w:rPr>
          <w:rFonts w:ascii="T" w:hAnsi="T" w:cs="Simplified Arabic"/>
          <w:sz w:val="24"/>
          <w:szCs w:val="24"/>
          <w:rtl/>
          <w:lang w:bidi="ar-EG"/>
        </w:rPr>
        <w:t>)</w:t>
      </w:r>
    </w:p>
    <w:p w14:paraId="6B36B0F2" w14:textId="77777777" w:rsidR="00351607" w:rsidRPr="005D59A7" w:rsidRDefault="0022211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كانت الجهة الرئيسية </w:t>
      </w:r>
      <w:r w:rsidR="007C62EE" w:rsidRPr="005D59A7">
        <w:rPr>
          <w:rFonts w:ascii="T" w:hAnsi="T" w:cs="Simplified Arabic"/>
          <w:sz w:val="24"/>
          <w:szCs w:val="24"/>
          <w:rtl/>
        </w:rPr>
        <w:t xml:space="preserve">المسؤولة هي مديرية الزراعة بوزارة المالية، وفي عام 1953م تم انشاء </w:t>
      </w:r>
      <w:r w:rsidRPr="005D59A7">
        <w:rPr>
          <w:rFonts w:ascii="T" w:hAnsi="T" w:cs="Simplified Arabic"/>
          <w:sz w:val="24"/>
          <w:szCs w:val="24"/>
          <w:rtl/>
        </w:rPr>
        <w:t xml:space="preserve">وزارة الزراعة </w:t>
      </w:r>
      <w:r w:rsidR="00351607" w:rsidRPr="005D59A7">
        <w:rPr>
          <w:rFonts w:ascii="T" w:hAnsi="T" w:cs="Simplified Arabic"/>
          <w:sz w:val="24"/>
          <w:szCs w:val="24"/>
          <w:rtl/>
        </w:rPr>
        <w:t>لتعنى لتهتم بالشؤون الزراعية والتنمية الريفية في المملكة. تلعب الوزارة دورًا أساسيًا في ضمان تطوير قطاع الزراعة بما يتناسب مع احتياجات المملكة في ظل تحديات مثل قلة المياه ومحدودية الأراضي الزراعية</w:t>
      </w:r>
      <w:r w:rsidR="00351607" w:rsidRPr="005D59A7">
        <w:rPr>
          <w:rFonts w:ascii="T" w:hAnsi="T" w:cs="Simplified Arabic"/>
          <w:sz w:val="24"/>
          <w:szCs w:val="24"/>
        </w:rPr>
        <w:t>.</w:t>
      </w:r>
      <w:r w:rsidR="00AF6F2B" w:rsidRPr="005D59A7">
        <w:rPr>
          <w:rFonts w:ascii="T" w:hAnsi="T" w:cs="Simplified Arabic"/>
          <w:sz w:val="24"/>
          <w:szCs w:val="24"/>
          <w:rtl/>
        </w:rPr>
        <w:t xml:space="preserve"> </w:t>
      </w:r>
      <w:r w:rsidR="00351607" w:rsidRPr="005D59A7">
        <w:rPr>
          <w:rFonts w:ascii="T" w:hAnsi="T" w:cs="Simplified Arabic"/>
          <w:sz w:val="24"/>
          <w:szCs w:val="24"/>
          <w:rtl/>
        </w:rPr>
        <w:t>وكانت مهامها متنوعة تشمل مجموعة من الأنشطة المتعلقة بتطوير القطاع الزراعي والموارد الطبيعية في المملكة. من أبرزها:</w:t>
      </w:r>
    </w:p>
    <w:p w14:paraId="2C2F3624" w14:textId="77777777" w:rsidR="00351607" w:rsidRPr="005D59A7" w:rsidRDefault="00351607" w:rsidP="0045581D">
      <w:pPr>
        <w:pStyle w:val="NormalWeb"/>
        <w:numPr>
          <w:ilvl w:val="0"/>
          <w:numId w:val="11"/>
        </w:numPr>
        <w:tabs>
          <w:tab w:val="clear" w:pos="1080"/>
        </w:tabs>
        <w:bidi/>
        <w:spacing w:line="360" w:lineRule="auto"/>
        <w:ind w:left="84" w:firstLine="0"/>
        <w:rPr>
          <w:rFonts w:ascii="T" w:hAnsi="T" w:cs="Simplified Arabic"/>
        </w:rPr>
      </w:pPr>
      <w:r w:rsidRPr="005D59A7">
        <w:rPr>
          <w:rStyle w:val="Strong"/>
          <w:rFonts w:ascii="T" w:hAnsi="T" w:cs="Simplified Arabic"/>
          <w:rtl/>
        </w:rPr>
        <w:t>تنمية القطاع الزراعي</w:t>
      </w:r>
      <w:r w:rsidRPr="005D59A7">
        <w:rPr>
          <w:rFonts w:ascii="T" w:hAnsi="T" w:cs="Simplified Arabic"/>
        </w:rPr>
        <w:t>:</w:t>
      </w:r>
    </w:p>
    <w:p w14:paraId="2A3CD13B"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العمل على تطوير الزراعة وتوفير البيئة المناسبة لتشجيع الإنتاج الزراعي</w:t>
      </w:r>
      <w:r w:rsidRPr="005D59A7">
        <w:rPr>
          <w:rFonts w:ascii="T" w:hAnsi="T" w:cs="Simplified Arabic"/>
        </w:rPr>
        <w:t>.</w:t>
      </w:r>
    </w:p>
    <w:p w14:paraId="7A338937"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lastRenderedPageBreak/>
        <w:t>تعزيز الإنتاج المحلي والمحافظة على الأمن الغذائي</w:t>
      </w:r>
      <w:r w:rsidRPr="005D59A7">
        <w:rPr>
          <w:rFonts w:ascii="T" w:hAnsi="T" w:cs="Simplified Arabic"/>
        </w:rPr>
        <w:t>.</w:t>
      </w:r>
    </w:p>
    <w:p w14:paraId="2623F97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تحقيق الأمن الغذائي</w:t>
      </w:r>
      <w:r w:rsidRPr="005D59A7">
        <w:rPr>
          <w:rFonts w:ascii="T" w:hAnsi="T" w:cs="Simplified Arabic"/>
        </w:rPr>
        <w:t>:</w:t>
      </w:r>
    </w:p>
    <w:p w14:paraId="4D2544A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دعم الأمن الغذائي من خلال تطوير مشاريع زراعية متنوعة</w:t>
      </w:r>
      <w:r w:rsidRPr="005D59A7">
        <w:rPr>
          <w:rFonts w:ascii="T" w:hAnsi="T" w:cs="Simplified Arabic"/>
        </w:rPr>
        <w:t>.</w:t>
      </w:r>
    </w:p>
    <w:p w14:paraId="29C6D9D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الزراعة المستدامة وتوفير المنتجات الزراعية بأسعار مناسبة</w:t>
      </w:r>
      <w:r w:rsidRPr="005D59A7">
        <w:rPr>
          <w:rFonts w:ascii="T" w:hAnsi="T" w:cs="Simplified Arabic"/>
        </w:rPr>
        <w:t>.</w:t>
      </w:r>
    </w:p>
    <w:p w14:paraId="4CA0B30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إصدار السياسات والتشريعات</w:t>
      </w:r>
      <w:r w:rsidRPr="005D59A7">
        <w:rPr>
          <w:rFonts w:ascii="T" w:hAnsi="T" w:cs="Simplified Arabic"/>
        </w:rPr>
        <w:t>:</w:t>
      </w:r>
    </w:p>
    <w:p w14:paraId="4C01C34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السياسات الزراعية والبيئية التي تدعم القطاع الزراعي وتوجهه نحو التنمية المستدامة</w:t>
      </w:r>
      <w:r w:rsidRPr="005D59A7">
        <w:rPr>
          <w:rFonts w:ascii="T" w:hAnsi="T" w:cs="Simplified Arabic"/>
        </w:rPr>
        <w:t>.</w:t>
      </w:r>
    </w:p>
    <w:p w14:paraId="7AAE490B"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التشريعات والأنظمة التي تساعد على تحسين الإنتاج الزراعي</w:t>
      </w:r>
      <w:r w:rsidRPr="005D59A7">
        <w:rPr>
          <w:rFonts w:ascii="T" w:hAnsi="T" w:cs="Simplified Arabic"/>
        </w:rPr>
        <w:t>.</w:t>
      </w:r>
    </w:p>
    <w:p w14:paraId="0B3536AA"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البحث والتطوير الزراعي</w:t>
      </w:r>
      <w:r w:rsidRPr="005D59A7">
        <w:rPr>
          <w:rFonts w:ascii="T" w:hAnsi="T" w:cs="Simplified Arabic"/>
        </w:rPr>
        <w:t>:</w:t>
      </w:r>
    </w:p>
    <w:p w14:paraId="137EE16A"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دعم البحوث العلمية في المجال الزراعي لاكتشاف سبل جديدة لزيادة الإنتاج وتحسين الجودة</w:t>
      </w:r>
      <w:r w:rsidRPr="005D59A7">
        <w:rPr>
          <w:rFonts w:ascii="T" w:hAnsi="T" w:cs="Simplified Arabic"/>
        </w:rPr>
        <w:t>.</w:t>
      </w:r>
    </w:p>
    <w:p w14:paraId="059A6831"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تطوير تقنيات الزراعة الحديثة مثل الزراعة المائية والذكاء الاصطناعي في الزراعة</w:t>
      </w:r>
      <w:r w:rsidRPr="005D59A7">
        <w:rPr>
          <w:rFonts w:ascii="T" w:hAnsi="T" w:cs="Simplified Arabic"/>
        </w:rPr>
        <w:t>.</w:t>
      </w:r>
    </w:p>
    <w:p w14:paraId="0F9BDA9F"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تطوير الثروة الحيوانية</w:t>
      </w:r>
      <w:r w:rsidRPr="005D59A7">
        <w:rPr>
          <w:rFonts w:ascii="T" w:hAnsi="T" w:cs="Simplified Arabic"/>
        </w:rPr>
        <w:t>:</w:t>
      </w:r>
    </w:p>
    <w:p w14:paraId="691ECFCA"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العناية بتطوير وتربية المواشي والماشية من خلال تحسين السلالات ورعايتها</w:t>
      </w:r>
      <w:r w:rsidRPr="005D59A7">
        <w:rPr>
          <w:rFonts w:ascii="T" w:hAnsi="T" w:cs="Simplified Arabic"/>
        </w:rPr>
        <w:t>.</w:t>
      </w:r>
    </w:p>
    <w:p w14:paraId="5E1663E7" w14:textId="054F6E32"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تنفيذ برامج للحد من الأمراض الحيوانية وتحسين صحة الحيوان</w:t>
      </w:r>
      <w:r w:rsidRPr="005D59A7">
        <w:rPr>
          <w:rFonts w:ascii="T" w:hAnsi="T" w:cs="Simplified Arabic"/>
        </w:rPr>
        <w:t>.</w:t>
      </w:r>
      <w:r w:rsidR="00453B38" w:rsidRPr="005D59A7">
        <w:rPr>
          <w:rFonts w:ascii="T" w:hAnsi="T" w:cs="Simplified Arabic"/>
        </w:rPr>
        <w:t xml:space="preserve"> (Al-Otaibi &amp; Elimam,2024</w:t>
      </w:r>
      <w:r w:rsidR="00453B38" w:rsidRPr="005D59A7">
        <w:rPr>
          <w:rFonts w:ascii="T" w:hAnsi="T" w:cs="Simplified Arabic"/>
          <w:rtl/>
        </w:rPr>
        <w:t>)</w:t>
      </w:r>
    </w:p>
    <w:p w14:paraId="1C0387D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إدارة الموارد الطبيعية</w:t>
      </w:r>
      <w:r w:rsidRPr="005D59A7">
        <w:rPr>
          <w:rFonts w:ascii="T" w:hAnsi="T" w:cs="Simplified Arabic"/>
        </w:rPr>
        <w:t>:</w:t>
      </w:r>
    </w:p>
    <w:p w14:paraId="4E7FCED3"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الحفاظ على الموارد المائية والاهتمام بالري الزراعي</w:t>
      </w:r>
      <w:r w:rsidRPr="005D59A7">
        <w:rPr>
          <w:rFonts w:ascii="T" w:hAnsi="T" w:cs="Simplified Arabic"/>
        </w:rPr>
        <w:t>.</w:t>
      </w:r>
    </w:p>
    <w:p w14:paraId="182E4E9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استخدام أساليب ري حديثة مثل الري بالتنقيط للحفاظ على المياه</w:t>
      </w:r>
      <w:r w:rsidRPr="005D59A7">
        <w:rPr>
          <w:rFonts w:ascii="T" w:hAnsi="T" w:cs="Simplified Arabic"/>
        </w:rPr>
        <w:t>.</w:t>
      </w:r>
    </w:p>
    <w:p w14:paraId="4388E951"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التعاون مع المنظمات الدولية</w:t>
      </w:r>
      <w:r w:rsidRPr="005D59A7">
        <w:rPr>
          <w:rFonts w:ascii="T" w:hAnsi="T" w:cs="Simplified Arabic"/>
        </w:rPr>
        <w:t>:</w:t>
      </w:r>
    </w:p>
    <w:p w14:paraId="766B9DB1"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التعاون مع المنظمات الدولية والإقليمية المعنية بالزراعة والبيئة</w:t>
      </w:r>
      <w:r w:rsidRPr="005D59A7">
        <w:rPr>
          <w:rFonts w:ascii="T" w:hAnsi="T" w:cs="Simplified Arabic"/>
        </w:rPr>
        <w:t>.</w:t>
      </w:r>
    </w:p>
    <w:p w14:paraId="198D8444"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المشاركة في الفعاليات الزراعية العالمية لعرض التطورات الزراعية في المملكة</w:t>
      </w:r>
      <w:r w:rsidRPr="005D59A7">
        <w:rPr>
          <w:rFonts w:ascii="T" w:hAnsi="T" w:cs="Simplified Arabic"/>
        </w:rPr>
        <w:t>.</w:t>
      </w:r>
    </w:p>
    <w:p w14:paraId="6517ED0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تشجيع الاستثمار الزراعي</w:t>
      </w:r>
      <w:r w:rsidRPr="005D59A7">
        <w:rPr>
          <w:rFonts w:ascii="T" w:hAnsi="T" w:cs="Simplified Arabic"/>
        </w:rPr>
        <w:t>:</w:t>
      </w:r>
    </w:p>
    <w:p w14:paraId="61EC4A6E"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تقديم الدعم والتسهيلات للمستثمرين في القطاع الزراعي</w:t>
      </w:r>
      <w:r w:rsidRPr="005D59A7">
        <w:rPr>
          <w:rFonts w:ascii="T" w:hAnsi="T" w:cs="Simplified Arabic"/>
        </w:rPr>
        <w:t>.</w:t>
      </w:r>
    </w:p>
    <w:p w14:paraId="40F03C98"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الاستثمار في التقنيات الحديثة والمشاريع الزراعية الكبيرة</w:t>
      </w:r>
      <w:r w:rsidRPr="005D59A7">
        <w:rPr>
          <w:rFonts w:ascii="T" w:hAnsi="T" w:cs="Simplified Arabic"/>
        </w:rPr>
        <w:t>.</w:t>
      </w:r>
    </w:p>
    <w:p w14:paraId="5B517CD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التوعية والتعليم الزراعي</w:t>
      </w:r>
      <w:r w:rsidRPr="005D59A7">
        <w:rPr>
          <w:rFonts w:ascii="T" w:hAnsi="T" w:cs="Simplified Arabic"/>
        </w:rPr>
        <w:t>:</w:t>
      </w:r>
    </w:p>
    <w:p w14:paraId="60302ED5"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lastRenderedPageBreak/>
        <w:t>نشر الوعي بين الفلاحين والمزارعين حول أفضل أساليب الزراعة والتقنيات الحديثة</w:t>
      </w:r>
      <w:r w:rsidRPr="005D59A7">
        <w:rPr>
          <w:rFonts w:ascii="T" w:hAnsi="T" w:cs="Simplified Arabic"/>
        </w:rPr>
        <w:t>.</w:t>
      </w:r>
    </w:p>
    <w:p w14:paraId="33818795" w14:textId="275B68D4"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تنظيم دورات تدريبية لتأهيل العاملين في القطاع الزراعي</w:t>
      </w:r>
      <w:r w:rsidRPr="005D59A7">
        <w:rPr>
          <w:rFonts w:ascii="T" w:hAnsi="T" w:cs="Simplified Arabic"/>
        </w:rPr>
        <w:t>.</w:t>
      </w:r>
      <w:r w:rsidR="00453B38" w:rsidRPr="005D59A7">
        <w:rPr>
          <w:rFonts w:ascii="T" w:hAnsi="T" w:cs="Simplified Arabic"/>
          <w:rtl/>
          <w:lang w:bidi="ar-EG"/>
        </w:rPr>
        <w:t xml:space="preserve"> </w:t>
      </w:r>
      <w:r w:rsidR="00453B38" w:rsidRPr="005D59A7">
        <w:rPr>
          <w:rFonts w:ascii="T" w:hAnsi="T" w:cs="Simplified Arabic"/>
          <w:rtl/>
        </w:rPr>
        <w:t>(</w:t>
      </w:r>
      <w:r w:rsidR="00453B38" w:rsidRPr="005D59A7">
        <w:rPr>
          <w:rFonts w:ascii="T" w:hAnsi="T" w:cs="Simplified Arabic"/>
        </w:rPr>
        <w:t>Emam, 2022</w:t>
      </w:r>
      <w:r w:rsidR="00453B38" w:rsidRPr="005D59A7">
        <w:rPr>
          <w:rFonts w:ascii="T" w:hAnsi="T" w:cs="Simplified Arabic"/>
          <w:rtl/>
        </w:rPr>
        <w:t>)</w:t>
      </w:r>
    </w:p>
    <w:p w14:paraId="0B3B2FA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مراقبة الإنتاج الزراعي</w:t>
      </w:r>
      <w:r w:rsidRPr="005D59A7">
        <w:rPr>
          <w:rFonts w:ascii="T" w:hAnsi="T" w:cs="Simplified Arabic"/>
        </w:rPr>
        <w:t>:</w:t>
      </w:r>
    </w:p>
    <w:p w14:paraId="78A0E3C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متابعة الإنتاج الزراعي المحلي وتقديم الدعم عند الحاجة</w:t>
      </w:r>
      <w:r w:rsidRPr="005D59A7">
        <w:rPr>
          <w:rFonts w:ascii="T" w:hAnsi="T" w:cs="Simplified Arabic"/>
        </w:rPr>
        <w:t>.</w:t>
      </w:r>
    </w:p>
    <w:p w14:paraId="4F501526"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مراقبة جودة المنتجات الزراعية وتوفير الدعم للمزارعين لتسويق منتجاتهم</w:t>
      </w:r>
      <w:r w:rsidRPr="005D59A7">
        <w:rPr>
          <w:rFonts w:ascii="T" w:hAnsi="T" w:cs="Simplified Arabic"/>
        </w:rPr>
        <w:t>.</w:t>
      </w:r>
    </w:p>
    <w:p w14:paraId="4E483F60" w14:textId="77777777" w:rsidR="00917142" w:rsidRPr="005D59A7" w:rsidRDefault="00AF6F2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w:t>
      </w:r>
      <w:r w:rsidR="0083758C" w:rsidRPr="005D59A7">
        <w:rPr>
          <w:rFonts w:ascii="T" w:hAnsi="T" w:cs="Simplified Arabic"/>
          <w:sz w:val="24"/>
          <w:szCs w:val="24"/>
          <w:rtl/>
        </w:rPr>
        <w:t>1980</w:t>
      </w:r>
      <w:r w:rsidRPr="005D59A7">
        <w:rPr>
          <w:rFonts w:ascii="T" w:hAnsi="T" w:cs="Simplified Arabic"/>
          <w:sz w:val="24"/>
          <w:szCs w:val="24"/>
          <w:rtl/>
        </w:rPr>
        <w:t xml:space="preserve">، تم </w:t>
      </w:r>
      <w:r w:rsidR="0083758C" w:rsidRPr="005D59A7">
        <w:rPr>
          <w:rFonts w:ascii="T" w:hAnsi="T" w:cs="Simplified Arabic"/>
          <w:sz w:val="24"/>
          <w:szCs w:val="24"/>
          <w:rtl/>
        </w:rPr>
        <w:t>تأسيس الهيئة العامة لحماية البيئة كأول جهة حكومية تُعنى بحماية البيئة في المملكة هدفها التركيز على الحفاظ على البيئة ومكافحة التلوث وذلك مع ازدياد النشاطات الصناعية والاقتصادية بالإضافة إلى أنشطة التنقيب عن النفط ومعالجته</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83758C" w:rsidRPr="005D59A7">
        <w:rPr>
          <w:rFonts w:ascii="T" w:hAnsi="T" w:cs="Simplified Arabic"/>
          <w:sz w:val="24"/>
          <w:szCs w:val="24"/>
          <w:rtl/>
        </w:rPr>
        <w:t>.</w:t>
      </w:r>
    </w:p>
    <w:p w14:paraId="44B42748" w14:textId="77777777" w:rsidR="00D50377" w:rsidRPr="005D59A7" w:rsidRDefault="00D50377"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وفي عام 2001،</w:t>
      </w:r>
      <w:r w:rsidR="0069634B" w:rsidRPr="005D59A7">
        <w:rPr>
          <w:rFonts w:ascii="T" w:hAnsi="T" w:cs="Simplified Arabic"/>
          <w:sz w:val="24"/>
          <w:szCs w:val="24"/>
          <w:rtl/>
        </w:rPr>
        <w:t xml:space="preserve"> تم إطلاق النظام العام للبيئة بموجب المرسوم الملكي رقم: م/34 وتاريخ 28/7/1422 وقرار مجلس الوزراء رقم 193 وتاريخ 7/7/1422 (</w:t>
      </w:r>
      <w:r w:rsidR="0069634B" w:rsidRPr="005D59A7">
        <w:rPr>
          <w:rFonts w:ascii="T" w:hAnsi="T" w:cs="Simplified Arabic"/>
          <w:sz w:val="24"/>
          <w:szCs w:val="24"/>
        </w:rPr>
        <w:t>Bureau of Experts, 2001</w:t>
      </w:r>
      <w:r w:rsidR="0069634B" w:rsidRPr="005D59A7">
        <w:rPr>
          <w:rFonts w:ascii="T" w:hAnsi="T" w:cs="Simplified Arabic"/>
          <w:sz w:val="24"/>
          <w:szCs w:val="24"/>
          <w:rtl/>
        </w:rPr>
        <w:t xml:space="preserve">). </w:t>
      </w:r>
      <w:r w:rsidR="00687FAF" w:rsidRPr="005D59A7">
        <w:rPr>
          <w:rFonts w:ascii="T" w:hAnsi="T" w:cs="Simplified Arabic"/>
          <w:sz w:val="24"/>
          <w:szCs w:val="24"/>
          <w:rtl/>
        </w:rPr>
        <w:t>ويقصد بـه الإطار القانوني والتنظيمي الذي يهدف إلى حماية البيئة، ومنع التلوث، وتحقيق التنمية المستدامة بما يوازن بين التنمية الاقتصادية والمحافظة على الموارد الطبيعية</w:t>
      </w:r>
      <w:r w:rsidR="00687FAF" w:rsidRPr="005D59A7">
        <w:rPr>
          <w:rFonts w:ascii="T" w:hAnsi="T" w:cs="Simplified Arabic"/>
          <w:sz w:val="24"/>
          <w:szCs w:val="24"/>
        </w:rPr>
        <w:t>.</w:t>
      </w:r>
      <w:r w:rsidR="00687FAF" w:rsidRPr="005D59A7">
        <w:rPr>
          <w:rFonts w:ascii="T" w:hAnsi="T" w:cs="Simplified Arabic"/>
          <w:sz w:val="24"/>
          <w:szCs w:val="24"/>
          <w:rtl/>
        </w:rPr>
        <w:t xml:space="preserve"> ويهدف النظام إلى حماية البيئة من التلوث بجميع أنواعه (هواء، ماء، تربة)، الحفاظ على الموارد الطبيعية، ضمان استخدام الموارد بشكل مستدام، حماية صحة الإنسان والكائنات الحية، إلزام الأفراد والمنشئات بالمعايير البيئية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687FAF" w:rsidRPr="005D59A7">
        <w:rPr>
          <w:rFonts w:ascii="T" w:hAnsi="T" w:cs="Simplified Arabic"/>
          <w:sz w:val="24"/>
          <w:szCs w:val="24"/>
          <w:rtl/>
        </w:rPr>
        <w:t xml:space="preserve">. </w:t>
      </w:r>
    </w:p>
    <w:p w14:paraId="4E53D417" w14:textId="77777777" w:rsidR="00687FAF" w:rsidRPr="005D59A7" w:rsidRDefault="00687FA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يلزم النظام جميع الأفراد والمنشئات بالحصول على تصاريح بيئية قبل ممارسة أي نشاط مؤثر على البيئة، الالتزام بالمعايير البيئية المعتمدة، إجراء تقييم الأثر البيئي للمشاريع الكبرى، عدم تصريف الملوثات في الهواء أو المياه أو التربة، التعامل الآمن مع النفايات الخطرة، وغيرها من الأنظمة والقوانين والتشريعات التي تلزم المخالفين بغرامات مالية والتعرض لإيقاف النشاط مؤقتاً أو بشكل دائم وإلزام المخالف بإزالة الضرر البيئي المحدث على نفقته الخاصة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Pr="005D59A7">
        <w:rPr>
          <w:rFonts w:ascii="T" w:hAnsi="T" w:cs="Simplified Arabic"/>
          <w:sz w:val="24"/>
          <w:szCs w:val="24"/>
          <w:rtl/>
        </w:rPr>
        <w:t xml:space="preserve">. </w:t>
      </w:r>
    </w:p>
    <w:p w14:paraId="00FC5585" w14:textId="77777777" w:rsidR="00687FAF" w:rsidRPr="005D59A7" w:rsidRDefault="001F441A"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2016، تم دمج عدد من الخدمات المدنية الأساسية وإعادة تسمية وزارة البيئة بمسمى وزارة البيئة والمياه والزراعة وتم من خلال ذلك التوسع في القطاع البيئي ونطاق تطبيقه. تم بعدها إعادة تحديث النظام العام للبيئة وإعادة تسمية الجهات المعنية مثل تحول الرئاسة العامة للأرصاد وحماية البيئة إلى الهيئة العامة </w:t>
      </w:r>
      <w:r w:rsidRPr="005D59A7">
        <w:rPr>
          <w:rFonts w:ascii="T" w:hAnsi="T" w:cs="Simplified Arabic"/>
          <w:sz w:val="24"/>
          <w:szCs w:val="24"/>
          <w:rtl/>
        </w:rPr>
        <w:lastRenderedPageBreak/>
        <w:t xml:space="preserve">للأرصاد وحماية البيئة، وصولاً إلى إطلاق الإستراتيجية الوطنية للبيئة التي اقتضت إلغاء الهيئة وإنشاء خمسة مراكز بيئية متخصصة إضافةً إلى صندوق البيئة وإطلاق مشروع خصخصة القطاع ومشاركة القطاع الخاص من قبل الوزارة وغيرها من الإجراءات التنظيمية والمؤسسية التي من شأنها إحداث نقلة نوعية في القطاع تواكب التطور والنمو الصناعي والسكاني والتجاري الذي تحذو نحوه الدولة </w:t>
      </w:r>
      <w:r w:rsidR="00313D83" w:rsidRPr="005D59A7">
        <w:rPr>
          <w:rFonts w:ascii="T" w:hAnsi="T" w:cs="Simplified Arabic"/>
          <w:sz w:val="24"/>
          <w:szCs w:val="24"/>
          <w:rtl/>
        </w:rPr>
        <w:t xml:space="preserve">تماشياً مع رؤيتها 2030. </w:t>
      </w:r>
    </w:p>
    <w:p w14:paraId="6B6976A7" w14:textId="77777777" w:rsidR="00313D83" w:rsidRPr="005D59A7" w:rsidRDefault="00A40B26" w:rsidP="0045581D">
      <w:pPr>
        <w:pStyle w:val="Heading3"/>
        <w:numPr>
          <w:ilvl w:val="0"/>
          <w:numId w:val="9"/>
        </w:numPr>
        <w:bidi/>
        <w:spacing w:line="360" w:lineRule="auto"/>
        <w:ind w:left="84" w:firstLine="720"/>
        <w:rPr>
          <w:rFonts w:ascii="T" w:hAnsi="T" w:cs="Simplified Arabic"/>
          <w:color w:val="auto"/>
          <w:sz w:val="24"/>
          <w:szCs w:val="24"/>
          <w:rtl/>
        </w:rPr>
      </w:pPr>
      <w:bookmarkStart w:id="56" w:name="_Toc233202826"/>
      <w:r w:rsidRPr="005D59A7">
        <w:rPr>
          <w:rFonts w:ascii="T" w:hAnsi="T" w:cs="Simplified Arabic"/>
          <w:color w:val="auto"/>
          <w:sz w:val="24"/>
          <w:szCs w:val="24"/>
          <w:rtl/>
        </w:rPr>
        <w:t>نبذة عن الجهات المتخصصة</w:t>
      </w:r>
      <w:bookmarkEnd w:id="56"/>
    </w:p>
    <w:p w14:paraId="47F9CC5F" w14:textId="77777777" w:rsidR="00A40B26" w:rsidRPr="005D59A7" w:rsidRDefault="00601B8A" w:rsidP="0045581D">
      <w:pPr>
        <w:pStyle w:val="Heading4"/>
        <w:numPr>
          <w:ilvl w:val="0"/>
          <w:numId w:val="12"/>
        </w:numPr>
        <w:bidi/>
        <w:spacing w:line="360" w:lineRule="auto"/>
        <w:ind w:left="84"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وزارة البيئة والمياه والزراعة</w:t>
      </w:r>
      <w:r w:rsidR="008E342C" w:rsidRPr="005D59A7">
        <w:rPr>
          <w:rFonts w:ascii="T" w:hAnsi="T" w:cs="Simplified Arabic"/>
          <w:b w:val="0"/>
          <w:bCs w:val="0"/>
          <w:color w:val="auto"/>
          <w:sz w:val="24"/>
          <w:szCs w:val="24"/>
        </w:rPr>
        <w:t xml:space="preserve"> </w:t>
      </w:r>
      <w:r w:rsidR="008E342C" w:rsidRPr="005D59A7">
        <w:rPr>
          <w:rFonts w:ascii="T" w:hAnsi="T" w:cs="Simplified Arabic"/>
          <w:b w:val="0"/>
          <w:bCs w:val="0"/>
          <w:i w:val="0"/>
          <w:iCs w:val="0"/>
          <w:color w:val="auto"/>
          <w:sz w:val="24"/>
          <w:szCs w:val="24"/>
        </w:rPr>
        <w:t xml:space="preserve">  </w:t>
      </w:r>
      <w:r w:rsidR="00AE1FA7" w:rsidRPr="005D59A7">
        <w:rPr>
          <w:rFonts w:ascii="T" w:hAnsi="T" w:cs="Simplified Arabic"/>
          <w:b w:val="0"/>
          <w:bCs w:val="0"/>
          <w:i w:val="0"/>
          <w:iCs w:val="0"/>
          <w:color w:val="auto"/>
          <w:sz w:val="24"/>
          <w:szCs w:val="24"/>
        </w:rPr>
        <w:t xml:space="preserve">  </w:t>
      </w:r>
    </w:p>
    <w:p w14:paraId="55222683" w14:textId="77777777" w:rsidR="00601B8A" w:rsidRPr="005D59A7" w:rsidRDefault="00601B8A"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المهام الرئيسية تشمل: </w:t>
      </w:r>
    </w:p>
    <w:p w14:paraId="1A2C4CC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الإشراف على شئون البيئة والمياه والزراعة في المملكة وتطويرها نحو الأفضل</w:t>
      </w:r>
      <w:r w:rsidR="00D27F89" w:rsidRPr="005D59A7">
        <w:rPr>
          <w:rFonts w:ascii="T" w:hAnsi="T" w:cs="Simplified Arabic"/>
          <w:sz w:val="24"/>
          <w:szCs w:val="24"/>
          <w:rtl/>
        </w:rPr>
        <w:t>.</w:t>
      </w:r>
    </w:p>
    <w:p w14:paraId="308B2CD0"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إرشاد المزارعين لأساليب الزراعة الحديثة</w:t>
      </w:r>
      <w:r w:rsidR="00D27F89" w:rsidRPr="005D59A7">
        <w:rPr>
          <w:rFonts w:ascii="T" w:hAnsi="T" w:cs="Simplified Arabic"/>
          <w:sz w:val="24"/>
          <w:szCs w:val="24"/>
          <w:rtl/>
        </w:rPr>
        <w:t>.</w:t>
      </w:r>
    </w:p>
    <w:p w14:paraId="66430752"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الغطاء النباتي من مراعي طبيعية أو مروية وغابات وتنميتها وتشجيره</w:t>
      </w:r>
      <w:r w:rsidR="00D27F89" w:rsidRPr="005D59A7">
        <w:rPr>
          <w:rFonts w:ascii="T" w:hAnsi="T" w:cs="Simplified Arabic"/>
          <w:sz w:val="24"/>
          <w:szCs w:val="24"/>
          <w:rtl/>
        </w:rPr>
        <w:t>.</w:t>
      </w:r>
    </w:p>
    <w:p w14:paraId="347CB3E0"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توفير مياه الري الصالحة للزراعة عن طريق الآبار والسدود والعقوم</w:t>
      </w:r>
      <w:r w:rsidR="00D27F89" w:rsidRPr="005D59A7">
        <w:rPr>
          <w:rFonts w:ascii="T" w:hAnsi="T" w:cs="Simplified Arabic"/>
          <w:sz w:val="24"/>
          <w:szCs w:val="24"/>
          <w:rtl/>
        </w:rPr>
        <w:t>.</w:t>
      </w:r>
    </w:p>
    <w:p w14:paraId="2F0D5F1C"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زيادة إمكانية إنتاج الأغذية محلياً</w:t>
      </w:r>
      <w:r w:rsidR="00D27F89" w:rsidRPr="005D59A7">
        <w:rPr>
          <w:rFonts w:ascii="T" w:hAnsi="T" w:cs="Simplified Arabic"/>
          <w:sz w:val="24"/>
          <w:szCs w:val="24"/>
          <w:rtl/>
        </w:rPr>
        <w:t>.</w:t>
      </w:r>
    </w:p>
    <w:p w14:paraId="2F067AA2"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تنمية موارد الأراضي والقوى العاملة الزراعية</w:t>
      </w:r>
      <w:r w:rsidR="00D27F89" w:rsidRPr="005D59A7">
        <w:rPr>
          <w:rFonts w:ascii="T" w:hAnsi="T" w:cs="Simplified Arabic"/>
          <w:sz w:val="24"/>
          <w:szCs w:val="24"/>
          <w:rtl/>
        </w:rPr>
        <w:t>.</w:t>
      </w:r>
    </w:p>
    <w:p w14:paraId="269B5AF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إجراء الأبحاث التطبيقية التي تستهدف إدخال الأساليب المتطورة في الحقل الزراعي والحيواني والسمكي</w:t>
      </w:r>
      <w:r w:rsidR="00D27F89" w:rsidRPr="005D59A7">
        <w:rPr>
          <w:rFonts w:ascii="T" w:hAnsi="T" w:cs="Simplified Arabic"/>
          <w:sz w:val="24"/>
          <w:szCs w:val="24"/>
          <w:rtl/>
        </w:rPr>
        <w:t>.</w:t>
      </w:r>
    </w:p>
    <w:p w14:paraId="30FC8AF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واستثمار وتطوير الثروات المائية الحية (الصيد في البحار، الإستزراع السمكي) إجراء مسح استطلاعي لمناطق تجمعات الأسماك في البحار وكمياتها ونشر هذه المعلومات للمستفيدين والصيادين وتشجيع استخدام التقنية الحديثة لصيد الأسماك</w:t>
      </w:r>
      <w:r w:rsidR="00D27F89" w:rsidRPr="005D59A7">
        <w:rPr>
          <w:rFonts w:ascii="T" w:hAnsi="T" w:cs="Simplified Arabic"/>
          <w:sz w:val="24"/>
          <w:szCs w:val="24"/>
          <w:rtl/>
        </w:rPr>
        <w:t>.</w:t>
      </w:r>
    </w:p>
    <w:p w14:paraId="636C278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تقديم الإعانات المادية للمزارعين ومنح المعدات والقروض بالتنسيق مع صندوق التنمية الزراعية</w:t>
      </w:r>
      <w:r w:rsidR="00D27F89" w:rsidRPr="005D59A7">
        <w:rPr>
          <w:rFonts w:ascii="T" w:hAnsi="T" w:cs="Simplified Arabic"/>
          <w:sz w:val="24"/>
          <w:szCs w:val="24"/>
          <w:rtl/>
        </w:rPr>
        <w:t>.</w:t>
      </w:r>
    </w:p>
    <w:p w14:paraId="473470C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تهيئة الأراضي البور الصالحة للزراعة ومنحها للمواطنين لزراعتها</w:t>
      </w:r>
      <w:r w:rsidR="00D27F89" w:rsidRPr="005D59A7">
        <w:rPr>
          <w:rFonts w:ascii="T" w:hAnsi="T" w:cs="Simplified Arabic"/>
          <w:sz w:val="24"/>
          <w:szCs w:val="24"/>
          <w:rtl/>
        </w:rPr>
        <w:t>.</w:t>
      </w:r>
    </w:p>
    <w:p w14:paraId="41D7783B"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البيئة الزراعية البرية والبيئة المائية للثروة السمكية</w:t>
      </w:r>
      <w:r w:rsidR="00D27F89" w:rsidRPr="005D59A7">
        <w:rPr>
          <w:rFonts w:ascii="T" w:hAnsi="T" w:cs="Simplified Arabic"/>
          <w:sz w:val="24"/>
          <w:szCs w:val="24"/>
          <w:rtl/>
        </w:rPr>
        <w:t>.</w:t>
      </w:r>
    </w:p>
    <w:p w14:paraId="022C458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التشجيع على تصدير الفائض من الإنتاج الزراعي والحيواني والسمكي لخارج المملكة</w:t>
      </w:r>
      <w:r w:rsidR="00D27F89" w:rsidRPr="005D59A7">
        <w:rPr>
          <w:rFonts w:ascii="T" w:hAnsi="T" w:cs="Simplified Arabic"/>
          <w:sz w:val="24"/>
          <w:szCs w:val="24"/>
          <w:rtl/>
        </w:rPr>
        <w:t>.</w:t>
      </w:r>
    </w:p>
    <w:p w14:paraId="77741A9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العمل على تنمية الزراعة والثروة الحيوانية والسمكية والصناعات المتعلقة بها</w:t>
      </w:r>
      <w:r w:rsidR="00D27F89" w:rsidRPr="005D59A7">
        <w:rPr>
          <w:rFonts w:ascii="T" w:hAnsi="T" w:cs="Simplified Arabic"/>
          <w:sz w:val="24"/>
          <w:szCs w:val="24"/>
          <w:rtl/>
        </w:rPr>
        <w:t>.</w:t>
      </w:r>
    </w:p>
    <w:p w14:paraId="3C2C144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تحقيق الاكتفاء الذاتي من المنتجات الغذائية والنباتية والحيوانية ومشتقاتها</w:t>
      </w:r>
    </w:p>
    <w:p w14:paraId="0213C6D6"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تصميم وتنفيذ مشروعات الري والصرف وتشغيلها وصيانتها وتوزيع مياه الري لتشجيع كفاءة استخدام هذه الموارد</w:t>
      </w:r>
      <w:r w:rsidR="00D27F89" w:rsidRPr="005D59A7">
        <w:rPr>
          <w:rFonts w:ascii="T" w:hAnsi="T" w:cs="Simplified Arabic"/>
          <w:sz w:val="24"/>
          <w:szCs w:val="24"/>
          <w:rtl/>
        </w:rPr>
        <w:t>.</w:t>
      </w:r>
    </w:p>
    <w:p w14:paraId="4BBFB2B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الثروات الزراعية والحيوانية عن طريق تطبيق أنظمة الحجر الحيواني والنباتي على منافذ المملكة البرية والجوية والبحرية</w:t>
      </w:r>
      <w:r w:rsidR="00D27F89" w:rsidRPr="005D59A7">
        <w:rPr>
          <w:rFonts w:ascii="T" w:hAnsi="T" w:cs="Simplified Arabic"/>
          <w:sz w:val="24"/>
          <w:szCs w:val="24"/>
          <w:rtl/>
        </w:rPr>
        <w:t>.</w:t>
      </w:r>
    </w:p>
    <w:p w14:paraId="14371DED" w14:textId="77777777" w:rsidR="00D27F89" w:rsidRPr="005D59A7" w:rsidRDefault="00D27F89"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الرؤية: بيئة وموارد طبيعية مستدامة تحقق الأمن المائي، وتسهم في الأمن الغذائي، وتحسين جودة الحياة. </w:t>
      </w:r>
    </w:p>
    <w:p w14:paraId="2183CD9D" w14:textId="77777777" w:rsidR="00D27F89" w:rsidRPr="005D59A7" w:rsidRDefault="00D27F89" w:rsidP="004D5CF5">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الرسالة: السعي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 </w:t>
      </w:r>
    </w:p>
    <w:p w14:paraId="5873C292" w14:textId="77777777" w:rsidR="00D27F89" w:rsidRPr="005D59A7" w:rsidRDefault="00D27F89" w:rsidP="00861DC2">
      <w:pPr>
        <w:bidi/>
        <w:spacing w:line="360" w:lineRule="auto"/>
        <w:ind w:left="1440" w:firstLine="720"/>
        <w:rPr>
          <w:rFonts w:ascii="T" w:hAnsi="T" w:cs="Simplified Arabic"/>
          <w:sz w:val="24"/>
          <w:szCs w:val="24"/>
          <w:rtl/>
        </w:rPr>
      </w:pPr>
      <w:r w:rsidRPr="005D59A7">
        <w:rPr>
          <w:rFonts w:ascii="T" w:hAnsi="T" w:cs="Simplified Arabic"/>
          <w:noProof/>
          <w:sz w:val="24"/>
          <w:szCs w:val="24"/>
        </w:rPr>
        <w:drawing>
          <wp:inline distT="0" distB="0" distL="0" distR="0" wp14:anchorId="6EF310C3" wp14:editId="7DD706DE">
            <wp:extent cx="3590925" cy="3162300"/>
            <wp:effectExtent l="19050" t="0" r="9525" b="0"/>
            <wp:docPr id="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590925" cy="3162300"/>
                    </a:xfrm>
                    <a:prstGeom prst="rect">
                      <a:avLst/>
                    </a:prstGeom>
                    <a:noFill/>
                    <a:ln w="9525">
                      <a:noFill/>
                      <a:miter lim="800000"/>
                      <a:headEnd/>
                      <a:tailEnd/>
                    </a:ln>
                  </pic:spPr>
                </pic:pic>
              </a:graphicData>
            </a:graphic>
          </wp:inline>
        </w:drawing>
      </w:r>
    </w:p>
    <w:p w14:paraId="6BFC4044" w14:textId="02C9C497" w:rsidR="00D27F89" w:rsidRPr="005D59A7" w:rsidRDefault="00D27F89" w:rsidP="00861DC2">
      <w:pPr>
        <w:pStyle w:val="Caption"/>
        <w:bidi/>
        <w:spacing w:line="360" w:lineRule="auto"/>
        <w:ind w:firstLine="720"/>
        <w:jc w:val="center"/>
        <w:rPr>
          <w:rFonts w:ascii="T" w:hAnsi="T" w:cs="Simplified Arabic"/>
          <w:color w:val="auto"/>
          <w:sz w:val="24"/>
          <w:szCs w:val="24"/>
          <w:rtl/>
        </w:rPr>
      </w:pPr>
      <w:bookmarkStart w:id="57" w:name="_Toc225991167"/>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الرؤية والرسالة (وزارة البيئة والمياه والزراعة، 2026)</w:t>
      </w:r>
      <w:bookmarkEnd w:id="57"/>
    </w:p>
    <w:p w14:paraId="4006ECE4" w14:textId="77777777" w:rsidR="002D33E8" w:rsidRDefault="002D33E8" w:rsidP="00861DC2">
      <w:pPr>
        <w:bidi/>
        <w:spacing w:line="360" w:lineRule="auto"/>
        <w:ind w:firstLine="720"/>
        <w:rPr>
          <w:rFonts w:ascii="T" w:hAnsi="T" w:cs="Simplified Arabic"/>
          <w:sz w:val="24"/>
          <w:szCs w:val="24"/>
        </w:rPr>
      </w:pPr>
    </w:p>
    <w:p w14:paraId="473A59C1" w14:textId="2310367C" w:rsidR="00D27F89" w:rsidRPr="005D59A7" w:rsidRDefault="00D27F89" w:rsidP="002D33E8">
      <w:pPr>
        <w:bidi/>
        <w:spacing w:line="360" w:lineRule="auto"/>
        <w:ind w:firstLine="720"/>
        <w:rPr>
          <w:rFonts w:ascii="T" w:hAnsi="T" w:cs="Simplified Arabic"/>
          <w:sz w:val="24"/>
          <w:szCs w:val="24"/>
          <w:rtl/>
        </w:rPr>
      </w:pPr>
      <w:r w:rsidRPr="005D59A7">
        <w:rPr>
          <w:rFonts w:ascii="T" w:hAnsi="T" w:cs="Simplified Arabic"/>
          <w:sz w:val="24"/>
          <w:szCs w:val="24"/>
          <w:rtl/>
        </w:rPr>
        <w:lastRenderedPageBreak/>
        <w:t xml:space="preserve">أهداف الوزارة: </w:t>
      </w:r>
    </w:p>
    <w:p w14:paraId="24920E11"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المحافظة على البيئة والموارد الطبيعية وتنميتها المستدامة</w:t>
      </w:r>
      <w:r w:rsidRPr="005D59A7">
        <w:rPr>
          <w:rFonts w:ascii="T" w:hAnsi="T" w:cs="Simplified Arabic"/>
          <w:sz w:val="24"/>
          <w:szCs w:val="24"/>
        </w:rPr>
        <w:t>.</w:t>
      </w:r>
    </w:p>
    <w:p w14:paraId="12326A8F"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المساهمة في تحقيق الأمن الغذائي المستدام</w:t>
      </w:r>
      <w:r w:rsidRPr="005D59A7">
        <w:rPr>
          <w:rFonts w:ascii="T" w:hAnsi="T" w:cs="Simplified Arabic"/>
          <w:sz w:val="24"/>
          <w:szCs w:val="24"/>
        </w:rPr>
        <w:t>.</w:t>
      </w:r>
    </w:p>
    <w:p w14:paraId="332EB542"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خدمات ومنتجات مستدامة ذات جودة عالية</w:t>
      </w:r>
      <w:r w:rsidRPr="005D59A7">
        <w:rPr>
          <w:rFonts w:ascii="T" w:hAnsi="T" w:cs="Simplified Arabic"/>
          <w:sz w:val="24"/>
          <w:szCs w:val="24"/>
        </w:rPr>
        <w:t>.</w:t>
      </w:r>
    </w:p>
    <w:p w14:paraId="21EC7F7E"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تحقيق الأمن المائي</w:t>
      </w:r>
      <w:r w:rsidRPr="005D59A7">
        <w:rPr>
          <w:rFonts w:ascii="T" w:hAnsi="T" w:cs="Simplified Arabic"/>
          <w:sz w:val="24"/>
          <w:szCs w:val="24"/>
        </w:rPr>
        <w:t>.</w:t>
      </w:r>
    </w:p>
    <w:p w14:paraId="08E3C870"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التنمية المستدامة للقطاعات ذات الميز النسبية</w:t>
      </w:r>
      <w:r w:rsidRPr="005D59A7">
        <w:rPr>
          <w:rFonts w:ascii="T" w:hAnsi="T" w:cs="Simplified Arabic"/>
          <w:sz w:val="24"/>
          <w:szCs w:val="24"/>
        </w:rPr>
        <w:t>.</w:t>
      </w:r>
    </w:p>
    <w:p w14:paraId="258D24FD"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تفعيل مشاركة القطاع الخاص ودور الجمعيات والمؤسسات غير الربحية.</w:t>
      </w:r>
    </w:p>
    <w:p w14:paraId="32D0CF82" w14:textId="77777777" w:rsidR="00D27F89" w:rsidRPr="005D59A7" w:rsidRDefault="00D27F89" w:rsidP="008239B0">
      <w:pPr>
        <w:pStyle w:val="ListParagraph"/>
        <w:bidi/>
        <w:spacing w:line="360" w:lineRule="auto"/>
        <w:ind w:left="84" w:firstLine="720"/>
        <w:rPr>
          <w:rFonts w:ascii="T" w:hAnsi="T" w:cs="Simplified Arabic"/>
          <w:sz w:val="24"/>
          <w:szCs w:val="24"/>
          <w:rtl/>
        </w:rPr>
      </w:pPr>
      <w:r w:rsidRPr="005D59A7">
        <w:rPr>
          <w:rFonts w:ascii="T" w:hAnsi="T" w:cs="Simplified Arabic"/>
          <w:noProof/>
          <w:sz w:val="24"/>
          <w:szCs w:val="24"/>
        </w:rPr>
        <w:drawing>
          <wp:inline distT="0" distB="0" distL="0" distR="0" wp14:anchorId="3D2F6092" wp14:editId="51E82DEB">
            <wp:extent cx="3902075" cy="2250831"/>
            <wp:effectExtent l="0" t="0" r="0" b="0"/>
            <wp:docPr id="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09073" cy="2254868"/>
                    </a:xfrm>
                    <a:prstGeom prst="rect">
                      <a:avLst/>
                    </a:prstGeom>
                    <a:noFill/>
                    <a:ln w="9525">
                      <a:noFill/>
                      <a:miter lim="800000"/>
                      <a:headEnd/>
                      <a:tailEnd/>
                    </a:ln>
                  </pic:spPr>
                </pic:pic>
              </a:graphicData>
            </a:graphic>
          </wp:inline>
        </w:drawing>
      </w:r>
    </w:p>
    <w:p w14:paraId="0FB580A7" w14:textId="785BEE12" w:rsidR="00D27F89" w:rsidRPr="005D59A7" w:rsidRDefault="00D27F89" w:rsidP="00861DC2">
      <w:pPr>
        <w:pStyle w:val="Caption"/>
        <w:bidi/>
        <w:spacing w:line="360" w:lineRule="auto"/>
        <w:ind w:firstLine="720"/>
        <w:jc w:val="center"/>
        <w:rPr>
          <w:rFonts w:ascii="T" w:hAnsi="T" w:cs="Simplified Arabic"/>
          <w:color w:val="auto"/>
          <w:sz w:val="24"/>
          <w:szCs w:val="24"/>
          <w:rtl/>
        </w:rPr>
      </w:pPr>
      <w:r w:rsidRPr="005D59A7">
        <w:rPr>
          <w:rFonts w:ascii="T" w:hAnsi="T" w:cs="Simplified Arabic"/>
          <w:color w:val="auto"/>
          <w:sz w:val="24"/>
          <w:szCs w:val="24"/>
          <w:rtl/>
        </w:rPr>
        <w:t xml:space="preserve">                      </w:t>
      </w:r>
      <w:bookmarkStart w:id="58" w:name="_Toc225991168"/>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أهداف الوزارة (وزارة البيئة والمياه والزراعة، 2026)</w:t>
      </w:r>
      <w:bookmarkEnd w:id="58"/>
    </w:p>
    <w:p w14:paraId="6544FC0B" w14:textId="1D67D658" w:rsidR="00D27F89" w:rsidRPr="005D59A7" w:rsidRDefault="0050288C" w:rsidP="00861DC2">
      <w:pPr>
        <w:bidi/>
        <w:spacing w:line="360" w:lineRule="auto"/>
        <w:ind w:firstLine="720"/>
        <w:rPr>
          <w:rFonts w:ascii="T" w:hAnsi="T" w:cs="Simplified Arabic"/>
          <w:sz w:val="24"/>
          <w:szCs w:val="24"/>
          <w:rtl/>
        </w:rPr>
      </w:pPr>
      <w:r w:rsidRPr="005D59A7">
        <w:rPr>
          <w:rFonts w:ascii="T" w:hAnsi="T" w:cs="Simplified Arabic"/>
          <w:sz w:val="24"/>
          <w:szCs w:val="24"/>
          <w:rtl/>
        </w:rPr>
        <w:t xml:space="preserve">وكالات الوزارة: </w:t>
      </w:r>
    </w:p>
    <w:p w14:paraId="228627DC"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البيئة.</w:t>
      </w:r>
    </w:p>
    <w:p w14:paraId="0FB3F20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المياه.</w:t>
      </w:r>
    </w:p>
    <w:p w14:paraId="05598902"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الزراعة.</w:t>
      </w:r>
    </w:p>
    <w:p w14:paraId="56E9D29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الأراضي والمعلومات الجيو مكانية. </w:t>
      </w:r>
    </w:p>
    <w:p w14:paraId="6341B669"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تقنية المعلومات والتحول الرقمي. </w:t>
      </w:r>
    </w:p>
    <w:p w14:paraId="6AFFD12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البحث والابتكار.</w:t>
      </w:r>
    </w:p>
    <w:p w14:paraId="7306C9E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التخطيط والتميز المؤسسي.</w:t>
      </w:r>
    </w:p>
    <w:p w14:paraId="667CD14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 xml:space="preserve">وكالة الخدمات المشتركة. </w:t>
      </w:r>
    </w:p>
    <w:p w14:paraId="5D755E5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الشؤون الاقتصادية والتخطيط.</w:t>
      </w:r>
    </w:p>
    <w:p w14:paraId="7AB12FBB"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الوزارة لخدمات المستفيدين وشؤون الفروع.</w:t>
      </w:r>
    </w:p>
    <w:p w14:paraId="7A8109FF"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مهام وكالة البيئة: </w:t>
      </w:r>
    </w:p>
    <w:p w14:paraId="43697F9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حماية البيئة والتنوع الأحيائي والحفاظ عليهما وتنميتهما. </w:t>
      </w:r>
    </w:p>
    <w:p w14:paraId="41507263"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الاتفاقيات الدولية ومتابعة تنفيذ الاستراتيجيات والمبادرات في قطاع البيئة وتعزيز قدرات التكيف المناخي. </w:t>
      </w:r>
    </w:p>
    <w:p w14:paraId="4641121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إجراء الدراسات الإستراتيجية وإعداد مشاريع الأنظمة والتشريعات واللوائح التنفيذية لمجالات البيئة والأرصاد ومراجعتها بشكل دوري</w:t>
      </w:r>
      <w:r w:rsidRPr="005D59A7">
        <w:rPr>
          <w:rFonts w:ascii="T" w:hAnsi="T" w:cs="Simplified Arabic"/>
          <w:sz w:val="24"/>
          <w:szCs w:val="24"/>
        </w:rPr>
        <w:t>.</w:t>
      </w:r>
    </w:p>
    <w:p w14:paraId="495FB2D4"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وتنمية ثقافة المحافظة على البيئة</w:t>
      </w:r>
      <w:r w:rsidRPr="005D59A7">
        <w:rPr>
          <w:rFonts w:ascii="T" w:hAnsi="T" w:cs="Simplified Arabic"/>
          <w:sz w:val="24"/>
          <w:szCs w:val="24"/>
        </w:rPr>
        <w:t>.</w:t>
      </w:r>
    </w:p>
    <w:p w14:paraId="775C4AE0"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تعزيز قدرات التأهب والاستجابة للطوارئ البيئية</w:t>
      </w:r>
      <w:r w:rsidRPr="005D59A7">
        <w:rPr>
          <w:rFonts w:ascii="T" w:hAnsi="T" w:cs="Simplified Arabic"/>
          <w:sz w:val="24"/>
          <w:szCs w:val="24"/>
        </w:rPr>
        <w:t>.</w:t>
      </w:r>
    </w:p>
    <w:p w14:paraId="2AB167BE"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الإشراف على آليات التنسيق بين الوزارة والمراكز البيئية لضمان التكامل بين مكونات الإطار المؤسسي لقطاع البيئة</w:t>
      </w:r>
      <w:r w:rsidRPr="005D59A7">
        <w:rPr>
          <w:rFonts w:ascii="T" w:hAnsi="T" w:cs="Simplified Arabic"/>
          <w:sz w:val="24"/>
          <w:szCs w:val="24"/>
        </w:rPr>
        <w:t>.</w:t>
      </w:r>
    </w:p>
    <w:p w14:paraId="72E59AF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الجهات التابعة للوزارة: </w:t>
      </w:r>
    </w:p>
    <w:tbl>
      <w:tblPr>
        <w:tblStyle w:val="TableGrid"/>
        <w:bidiVisual/>
        <w:tblW w:w="0" w:type="auto"/>
        <w:tblInd w:w="720" w:type="dxa"/>
        <w:tblLook w:val="04A0" w:firstRow="1" w:lastRow="0" w:firstColumn="1" w:lastColumn="0" w:noHBand="0" w:noVBand="1"/>
      </w:tblPr>
      <w:tblGrid>
        <w:gridCol w:w="4476"/>
        <w:gridCol w:w="3100"/>
      </w:tblGrid>
      <w:tr w:rsidR="0048002A" w:rsidRPr="005D59A7" w14:paraId="693B9A80" w14:textId="77777777" w:rsidTr="008E342C">
        <w:tc>
          <w:tcPr>
            <w:tcW w:w="4261" w:type="dxa"/>
            <w:vAlign w:val="center"/>
          </w:tcPr>
          <w:p w14:paraId="6D761538" w14:textId="77777777" w:rsidR="00FF1690" w:rsidRPr="005D59A7" w:rsidRDefault="00FF1690"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tl/>
              </w:rPr>
              <w:t>الشعار</w:t>
            </w:r>
          </w:p>
        </w:tc>
        <w:tc>
          <w:tcPr>
            <w:tcW w:w="4261" w:type="dxa"/>
            <w:vAlign w:val="center"/>
          </w:tcPr>
          <w:p w14:paraId="66190758" w14:textId="77777777" w:rsidR="00FF1690" w:rsidRPr="005D59A7" w:rsidRDefault="00FF1690"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الاسم</w:t>
            </w:r>
          </w:p>
        </w:tc>
      </w:tr>
      <w:tr w:rsidR="0048002A" w:rsidRPr="005D59A7" w14:paraId="45DDAB0E" w14:textId="77777777" w:rsidTr="008E342C">
        <w:tc>
          <w:tcPr>
            <w:tcW w:w="4261" w:type="dxa"/>
            <w:vAlign w:val="center"/>
          </w:tcPr>
          <w:p w14:paraId="2EA3110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3F6C9E96" wp14:editId="450CC246">
                  <wp:extent cx="1943100" cy="1400175"/>
                  <wp:effectExtent l="19050" t="0" r="0" b="0"/>
                  <wp:docPr id="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943100" cy="1400175"/>
                          </a:xfrm>
                          <a:prstGeom prst="rect">
                            <a:avLst/>
                          </a:prstGeom>
                          <a:noFill/>
                          <a:ln w="9525">
                            <a:noFill/>
                            <a:miter lim="800000"/>
                            <a:headEnd/>
                            <a:tailEnd/>
                          </a:ln>
                        </pic:spPr>
                      </pic:pic>
                    </a:graphicData>
                  </a:graphic>
                </wp:inline>
              </w:drawing>
            </w:r>
          </w:p>
        </w:tc>
        <w:tc>
          <w:tcPr>
            <w:tcW w:w="4261" w:type="dxa"/>
            <w:vAlign w:val="center"/>
          </w:tcPr>
          <w:p w14:paraId="40D1A61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لكفاءة وترشيد المياه</w:t>
            </w:r>
          </w:p>
        </w:tc>
      </w:tr>
      <w:tr w:rsidR="0048002A" w:rsidRPr="005D59A7" w14:paraId="2940CC33" w14:textId="77777777" w:rsidTr="008E342C">
        <w:tc>
          <w:tcPr>
            <w:tcW w:w="4261" w:type="dxa"/>
            <w:vAlign w:val="center"/>
          </w:tcPr>
          <w:p w14:paraId="63F80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585D2D8" wp14:editId="49F67306">
                  <wp:extent cx="1724025" cy="1343025"/>
                  <wp:effectExtent l="19050" t="0" r="9525" b="0"/>
                  <wp:docPr id="3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1724025" cy="1343025"/>
                          </a:xfrm>
                          <a:prstGeom prst="rect">
                            <a:avLst/>
                          </a:prstGeom>
                          <a:noFill/>
                          <a:ln w="9525">
                            <a:noFill/>
                            <a:miter lim="800000"/>
                            <a:headEnd/>
                            <a:tailEnd/>
                          </a:ln>
                        </pic:spPr>
                      </pic:pic>
                    </a:graphicData>
                  </a:graphic>
                </wp:inline>
              </w:drawing>
            </w:r>
          </w:p>
        </w:tc>
        <w:tc>
          <w:tcPr>
            <w:tcW w:w="4261" w:type="dxa"/>
            <w:vAlign w:val="center"/>
          </w:tcPr>
          <w:p w14:paraId="3CDA998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سالك</w:t>
            </w:r>
          </w:p>
        </w:tc>
      </w:tr>
      <w:tr w:rsidR="0048002A" w:rsidRPr="005D59A7" w14:paraId="2CF699E2" w14:textId="77777777" w:rsidTr="008E342C">
        <w:tc>
          <w:tcPr>
            <w:tcW w:w="4261" w:type="dxa"/>
            <w:vAlign w:val="center"/>
          </w:tcPr>
          <w:p w14:paraId="35E6998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0EA77CC2" wp14:editId="4A69CE35">
                  <wp:extent cx="1576834" cy="1219200"/>
                  <wp:effectExtent l="19050" t="0" r="4316" b="0"/>
                  <wp:docPr id="3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1581150" cy="1222537"/>
                          </a:xfrm>
                          <a:prstGeom prst="rect">
                            <a:avLst/>
                          </a:prstGeom>
                          <a:noFill/>
                          <a:ln w="9525">
                            <a:noFill/>
                            <a:miter lim="800000"/>
                            <a:headEnd/>
                            <a:tailEnd/>
                          </a:ln>
                        </pic:spPr>
                      </pic:pic>
                    </a:graphicData>
                  </a:graphic>
                </wp:inline>
              </w:drawing>
            </w:r>
          </w:p>
        </w:tc>
        <w:tc>
          <w:tcPr>
            <w:tcW w:w="4261" w:type="dxa"/>
            <w:vAlign w:val="center"/>
          </w:tcPr>
          <w:p w14:paraId="6A9D3B3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r>
      <w:tr w:rsidR="0048002A" w:rsidRPr="005D59A7" w14:paraId="4AB5060F" w14:textId="77777777" w:rsidTr="008E342C">
        <w:tc>
          <w:tcPr>
            <w:tcW w:w="4261" w:type="dxa"/>
            <w:vAlign w:val="center"/>
          </w:tcPr>
          <w:p w14:paraId="0B7A3D36"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581895C7" wp14:editId="4236DAEB">
                  <wp:extent cx="2228850" cy="1600200"/>
                  <wp:effectExtent l="19050" t="0" r="0" b="0"/>
                  <wp:docPr id="4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2228850" cy="1600200"/>
                          </a:xfrm>
                          <a:prstGeom prst="rect">
                            <a:avLst/>
                          </a:prstGeom>
                          <a:noFill/>
                          <a:ln w="9525">
                            <a:noFill/>
                            <a:miter lim="800000"/>
                            <a:headEnd/>
                            <a:tailEnd/>
                          </a:ln>
                        </pic:spPr>
                      </pic:pic>
                    </a:graphicData>
                  </a:graphic>
                </wp:inline>
              </w:drawing>
            </w:r>
          </w:p>
        </w:tc>
        <w:tc>
          <w:tcPr>
            <w:tcW w:w="4261" w:type="dxa"/>
            <w:vAlign w:val="center"/>
          </w:tcPr>
          <w:p w14:paraId="6B8AE66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مركز الملك عبد العزيز للخيل العربية الأصيلة</w:t>
            </w:r>
          </w:p>
        </w:tc>
      </w:tr>
      <w:tr w:rsidR="0048002A" w:rsidRPr="005D59A7" w14:paraId="5547B3A8" w14:textId="77777777" w:rsidTr="008E342C">
        <w:tc>
          <w:tcPr>
            <w:tcW w:w="4261" w:type="dxa"/>
            <w:vAlign w:val="center"/>
          </w:tcPr>
          <w:p w14:paraId="1DB639C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4D794B3A" wp14:editId="4147D274">
                  <wp:extent cx="1409700" cy="1306163"/>
                  <wp:effectExtent l="19050" t="0" r="0" b="0"/>
                  <wp:docPr id="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srcRect/>
                          <a:stretch>
                            <a:fillRect/>
                          </a:stretch>
                        </pic:blipFill>
                        <pic:spPr bwMode="auto">
                          <a:xfrm>
                            <a:off x="0" y="0"/>
                            <a:ext cx="1409700" cy="1306163"/>
                          </a:xfrm>
                          <a:prstGeom prst="rect">
                            <a:avLst/>
                          </a:prstGeom>
                          <a:noFill/>
                          <a:ln w="9525">
                            <a:noFill/>
                            <a:miter lim="800000"/>
                            <a:headEnd/>
                            <a:tailEnd/>
                          </a:ln>
                        </pic:spPr>
                      </pic:pic>
                    </a:graphicData>
                  </a:graphic>
                </wp:inline>
              </w:drawing>
            </w:r>
          </w:p>
        </w:tc>
        <w:tc>
          <w:tcPr>
            <w:tcW w:w="4261" w:type="dxa"/>
            <w:vAlign w:val="center"/>
          </w:tcPr>
          <w:p w14:paraId="72D44AD5"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لتنمية الحياة الفطرية</w:t>
            </w:r>
          </w:p>
        </w:tc>
      </w:tr>
      <w:tr w:rsidR="0048002A" w:rsidRPr="005D59A7" w14:paraId="0021AB3F" w14:textId="77777777" w:rsidTr="008E342C">
        <w:tc>
          <w:tcPr>
            <w:tcW w:w="4261" w:type="dxa"/>
            <w:vAlign w:val="center"/>
          </w:tcPr>
          <w:p w14:paraId="3AC40BA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7B617292" wp14:editId="64754159">
                  <wp:extent cx="1514475" cy="1363028"/>
                  <wp:effectExtent l="19050" t="0" r="9525" b="0"/>
                  <wp:docPr id="47"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514475" cy="1363028"/>
                          </a:xfrm>
                          <a:prstGeom prst="rect">
                            <a:avLst/>
                          </a:prstGeom>
                          <a:noFill/>
                          <a:ln w="9525">
                            <a:noFill/>
                            <a:miter lim="800000"/>
                            <a:headEnd/>
                            <a:tailEnd/>
                          </a:ln>
                        </pic:spPr>
                      </pic:pic>
                    </a:graphicData>
                  </a:graphic>
                </wp:inline>
              </w:drawing>
            </w:r>
          </w:p>
        </w:tc>
        <w:tc>
          <w:tcPr>
            <w:tcW w:w="4261" w:type="dxa"/>
            <w:vAlign w:val="center"/>
          </w:tcPr>
          <w:p w14:paraId="0DFEB99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الشركة السعودية لشراكات المياه</w:t>
            </w:r>
          </w:p>
        </w:tc>
      </w:tr>
      <w:tr w:rsidR="0048002A" w:rsidRPr="005D59A7" w14:paraId="4FA2C7A5" w14:textId="77777777" w:rsidTr="008E342C">
        <w:tc>
          <w:tcPr>
            <w:tcW w:w="4261" w:type="dxa"/>
            <w:vAlign w:val="center"/>
          </w:tcPr>
          <w:p w14:paraId="26B352E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158EC58" wp14:editId="4B6FACDB">
                  <wp:extent cx="1409700" cy="1316165"/>
                  <wp:effectExtent l="19050" t="0" r="0" b="0"/>
                  <wp:docPr id="5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1409700" cy="1316165"/>
                          </a:xfrm>
                          <a:prstGeom prst="rect">
                            <a:avLst/>
                          </a:prstGeom>
                          <a:noFill/>
                          <a:ln w="9525">
                            <a:noFill/>
                            <a:miter lim="800000"/>
                            <a:headEnd/>
                            <a:tailEnd/>
                          </a:ln>
                        </pic:spPr>
                      </pic:pic>
                    </a:graphicData>
                  </a:graphic>
                </wp:inline>
              </w:drawing>
            </w:r>
          </w:p>
        </w:tc>
        <w:tc>
          <w:tcPr>
            <w:tcW w:w="4261" w:type="dxa"/>
            <w:vAlign w:val="center"/>
          </w:tcPr>
          <w:p w14:paraId="487F1DB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الهيئة العامة للأمن الغذائي</w:t>
            </w:r>
          </w:p>
        </w:tc>
      </w:tr>
      <w:tr w:rsidR="0048002A" w:rsidRPr="005D59A7" w14:paraId="40EBDEAB" w14:textId="77777777" w:rsidTr="008E342C">
        <w:tc>
          <w:tcPr>
            <w:tcW w:w="4261" w:type="dxa"/>
            <w:vAlign w:val="center"/>
          </w:tcPr>
          <w:p w14:paraId="32D1F58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64732F1" wp14:editId="4479FD46">
                  <wp:extent cx="1272565" cy="1247775"/>
                  <wp:effectExtent l="19050" t="0" r="3785" b="0"/>
                  <wp:docPr id="5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srcRect/>
                          <a:stretch>
                            <a:fillRect/>
                          </a:stretch>
                        </pic:blipFill>
                        <pic:spPr bwMode="auto">
                          <a:xfrm>
                            <a:off x="0" y="0"/>
                            <a:ext cx="1277099" cy="1252221"/>
                          </a:xfrm>
                          <a:prstGeom prst="rect">
                            <a:avLst/>
                          </a:prstGeom>
                          <a:noFill/>
                          <a:ln w="9525">
                            <a:noFill/>
                            <a:miter lim="800000"/>
                            <a:headEnd/>
                            <a:tailEnd/>
                          </a:ln>
                        </pic:spPr>
                      </pic:pic>
                    </a:graphicData>
                  </a:graphic>
                </wp:inline>
              </w:drawing>
            </w:r>
          </w:p>
        </w:tc>
        <w:tc>
          <w:tcPr>
            <w:tcW w:w="4261" w:type="dxa"/>
            <w:vAlign w:val="center"/>
          </w:tcPr>
          <w:p w14:paraId="3BC64903"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لتحلية المياه المالحة</w:t>
            </w:r>
          </w:p>
        </w:tc>
      </w:tr>
      <w:tr w:rsidR="0048002A" w:rsidRPr="005D59A7" w14:paraId="36A187B8" w14:textId="77777777" w:rsidTr="008E342C">
        <w:tc>
          <w:tcPr>
            <w:tcW w:w="4261" w:type="dxa"/>
            <w:vAlign w:val="center"/>
          </w:tcPr>
          <w:p w14:paraId="33CA1326"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lastRenderedPageBreak/>
              <w:drawing>
                <wp:inline distT="0" distB="0" distL="0" distR="0" wp14:anchorId="16F64956" wp14:editId="01683918">
                  <wp:extent cx="1374140" cy="1304563"/>
                  <wp:effectExtent l="19050" t="0" r="0" b="0"/>
                  <wp:docPr id="5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srcRect/>
                          <a:stretch>
                            <a:fillRect/>
                          </a:stretch>
                        </pic:blipFill>
                        <pic:spPr bwMode="auto">
                          <a:xfrm>
                            <a:off x="0" y="0"/>
                            <a:ext cx="1374140" cy="1304563"/>
                          </a:xfrm>
                          <a:prstGeom prst="rect">
                            <a:avLst/>
                          </a:prstGeom>
                          <a:noFill/>
                          <a:ln w="9525">
                            <a:noFill/>
                            <a:miter lim="800000"/>
                            <a:headEnd/>
                            <a:tailEnd/>
                          </a:ln>
                        </pic:spPr>
                      </pic:pic>
                    </a:graphicData>
                  </a:graphic>
                </wp:inline>
              </w:drawing>
            </w:r>
          </w:p>
        </w:tc>
        <w:tc>
          <w:tcPr>
            <w:tcW w:w="4261" w:type="dxa"/>
            <w:vAlign w:val="center"/>
          </w:tcPr>
          <w:p w14:paraId="6A4D6827"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شركة المياه الوطنية</w:t>
            </w:r>
          </w:p>
        </w:tc>
      </w:tr>
      <w:tr w:rsidR="0048002A" w:rsidRPr="005D59A7" w14:paraId="11D982C0" w14:textId="77777777" w:rsidTr="008E342C">
        <w:tc>
          <w:tcPr>
            <w:tcW w:w="4261" w:type="dxa"/>
            <w:vAlign w:val="center"/>
          </w:tcPr>
          <w:p w14:paraId="6DE078B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166300D3" wp14:editId="6F234D7B">
                  <wp:extent cx="1276350" cy="1293368"/>
                  <wp:effectExtent l="19050" t="0" r="0" b="0"/>
                  <wp:docPr id="54"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srcRect/>
                          <a:stretch>
                            <a:fillRect/>
                          </a:stretch>
                        </pic:blipFill>
                        <pic:spPr bwMode="auto">
                          <a:xfrm>
                            <a:off x="0" y="0"/>
                            <a:ext cx="1276350" cy="1293368"/>
                          </a:xfrm>
                          <a:prstGeom prst="rect">
                            <a:avLst/>
                          </a:prstGeom>
                          <a:noFill/>
                          <a:ln w="9525">
                            <a:noFill/>
                            <a:miter lim="800000"/>
                            <a:headEnd/>
                            <a:tailEnd/>
                          </a:ln>
                        </pic:spPr>
                      </pic:pic>
                    </a:graphicData>
                  </a:graphic>
                </wp:inline>
              </w:drawing>
            </w:r>
          </w:p>
        </w:tc>
        <w:tc>
          <w:tcPr>
            <w:tcW w:w="4261" w:type="dxa"/>
            <w:vAlign w:val="center"/>
          </w:tcPr>
          <w:p w14:paraId="5784846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للري</w:t>
            </w:r>
          </w:p>
        </w:tc>
      </w:tr>
      <w:tr w:rsidR="0048002A" w:rsidRPr="005D59A7" w14:paraId="2B98EEB5" w14:textId="77777777" w:rsidTr="008E342C">
        <w:tc>
          <w:tcPr>
            <w:tcW w:w="4261" w:type="dxa"/>
            <w:vAlign w:val="center"/>
          </w:tcPr>
          <w:p w14:paraId="6079ACD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3860612E" wp14:editId="647CFCBF">
                  <wp:extent cx="1249821" cy="1266825"/>
                  <wp:effectExtent l="19050" t="0" r="7479" b="0"/>
                  <wp:docPr id="55"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srcRect/>
                          <a:stretch>
                            <a:fillRect/>
                          </a:stretch>
                        </pic:blipFill>
                        <pic:spPr bwMode="auto">
                          <a:xfrm>
                            <a:off x="0" y="0"/>
                            <a:ext cx="1249821" cy="1266825"/>
                          </a:xfrm>
                          <a:prstGeom prst="rect">
                            <a:avLst/>
                          </a:prstGeom>
                          <a:noFill/>
                          <a:ln w="9525">
                            <a:noFill/>
                            <a:miter lim="800000"/>
                            <a:headEnd/>
                            <a:tailEnd/>
                          </a:ln>
                        </pic:spPr>
                      </pic:pic>
                    </a:graphicData>
                  </a:graphic>
                </wp:inline>
              </w:drawing>
            </w:r>
          </w:p>
        </w:tc>
        <w:tc>
          <w:tcPr>
            <w:tcW w:w="4261" w:type="dxa"/>
            <w:vAlign w:val="center"/>
          </w:tcPr>
          <w:p w14:paraId="36E93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صندوق التنمية الزراعية</w:t>
            </w:r>
          </w:p>
        </w:tc>
      </w:tr>
    </w:tbl>
    <w:p w14:paraId="250A6A80" w14:textId="07D8124D" w:rsidR="0050288C" w:rsidRPr="005D59A7" w:rsidRDefault="008E342C" w:rsidP="00861DC2">
      <w:pPr>
        <w:pStyle w:val="Caption"/>
        <w:bidi/>
        <w:spacing w:line="360" w:lineRule="auto"/>
        <w:ind w:firstLine="720"/>
        <w:jc w:val="center"/>
        <w:rPr>
          <w:rFonts w:ascii="T" w:hAnsi="T" w:cs="Simplified Arabic"/>
          <w:noProof/>
          <w:color w:val="auto"/>
          <w:sz w:val="24"/>
          <w:szCs w:val="24"/>
          <w:rtl/>
        </w:rPr>
      </w:pPr>
      <w:bookmarkStart w:id="59" w:name="_Toc225991175"/>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الجهات التابعة لوزارة البيئة والمياه والزراعة</w:t>
      </w:r>
      <w:bookmarkEnd w:id="59"/>
    </w:p>
    <w:p w14:paraId="0F1D42A8" w14:textId="77777777" w:rsidR="00DF6065"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الغطاء النباتي ومكافحة التصحر</w:t>
      </w:r>
    </w:p>
    <w:p w14:paraId="7092DBC7" w14:textId="77777777" w:rsidR="00AA6140" w:rsidRPr="005D59A7" w:rsidRDefault="00AA6140" w:rsidP="00A40353">
      <w:pPr>
        <w:bidi/>
        <w:spacing w:line="360" w:lineRule="auto"/>
        <w:ind w:left="84"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صدر قرار مجلس الوزراء رقم (٤١٧) بتاريخ ١٤٤٠/٠٧/١٩هـ بإنشاء المركز الوطني لتنمية الغطاء النباتي، ويأتي إنشاء المركز بهدف الإشراف على إدارة أراضي المراعي والغابات والمتنزهات الوطنية واستثمارها، والمحافظة على الموارد الوراثية النباتية والغطاء النباتي خارج المناطق المحمية في المملكة بجميع بيئاته، ومكافحة التصحر (</w:t>
      </w:r>
      <w:r w:rsidRPr="005D59A7">
        <w:rPr>
          <w:rFonts w:ascii="T" w:hAnsi="T" w:cs="Simplified Arabic"/>
          <w:sz w:val="24"/>
          <w:szCs w:val="24"/>
          <w:shd w:val="clear" w:color="auto" w:fill="FFFFFF"/>
        </w:rPr>
        <w:t>NCVC, 2026</w:t>
      </w:r>
      <w:r w:rsidRPr="005D59A7">
        <w:rPr>
          <w:rFonts w:ascii="T" w:hAnsi="T" w:cs="Simplified Arabic"/>
          <w:sz w:val="24"/>
          <w:szCs w:val="24"/>
          <w:shd w:val="clear" w:color="auto" w:fill="FFFFFF"/>
          <w:rtl/>
        </w:rPr>
        <w:t xml:space="preserve">). </w:t>
      </w:r>
    </w:p>
    <w:p w14:paraId="4D065CB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rtl/>
        </w:rPr>
      </w:pPr>
      <w:r w:rsidRPr="005D59A7">
        <w:rPr>
          <w:rFonts w:ascii="T" w:hAnsi="T" w:cs="Simplified Arabic"/>
          <w:shd w:val="clear" w:color="auto" w:fill="FFFFFF"/>
          <w:rtl/>
        </w:rPr>
        <w:t>و</w:t>
      </w:r>
      <w:r w:rsidRPr="005D59A7">
        <w:rPr>
          <w:rFonts w:ascii="T" w:hAnsi="T" w:cs="Simplified Arabic"/>
          <w:rtl/>
        </w:rPr>
        <w:t xml:space="preserve">يسعى المركز الوطني لتنمية الغطاء النباتي ومكافحة التصحر لتنفيذ الأهداف </w:t>
      </w:r>
      <w:r w:rsidR="00C44F90" w:rsidRPr="005D59A7">
        <w:rPr>
          <w:rFonts w:ascii="T" w:hAnsi="T" w:cs="Simplified Arabic"/>
          <w:rtl/>
        </w:rPr>
        <w:t>الإستراتيجية</w:t>
      </w:r>
      <w:r w:rsidRPr="005D59A7">
        <w:rPr>
          <w:rFonts w:ascii="T" w:hAnsi="T" w:cs="Simplified Arabic"/>
          <w:rtl/>
        </w:rPr>
        <w:t xml:space="preserve"> للمملكة التي تجسدها رؤية 2030، ويساهم في الارتقاء بمستوى المعيشة من خلال تخفيض المناطق الملوثة بيئيًا وإعادة تأهيلها، كما يحرص على تطوير حماية البيئة من الأخطار الطبيعية وتعزيز الوقاية من الحشرات والآفات المضرة بالغطاء النباتي، وتنمية القدرات الوطنية لتحقيق الحماية، وتنمية موارد المملكة الحيوية وضمان الاستفادة المستدامة منها</w:t>
      </w:r>
      <w:r w:rsidRPr="005D59A7">
        <w:rPr>
          <w:rFonts w:ascii="T" w:hAnsi="T" w:cs="Simplified Arabic"/>
        </w:rPr>
        <w:t>.</w:t>
      </w:r>
    </w:p>
    <w:p w14:paraId="081F1F2A" w14:textId="77777777" w:rsidR="00AA6140" w:rsidRPr="005D59A7" w:rsidRDefault="00AA6140" w:rsidP="00A40353">
      <w:pPr>
        <w:bidi/>
        <w:spacing w:line="360" w:lineRule="auto"/>
        <w:ind w:left="84" w:firstLine="720"/>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 xml:space="preserve">المسؤوليات الرئيسية: </w:t>
      </w:r>
    </w:p>
    <w:p w14:paraId="2CFB4375"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ضمان تطبيق الأنظمة والمعايير ذات الصلة.</w:t>
      </w:r>
    </w:p>
    <w:p w14:paraId="3E57B7F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حماية وتنمية الغابات واستدامتها.</w:t>
      </w:r>
    </w:p>
    <w:p w14:paraId="463A78F8"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الإدارة المستدامة للمراعي والمنتزهات الوطنية.</w:t>
      </w:r>
    </w:p>
    <w:p w14:paraId="4C3F98E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إعادة تأهيل الغطاء النباتي والتشجير. </w:t>
      </w:r>
    </w:p>
    <w:p w14:paraId="3EDAF6AB"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إشراك القطاع الخاص لأداء المهام ذات الصلة. </w:t>
      </w:r>
    </w:p>
    <w:p w14:paraId="7135E2E6"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الالتزام بالاتفاقيات الدولية ذات الصلة.</w:t>
      </w:r>
    </w:p>
    <w:p w14:paraId="3B4E7728" w14:textId="77777777" w:rsidR="00D27F89" w:rsidRPr="005D59A7" w:rsidRDefault="00AA6140" w:rsidP="0045581D">
      <w:pPr>
        <w:pStyle w:val="ListParagraph"/>
        <w:numPr>
          <w:ilvl w:val="0"/>
          <w:numId w:val="15"/>
        </w:numPr>
        <w:bidi/>
        <w:spacing w:line="360" w:lineRule="auto"/>
        <w:ind w:left="84" w:firstLine="425"/>
        <w:rPr>
          <w:rFonts w:ascii="T" w:hAnsi="T" w:cs="Simplified Arabic"/>
          <w:sz w:val="24"/>
          <w:szCs w:val="24"/>
          <w:rtl/>
        </w:rPr>
      </w:pPr>
      <w:r w:rsidRPr="005D59A7">
        <w:rPr>
          <w:rFonts w:ascii="T" w:hAnsi="T" w:cs="Simplified Arabic"/>
          <w:sz w:val="24"/>
          <w:szCs w:val="24"/>
          <w:rtl/>
        </w:rPr>
        <w:t>رفع تقارير الأداء.</w:t>
      </w:r>
    </w:p>
    <w:p w14:paraId="4C3E1F0F" w14:textId="77777777" w:rsidR="001F441A"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الحياة الفطرية</w:t>
      </w:r>
    </w:p>
    <w:p w14:paraId="063A610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تتحقق جودة الحياة في رؤية 2030 بتكامل منظومة البيئة ولتحقيق الأمن الغذائي والمائي ورفاهية الحياة، ويعتبر المركز الوطني لتنمية الحياة الفطرية أحد مراكز المنظومة والذي يعمل على حماية النظم البيئية والتنوع الأحيائي وتنميته وإعادة توطينه، إضافة إلى هذا علاج المخاطر المتعلقة بالحياة الفطرية. وشهد العام 2022م تقدماً في حماية وتنمية البيئة البرية والبحرية ومجالات الإكثار للأنواع الحيوانية المهددة بالانقراض وإعادة التوطين وإدارة المناطق المحمية، ويولي المركز اهتمامًا في توطين واستقطاب الكفاءات السعودية لتحقيق الاعتماد الوطني على الكفاءات المحلية في مجال إدارة وتطوير المحميات الطبيعية من خلال التدريب والعمل الميداني مع خبراء عالميين متخصصين (</w:t>
      </w:r>
      <w:r w:rsidRPr="005D59A7">
        <w:rPr>
          <w:rFonts w:ascii="T" w:hAnsi="T" w:cs="Simplified Arabic"/>
          <w:shd w:val="clear" w:color="auto" w:fill="FFFFFF"/>
        </w:rPr>
        <w:t>NCW, 2026</w:t>
      </w:r>
      <w:r w:rsidRPr="005D59A7">
        <w:rPr>
          <w:rFonts w:ascii="T" w:hAnsi="T" w:cs="Simplified Arabic"/>
          <w:shd w:val="clear" w:color="auto" w:fill="FFFFFF"/>
          <w:rtl/>
        </w:rPr>
        <w:t>)</w:t>
      </w:r>
      <w:r w:rsidR="00C44F90" w:rsidRPr="005D59A7">
        <w:rPr>
          <w:rFonts w:ascii="T" w:hAnsi="T" w:cs="Simplified Arabic"/>
          <w:shd w:val="clear" w:color="auto" w:fill="FFFFFF"/>
          <w:rtl/>
        </w:rPr>
        <w:t>.</w:t>
      </w:r>
    </w:p>
    <w:p w14:paraId="08A86C69"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حقق المركز إنجازات غير مسبوقة في عدة مشاريع واكتشافات بيئية بمشاركة كفاءات وطنية بالاستعانة بخبراء عالميين من أهمها مشروع استكشاف التنوع الأحيائي في البحر الأحمر، واكتشاف مومياوات الفهد الصياد والعمل على برنامج إكثاره، و العمل على زيادة مساحة المحميات إلى ٣٠٪ ، وتسجيل مشروع محمية جزر فرسان في اليونسكو ، كما حرص المركز على توظيف أفضل التقنيات الحديثة لخدمة الحياة الفطرية وحمايتها وتنمينها وإعداد الأنظمة المساعدة في جمع البيانات والخرائط الرقمية. تترجم مؤشرات الأداء تقدم المركز الوطني </w:t>
      </w:r>
      <w:r w:rsidRPr="005D59A7">
        <w:rPr>
          <w:rFonts w:ascii="T" w:hAnsi="T" w:cs="Simplified Arabic"/>
          <w:shd w:val="clear" w:color="auto" w:fill="FFFFFF"/>
          <w:rtl/>
        </w:rPr>
        <w:lastRenderedPageBreak/>
        <w:t>لتنمية الحياة الفطرية نحو الريادة الإقليمية وتحقيق الأهداف ا</w:t>
      </w:r>
      <w:r w:rsidR="00C44F90" w:rsidRPr="005D59A7">
        <w:rPr>
          <w:rFonts w:ascii="T" w:hAnsi="T" w:cs="Simplified Arabic"/>
          <w:shd w:val="clear" w:color="auto" w:fill="FFFFFF"/>
          <w:rtl/>
        </w:rPr>
        <w:t>لوطنية والتحول إلى منظومة حضارية (</w:t>
      </w:r>
      <w:r w:rsidR="00C44F90" w:rsidRPr="005D59A7">
        <w:rPr>
          <w:rFonts w:ascii="T" w:hAnsi="T" w:cs="Simplified Arabic"/>
          <w:shd w:val="clear" w:color="auto" w:fill="FFFFFF"/>
        </w:rPr>
        <w:t>NCW, 2026</w:t>
      </w:r>
      <w:r w:rsidR="00C44F90" w:rsidRPr="005D59A7">
        <w:rPr>
          <w:rFonts w:ascii="T" w:hAnsi="T" w:cs="Simplified Arabic"/>
          <w:shd w:val="clear" w:color="auto" w:fill="FFFFFF"/>
          <w:rtl/>
        </w:rPr>
        <w:t>).</w:t>
      </w:r>
    </w:p>
    <w:p w14:paraId="4053B416"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رؤية المركز: ﺣﻴﺎة </w:t>
      </w:r>
      <w:r w:rsidR="00C44F90" w:rsidRPr="005D59A7">
        <w:rPr>
          <w:rFonts w:ascii="T" w:hAnsi="T" w:cs="Simplified Arabic"/>
          <w:shd w:val="clear" w:color="auto" w:fill="FFFFFF"/>
          <w:rtl/>
        </w:rPr>
        <w:t>فطرية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وتنوع</w:t>
      </w:r>
      <w:r w:rsidRPr="005D59A7">
        <w:rPr>
          <w:rFonts w:ascii="T" w:hAnsi="T" w:cs="Simplified Arabic"/>
          <w:shd w:val="clear" w:color="auto" w:fill="FFFFFF"/>
          <w:rtl/>
        </w:rPr>
        <w:t xml:space="preserve"> أﺣﻴﺎﺋﻲ </w:t>
      </w:r>
      <w:r w:rsidR="00C44F90" w:rsidRPr="005D59A7">
        <w:rPr>
          <w:rFonts w:ascii="T" w:hAnsi="T" w:cs="Simplified Arabic"/>
          <w:shd w:val="clear" w:color="auto" w:fill="FFFFFF"/>
          <w:rtl/>
        </w:rPr>
        <w:t>ونظم</w:t>
      </w:r>
      <w:r w:rsidRPr="005D59A7">
        <w:rPr>
          <w:rFonts w:ascii="T" w:hAnsi="T" w:cs="Simplified Arabic"/>
          <w:shd w:val="clear" w:color="auto" w:fill="FFFFFF"/>
          <w:rtl/>
        </w:rPr>
        <w:t xml:space="preserve"> ﺑﻴﺌﻴﺔ ﺑ</w:t>
      </w:r>
      <w:r w:rsidRPr="005D59A7">
        <w:rPr>
          <w:rFonts w:ascii="T" w:hAnsi="T"/>
          <w:shd w:val="clear" w:color="auto" w:fill="FFFFFF"/>
          <w:rtl/>
        </w:rPr>
        <w:t>ﺮ</w:t>
      </w:r>
      <w:r w:rsidRPr="005D59A7">
        <w:rPr>
          <w:rFonts w:ascii="T" w:hAnsi="T" w:cs="Simplified Arabic"/>
          <w:shd w:val="clear" w:color="auto" w:fill="FFFFFF"/>
          <w:rtl/>
        </w:rPr>
        <w:t>ﻳﺔ وﺑﺤ</w:t>
      </w:r>
      <w:r w:rsidRPr="005D59A7">
        <w:rPr>
          <w:rFonts w:ascii="T" w:hAnsi="T"/>
          <w:shd w:val="clear" w:color="auto" w:fill="FFFFFF"/>
          <w:rtl/>
        </w:rPr>
        <w:t>ﺮ</w:t>
      </w:r>
      <w:r w:rsidRPr="005D59A7">
        <w:rPr>
          <w:rFonts w:ascii="T" w:hAnsi="T" w:cs="Simplified Arabic"/>
          <w:shd w:val="clear" w:color="auto" w:fill="FFFFFF"/>
          <w:rtl/>
        </w:rPr>
        <w:t xml:space="preserve">ﻳﺔ </w:t>
      </w:r>
      <w:r w:rsidR="00C44F90" w:rsidRPr="005D59A7">
        <w:rPr>
          <w:rFonts w:ascii="T" w:hAnsi="T" w:cs="Simplified Arabic"/>
          <w:shd w:val="clear" w:color="auto" w:fill="FFFFFF"/>
          <w:rtl/>
        </w:rPr>
        <w:t>مزدهرة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ومستدامة</w:t>
      </w:r>
      <w:r w:rsidRPr="005D59A7">
        <w:rPr>
          <w:rFonts w:ascii="T" w:hAnsi="T" w:cs="Simplified Arabic"/>
          <w:shd w:val="clear" w:color="auto" w:fill="FFFFFF"/>
        </w:rPr>
        <w:t>.</w:t>
      </w:r>
    </w:p>
    <w:p w14:paraId="663095D1"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رسالة المركز: الحفـاظ علـى الحياة الفطرية والتنـوع الأحيائي والنظـــم البيئيـــة وتنميتهـــ مـــن خلال تعزيـــز المشاركة المجتمعية في برامج شاملة وفعالة لتحقيق الاستدامة البيئية وتعظيم الفوائد الاجتماعية والاقتصادية</w:t>
      </w:r>
      <w:r w:rsidRPr="005D59A7">
        <w:rPr>
          <w:rFonts w:ascii="T" w:hAnsi="T" w:cs="Simplified Arabic"/>
          <w:shd w:val="clear" w:color="auto" w:fill="FFFFFF"/>
        </w:rPr>
        <w:t>.</w:t>
      </w:r>
    </w:p>
    <w:p w14:paraId="70F06D5B" w14:textId="77777777" w:rsidR="00AA6140" w:rsidRPr="005D59A7" w:rsidRDefault="00AA6140" w:rsidP="00861DC2">
      <w:pPr>
        <w:bidi/>
        <w:spacing w:line="360" w:lineRule="auto"/>
        <w:ind w:left="360" w:firstLine="720"/>
        <w:rPr>
          <w:rFonts w:ascii="T" w:hAnsi="T" w:cs="Simplified Arabic"/>
          <w:sz w:val="24"/>
          <w:szCs w:val="24"/>
          <w:rtl/>
        </w:rPr>
      </w:pPr>
      <w:r w:rsidRPr="005D59A7">
        <w:rPr>
          <w:rFonts w:ascii="T" w:hAnsi="T" w:cs="Simplified Arabic"/>
          <w:sz w:val="24"/>
          <w:szCs w:val="24"/>
          <w:rtl/>
        </w:rPr>
        <w:t xml:space="preserve">أهداف المركز: </w:t>
      </w:r>
    </w:p>
    <w:p w14:paraId="52A0349E"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وتنمية الحياة الفطرية والتنوع الأحيائي في البيئات البرية والساحلية والبحرية بشكل مستدام</w:t>
      </w:r>
      <w:r w:rsidRPr="005D59A7">
        <w:rPr>
          <w:rFonts w:ascii="T" w:hAnsi="T" w:cs="Simplified Arabic"/>
          <w:sz w:val="24"/>
          <w:szCs w:val="24"/>
        </w:rPr>
        <w:t>.</w:t>
      </w:r>
    </w:p>
    <w:p w14:paraId="670F7547"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إنشاء وإدارة المناطق المحمية ومراكز </w:t>
      </w:r>
      <w:r w:rsidR="00C44F90" w:rsidRPr="005D59A7">
        <w:rPr>
          <w:rFonts w:ascii="T" w:hAnsi="T" w:cs="Simplified Arabic"/>
          <w:sz w:val="24"/>
          <w:szCs w:val="24"/>
          <w:rtl/>
        </w:rPr>
        <w:t>إكثار</w:t>
      </w:r>
      <w:r w:rsidRPr="005D59A7">
        <w:rPr>
          <w:rFonts w:ascii="T" w:hAnsi="T" w:cs="Simplified Arabic"/>
          <w:sz w:val="24"/>
          <w:szCs w:val="24"/>
          <w:rtl/>
        </w:rPr>
        <w:t xml:space="preserve"> الأنواع الفطرية المهددة بالانقراض وإعادة توطينها في بيئتها الطبيعية</w:t>
      </w:r>
      <w:r w:rsidRPr="005D59A7">
        <w:rPr>
          <w:rFonts w:ascii="T" w:hAnsi="T" w:cs="Simplified Arabic"/>
          <w:sz w:val="24"/>
          <w:szCs w:val="24"/>
        </w:rPr>
        <w:t>.</w:t>
      </w:r>
    </w:p>
    <w:p w14:paraId="57130380"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بناء القاعدة المعرف</w:t>
      </w:r>
      <w:r w:rsidR="00C44F90" w:rsidRPr="005D59A7">
        <w:rPr>
          <w:rFonts w:ascii="T" w:hAnsi="T" w:cs="Simplified Arabic"/>
          <w:sz w:val="24"/>
          <w:szCs w:val="24"/>
          <w:rtl/>
        </w:rPr>
        <w:t>ية عن الحياة الفطرية والتنوع الأ</w:t>
      </w:r>
      <w:r w:rsidRPr="005D59A7">
        <w:rPr>
          <w:rFonts w:ascii="T" w:hAnsi="T" w:cs="Simplified Arabic"/>
          <w:sz w:val="24"/>
          <w:szCs w:val="24"/>
          <w:rtl/>
        </w:rPr>
        <w:t>حيائي في المملكة من خلال عمل المسوحات الميدانية والدراسات المتخصصة وبناء قواعد البيانات واتاحتها لذوي العلاقة</w:t>
      </w:r>
      <w:r w:rsidRPr="005D59A7">
        <w:rPr>
          <w:rFonts w:ascii="T" w:hAnsi="T" w:cs="Simplified Arabic"/>
          <w:sz w:val="24"/>
          <w:szCs w:val="24"/>
        </w:rPr>
        <w:t>.</w:t>
      </w:r>
    </w:p>
    <w:p w14:paraId="0F7A361F"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الوعي المجتمعي في مجال الحياة الفطرية من خلال البرامج الارشادية والثقافية والإعلامية</w:t>
      </w:r>
      <w:r w:rsidRPr="005D59A7">
        <w:rPr>
          <w:rFonts w:ascii="T" w:hAnsi="T" w:cs="Simplified Arabic"/>
          <w:sz w:val="24"/>
          <w:szCs w:val="24"/>
        </w:rPr>
        <w:t>.</w:t>
      </w:r>
    </w:p>
    <w:p w14:paraId="5E7AF6F6"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التنوع الاقتصادي من خلال المساهمة في تطوير السياحة البيئية المستدامة والاستفادة من الموارد الوراثية وخدمات النظم البيئية</w:t>
      </w:r>
      <w:r w:rsidRPr="005D59A7">
        <w:rPr>
          <w:rFonts w:ascii="T" w:hAnsi="T" w:cs="Simplified Arabic"/>
          <w:sz w:val="24"/>
          <w:szCs w:val="24"/>
        </w:rPr>
        <w:t>.</w:t>
      </w:r>
    </w:p>
    <w:p w14:paraId="2E6121F2"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t>تشجيع البحث والابتكار في مجال المحافظة على الحياة الفطرية وتنميتها من خلال التعاون مع الجامعات ومراكز الأبحاث المحلية والعالمية</w:t>
      </w:r>
      <w:r w:rsidRPr="005D59A7">
        <w:rPr>
          <w:rFonts w:ascii="T" w:hAnsi="T" w:cs="Simplified Arabic"/>
          <w:sz w:val="24"/>
          <w:szCs w:val="24"/>
        </w:rPr>
        <w:t>.</w:t>
      </w:r>
    </w:p>
    <w:p w14:paraId="5F600DF0" w14:textId="77777777" w:rsidR="00AA6140"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لإدارة النفايات</w:t>
      </w:r>
    </w:p>
    <w:p w14:paraId="0303A5E7" w14:textId="77777777" w:rsidR="002F1457" w:rsidRPr="005D59A7" w:rsidRDefault="002F1457"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رؤية المركز: الريادة في تنظيم قطاع إدارة النفايات بتبني مبادئ الاقتصاد الدائري لتحقيق الاستدامة وتعزيز حماية البيئة وجودة الحياة</w:t>
      </w:r>
      <w:r w:rsidR="00A37197" w:rsidRPr="005D59A7">
        <w:rPr>
          <w:rFonts w:ascii="T" w:hAnsi="T" w:cs="Simplified Arabic"/>
          <w:sz w:val="24"/>
          <w:szCs w:val="24"/>
          <w:rtl/>
        </w:rPr>
        <w:t>.</w:t>
      </w:r>
    </w:p>
    <w:p w14:paraId="3E00501B" w14:textId="77777777" w:rsidR="002F1457" w:rsidRPr="005D59A7" w:rsidRDefault="002F1457" w:rsidP="00A40353">
      <w:p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رسالة المركز: تنظيم قطاع جاذب من خلال تطبيق أفضل الممارسات والتقنيات والمعايير وتعزيز الشفافية والفعالية والامتثال والرقمنة والابتكار</w:t>
      </w:r>
      <w:r w:rsidR="00A37197" w:rsidRPr="005D59A7">
        <w:rPr>
          <w:rFonts w:ascii="T" w:hAnsi="T" w:cs="Simplified Arabic"/>
          <w:sz w:val="24"/>
          <w:szCs w:val="24"/>
          <w:rtl/>
        </w:rPr>
        <w:t>.</w:t>
      </w:r>
    </w:p>
    <w:p w14:paraId="2D0DF6B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أهداف المركز: </w:t>
      </w:r>
    </w:p>
    <w:p w14:paraId="0BBE082C"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تنظيم قطاع غدارة النفايات</w:t>
      </w:r>
      <w:r w:rsidR="00A37197" w:rsidRPr="005D59A7">
        <w:rPr>
          <w:rFonts w:ascii="T" w:hAnsi="T" w:cs="Simplified Arabic"/>
          <w:sz w:val="24"/>
          <w:szCs w:val="24"/>
          <w:rtl/>
        </w:rPr>
        <w:t>.</w:t>
      </w:r>
    </w:p>
    <w:p w14:paraId="144C3CFB"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الجاذبية الاستثمارية والأداء الاقتصادي للقطاع</w:t>
      </w:r>
      <w:r w:rsidR="00A37197" w:rsidRPr="005D59A7">
        <w:rPr>
          <w:rFonts w:ascii="T" w:hAnsi="T" w:cs="Simplified Arabic"/>
          <w:sz w:val="24"/>
          <w:szCs w:val="24"/>
          <w:rtl/>
        </w:rPr>
        <w:t>.</w:t>
      </w:r>
    </w:p>
    <w:p w14:paraId="4BCC171D"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رفع مستويات الامتثال في القطاع.</w:t>
      </w:r>
    </w:p>
    <w:p w14:paraId="6F9F9AA2"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السلوكيات السليمة والممارسات المبتكرة لإدارة النفايات.</w:t>
      </w:r>
    </w:p>
    <w:p w14:paraId="58FC36A8"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تحقيق التحول الرقمي في القطاع وتعظيم الفائدة من البيانات.</w:t>
      </w:r>
    </w:p>
    <w:p w14:paraId="5EC9A3F8" w14:textId="77777777" w:rsidR="002F1457"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صندوق البيئة</w:t>
      </w:r>
    </w:p>
    <w:p w14:paraId="78A4523B"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سعى صندوق البيئة لتحقيق أهداف رؤية المملكة 2030 من خلال دعم الاستدامة المالية لقطاع البيئة وتحفيز التقنيات الصديقة للبيئة، ودعم البرامج والمبادرات البيئية</w:t>
      </w:r>
      <w:r w:rsidRPr="005D59A7">
        <w:rPr>
          <w:rFonts w:ascii="T" w:hAnsi="T" w:cs="Simplified Arabic"/>
          <w:sz w:val="24"/>
          <w:szCs w:val="24"/>
        </w:rPr>
        <w:t>.</w:t>
      </w:r>
    </w:p>
    <w:p w14:paraId="52F3AC46"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تأسس "صندوق البيئة" بموجب قرار مجلس الوزراء رقم [416] وتاريخ 19/7/1440 هـ، ويتمتع بالشخصية الاعتبارية والاستقلال المالي والإداري. وبوصفه مؤسسة وطنية للتمويل، يهدف الصندوق إلى تعزيز الاستدامة البيئية في المملكة، تماشيًا مع رؤية السعودية 2030 والاستراتيجية الوطنية للبيئة (</w:t>
      </w:r>
      <w:r w:rsidRPr="005D59A7">
        <w:rPr>
          <w:rFonts w:ascii="T" w:hAnsi="T" w:cs="Simplified Arabic"/>
          <w:sz w:val="24"/>
          <w:szCs w:val="24"/>
        </w:rPr>
        <w:t>EF, 2026</w:t>
      </w:r>
      <w:r w:rsidRPr="005D59A7">
        <w:rPr>
          <w:rFonts w:ascii="T" w:hAnsi="T" w:cs="Simplified Arabic"/>
          <w:sz w:val="24"/>
          <w:szCs w:val="24"/>
          <w:rtl/>
        </w:rPr>
        <w:t>).</w:t>
      </w:r>
    </w:p>
    <w:p w14:paraId="6924E998"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الرؤية: صندوق رائد لتمكين بيئة مستدامة.</w:t>
      </w:r>
    </w:p>
    <w:p w14:paraId="4822693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الرسالة: تعظيم الموارد المالية وتبني أفضل الممارسات والتقنيات لتحقيق الاستدامة المالية وتعزيز الاستثمار والابتكار في مجالات البيئة</w:t>
      </w:r>
      <w:r w:rsidRPr="005D59A7">
        <w:rPr>
          <w:rFonts w:ascii="T" w:hAnsi="T" w:cs="Simplified Arabic"/>
          <w:sz w:val="24"/>
          <w:szCs w:val="24"/>
        </w:rPr>
        <w:t>.</w:t>
      </w:r>
    </w:p>
    <w:p w14:paraId="6B2AA277"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دور الصندوق: يهدف "صندوق البيئة" إلى تمكين قطاع البيئة، لتعزيز الاستدامة والابتكار الأخضر في مختلف الأنظمة البيئية في المملكة العربية السعودية</w:t>
      </w:r>
      <w:r w:rsidRPr="005D59A7">
        <w:rPr>
          <w:rFonts w:ascii="T" w:hAnsi="T" w:cs="Simplified Arabic"/>
          <w:sz w:val="24"/>
          <w:szCs w:val="24"/>
        </w:rPr>
        <w:t>.</w:t>
      </w:r>
    </w:p>
    <w:p w14:paraId="5DA7A05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تمويل الميزانيات التشغيلية المعتمدة للمراكز الوطنية لقطاع البيئة.</w:t>
      </w:r>
    </w:p>
    <w:p w14:paraId="02C04125"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تحفيز خطط حماية البيئة في المملكة وأنشطتها ومبادراتها والإسهام في تمويلها</w:t>
      </w:r>
      <w:r w:rsidR="00B05050" w:rsidRPr="005D59A7">
        <w:rPr>
          <w:rFonts w:ascii="T" w:hAnsi="T" w:cs="Simplified Arabic"/>
          <w:sz w:val="24"/>
          <w:szCs w:val="24"/>
          <w:rtl/>
        </w:rPr>
        <w:t>.</w:t>
      </w:r>
    </w:p>
    <w:p w14:paraId="248FD9B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تحفيز قطاع البيئة والدراسات والبحوث المتعلقة بها، والإسهام في تمويلها</w:t>
      </w:r>
      <w:r w:rsidR="00B05050" w:rsidRPr="005D59A7">
        <w:rPr>
          <w:rFonts w:ascii="T" w:hAnsi="T" w:cs="Simplified Arabic"/>
          <w:sz w:val="24"/>
          <w:szCs w:val="24"/>
          <w:rtl/>
        </w:rPr>
        <w:t>.</w:t>
      </w:r>
    </w:p>
    <w:p w14:paraId="3DA13BCC" w14:textId="77777777" w:rsidR="00B05050" w:rsidRPr="005D59A7" w:rsidRDefault="00B05050"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استثمار أمواله بما يحقق أهدافه وفقاً للأحكام المنظمة لذلك. </w:t>
      </w:r>
    </w:p>
    <w:p w14:paraId="6D7FCF8F"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القطاعات التي يدعمها الصندوق: </w:t>
      </w:r>
    </w:p>
    <w:p w14:paraId="5B4A819B"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الأرصاد</w:t>
      </w:r>
      <w:r w:rsidR="00837A68" w:rsidRPr="005D59A7">
        <w:rPr>
          <w:rFonts w:ascii="T" w:hAnsi="T" w:cs="Simplified Arabic"/>
          <w:sz w:val="24"/>
          <w:szCs w:val="24"/>
          <w:rtl/>
        </w:rPr>
        <w:t>.</w:t>
      </w:r>
    </w:p>
    <w:p w14:paraId="545AFD6F"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الحياة الفطرية والبحرية</w:t>
      </w:r>
      <w:r w:rsidR="00837A68" w:rsidRPr="005D59A7">
        <w:rPr>
          <w:rFonts w:ascii="T" w:hAnsi="T" w:cs="Simplified Arabic"/>
          <w:sz w:val="24"/>
          <w:szCs w:val="24"/>
          <w:rtl/>
        </w:rPr>
        <w:t>.</w:t>
      </w:r>
    </w:p>
    <w:p w14:paraId="41B97B44"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الغطاء النباتي</w:t>
      </w:r>
      <w:r w:rsidR="00837A68" w:rsidRPr="005D59A7">
        <w:rPr>
          <w:rFonts w:ascii="T" w:hAnsi="T" w:cs="Simplified Arabic"/>
          <w:sz w:val="24"/>
          <w:szCs w:val="24"/>
          <w:rtl/>
        </w:rPr>
        <w:t>.</w:t>
      </w:r>
    </w:p>
    <w:p w14:paraId="03BAC7C8"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الالتزام البيئي</w:t>
      </w:r>
      <w:r w:rsidR="00837A68" w:rsidRPr="005D59A7">
        <w:rPr>
          <w:rFonts w:ascii="T" w:hAnsi="T" w:cs="Simplified Arabic"/>
          <w:sz w:val="24"/>
          <w:szCs w:val="24"/>
          <w:rtl/>
        </w:rPr>
        <w:t>.</w:t>
      </w:r>
    </w:p>
    <w:p w14:paraId="2F8F0299"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معالجة النفايات</w:t>
      </w:r>
      <w:r w:rsidR="00837A68" w:rsidRPr="005D59A7">
        <w:rPr>
          <w:rFonts w:ascii="T" w:hAnsi="T" w:cs="Simplified Arabic"/>
          <w:sz w:val="24"/>
          <w:szCs w:val="24"/>
          <w:rtl/>
        </w:rPr>
        <w:t>.</w:t>
      </w:r>
    </w:p>
    <w:p w14:paraId="1C63713D" w14:textId="77777777" w:rsidR="00222118"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حماية الشعاب المرجانية والسلاحف البحرية.</w:t>
      </w:r>
    </w:p>
    <w:p w14:paraId="36AC8E4A" w14:textId="77777777" w:rsidR="000D4BE5" w:rsidRPr="005D59A7" w:rsidRDefault="000D4BE5" w:rsidP="00335E8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يوجد كذلك المركز الوطني للرقابة على الالتزام البيئي ويعد الجهة الرقابية والتنفيذية البيئية الأولى في المملكة تحت إشراف وزارة البيئة والمياه والزراعة. ولكن، بحكم اعتماد الرسالة وخصوصاً الجزء الفني منها على دراسة حالة لمشاركة القطاع الخاص في خدمة التفتيش البيئي والتي يتم تنفيذها من قبل المركز الوطني للرقابة على الالتزام البيئي، سيتم تخصيص فقرة مستقلة لدراسة المركز وتأسيسه وأهدافه وخدماته وغيرها من البنود في الفصل الثالث للحفاظ على التسلسل الفني تدرجاً لخدمة التفتيش البيئي. وفيما يلي جدول يلخص الجهات البيئية بالمملكة والتعريف الأساسي لها. </w:t>
      </w:r>
    </w:p>
    <w:tbl>
      <w:tblPr>
        <w:tblStyle w:val="TableGrid"/>
        <w:bidiVisual/>
        <w:tblW w:w="0" w:type="auto"/>
        <w:tblInd w:w="720" w:type="dxa"/>
        <w:tblLook w:val="04A0" w:firstRow="1" w:lastRow="0" w:firstColumn="1" w:lastColumn="0" w:noHBand="0" w:noVBand="1"/>
      </w:tblPr>
      <w:tblGrid>
        <w:gridCol w:w="2894"/>
        <w:gridCol w:w="2329"/>
        <w:gridCol w:w="2353"/>
      </w:tblGrid>
      <w:tr w:rsidR="0048002A" w:rsidRPr="005D59A7" w14:paraId="3E4C4A6E" w14:textId="77777777" w:rsidTr="000D4BE5">
        <w:tc>
          <w:tcPr>
            <w:tcW w:w="2952" w:type="dxa"/>
          </w:tcPr>
          <w:p w14:paraId="14DB76E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البرنامج/الجهة</w:t>
            </w:r>
          </w:p>
        </w:tc>
        <w:tc>
          <w:tcPr>
            <w:tcW w:w="2420" w:type="dxa"/>
          </w:tcPr>
          <w:p w14:paraId="426DB42B"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المسمى</w:t>
            </w:r>
          </w:p>
        </w:tc>
        <w:tc>
          <w:tcPr>
            <w:tcW w:w="2430" w:type="dxa"/>
          </w:tcPr>
          <w:p w14:paraId="05A5A23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الهدف</w:t>
            </w:r>
          </w:p>
        </w:tc>
      </w:tr>
      <w:tr w:rsidR="0048002A" w:rsidRPr="005D59A7" w14:paraId="6E19CACE" w14:textId="77777777" w:rsidTr="000D4BE5">
        <w:tc>
          <w:tcPr>
            <w:tcW w:w="2952" w:type="dxa"/>
            <w:vAlign w:val="center"/>
          </w:tcPr>
          <w:p w14:paraId="0FD037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29F91FD4" wp14:editId="5546C5D5">
                  <wp:extent cx="1047750" cy="1047750"/>
                  <wp:effectExtent l="19050" t="0" r="0" b="0"/>
                  <wp:docPr id="61"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26"/>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20" w:type="dxa"/>
            <w:vAlign w:val="center"/>
          </w:tcPr>
          <w:p w14:paraId="41FC650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وزارة البيئة والمياه والزراعة</w:t>
            </w:r>
          </w:p>
        </w:tc>
        <w:tc>
          <w:tcPr>
            <w:tcW w:w="2430" w:type="dxa"/>
          </w:tcPr>
          <w:p w14:paraId="0ABC1FB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إطلاق المراكز البيئية الخمسة وصندوق البيئة. </w:t>
            </w:r>
          </w:p>
        </w:tc>
      </w:tr>
      <w:tr w:rsidR="0048002A" w:rsidRPr="005D59A7" w14:paraId="6DCF9103" w14:textId="77777777" w:rsidTr="000D4BE5">
        <w:tc>
          <w:tcPr>
            <w:tcW w:w="2952" w:type="dxa"/>
            <w:vAlign w:val="center"/>
          </w:tcPr>
          <w:p w14:paraId="6E862F6D"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1720509A" wp14:editId="4DC0DDB7">
                  <wp:extent cx="1019175" cy="1019175"/>
                  <wp:effectExtent l="19050" t="0" r="9525" b="0"/>
                  <wp:docPr id="62"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27"/>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20" w:type="dxa"/>
            <w:vAlign w:val="center"/>
          </w:tcPr>
          <w:p w14:paraId="2CD66CB3"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c>
          <w:tcPr>
            <w:tcW w:w="2430" w:type="dxa"/>
          </w:tcPr>
          <w:p w14:paraId="3914CB7F"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الرقابة والإشراف على الالتزام البيئي في المملكة من خلال التفتيش البيئي وإصدار التراخيص وغيرها.</w:t>
            </w:r>
          </w:p>
        </w:tc>
      </w:tr>
      <w:tr w:rsidR="0048002A" w:rsidRPr="005D59A7" w14:paraId="474E8918" w14:textId="77777777" w:rsidTr="000D4BE5">
        <w:tc>
          <w:tcPr>
            <w:tcW w:w="2952" w:type="dxa"/>
            <w:vAlign w:val="center"/>
          </w:tcPr>
          <w:p w14:paraId="4EFB240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7B06910A" wp14:editId="45F72B7D">
                  <wp:extent cx="904875" cy="904875"/>
                  <wp:effectExtent l="19050" t="0" r="9525" b="0"/>
                  <wp:docPr id="63"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28"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20" w:type="dxa"/>
            <w:vAlign w:val="center"/>
          </w:tcPr>
          <w:p w14:paraId="13A26888"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لتنمية الغطاء النباتي ومكافحة التصحر</w:t>
            </w:r>
          </w:p>
        </w:tc>
        <w:tc>
          <w:tcPr>
            <w:tcW w:w="2430" w:type="dxa"/>
          </w:tcPr>
          <w:p w14:paraId="5890D52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تنيمة الغطاء النباتي في المملكة وزيادة الغطاء الأخضر ومبادرات التشجير وغيرها.</w:t>
            </w:r>
          </w:p>
        </w:tc>
      </w:tr>
      <w:tr w:rsidR="0048002A" w:rsidRPr="005D59A7" w14:paraId="20257EDF" w14:textId="77777777" w:rsidTr="000D4BE5">
        <w:tc>
          <w:tcPr>
            <w:tcW w:w="2952" w:type="dxa"/>
            <w:vAlign w:val="center"/>
          </w:tcPr>
          <w:p w14:paraId="2AEE3995"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364C21D1" wp14:editId="21BA2CBD">
                  <wp:extent cx="1076325" cy="1009650"/>
                  <wp:effectExtent l="19050" t="0" r="9525" b="0"/>
                  <wp:docPr id="64"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29"/>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20" w:type="dxa"/>
            <w:vAlign w:val="center"/>
          </w:tcPr>
          <w:p w14:paraId="1023D722"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لتمنية الحياة الفطرية</w:t>
            </w:r>
          </w:p>
        </w:tc>
        <w:tc>
          <w:tcPr>
            <w:tcW w:w="2430" w:type="dxa"/>
          </w:tcPr>
          <w:p w14:paraId="4A00EA33"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48002A" w:rsidRPr="005D59A7" w14:paraId="7BC71A0F" w14:textId="77777777" w:rsidTr="000D4BE5">
        <w:tc>
          <w:tcPr>
            <w:tcW w:w="2952" w:type="dxa"/>
            <w:vAlign w:val="center"/>
          </w:tcPr>
          <w:p w14:paraId="5980EA68"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7E531204" wp14:editId="53E72EF8">
                  <wp:extent cx="882585" cy="876300"/>
                  <wp:effectExtent l="19050" t="0" r="0" b="0"/>
                  <wp:docPr id="65"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30"/>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20" w:type="dxa"/>
            <w:vAlign w:val="center"/>
          </w:tcPr>
          <w:p w14:paraId="41AD76DE"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للأرصاد</w:t>
            </w:r>
          </w:p>
        </w:tc>
        <w:tc>
          <w:tcPr>
            <w:tcW w:w="2430" w:type="dxa"/>
          </w:tcPr>
          <w:p w14:paraId="36B5E962"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الأرصاد الجوية وتنبيهات الأمطار والأتربة والإنذارت والتوقعات.</w:t>
            </w:r>
          </w:p>
        </w:tc>
      </w:tr>
      <w:tr w:rsidR="0048002A" w:rsidRPr="005D59A7" w14:paraId="41E8AF5E" w14:textId="77777777" w:rsidTr="000D4BE5">
        <w:tc>
          <w:tcPr>
            <w:tcW w:w="2952" w:type="dxa"/>
            <w:vAlign w:val="center"/>
          </w:tcPr>
          <w:p w14:paraId="203F99E7"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6701C253" wp14:editId="4988C903">
                  <wp:extent cx="1009650" cy="904875"/>
                  <wp:effectExtent l="19050" t="0" r="0" b="0"/>
                  <wp:docPr id="66"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31"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20" w:type="dxa"/>
            <w:vAlign w:val="center"/>
          </w:tcPr>
          <w:p w14:paraId="42FFEE7C"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لإدارة النفايات</w:t>
            </w:r>
          </w:p>
        </w:tc>
        <w:tc>
          <w:tcPr>
            <w:tcW w:w="2430" w:type="dxa"/>
          </w:tcPr>
          <w:p w14:paraId="6F6CF465"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إدارة النفايات والبرامج الخاصة بها مثل إعادة التدوير والمدافن والرقابة على الآثار البيئية المصاحبة.</w:t>
            </w:r>
          </w:p>
        </w:tc>
      </w:tr>
      <w:tr w:rsidR="0048002A" w:rsidRPr="005D59A7" w14:paraId="4088F8FE" w14:textId="77777777" w:rsidTr="000D4BE5">
        <w:tc>
          <w:tcPr>
            <w:tcW w:w="2952" w:type="dxa"/>
            <w:vAlign w:val="center"/>
          </w:tcPr>
          <w:p w14:paraId="169C798D"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1F945048" wp14:editId="17D8ABFB">
                  <wp:extent cx="962025" cy="857250"/>
                  <wp:effectExtent l="19050" t="0" r="9525" b="0"/>
                  <wp:docPr id="67"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32"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20" w:type="dxa"/>
            <w:vAlign w:val="center"/>
          </w:tcPr>
          <w:p w14:paraId="0BEFC5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صندوق البيئة</w:t>
            </w:r>
          </w:p>
        </w:tc>
        <w:tc>
          <w:tcPr>
            <w:tcW w:w="2430" w:type="dxa"/>
          </w:tcPr>
          <w:p w14:paraId="0887104C"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تنسيق التمويل للمراكز الخمسة من خلال الوزارة والإشراف على تمويل كافة البرامج والمبادرات الخاصة بهم.</w:t>
            </w:r>
          </w:p>
        </w:tc>
      </w:tr>
    </w:tbl>
    <w:p w14:paraId="61C509C1" w14:textId="4D1AD6D1" w:rsidR="000D4BE5" w:rsidRPr="005D59A7" w:rsidRDefault="000D4BE5" w:rsidP="00861DC2">
      <w:pPr>
        <w:pStyle w:val="Caption"/>
        <w:bidi/>
        <w:spacing w:line="360" w:lineRule="auto"/>
        <w:ind w:firstLine="720"/>
        <w:jc w:val="center"/>
        <w:rPr>
          <w:rFonts w:ascii="T" w:hAnsi="T" w:cs="Simplified Arabic"/>
          <w:color w:val="auto"/>
          <w:sz w:val="24"/>
          <w:szCs w:val="24"/>
          <w:rtl/>
        </w:rPr>
      </w:pPr>
      <w:bookmarkStart w:id="60" w:name="_Toc225991176"/>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الجهات البيئية بالمملكة العربية السعودية</w:t>
      </w:r>
      <w:bookmarkEnd w:id="60"/>
    </w:p>
    <w:p w14:paraId="20C3CF7E" w14:textId="77777777" w:rsidR="00FF1690" w:rsidRPr="005D59A7" w:rsidRDefault="00616CCD" w:rsidP="0045581D">
      <w:pPr>
        <w:pStyle w:val="Heading3"/>
        <w:numPr>
          <w:ilvl w:val="0"/>
          <w:numId w:val="9"/>
        </w:numPr>
        <w:bidi/>
        <w:spacing w:line="360" w:lineRule="auto"/>
        <w:ind w:firstLine="720"/>
        <w:rPr>
          <w:rFonts w:ascii="T" w:hAnsi="T" w:cs="Simplified Arabic"/>
          <w:color w:val="auto"/>
          <w:sz w:val="24"/>
          <w:szCs w:val="24"/>
          <w:rtl/>
        </w:rPr>
      </w:pPr>
      <w:bookmarkStart w:id="61" w:name="_Toc233202827"/>
      <w:r w:rsidRPr="005D59A7">
        <w:rPr>
          <w:rFonts w:ascii="T" w:hAnsi="T" w:cs="Simplified Arabic"/>
          <w:color w:val="auto"/>
          <w:sz w:val="24"/>
          <w:szCs w:val="24"/>
          <w:rtl/>
        </w:rPr>
        <w:lastRenderedPageBreak/>
        <w:t xml:space="preserve">تقرير دراسة </w:t>
      </w:r>
      <w:r w:rsidR="00A6181A" w:rsidRPr="005D59A7">
        <w:rPr>
          <w:rFonts w:ascii="T" w:hAnsi="T" w:cs="Simplified Arabic"/>
          <w:color w:val="auto"/>
          <w:sz w:val="24"/>
          <w:szCs w:val="24"/>
          <w:rtl/>
        </w:rPr>
        <w:t>الإستراتيجية</w:t>
      </w:r>
      <w:r w:rsidR="00FF1690" w:rsidRPr="005D59A7">
        <w:rPr>
          <w:rFonts w:ascii="T" w:hAnsi="T" w:cs="Simplified Arabic"/>
          <w:color w:val="auto"/>
          <w:sz w:val="24"/>
          <w:szCs w:val="24"/>
          <w:rtl/>
        </w:rPr>
        <w:t xml:space="preserve"> الوطنية للبيئة</w:t>
      </w:r>
      <w:r w:rsidRPr="005D59A7">
        <w:rPr>
          <w:rFonts w:ascii="T" w:hAnsi="T" w:cs="Simplified Arabic"/>
          <w:color w:val="auto"/>
          <w:sz w:val="24"/>
          <w:szCs w:val="24"/>
          <w:rtl/>
        </w:rPr>
        <w:t xml:space="preserve"> (وزارة البيئة والمياه والزراعة، 2018).</w:t>
      </w:r>
      <w:bookmarkEnd w:id="61"/>
    </w:p>
    <w:p w14:paraId="12FBE2DA" w14:textId="77777777" w:rsidR="00FF1690" w:rsidRPr="005D59A7" w:rsidRDefault="008C391A"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جاءت الحاجة إلى وجود إستراتيجية بيئية وطنية</w:t>
      </w:r>
      <w:r w:rsidRPr="005D59A7">
        <w:rPr>
          <w:rFonts w:ascii="T" w:hAnsi="T" w:cs="Simplified Arabic"/>
          <w:sz w:val="24"/>
          <w:szCs w:val="24"/>
        </w:rPr>
        <w:t xml:space="preserve"> </w:t>
      </w:r>
      <w:r w:rsidRPr="005D59A7">
        <w:rPr>
          <w:rFonts w:ascii="T" w:hAnsi="T" w:cs="Simplified Arabic"/>
          <w:sz w:val="24"/>
          <w:szCs w:val="24"/>
          <w:rtl/>
        </w:rPr>
        <w:t>على مدى العقود الماضية، حيث تفاقمت الضغوط على البيئة والموارد الطبيعية نتيجة الزيادة المطردة في عدد سكان المملكة (+136% على مدى السنوات الثلاثين الماضية)</w:t>
      </w:r>
    </w:p>
    <w:p w14:paraId="643A8302"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6E4A7D25" wp14:editId="3AAFE0CA">
            <wp:extent cx="3524250" cy="1047750"/>
            <wp:effectExtent l="19050" t="0" r="0" b="0"/>
            <wp:docPr id="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3524250" cy="1047750"/>
                    </a:xfrm>
                    <a:prstGeom prst="rect">
                      <a:avLst/>
                    </a:prstGeom>
                    <a:noFill/>
                    <a:ln w="9525">
                      <a:noFill/>
                      <a:miter lim="800000"/>
                      <a:headEnd/>
                      <a:tailEnd/>
                    </a:ln>
                  </pic:spPr>
                </pic:pic>
              </a:graphicData>
            </a:graphic>
          </wp:inline>
        </w:drawing>
      </w:r>
    </w:p>
    <w:p w14:paraId="33C0DE4F" w14:textId="43DA459C"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2" w:name="_Toc225991169"/>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النمو السكاني خلال الثلاثين عاماً الماضية (بالملايين)</w:t>
      </w:r>
      <w:bookmarkEnd w:id="62"/>
    </w:p>
    <w:p w14:paraId="091D5CD6" w14:textId="77777777" w:rsidR="008C391A" w:rsidRPr="005D59A7" w:rsidRDefault="008C391A"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كما شهدت جميع القطاعات نمواً ملحوظاً (التصنيع، والطاقة، والنقل، والتعدين، والزراعة).</w:t>
      </w:r>
    </w:p>
    <w:p w14:paraId="467F32F1"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84F720A" wp14:editId="6AD69623">
            <wp:extent cx="3600450" cy="1123950"/>
            <wp:effectExtent l="19050" t="0" r="0" b="0"/>
            <wp:docPr id="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600450" cy="1123950"/>
                    </a:xfrm>
                    <a:prstGeom prst="rect">
                      <a:avLst/>
                    </a:prstGeom>
                    <a:noFill/>
                    <a:ln w="9525">
                      <a:noFill/>
                      <a:miter lim="800000"/>
                      <a:headEnd/>
                      <a:tailEnd/>
                    </a:ln>
                  </pic:spPr>
                </pic:pic>
              </a:graphicData>
            </a:graphic>
          </wp:inline>
        </w:drawing>
      </w:r>
    </w:p>
    <w:p w14:paraId="18D2200B" w14:textId="33C652CD"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3" w:name="_Toc225991170"/>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6</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نمو الناتج المحلي الإجمالي على مدار الثلاثين عاماً الماضية (بالمليارات من الريال السعودي بأسعار ثابتة/سنوياً)</w:t>
      </w:r>
      <w:bookmarkEnd w:id="63"/>
    </w:p>
    <w:p w14:paraId="50240D54" w14:textId="77777777" w:rsidR="00E71504" w:rsidRPr="005D59A7" w:rsidRDefault="00E71504"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إلا أن جهاز حماية البيئة لم يتكيف مع هذا النمو الكبير من خلال ضعف الالتزام بالضوابط والمعايير البيئية، ضعف الوعي البيئي وانتشار الممارسات الضارة، التدهور البيئي العام (مصادر الملوثات، والنفايات، وتدهور الغطاء النباتي والحياة البرية)، واحتلال المملكة مرتبة متدنية وفقًا لمؤشر الأداء البيئي (</w:t>
      </w:r>
      <w:r w:rsidRPr="005D59A7">
        <w:rPr>
          <w:rFonts w:ascii="T" w:hAnsi="T" w:cs="Simplified Arabic"/>
          <w:sz w:val="24"/>
          <w:szCs w:val="24"/>
        </w:rPr>
        <w:t>EPI</w:t>
      </w:r>
      <w:r w:rsidRPr="005D59A7">
        <w:rPr>
          <w:rFonts w:ascii="T" w:hAnsi="T" w:cs="Simplified Arabic"/>
          <w:sz w:val="24"/>
          <w:szCs w:val="24"/>
          <w:rtl/>
        </w:rPr>
        <w:t>) (المرتبة "86" لعام 2017 من بين 180 دولة). وقد استلزم هذا الوضع وضع استراتيجية بيئية وطنية تحدد إطاراً شاملاً لتنفيذ حلول جذرية معينة لتحسين أداء القطاع وحماية البيئة واستدامتها</w:t>
      </w:r>
      <w:r w:rsidR="000C74D1" w:rsidRPr="005D59A7">
        <w:rPr>
          <w:rFonts w:ascii="T" w:hAnsi="T" w:cs="Simplified Arabic"/>
          <w:sz w:val="24"/>
          <w:szCs w:val="24"/>
          <w:rtl/>
        </w:rPr>
        <w:t xml:space="preserve"> (</w:t>
      </w:r>
      <w:r w:rsidR="000C74D1" w:rsidRPr="005D59A7">
        <w:rPr>
          <w:rFonts w:ascii="T" w:hAnsi="T" w:cs="Simplified Arabic"/>
          <w:sz w:val="24"/>
          <w:szCs w:val="24"/>
        </w:rPr>
        <w:t>NES, 2018</w:t>
      </w:r>
      <w:r w:rsidR="000C74D1" w:rsidRPr="005D59A7">
        <w:rPr>
          <w:rFonts w:ascii="T" w:hAnsi="T" w:cs="Simplified Arabic"/>
          <w:sz w:val="24"/>
          <w:szCs w:val="24"/>
          <w:rtl/>
        </w:rPr>
        <w:t>)</w:t>
      </w:r>
      <w:r w:rsidRPr="005D59A7">
        <w:rPr>
          <w:rFonts w:ascii="T" w:hAnsi="T" w:cs="Simplified Arabic"/>
          <w:sz w:val="24"/>
          <w:szCs w:val="24"/>
          <w:rtl/>
        </w:rPr>
        <w:t>.</w:t>
      </w:r>
    </w:p>
    <w:p w14:paraId="1220265C" w14:textId="77777777" w:rsidR="00E71504"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تطمح </w:t>
      </w:r>
      <w:r w:rsidR="000C74D1" w:rsidRPr="005D59A7">
        <w:rPr>
          <w:rFonts w:ascii="T" w:hAnsi="T" w:cs="Simplified Arabic"/>
          <w:sz w:val="24"/>
          <w:szCs w:val="24"/>
          <w:rtl/>
        </w:rPr>
        <w:t>الإستراتيجية</w:t>
      </w:r>
      <w:r w:rsidRPr="005D59A7">
        <w:rPr>
          <w:rFonts w:ascii="T" w:hAnsi="T" w:cs="Simplified Arabic"/>
          <w:sz w:val="24"/>
          <w:szCs w:val="24"/>
          <w:rtl/>
        </w:rPr>
        <w:t xml:space="preserve"> الوطنية للبيئة إلى:</w:t>
      </w:r>
    </w:p>
    <w:p w14:paraId="766C5EE7"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تعزيز فعالية القطاع (الإطار المؤسسي، والحوكمة، ونموذج التشغيل، واللوائح البيئية، والاستدامة المالية للقطاع).</w:t>
      </w:r>
    </w:p>
    <w:p w14:paraId="3681A8B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زيادة الالتزام بالمعايير البيئية في جميع قطاعات التنمية والحد من التلوث والآثار السلبية على البيئة.</w:t>
      </w:r>
    </w:p>
    <w:p w14:paraId="27319A5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تطوير الغطاء النباتي الطبيعي ومكافحة التصحر.</w:t>
      </w:r>
    </w:p>
    <w:p w14:paraId="34FAE81A"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حماية الحياة البرية والحفاظ على التنوع البيولوجي.</w:t>
      </w:r>
    </w:p>
    <w:p w14:paraId="18A707E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تشجيع مشاركة القطاع الخاص لتحسين جودة الخدمات، وتعزيز الاقتصاد، وتحفيز الابتكار.</w:t>
      </w:r>
    </w:p>
    <w:p w14:paraId="5AE64C2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تعزيز القدرة الوطنية على التكيف مع تغير المناخ.</w:t>
      </w:r>
    </w:p>
    <w:p w14:paraId="50047951"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وتعزيز دور المنظمات غير الحكومية والعمل التطوعي.</w:t>
      </w:r>
    </w:p>
    <w:p w14:paraId="56AEE9A6"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تحسين جودة ونطاق تغطية خدمات الأرصاد الجوية.</w:t>
      </w:r>
    </w:p>
    <w:p w14:paraId="0F465B40" w14:textId="77777777" w:rsidR="00125FDB"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تطلب إعداد الإستراتيجية الإشراف والحوكمة من قبل عدد من الجهات بمختلف التخصصات</w:t>
      </w:r>
      <w:r w:rsidR="00125FDB" w:rsidRPr="005D59A7">
        <w:rPr>
          <w:rFonts w:ascii="T" w:hAnsi="T" w:cs="Simplified Arabic"/>
          <w:sz w:val="24"/>
          <w:szCs w:val="24"/>
          <w:rtl/>
        </w:rPr>
        <w:t xml:space="preserve"> والهيكلة المؤسسية:</w:t>
      </w:r>
    </w:p>
    <w:p w14:paraId="192766D7" w14:textId="77777777" w:rsidR="00125FDB" w:rsidRPr="005D59A7" w:rsidRDefault="00125FDB"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التوجيهية، برئاسة معالي وزير البيئة والمياه والزراعة، وعضوية 20 عضواً يمثلون جميع القطاعات ذات الصلة:</w:t>
      </w:r>
    </w:p>
    <w:p w14:paraId="17A10F9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w:t>
      </w:r>
    </w:p>
    <w:p w14:paraId="18E0B4C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الاقتصاد والتخطيط.</w:t>
      </w:r>
    </w:p>
    <w:p w14:paraId="7F841FB7"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الطاقة والصناعة والموارد المعدنية.</w:t>
      </w:r>
    </w:p>
    <w:p w14:paraId="0AC19F21"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الصحة.</w:t>
      </w:r>
    </w:p>
    <w:p w14:paraId="41025AFA"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النقل.</w:t>
      </w:r>
    </w:p>
    <w:p w14:paraId="1269062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الشؤون البلدية والريفية.</w:t>
      </w:r>
    </w:p>
    <w:p w14:paraId="621EF8FC"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942D96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749C0A6E"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الملكية بالجبيل وينبع.</w:t>
      </w:r>
    </w:p>
    <w:p w14:paraId="21490404"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الهيئة الملكية للجبيل و</w:t>
      </w:r>
    </w:p>
    <w:p w14:paraId="092BD03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للسياحة والتراث الوطني.</w:t>
      </w:r>
    </w:p>
    <w:p w14:paraId="70DFA1B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المركز السعودي لكفاءة الطاقة.</w:t>
      </w:r>
    </w:p>
    <w:p w14:paraId="4E4D1F70"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الوطنية لآلية التنمية النظيفة.</w:t>
      </w:r>
    </w:p>
    <w:p w14:paraId="7FBBD9A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49B1225"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2C141426"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1955AF34" w14:textId="77777777" w:rsidR="00125FDB"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لجنة علمية تتألف من 19 عضواً:</w:t>
      </w:r>
    </w:p>
    <w:p w14:paraId="072F169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 (إدارات البيئة، المياه، الزراعة، التخطيط، الخصخصة، ومكتب تحقيق الرؤية).</w:t>
      </w:r>
    </w:p>
    <w:p w14:paraId="34834BC5"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2BFE8A07"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F01F0A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8793244"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0C8A5C7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330AA5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منظمة الأغذية والزراعة (الفاو).</w:t>
      </w:r>
    </w:p>
    <w:p w14:paraId="3A71E4B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البيئة السعوديون.</w:t>
      </w:r>
    </w:p>
    <w:p w14:paraId="3E60D664"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دراسة يتألف من 18 عضواً:</w:t>
      </w:r>
    </w:p>
    <w:p w14:paraId="240D88D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من وزارة البيئة والمياه والزراعة يتألف من 8 أشخاص.</w:t>
      </w:r>
    </w:p>
    <w:p w14:paraId="3647FAD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مكتب استشاري يتألف من "10" أشخاص.</w:t>
      </w:r>
    </w:p>
    <w:p w14:paraId="026E2C2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دوليون.</w:t>
      </w:r>
    </w:p>
    <w:p w14:paraId="57A069D2"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"25" خبيرًا في "17" مجالًا:</w:t>
      </w:r>
    </w:p>
    <w:p w14:paraId="40088A1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الاستراتيجيات البيئية.</w:t>
      </w:r>
    </w:p>
    <w:p w14:paraId="22A654F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التنوع البيولوجي والحياة البرية الصحراوية.</w:t>
      </w:r>
    </w:p>
    <w:p w14:paraId="6215916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البيئة البحرية.</w:t>
      </w:r>
    </w:p>
    <w:p w14:paraId="707896FA"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التربة والتصحر.</w:t>
      </w:r>
    </w:p>
    <w:p w14:paraId="5D44DE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جودة الهواء.</w:t>
      </w:r>
    </w:p>
    <w:p w14:paraId="360EE0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تغير المناخ.</w:t>
      </w:r>
    </w:p>
    <w:p w14:paraId="73BD7DB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الموارد المائية والمياه الجوفية الحماية من التلوث.</w:t>
      </w:r>
    </w:p>
    <w:p w14:paraId="478BE0F8"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النفايات الصلبة والخطرة.</w:t>
      </w:r>
    </w:p>
    <w:p w14:paraId="5C4252B3"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علم الأرصاد الجوية.</w:t>
      </w:r>
    </w:p>
    <w:p w14:paraId="776B77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الحوكمة البيئية والإطار المؤسسي.</w:t>
      </w:r>
    </w:p>
    <w:p w14:paraId="70CA53A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الخصخصة والاستثمار في قطاع البيئة.</w:t>
      </w:r>
    </w:p>
    <w:p w14:paraId="1CF8D8B6" w14:textId="77777777" w:rsidR="00957F3D"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الاقتصاد البيئي والاجتماعي.</w:t>
      </w:r>
    </w:p>
    <w:p w14:paraId="119E6EE6"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إعادة التأهيل والاستدامة وإعادة التدوير.</w:t>
      </w:r>
    </w:p>
    <w:p w14:paraId="06112A8D"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الاستجابة لحالات الطوارئ وحوادث انسكاب النفط.</w:t>
      </w:r>
    </w:p>
    <w:p w14:paraId="5B9A1127"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رأس المال البشري في قطاع البيئة.</w:t>
      </w:r>
    </w:p>
    <w:p w14:paraId="4090EC45"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المعلومات والتكنولوجيا في قطاع البيئة.</w:t>
      </w:r>
    </w:p>
    <w:p w14:paraId="12C4EA83" w14:textId="77777777" w:rsidR="00297342" w:rsidRPr="005D59A7" w:rsidRDefault="00297342" w:rsidP="00861DC2">
      <w:pPr>
        <w:pStyle w:val="Heading4"/>
        <w:bidi/>
        <w:spacing w:line="360" w:lineRule="auto"/>
        <w:ind w:firstLine="720"/>
        <w:rPr>
          <w:rFonts w:ascii="T" w:hAnsi="T" w:cs="Simplified Arabic"/>
          <w:b w:val="0"/>
          <w:bCs w:val="0"/>
          <w:color w:val="auto"/>
          <w:sz w:val="24"/>
          <w:szCs w:val="24"/>
        </w:rPr>
      </w:pPr>
      <w:r w:rsidRPr="005D59A7">
        <w:rPr>
          <w:rFonts w:ascii="T" w:hAnsi="T" w:cs="Simplified Arabic"/>
          <w:b w:val="0"/>
          <w:bCs w:val="0"/>
          <w:color w:val="auto"/>
          <w:sz w:val="24"/>
          <w:szCs w:val="24"/>
          <w:rtl/>
        </w:rPr>
        <w:t>الإطار العام للإستراتيجية الوطنية للبيئة:</w:t>
      </w:r>
    </w:p>
    <w:p w14:paraId="26AF19D3"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طموحات الإستراتيجية الوطنية للبيئة على أربعة أبعاد رئيسية: الاستدامة البيئية (الحفاظ على الموارد الطبيعية، الاستهلاك والإنتاج المستدام، إعادة تأهيل النظم البيئية المتدهورة)، والاستدامة الاقتصادية (بيئة مستدامة اقتصادياً، النمو الاقتصادي المستدام، تعزيز الشراكة بين القطاعين العام والخاص)، والرعاية الاجتماعية (الحد من التلوث، تحسين جودة الحياة، الترويج للسياحة البيئية)، والمشاركة البيئية (مساهمة المجتمع المدني، المشاركة الإقليمية والدولية الفعالة)</w:t>
      </w:r>
      <w:r w:rsidRPr="005D59A7">
        <w:rPr>
          <w:rFonts w:ascii="T" w:hAnsi="T" w:cs="Simplified Arabic"/>
          <w:sz w:val="24"/>
          <w:szCs w:val="24"/>
        </w:rPr>
        <w:t>.</w:t>
      </w:r>
    </w:p>
    <w:p w14:paraId="5FADD074"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تتوزع مجالات الاستدامة البيئية عبر خمسة قطاعات: النظم البيئية الأرضية (مواجهة تهديدات التنوع البيولوجي، حماية الموائل، مبادرات الحفاظ)، والنظم البيئية البحرية والساحلية (معالجة تهديدات البيئات البحرية، </w:t>
      </w:r>
      <w:r w:rsidRPr="005D59A7">
        <w:rPr>
          <w:rFonts w:ascii="T" w:hAnsi="T" w:cs="Simplified Arabic"/>
          <w:sz w:val="24"/>
          <w:szCs w:val="24"/>
          <w:rtl/>
        </w:rPr>
        <w:lastRenderedPageBreak/>
        <w:t>الحفاظ على الموائل، مبادرات الحفاظ)، والأرض والتصحر (مواجهة الإفراط في الاستهلاك، إدارة الموارد الطبيعية، إدارة الأراضي المستدامة)، وعلم الأرصاد الجوية (تحسين نطاق الخدمة، تطوير آليات التوريد، رفع جودة التقديم). كما تشمل جودة الهواء وتغير المناخ (مصادر التلوث، تحسين جودة الهواء، استراتيجيات التخفيف)، وموارد المياه (إدارة الطلب، ضمان الجودة والتوافر، الإدارة المتكاملة)، وإدارة النفايات والسلامة الكيميائية (تحديد مصادر النفايات، تطوير البنية التحتية، الإدارة المتكاملة)</w:t>
      </w:r>
      <w:r w:rsidRPr="005D59A7">
        <w:rPr>
          <w:rFonts w:ascii="T" w:hAnsi="T" w:cs="Simplified Arabic"/>
          <w:sz w:val="24"/>
          <w:szCs w:val="24"/>
        </w:rPr>
        <w:t xml:space="preserve"> (NES, 2018).</w:t>
      </w:r>
    </w:p>
    <w:p w14:paraId="0AE79EE9" w14:textId="62F654D5" w:rsidR="00377C52" w:rsidRPr="005D59A7" w:rsidRDefault="00031138" w:rsidP="000B0864">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عوامل تمكين الإستراتيجية الوطنية للبيئة</w:t>
      </w:r>
    </w:p>
    <w:p w14:paraId="6416E33C"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عوامل تمكين تنفيذ الإستراتيجية الوطنية للبيئة على خمسة محاور رئيسية. المحور الأول: الإطار المؤسسي، ويشمل الهيكل القطاعي، وتحديد مسؤوليات أصحاب المصلحة، وتعزيز مشاركة القطاع الخاص، وإشراك المجتمع المدني، والتعاون الدولي والإقليمي. المحور الثاني: السياسات واللوائح، ويشمل تطوير اللوائح الفنية والاقتصادية (كالرسوم والمخالفات والتعريفات الجمركية)، وأنظمة الترخيص، وآليات المراقبة والامتثال البيئي والإنفاذ والعقوبات. المحور الثالث: العوامل الاقتصادية المساعدة، ويشمل تعزيز مصادر إيرادات القطاع، وتفعيل مشاركة القطاع الخاص، ودور صندوق البيئة، وتوفير حوافز للقطاعات التنموية. المحور الرابع: القدرات المطلوبة، ويشمل تطوير الموارد البشرية والتعليم، وتوطين التقنيات والأنظمة، وتعزيز التخطيط وإدارة المخاطر والتأهب للطوارئ، ودعم البحث والتطوير والابتكار، ونشر الوعي وتغيير السلوك. المحور الخامس: برامج التنفيذ وإدارة الأداء، ويشمل وضع برامج تنفيذية واضحة، وتطوير آليات الإشراف والتنسيق وإدارة الأداء، وخطط وآليات الرصد والتحكم (</w:t>
      </w:r>
      <w:r w:rsidRPr="005D59A7">
        <w:rPr>
          <w:rFonts w:ascii="T" w:hAnsi="T" w:cs="Simplified Arabic"/>
          <w:sz w:val="24"/>
          <w:szCs w:val="24"/>
        </w:rPr>
        <w:t>NES, 2018</w:t>
      </w:r>
      <w:r w:rsidRPr="005D59A7">
        <w:rPr>
          <w:rFonts w:ascii="T" w:hAnsi="T" w:cs="Simplified Arabic"/>
          <w:sz w:val="24"/>
          <w:szCs w:val="24"/>
          <w:rtl/>
        </w:rPr>
        <w:t>).</w:t>
      </w:r>
    </w:p>
    <w:p w14:paraId="072553EE" w14:textId="77777777" w:rsidR="00031138" w:rsidRPr="005D59A7" w:rsidRDefault="00205F80" w:rsidP="0045581D">
      <w:pPr>
        <w:pStyle w:val="Heading4"/>
        <w:numPr>
          <w:ilvl w:val="0"/>
          <w:numId w:val="23"/>
        </w:numPr>
        <w:bidi/>
        <w:spacing w:line="360" w:lineRule="auto"/>
        <w:ind w:left="84" w:firstLine="720"/>
        <w:rPr>
          <w:rFonts w:ascii="T" w:hAnsi="T" w:cs="Simplified Arabic"/>
          <w:b w:val="0"/>
          <w:bCs w:val="0"/>
          <w:color w:val="auto"/>
          <w:sz w:val="24"/>
          <w:szCs w:val="24"/>
        </w:rPr>
      </w:pPr>
      <w:r w:rsidRPr="005D59A7">
        <w:rPr>
          <w:rFonts w:ascii="T" w:hAnsi="T" w:cs="Simplified Arabic"/>
          <w:b w:val="0"/>
          <w:bCs w:val="0"/>
          <w:color w:val="auto"/>
          <w:sz w:val="24"/>
          <w:szCs w:val="24"/>
          <w:rtl/>
        </w:rPr>
        <w:t xml:space="preserve">بعض المختارات من دراسات تقييم الوضع البيئي الحالي: </w:t>
      </w:r>
    </w:p>
    <w:p w14:paraId="3E1188D5" w14:textId="642E0A81" w:rsidR="00205F80" w:rsidRPr="005D59A7" w:rsidRDefault="00205F80" w:rsidP="000B0864">
      <w:pPr>
        <w:bidi/>
        <w:spacing w:line="360" w:lineRule="auto"/>
        <w:ind w:left="804"/>
        <w:rPr>
          <w:rFonts w:ascii="T" w:hAnsi="T" w:cs="Simplified Arabic"/>
          <w:b/>
          <w:bCs/>
          <w:sz w:val="24"/>
          <w:szCs w:val="24"/>
        </w:rPr>
      </w:pPr>
      <w:r w:rsidRPr="005D59A7">
        <w:rPr>
          <w:rFonts w:ascii="T" w:hAnsi="T" w:cs="Simplified Arabic"/>
          <w:b/>
          <w:bCs/>
          <w:sz w:val="24"/>
          <w:szCs w:val="24"/>
          <w:rtl/>
        </w:rPr>
        <w:t>تقييم الوضع الحالي للحياة البرية البحرية والساحلية:</w:t>
      </w:r>
    </w:p>
    <w:p w14:paraId="41DE9EDF"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تواجه النظم البيئية البحرية والساحلية في المملكة العربية السعودية ضغوطاً متعددة، أبرزها استصلاح الأراضي والتجريف بسبب التوسع العمراني، وبناء منشآت النقل البحري والصناعية على السواحل، وتراكم النفايات السائلة والصلبة، وممارسات الصيد غير المشروعة، ونمو صناعة الاستزراع المائي. وقد أدت هذه الضغوط إلى تدهور كبير في هذه النظم البيئية، حيث سجلت أشجار المانغروف انخفاضاً بنسبة 75% خلال الفترة من 1985 </w:t>
      </w:r>
      <w:r w:rsidRPr="005D59A7">
        <w:rPr>
          <w:rFonts w:ascii="T" w:hAnsi="T" w:cs="Simplified Arabic"/>
          <w:sz w:val="24"/>
          <w:szCs w:val="24"/>
          <w:rtl/>
        </w:rPr>
        <w:lastRenderedPageBreak/>
        <w:t>إلى 2013، كما ساهمت عمليات الردم والتجريف والممارسات الخاطئة في الصيد في تدمير مساحات واسعة من الشعاب المرجانية، وتسببت حوادث التلوث النفطي خلال حرب الخليج في أضرار بالغة بأشجار المانغروف والمستنقعات المالحة والأعشاب البحرية. كما يعاني التنوع البيولوجي البحري من تهديدات خطيرة، حيث أصبحت أسماك القرش مهددة بالانقراض بسبب التهريب، وأدى الصيد الجائر إلى تعريض ثلاثة أنواع على الأقل من مجموعات الأسماك التجارية للخطر، كما أن أسماك الزينة مثل أسماك الفراشة وأسماك الملائكة مهددة بالانقراض بسبب زيادة الطلب العالمي عليها (</w:t>
      </w:r>
      <w:r w:rsidRPr="005D59A7">
        <w:rPr>
          <w:rFonts w:ascii="T" w:hAnsi="T" w:cs="Simplified Arabic"/>
          <w:sz w:val="24"/>
          <w:szCs w:val="24"/>
        </w:rPr>
        <w:t>NES, 2018</w:t>
      </w:r>
      <w:r w:rsidRPr="005D59A7">
        <w:rPr>
          <w:rFonts w:ascii="T" w:hAnsi="T" w:cs="Simplified Arabic"/>
          <w:sz w:val="24"/>
          <w:szCs w:val="24"/>
          <w:rtl/>
        </w:rPr>
        <w:t>).</w:t>
      </w:r>
    </w:p>
    <w:p w14:paraId="2AB9E893" w14:textId="77777777" w:rsidR="00A564F0" w:rsidRPr="005D59A7" w:rsidRDefault="00E70BD4" w:rsidP="00B3377E">
      <w:pPr>
        <w:bidi/>
        <w:spacing w:line="360" w:lineRule="auto"/>
        <w:ind w:left="226"/>
        <w:rPr>
          <w:rFonts w:ascii="T" w:hAnsi="T" w:cs="Simplified Arabic"/>
          <w:b/>
          <w:bCs/>
          <w:sz w:val="24"/>
          <w:szCs w:val="24"/>
        </w:rPr>
      </w:pPr>
      <w:r w:rsidRPr="005D59A7">
        <w:rPr>
          <w:rFonts w:ascii="T" w:hAnsi="T" w:cs="Simplified Arabic"/>
          <w:b/>
          <w:bCs/>
          <w:sz w:val="24"/>
          <w:szCs w:val="24"/>
          <w:rtl/>
        </w:rPr>
        <w:t>تقييم الوضع الحالي للغطاء النباتي:</w:t>
      </w:r>
    </w:p>
    <w:p w14:paraId="39CBCBB7"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يواجه الغطاء النباتي في المملكة العربية السعودية ضغوطاً متعددة، أبرزها الرعي الجائر وجمع الحطب، والتعدين واستخراج المحاجر، والأنشطة الترفيهية العشوائية والتوسع العمراني، والممارسات الزراعية الخاطئة، وفترات الجفاف المتكررة. تشكل المراعي نحو 37% من إجمالي مساحة المملكة (146 مليون هكتار)، ويعاني 70% منها من التصحر والتدهور، مع تآكل واسع للتربة يتفاقم بسبب الجفاف. أما الأراضي الحرجية فتشكل 1.1% من المساحة الإجمالية (2.1 مليون هكتار)، وتتأثر أكثر من 6,000 هكتار سنوياً بالآفات والأمراض، مع تزايد ظاهرة موت الأشجار في غابات العرعر، حيث فقدت محافظة الباحة 10% من غابات العرعر خلال الفترة 1984-2014. كما يعاني الغطاء النباتي من فقدان التنوع البيولوجي، حيث أصبح 656 نوعاً من النباتات مهددة بالانقراض، وتتزايد أعداد الأنواع الغازية الغريبة لتصل إلى 52 نوعاً. أما الأراضي الصالحة للزراعة فتشكل 1.7% من المساحة الإجمالية (3.42 مليون هكتار)، ويُستخدم منها فعلياً 1.18 مليون هكتار، وتُعاني 40% من هذه الأراضي من الملوحة بسبب أساليب الري غير السليمة، و67% منها من تآكل التربة بفعل الرياح (</w:t>
      </w:r>
      <w:r w:rsidRPr="005D59A7">
        <w:rPr>
          <w:rFonts w:ascii="T" w:hAnsi="T" w:cs="Simplified Arabic"/>
          <w:sz w:val="24"/>
          <w:szCs w:val="24"/>
        </w:rPr>
        <w:t>NES, 2018</w:t>
      </w:r>
      <w:r w:rsidRPr="005D59A7">
        <w:rPr>
          <w:rFonts w:ascii="T" w:hAnsi="T" w:cs="Simplified Arabic"/>
          <w:sz w:val="24"/>
          <w:szCs w:val="24"/>
          <w:rtl/>
        </w:rPr>
        <w:t>).</w:t>
      </w:r>
    </w:p>
    <w:p w14:paraId="496834EC" w14:textId="77777777" w:rsidR="00450B96" w:rsidRPr="005D59A7" w:rsidRDefault="00450B96" w:rsidP="0045581D">
      <w:pPr>
        <w:pStyle w:val="ListParagraph"/>
        <w:numPr>
          <w:ilvl w:val="0"/>
          <w:numId w:val="22"/>
        </w:numPr>
        <w:bidi/>
        <w:spacing w:line="360" w:lineRule="auto"/>
        <w:ind w:left="84" w:firstLine="720"/>
        <w:rPr>
          <w:rFonts w:ascii="T" w:hAnsi="T" w:cs="Simplified Arabic"/>
          <w:sz w:val="24"/>
          <w:szCs w:val="24"/>
        </w:rPr>
      </w:pPr>
      <w:r w:rsidRPr="005D59A7">
        <w:rPr>
          <w:rFonts w:ascii="T" w:hAnsi="T" w:cs="Simplified Arabic"/>
          <w:sz w:val="24"/>
          <w:szCs w:val="24"/>
          <w:rtl/>
        </w:rPr>
        <w:t>تقييم الأداء البيئي من حيث جودة الهواء:</w:t>
      </w:r>
    </w:p>
    <w:p w14:paraId="3E9FE258" w14:textId="3B5BBE98" w:rsidR="00B3377E" w:rsidRPr="005D59A7" w:rsidRDefault="00B3377E" w:rsidP="00B3377E">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تواجه جودة الهواء في المملكة العربية السعودية ضغوطاً متعددة، أبرزها زيادة الانبعاثات من قطاعي الطاقة والتصنيع، إلى جانب الانبعاثات من المصادر الثانوية والعواصف الترابية. ويعاني القطاع البيئي من ضعف السيطرة على مصادر التلوث وضعف أنظمة الرصد، حيث أن البيانات المتاحة عن جودة الهواء غير </w:t>
      </w:r>
      <w:r w:rsidRPr="005D59A7">
        <w:rPr>
          <w:rFonts w:ascii="T" w:hAnsi="T" w:cs="Simplified Arabic"/>
          <w:sz w:val="24"/>
          <w:szCs w:val="24"/>
          <w:rtl/>
        </w:rPr>
        <w:lastRenderedPageBreak/>
        <w:t xml:space="preserve">مكتملة وغير موثوقة بدرجة عالية، ولا يوجد نظام لرصد وحصر انبعاثات المصادر. تشير المؤشرات إلى أن متوسط تركيز ثاني أكسيد النيتروجين يقل عن معيار الهيئة العامة للأرصاد الجوية وحماية البيئة (95 ميكروغرام/م³ مقابل 100)، لكنه يتجاوز الحد المسموح به من منظمة الصحة العالمية (40 ميكروغرام/م³). كما تتجاوز متوسطات التركيزات السنوية للأوزون المعايير في مدن مثل الرياض (160 ميكروغرام/م³)، بينما تقع معدلات التعرض لثاني أكسيد الكبريت في المدن الكبرى ضمن الحدود المقبولة بسبب انخفاض محتوى الكبريت في الديزل. أما بالنسبة للجسيمات الدقيقة </w:t>
      </w:r>
      <w:r w:rsidRPr="005D59A7">
        <w:rPr>
          <w:rFonts w:ascii="T" w:hAnsi="T" w:cs="Simplified Arabic"/>
          <w:sz w:val="24"/>
          <w:szCs w:val="24"/>
        </w:rPr>
        <w:t>PM2.5</w:t>
      </w:r>
      <w:r w:rsidRPr="005D59A7">
        <w:rPr>
          <w:rFonts w:ascii="T" w:hAnsi="T" w:cs="Simplified Arabic"/>
          <w:sz w:val="24"/>
          <w:szCs w:val="24"/>
          <w:rtl/>
        </w:rPr>
        <w:t xml:space="preserve">، فتبلغ مستوياتها المرتفعة في المدن الكبرى (71 ميكروغرام/م³ في الرياض)، متجاوزة بذلك معيار الهيئة العامة للأرصاد وحماية البيئة (15 ميكروغرام/م³) ومعيار البنك الدولي (10 ميكروغرام/م³). تجدر الإشارة إلى أن المصادر غير الطبيعية تساهم بشكل كبير في تركيز </w:t>
      </w:r>
      <w:r w:rsidRPr="005D59A7">
        <w:rPr>
          <w:rFonts w:ascii="T" w:hAnsi="T" w:cs="Simplified Arabic"/>
          <w:sz w:val="24"/>
          <w:szCs w:val="24"/>
        </w:rPr>
        <w:t>PM2.5</w:t>
      </w:r>
      <w:r w:rsidRPr="005D59A7">
        <w:rPr>
          <w:rFonts w:ascii="T" w:hAnsi="T" w:cs="Simplified Arabic"/>
          <w:sz w:val="24"/>
          <w:szCs w:val="24"/>
          <w:rtl/>
        </w:rPr>
        <w:t xml:space="preserve">، على عكس </w:t>
      </w:r>
      <w:r w:rsidRPr="005D59A7">
        <w:rPr>
          <w:rFonts w:ascii="T" w:hAnsi="T" w:cs="Simplified Arabic"/>
          <w:sz w:val="24"/>
          <w:szCs w:val="24"/>
        </w:rPr>
        <w:t>PM10</w:t>
      </w:r>
      <w:r w:rsidRPr="005D59A7">
        <w:rPr>
          <w:rFonts w:ascii="T" w:hAnsi="T" w:cs="Simplified Arabic"/>
          <w:sz w:val="24"/>
          <w:szCs w:val="24"/>
          <w:rtl/>
        </w:rPr>
        <w:t xml:space="preserve"> الذي تساهم فيه مصادر طبيعية مثل الغبار (</w:t>
      </w:r>
      <w:r w:rsidRPr="005D59A7">
        <w:rPr>
          <w:rFonts w:ascii="T" w:hAnsi="T" w:cs="Simplified Arabic"/>
          <w:sz w:val="24"/>
          <w:szCs w:val="24"/>
        </w:rPr>
        <w:t>NES, 2018</w:t>
      </w:r>
      <w:r w:rsidRPr="005D59A7">
        <w:rPr>
          <w:rFonts w:ascii="T" w:hAnsi="T" w:cs="Simplified Arabic"/>
          <w:sz w:val="24"/>
          <w:szCs w:val="24"/>
          <w:rtl/>
        </w:rPr>
        <w:t>).</w:t>
      </w:r>
    </w:p>
    <w:p w14:paraId="760CF8BF"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lang w:bidi="ar-EG"/>
        </w:rPr>
        <w:t>التحديات التي تواجه الإطار المؤسسي الحالي والدروس المستفادة</w:t>
      </w:r>
    </w:p>
    <w:p w14:paraId="6AAFB5CA"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أولاً: التحديات التي تواجه الإطار المؤسسي الحالي</w:t>
      </w:r>
    </w:p>
    <w:p w14:paraId="6A681FED"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تشتت المسؤوليات وتداخل الأدوار وانعدام المساءلة</w:t>
      </w:r>
    </w:p>
    <w:p w14:paraId="3744D110"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تراكم وتداخل المهام داخل الهيئات ذات الصلة</w:t>
      </w:r>
    </w:p>
    <w:p w14:paraId="56A6859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الهيئات المسؤولة عن الأدوار الرئيسية</w:t>
      </w:r>
    </w:p>
    <w:p w14:paraId="791A49F9"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انعدام التنسيق بين الجهات المصدرة للوائح التنظيمية</w:t>
      </w:r>
    </w:p>
    <w:p w14:paraId="69CCBB0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عدم الفعالية بسبب ازدواجية المبادرات</w:t>
      </w:r>
    </w:p>
    <w:p w14:paraId="3035D6B2"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شبه تام لمراقبة الأداء وتركيز محدود عليها</w:t>
      </w:r>
    </w:p>
    <w:p w14:paraId="16FC790F"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تضارب محتمل في المصالح</w:t>
      </w:r>
    </w:p>
    <w:p w14:paraId="620E6A4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تشتيت الانتباه عن الأنشطة الأساسية (التركيز على الأرصاد على حساب حماية البيئة)</w:t>
      </w:r>
    </w:p>
    <w:p w14:paraId="17446E8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التركيز على تنفيذ الاستراتيجيات والخطط</w:t>
      </w:r>
    </w:p>
    <w:p w14:paraId="2228312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التمثيل الدولي وتنسيق المفاوضات</w:t>
      </w:r>
    </w:p>
    <w:p w14:paraId="2B28DF7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متابعة الالتزام بالمعاهدات الدولية</w:t>
      </w:r>
    </w:p>
    <w:p w14:paraId="776A05DC" w14:textId="77777777" w:rsidR="00B3377E" w:rsidRPr="005D59A7" w:rsidRDefault="00B3377E" w:rsidP="00B3377E">
      <w:pPr>
        <w:bidi/>
        <w:spacing w:line="360" w:lineRule="auto"/>
        <w:ind w:left="368" w:firstLine="720"/>
        <w:jc w:val="both"/>
        <w:rPr>
          <w:rFonts w:ascii="T" w:hAnsi="T" w:cs="Simplified Arabic"/>
          <w:sz w:val="24"/>
          <w:szCs w:val="24"/>
          <w:rtl/>
        </w:rPr>
      </w:pPr>
      <w:r w:rsidRPr="005D59A7">
        <w:rPr>
          <w:rFonts w:ascii="T" w:hAnsi="T" w:cs="Simplified Arabic"/>
          <w:sz w:val="24"/>
          <w:szCs w:val="24"/>
          <w:rtl/>
        </w:rPr>
        <w:lastRenderedPageBreak/>
        <w:t>ثانياً: الدروس المستفادة من أفضل الممارسات العالمية</w:t>
      </w:r>
    </w:p>
    <w:p w14:paraId="0D7B854B"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اقتصار وضع السياسات والاستراتيجيات على الوزارة</w:t>
      </w:r>
    </w:p>
    <w:p w14:paraId="03A6FC5F"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إسناد الوظائف التشغيلية (التنبؤات الجوية، التراخيص البيئية، المراقبة، إدارة الغابات والمحميات والمراعي) إلى وكالات حكومية متخصصة تتبع الوزارة</w:t>
      </w:r>
    </w:p>
    <w:p w14:paraId="2012EE4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تولي الوزارة مهام التنسيق الداخلي ومراقبة أداء القطاع</w:t>
      </w:r>
    </w:p>
    <w:p w14:paraId="0FB8EBF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جعل التعاون الدولي من مسؤولية الوزارة مع الاستعانة بالخبرات المناسبة</w:t>
      </w:r>
    </w:p>
    <w:p w14:paraId="7C09C6BC"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تحليل اللوائح الحالية والدروس المستفادة</w:t>
      </w:r>
    </w:p>
    <w:p w14:paraId="1E1A15C8"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أولاً: التحديات في اللوائح الحالية (استناداً إلى تحليل 106 لائحة)</w:t>
      </w:r>
    </w:p>
    <w:p w14:paraId="600FCC4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تعدد الجهات المصدرة للوائح وضعف التنسيق</w:t>
      </w:r>
    </w:p>
    <w:p w14:paraId="22B870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تعقيد وصعوبة تطبيق اللوائح</w:t>
      </w:r>
    </w:p>
    <w:p w14:paraId="4C4C550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العقوبات ضعيفة وغير رادعة</w:t>
      </w:r>
    </w:p>
    <w:p w14:paraId="1A74E1A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غموض بعض مواد القوانين (مثل المناطق المحيطة بالمحميات غير محددة بوضوح)</w:t>
      </w:r>
    </w:p>
    <w:p w14:paraId="12DCC1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إغفال بعض الأنشطة (الأنشطة على الطرق الوعرة، إدارة الموارد المائية، مصادرة منتجات الأنواع المهددة، أنشطة التعدين، معالجة النفايات الإلكترونية والإطارات)</w:t>
      </w:r>
    </w:p>
    <w:p w14:paraId="156F471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القوانين طريقة التفاعل مع المدن الصناعية والمنشآت الكبيرة</w:t>
      </w:r>
    </w:p>
    <w:p w14:paraId="64DD3B5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تفصيل الإجراءات الأساسية (الترخيص، التفتيش البيئي، العقوبات)</w:t>
      </w:r>
    </w:p>
    <w:p w14:paraId="3FB9F71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مشاركة القطاع الخاص</w:t>
      </w:r>
    </w:p>
    <w:p w14:paraId="07BD2D0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الالتزام بالتعهدات الدولية باستثناء قضايا تغير المناخ</w:t>
      </w:r>
    </w:p>
    <w:p w14:paraId="48148018"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ثانياً: الحلول من أفضل الممارسات العالمية</w:t>
      </w:r>
    </w:p>
    <w:p w14:paraId="1D1B988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جهة واحدة لإصدار القوانين واللوائح البيئية</w:t>
      </w:r>
    </w:p>
    <w:p w14:paraId="22720B29"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وضع قانون بيئي شامل لضمان اتساق اللوائح</w:t>
      </w:r>
    </w:p>
    <w:p w14:paraId="32A4070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تنظيم مشاركة القطاع الخاص</w:t>
      </w:r>
    </w:p>
    <w:p w14:paraId="291D5DF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تحديد حقوق وواجبات الجهات الفاعلة في القطاع</w:t>
      </w:r>
    </w:p>
    <w:p w14:paraId="5ACE1B4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تحديد تفاصيل الإجراءات الرئيسية (الترخيص، التفتيش، كشف المخالفات)</w:t>
      </w:r>
    </w:p>
    <w:p w14:paraId="67EC7CE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معايير شاملة مع مبادئ توجيهية للمراجعة الدورية</w:t>
      </w:r>
    </w:p>
    <w:p w14:paraId="3501C392"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عقوبات رادعة وصارمة</w:t>
      </w:r>
    </w:p>
    <w:p w14:paraId="079BAC96" w14:textId="77777777" w:rsidR="00B3377E" w:rsidRPr="005D59A7" w:rsidRDefault="00B3377E" w:rsidP="00922FF0">
      <w:pPr>
        <w:bidi/>
        <w:spacing w:line="360" w:lineRule="auto"/>
        <w:jc w:val="both"/>
        <w:rPr>
          <w:rFonts w:ascii="T" w:hAnsi="T" w:cs="Simplified Arabic"/>
          <w:b/>
          <w:bCs/>
          <w:sz w:val="24"/>
          <w:szCs w:val="24"/>
          <w:rtl/>
        </w:rPr>
      </w:pPr>
      <w:r w:rsidRPr="005D59A7">
        <w:rPr>
          <w:rFonts w:ascii="T" w:hAnsi="T" w:cs="Simplified Arabic"/>
          <w:b/>
          <w:bCs/>
          <w:sz w:val="24"/>
          <w:szCs w:val="24"/>
          <w:rtl/>
        </w:rPr>
        <w:t>العوامل الاقتصادية المساعدة لقطاع البيئة</w:t>
      </w:r>
    </w:p>
    <w:p w14:paraId="7A38A339"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أولاً: التحديات الاقتصادية التي تواجه قطاع البيئة</w:t>
      </w:r>
    </w:p>
    <w:p w14:paraId="0514DE7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ميزانية منخفضة لقطاع البيئة</w:t>
      </w:r>
    </w:p>
    <w:p w14:paraId="5B6E22F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قدرة القطاع على جمع الموارد المالية اللازمة لتطويره</w:t>
      </w:r>
    </w:p>
    <w:p w14:paraId="4E01939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فرض رسوم بيئية على الأنشطة القطاعية</w:t>
      </w:r>
    </w:p>
    <w:p w14:paraId="29A61F9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الحوافز لالتزام القطاعات التنموية بالمعايير البيئية (قروض ميسرة للمشاريع البيئية)</w:t>
      </w:r>
    </w:p>
    <w:p w14:paraId="326A1F0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إطار عمل لتشجيع مشاركة القطاع الخاص (إدارة النفايات، رصد الامتثال البيئي)</w:t>
      </w:r>
    </w:p>
    <w:p w14:paraId="69FAAAF8"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توافر الدعم للقطاعات المؤثرة على البيئة (المياه، الكهرباء، البنزين، الزراعة)</w:t>
      </w:r>
    </w:p>
    <w:p w14:paraId="069A76EB"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ثانياً: الحلول من أفضل الممارسات العالمية</w:t>
      </w:r>
    </w:p>
    <w:p w14:paraId="5C230E1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تمويل قطاع البيئة من خلال الغرامات والرسوم على التراخيص والمنتجات والخدمات</w:t>
      </w:r>
    </w:p>
    <w:p w14:paraId="76E4597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تقديم إعانات مالية حكومية لسد الفجوة بين احتياجات القطاع ودخله</w:t>
      </w:r>
    </w:p>
    <w:p w14:paraId="52AAC34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توفير حوافز وتسهيلات مالية للقطاعات التنموية (تخفيض الرسوم الجمركية، قروض بفائدة منخفضة، تخفيض الضرائب على الاستثمارات البيئية)</w:t>
      </w:r>
    </w:p>
    <w:p w14:paraId="7FFF143C"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زيادة الحوافز لتشجيع مشاركة القطاع الخاص في خدمات البيئة والأرصاد</w:t>
      </w:r>
    </w:p>
    <w:p w14:paraId="7222133F"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خفض الدعم الحكومي للقطاعات ذات التأثير السلبي على البيئة</w:t>
      </w:r>
      <w:r w:rsidRPr="005D59A7">
        <w:rPr>
          <w:rFonts w:ascii="T" w:hAnsi="T" w:cs="Simplified Arabic"/>
          <w:sz w:val="24"/>
          <w:szCs w:val="24"/>
        </w:rPr>
        <w:t xml:space="preserve"> (NES, 2018)</w:t>
      </w:r>
    </w:p>
    <w:p w14:paraId="654BD2D8" w14:textId="28E49DBC" w:rsidR="00B3377E" w:rsidRPr="005D59A7" w:rsidRDefault="00B3377E" w:rsidP="00B3377E">
      <w:pPr>
        <w:bidi/>
        <w:spacing w:line="360" w:lineRule="auto"/>
        <w:ind w:left="84" w:firstLine="720"/>
        <w:jc w:val="both"/>
        <w:rPr>
          <w:rFonts w:ascii="T" w:hAnsi="T" w:cs="Simplified Arabic"/>
          <w:sz w:val="24"/>
          <w:szCs w:val="24"/>
          <w:rtl/>
        </w:rPr>
      </w:pPr>
    </w:p>
    <w:p w14:paraId="6583F309" w14:textId="77777777" w:rsidR="00B3377E" w:rsidRPr="005D59A7" w:rsidRDefault="00B3377E" w:rsidP="00B3377E">
      <w:pPr>
        <w:bidi/>
        <w:spacing w:line="360" w:lineRule="auto"/>
        <w:ind w:left="84" w:firstLine="720"/>
        <w:jc w:val="both"/>
        <w:rPr>
          <w:rFonts w:ascii="T" w:hAnsi="T" w:cs="Simplified Arabic"/>
          <w:sz w:val="24"/>
          <w:szCs w:val="24"/>
          <w:rtl/>
        </w:rPr>
      </w:pPr>
    </w:p>
    <w:p w14:paraId="343C162E" w14:textId="77777777" w:rsidR="00910B36" w:rsidRPr="005D59A7" w:rsidRDefault="00910B36" w:rsidP="00861DC2">
      <w:pPr>
        <w:bidi/>
        <w:spacing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454AB8DF" wp14:editId="5EA31C1A">
            <wp:extent cx="4029075" cy="1949553"/>
            <wp:effectExtent l="19050" t="0" r="9525" b="0"/>
            <wp:docPr id="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4032637" cy="1951276"/>
                    </a:xfrm>
                    <a:prstGeom prst="rect">
                      <a:avLst/>
                    </a:prstGeom>
                    <a:noFill/>
                    <a:ln w="9525">
                      <a:noFill/>
                      <a:miter lim="800000"/>
                      <a:headEnd/>
                      <a:tailEnd/>
                    </a:ln>
                  </pic:spPr>
                </pic:pic>
              </a:graphicData>
            </a:graphic>
          </wp:inline>
        </w:drawing>
      </w:r>
    </w:p>
    <w:p w14:paraId="002BAC85" w14:textId="33FEFC26" w:rsidR="00910B36" w:rsidRPr="005D59A7" w:rsidRDefault="00910B36" w:rsidP="00861DC2">
      <w:pPr>
        <w:pStyle w:val="Caption"/>
        <w:bidi/>
        <w:spacing w:line="360" w:lineRule="auto"/>
        <w:ind w:firstLine="720"/>
        <w:jc w:val="center"/>
        <w:rPr>
          <w:rFonts w:ascii="T" w:hAnsi="T" w:cs="Simplified Arabic"/>
          <w:color w:val="auto"/>
          <w:sz w:val="24"/>
          <w:szCs w:val="24"/>
          <w:rtl/>
        </w:rPr>
      </w:pPr>
      <w:bookmarkStart w:id="64" w:name="_Toc225991171"/>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7</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الميزانية السنوية للموارد الطبيعية (الإستراتيجية الوطنية للبيئة)</w:t>
      </w:r>
      <w:bookmarkEnd w:id="64"/>
    </w:p>
    <w:p w14:paraId="26861A92" w14:textId="77777777" w:rsidR="00910B36" w:rsidRPr="005D59A7" w:rsidRDefault="00286DE0" w:rsidP="0045581D">
      <w:pPr>
        <w:pStyle w:val="Heading4"/>
        <w:numPr>
          <w:ilvl w:val="0"/>
          <w:numId w:val="24"/>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تحليل القدرات المختلفة في 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782"/>
        <w:gridCol w:w="3794"/>
      </w:tblGrid>
      <w:tr w:rsidR="0048002A" w:rsidRPr="005D59A7" w14:paraId="64B9D704" w14:textId="77777777" w:rsidTr="00286DE0">
        <w:tc>
          <w:tcPr>
            <w:tcW w:w="4261" w:type="dxa"/>
            <w:vAlign w:val="center"/>
          </w:tcPr>
          <w:p w14:paraId="01B62BFC"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تحليل القدرات البشرية والتقنية الحالية وقدرات البحث والتطوير القدرات الحالية في مجال البحث والتطوير.</w:t>
            </w:r>
          </w:p>
        </w:tc>
        <w:tc>
          <w:tcPr>
            <w:tcW w:w="4261" w:type="dxa"/>
            <w:vAlign w:val="center"/>
          </w:tcPr>
          <w:p w14:paraId="44C21559"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الحلول المتاحة بناءً على الدروس المستفادة من أفضل الممارسات العالمية.</w:t>
            </w:r>
          </w:p>
        </w:tc>
      </w:tr>
      <w:tr w:rsidR="0048002A" w:rsidRPr="005D59A7" w14:paraId="51819090" w14:textId="77777777" w:rsidTr="00286DE0">
        <w:tc>
          <w:tcPr>
            <w:tcW w:w="4261" w:type="dxa"/>
            <w:vAlign w:val="center"/>
          </w:tcPr>
          <w:p w14:paraId="487AA39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نقص في عدد العاملين في قطاع البيئة: على سبيل المثال، يبلغ إجمالي عدد موظفي "الهيئة العامة للأرصاد الجوية وحماية البيئة" 241 موظفًا فقط، بينما يُقدّر عدد الجهات التي يجب مراقبتها بعشرات الآلاف.</w:t>
            </w:r>
          </w:p>
          <w:p w14:paraId="23E20031"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عدد محدود من الموارد البشرية المتخصصة في الأنشطة البيئية الأنشطة البيئية.</w:t>
            </w:r>
          </w:p>
          <w:p w14:paraId="302E1DB6"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ضعف القدرة على استقطاب الكفاءات البشرية.</w:t>
            </w:r>
          </w:p>
          <w:p w14:paraId="743694A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تقنيات محدودة لرصد الامتثال البيئي غياب إجراءات عمل منهجية وموثقة محدودية أنشطة البحث البيئي بسبب حصرية المملكة فيما يتعلق بقضايا الجسيمات الدقيقة (</w:t>
            </w:r>
            <w:r w:rsidRPr="005D59A7">
              <w:rPr>
                <w:rFonts w:ascii="T" w:hAnsi="T" w:cs="Simplified Arabic"/>
                <w:sz w:val="24"/>
                <w:szCs w:val="24"/>
              </w:rPr>
              <w:t>PM10</w:t>
            </w:r>
            <w:r w:rsidRPr="005D59A7">
              <w:rPr>
                <w:rFonts w:ascii="T" w:hAnsi="T" w:cs="Simplified Arabic"/>
                <w:sz w:val="24"/>
                <w:szCs w:val="24"/>
                <w:rtl/>
              </w:rPr>
              <w:t xml:space="preserve"> و</w:t>
            </w:r>
            <w:r w:rsidRPr="005D59A7">
              <w:rPr>
                <w:rFonts w:ascii="T" w:hAnsi="T" w:cs="Simplified Arabic"/>
                <w:sz w:val="24"/>
                <w:szCs w:val="24"/>
              </w:rPr>
              <w:t>PM2.5</w:t>
            </w:r>
            <w:r w:rsidRPr="005D59A7">
              <w:rPr>
                <w:rFonts w:ascii="T" w:hAnsi="T" w:cs="Simplified Arabic"/>
                <w:sz w:val="24"/>
                <w:szCs w:val="24"/>
                <w:rtl/>
              </w:rPr>
              <w:t>)، والتصحر، وتغير المناخ.</w:t>
            </w:r>
          </w:p>
        </w:tc>
        <w:tc>
          <w:tcPr>
            <w:tcW w:w="4261" w:type="dxa"/>
            <w:vAlign w:val="center"/>
          </w:tcPr>
          <w:p w14:paraId="6CF193B8"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للقطاع تعيين كفاءات بشرية متنوعة تشمل: المهندسين، والعلماء، والفنيين، وخبراء الاتصالات، والاقتصاديين.</w:t>
            </w:r>
          </w:p>
          <w:p w14:paraId="0ABCFDF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تقنيات المراقبة في الوقت الفعلي وإدارة البيانات وتحليلها.</w:t>
            </w:r>
          </w:p>
          <w:p w14:paraId="0F66E96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معدات ميدانية ومختبرات لرصد الامتثال البيئي.</w:t>
            </w:r>
          </w:p>
          <w:p w14:paraId="7A141E7A"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التقنيات الخاصة بحفظ الموارد الطبيعية.</w:t>
            </w:r>
          </w:p>
          <w:p w14:paraId="70E23244"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تقديم الدعم لأنشطة البحث والتطوير من أجل تحسين أداء القطاع.</w:t>
            </w:r>
          </w:p>
          <w:p w14:paraId="30AF55F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ينبغي تصميم إجراءات عمل تحقق المرونة والفعالية في العمل.</w:t>
            </w:r>
          </w:p>
        </w:tc>
      </w:tr>
    </w:tbl>
    <w:p w14:paraId="7293C81D" w14:textId="54941B72" w:rsidR="00286DE0" w:rsidRPr="005D59A7" w:rsidRDefault="00AC74FF" w:rsidP="00861DC2">
      <w:pPr>
        <w:pStyle w:val="Caption"/>
        <w:bidi/>
        <w:spacing w:line="360" w:lineRule="auto"/>
        <w:ind w:firstLine="720"/>
        <w:jc w:val="center"/>
        <w:rPr>
          <w:rFonts w:ascii="T" w:hAnsi="T" w:cs="Simplified Arabic"/>
          <w:noProof/>
          <w:color w:val="auto"/>
          <w:sz w:val="24"/>
          <w:szCs w:val="24"/>
          <w:rtl/>
        </w:rPr>
      </w:pPr>
      <w:r w:rsidRPr="005D59A7">
        <w:rPr>
          <w:rFonts w:ascii="T" w:hAnsi="T" w:cs="Simplified Arabic"/>
          <w:color w:val="auto"/>
          <w:sz w:val="24"/>
          <w:szCs w:val="24"/>
          <w:rtl/>
        </w:rPr>
        <w:t xml:space="preserve">            </w:t>
      </w:r>
      <w:bookmarkStart w:id="65" w:name="_Toc225991177"/>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تحليل القدرات المختلفة في قطاع البيئة والدروس المستفادة من أفضل الممارسات (الإستراتيجية الوطنية للبيئة)</w:t>
      </w:r>
      <w:bookmarkEnd w:id="65"/>
    </w:p>
    <w:p w14:paraId="4BE5A807" w14:textId="77777777" w:rsidR="00AC74FF" w:rsidRPr="005D59A7" w:rsidRDefault="00AC74FF" w:rsidP="00861DC2">
      <w:pPr>
        <w:pStyle w:val="Heading4"/>
        <w:bidi/>
        <w:spacing w:line="360" w:lineRule="auto"/>
        <w:ind w:firstLine="720"/>
        <w:rPr>
          <w:rFonts w:ascii="T" w:hAnsi="T" w:cs="Simplified Arabic"/>
          <w:color w:val="auto"/>
          <w:sz w:val="24"/>
          <w:szCs w:val="24"/>
          <w:rtl/>
        </w:rPr>
      </w:pPr>
      <w:r w:rsidRPr="005D59A7">
        <w:rPr>
          <w:rFonts w:ascii="T" w:hAnsi="T" w:cs="Simplified Arabic"/>
          <w:color w:val="auto"/>
          <w:sz w:val="24"/>
          <w:szCs w:val="24"/>
          <w:rtl/>
        </w:rPr>
        <w:lastRenderedPageBreak/>
        <w:t>التكلفة السنوية الإجمالية للتدهور البيئي:</w:t>
      </w:r>
    </w:p>
    <w:p w14:paraId="446BF533"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بلغت التكلفة السنوية الإجمالية للتدهور البيئي 86 مليار ريال سعودي في عام 2014، أي ما يعادل 3% من الناتج المحلي الإجمالي (</w:t>
      </w:r>
      <w:r w:rsidRPr="005D59A7">
        <w:rPr>
          <w:rFonts w:ascii="T" w:hAnsi="T" w:cs="Simplified Arabic"/>
          <w:sz w:val="24"/>
          <w:szCs w:val="24"/>
        </w:rPr>
        <w:t>NES, 2018</w:t>
      </w:r>
      <w:r w:rsidRPr="005D59A7">
        <w:rPr>
          <w:rFonts w:ascii="T" w:hAnsi="T" w:cs="Simplified Arabic"/>
          <w:sz w:val="24"/>
          <w:szCs w:val="24"/>
          <w:rtl/>
        </w:rPr>
        <w:t>).</w:t>
      </w:r>
    </w:p>
    <w:p w14:paraId="1D4D6638"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من أهم مصادر التدهور البيئي ما يلي:</w:t>
      </w:r>
    </w:p>
    <w:p w14:paraId="3D573DF2"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تلوث الهواء.</w:t>
      </w:r>
    </w:p>
    <w:p w14:paraId="56F05151"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المياه وتلوثها.</w:t>
      </w:r>
    </w:p>
    <w:p w14:paraId="5C6C798C"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الأرض.</w:t>
      </w:r>
    </w:p>
    <w:p w14:paraId="487FE9FE"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إدارة النفايات بطريقة غير مستدامة.</w:t>
      </w:r>
    </w:p>
    <w:p w14:paraId="6E4091F5"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كفاية الحفاظ على الموارد الساحلية.</w:t>
      </w:r>
    </w:p>
    <w:p w14:paraId="3E2C584B"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الأضرار الناجمة عن الكوارث الطبيعية.</w:t>
      </w:r>
    </w:p>
    <w:p w14:paraId="46440B7D"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كفاءة الطاقة والاعتماد المحدود على مصادر الطاقة المتجددة.</w:t>
      </w:r>
    </w:p>
    <w:p w14:paraId="3B7996DF" w14:textId="77777777" w:rsidR="0089176E" w:rsidRPr="005D59A7" w:rsidRDefault="0089176E" w:rsidP="00861DC2">
      <w:pPr>
        <w:pStyle w:val="ListParagraph"/>
        <w:bidi/>
        <w:spacing w:line="360" w:lineRule="auto"/>
        <w:ind w:firstLine="720"/>
        <w:rPr>
          <w:rFonts w:ascii="T" w:hAnsi="T" w:cs="Simplified Arabic"/>
          <w:sz w:val="24"/>
          <w:szCs w:val="24"/>
          <w:rtl/>
        </w:rPr>
      </w:pPr>
    </w:p>
    <w:p w14:paraId="429DC865"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noProof/>
          <w:sz w:val="24"/>
          <w:szCs w:val="24"/>
        </w:rPr>
        <w:drawing>
          <wp:inline distT="0" distB="0" distL="0" distR="0" wp14:anchorId="3279EA29" wp14:editId="0A190323">
            <wp:extent cx="5219700" cy="3457575"/>
            <wp:effectExtent l="19050" t="0" r="0" b="0"/>
            <wp:docPr id="6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5219700" cy="3457575"/>
                    </a:xfrm>
                    <a:prstGeom prst="rect">
                      <a:avLst/>
                    </a:prstGeom>
                    <a:noFill/>
                    <a:ln w="9525">
                      <a:noFill/>
                      <a:miter lim="800000"/>
                      <a:headEnd/>
                      <a:tailEnd/>
                    </a:ln>
                  </pic:spPr>
                </pic:pic>
              </a:graphicData>
            </a:graphic>
          </wp:inline>
        </w:drawing>
      </w:r>
    </w:p>
    <w:p w14:paraId="3A1DAD4C" w14:textId="57877053" w:rsidR="0089176E" w:rsidRPr="005D59A7" w:rsidRDefault="0089176E" w:rsidP="00861DC2">
      <w:pPr>
        <w:pStyle w:val="Caption"/>
        <w:bidi/>
        <w:spacing w:line="360" w:lineRule="auto"/>
        <w:ind w:firstLine="720"/>
        <w:jc w:val="center"/>
        <w:rPr>
          <w:rFonts w:ascii="T" w:hAnsi="T" w:cs="Simplified Arabic"/>
          <w:noProof/>
          <w:color w:val="auto"/>
          <w:sz w:val="24"/>
          <w:szCs w:val="24"/>
          <w:rtl/>
        </w:rPr>
      </w:pPr>
      <w:bookmarkStart w:id="66" w:name="_Toc225991172"/>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E86871">
        <w:rPr>
          <w:rFonts w:ascii="T" w:hAnsi="T" w:cs="Simplified Arabic"/>
          <w:noProof/>
          <w:color w:val="auto"/>
          <w:sz w:val="24"/>
          <w:szCs w:val="24"/>
          <w:rtl/>
        </w:rPr>
        <w:t>8</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تكلفة التدهور البيئي في المملكة (2014)</w:t>
      </w:r>
      <w:bookmarkEnd w:id="66"/>
    </w:p>
    <w:p w14:paraId="2EDC6982" w14:textId="77777777" w:rsidR="00581D5D" w:rsidRPr="005D59A7" w:rsidRDefault="00BF0DB3" w:rsidP="00861DC2">
      <w:pPr>
        <w:pStyle w:val="Heading4"/>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lastRenderedPageBreak/>
        <w:t>الأهداف البيئية الإستراتيجية</w:t>
      </w:r>
    </w:p>
    <w:p w14:paraId="58C85E58"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دعم الاستدامة البيئية من خلال الحفاظ على الموارد الطبيعية، والحد من التلوث، ومكافحة التصحر، وإدراج الأجندة البيئية في صلب التخطيط الوطني، وإعادة تأهيل النظم البيئية المتدهورة.</w:t>
      </w:r>
    </w:p>
    <w:p w14:paraId="19D82B34"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تحقيق حوكمة قوية لقطاعي البيئة والأرصاد الجوية، وتعزيز التنسيق بين الكيانات المرنة والفعالة والمستدامة مالياً، وإشراك القطاع الخاص لتقديم خدمات بيئية متميزة وعالية الجودة.</w:t>
      </w:r>
    </w:p>
    <w:p w14:paraId="14FE21CA"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تحسين نوعية الحياة للجميع وتحقيق أقصى قدر من التكيف مع تغير المناخ.</w:t>
      </w:r>
    </w:p>
    <w:p w14:paraId="74630930"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اعتماد أعلى المعايير المهنية والأخلاقية عند إدارة وتشغيل قطاعي البيئة والأرصاد الجوية، وإشراك المجتمع المدني في القضايا البيئية، ورفع مستوى الوعي البيئي داخل المملكة، والالتزام بالمعاهدات الدولية.</w:t>
      </w:r>
    </w:p>
    <w:p w14:paraId="6E0DFBCA" w14:textId="235D1352" w:rsidR="00843CD6" w:rsidRPr="005D59A7" w:rsidRDefault="00843CD6" w:rsidP="00922FF0">
      <w:pPr>
        <w:pStyle w:val="Heading1"/>
        <w:bidi/>
        <w:rPr>
          <w:rFonts w:ascii="T" w:hAnsi="T" w:cs="Simplified Arabic"/>
          <w:b/>
          <w:bCs/>
          <w:color w:val="auto"/>
          <w:sz w:val="24"/>
          <w:szCs w:val="24"/>
          <w:rtl/>
          <w:lang w:bidi="ar-EG"/>
        </w:rPr>
      </w:pPr>
      <w:bookmarkStart w:id="67" w:name="_Toc233202828"/>
      <w:r w:rsidRPr="00693289">
        <w:rPr>
          <w:rFonts w:ascii="T" w:hAnsi="T" w:cs="Simplified Arabic"/>
          <w:b/>
          <w:bCs/>
          <w:color w:val="auto"/>
          <w:sz w:val="24"/>
          <w:szCs w:val="24"/>
          <w:rtl/>
          <w:lang w:bidi="ar-EG"/>
        </w:rPr>
        <w:t>الدراسات السابقة</w:t>
      </w:r>
      <w:bookmarkEnd w:id="67"/>
    </w:p>
    <w:p w14:paraId="29AF6AAE" w14:textId="77777777" w:rsidR="00C57CC8" w:rsidRPr="005D59A7" w:rsidRDefault="00C57CC8" w:rsidP="00922FF0">
      <w:pPr>
        <w:pStyle w:val="Heading2"/>
        <w:bidi/>
        <w:rPr>
          <w:rFonts w:ascii="T" w:hAnsi="T" w:cs="Simplified Arabic"/>
          <w:color w:val="auto"/>
          <w:sz w:val="24"/>
          <w:szCs w:val="24"/>
          <w:rtl/>
          <w:lang w:bidi="ar-EG"/>
        </w:rPr>
      </w:pPr>
      <w:bookmarkStart w:id="68" w:name="_Toc233202829"/>
      <w:r w:rsidRPr="005D59A7">
        <w:rPr>
          <w:rFonts w:ascii="T" w:hAnsi="T" w:cs="Simplified Arabic"/>
          <w:color w:val="auto"/>
          <w:sz w:val="24"/>
          <w:szCs w:val="24"/>
          <w:rtl/>
          <w:lang w:bidi="ar-EG"/>
        </w:rPr>
        <w:t>المحور الأول: دراسات الشراكات بين القطاعين العام والخاص</w:t>
      </w:r>
      <w:r w:rsidRPr="005D59A7">
        <w:rPr>
          <w:rFonts w:ascii="T" w:hAnsi="T" w:cs="Simplified Arabic"/>
          <w:color w:val="auto"/>
          <w:sz w:val="24"/>
          <w:szCs w:val="24"/>
          <w:lang w:bidi="ar-EG"/>
        </w:rPr>
        <w:t xml:space="preserve"> (PPP)</w:t>
      </w:r>
      <w:bookmarkEnd w:id="68"/>
    </w:p>
    <w:p w14:paraId="117C8EA2"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lang w:bidi="ar-EG"/>
        </w:rPr>
        <w:t>أولاً: تطور مفهوم الشراكات بين القطاعين العام والخاص</w:t>
      </w:r>
    </w:p>
    <w:p w14:paraId="727891F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الشراكات بين القطاعين العام والخاص تطوراً كبيراً على مدى العقود الماضية، حيث انتقل من كونه مجرد آلية تمويلية بديلة إلى إطار استراتيجي متكامل لإدارة وتنفيذ مشاريع البنية التحتية والخدمات العامة. في البداية، ركزت الأدبيات على تعريف</w:t>
      </w:r>
      <w:r w:rsidRPr="005D59A7">
        <w:rPr>
          <w:rFonts w:ascii="T" w:hAnsi="T" w:cs="Simplified Arabic"/>
          <w:sz w:val="24"/>
          <w:szCs w:val="24"/>
        </w:rPr>
        <w:t xml:space="preserve"> PPP </w:t>
      </w:r>
      <w:r w:rsidRPr="005D59A7">
        <w:rPr>
          <w:rFonts w:ascii="T" w:hAnsi="T" w:cs="Simplified Arabic"/>
          <w:sz w:val="24"/>
          <w:szCs w:val="24"/>
          <w:rtl/>
        </w:rPr>
        <w:t>كعلاقة تعاقدية بين جهة حكومية وكيان خاص لتوفير أصول أو خدمات كانت تقليدياً من مسؤولية القطاع العام، مع تقاسم المخاطر والموارد. تطور المفهوم ليشمل أبعاداً أوسع، حيث أصبح ينظر إلى</w:t>
      </w:r>
      <w:r w:rsidRPr="005D59A7">
        <w:rPr>
          <w:rFonts w:ascii="T" w:hAnsi="T" w:cs="Simplified Arabic"/>
          <w:sz w:val="24"/>
          <w:szCs w:val="24"/>
        </w:rPr>
        <w:t xml:space="preserve"> PPP </w:t>
      </w:r>
      <w:r w:rsidRPr="005D59A7">
        <w:rPr>
          <w:rFonts w:ascii="T" w:hAnsi="T" w:cs="Simplified Arabic"/>
          <w:sz w:val="24"/>
          <w:szCs w:val="24"/>
          <w:rtl/>
        </w:rPr>
        <w:t>كأداة لتحقيق التنمية المستدامة والابتكار في تقديم الخدمات العامة، خاصة في ظل التحديات البيئية والمناخية المتزايدة</w:t>
      </w:r>
      <w:r w:rsidRPr="005D59A7">
        <w:rPr>
          <w:rFonts w:ascii="T" w:hAnsi="T" w:cs="Simplified Arabic"/>
          <w:sz w:val="24"/>
          <w:szCs w:val="24"/>
        </w:rPr>
        <w:t>.</w:t>
      </w:r>
    </w:p>
    <w:p w14:paraId="05C4FC6D" w14:textId="0A55A9BF"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w:t>
      </w:r>
      <w:proofErr w:type="spellStart"/>
      <w:r w:rsidRPr="005D59A7">
        <w:rPr>
          <w:rFonts w:ascii="T" w:hAnsi="T" w:cs="Simplified Arabic"/>
          <w:sz w:val="24"/>
          <w:szCs w:val="24"/>
        </w:rPr>
        <w:t>Cepparulo</w:t>
      </w:r>
      <w:proofErr w:type="spellEnd"/>
      <w:r w:rsidRPr="005D59A7">
        <w:rPr>
          <w:rFonts w:ascii="T" w:hAnsi="T" w:cs="Simplified Arabic"/>
          <w:sz w:val="24"/>
          <w:szCs w:val="24"/>
        </w:rPr>
        <w:t xml:space="preserve">,(2024) </w:t>
      </w:r>
      <w:r w:rsidRPr="005D59A7">
        <w:rPr>
          <w:rFonts w:ascii="T" w:hAnsi="T" w:cs="Simplified Arabic"/>
          <w:sz w:val="24"/>
          <w:szCs w:val="24"/>
          <w:rtl/>
        </w:rPr>
        <w:t>هدفت الدراسة إلى تحليل الأدبيات المتعلقة باستخدام</w:t>
      </w:r>
      <w:r w:rsidRPr="005D59A7">
        <w:rPr>
          <w:rFonts w:ascii="T" w:hAnsi="T" w:cs="Simplified Arabic"/>
          <w:sz w:val="24"/>
          <w:szCs w:val="24"/>
        </w:rPr>
        <w:t xml:space="preserve"> PPP </w:t>
      </w:r>
      <w:r w:rsidRPr="005D59A7">
        <w:rPr>
          <w:rFonts w:ascii="T" w:hAnsi="T" w:cs="Simplified Arabic"/>
          <w:sz w:val="24"/>
          <w:szCs w:val="24"/>
          <w:rtl/>
        </w:rPr>
        <w:t>في تطوير البنية التحتية منخفضة الكربون والقادرة على التكيف مع المناخ. اعتمد الباحثون على مراجعة منهجية للأدبيات المنشورة خلال العقد الماضي، مع التركيز على الدراسات التي تناولت دمج اعتبارات الاستدامة البيئية في أطر</w:t>
      </w:r>
      <w:r w:rsidRPr="005D59A7">
        <w:rPr>
          <w:rFonts w:ascii="T" w:hAnsi="T" w:cs="Simplified Arabic"/>
          <w:sz w:val="24"/>
          <w:szCs w:val="24"/>
        </w:rPr>
        <w:t xml:space="preserve"> PPP. </w:t>
      </w:r>
      <w:r w:rsidRPr="005D59A7">
        <w:rPr>
          <w:rFonts w:ascii="T" w:hAnsi="T" w:cs="Simplified Arabic"/>
          <w:sz w:val="24"/>
          <w:szCs w:val="24"/>
          <w:rtl/>
        </w:rPr>
        <w:t>توصلت الدراسة إلى أن الأدبيات الحديثة حول</w:t>
      </w:r>
      <w:r w:rsidRPr="005D59A7">
        <w:rPr>
          <w:rFonts w:ascii="T" w:hAnsi="T" w:cs="Simplified Arabic"/>
          <w:sz w:val="24"/>
          <w:szCs w:val="24"/>
        </w:rPr>
        <w:t xml:space="preserve"> PPP </w:t>
      </w:r>
      <w:r w:rsidRPr="005D59A7">
        <w:rPr>
          <w:rFonts w:ascii="T" w:hAnsi="T" w:cs="Simplified Arabic"/>
          <w:sz w:val="24"/>
          <w:szCs w:val="24"/>
          <w:rtl/>
        </w:rPr>
        <w:t xml:space="preserve">للبنية التحتية منخفضة </w:t>
      </w:r>
      <w:r w:rsidRPr="005D59A7">
        <w:rPr>
          <w:rFonts w:ascii="T" w:hAnsi="T" w:cs="Simplified Arabic"/>
          <w:sz w:val="24"/>
          <w:szCs w:val="24"/>
          <w:rtl/>
        </w:rPr>
        <w:lastRenderedPageBreak/>
        <w:t>الكربون تظهر اتجاهاً متزايداً نحو دمج أهداف الاستدامة في أطر الشراكة، مما يعكس تحولاً من التركيز الضيق على الكفاءة المالية إلى اعتبارات بيئية واجتماعية أوسع. كما أشارت الدراسة إلى أن تصميم آليات تقاسم المخاطر المناسبة يشكل تحدياً رئيسياً في مشاريع</w:t>
      </w:r>
      <w:r w:rsidRPr="005D59A7">
        <w:rPr>
          <w:rFonts w:ascii="T" w:hAnsi="T" w:cs="Simplified Arabic"/>
          <w:sz w:val="24"/>
          <w:szCs w:val="24"/>
        </w:rPr>
        <w:t xml:space="preserve"> PPP </w:t>
      </w:r>
      <w:r w:rsidRPr="005D59A7">
        <w:rPr>
          <w:rFonts w:ascii="T" w:hAnsi="T" w:cs="Simplified Arabic"/>
          <w:sz w:val="24"/>
          <w:szCs w:val="24"/>
          <w:rtl/>
        </w:rPr>
        <w:t>الخضراء، نظراً لارتفاع درجة عدم اليقين المرتبطة بالتقنيات الجديدة والسياسات البيئية المتغيرة. أوصت الدراسة بضرورة تطوير أطر تنظيمية مرنة تدعم الابتكار في قطاع البنية التحتية المستدامة، مع تعزيز قدرات القطاع العام على إدارة عقود</w:t>
      </w:r>
      <w:r w:rsidRPr="005D59A7">
        <w:rPr>
          <w:rFonts w:ascii="T" w:hAnsi="T" w:cs="Simplified Arabic"/>
          <w:sz w:val="24"/>
          <w:szCs w:val="24"/>
        </w:rPr>
        <w:t xml:space="preserve"> PPP </w:t>
      </w:r>
      <w:r w:rsidRPr="005D59A7">
        <w:rPr>
          <w:rFonts w:ascii="T" w:hAnsi="T" w:cs="Simplified Arabic"/>
          <w:sz w:val="24"/>
          <w:szCs w:val="24"/>
          <w:rtl/>
        </w:rPr>
        <w:t>المعقدة في هذا المجال</w:t>
      </w:r>
      <w:r w:rsidRPr="005D59A7">
        <w:rPr>
          <w:rFonts w:ascii="T" w:hAnsi="T" w:cs="Simplified Arabic"/>
          <w:sz w:val="24"/>
          <w:szCs w:val="24"/>
        </w:rPr>
        <w:t>.</w:t>
      </w:r>
    </w:p>
    <w:p w14:paraId="3D267165" w14:textId="135DAE9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w:t>
      </w:r>
      <w:r w:rsidRPr="005D59A7">
        <w:rPr>
          <w:rFonts w:ascii="T" w:hAnsi="T" w:cs="Simplified Arabic"/>
          <w:sz w:val="24"/>
          <w:szCs w:val="24"/>
          <w:rtl/>
        </w:rPr>
        <w:t>و</w:t>
      </w:r>
      <w:r w:rsidRPr="005D59A7">
        <w:rPr>
          <w:rFonts w:ascii="T" w:hAnsi="T" w:cs="Simplified Arabic"/>
          <w:sz w:val="24"/>
          <w:szCs w:val="24"/>
        </w:rPr>
        <w:t xml:space="preserve"> Solheim (2023) </w:t>
      </w:r>
      <w:r w:rsidRPr="005D59A7">
        <w:rPr>
          <w:rFonts w:ascii="T" w:hAnsi="T" w:cs="Simplified Arabic"/>
          <w:sz w:val="24"/>
          <w:szCs w:val="24"/>
          <w:rtl/>
        </w:rPr>
        <w:t>تطور مفهوم</w:t>
      </w:r>
      <w:r w:rsidRPr="005D59A7">
        <w:rPr>
          <w:rFonts w:ascii="T" w:hAnsi="T" w:cs="Simplified Arabic"/>
          <w:sz w:val="24"/>
          <w:szCs w:val="24"/>
        </w:rPr>
        <w:t xml:space="preserve"> PPP </w:t>
      </w:r>
      <w:r w:rsidRPr="005D59A7">
        <w:rPr>
          <w:rFonts w:ascii="T" w:hAnsi="T" w:cs="Simplified Arabic"/>
          <w:sz w:val="24"/>
          <w:szCs w:val="24"/>
          <w:rtl/>
        </w:rPr>
        <w:t>في سياق المدن الذكية. هدفت الدراسة إلى إجراء مسح نقدي للأدبيات المتعلقة بـ</w:t>
      </w:r>
      <w:r w:rsidRPr="005D59A7">
        <w:rPr>
          <w:rFonts w:ascii="T" w:hAnsi="T" w:cs="Simplified Arabic"/>
          <w:sz w:val="24"/>
          <w:szCs w:val="24"/>
        </w:rPr>
        <w:t xml:space="preserve"> PPP </w:t>
      </w:r>
      <w:r w:rsidRPr="005D59A7">
        <w:rPr>
          <w:rFonts w:ascii="T" w:hAnsi="T" w:cs="Simplified Arabic"/>
          <w:sz w:val="24"/>
          <w:szCs w:val="24"/>
          <w:rtl/>
        </w:rPr>
        <w:t>في المدن الذكية، وتحديد الفجوات البحثية واقتراح أجندة بحثية مستقبلية. اعتمد الباحثون على مراجعة منهجية شاملة للأدبيات المنشورة خلال الفترة 2010-2022، مع تحليل نقدي للمفاهيم والنماذج والتحديات. توصلت الدراسة إلى أن مفهوم</w:t>
      </w:r>
      <w:r w:rsidRPr="005D59A7">
        <w:rPr>
          <w:rFonts w:ascii="T" w:hAnsi="T" w:cs="Simplified Arabic"/>
          <w:sz w:val="24"/>
          <w:szCs w:val="24"/>
        </w:rPr>
        <w:t xml:space="preserve"> PPP </w:t>
      </w:r>
      <w:r w:rsidRPr="005D59A7">
        <w:rPr>
          <w:rFonts w:ascii="T" w:hAnsi="T" w:cs="Simplified Arabic"/>
          <w:sz w:val="24"/>
          <w:szCs w:val="24"/>
          <w:rtl/>
        </w:rPr>
        <w:t>تطور ليشمل شراكات متعددة الأطراف تجمع بين القطاع العام والخاص والمجتمع المدني والأوساط الأكاديمية، مما يعكس تعقيداً متزايداً في هيكل الشراكة وأهدافها. كما أشارت الدراسة إلى أن مشاريع المدن الذكية تواجه تحديات فريدة تتعلق بخصوصية البيانات والأمن السيبراني والملكية الفكرية، مما يتطلب تطوير أطر حوكمة مبتكرة. أوصت الدراسة بضرورة إجراء المزيد من البحوث حول آليات قياس أداء</w:t>
      </w:r>
      <w:r w:rsidRPr="005D59A7">
        <w:rPr>
          <w:rFonts w:ascii="T" w:hAnsi="T" w:cs="Simplified Arabic"/>
          <w:sz w:val="24"/>
          <w:szCs w:val="24"/>
        </w:rPr>
        <w:t xml:space="preserve"> PPP </w:t>
      </w:r>
      <w:r w:rsidRPr="005D59A7">
        <w:rPr>
          <w:rFonts w:ascii="T" w:hAnsi="T" w:cs="Simplified Arabic"/>
          <w:sz w:val="24"/>
          <w:szCs w:val="24"/>
          <w:rtl/>
        </w:rPr>
        <w:t>في المدن الذكية، وتطوير نماذج تقاسم المخاطر المناسبة لهذا السياق الجديد</w:t>
      </w:r>
      <w:r w:rsidRPr="005D59A7">
        <w:rPr>
          <w:rFonts w:ascii="T" w:hAnsi="T" w:cs="Simplified Arabic"/>
          <w:sz w:val="24"/>
          <w:szCs w:val="24"/>
        </w:rPr>
        <w:t>.</w:t>
      </w:r>
    </w:p>
    <w:p w14:paraId="4E4CC3B8" w14:textId="521E8E3C"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Khandanisa</w:t>
      </w:r>
      <w:proofErr w:type="spellEnd"/>
      <w:r w:rsidRPr="005D59A7">
        <w:rPr>
          <w:rFonts w:ascii="T" w:hAnsi="T" w:cs="Simplified Arabic"/>
          <w:sz w:val="24"/>
          <w:szCs w:val="24"/>
        </w:rPr>
        <w:t xml:space="preserve">, </w:t>
      </w:r>
      <w:proofErr w:type="spellStart"/>
      <w:r w:rsidRPr="005D59A7">
        <w:rPr>
          <w:rFonts w:ascii="T" w:hAnsi="T" w:cs="Simplified Arabic"/>
          <w:sz w:val="24"/>
          <w:szCs w:val="24"/>
        </w:rPr>
        <w:t>Ramolobe</w:t>
      </w:r>
      <w:proofErr w:type="spellEnd"/>
      <w:r w:rsidRPr="005D59A7">
        <w:rPr>
          <w:rFonts w:ascii="T" w:hAnsi="T" w:cs="Simplified Arabic"/>
          <w:sz w:val="24"/>
          <w:szCs w:val="24"/>
        </w:rPr>
        <w:t xml:space="preserve"> (2024) </w:t>
      </w:r>
      <w:r w:rsidRPr="005D59A7">
        <w:rPr>
          <w:rFonts w:ascii="T" w:hAnsi="T" w:cs="Simplified Arabic"/>
          <w:sz w:val="24"/>
          <w:szCs w:val="24"/>
          <w:rtl/>
        </w:rPr>
        <w:t>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تحقيق التنمية المستدامة على المستوى المحلي في جنوب أفريقيا. اعتمد الباحثون على منهجية دراسة حالة، مع تحليل بيانات من مشاريع</w:t>
      </w:r>
      <w:r w:rsidRPr="005D59A7">
        <w:rPr>
          <w:rFonts w:ascii="T" w:hAnsi="T" w:cs="Simplified Arabic"/>
          <w:sz w:val="24"/>
          <w:szCs w:val="24"/>
        </w:rPr>
        <w:t xml:space="preserve"> PPP </w:t>
      </w:r>
      <w:r w:rsidRPr="005D59A7">
        <w:rPr>
          <w:rFonts w:ascii="T" w:hAnsi="T" w:cs="Simplified Arabic"/>
          <w:sz w:val="24"/>
          <w:szCs w:val="24"/>
          <w:rtl/>
        </w:rPr>
        <w:t>منفذة في عدة بلديات. توصلت الدراسة إلى أن</w:t>
      </w:r>
      <w:r w:rsidRPr="005D59A7">
        <w:rPr>
          <w:rFonts w:ascii="T" w:hAnsi="T" w:cs="Simplified Arabic"/>
          <w:sz w:val="24"/>
          <w:szCs w:val="24"/>
        </w:rPr>
        <w:t xml:space="preserve"> PPP </w:t>
      </w:r>
      <w:r w:rsidRPr="005D59A7">
        <w:rPr>
          <w:rFonts w:ascii="T" w:hAnsi="T" w:cs="Simplified Arabic"/>
          <w:sz w:val="24"/>
          <w:szCs w:val="24"/>
          <w:rtl/>
        </w:rPr>
        <w:t>أصبح أداة محورية لتحقيق أهداف التنمية المستدامة للحكومات المحلية، خاصة في سياق الدول النامية حيث تتزايد الحاجة إلى البنية التحتية مع محدودية الموارد العامة. كما أشارت الدراسة إلى أن نجاح</w:t>
      </w:r>
      <w:r w:rsidRPr="005D59A7">
        <w:rPr>
          <w:rFonts w:ascii="T" w:hAnsi="T" w:cs="Simplified Arabic"/>
          <w:sz w:val="24"/>
          <w:szCs w:val="24"/>
        </w:rPr>
        <w:t xml:space="preserve"> PPP </w:t>
      </w:r>
      <w:r w:rsidRPr="005D59A7">
        <w:rPr>
          <w:rFonts w:ascii="T" w:hAnsi="T" w:cs="Simplified Arabic"/>
          <w:sz w:val="24"/>
          <w:szCs w:val="24"/>
          <w:rtl/>
        </w:rPr>
        <w:t>على المستوى المحلي يتطلب بناء قدرات مؤسسية متطورة، وتعزيز الشفافية والمشاركة المجتمعية. أوصت الدراسة بضرورة تطوير أطر تنظيمية مرنة تتناسب مع احتياجات الحكومات المحلية، مع توفير الدعم الفني والمالي لتعزيز قدراتها على إدارة عقود</w:t>
      </w:r>
      <w:r w:rsidRPr="005D59A7">
        <w:rPr>
          <w:rFonts w:ascii="T" w:hAnsi="T" w:cs="Simplified Arabic"/>
          <w:sz w:val="24"/>
          <w:szCs w:val="24"/>
        </w:rPr>
        <w:t xml:space="preserve"> PPP.</w:t>
      </w:r>
    </w:p>
    <w:p w14:paraId="1A207903"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دوافع تبني الشراكات بين القطاعين العام والخاص</w:t>
      </w:r>
    </w:p>
    <w:p w14:paraId="6ACF17A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تتنوع دوافع تبني الحكومات لنماذج الشراكة مع القطاع الخاص، ويمكن تصنيفها إلى عدة فئات رئيسية تشمل دوافع الكفاءة والابتكار، دوافع التمويل وسد الفجوات المالية، دوافع نقل وتوزيع المخاطر، ودوافع تحسين جودة الخدمات وتحقيق التنمية المستدامة</w:t>
      </w:r>
      <w:r w:rsidRPr="005D59A7">
        <w:rPr>
          <w:rFonts w:ascii="T" w:hAnsi="T" w:cs="Simplified Arabic"/>
          <w:sz w:val="24"/>
          <w:szCs w:val="24"/>
        </w:rPr>
        <w:t>.</w:t>
      </w:r>
    </w:p>
    <w:p w14:paraId="19ACBC8F" w14:textId="4D26645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مجال الابتكار، أجرى </w:t>
      </w:r>
      <w:r w:rsidRPr="005D59A7">
        <w:rPr>
          <w:rFonts w:ascii="T" w:hAnsi="T" w:cs="Simplified Arabic"/>
          <w:sz w:val="24"/>
          <w:szCs w:val="24"/>
        </w:rPr>
        <w:t xml:space="preserve">Liu, et al  (2024) </w:t>
      </w:r>
      <w:r w:rsidRPr="005D59A7">
        <w:rPr>
          <w:rFonts w:ascii="T" w:hAnsi="T" w:cs="Simplified Arabic"/>
          <w:sz w:val="24"/>
          <w:szCs w:val="24"/>
          <w:rtl/>
        </w:rPr>
        <w:t xml:space="preserve"> دراسة هدفت إلى تحليل تأثير</w:t>
      </w:r>
      <w:r w:rsidRPr="005D59A7">
        <w:rPr>
          <w:rFonts w:ascii="T" w:hAnsi="T" w:cs="Simplified Arabic"/>
          <w:sz w:val="24"/>
          <w:szCs w:val="24"/>
        </w:rPr>
        <w:t xml:space="preserve"> PPP </w:t>
      </w:r>
      <w:r w:rsidRPr="005D59A7">
        <w:rPr>
          <w:rFonts w:ascii="T" w:hAnsi="T" w:cs="Simplified Arabic"/>
          <w:sz w:val="24"/>
          <w:szCs w:val="24"/>
          <w:rtl/>
        </w:rPr>
        <w:t>على الابتكار في تسليم مشاريع البنية التحتية. اعتمد الباحثون على منهجية مختلطة جمعت بين تحليل بيانات كمية من 120 مشروع بنية تحتية ودراسات حالة نوعية لثمانية مشاريع</w:t>
      </w:r>
      <w:r w:rsidRPr="005D59A7">
        <w:rPr>
          <w:rFonts w:ascii="T" w:hAnsi="T" w:cs="Simplified Arabic"/>
          <w:sz w:val="24"/>
          <w:szCs w:val="24"/>
        </w:rPr>
        <w:t xml:space="preserve"> PPP. </w:t>
      </w:r>
      <w:r w:rsidRPr="005D59A7">
        <w:rPr>
          <w:rFonts w:ascii="T" w:hAnsi="T" w:cs="Simplified Arabic"/>
          <w:sz w:val="24"/>
          <w:szCs w:val="24"/>
          <w:rtl/>
        </w:rPr>
        <w:t>توصلت الدراسة إلى أن</w:t>
      </w:r>
      <w:r w:rsidRPr="005D59A7">
        <w:rPr>
          <w:rFonts w:ascii="T" w:hAnsi="T" w:cs="Simplified Arabic"/>
          <w:sz w:val="24"/>
          <w:szCs w:val="24"/>
        </w:rPr>
        <w:t xml:space="preserve"> PPP </w:t>
      </w:r>
      <w:r w:rsidRPr="005D59A7">
        <w:rPr>
          <w:rFonts w:ascii="T" w:hAnsi="T" w:cs="Simplified Arabic"/>
          <w:sz w:val="24"/>
          <w:szCs w:val="24"/>
          <w:rtl/>
        </w:rPr>
        <w:t>لها تأثير إيجابي كبير على الابتكار، حيث تعمل آليات السوق والمنافسة على تحفيز الشركاء من القطاع الخاص لتطوير حلول مبتكرة تقلل التكاليف وتحسن الجودة. وجدت الدراسة أن مشاريع</w:t>
      </w:r>
      <w:r w:rsidRPr="005D59A7">
        <w:rPr>
          <w:rFonts w:ascii="T" w:hAnsi="T" w:cs="Simplified Arabic"/>
          <w:sz w:val="24"/>
          <w:szCs w:val="24"/>
        </w:rPr>
        <w:t xml:space="preserve"> PPP </w:t>
      </w:r>
      <w:r w:rsidRPr="005D59A7">
        <w:rPr>
          <w:rFonts w:ascii="T" w:hAnsi="T" w:cs="Simplified Arabic"/>
          <w:sz w:val="24"/>
          <w:szCs w:val="24"/>
          <w:rtl/>
        </w:rPr>
        <w:t>تميل إلى تبني تقنيات وأساليب إدارة أكثر تقدماً مقارنة بالمشاريع التقليدية، مما يسهم في تسريع الإنجاز وتحسين الأداء بنسبة تتراوح بين 15-25%. كما أشارت الدراسة إلى أن التعاقد القائم على الأداء</w:t>
      </w:r>
      <w:r w:rsidRPr="005D59A7">
        <w:rPr>
          <w:rFonts w:ascii="T" w:hAnsi="T" w:cs="Simplified Arabic"/>
          <w:sz w:val="24"/>
          <w:szCs w:val="24"/>
        </w:rPr>
        <w:t xml:space="preserve"> (Performance-Based Contracting) </w:t>
      </w:r>
      <w:r w:rsidRPr="005D59A7">
        <w:rPr>
          <w:rFonts w:ascii="T" w:hAnsi="T" w:cs="Simplified Arabic"/>
          <w:sz w:val="24"/>
          <w:szCs w:val="24"/>
          <w:rtl/>
        </w:rPr>
        <w:t>يعزز الابتكار بشكل أكبر من العقود التقليدية، لأنه يربط تعويض القطاع الخاص بتحقيق نتائج محددة بدلاً من مجرد تنفيذ مهام محددة. أوصت الدراسة بضرورة تصميم عقود</w:t>
      </w:r>
      <w:r w:rsidRPr="005D59A7">
        <w:rPr>
          <w:rFonts w:ascii="T" w:hAnsi="T" w:cs="Simplified Arabic"/>
          <w:sz w:val="24"/>
          <w:szCs w:val="24"/>
        </w:rPr>
        <w:t xml:space="preserve"> PPP </w:t>
      </w:r>
      <w:r w:rsidRPr="005D59A7">
        <w:rPr>
          <w:rFonts w:ascii="T" w:hAnsi="T" w:cs="Simplified Arabic"/>
          <w:sz w:val="24"/>
          <w:szCs w:val="24"/>
          <w:rtl/>
        </w:rPr>
        <w:t>بشكل يحفز الابتكار، مع توفير المرونة اللازمة للتكيف مع التطورات التقنية خلال فترة العقد الطويلة</w:t>
      </w:r>
      <w:r w:rsidRPr="005D59A7">
        <w:rPr>
          <w:rFonts w:ascii="T" w:hAnsi="T" w:cs="Simplified Arabic"/>
          <w:sz w:val="24"/>
          <w:szCs w:val="24"/>
        </w:rPr>
        <w:t>.</w:t>
      </w:r>
    </w:p>
    <w:p w14:paraId="7E023BAB" w14:textId="5575CC15"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قطاع الإسكان، أجرى</w:t>
      </w:r>
      <w:r w:rsidRPr="005D59A7">
        <w:rPr>
          <w:rFonts w:ascii="T" w:hAnsi="T" w:cs="Simplified Arabic"/>
          <w:sz w:val="24"/>
          <w:szCs w:val="24"/>
        </w:rPr>
        <w:t xml:space="preserve"> </w:t>
      </w:r>
      <w:proofErr w:type="spellStart"/>
      <w:r w:rsidRPr="005D59A7">
        <w:rPr>
          <w:rFonts w:ascii="T" w:hAnsi="T" w:cs="Simplified Arabic"/>
          <w:sz w:val="24"/>
          <w:szCs w:val="24"/>
        </w:rPr>
        <w:t>Iwuanyanwu,et</w:t>
      </w:r>
      <w:proofErr w:type="spellEnd"/>
      <w:r w:rsidRPr="005D59A7">
        <w:rPr>
          <w:rFonts w:ascii="T" w:hAnsi="T" w:cs="Simplified Arabic"/>
          <w:sz w:val="24"/>
          <w:szCs w:val="24"/>
        </w:rPr>
        <w:t xml:space="preserve"> al (2024) </w:t>
      </w:r>
      <w:r w:rsidRPr="005D59A7">
        <w:rPr>
          <w:rFonts w:ascii="T" w:hAnsi="T" w:cs="Simplified Arabic"/>
          <w:sz w:val="24"/>
          <w:szCs w:val="24"/>
          <w:rtl/>
        </w:rPr>
        <w:t>دراسة هدفت إلى استعراض وتحليل أطر</w:t>
      </w:r>
      <w:r w:rsidRPr="005D59A7">
        <w:rPr>
          <w:rFonts w:ascii="T" w:hAnsi="T" w:cs="Simplified Arabic"/>
          <w:sz w:val="24"/>
          <w:szCs w:val="24"/>
        </w:rPr>
        <w:t xml:space="preserve"> PPP </w:t>
      </w:r>
      <w:r w:rsidRPr="005D59A7">
        <w:rPr>
          <w:rFonts w:ascii="T" w:hAnsi="T" w:cs="Simplified Arabic"/>
          <w:sz w:val="24"/>
          <w:szCs w:val="24"/>
          <w:rtl/>
        </w:rPr>
        <w:t>المستخدمة في تمويل الإسكان الميسر، واستخلاص الدروس والنماذج الناجحة من مختلف دول العالم. اعتمد الباحثون على مراجعة منهجية للأدبيات وتحليل مقارن لنماذج</w:t>
      </w:r>
      <w:r w:rsidRPr="005D59A7">
        <w:rPr>
          <w:rFonts w:ascii="T" w:hAnsi="T" w:cs="Simplified Arabic"/>
          <w:sz w:val="24"/>
          <w:szCs w:val="24"/>
        </w:rPr>
        <w:t xml:space="preserve"> PPP </w:t>
      </w:r>
      <w:r w:rsidRPr="005D59A7">
        <w:rPr>
          <w:rFonts w:ascii="T" w:hAnsi="T" w:cs="Simplified Arabic"/>
          <w:sz w:val="24"/>
          <w:szCs w:val="24"/>
          <w:rtl/>
        </w:rPr>
        <w:t>في الولايات المتحدة والمملكة المتحدة والهند والبرازيل. توصلت الدراسة إلى أن دوافع الكفاءة في قطاع الإسكان تشمل الاستفادة من قدرات القطاع الخاص في التصميم والبناء والإدارة، مما يؤدي إلى تحسين جودة المساكن وتقليل زمن التسليم بنسبة تصل إلى 30-40%. كما أشارت الدراسة إلى أن المنافسة بين الشركات الخاصة تحفز على الابتكار في مواد البناء وتقنيات البناء، مما يسهم في خفض التكاليف بنسبة 15-20% وزيادة الاستدامة البيئية للمشاريع السكنية. أوضحت الدراسة أن نجاح</w:t>
      </w:r>
      <w:r w:rsidRPr="005D59A7">
        <w:rPr>
          <w:rFonts w:ascii="T" w:hAnsi="T" w:cs="Simplified Arabic"/>
          <w:sz w:val="24"/>
          <w:szCs w:val="24"/>
        </w:rPr>
        <w:t xml:space="preserve"> PPP </w:t>
      </w:r>
      <w:r w:rsidRPr="005D59A7">
        <w:rPr>
          <w:rFonts w:ascii="T" w:hAnsi="T" w:cs="Simplified Arabic"/>
          <w:sz w:val="24"/>
          <w:szCs w:val="24"/>
          <w:rtl/>
        </w:rPr>
        <w:t>في قطاع الإسكان يعتمد بشكل كبير على دعم الحكومة من خلال توفير الأراضي بأسعار مخفضة، والإعفاءات الضريبية، وضمانات القروض. أوصت الدراسة بضرورة تطوير أطر تنظيمية واضحة تحمي حقوق المستفيدين وتضمن جودة المساكن، مع تصميم آليات تمويل مبتكرة تجمع بين رأس المال الخاص والمنح الحكومية</w:t>
      </w:r>
      <w:r w:rsidRPr="005D59A7">
        <w:rPr>
          <w:rFonts w:ascii="T" w:hAnsi="T" w:cs="Simplified Arabic"/>
          <w:sz w:val="24"/>
          <w:szCs w:val="24"/>
        </w:rPr>
        <w:t>.</w:t>
      </w:r>
    </w:p>
    <w:p w14:paraId="4BD2301D" w14:textId="0172F09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التعليم، أجرى</w:t>
      </w:r>
      <w:r w:rsidRPr="005D59A7">
        <w:rPr>
          <w:rFonts w:ascii="T" w:hAnsi="T" w:cs="Simplified Arabic"/>
          <w:sz w:val="24"/>
          <w:szCs w:val="24"/>
        </w:rPr>
        <w:t xml:space="preserve"> </w:t>
      </w:r>
      <w:proofErr w:type="spellStart"/>
      <w:r w:rsidRPr="005D59A7">
        <w:rPr>
          <w:rFonts w:ascii="T" w:hAnsi="T" w:cs="Simplified Arabic"/>
          <w:sz w:val="24"/>
          <w:szCs w:val="24"/>
        </w:rPr>
        <w:t>Okolie,et</w:t>
      </w:r>
      <w:proofErr w:type="spellEnd"/>
      <w:r w:rsidRPr="005D59A7">
        <w:rPr>
          <w:rFonts w:ascii="T" w:hAnsi="T" w:cs="Simplified Arabic"/>
          <w:sz w:val="24"/>
          <w:szCs w:val="24"/>
        </w:rPr>
        <w:t xml:space="preserve"> al (2023) </w:t>
      </w:r>
      <w:r w:rsidRPr="005D59A7">
        <w:rPr>
          <w:rFonts w:ascii="T" w:hAnsi="T" w:cs="Simplified Arabic"/>
          <w:sz w:val="24"/>
          <w:szCs w:val="24"/>
          <w:rtl/>
        </w:rPr>
        <w:t>دراسة هدفت إلى تحليل تطبيق نموذج</w:t>
      </w:r>
      <w:r w:rsidRPr="005D59A7">
        <w:rPr>
          <w:rFonts w:ascii="T" w:hAnsi="T" w:cs="Simplified Arabic"/>
          <w:sz w:val="24"/>
          <w:szCs w:val="24"/>
        </w:rPr>
        <w:t xml:space="preserve"> PPP </w:t>
      </w:r>
      <w:r w:rsidRPr="005D59A7">
        <w:rPr>
          <w:rFonts w:ascii="T" w:hAnsi="T" w:cs="Simplified Arabic"/>
          <w:sz w:val="24"/>
          <w:szCs w:val="24"/>
          <w:rtl/>
        </w:rPr>
        <w:t>في تنفيذ برامج التعليم العالي في نيجيريا، وتحديد التحديات والفرص المرتبطة به. اعتمد الباحثون على منهجية المسح والتحليل الوصفي، مع توزيع استبيانات على 250 من القيادات الأكاديمية والإدارية في الجامعات النيجيرية. توصلت الدراسة إلى أن دوافع التمويل كانت العامل الأكثر أهمية في تبني</w:t>
      </w:r>
      <w:r w:rsidRPr="005D59A7">
        <w:rPr>
          <w:rFonts w:ascii="T" w:hAnsi="T" w:cs="Simplified Arabic"/>
          <w:sz w:val="24"/>
          <w:szCs w:val="24"/>
        </w:rPr>
        <w:t xml:space="preserve"> PPP </w:t>
      </w:r>
      <w:r w:rsidRPr="005D59A7">
        <w:rPr>
          <w:rFonts w:ascii="T" w:hAnsi="T" w:cs="Simplified Arabic"/>
          <w:sz w:val="24"/>
          <w:szCs w:val="24"/>
          <w:rtl/>
        </w:rPr>
        <w:t>في التعليم العالي النيجيري، حيث ساعدت الشراكة في سد الفجوة التمويلية الكبيرة التي تعاني منها الجامعات الحكومية. وجدت الدراسة أن</w:t>
      </w:r>
      <w:r w:rsidRPr="005D59A7">
        <w:rPr>
          <w:rFonts w:ascii="T" w:hAnsi="T" w:cs="Simplified Arabic"/>
          <w:sz w:val="24"/>
          <w:szCs w:val="24"/>
        </w:rPr>
        <w:t xml:space="preserve"> PPP </w:t>
      </w:r>
      <w:r w:rsidRPr="005D59A7">
        <w:rPr>
          <w:rFonts w:ascii="T" w:hAnsi="T" w:cs="Simplified Arabic"/>
          <w:sz w:val="24"/>
          <w:szCs w:val="24"/>
          <w:rtl/>
        </w:rPr>
        <w:t>مكن من تطوير البنية التحتية وتحسين جودة التعليم في 70% من الجامعات التي طبقت هذا النموذج، رغم محدودية الموارد العامة. كما أشارت الدراسة إلى أن الشراكات ساهمت في تحسين فرص توظيف الخريجين من خلال ربط مخرجات التعليم باحتياجات سوق العمل، مما زاد من نسبة التوظيف بنحو 25%. أوصت الدراسة بضرورة تطوير أطر قانونية واضحة تنظم علاقة الجامعات بالقطاع الخاص، مع بناء قدرات الكوادر الإدارية في الجامعات لإدارة عقود</w:t>
      </w:r>
      <w:r w:rsidRPr="005D59A7">
        <w:rPr>
          <w:rFonts w:ascii="T" w:hAnsi="T" w:cs="Simplified Arabic"/>
          <w:sz w:val="24"/>
          <w:szCs w:val="24"/>
        </w:rPr>
        <w:t xml:space="preserve"> PPP </w:t>
      </w:r>
      <w:r w:rsidRPr="005D59A7">
        <w:rPr>
          <w:rFonts w:ascii="T" w:hAnsi="T" w:cs="Simplified Arabic"/>
          <w:sz w:val="24"/>
          <w:szCs w:val="24"/>
          <w:rtl/>
        </w:rPr>
        <w:t>بكفاءة</w:t>
      </w:r>
      <w:r w:rsidRPr="005D59A7">
        <w:rPr>
          <w:rFonts w:ascii="T" w:hAnsi="T" w:cs="Simplified Arabic"/>
          <w:sz w:val="24"/>
          <w:szCs w:val="24"/>
        </w:rPr>
        <w:t>.</w:t>
      </w:r>
    </w:p>
    <w:p w14:paraId="01414571"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نماذج الشراكات بين القطاعين العام والخاص</w:t>
      </w:r>
    </w:p>
    <w:p w14:paraId="4011B39A"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تتنوع نماذج</w:t>
      </w:r>
      <w:r w:rsidRPr="005D59A7">
        <w:rPr>
          <w:rFonts w:ascii="T" w:hAnsi="T" w:cs="Simplified Arabic"/>
          <w:sz w:val="24"/>
          <w:szCs w:val="24"/>
        </w:rPr>
        <w:t xml:space="preserve"> PPP </w:t>
      </w:r>
      <w:r w:rsidRPr="005D59A7">
        <w:rPr>
          <w:rFonts w:ascii="T" w:hAnsi="T" w:cs="Simplified Arabic"/>
          <w:sz w:val="24"/>
          <w:szCs w:val="24"/>
          <w:rtl/>
        </w:rPr>
        <w:t>وفقاً لنطاق مسؤوليات القطاع الخاص ودرجة تحمله للمخاطر. من أهم هذه النماذج نموذج التشغيل والصيانة</w:t>
      </w:r>
      <w:r w:rsidRPr="005D59A7">
        <w:rPr>
          <w:rFonts w:ascii="T" w:hAnsi="T" w:cs="Simplified Arabic"/>
          <w:sz w:val="24"/>
          <w:szCs w:val="24"/>
        </w:rPr>
        <w:t xml:space="preserve"> (O&amp;M)</w:t>
      </w:r>
      <w:r w:rsidRPr="005D59A7">
        <w:rPr>
          <w:rFonts w:ascii="T" w:hAnsi="T" w:cs="Simplified Arabic"/>
          <w:sz w:val="24"/>
          <w:szCs w:val="24"/>
          <w:rtl/>
        </w:rPr>
        <w:t>، نموذج البناء والتشغيل والتحويل</w:t>
      </w:r>
      <w:r w:rsidRPr="005D59A7">
        <w:rPr>
          <w:rFonts w:ascii="T" w:hAnsi="T" w:cs="Simplified Arabic"/>
          <w:sz w:val="24"/>
          <w:szCs w:val="24"/>
        </w:rPr>
        <w:t xml:space="preserve"> (BOT)</w:t>
      </w:r>
      <w:r w:rsidRPr="005D59A7">
        <w:rPr>
          <w:rFonts w:ascii="T" w:hAnsi="T" w:cs="Simplified Arabic"/>
          <w:sz w:val="24"/>
          <w:szCs w:val="24"/>
          <w:rtl/>
        </w:rPr>
        <w:t>، نموذج البناء والتملك والتشغيل والتحويل</w:t>
      </w:r>
      <w:r w:rsidRPr="005D59A7">
        <w:rPr>
          <w:rFonts w:ascii="T" w:hAnsi="T" w:cs="Simplified Arabic"/>
          <w:sz w:val="24"/>
          <w:szCs w:val="24"/>
        </w:rPr>
        <w:t xml:space="preserve"> (BOOT)</w:t>
      </w:r>
      <w:r w:rsidRPr="005D59A7">
        <w:rPr>
          <w:rFonts w:ascii="T" w:hAnsi="T" w:cs="Simplified Arabic"/>
          <w:sz w:val="24"/>
          <w:szCs w:val="24"/>
          <w:rtl/>
        </w:rPr>
        <w:t>، نموذج التصميم والبناء والتمويل والصيانة</w:t>
      </w:r>
      <w:r w:rsidRPr="005D59A7">
        <w:rPr>
          <w:rFonts w:ascii="T" w:hAnsi="T" w:cs="Simplified Arabic"/>
          <w:sz w:val="24"/>
          <w:szCs w:val="24"/>
        </w:rPr>
        <w:t xml:space="preserve"> (DBFM)</w:t>
      </w:r>
      <w:r w:rsidRPr="005D59A7">
        <w:rPr>
          <w:rFonts w:ascii="T" w:hAnsi="T" w:cs="Simplified Arabic"/>
          <w:sz w:val="24"/>
          <w:szCs w:val="24"/>
          <w:rtl/>
        </w:rPr>
        <w:t>، نموذج الامتياز</w:t>
      </w:r>
      <w:r w:rsidRPr="005D59A7">
        <w:rPr>
          <w:rFonts w:ascii="T" w:hAnsi="T" w:cs="Simplified Arabic"/>
          <w:sz w:val="24"/>
          <w:szCs w:val="24"/>
        </w:rPr>
        <w:t xml:space="preserve"> (Concession)</w:t>
      </w:r>
      <w:r w:rsidRPr="005D59A7">
        <w:rPr>
          <w:rFonts w:ascii="T" w:hAnsi="T" w:cs="Simplified Arabic"/>
          <w:sz w:val="24"/>
          <w:szCs w:val="24"/>
          <w:rtl/>
        </w:rPr>
        <w:t>، ونموذج الشراكة المؤسسية</w:t>
      </w:r>
      <w:r w:rsidRPr="005D59A7">
        <w:rPr>
          <w:rFonts w:ascii="T" w:hAnsi="T" w:cs="Simplified Arabic"/>
          <w:sz w:val="24"/>
          <w:szCs w:val="24"/>
        </w:rPr>
        <w:t xml:space="preserve"> (Institutional PPP).</w:t>
      </w:r>
    </w:p>
    <w:p w14:paraId="3844A23A" w14:textId="70AE318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المستخدمة في مشاريع البنية التحتية الخضراء. توصلت الدراسة إلى أن نموذج</w:t>
      </w:r>
      <w:r w:rsidRPr="005D59A7">
        <w:rPr>
          <w:rFonts w:ascii="T" w:hAnsi="T" w:cs="Simplified Arabic"/>
          <w:sz w:val="24"/>
          <w:szCs w:val="24"/>
        </w:rPr>
        <w:t xml:space="preserve"> BOOT </w:t>
      </w:r>
      <w:r w:rsidRPr="005D59A7">
        <w:rPr>
          <w:rFonts w:ascii="T" w:hAnsi="T" w:cs="Simplified Arabic"/>
          <w:sz w:val="24"/>
          <w:szCs w:val="24"/>
          <w:rtl/>
        </w:rPr>
        <w:t>يوفر حوافز أقوى للقطاع الخاص للاستثمار في الجودة والصيانة، حيث يستفيد من قيمة الأصول المتبقية بعد انتهاء فترة التشغيل. كما أشارت الدراسة إلى أن هذا النموذج مناسب بشكل خاص لمشاريع الطاقة المتجددة ومحطات معالجة المياه، التي تتطلب استثمارات أولية كبيرة وتقنيات متخصصة. وجدت الدراسة أن مشاريع</w:t>
      </w:r>
      <w:r w:rsidRPr="005D59A7">
        <w:rPr>
          <w:rFonts w:ascii="T" w:hAnsi="T" w:cs="Simplified Arabic"/>
          <w:sz w:val="24"/>
          <w:szCs w:val="24"/>
        </w:rPr>
        <w:t xml:space="preserve"> BOOT </w:t>
      </w:r>
      <w:r w:rsidRPr="005D59A7">
        <w:rPr>
          <w:rFonts w:ascii="T" w:hAnsi="T" w:cs="Simplified Arabic"/>
          <w:sz w:val="24"/>
          <w:szCs w:val="24"/>
          <w:rtl/>
        </w:rPr>
        <w:t>في قطاع الطاقة المتجددة حققت معدلات نجاح أعلى من مشاريع</w:t>
      </w:r>
      <w:r w:rsidRPr="005D59A7">
        <w:rPr>
          <w:rFonts w:ascii="T" w:hAnsi="T" w:cs="Simplified Arabic"/>
          <w:sz w:val="24"/>
          <w:szCs w:val="24"/>
        </w:rPr>
        <w:t xml:space="preserve"> BOT</w:t>
      </w:r>
      <w:r w:rsidRPr="005D59A7">
        <w:rPr>
          <w:rFonts w:ascii="T" w:hAnsi="T" w:cs="Simplified Arabic"/>
          <w:sz w:val="24"/>
          <w:szCs w:val="24"/>
          <w:rtl/>
        </w:rPr>
        <w:t>، حيث بلغت نسبة نجاحها 85% مقابل 70% لمشاريع</w:t>
      </w:r>
      <w:r w:rsidRPr="005D59A7">
        <w:rPr>
          <w:rFonts w:ascii="T" w:hAnsi="T" w:cs="Simplified Arabic"/>
          <w:sz w:val="24"/>
          <w:szCs w:val="24"/>
        </w:rPr>
        <w:t xml:space="preserve"> BOT. </w:t>
      </w:r>
      <w:r w:rsidRPr="005D59A7">
        <w:rPr>
          <w:rFonts w:ascii="T" w:hAnsi="T" w:cs="Simplified Arabic"/>
          <w:sz w:val="24"/>
          <w:szCs w:val="24"/>
          <w:rtl/>
        </w:rPr>
        <w:t xml:space="preserve">أوصت الدراسة بضرورة </w:t>
      </w:r>
      <w:r w:rsidRPr="005D59A7">
        <w:rPr>
          <w:rFonts w:ascii="T" w:hAnsi="T" w:cs="Simplified Arabic"/>
          <w:sz w:val="24"/>
          <w:szCs w:val="24"/>
          <w:rtl/>
        </w:rPr>
        <w:lastRenderedPageBreak/>
        <w:t>تصميم عقود</w:t>
      </w:r>
      <w:r w:rsidRPr="005D59A7">
        <w:rPr>
          <w:rFonts w:ascii="T" w:hAnsi="T" w:cs="Simplified Arabic"/>
          <w:sz w:val="24"/>
          <w:szCs w:val="24"/>
        </w:rPr>
        <w:t xml:space="preserve"> BOOT </w:t>
      </w:r>
      <w:r w:rsidRPr="005D59A7">
        <w:rPr>
          <w:rFonts w:ascii="T" w:hAnsi="T" w:cs="Simplified Arabic"/>
          <w:sz w:val="24"/>
          <w:szCs w:val="24"/>
          <w:rtl/>
        </w:rPr>
        <w:t>بشكل يوازن بين حاجة القطاع الخاص لتحقيق عوائد معقولة وحماية المصلحة العامة، مع تضمين آليات مراجعة دورية للأسعار والتكاليف</w:t>
      </w:r>
      <w:r w:rsidRPr="005D59A7">
        <w:rPr>
          <w:rFonts w:ascii="T" w:hAnsi="T" w:cs="Simplified Arabic"/>
          <w:sz w:val="24"/>
          <w:szCs w:val="24"/>
        </w:rPr>
        <w:t>.</w:t>
      </w:r>
    </w:p>
    <w:p w14:paraId="5919688E" w14:textId="2F500EE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Solheim (2023) </w:t>
      </w:r>
      <w:r w:rsidRPr="005D59A7">
        <w:rPr>
          <w:rFonts w:ascii="T" w:hAnsi="T" w:cs="Simplified Arabic"/>
          <w:sz w:val="24"/>
          <w:szCs w:val="24"/>
          <w:rtl/>
        </w:rPr>
        <w:t>تحليل نماذج</w:t>
      </w:r>
      <w:r w:rsidRPr="005D59A7">
        <w:rPr>
          <w:rFonts w:ascii="T" w:hAnsi="T" w:cs="Simplified Arabic"/>
          <w:sz w:val="24"/>
          <w:szCs w:val="24"/>
        </w:rPr>
        <w:t xml:space="preserve"> PPP </w:t>
      </w:r>
      <w:r w:rsidRPr="005D59A7">
        <w:rPr>
          <w:rFonts w:ascii="T" w:hAnsi="T" w:cs="Simplified Arabic"/>
          <w:sz w:val="24"/>
          <w:szCs w:val="24"/>
          <w:rtl/>
        </w:rPr>
        <w:t>المناسبة لمشاريع المدن الذكية. توصلت الدراسة إلى أن نموذج</w:t>
      </w:r>
      <w:r w:rsidRPr="005D59A7">
        <w:rPr>
          <w:rFonts w:ascii="T" w:hAnsi="T" w:cs="Simplified Arabic"/>
          <w:sz w:val="24"/>
          <w:szCs w:val="24"/>
        </w:rPr>
        <w:t xml:space="preserve"> DBFM </w:t>
      </w:r>
      <w:r w:rsidRPr="005D59A7">
        <w:rPr>
          <w:rFonts w:ascii="T" w:hAnsi="T" w:cs="Simplified Arabic"/>
          <w:sz w:val="24"/>
          <w:szCs w:val="24"/>
          <w:rtl/>
        </w:rPr>
        <w:t>هو الأكثر شيوعاً في مشاريع المدن الذكية، حيث يتطلب التصميم والبناء خبرات تقنية متخصصة، بينما تبقى عمليات التشغيل اليومية ضمن مسؤولية البلدية. كما أشارت الدراسة إلى أن هذا النموذج يتيح للقطاع العام الاستفادة من خبرات القطاع الخاص في التصميم والبناء، مع الحفاظ على السيطرة على عمليات التشغيل الحيوية. أوضحت الدراسة أن مشاريع</w:t>
      </w:r>
      <w:r w:rsidRPr="005D59A7">
        <w:rPr>
          <w:rFonts w:ascii="T" w:hAnsi="T" w:cs="Simplified Arabic"/>
          <w:sz w:val="24"/>
          <w:szCs w:val="24"/>
        </w:rPr>
        <w:t xml:space="preserve"> DBFM </w:t>
      </w:r>
      <w:r w:rsidRPr="005D59A7">
        <w:rPr>
          <w:rFonts w:ascii="T" w:hAnsi="T" w:cs="Simplified Arabic"/>
          <w:sz w:val="24"/>
          <w:szCs w:val="24"/>
          <w:rtl/>
        </w:rPr>
        <w:t>في المدن الذكية حققت نتائج أفضل في مجالات كفاءة الطاقة وإدارة المرور وتحسين جودة الحياة، مقارنة بالمشاريع المنفذة بالطرق التقليدية. أوصت الدراسة بضرورة تطوير مؤشرات أداء خاصة بالمدن الذكية لقياس نجاح</w:t>
      </w:r>
      <w:r w:rsidRPr="005D59A7">
        <w:rPr>
          <w:rFonts w:ascii="T" w:hAnsi="T" w:cs="Simplified Arabic"/>
          <w:sz w:val="24"/>
          <w:szCs w:val="24"/>
        </w:rPr>
        <w:t xml:space="preserve"> PPP</w:t>
      </w:r>
      <w:r w:rsidRPr="005D59A7">
        <w:rPr>
          <w:rFonts w:ascii="T" w:hAnsi="T" w:cs="Simplified Arabic"/>
          <w:sz w:val="24"/>
          <w:szCs w:val="24"/>
          <w:rtl/>
        </w:rPr>
        <w:t>، مع التركيز على مؤشرات الابتكار والاستدامة والمرونة</w:t>
      </w:r>
      <w:r w:rsidRPr="005D59A7">
        <w:rPr>
          <w:rFonts w:ascii="T" w:hAnsi="T" w:cs="Simplified Arabic"/>
          <w:sz w:val="24"/>
          <w:szCs w:val="24"/>
        </w:rPr>
        <w:t>.</w:t>
      </w:r>
    </w:p>
    <w:p w14:paraId="5834B47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w:t>
      </w:r>
      <w:proofErr w:type="spellStart"/>
      <w:r w:rsidRPr="005D59A7">
        <w:rPr>
          <w:rFonts w:ascii="T" w:hAnsi="T" w:cs="Simplified Arabic"/>
          <w:sz w:val="24"/>
          <w:szCs w:val="24"/>
        </w:rPr>
        <w:t>Akinsulire</w:t>
      </w:r>
      <w:proofErr w:type="spellEnd"/>
      <w:r w:rsidRPr="005D59A7">
        <w:rPr>
          <w:rFonts w:ascii="T" w:hAnsi="T" w:cs="Simplified Arabic"/>
          <w:sz w:val="24"/>
          <w:szCs w:val="24"/>
        </w:rPr>
        <w:t xml:space="preserve">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في قطاع الإسكان الميسر. توصلت الدراسة إلى أن نموذج الامتياز</w:t>
      </w:r>
      <w:r w:rsidRPr="005D59A7">
        <w:rPr>
          <w:rFonts w:ascii="T" w:hAnsi="T" w:cs="Simplified Arabic"/>
          <w:sz w:val="24"/>
          <w:szCs w:val="24"/>
        </w:rPr>
        <w:t xml:space="preserve"> (Concession) </w:t>
      </w:r>
      <w:r w:rsidRPr="005D59A7">
        <w:rPr>
          <w:rFonts w:ascii="T" w:hAnsi="T" w:cs="Simplified Arabic"/>
          <w:sz w:val="24"/>
          <w:szCs w:val="24"/>
          <w:rtl/>
        </w:rPr>
        <w:t>هو الأكثر استخداماً في هذا القطاع، حيث يسمح للقطاع الخاص بتشغيل واستثمار المشاريع السكنية لفترة طويلة (عادة 30-50 سنة) مقابل دفع رسوم للحكومة. وجدت الدراسة أن هذا النموذج نجح في توفير ملايين الوحدات السكنية الميسرة في دول مثل الهند والبرازيل، حيث بلغ عدد الوحدات المنفذة عبر هذا النموذج أكثر من 5 ملايين وحدة خلال العقد الماضي. كما أشارت الدراسة إلى أن نجاح نموذج الامتياز في قطاع الإسكان يعتمد على توفير الحكومة للأراضي بأسعار مخفضة، وتقديم حوافز ضريبية للمطورين، وضمان استقرار السياسات السكنية. أوصت الدراسة بضرورة تطوير أطر تنظيمية تحمي حقوق المستأجرين وتضمن جودة المساكن، مع تصميم آليات رقابة مستقلة لمراقبة أداء الشركاء الخاصين</w:t>
      </w:r>
      <w:r w:rsidRPr="005D59A7">
        <w:rPr>
          <w:rFonts w:ascii="T" w:hAnsi="T" w:cs="Simplified Arabic"/>
          <w:sz w:val="24"/>
          <w:szCs w:val="24"/>
        </w:rPr>
        <w:t>.</w:t>
      </w:r>
    </w:p>
    <w:p w14:paraId="063B980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عوامل نجاح وفشل الشراكات بين القطاعين العام والخاص</w:t>
      </w:r>
    </w:p>
    <w:p w14:paraId="37448795"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استخلصت الدراسات التحليلية مجموعة من العوامل الحاسمة لنجاح أو فشل مشاريع</w:t>
      </w:r>
      <w:r w:rsidRPr="005D59A7">
        <w:rPr>
          <w:rFonts w:ascii="T" w:hAnsi="T" w:cs="Simplified Arabic"/>
          <w:sz w:val="24"/>
          <w:szCs w:val="24"/>
        </w:rPr>
        <w:t xml:space="preserve"> PPP</w:t>
      </w:r>
      <w:r w:rsidRPr="005D59A7">
        <w:rPr>
          <w:rFonts w:ascii="T" w:hAnsi="T" w:cs="Simplified Arabic"/>
          <w:sz w:val="24"/>
          <w:szCs w:val="24"/>
          <w:rtl/>
        </w:rPr>
        <w:t>، تتعلق بالإطار القانوني والتنظيمي، والشفافية والمساءلة، وتوزيع المخاطر، والقدرات المؤسسية، والالتزام طويل الأجل، وتصميم حوافز فعالة</w:t>
      </w:r>
      <w:r w:rsidRPr="005D59A7">
        <w:rPr>
          <w:rFonts w:ascii="T" w:hAnsi="T" w:cs="Simplified Arabic"/>
          <w:sz w:val="24"/>
          <w:szCs w:val="24"/>
        </w:rPr>
        <w:t>.</w:t>
      </w:r>
    </w:p>
    <w:p w14:paraId="6409804F" w14:textId="42A29C6B"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في مجال تسوية المنازعات، أجرى جراح (2025) دراسة هدفت إلى تحليل دور التحكيم في تسوية المنازعات الناشئة عن عقود</w:t>
      </w:r>
      <w:r w:rsidRPr="005D59A7">
        <w:rPr>
          <w:rFonts w:ascii="T" w:hAnsi="T" w:cs="Simplified Arabic"/>
          <w:sz w:val="24"/>
          <w:szCs w:val="24"/>
        </w:rPr>
        <w:t xml:space="preserve"> PPP </w:t>
      </w:r>
      <w:r w:rsidRPr="005D59A7">
        <w:rPr>
          <w:rFonts w:ascii="T" w:hAnsi="T" w:cs="Simplified Arabic"/>
          <w:sz w:val="24"/>
          <w:szCs w:val="24"/>
          <w:rtl/>
        </w:rPr>
        <w:t>في الأردن، وتقييم فعالية الإطار القانوني الحالي. اعتمد الباحثون على المنهج التحليلي المقارن، مع تحليل نصوص القوانين الأردنية والمقارنة مع القوانين الدولية والنماذج الاسترشادية. توصلت الدراسة إلى أن وضوح قواعد التحكيم وتسوية المنازعات في عقود</w:t>
      </w:r>
      <w:r w:rsidRPr="005D59A7">
        <w:rPr>
          <w:rFonts w:ascii="T" w:hAnsi="T" w:cs="Simplified Arabic"/>
          <w:sz w:val="24"/>
          <w:szCs w:val="24"/>
        </w:rPr>
        <w:t xml:space="preserve"> PPP </w:t>
      </w:r>
      <w:r w:rsidRPr="005D59A7">
        <w:rPr>
          <w:rFonts w:ascii="T" w:hAnsi="T" w:cs="Simplified Arabic"/>
          <w:sz w:val="24"/>
          <w:szCs w:val="24"/>
          <w:rtl/>
        </w:rPr>
        <w:t>يعد من أهم عوامل نجاح الشراكة، حيث يطمئن المستثمرين ويشجعهم على الاستثمار. كما أشارت الدراسة إلى أن غياب آليات فعالة لتسوية المنازعات كان سبباً رئيسياً في فشل العديد من مشاريع</w:t>
      </w:r>
      <w:r w:rsidRPr="005D59A7">
        <w:rPr>
          <w:rFonts w:ascii="T" w:hAnsi="T" w:cs="Simplified Arabic"/>
          <w:sz w:val="24"/>
          <w:szCs w:val="24"/>
        </w:rPr>
        <w:t xml:space="preserve"> PPP</w:t>
      </w:r>
      <w:r w:rsidRPr="005D59A7">
        <w:rPr>
          <w:rFonts w:ascii="T" w:hAnsi="T" w:cs="Simplified Arabic"/>
          <w:sz w:val="24"/>
          <w:szCs w:val="24"/>
          <w:rtl/>
        </w:rPr>
        <w:t>، حيث بلغت نسبة المشاريع التي واجهت نزاعات تعاقدية 35% من إجمالي المشاريع المنفذة في المنطقة العربية خلال العقد الماضي.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واضحة للتحكيم، مع اعتماد قواعد إجرائية مرنة تسمح بحل النزاعات بشكل سريع ومنخفض التكلفة</w:t>
      </w:r>
      <w:r w:rsidRPr="005D59A7">
        <w:rPr>
          <w:rFonts w:ascii="T" w:hAnsi="T" w:cs="Simplified Arabic"/>
          <w:sz w:val="24"/>
          <w:szCs w:val="24"/>
        </w:rPr>
        <w:t>.</w:t>
      </w:r>
    </w:p>
    <w:p w14:paraId="2E87B4C7" w14:textId="7A73508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من جهة أخرى، أجرى القطان (2026) دراسة </w:t>
      </w:r>
      <w:r w:rsidR="00BD0DA0" w:rsidRPr="005D59A7">
        <w:rPr>
          <w:rFonts w:ascii="T" w:hAnsi="T" w:cs="Simplified Arabic"/>
          <w:sz w:val="24"/>
          <w:szCs w:val="24"/>
          <w:rtl/>
        </w:rPr>
        <w:t>هدفت</w:t>
      </w:r>
      <w:r w:rsidRPr="005D59A7">
        <w:rPr>
          <w:rFonts w:ascii="T" w:hAnsi="T" w:cs="Simplified Arabic"/>
          <w:sz w:val="24"/>
          <w:szCs w:val="24"/>
          <w:rtl/>
        </w:rPr>
        <w:t xml:space="preserve"> إلى تحليل مفهوم التوازن المالي في عقود</w:t>
      </w:r>
      <w:r w:rsidRPr="005D59A7">
        <w:rPr>
          <w:rFonts w:ascii="T" w:hAnsi="T" w:cs="Simplified Arabic"/>
          <w:sz w:val="24"/>
          <w:szCs w:val="24"/>
        </w:rPr>
        <w:t xml:space="preserve"> PPP</w:t>
      </w:r>
      <w:r w:rsidRPr="005D59A7">
        <w:rPr>
          <w:rFonts w:ascii="T" w:hAnsi="T" w:cs="Simplified Arabic"/>
          <w:sz w:val="24"/>
          <w:szCs w:val="24"/>
          <w:rtl/>
        </w:rPr>
        <w:t>، وتحديد المبادئ الحاكمة لتحقيقه في ضوء التطبيقات المصرية والكويتية. اعتمد الباحثون على المنهج التحليلي المقارن، مع دراسة نماذج عقود</w:t>
      </w:r>
      <w:r w:rsidRPr="005D59A7">
        <w:rPr>
          <w:rFonts w:ascii="T" w:hAnsi="T" w:cs="Simplified Arabic"/>
          <w:sz w:val="24"/>
          <w:szCs w:val="24"/>
        </w:rPr>
        <w:t xml:space="preserve"> PPP </w:t>
      </w:r>
      <w:r w:rsidRPr="005D59A7">
        <w:rPr>
          <w:rFonts w:ascii="T" w:hAnsi="T" w:cs="Simplified Arabic"/>
          <w:sz w:val="24"/>
          <w:szCs w:val="24"/>
          <w:rtl/>
        </w:rPr>
        <w:t>في مصر والكويت وتحليل أحكام القضاء والإفتاء المتعلقة بها. توصلت الدراسة إلى أن تحقيق التوازن المالي في عقود</w:t>
      </w:r>
      <w:r w:rsidRPr="005D59A7">
        <w:rPr>
          <w:rFonts w:ascii="T" w:hAnsi="T" w:cs="Simplified Arabic"/>
          <w:sz w:val="24"/>
          <w:szCs w:val="24"/>
        </w:rPr>
        <w:t xml:space="preserve"> PPP </w:t>
      </w:r>
      <w:r w:rsidRPr="005D59A7">
        <w:rPr>
          <w:rFonts w:ascii="T" w:hAnsi="T" w:cs="Simplified Arabic"/>
          <w:sz w:val="24"/>
          <w:szCs w:val="24"/>
          <w:rtl/>
        </w:rPr>
        <w:t>يتطلب توزيعاً دقيقاً للمخاطر المالية والتشغيلية بين القطاعين العام والخاص، مع وضع آليات واضحة لإعادة التفاوض في حالة حدوث تغييرات غير متوقعة. كما أشارت الدراسة إلى أن غياب آليات إعادة التفاوض المنظمة كان سبباً في 40% من حالات فشل مشاريع</w:t>
      </w:r>
      <w:r w:rsidRPr="005D59A7">
        <w:rPr>
          <w:rFonts w:ascii="T" w:hAnsi="T" w:cs="Simplified Arabic"/>
          <w:sz w:val="24"/>
          <w:szCs w:val="24"/>
        </w:rPr>
        <w:t xml:space="preserve"> PPP </w:t>
      </w:r>
      <w:r w:rsidRPr="005D59A7">
        <w:rPr>
          <w:rFonts w:ascii="T" w:hAnsi="T" w:cs="Simplified Arabic"/>
          <w:sz w:val="24"/>
          <w:szCs w:val="24"/>
          <w:rtl/>
        </w:rPr>
        <w:t>أو إعادة هيكلتها.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تحدد بوضوح حالات إعادة التفاوض والإجراءات المتبعة، مع اعتماد مبدأ "الظروف الطارئة</w:t>
      </w:r>
      <w:r w:rsidRPr="005D59A7">
        <w:rPr>
          <w:rFonts w:ascii="T" w:hAnsi="T" w:cs="Simplified Arabic"/>
          <w:sz w:val="24"/>
          <w:szCs w:val="24"/>
        </w:rPr>
        <w:t xml:space="preserve">" (Hardship) </w:t>
      </w:r>
      <w:r w:rsidRPr="005D59A7">
        <w:rPr>
          <w:rFonts w:ascii="T" w:hAnsi="T" w:cs="Simplified Arabic"/>
          <w:sz w:val="24"/>
          <w:szCs w:val="24"/>
          <w:rtl/>
        </w:rPr>
        <w:t>كأساس لتعديل شروط العقد</w:t>
      </w:r>
      <w:r w:rsidRPr="005D59A7">
        <w:rPr>
          <w:rFonts w:ascii="T" w:hAnsi="T" w:cs="Simplified Arabic"/>
          <w:sz w:val="24"/>
          <w:szCs w:val="24"/>
        </w:rPr>
        <w:t>.</w:t>
      </w:r>
    </w:p>
    <w:p w14:paraId="50E178AC" w14:textId="1256762A"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الجعافره (2023) </w:t>
      </w:r>
      <w:r w:rsidR="00BD0DA0" w:rsidRPr="005D59A7">
        <w:rPr>
          <w:rFonts w:ascii="T" w:hAnsi="T" w:cs="Simplified Arabic"/>
          <w:sz w:val="24"/>
          <w:szCs w:val="24"/>
          <w:rtl/>
        </w:rPr>
        <w:t>دراسة</w:t>
      </w:r>
      <w:r w:rsidRPr="005D59A7">
        <w:rPr>
          <w:rFonts w:ascii="T" w:hAnsi="T" w:cs="Simplified Arabic"/>
          <w:sz w:val="24"/>
          <w:szCs w:val="24"/>
          <w:rtl/>
        </w:rPr>
        <w:t xml:space="preserve"> هدفت</w:t>
      </w:r>
      <w:r w:rsidR="00BD0DA0" w:rsidRPr="005D59A7">
        <w:rPr>
          <w:rFonts w:ascii="T" w:hAnsi="T" w:cs="Simplified Arabic"/>
          <w:sz w:val="24"/>
          <w:szCs w:val="24"/>
          <w:rtl/>
        </w:rPr>
        <w:t xml:space="preserve"> </w:t>
      </w:r>
      <w:r w:rsidRPr="005D59A7">
        <w:rPr>
          <w:rFonts w:ascii="T" w:hAnsi="T" w:cs="Simplified Arabic"/>
          <w:sz w:val="24"/>
          <w:szCs w:val="24"/>
          <w:rtl/>
        </w:rPr>
        <w:t>إلى تحليل واقع</w:t>
      </w:r>
      <w:r w:rsidRPr="005D59A7">
        <w:rPr>
          <w:rFonts w:ascii="T" w:hAnsi="T" w:cs="Simplified Arabic"/>
          <w:sz w:val="24"/>
          <w:szCs w:val="24"/>
        </w:rPr>
        <w:t xml:space="preserve"> PPP </w:t>
      </w:r>
      <w:r w:rsidRPr="005D59A7">
        <w:rPr>
          <w:rFonts w:ascii="T" w:hAnsi="T" w:cs="Simplified Arabic"/>
          <w:sz w:val="24"/>
          <w:szCs w:val="24"/>
          <w:rtl/>
        </w:rPr>
        <w:t>في البلديات الأردنية من منظور تحصيل الضرائب والإيرادات. اعتمد الباحثون على منهجية دراسة الحالة، مع تحليل بيانات من 15 بلدية أردنية طبقت نماذج</w:t>
      </w:r>
      <w:r w:rsidRPr="005D59A7">
        <w:rPr>
          <w:rFonts w:ascii="T" w:hAnsi="T" w:cs="Simplified Arabic"/>
          <w:sz w:val="24"/>
          <w:szCs w:val="24"/>
        </w:rPr>
        <w:t xml:space="preserve"> PPP </w:t>
      </w:r>
      <w:r w:rsidRPr="005D59A7">
        <w:rPr>
          <w:rFonts w:ascii="T" w:hAnsi="T" w:cs="Simplified Arabic"/>
          <w:sz w:val="24"/>
          <w:szCs w:val="24"/>
          <w:rtl/>
        </w:rPr>
        <w:t>في تحصيل الضرائب العقارية ورسوم الخدمات. توصلت الدراسة إلى أن الشفافية في تحصيل الإيرادات وتوزيعها تعزز ثقة المستثمرين والجمهور في نموذج الشراكة، حيث ساهمت</w:t>
      </w:r>
      <w:r w:rsidRPr="005D59A7">
        <w:rPr>
          <w:rFonts w:ascii="T" w:hAnsi="T" w:cs="Simplified Arabic"/>
          <w:sz w:val="24"/>
          <w:szCs w:val="24"/>
        </w:rPr>
        <w:t xml:space="preserve"> PPP </w:t>
      </w:r>
      <w:r w:rsidRPr="005D59A7">
        <w:rPr>
          <w:rFonts w:ascii="T" w:hAnsi="T" w:cs="Simplified Arabic"/>
          <w:sz w:val="24"/>
          <w:szCs w:val="24"/>
          <w:rtl/>
        </w:rPr>
        <w:t xml:space="preserve">في زيادة كفاءة التحصيل الضريبي بنسبة 25-35% في البلديات التي طبقت هذا النموذج. كما أشارت الدراسة إلى أن ضعف الرقابة والإشراف على أداء الشركاء الخاصين أدى في بعض الحالات إلى تدهور جودة الخدمة وزيادة شكاوى المواطنين. </w:t>
      </w:r>
      <w:r w:rsidRPr="005D59A7">
        <w:rPr>
          <w:rFonts w:ascii="T" w:hAnsi="T" w:cs="Simplified Arabic"/>
          <w:sz w:val="24"/>
          <w:szCs w:val="24"/>
          <w:rtl/>
        </w:rPr>
        <w:lastRenderedPageBreak/>
        <w:t>أوصت الدراسة بضرورة تطوير أنظمة رقابة مستقلة لمراقبة أداء الشركاء الخاصين في تحصيل الإيرادات البلدية، مع إنشاء آليات شفافة للإبلاغ عن الأداء المالي للشراكة</w:t>
      </w:r>
      <w:r w:rsidRPr="005D59A7">
        <w:rPr>
          <w:rFonts w:ascii="T" w:hAnsi="T" w:cs="Simplified Arabic"/>
          <w:sz w:val="24"/>
          <w:szCs w:val="24"/>
        </w:rPr>
        <w:t>.</w:t>
      </w:r>
    </w:p>
    <w:p w14:paraId="3512DC36"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 التحديات التي تواجه الشراكات بين القطاعين العام والخاص</w:t>
      </w:r>
    </w:p>
    <w:p w14:paraId="2F96C614"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مشاريع</w:t>
      </w:r>
      <w:r w:rsidRPr="005D59A7">
        <w:rPr>
          <w:rFonts w:ascii="T" w:hAnsi="T" w:cs="Simplified Arabic"/>
          <w:sz w:val="24"/>
          <w:szCs w:val="24"/>
        </w:rPr>
        <w:t xml:space="preserve"> PPP </w:t>
      </w:r>
      <w:r w:rsidRPr="005D59A7">
        <w:rPr>
          <w:rFonts w:ascii="T" w:hAnsi="T" w:cs="Simplified Arabic"/>
          <w:sz w:val="24"/>
          <w:szCs w:val="24"/>
          <w:rtl/>
        </w:rPr>
        <w:t>تحديات متعددة تتعلق بالمخاطر المختلفة، والحوكمة، وتعارض المصالح، والتكاليف المرتفعة، وعدم كفاية المرونة في العقود</w:t>
      </w:r>
      <w:r w:rsidRPr="005D59A7">
        <w:rPr>
          <w:rFonts w:ascii="T" w:hAnsi="T" w:cs="Simplified Arabic"/>
          <w:sz w:val="24"/>
          <w:szCs w:val="24"/>
        </w:rPr>
        <w:t>.</w:t>
      </w:r>
    </w:p>
    <w:p w14:paraId="3241C0DA" w14:textId="3396599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السياق، أجرى شاهين ووحيد (2025) دراسة </w:t>
      </w:r>
      <w:r w:rsidR="00BD0DA0" w:rsidRPr="005D59A7">
        <w:rPr>
          <w:rFonts w:ascii="T" w:hAnsi="T" w:cs="Simplified Arabic"/>
          <w:sz w:val="24"/>
          <w:szCs w:val="24"/>
          <w:rtl/>
        </w:rPr>
        <w:t>ه</w:t>
      </w:r>
      <w:r w:rsidRPr="005D59A7">
        <w:rPr>
          <w:rFonts w:ascii="T" w:hAnsi="T" w:cs="Simplified Arabic"/>
          <w:sz w:val="24"/>
          <w:szCs w:val="24"/>
          <w:rtl/>
        </w:rPr>
        <w:t>دفت إلى تحليل جدوى استخدام</w:t>
      </w:r>
      <w:r w:rsidRPr="005D59A7">
        <w:rPr>
          <w:rFonts w:ascii="T" w:hAnsi="T" w:cs="Simplified Arabic"/>
          <w:sz w:val="24"/>
          <w:szCs w:val="24"/>
        </w:rPr>
        <w:t xml:space="preserve"> PPP </w:t>
      </w:r>
      <w:r w:rsidRPr="005D59A7">
        <w:rPr>
          <w:rFonts w:ascii="T" w:hAnsi="T" w:cs="Simplified Arabic"/>
          <w:sz w:val="24"/>
          <w:szCs w:val="24"/>
          <w:rtl/>
        </w:rPr>
        <w:t>في تطوير مشروعات الهيدروجين الأخضر في المنطقة الاقتصادية لقناة السويس. اعتمد الباحثون على منهجية دراسة الحالة والتحليل المالي، مع تطوير نموذج مالي لتقييم جدوى المشروع في ظل سيناريوهات مختلفة. توصلت الدراسة إلى أن ارتفاع درجة عدم اليقين التقني والسياسي يمثل التحدي الأكبر أمام</w:t>
      </w:r>
      <w:r w:rsidRPr="005D59A7">
        <w:rPr>
          <w:rFonts w:ascii="T" w:hAnsi="T" w:cs="Simplified Arabic"/>
          <w:sz w:val="24"/>
          <w:szCs w:val="24"/>
        </w:rPr>
        <w:t xml:space="preserve"> PPP </w:t>
      </w:r>
      <w:r w:rsidRPr="005D59A7">
        <w:rPr>
          <w:rFonts w:ascii="T" w:hAnsi="T" w:cs="Simplified Arabic"/>
          <w:sz w:val="24"/>
          <w:szCs w:val="24"/>
          <w:rtl/>
        </w:rPr>
        <w:t>في مشروعات الهيدروجين الأخضر، حيث تتغير التقنيات والأسعار بسرعة كبيرة مما يصعب تقدير الجدوى المالية للمشروع على المدى الطويل. كما أشارت الدراسة إلى أن عدم تضمين آليات مرنة للتكيف مع التغيرات المستقبلية يعد من أهم أسباب فشل مشاريع</w:t>
      </w:r>
      <w:r w:rsidRPr="005D59A7">
        <w:rPr>
          <w:rFonts w:ascii="T" w:hAnsi="T" w:cs="Simplified Arabic"/>
          <w:sz w:val="24"/>
          <w:szCs w:val="24"/>
        </w:rPr>
        <w:t xml:space="preserve"> PPP </w:t>
      </w:r>
      <w:r w:rsidRPr="005D59A7">
        <w:rPr>
          <w:rFonts w:ascii="T" w:hAnsi="T" w:cs="Simplified Arabic"/>
          <w:sz w:val="24"/>
          <w:szCs w:val="24"/>
          <w:rtl/>
        </w:rPr>
        <w:t>في القطاعات سريعة التغير. أوصت الدراسة بضرورة تطوير عقود</w:t>
      </w:r>
      <w:r w:rsidRPr="005D59A7">
        <w:rPr>
          <w:rFonts w:ascii="T" w:hAnsi="T" w:cs="Simplified Arabic"/>
          <w:sz w:val="24"/>
          <w:szCs w:val="24"/>
        </w:rPr>
        <w:t xml:space="preserve"> PPP </w:t>
      </w:r>
      <w:r w:rsidRPr="005D59A7">
        <w:rPr>
          <w:rFonts w:ascii="T" w:hAnsi="T" w:cs="Simplified Arabic"/>
          <w:sz w:val="24"/>
          <w:szCs w:val="24"/>
          <w:rtl/>
        </w:rPr>
        <w:t>مرنة تتضمن آليات لمراجعة الأسعار والتكاليف بشكل دوري، مع اعتماد هيكل تمويل يجمع بين رأس المال الخاص والمنح الحكومية لتقليل المخاطر المالية على القطاع الخاص</w:t>
      </w:r>
      <w:r w:rsidRPr="005D59A7">
        <w:rPr>
          <w:rFonts w:ascii="T" w:hAnsi="T" w:cs="Simplified Arabic"/>
          <w:sz w:val="24"/>
          <w:szCs w:val="24"/>
        </w:rPr>
        <w:t>.</w:t>
      </w:r>
    </w:p>
    <w:p w14:paraId="7AB2B316" w14:textId="20D6C92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أجرى بوعنان وليندة (2025) 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تحفيز الاستثمار في الجزائر، وتحديد التحديات التي تواجه تطبيق هذا النموذج. اعتمد الباحثون على المنهج الوصفي التحليلي، مع مراجعة الأدبيات وتحليل التجارب الدولية المقارنة. توصلت الدراسة إلى أن ضعف أنظمة الرقابة والإشراف من قبل القطاع العام يعد من أهم التحديات التي تواجه</w:t>
      </w:r>
      <w:r w:rsidRPr="005D59A7">
        <w:rPr>
          <w:rFonts w:ascii="T" w:hAnsi="T" w:cs="Simplified Arabic"/>
          <w:sz w:val="24"/>
          <w:szCs w:val="24"/>
        </w:rPr>
        <w:t xml:space="preserve"> PPP</w:t>
      </w:r>
      <w:r w:rsidRPr="005D59A7">
        <w:rPr>
          <w:rFonts w:ascii="T" w:hAnsi="T" w:cs="Simplified Arabic"/>
          <w:sz w:val="24"/>
          <w:szCs w:val="24"/>
          <w:rtl/>
        </w:rPr>
        <w:t>، حيث يمكن أن يؤدي إلى تدهور جودة الخدمة وزيادة التكاليف دون أن تلاحظها الجهة الحكومية في الوقت المناسب. كما أشارت الدراسة إلى أن تكاليف إعداد عقود</w:t>
      </w:r>
      <w:r w:rsidRPr="005D59A7">
        <w:rPr>
          <w:rFonts w:ascii="T" w:hAnsi="T" w:cs="Simplified Arabic"/>
          <w:sz w:val="24"/>
          <w:szCs w:val="24"/>
        </w:rPr>
        <w:t xml:space="preserve"> PPP </w:t>
      </w:r>
      <w:r w:rsidRPr="005D59A7">
        <w:rPr>
          <w:rFonts w:ascii="T" w:hAnsi="T" w:cs="Simplified Arabic"/>
          <w:sz w:val="24"/>
          <w:szCs w:val="24"/>
          <w:rtl/>
        </w:rPr>
        <w:t>المرتفعة (تصل إلى 5-10% من قيمة المشروع) تشكل عائقاً أمام تطبيق هذا النموذج في المشاريع الصغيرة والمتوسطة. أوصت الدراسة بضرورة تطوير وحدات</w:t>
      </w:r>
      <w:r w:rsidRPr="005D59A7">
        <w:rPr>
          <w:rFonts w:ascii="T" w:hAnsi="T" w:cs="Simplified Arabic"/>
          <w:sz w:val="24"/>
          <w:szCs w:val="24"/>
        </w:rPr>
        <w:t xml:space="preserve"> PPP </w:t>
      </w:r>
      <w:r w:rsidRPr="005D59A7">
        <w:rPr>
          <w:rFonts w:ascii="T" w:hAnsi="T" w:cs="Simplified Arabic"/>
          <w:sz w:val="24"/>
          <w:szCs w:val="24"/>
          <w:rtl/>
        </w:rPr>
        <w:t>متخصصة في الجهات الحكومية لبناء القدرات المؤسسية، وتوحيد الإجراءات والنماذج التعاقدية لتقليل تكاليف الإعداد</w:t>
      </w:r>
      <w:r w:rsidRPr="005D59A7">
        <w:rPr>
          <w:rFonts w:ascii="T" w:hAnsi="T" w:cs="Simplified Arabic"/>
          <w:sz w:val="24"/>
          <w:szCs w:val="24"/>
        </w:rPr>
        <w:t>.</w:t>
      </w:r>
    </w:p>
    <w:p w14:paraId="348D5B83" w14:textId="77777777" w:rsidR="00ED0828" w:rsidRPr="005D59A7" w:rsidRDefault="00ED0828" w:rsidP="00861DC2">
      <w:pPr>
        <w:bidi/>
        <w:spacing w:line="360" w:lineRule="auto"/>
        <w:ind w:firstLine="720"/>
        <w:jc w:val="both"/>
        <w:rPr>
          <w:rFonts w:ascii="T" w:hAnsi="T" w:cs="Simplified Arabic"/>
          <w:sz w:val="24"/>
          <w:szCs w:val="24"/>
          <w:rtl/>
        </w:rPr>
      </w:pPr>
    </w:p>
    <w:p w14:paraId="2DFC88A2" w14:textId="789BBA9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كحيط، </w:t>
      </w:r>
      <w:r w:rsidR="00BD0DA0" w:rsidRPr="005D59A7">
        <w:rPr>
          <w:rFonts w:ascii="T" w:hAnsi="T" w:cs="Simplified Arabic"/>
          <w:sz w:val="24"/>
          <w:szCs w:val="24"/>
          <w:rtl/>
        </w:rPr>
        <w:t>اخرون</w:t>
      </w:r>
      <w:r w:rsidRPr="005D59A7">
        <w:rPr>
          <w:rFonts w:ascii="T" w:hAnsi="T" w:cs="Simplified Arabic"/>
          <w:sz w:val="24"/>
          <w:szCs w:val="24"/>
          <w:rtl/>
        </w:rPr>
        <w:t xml:space="preserve"> (2025) دراسة هدفت إلى تحليل واقع تطبيق</w:t>
      </w:r>
      <w:r w:rsidRPr="005D59A7">
        <w:rPr>
          <w:rFonts w:ascii="T" w:hAnsi="T" w:cs="Simplified Arabic"/>
          <w:sz w:val="24"/>
          <w:szCs w:val="24"/>
        </w:rPr>
        <w:t xml:space="preserve"> PPP </w:t>
      </w:r>
      <w:r w:rsidRPr="005D59A7">
        <w:rPr>
          <w:rFonts w:ascii="T" w:hAnsi="T" w:cs="Simplified Arabic"/>
          <w:sz w:val="24"/>
          <w:szCs w:val="24"/>
          <w:rtl/>
        </w:rPr>
        <w:t>في جامعة المستقبل العراقية، وتحديد التحديات والفرص المرتبطة به. اعتمد الباحثون على منهجية المسح الميداني، مع توزيع استبيانات على 200 من أعضاء الهيئة التدريسية والإدارية في الجامعة. توصلت الدراسة إلى أن تعارض المصالح بين الأهداف الأكاديمية للجامعة (الجودة العلمية، البحث الحر) والأهداف التجارية للقطاع الخاص (الربحية، الكفاءة) يمثل تحدياً رئيسياً في تطبيق</w:t>
      </w:r>
      <w:r w:rsidRPr="005D59A7">
        <w:rPr>
          <w:rFonts w:ascii="T" w:hAnsi="T" w:cs="Simplified Arabic"/>
          <w:sz w:val="24"/>
          <w:szCs w:val="24"/>
        </w:rPr>
        <w:t xml:space="preserve"> PPP </w:t>
      </w:r>
      <w:r w:rsidRPr="005D59A7">
        <w:rPr>
          <w:rFonts w:ascii="T" w:hAnsi="T" w:cs="Simplified Arabic"/>
          <w:sz w:val="24"/>
          <w:szCs w:val="24"/>
          <w:rtl/>
        </w:rPr>
        <w:t>في قطاع التعليم العالي. كما أشارت الدراسة إلى أن بناء الثقة بين الأطراف وتبادل المعرفة يعتبران عاملين حاسمين لنجاح الشراكة، حيث تتطلب العلاقة التعاقدية تجاوز النماذج التقليدية نحو علاقات أكثر تعاوناً وشفافية. أوصت الدراسة بضرورة تطوير آليات حوكمة تضمن تحقيق التوازن بين الأهداف الأكاديمية والتجارية، مع إنشاء لجان مشتركة للإشراف على تنفيذ الشراكة وحل النزاعات</w:t>
      </w:r>
      <w:r w:rsidRPr="005D59A7">
        <w:rPr>
          <w:rFonts w:ascii="T" w:hAnsi="T" w:cs="Simplified Arabic"/>
          <w:sz w:val="24"/>
          <w:szCs w:val="24"/>
        </w:rPr>
        <w:t>.</w:t>
      </w:r>
    </w:p>
    <w:p w14:paraId="1D964B48" w14:textId="77777777" w:rsidR="00C57CC8" w:rsidRPr="005D59A7" w:rsidRDefault="00C57CC8" w:rsidP="00C476D6">
      <w:pPr>
        <w:pStyle w:val="Heading2"/>
        <w:bidi/>
        <w:rPr>
          <w:rFonts w:ascii="T" w:hAnsi="T" w:cs="Simplified Arabic"/>
          <w:color w:val="auto"/>
          <w:sz w:val="24"/>
          <w:szCs w:val="24"/>
          <w:rtl/>
        </w:rPr>
      </w:pPr>
      <w:bookmarkStart w:id="69" w:name="_Toc233202830"/>
      <w:r w:rsidRPr="005D59A7">
        <w:rPr>
          <w:rFonts w:ascii="T" w:hAnsi="T" w:cs="Simplified Arabic"/>
          <w:color w:val="auto"/>
          <w:sz w:val="24"/>
          <w:szCs w:val="24"/>
          <w:rtl/>
        </w:rPr>
        <w:t>المحور الثاني: دراسات الحوكمة البيئية</w:t>
      </w:r>
      <w:bookmarkEnd w:id="69"/>
    </w:p>
    <w:p w14:paraId="3681114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مفهوم الحوكمة البيئية وتطورها</w:t>
      </w:r>
    </w:p>
    <w:p w14:paraId="1080D87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الحوكمة البيئية تطوراً كبيراً خلال العقود الأخيرة، حيث انتقل من التركيز الضيق على الأنظمة والقوانين البيئية إلى إطار أوسع يشمل المؤسسات والعمليات والسلوكيات التي تتفاعل لتشكيل القرارات والنتائج البيئية. يعكس هذا التطور إدراكاً متزايداً بأن حماية البيئة تتطلب أكثر من مجرد وضع لوائح وعقوبات، بل تحتاج إلى نظم حوكمة متكاملة تشرك جميع أصحاب المصلحة وتعزز الشفافية والمساءلة</w:t>
      </w:r>
      <w:r w:rsidRPr="005D59A7">
        <w:rPr>
          <w:rFonts w:ascii="T" w:hAnsi="T" w:cs="Simplified Arabic"/>
          <w:sz w:val="24"/>
          <w:szCs w:val="24"/>
        </w:rPr>
        <w:t>.</w:t>
      </w:r>
    </w:p>
    <w:p w14:paraId="62074527" w14:textId="2E9AF25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w:t>
      </w:r>
      <w:r w:rsidR="00354F1D" w:rsidRPr="005D59A7">
        <w:rPr>
          <w:rFonts w:ascii="T" w:hAnsi="T" w:cs="Simplified Arabic"/>
          <w:sz w:val="24"/>
          <w:szCs w:val="24"/>
          <w:rtl/>
        </w:rPr>
        <w:t>: التحول من الحوكمة البيئية إلى حوكمة الاستدامة</w:t>
      </w:r>
    </w:p>
    <w:p w14:paraId="0BC9A8C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Agrawal </w:t>
      </w:r>
      <w:r w:rsidRPr="005D59A7">
        <w:rPr>
          <w:rFonts w:ascii="T" w:hAnsi="T" w:cs="Simplified Arabic"/>
          <w:sz w:val="24"/>
          <w:szCs w:val="24"/>
          <w:rtl/>
        </w:rPr>
        <w:t>وآخرون (2022) إلى أن الحوكمة البيئية التقليدية ركزت بشكل أساسي على حل مشكلات بيئية محددة مثل تلوث الهواء وتدهور الغابات من خلال آليات تنظيمية مركزية تعتمد على سلطة الدولة في وضع القواعد وفرض العقوبات. غير أن هذه المقاربة أثبتت محدوديتها في مواجهة التحديات البيئية المعاصرة المعقدة والمتداخلة، مثل تغير المناخ وفقدان التنوع البيولوجي واستنزاف الموارد الطبيعية. أوضح الباحثون أن هذه التحديات تتسم بدرجة عالية من عدم اليقين والترابط عبر المكان والزمان، مما يجعل الحلول القطاعية والمركزية غير كافية</w:t>
      </w:r>
      <w:r w:rsidRPr="005D59A7">
        <w:rPr>
          <w:rFonts w:ascii="T" w:hAnsi="T" w:cs="Simplified Arabic"/>
          <w:sz w:val="24"/>
          <w:szCs w:val="24"/>
        </w:rPr>
        <w:t>.</w:t>
      </w:r>
    </w:p>
    <w:p w14:paraId="4ECCB09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الباحثون إلى أن هناك تحولاً عالمياً نحو "حوكمة من أجل الاستدامة</w:t>
      </w:r>
      <w:r w:rsidRPr="005D59A7">
        <w:rPr>
          <w:rFonts w:ascii="T" w:hAnsi="T" w:cs="Simplified Arabic"/>
          <w:sz w:val="24"/>
          <w:szCs w:val="24"/>
        </w:rPr>
        <w:t xml:space="preserve">" (Governance for Sustainability) </w:t>
      </w:r>
      <w:r w:rsidRPr="005D59A7">
        <w:rPr>
          <w:rFonts w:ascii="T" w:hAnsi="T" w:cs="Simplified Arabic"/>
          <w:sz w:val="24"/>
          <w:szCs w:val="24"/>
          <w:rtl/>
        </w:rPr>
        <w:t>تتجاوز النماذج التقليدية لتشمل أبعاداً اجتماعية واقتصادية وسياسية مترابطة. فبدلاً من التركيز على حل مشكلات بيئية معزولة، تركز حوكمة الاستدامة على تحقيق التوازن بين الأهداف البيئية والاقتصادية والاجتماعية. كما تتطلب هذه المقاربة الجديدة تكامل مستويات متعددة من الحوكمة (المحلية، الوطنية، الإقليمية، العالمية) وإشراك جهات فاعلة متنوعة (الحكومات، القطاع الخاص، المجتمع المدني، المؤسسات الأكاديمية، المجتمعات المحلية). أوضح الباحثون أن التحول نحو حوكمة الاستدامة يمثل تحدياً مؤسسياً كبيراً، لأنه يتطلب إعادة تصميم هياكل الحوكمة التقليدية وآلياتها، وتطوير قدرات جديدة للتنسيق والتعلم والتكيف</w:t>
      </w:r>
      <w:r w:rsidRPr="005D59A7">
        <w:rPr>
          <w:rFonts w:ascii="T" w:hAnsi="T" w:cs="Simplified Arabic"/>
          <w:sz w:val="24"/>
          <w:szCs w:val="24"/>
        </w:rPr>
        <w:t>.</w:t>
      </w:r>
    </w:p>
    <w:p w14:paraId="0D562095" w14:textId="51ACFC2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w:t>
      </w:r>
      <w:r w:rsidR="00C476D6" w:rsidRPr="005D59A7">
        <w:rPr>
          <w:rFonts w:ascii="T" w:hAnsi="T" w:cs="Simplified Arabic"/>
          <w:sz w:val="24"/>
          <w:szCs w:val="24"/>
          <w:rtl/>
        </w:rPr>
        <w:t>لثا</w:t>
      </w:r>
      <w:r w:rsidRPr="005D59A7">
        <w:rPr>
          <w:rFonts w:ascii="T" w:hAnsi="T" w:cs="Simplified Arabic"/>
          <w:sz w:val="24"/>
          <w:szCs w:val="24"/>
          <w:rtl/>
        </w:rPr>
        <w:t>: تطور الحوكمة البيئية العالمية</w:t>
      </w:r>
    </w:p>
    <w:p w14:paraId="1851D50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قدم</w:t>
      </w:r>
      <w:r w:rsidRPr="005D59A7">
        <w:rPr>
          <w:rFonts w:ascii="T" w:hAnsi="T" w:cs="Simplified Arabic"/>
          <w:sz w:val="24"/>
          <w:szCs w:val="24"/>
        </w:rPr>
        <w:t xml:space="preserve"> </w:t>
      </w:r>
      <w:proofErr w:type="spellStart"/>
      <w:r w:rsidRPr="005D59A7">
        <w:rPr>
          <w:rFonts w:ascii="T" w:hAnsi="T" w:cs="Simplified Arabic"/>
          <w:sz w:val="24"/>
          <w:szCs w:val="24"/>
        </w:rPr>
        <w:t>Sörlin</w:t>
      </w:r>
      <w:proofErr w:type="spellEnd"/>
      <w:r w:rsidRPr="005D59A7">
        <w:rPr>
          <w:rFonts w:ascii="T" w:hAnsi="T" w:cs="Simplified Arabic"/>
          <w:sz w:val="24"/>
          <w:szCs w:val="24"/>
        </w:rPr>
        <w:t xml:space="preserve"> </w:t>
      </w:r>
      <w:r w:rsidRPr="005D59A7">
        <w:rPr>
          <w:rFonts w:ascii="T" w:hAnsi="T" w:cs="Simplified Arabic"/>
          <w:sz w:val="24"/>
          <w:szCs w:val="24"/>
          <w:rtl/>
        </w:rPr>
        <w:t>وآخرون (2025) تحليلاً تاريخياً معمقاً لتطور الحوكمة البيئية العالمية، مشيرين إلى أنها شهدت "تشتتاً كبيراً</w:t>
      </w:r>
      <w:r w:rsidRPr="005D59A7">
        <w:rPr>
          <w:rFonts w:ascii="T" w:hAnsi="T" w:cs="Simplified Arabic"/>
          <w:sz w:val="24"/>
          <w:szCs w:val="24"/>
        </w:rPr>
        <w:t xml:space="preserve">" (great dispersal) </w:t>
      </w:r>
      <w:r w:rsidRPr="005D59A7">
        <w:rPr>
          <w:rFonts w:ascii="T" w:hAnsi="T" w:cs="Simplified Arabic"/>
          <w:sz w:val="24"/>
          <w:szCs w:val="24"/>
          <w:rtl/>
        </w:rPr>
        <w:t>منذ مؤتمر الأمم المتحدة للبيئة والتنمية (قمة ريو) في عام 1992. قبل هذا التاريخ، كانت الحوكمة البيئية العالمية تتركز بشكل أساسي حول الاتفاقيات الدولية الكبرى التي تفاوضت عليها الحكومات الوطنية، مثل اتفاقية التنوع البيولوجي واتفاقية الأمم المتحدة الإطارية بشأن تغير المناخ. هذه الاتفاقيات أنشأت أطراً مؤسسية وقانونية عالمية تهدف إلى تنسيق الجهود الوطنية لحماية البيئة</w:t>
      </w:r>
      <w:r w:rsidRPr="005D59A7">
        <w:rPr>
          <w:rFonts w:ascii="T" w:hAnsi="T" w:cs="Simplified Arabic"/>
          <w:sz w:val="24"/>
          <w:szCs w:val="24"/>
        </w:rPr>
        <w:t>.</w:t>
      </w:r>
    </w:p>
    <w:p w14:paraId="00374CA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العقود الثلاثة الماضية شهدت تحولاً جذرياً في مشهد الحوكمة البيئية العالمية، حيث انتقلت من نموذج مركزي يركز على الاتفاقيات الدولية إلى مشهد أكثر تشتتاً وتنوعاً. هذا المشهد الجديد يشمل مبادرات متعددة الأطراف (مثل أهداف التنمية المستدامة)، وتحالفات إقليمية (مثل الاتحاد الأوروبي)، واتفاقيات ثنائية بين الدول، وقوانين وطنية، ومبادرات محلية، وحتى مبادرات خاصة من القطاع الخاص والمجتمع المدني. أشار الباحثون إلى أن هذا التشتت يعكس كلاً من نقاط القوة ونقاط الضعف. من ناحية القوة، يزيد التشتت من مرونة الحوكمة وقدرتها على التكيف مع الظروف والسياقات المحلية المختلفة. كما يتيح تجريب نماذج مبتكرة على نطاق صغير قبل تعميمها. من ناحية الضعف، يؤدي التشتت إلى فقدان التنسيق والاتساق بين المبادرات المختلفة، وازدواجية الجهود، وتضارب السياسات، وفجوات في التغطية</w:t>
      </w:r>
      <w:r w:rsidRPr="005D59A7">
        <w:rPr>
          <w:rFonts w:ascii="T" w:hAnsi="T" w:cs="Simplified Arabic"/>
          <w:sz w:val="24"/>
          <w:szCs w:val="24"/>
        </w:rPr>
        <w:t>.</w:t>
      </w:r>
    </w:p>
    <w:p w14:paraId="6220DF1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آليات جديدة لتعزيز التكامل بين مختلف مستويات ومبادرات الحوكمة البيئية. هذه الآليات قد تشمل منصات للتنسيق وتبادل المعلومات، ومعايير مشتركة للرصد والإبلاغ، وآليات لبناء الثقة والتعاون بين الجهات الفاعلة المختلفة. كما أشاروا إلى أهمية تعزيز دور المؤسسات العلمية في توفير المعرفة والتحليلات اللازمة لدعم التكامل والتنسيق</w:t>
      </w:r>
      <w:r w:rsidRPr="005D59A7">
        <w:rPr>
          <w:rFonts w:ascii="T" w:hAnsi="T" w:cs="Simplified Arabic"/>
          <w:sz w:val="24"/>
          <w:szCs w:val="24"/>
        </w:rPr>
        <w:t>.</w:t>
      </w:r>
    </w:p>
    <w:p w14:paraId="19E5CB24" w14:textId="5118108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w:t>
      </w:r>
      <w:r w:rsidR="00354F1D" w:rsidRPr="005D59A7">
        <w:rPr>
          <w:rFonts w:ascii="T" w:hAnsi="T" w:cs="Simplified Arabic"/>
          <w:sz w:val="24"/>
          <w:szCs w:val="24"/>
          <w:rtl/>
        </w:rPr>
        <w:t>ً: الأسس النظرية للحوكمة البيئية</w:t>
      </w:r>
    </w:p>
    <w:p w14:paraId="117655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مرزاق (2023) أن مفهوم الحوكمة البيئية ظهر كإطار نظري وتطبيقي يهدف إلى تحسين إدارة الموارد الطبيعية وحماية البيئة من خلال تعزيز المشاركة والشفافية والمساءلة. أشار الباحث إلى أن الحوكمة البيئية تختلف عن الإدارة البيئية التقليدية في عدة جوانب جوهرية. أولاً، الإدارة البيئية التقليدية تركز بشكل أساسي على دور الحكومة كجهة تنظيمية ورقابية، بينما تشمل الحوكمة البيئية جميع أصحاب المصلحة (القطاع الخاص، المجتمع المدني، المواطنين، المؤسسات الأكاديمية) في عمليات صنع القرار والتنفيذ والمراقبة. ثانياً، الإدارة التقليدية تعتمد على آليات هرمية وأوامر من أعلى إلى أسفل، بينما تعتمد الحوكمة البيئية على آليات أكثر مرونة وتشاركية، تشمل التفاوض والشراكة والتنسيق الأفقي</w:t>
      </w:r>
      <w:r w:rsidRPr="005D59A7">
        <w:rPr>
          <w:rFonts w:ascii="T" w:hAnsi="T" w:cs="Simplified Arabic"/>
          <w:sz w:val="24"/>
          <w:szCs w:val="24"/>
        </w:rPr>
        <w:t>.</w:t>
      </w:r>
    </w:p>
    <w:p w14:paraId="41598F8D" w14:textId="5438177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الحوكمة البيئية تستند إلى عدة أسس نظرية، منها نظرية الاختيار العام</w:t>
      </w:r>
      <w:r w:rsidRPr="005D59A7">
        <w:rPr>
          <w:rFonts w:ascii="T" w:hAnsi="T" w:cs="Simplified Arabic"/>
          <w:sz w:val="24"/>
          <w:szCs w:val="24"/>
        </w:rPr>
        <w:t xml:space="preserve"> </w:t>
      </w:r>
      <w:r w:rsidRPr="005D59A7">
        <w:rPr>
          <w:rFonts w:ascii="T" w:hAnsi="T" w:cs="Simplified Arabic"/>
          <w:sz w:val="24"/>
          <w:szCs w:val="24"/>
          <w:rtl/>
        </w:rPr>
        <w:t>التي تركز على دور الحوافز والمصالح الفردية في تشكيل السلوك البيئي، ونظرية الاعتماد على الموارد</w:t>
      </w:r>
      <w:r w:rsidRPr="005D59A7">
        <w:rPr>
          <w:rFonts w:ascii="T" w:hAnsi="T" w:cs="Simplified Arabic"/>
          <w:sz w:val="24"/>
          <w:szCs w:val="24"/>
        </w:rPr>
        <w:t xml:space="preserve"> (</w:t>
      </w:r>
      <w:r w:rsidRPr="005D59A7">
        <w:rPr>
          <w:rFonts w:ascii="T" w:hAnsi="T" w:cs="Simplified Arabic"/>
          <w:sz w:val="24"/>
          <w:szCs w:val="24"/>
          <w:rtl/>
        </w:rPr>
        <w:t>التي تشرح كيف تعتمد المنظمات على موارد من بيئتها الخارجية، ونظرية شبكات السياسات</w:t>
      </w:r>
      <w:r w:rsidRPr="005D59A7">
        <w:rPr>
          <w:rFonts w:ascii="T" w:hAnsi="T" w:cs="Simplified Arabic"/>
          <w:sz w:val="24"/>
          <w:szCs w:val="24"/>
        </w:rPr>
        <w:t xml:space="preserve"> </w:t>
      </w:r>
      <w:r w:rsidRPr="005D59A7">
        <w:rPr>
          <w:rFonts w:ascii="T" w:hAnsi="T" w:cs="Simplified Arabic"/>
          <w:sz w:val="24"/>
          <w:szCs w:val="24"/>
          <w:rtl/>
        </w:rPr>
        <w:t>التي تحلل التفاعلات بين الجهات الفاعلة المختلفة في صنع السياسات البيئية. كما أوضح أن الحوكمة البيئية تعتمد على مبدأ اللامركزية، الذي ينص على نقل السلطة والموارد من المستوى المركزي إلى المستويات المحلية، حيث تكون المعرفة المحلية أكثر دقة والقدرة على الاستجابة أكثر سرعة</w:t>
      </w:r>
      <w:r w:rsidRPr="005D59A7">
        <w:rPr>
          <w:rFonts w:ascii="T" w:hAnsi="T" w:cs="Simplified Arabic"/>
          <w:sz w:val="24"/>
          <w:szCs w:val="24"/>
        </w:rPr>
        <w:t>.</w:t>
      </w:r>
    </w:p>
    <w:p w14:paraId="1D71714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 إلى أن تطبيق الحوكمة البيئية يواجه عدة تحديات نظرية وعملية. من أهم هذه التحديات: صعوبة تحقيق التوازن بين المشاركة الموسعة والكفاءة في اتخاذ القرار، وخطر استيلاء النخب أو المجموعات ذات المصالح الخاصة على عمليات الحوكمة، وضعف قدرات المؤسسات المحلية على ممارسة مهام الحوكمة، وتعارض </w:t>
      </w:r>
      <w:r w:rsidRPr="005D59A7">
        <w:rPr>
          <w:rFonts w:ascii="T" w:hAnsi="T" w:cs="Simplified Arabic"/>
          <w:sz w:val="24"/>
          <w:szCs w:val="24"/>
          <w:rtl/>
        </w:rPr>
        <w:lastRenderedPageBreak/>
        <w:t>المصالح بين مختلف أصحاب المصلحة. كما أشار إلى أن الحوكمة البيئية تتطلب تغييراً ثقافياً عميقاً في طريقة فهم العلاقة بين المجتمع والبيئة، وفي طريقة ممارسة السلطة واتخاذ القرارات</w:t>
      </w:r>
      <w:r w:rsidRPr="005D59A7">
        <w:rPr>
          <w:rFonts w:ascii="T" w:hAnsi="T" w:cs="Simplified Arabic"/>
          <w:sz w:val="24"/>
          <w:szCs w:val="24"/>
        </w:rPr>
        <w:t>.</w:t>
      </w:r>
    </w:p>
    <w:p w14:paraId="493F99BF" w14:textId="30403216"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w:t>
      </w:r>
      <w:r w:rsidR="00354F1D" w:rsidRPr="005D59A7">
        <w:rPr>
          <w:rFonts w:ascii="T" w:hAnsi="T" w:cs="Simplified Arabic"/>
          <w:sz w:val="24"/>
          <w:szCs w:val="24"/>
          <w:rtl/>
        </w:rPr>
        <w:t>: مبادئ الحوكمة البيئية</w:t>
      </w:r>
    </w:p>
    <w:p w14:paraId="27FA108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تقوم الحوكمة البيئية على مجموعة من المبادئ الأساسية التي تشكل الإطار المؤسسي والإجرائي لتطبيقها. من أهم هذه المبادئ: الشفافية، المساءلة، الامتثال، المشاركة، سيادة القانون، والفعالية. هذه المبادئ مترابطة ومتكاملة، وتطبيقها يتطلب توافر ظروف مؤسسية وسياسية وثقافية مناسبة</w:t>
      </w:r>
      <w:r w:rsidRPr="005D59A7">
        <w:rPr>
          <w:rFonts w:ascii="T" w:hAnsi="T" w:cs="Simplified Arabic"/>
          <w:sz w:val="24"/>
          <w:szCs w:val="24"/>
        </w:rPr>
        <w:t>.</w:t>
      </w:r>
    </w:p>
    <w:p w14:paraId="6F775D05" w14:textId="29CE4AD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الشفافية والوصول إلى المعلومات</w:t>
      </w:r>
    </w:p>
    <w:p w14:paraId="00ED569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الشفافية من أهم مبادئ الحوكمة البيئية، حيث تعني إتاحة المعلومات البيئية للجمهور بشكل واضح ومفهوم وفي الوقت المناسب. تشمل المعلومات البيئية التي ينبغي إتاحتها: البيانات عن حالة البيئة، ومصادر التلوث، والتراخيص البيئية، ونتائج التفتيش والرصد، وعمليات صنع القرار البيئي. تتيح الشفافية للمواطنين والمجتمع المدني مراقبة أداء الجهات المعنية والمشاركة الفعالة في حماية البيئة</w:t>
      </w:r>
      <w:r w:rsidRPr="005D59A7">
        <w:rPr>
          <w:rFonts w:ascii="T" w:hAnsi="T" w:cs="Simplified Arabic"/>
          <w:sz w:val="24"/>
          <w:szCs w:val="24"/>
        </w:rPr>
        <w:t>.</w:t>
      </w:r>
    </w:p>
    <w:p w14:paraId="30B93A97" w14:textId="4524016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سياق التحول الرقمي، أشار</w:t>
      </w:r>
      <w:r w:rsidRPr="005D59A7">
        <w:rPr>
          <w:rFonts w:ascii="T" w:hAnsi="T" w:cs="Simplified Arabic"/>
          <w:sz w:val="24"/>
          <w:szCs w:val="24"/>
        </w:rPr>
        <w:t xml:space="preserve"> </w:t>
      </w:r>
      <w:proofErr w:type="spellStart"/>
      <w:r w:rsidRPr="005D59A7">
        <w:rPr>
          <w:rFonts w:ascii="T" w:hAnsi="T" w:cs="Simplified Arabic"/>
          <w:sz w:val="24"/>
          <w:szCs w:val="24"/>
        </w:rPr>
        <w:t>Krogstie</w:t>
      </w:r>
      <w:r w:rsidR="0091720A" w:rsidRPr="005D59A7">
        <w:rPr>
          <w:rFonts w:ascii="T" w:hAnsi="T" w:cs="Simplified Arabic"/>
          <w:sz w:val="24"/>
          <w:szCs w:val="24"/>
        </w:rPr>
        <w:t>,et</w:t>
      </w:r>
      <w:proofErr w:type="spellEnd"/>
      <w:r w:rsidR="0091720A" w:rsidRPr="005D59A7">
        <w:rPr>
          <w:rFonts w:ascii="T" w:hAnsi="T" w:cs="Simplified Arabic"/>
          <w:sz w:val="24"/>
          <w:szCs w:val="24"/>
        </w:rPr>
        <w:t xml:space="preserve"> al</w:t>
      </w:r>
      <w:r w:rsidRPr="005D59A7">
        <w:rPr>
          <w:rFonts w:ascii="T" w:hAnsi="T" w:cs="Simplified Arabic"/>
          <w:sz w:val="24"/>
          <w:szCs w:val="24"/>
        </w:rPr>
        <w:t xml:space="preserve"> (2024) </w:t>
      </w:r>
      <w:r w:rsidRPr="005D59A7">
        <w:rPr>
          <w:rFonts w:ascii="T" w:hAnsi="T" w:cs="Simplified Arabic"/>
          <w:sz w:val="24"/>
          <w:szCs w:val="24"/>
          <w:rtl/>
        </w:rPr>
        <w:t>إلى أن تقنيات إنترنت الأشياء والذكاء الاصطناعي تتيح جمع وتحليل كميات هائلة من البيانات البيئية في الوقت الفعلي، مما يعزز الشفافية بشكل غير مسبوق. أوضح الباحثون أن شبكات الاستشعار الذكية يمكنها قياس جودة الهواء والمياه ومستويات التلوث واستهلاك الطاقة والانبعاثات بشكل مستمر وآلي. يمكن لهذه البيانات أن تُتاح للجمهور عبر منصات رقمية مفتوحة، مما يمكن المواطنين من متابعة حالة البيئة في مناطقهم والمقارنة بين المناطق المختلفة. كما يمكن للصحفيين والباحثين ومنظمات المجتمع المدني استخدام هذه البيانات لمراقبة أداء الجهات المعنية ومحاسبتها</w:t>
      </w:r>
      <w:r w:rsidRPr="005D59A7">
        <w:rPr>
          <w:rFonts w:ascii="T" w:hAnsi="T" w:cs="Simplified Arabic"/>
          <w:sz w:val="24"/>
          <w:szCs w:val="24"/>
        </w:rPr>
        <w:t>.</w:t>
      </w:r>
    </w:p>
    <w:p w14:paraId="02128E2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الذكاء الاصطناعي يمكن أن يساهم في تحليل هذه البيانات الضخمة واستخراج الأنماط والاتجاهات التي قد لا تظهر بالطرق التقليدية. على سبيل المثال، يمكن لخوارزميات التعلم الآلي تحديد العلاقات بين الأنشطة الاقتصادية والتلوث، أو التنبؤ بالانبعاثات المستقبلية بناءً على البيانات التاريخية. هذه التحليلات يمكن أن تعزز الشفافية من خلال كشف العلاقات الخفية والعوامل المؤثرة في الأداء البيئي</w:t>
      </w:r>
      <w:r w:rsidRPr="005D59A7">
        <w:rPr>
          <w:rFonts w:ascii="T" w:hAnsi="T" w:cs="Simplified Arabic"/>
          <w:sz w:val="24"/>
          <w:szCs w:val="24"/>
        </w:rPr>
        <w:t>.</w:t>
      </w:r>
    </w:p>
    <w:p w14:paraId="7AB43D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غير أن الباحثين أشاروا إلى أن التحول الرقمي يثير تحديات جديدة للشفافية، منها: ضمان دقة وموثوقية البيانات المجمعة، وحماية خصوصية الأفراد والمؤسسات، ومنع التلاعب بالبيانات أو تحريفها، وضمان أن تكون المنصات الرقمية في متناول جميع المواطنين بغض النظر عن قدراتهم التقنية. كما أشاروا إلى أن تركيز السلطة والمعلومات في أيدي عدد قليل من الشركات التقنية الكبرى قد يخلق تحديات جديدة للشفافية والمساءلة</w:t>
      </w:r>
      <w:r w:rsidRPr="005D59A7">
        <w:rPr>
          <w:rFonts w:ascii="T" w:hAnsi="T" w:cs="Simplified Arabic"/>
          <w:sz w:val="24"/>
          <w:szCs w:val="24"/>
        </w:rPr>
        <w:t>.</w:t>
      </w:r>
    </w:p>
    <w:p w14:paraId="72D1D886" w14:textId="6A18D8B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المساءلة والرقابة</w:t>
      </w:r>
    </w:p>
    <w:p w14:paraId="19D5D25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المساءلة</w:t>
      </w:r>
      <w:r w:rsidRPr="005D59A7">
        <w:rPr>
          <w:rFonts w:ascii="T" w:hAnsi="T" w:cs="Simplified Arabic"/>
          <w:sz w:val="24"/>
          <w:szCs w:val="24"/>
        </w:rPr>
        <w:t xml:space="preserve"> (Accountability) </w:t>
      </w:r>
      <w:r w:rsidRPr="005D59A7">
        <w:rPr>
          <w:rFonts w:ascii="T" w:hAnsi="T" w:cs="Simplified Arabic"/>
          <w:sz w:val="24"/>
          <w:szCs w:val="24"/>
          <w:rtl/>
        </w:rPr>
        <w:t>من المبادئ الأساسية للحوكمة البيئية، حيث تعني أن الجهات المعنية (الحكومات، الشركات، المؤسسات) يجب أن تتحمل مسؤولية أفعالها وقراراتها البيئية، وأن تخضع للمراقبة والمحاسبة من قبل الجهات المعنية (المواطنين، المجتمع المدني، السلطة القضائية، وسائل الإعلام). تشمل آليات المساءلة البيئية: أنظمة التقارير الدورية، والمراجعة المستقلة، وحق الوصول إلى العدالة، وآليات تظلم المواطنين</w:t>
      </w:r>
      <w:r w:rsidRPr="005D59A7">
        <w:rPr>
          <w:rFonts w:ascii="T" w:hAnsi="T" w:cs="Simplified Arabic"/>
          <w:sz w:val="24"/>
          <w:szCs w:val="24"/>
        </w:rPr>
        <w:t>.</w:t>
      </w:r>
    </w:p>
    <w:p w14:paraId="79042BA2"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Kloppenburg </w:t>
      </w:r>
      <w:r w:rsidRPr="005D59A7">
        <w:rPr>
          <w:rFonts w:ascii="T" w:hAnsi="T" w:cs="Simplified Arabic"/>
          <w:sz w:val="24"/>
          <w:szCs w:val="24"/>
          <w:rtl/>
        </w:rPr>
        <w:t>وآخرون (2022) إلى أن التحول الرقمي في الحوكمة البيئية يخلق فرصاً وتحديات جديدة للمساءلة. من ناحية الفرص، تتيح الأدوات الرقمية طرقاً جديدة للرصد والإبلاغ والمشاركة، مما يعزز شفافية العمليات البيئية ويسهل محاسبة الأطراف المعنية. على سبيل المثال، يمكن للمواطنين استخدام تطبيقات الهواتف الذكية للإبلاغ عن المخالفات البيئية، أو تتبع تنفيذ المشاريع البيئية، أو تقديم ملاحظاتهم على السياسات البيئية. كما يمكن لمنظمات المجتمع المدني استخدام تحليلات البيانات الضخمة لمراقبة أداء الشركات والجهات الحكومية وكشف الانتهاكات البيئية</w:t>
      </w:r>
      <w:r w:rsidRPr="005D59A7">
        <w:rPr>
          <w:rFonts w:ascii="T" w:hAnsi="T" w:cs="Simplified Arabic"/>
          <w:sz w:val="24"/>
          <w:szCs w:val="24"/>
        </w:rPr>
        <w:t>.</w:t>
      </w:r>
    </w:p>
    <w:p w14:paraId="2DE0708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ناحية التحديات، أشار الباحثون إلى أن الأدوات الرقمية قد تخلق تحديات جديدة للمساءلة، منها: خصوصية وأمن البيانات البيئية، حيث قد يكشف جمع وتحليل البيانات البيئية معلومات حساسة عن الأفراد أو الشركات. كما أن تعقيد الخوارزميات والتقنيات الرقمية قد يجعل من الصعب على المواطنين العاديين فهم كيفية عملها وتقييم نزاهتها وموثوقيتها. بالإضافة إلى ذلك، قد تصبح الجهات التي تمتلك البيانات والتقنيات الرقمية (مثل شركات التكنولوجيا الكبرى) أكثر قدرة على التأثير في القرارات البيئية، مما قد يخلق تحديات جديدة للمساءلة الديمقراطية</w:t>
      </w:r>
      <w:r w:rsidRPr="005D59A7">
        <w:rPr>
          <w:rFonts w:ascii="T" w:hAnsi="T" w:cs="Simplified Arabic"/>
          <w:sz w:val="24"/>
          <w:szCs w:val="24"/>
        </w:rPr>
        <w:t>.</w:t>
      </w:r>
    </w:p>
    <w:p w14:paraId="510320B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تطوير أطر حوكمة رقمية تضم مبادئ الشفافية والمساءلة والإنصاف. هذه الأطر يجب أن تشمل آليات لضمان خصوصية وأمن البيانات، ومعايير واضحة لاستخدام الخوارزميات في اتخاذ القرارات البيئية، وآليات للمراجعة المستقلة والتظلم، وضمان وصول جميع المواطنين إلى المعلومات والأدوات الرقمية</w:t>
      </w:r>
      <w:r w:rsidRPr="005D59A7">
        <w:rPr>
          <w:rFonts w:ascii="T" w:hAnsi="T" w:cs="Simplified Arabic"/>
          <w:sz w:val="24"/>
          <w:szCs w:val="24"/>
        </w:rPr>
        <w:t>.</w:t>
      </w:r>
    </w:p>
    <w:p w14:paraId="641AC958" w14:textId="563EC57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المشاركة والمواطنة البيئية</w:t>
      </w:r>
    </w:p>
    <w:p w14:paraId="2BD367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مشاركة المواطنين والمجتمع المدني من المبادئ الأساسية للحوكمة البيئية الفعالة. المشاركة تعني إشراك غير الحكومة (المواطنين، المنظمات غير الحكومية، القطاع الخاص، المؤسسات الأكاديمية) في عمليات صنع القرار البيئي وتنفيذ السياسات ومراقبة الأداء. يمكن أن تتخذ المشاركة أشكالاً متنوعة، من التشاور العام والإطلاع على المعلومات، إلى المشاركة في اللجان الاستشارية، إلى الحق في تقديم الالتماسات والطعون القانونية</w:t>
      </w:r>
      <w:r w:rsidRPr="005D59A7">
        <w:rPr>
          <w:rFonts w:ascii="T" w:hAnsi="T" w:cs="Simplified Arabic"/>
          <w:sz w:val="24"/>
          <w:szCs w:val="24"/>
        </w:rPr>
        <w:t>.</w:t>
      </w:r>
    </w:p>
    <w:p w14:paraId="1C8525B6"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Newig</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مشاركة أصحاب المصلحة تعد أحد المبادئ الأساسية للحوكمة البيئية الفعالة، حيث تساهم في تحسين جودة القرارات وزيادة قبولها وتنفيذها. أوضح الباحثون، من خلال تحليل 305 دراسة حالة من مختلف دول العالم، أن مشاركة أصحاب المصلحة تؤدي إلى تحسين النتائج البيئية في حوالي 65% من الحالات. هذا التحسن يشمل جوانب متعددة: تحسين جودة القرارات البيئية (من خلال إدخال معارف وخبرات متنوعة)، وزيادة قبول القرارات (مما يسهل تنفيذها ويقلل الصراعات)، وبناء الثقة بين الأطراف المختلفة، وتعزيز التعلم والابتكار</w:t>
      </w:r>
      <w:r w:rsidRPr="005D59A7">
        <w:rPr>
          <w:rFonts w:ascii="T" w:hAnsi="T" w:cs="Simplified Arabic"/>
          <w:sz w:val="24"/>
          <w:szCs w:val="24"/>
        </w:rPr>
        <w:t>.</w:t>
      </w:r>
    </w:p>
    <w:p w14:paraId="33B9580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فعالية المشاركة تعتمد بشكل كبير على سياقها، حيث تكون أكثر نجاحاً عندما تتوفر عدة شروط: أن تكون المشاركة مبكرة (في مراحل صنع القرار الأولى، وليس بعد اتخاذ القرارات الرئيسية)، وأن تكون مستمرة (وليس حدثاً لمرة واحدة)، وأن تشمل جميع الأطراف ذات الصلة (وليس فقط الأطراف القوية أو ذات المصالح الواضحة). كما أن المشاركة تكون أكثر فعالية في البيئات الديمقراطية المستقرة ذات المؤسسات القوية والقدرات العالية، حيث تتوفر قنوات وآليات للمشاركة وحماية للمشاركين</w:t>
      </w:r>
      <w:r w:rsidRPr="005D59A7">
        <w:rPr>
          <w:rFonts w:ascii="T" w:hAnsi="T" w:cs="Simplified Arabic"/>
          <w:sz w:val="24"/>
          <w:szCs w:val="24"/>
        </w:rPr>
        <w:t>.</w:t>
      </w:r>
    </w:p>
    <w:p w14:paraId="3460F5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الباحثون إلى أن المشاركة قد تواجه تحديات، منها: اختلاف القوى والمصالح بين الأطراف المشاركة، وصعوبة تحقيق التوازن بين الكفاءة (سرعة اتخاذ القرار) والشمولية (مشاركة الجميع)، وخطر استيلاء النخب أو </w:t>
      </w:r>
      <w:r w:rsidRPr="005D59A7">
        <w:rPr>
          <w:rFonts w:ascii="T" w:hAnsi="T" w:cs="Simplified Arabic"/>
          <w:sz w:val="24"/>
          <w:szCs w:val="24"/>
          <w:rtl/>
        </w:rPr>
        <w:lastRenderedPageBreak/>
        <w:t>المجموعات ذات المصالح الخاصة على العملية. كما أن بعض الدراسات أظهرت نتائج سلبية أو مختلطة للمشاركة، خاصة عندما تكون المشاركة شكلية (للمظهر فقط) أو متأخرة (بعد اتخاذ القرارات الرئيسية) أو تقتصر على فئات معينة (دون تمثيل مناسب لجميع الأطراف)</w:t>
      </w:r>
      <w:r w:rsidRPr="005D59A7">
        <w:rPr>
          <w:rFonts w:ascii="T" w:hAnsi="T" w:cs="Simplified Arabic"/>
          <w:sz w:val="24"/>
          <w:szCs w:val="24"/>
        </w:rPr>
        <w:t>.</w:t>
      </w:r>
    </w:p>
    <w:p w14:paraId="02D403A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تصميم عمليات مشاركة مصممة خصيصاً لكل سياق، مع التركيز على بناء الثقة وتبادل المعرفة بين الأطراف المختلفة، وتوفير الدعم الفني والمالي للمشاركين، وضمان أن تكون المشاركة حقيقية وليست شكلية. كما أوصوا بإجراء مزيد من البحوث حول آليات المشاركة الأكثر فعالية في السياقات المختلفة، وحول كيفية قياس تأثير المشاركة على النتائج البيئية</w:t>
      </w:r>
      <w:r w:rsidRPr="005D59A7">
        <w:rPr>
          <w:rFonts w:ascii="T" w:hAnsi="T" w:cs="Simplified Arabic"/>
          <w:sz w:val="24"/>
          <w:szCs w:val="24"/>
        </w:rPr>
        <w:t>.</w:t>
      </w:r>
    </w:p>
    <w:p w14:paraId="258AB0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دور الحوكمة في تحسين الأداء البيئي</w:t>
      </w:r>
    </w:p>
    <w:p w14:paraId="5495E49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البيئية في تحسين الأداء البيئي من خلال عدة آليات مترابطة، منها: تعزيز الابتكار البيئي، وتحسين كفاءة استخدام الموارد، وتقليل التلوث، وتشجيع الانتقال نحو الطاقة المستدامة، وتعزيز الامتثال البيئي، وتحسين الرصد والتقييم</w:t>
      </w:r>
      <w:r w:rsidRPr="005D59A7">
        <w:rPr>
          <w:rFonts w:ascii="T" w:hAnsi="T" w:cs="Simplified Arabic"/>
          <w:sz w:val="24"/>
          <w:szCs w:val="24"/>
        </w:rPr>
        <w:t>.</w:t>
      </w:r>
    </w:p>
    <w:p w14:paraId="156EABA7" w14:textId="77777777" w:rsidR="00354F1D" w:rsidRPr="005D59A7" w:rsidRDefault="00354F1D" w:rsidP="00861DC2">
      <w:pPr>
        <w:bidi/>
        <w:spacing w:line="360" w:lineRule="auto"/>
        <w:ind w:firstLine="720"/>
        <w:jc w:val="both"/>
        <w:rPr>
          <w:rFonts w:ascii="T" w:hAnsi="T" w:cs="Simplified Arabic"/>
          <w:sz w:val="24"/>
          <w:szCs w:val="24"/>
          <w:rtl/>
        </w:rPr>
      </w:pPr>
    </w:p>
    <w:p w14:paraId="51BBEDC0" w14:textId="4129352D"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والابتكار الأخضر</w:t>
      </w:r>
    </w:p>
    <w:p w14:paraId="62E11BD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Pr="005D59A7">
        <w:rPr>
          <w:rFonts w:ascii="T" w:hAnsi="T" w:cs="Simplified Arabic"/>
          <w:sz w:val="24"/>
          <w:szCs w:val="24"/>
        </w:rPr>
        <w:t>Albitar</w:t>
      </w:r>
      <w:proofErr w:type="spellEnd"/>
      <w:r w:rsidRPr="005D59A7">
        <w:rPr>
          <w:rFonts w:ascii="T" w:hAnsi="T" w:cs="Simplified Arabic"/>
          <w:sz w:val="24"/>
          <w:szCs w:val="24"/>
        </w:rPr>
        <w:t xml:space="preserve"> </w:t>
      </w:r>
      <w:r w:rsidRPr="005D59A7">
        <w:rPr>
          <w:rFonts w:ascii="T" w:hAnsi="T" w:cs="Simplified Arabic"/>
          <w:sz w:val="24"/>
          <w:szCs w:val="24"/>
          <w:rtl/>
        </w:rPr>
        <w:t>وآخرون (2023) إلى أن الحوكمة البيئية تلعب دوراً تعديلياً مهماً في العلاقة بين الابتكار البيئي للأعمال وانبعاثات الكربون. أوضح الباحثون، من خلال تحليل بيانات من شركات في قطاعات متنوعة، أن أنظمة الحوكمة البيئية القوية (التي تتسم بالشفافية، والمساءلة، والامتثال، والمشاركة) تعزز من تأثير الابتكار البيئي في خفض الانبعاثات. بعبارة أخرى، الاستثمار في الابتكار البيئي (مثل تطوير تقنيات أنظف أو منتجات صديقة للبيئة) يكون أكثر فعالية في تحسين الأداء البيئي عندما تعمل الشركات في بيئات حوكمة قوية</w:t>
      </w:r>
      <w:r w:rsidRPr="005D59A7">
        <w:rPr>
          <w:rFonts w:ascii="T" w:hAnsi="T" w:cs="Simplified Arabic"/>
          <w:sz w:val="24"/>
          <w:szCs w:val="24"/>
        </w:rPr>
        <w:t>.</w:t>
      </w:r>
    </w:p>
    <w:p w14:paraId="3CF5D36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الآليات التي تفسر هذا التأثير المعدل. أولاً، أنظمة الحوكمة القوية تخلق ضغوطاً على الشركات للالتزام بالمعايير البيئية والشفافية في الإبلاغ عن أدائها، مما يحفزها على تحويل استثماراتها في الابتكار إلى تحسينات فعلية. ثانياً، الشفافية والمساءلة تسهل على المستثمرين والجهات التنظيمية والمجتمع المدني مراقبة </w:t>
      </w:r>
      <w:r w:rsidRPr="005D59A7">
        <w:rPr>
          <w:rFonts w:ascii="T" w:hAnsi="T" w:cs="Simplified Arabic"/>
          <w:sz w:val="24"/>
          <w:szCs w:val="24"/>
          <w:rtl/>
        </w:rPr>
        <w:lastRenderedPageBreak/>
        <w:t>أداء الشركات ومحاسبتها، مما يزيد من فعالية الابتكار البيئي. ثالثاً، المشاركة وتبادل المعرفة بين الشركات والجهات التنظيمية والجامعات تعزز من قدرة الشركات على تطوير وتطبيق ابتكارات بيئية فعالة</w:t>
      </w:r>
      <w:r w:rsidRPr="005D59A7">
        <w:rPr>
          <w:rFonts w:ascii="T" w:hAnsi="T" w:cs="Simplified Arabic"/>
          <w:sz w:val="24"/>
          <w:szCs w:val="24"/>
        </w:rPr>
        <w:t>.</w:t>
      </w:r>
    </w:p>
    <w:p w14:paraId="4B22771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الشركات التي تعمل في بيئات حوكمة ضعيفة قد تستثمر في الابتكار البيئي بشكل رمزي أو تسويقي دون تحقيق تحسينات حقيقية في الأداء البيئي. على سبيل المثال، قد تعلن الشركة عن تطوير منتج صديق للبيئة دون تغيير عملياتها الأساسية الملوثة، أو قد تبالغ في فوائدها البيئية دون تقديم أدلة قابلة للتحقق. في غياب الشفافية والمساءلة، يصعب كشف هذه الممارسات ومحاسبة الشركات عليها</w:t>
      </w:r>
      <w:r w:rsidRPr="005D59A7">
        <w:rPr>
          <w:rFonts w:ascii="T" w:hAnsi="T" w:cs="Simplified Arabic"/>
          <w:sz w:val="24"/>
          <w:szCs w:val="24"/>
        </w:rPr>
        <w:t>.</w:t>
      </w:r>
    </w:p>
    <w:p w14:paraId="7FA6078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لتحقيق أقصى استفادة من الابتكار البيئي في خفض الانبعاثات وتحسين الأداء البيئي. هذه الأنظمة يجب أن تشمل معايير واضحة للإبلاغ البيئي، وآليات مستقلة للتحقق من صحة المعلومات البيئية، وعقوبات رادعة للتضليل البيئي، وحوافز للشركات التي تحقق تحسينات حقيقية في أدائها البيئي</w:t>
      </w:r>
      <w:r w:rsidRPr="005D59A7">
        <w:rPr>
          <w:rFonts w:ascii="T" w:hAnsi="T" w:cs="Simplified Arabic"/>
          <w:sz w:val="24"/>
          <w:szCs w:val="24"/>
        </w:rPr>
        <w:t>.</w:t>
      </w:r>
    </w:p>
    <w:p w14:paraId="3FBA9C97" w14:textId="64E9D0D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والانتقال الطاقي</w:t>
      </w:r>
    </w:p>
    <w:p w14:paraId="6CB4F96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Bakhsh </w:t>
      </w:r>
      <w:r w:rsidRPr="005D59A7">
        <w:rPr>
          <w:rFonts w:ascii="T" w:hAnsi="T" w:cs="Simplified Arabic"/>
          <w:sz w:val="24"/>
          <w:szCs w:val="24"/>
          <w:rtl/>
        </w:rPr>
        <w:t>وآخرون (2024) إلى أن الحوكمة البيئية تعد عاملاً رئيسياً في تسريع الانتقال نحو الطاقة المستدامة. أوضح الباحثون، من خلال تحليل بيانات من مجموعة واسعة من الدول، أن الحوكمة البيئية الفعالة تساهم في تعزيز تأثير الاستثمار في الطاقة المتجددة على خفض الانبعاثات الكربونية. بعبارة أخرى، الاستثمار في الطاقة المتجددة (مثل طاقة الرياح والطاقة الشمسية) يكون أكثر فعالية في خفض الانبعاثات عندما يكون مصحوباً بأنظمة حوكمة بيئية قوية</w:t>
      </w:r>
      <w:r w:rsidRPr="005D59A7">
        <w:rPr>
          <w:rFonts w:ascii="T" w:hAnsi="T" w:cs="Simplified Arabic"/>
          <w:sz w:val="24"/>
          <w:szCs w:val="24"/>
        </w:rPr>
        <w:t>.</w:t>
      </w:r>
    </w:p>
    <w:p w14:paraId="5D74488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البيئية تعزز الانتقال الطاقي من خلال عدة آليات. أولاً، أنظمة الحوكمة القوية توفر الاستقرار واليقين للمستثمرين في قطاع الطاقة المتجددة، من خلال وضع قواعد واضحة وطويلة الأجل، وآليات مستقلة لتسوية النزاعات، وحماية حقوق المستثمرين. هذا الاستقرار يشجع على الاستثمار في مشاريع الطاقة المتجددة الكبيرة والمكلفة التي تحتاج إلى عوائد على مدى عقود. ثانياً، الشفافية والمشاركة تسهلان بناء القبول الاجتماعي لمشاريع الطاقة المتجددة، من خلال إشراك المجتمعات المحلية في التخطيط واتخاذ القرار، وتوفير المعلومات حول الفوائد والمخاطر. ثالثاً، المساءلة والرقابة تضمن أن مشاريع الطاقة المتجددة تلتزم بالمعايير البيئية </w:t>
      </w:r>
      <w:r w:rsidRPr="005D59A7">
        <w:rPr>
          <w:rFonts w:ascii="T" w:hAnsi="T" w:cs="Simplified Arabic"/>
          <w:sz w:val="24"/>
          <w:szCs w:val="24"/>
          <w:rtl/>
        </w:rPr>
        <w:lastRenderedPageBreak/>
        <w:t>والاجتماعية، وتحد من الآثار السلبية المحتملة (مثل تأثير مزارع الرياح على الطيور أو تأثير السدود على النظم البيئية المائية)</w:t>
      </w:r>
      <w:r w:rsidRPr="005D59A7">
        <w:rPr>
          <w:rFonts w:ascii="T" w:hAnsi="T" w:cs="Simplified Arabic"/>
          <w:sz w:val="24"/>
          <w:szCs w:val="24"/>
        </w:rPr>
        <w:t>.</w:t>
      </w:r>
    </w:p>
    <w:p w14:paraId="6781B43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العوامل الجيوسياسية والتعقيد الاقتصادي يمكن أن تعزز أو تضعف من تأثير الحوكمة البيئية. في الدول ذات التعقيد الاقتصادي المرتفع (اقتصادات متنوعة ومتقدمة)، تكون الحوكمة البيئية أكثر فعالية لأنها تتفاعل مع مؤسسات اقتصادية قوية وكوادر بشرية مؤهلة. في المقابل، في الدول ذات التعقيد الاقتصادي المنخفض (التي تعتمد على تصدير المواد الخام)، قد تكون الحوكمة البيئية أقل فعالية بسبب ضعف المؤسسات وقلة الموارد. أما العوامل الجيوسياسية، فالتوترات والصراعات قد تضعف الحوكمة البيئية من خلال تحويل الانتباه والموارد بعيداً عن البيئة، وتقويض التعاون الدولي، وزيادة عدم اليقين للمستثمرين</w:t>
      </w:r>
      <w:r w:rsidRPr="005D59A7">
        <w:rPr>
          <w:rFonts w:ascii="T" w:hAnsi="T" w:cs="Simplified Arabic"/>
          <w:sz w:val="24"/>
          <w:szCs w:val="24"/>
        </w:rPr>
        <w:t>.</w:t>
      </w:r>
    </w:p>
    <w:p w14:paraId="5AD6794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كجزء أساسي من استراتيجيات الانتقال الطاقي، خاصة في الدول ذات التعقيد الاقتصادي المرتفع والتوترات الجيوسياسية. كما أوصوا بضرورة التعاون الدولي لدعم بناء القدرات المؤسسية في مجال الحوكمة البيئية في الدول النامية</w:t>
      </w:r>
      <w:r w:rsidRPr="005D59A7">
        <w:rPr>
          <w:rFonts w:ascii="T" w:hAnsi="T" w:cs="Simplified Arabic"/>
          <w:sz w:val="24"/>
          <w:szCs w:val="24"/>
        </w:rPr>
        <w:t>.</w:t>
      </w:r>
    </w:p>
    <w:p w14:paraId="3AE7AD4D" w14:textId="78FEC676"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وكفاءة الموارد</w:t>
      </w:r>
    </w:p>
    <w:p w14:paraId="6C62EB60" w14:textId="1155C32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صالح (2024) إلى أن الحوكمة البيئية تلعب دوراً حيوياً في تحسين كفاءة استخدام الموارد الطبيعية، من خلال تعزيز الشفافية والمساءلة والمشاركة في إدارة الموارد. أوضح الباحثون أن أنظمة الحوكمة البيئية القوية تساهم في تحسين كفاءة استخدام المياه والطاقة والأراضي، وتقليل الفاقد والهدر، وزيادة إعادة التدوير والاستفادة من المخلفات</w:t>
      </w:r>
      <w:r w:rsidRPr="005D59A7">
        <w:rPr>
          <w:rFonts w:ascii="T" w:hAnsi="T" w:cs="Simplified Arabic"/>
          <w:sz w:val="24"/>
          <w:szCs w:val="24"/>
        </w:rPr>
        <w:t>.</w:t>
      </w:r>
    </w:p>
    <w:p w14:paraId="771E3634" w14:textId="222C6BA3"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الحوكمة البيئية تحسن كفاءة الموارد من خلال عدة آليات. أولاً، الشفافية في الإبلاغ عن استخدام الموارد وتكاليفها تسمح بتحديد أوجه الهدر والاستخدام غير الفعال. ثانياً، المساءلة تحفز الجهات المعنية على تحسين كفاءة استخدام الموارد، حيث يمكن محاسبتها على الأداء الضعيف. ثالثاً، المشاركة تتيح تبادل المعرفة والخبرات حول أفضل الممارسات في كفاءة الموارد بين مختلف الأطراف. رابعاً، الامتثال للمعايير واللوائح يفرض حداً أدنى من كفاءة الموارد على جميع الجهات الفاعلة</w:t>
      </w:r>
      <w:r w:rsidRPr="005D59A7">
        <w:rPr>
          <w:rFonts w:ascii="T" w:hAnsi="T" w:cs="Simplified Arabic"/>
          <w:sz w:val="24"/>
          <w:szCs w:val="24"/>
        </w:rPr>
        <w:t>.</w:t>
      </w:r>
    </w:p>
    <w:p w14:paraId="269E6C29" w14:textId="1D2A161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 إلى أن تحسين كفاءة الموارد من خلال الحوكمة البيئية يساهم في تحقيق فوائد اقتصادية وبيئية متعددة. اقتصادياً، تقليل استهلاك الموارد يخفض التكاليف التشغيلية ويزيد التنافسية. بيئياً، تقليل استهلاك الموارد يقلل من الضغط على النظم البيئية ويخفض التلوث والانبعاثات. اجتماعياً، كفاءة الموارد تساهم في تحقيق الأمن المائي والغذائي والطاقي، وتحسين جودة الحياة</w:t>
      </w:r>
      <w:r w:rsidRPr="005D59A7">
        <w:rPr>
          <w:rFonts w:ascii="T" w:hAnsi="T" w:cs="Simplified Arabic"/>
          <w:sz w:val="24"/>
          <w:szCs w:val="24"/>
        </w:rPr>
        <w:t>.</w:t>
      </w:r>
    </w:p>
    <w:p w14:paraId="24E168E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التحديات التي تواجه تطبيق الحوكمة البيئية</w:t>
      </w:r>
    </w:p>
    <w:p w14:paraId="76818F7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تطبيق الحوكمة البيئية تحديات متعددة على المستويات المحلية والوطنية والدولية، تتعلق بالتعقيد المؤسسي، وعدم اليقين، والصراعات بين المصالح، والفجوات في القدرات والموارد، والتحولات التكنولوجية السريعة، والسياقات السياسية والاقتصادية غير المستقرة</w:t>
      </w:r>
      <w:r w:rsidRPr="005D59A7">
        <w:rPr>
          <w:rFonts w:ascii="T" w:hAnsi="T" w:cs="Simplified Arabic"/>
          <w:sz w:val="24"/>
          <w:szCs w:val="24"/>
        </w:rPr>
        <w:t>.</w:t>
      </w:r>
    </w:p>
    <w:p w14:paraId="51B58D8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عدم اليقين والحوكمة التكيفية</w:t>
      </w:r>
    </w:p>
    <w:p w14:paraId="537C48B9" w14:textId="49708EF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proofErr w:type="spellStart"/>
      <w:r w:rsidR="0091720A" w:rsidRPr="005D59A7">
        <w:rPr>
          <w:rFonts w:ascii="T" w:hAnsi="T" w:cs="Simplified Arabic"/>
          <w:sz w:val="24"/>
          <w:szCs w:val="24"/>
        </w:rPr>
        <w:t>Mehta,</w:t>
      </w:r>
      <w:r w:rsidRPr="005D59A7">
        <w:rPr>
          <w:rFonts w:ascii="T" w:hAnsi="T" w:cs="Simplified Arabic"/>
          <w:sz w:val="24"/>
          <w:szCs w:val="24"/>
        </w:rPr>
        <w:t>Scoones</w:t>
      </w:r>
      <w:proofErr w:type="spellEnd"/>
      <w:r w:rsidRPr="005D59A7">
        <w:rPr>
          <w:rFonts w:ascii="T" w:hAnsi="T" w:cs="Simplified Arabic"/>
          <w:sz w:val="24"/>
          <w:szCs w:val="24"/>
        </w:rPr>
        <w:t xml:space="preserve"> (2025) </w:t>
      </w:r>
      <w:r w:rsidRPr="005D59A7">
        <w:rPr>
          <w:rFonts w:ascii="T" w:hAnsi="T" w:cs="Simplified Arabic"/>
          <w:sz w:val="24"/>
          <w:szCs w:val="24"/>
          <w:rtl/>
        </w:rPr>
        <w:t>إلى أن الحوكمة البيئية في عالم غير مؤكد تواجه تحديات كبيرة تتعلق بتغير المناخ، والأزمات الاقتصادية، والصراعات السياسية، والتحولات التكنولوجية السريعة، والجوائح الصحية. أوضح الباحثون أن هذه التحديات تتسم بدرجة عالية من عدم اليقين، حيث يصعب التنبؤ بمسارها وتوقيتها وتأثيراتها. كما أنها مترابطة، حيث يمكن لأزمة في مجال واحد (مثل جائحة صحية) أن تؤثر على مجالات أخرى (مثل الاقتصاد والبيئة)، مما يزيد من تعقيد إدارتها</w:t>
      </w:r>
      <w:r w:rsidRPr="005D59A7">
        <w:rPr>
          <w:rFonts w:ascii="T" w:hAnsi="T" w:cs="Simplified Arabic"/>
          <w:sz w:val="24"/>
          <w:szCs w:val="24"/>
        </w:rPr>
        <w:t>.</w:t>
      </w:r>
    </w:p>
    <w:p w14:paraId="07098E20" w14:textId="75BC3BE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عدم اليقين هذا يتطلب أنظمة حوكمة مرنة وقادرة على التكيف، تتسم بالقدرة على التعلم والتجريب والمراجعة المستمرة. الحوكمة التقليدية التي تعتمد على التخطيط طويل الأجل والتنبؤ تفترض عالماً مستقراً يمكن التنبؤ به، وهو ما لم يعد واقعياً في ظل التغيرات السريعة وغير المتوقعة. بدلاً من ذلك، هناك حاجة إلى مقاربات حوكمة تكيفية</w:t>
      </w:r>
      <w:r w:rsidR="0091720A" w:rsidRPr="005D59A7">
        <w:rPr>
          <w:rFonts w:ascii="T" w:hAnsi="T" w:cs="Simplified Arabic"/>
          <w:sz w:val="24"/>
          <w:szCs w:val="24"/>
          <w:rtl/>
        </w:rPr>
        <w:t xml:space="preserve"> </w:t>
      </w:r>
      <w:r w:rsidRPr="005D59A7">
        <w:rPr>
          <w:rFonts w:ascii="T" w:hAnsi="T" w:cs="Simplified Arabic"/>
          <w:sz w:val="24"/>
          <w:szCs w:val="24"/>
          <w:rtl/>
        </w:rPr>
        <w:t>تركز على المرونة والقدرة على التكيف والتعلم من التجارب</w:t>
      </w:r>
      <w:r w:rsidRPr="005D59A7">
        <w:rPr>
          <w:rFonts w:ascii="T" w:hAnsi="T" w:cs="Simplified Arabic"/>
          <w:sz w:val="24"/>
          <w:szCs w:val="24"/>
        </w:rPr>
        <w:t>.</w:t>
      </w:r>
    </w:p>
    <w:p w14:paraId="116B234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أوضح الباحثون أن الحوكمة التكيفية تتسم بعدة خصائص: أولاً، اللامركزية وتفويض السلطة إلى المستويات الأدنى التي تتمتع بمعلومات أكثر حداثة وقدرة على الاستجابة السريعة. ثانياً، التعلم المستمر من خلال المراقبة والتقييم المنتظمين، والتعديل المستمر للسياسات بناءً على ما يتم تعلمه. ثالثاً، التجريب والابتكار، من خلال اختبار حلول جديدة على نطاق صغير قبل تعميمها. رابعاً، المشاركة الواسعة، من خلال إشراك جميع </w:t>
      </w:r>
      <w:r w:rsidRPr="005D59A7">
        <w:rPr>
          <w:rFonts w:ascii="T" w:hAnsi="T" w:cs="Simplified Arabic"/>
          <w:sz w:val="24"/>
          <w:szCs w:val="24"/>
          <w:rtl/>
        </w:rPr>
        <w:lastRenderedPageBreak/>
        <w:t>أصحاب المصلحة في عمليات التعلم والتكيف. خامساً، بناء المرونة</w:t>
      </w:r>
      <w:r w:rsidRPr="005D59A7">
        <w:rPr>
          <w:rFonts w:ascii="T" w:hAnsi="T" w:cs="Simplified Arabic"/>
          <w:sz w:val="24"/>
          <w:szCs w:val="24"/>
        </w:rPr>
        <w:t xml:space="preserve"> (resilience)</w:t>
      </w:r>
      <w:r w:rsidRPr="005D59A7">
        <w:rPr>
          <w:rFonts w:ascii="T" w:hAnsi="T" w:cs="Simplified Arabic"/>
          <w:sz w:val="24"/>
          <w:szCs w:val="24"/>
          <w:rtl/>
        </w:rPr>
        <w:t>، أي القدرة على الصمود والنهوض بعد الصدمات والأزمات</w:t>
      </w:r>
      <w:r w:rsidRPr="005D59A7">
        <w:rPr>
          <w:rFonts w:ascii="T" w:hAnsi="T" w:cs="Simplified Arabic"/>
          <w:sz w:val="24"/>
          <w:szCs w:val="24"/>
        </w:rPr>
        <w:t>.</w:t>
      </w:r>
    </w:p>
    <w:p w14:paraId="6D2C65C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تبني مقاربات حوكمة تكيفية في مواجهة عدم اليقين، مع التركيز على بناء القدرات المؤسسية والبشرية اللازمة للتكيف والتعلم، وتعزيز المشاركة والشفافية لبناء الثقة في مواجهة عدم اليقين، وتطوير أنظمة مراقبة وتقييم تسمح بالتعلم المستمر والتعديل السريع للسياسات</w:t>
      </w:r>
      <w:r w:rsidRPr="005D59A7">
        <w:rPr>
          <w:rFonts w:ascii="T" w:hAnsi="T" w:cs="Simplified Arabic"/>
          <w:sz w:val="24"/>
          <w:szCs w:val="24"/>
        </w:rPr>
        <w:t>.</w:t>
      </w:r>
    </w:p>
    <w:p w14:paraId="0530AA04"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الفجوات في القدرات والموارد</w:t>
      </w:r>
    </w:p>
    <w:p w14:paraId="3F46AF29" w14:textId="2ACA915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بن نواعي، </w:t>
      </w:r>
      <w:r w:rsidR="0091720A" w:rsidRPr="005D59A7">
        <w:rPr>
          <w:rFonts w:ascii="T" w:hAnsi="T" w:cs="Simplified Arabic"/>
          <w:sz w:val="24"/>
          <w:szCs w:val="24"/>
          <w:rtl/>
        </w:rPr>
        <w:t>اخرون</w:t>
      </w:r>
      <w:r w:rsidRPr="005D59A7">
        <w:rPr>
          <w:rFonts w:ascii="T" w:hAnsi="T" w:cs="Simplified Arabic"/>
          <w:sz w:val="24"/>
          <w:szCs w:val="24"/>
          <w:rtl/>
        </w:rPr>
        <w:t xml:space="preserve"> (2025) إلى أن تطبيق الحوكمة البيئية يواجه تحديات كبيرة تتعلق بضعف القدرات المؤسسية والبشرية، ومحدودية الموارد المالية والتقنية. أوضح الباحثون أن أنظمة الحوكمة البيئية تتطلب مؤسسات قوية قادرة على وضع السياسات، وتنفيذها، ومراقبة الالتزام، ومحاسبة المخالفين. كما تتطلب كوادر بشرية مؤهلة في مجالات متعددة: القانون البيئي، والاقتصاد البيئي، والهندسة البيئية، والإدارة البيئية، والاتصال والمشاركة</w:t>
      </w:r>
      <w:r w:rsidRPr="005D59A7">
        <w:rPr>
          <w:rFonts w:ascii="T" w:hAnsi="T" w:cs="Simplified Arabic"/>
          <w:sz w:val="24"/>
          <w:szCs w:val="24"/>
        </w:rPr>
        <w:t>.</w:t>
      </w:r>
    </w:p>
    <w:p w14:paraId="2EAFAAE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الفجوات في القدرات والموارد تؤدي إلى عدة مشكلات في تطبيق الحوكمة البيئية. أولاً، ضعف وضع السياسات البيئية: قد تكون السياسات غير واضحة أو غير قابلة للتنفيذ أو غير متسقة مع السياسات في القطاعات الأخرى. ثانياً، ضعف التنفيذ: قد لا تُنفذ السياسات بشكل فعال بسبب نقص الموارد أو الكوادر أو الإرادة السياسية. ثالثاً، ضعف المراقبة والرصد: قد لا تتم مراقبة الأداء البيئي بشكل كافٍ، مما يسمح باستمرار المخالفات دون اكتشافها. رابعاً، ضعف المحاسبة: قد لا تتم محاسبة المخالفين بسبب ضعف النظام القضائي أو الفساد أو نقص الموارد</w:t>
      </w:r>
      <w:r w:rsidRPr="005D59A7">
        <w:rPr>
          <w:rFonts w:ascii="T" w:hAnsi="T" w:cs="Simplified Arabic"/>
          <w:sz w:val="24"/>
          <w:szCs w:val="24"/>
        </w:rPr>
        <w:t>.</w:t>
      </w:r>
    </w:p>
    <w:p w14:paraId="43FF92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هذه الفجوات تتفاقم في ظل التحولات السريعة والتحديات المتزايدة، حيث تزداد الحاجة إلى قدرات وموارد أكبر لمواكبة التغيرات. كما أن الفجوات في القدرات والموارد تؤدي إلى تفاوت في تطبيق الحوكمة البيئية بين المناطق والقطاعات المختلفة، حيث تتوفر القدرات والموارد بشكل أفضل في المناطق الحضرية والقطاعات الكبيرة عنها في المناطق الريفية والقطاعات الصغيرة</w:t>
      </w:r>
      <w:r w:rsidRPr="005D59A7">
        <w:rPr>
          <w:rFonts w:ascii="T" w:hAnsi="T" w:cs="Simplified Arabic"/>
          <w:sz w:val="24"/>
          <w:szCs w:val="24"/>
        </w:rPr>
        <w:t>.</w:t>
      </w:r>
    </w:p>
    <w:p w14:paraId="6D38622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الاستثمار في بناء القدرات المؤسسية والبشرية لتعزيز الحوكمة البيئية. هذا يشمل تطوير برامج تدريبية للكوادر العاملة في المجال البيئي، وإنشاء وحدات متخصصة للحوكمة البيئية في المؤسسات المعنية، وتطوير أنظمة معلومات بيئية متكاملة، وتوفير التمويل الكافي لأنشطة الرصد والمراقبة والتقييم. كما أوصوا بضرورة التعاون الدولي لدعم بناء القدرات في الدول ذات الموارد المحدودة</w:t>
      </w:r>
      <w:r w:rsidRPr="005D59A7">
        <w:rPr>
          <w:rFonts w:ascii="T" w:hAnsi="T" w:cs="Simplified Arabic"/>
          <w:sz w:val="24"/>
          <w:szCs w:val="24"/>
        </w:rPr>
        <w:t>.</w:t>
      </w:r>
    </w:p>
    <w:p w14:paraId="43174DF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تعارض المصالح والصراعات</w:t>
      </w:r>
    </w:p>
    <w:p w14:paraId="404DA7D4" w14:textId="383785E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القروى (2024) إلى أن تطبيق الحوكمة البيئية في المؤسسات يواجه تحديات تتعلق بتعارض المصالح بين مختلف الأطراف المعنية. أوضح الباحثون أن هناك غالباً تعارضاً بين الأهداف الاقتصادية (الربحية، النمو، خفض التكاليف) والأهداف البيئية (حماية البيئة، خفض التلوث، الاستدامة). هذا التعارض يخلق صراعات داخل المؤسسات (بين الإدارات المختلفة) وبين المؤسسات والمجتمع المحلي والجهات التنظيمية</w:t>
      </w:r>
      <w:r w:rsidRPr="005D59A7">
        <w:rPr>
          <w:rFonts w:ascii="T" w:hAnsi="T" w:cs="Simplified Arabic"/>
          <w:sz w:val="24"/>
          <w:szCs w:val="24"/>
        </w:rPr>
        <w:t>.</w:t>
      </w:r>
    </w:p>
    <w:p w14:paraId="035C70C5" w14:textId="45190F6A"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تعارض المصالح يمكن أن يؤدي إلى عدة مشكلات في تطبيق الحوكمة البيئية. أولاً، ضعف الالتزام بالسياسات البيئية: قد تتردد المؤسسات في تبني سياسات بيئية صارمة خوفاً من تأثيرها السلبي على أرباحها أو قدرتها التنافسية. ثانياً، ضعف الشفافية: قد تخفي المؤسسات معلومات عن أدائها البيئي خوفاً من العقوبات أو الإضرار بسمعتها. ثالثاً، ضعف المشاركة: قد تهمش المؤسسات أصحاب المصلحة المعنيين بالبيئة (مثل المجتمعات المحلية أو المنظمات البيئية) خوفاً من أن يعيقوا أهدافها الاقتصادية</w:t>
      </w:r>
      <w:r w:rsidRPr="005D59A7">
        <w:rPr>
          <w:rFonts w:ascii="T" w:hAnsi="T" w:cs="Simplified Arabic"/>
          <w:sz w:val="24"/>
          <w:szCs w:val="24"/>
        </w:rPr>
        <w:t>.</w:t>
      </w:r>
    </w:p>
    <w:p w14:paraId="3092177F" w14:textId="6D71323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معالجة تعارض المصالح تتطلب آليات حوكمة قوية تضمن تحقيق التوازن بين الأهداف الاقتصادية والبيئية. من أهم هذه الآليات: وضع معايير واضحة لاتخاذ القرارات التي تمس البيئة، وإشراك جميع أصحاب المصلحة في عمليات صنع القرار، وإنشاء آليات مستقلة للرقابة والتظلم، وتطوير أنظمة حوافز تشجع على الالتزام البيئي، وفرض عقوبات رادعة على المخالفين</w:t>
      </w:r>
      <w:r w:rsidRPr="005D59A7">
        <w:rPr>
          <w:rFonts w:ascii="T" w:hAnsi="T" w:cs="Simplified Arabic"/>
          <w:sz w:val="24"/>
          <w:szCs w:val="24"/>
        </w:rPr>
        <w:t>.</w:t>
      </w:r>
    </w:p>
    <w:p w14:paraId="5A071F92" w14:textId="6B49B359" w:rsidR="00C57CC8" w:rsidRPr="005D59A7" w:rsidRDefault="00C57CC8" w:rsidP="00C476D6">
      <w:pPr>
        <w:pStyle w:val="Heading2"/>
        <w:bidi/>
        <w:rPr>
          <w:rFonts w:ascii="T" w:hAnsi="T" w:cs="Simplified Arabic"/>
          <w:color w:val="auto"/>
          <w:sz w:val="24"/>
          <w:szCs w:val="24"/>
          <w:rtl/>
        </w:rPr>
      </w:pPr>
      <w:bookmarkStart w:id="70" w:name="_Toc233202831"/>
      <w:r w:rsidRPr="005D59A7">
        <w:rPr>
          <w:rFonts w:ascii="T" w:hAnsi="T" w:cs="Simplified Arabic"/>
          <w:color w:val="auto"/>
          <w:sz w:val="24"/>
          <w:szCs w:val="24"/>
          <w:rtl/>
        </w:rPr>
        <w:t xml:space="preserve">المحور </w:t>
      </w:r>
      <w:r w:rsidR="0091720A" w:rsidRPr="005D59A7">
        <w:rPr>
          <w:rFonts w:ascii="T" w:hAnsi="T" w:cs="Simplified Arabic"/>
          <w:color w:val="auto"/>
          <w:sz w:val="24"/>
          <w:szCs w:val="24"/>
          <w:rtl/>
        </w:rPr>
        <w:t>الثالث</w:t>
      </w:r>
      <w:r w:rsidRPr="005D59A7">
        <w:rPr>
          <w:rFonts w:ascii="T" w:hAnsi="T" w:cs="Simplified Arabic"/>
          <w:color w:val="auto"/>
          <w:sz w:val="24"/>
          <w:szCs w:val="24"/>
          <w:rtl/>
        </w:rPr>
        <w:t>: دراسات العلاقة بين الشراكات والحوكمة</w:t>
      </w:r>
      <w:bookmarkEnd w:id="70"/>
    </w:p>
    <w:p w14:paraId="3092098C"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الشراكات على أنظمة الحوكمة</w:t>
      </w:r>
    </w:p>
    <w:p w14:paraId="6D851281"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تشير الأدبيات إلى أن الشراكات بين القطاعين العام والخاص تمثل تحولاً جوهرياً في طريقة إدارة وتقديم الخدمات العامة، مما يخلق تحديات جديدة لأنظمة الحوكمة التقليدية التي صممت أساساً للتعامل مع القطاع العام وحده</w:t>
      </w:r>
      <w:r w:rsidRPr="005D59A7">
        <w:rPr>
          <w:rFonts w:ascii="T" w:hAnsi="T" w:cs="Simplified Arabic"/>
          <w:sz w:val="24"/>
          <w:szCs w:val="24"/>
        </w:rPr>
        <w:t>.</w:t>
      </w:r>
    </w:p>
    <w:p w14:paraId="4F715F31" w14:textId="0D0DD609"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سعت دراسة (</w:t>
      </w:r>
      <w:r w:rsidRPr="005D59A7">
        <w:rPr>
          <w:rFonts w:ascii="T" w:hAnsi="T" w:cs="Simplified Arabic"/>
          <w:sz w:val="24"/>
          <w:szCs w:val="24"/>
        </w:rPr>
        <w:t xml:space="preserve">Hodge, Greve, &amp; </w:t>
      </w:r>
      <w:proofErr w:type="spellStart"/>
      <w:r w:rsidRPr="005D59A7">
        <w:rPr>
          <w:rFonts w:ascii="T" w:hAnsi="T" w:cs="Simplified Arabic"/>
          <w:sz w:val="24"/>
          <w:szCs w:val="24"/>
        </w:rPr>
        <w:t>Biygautane</w:t>
      </w:r>
      <w:proofErr w:type="spellEnd"/>
      <w:r w:rsidRPr="005D59A7">
        <w:rPr>
          <w:rFonts w:ascii="T" w:hAnsi="T" w:cs="Simplified Arabic"/>
          <w:sz w:val="24"/>
          <w:szCs w:val="24"/>
        </w:rPr>
        <w:t xml:space="preserve"> (2018</w:t>
      </w:r>
      <w:r w:rsidRPr="005D59A7">
        <w:rPr>
          <w:rFonts w:ascii="T" w:hAnsi="T" w:cs="Simplified Arabic"/>
          <w:sz w:val="24"/>
          <w:szCs w:val="24"/>
          <w:rtl/>
        </w:rPr>
        <w:t xml:space="preserve"> إلى تقديم إجابة شاملة على سؤال محوري: هل تنجح الشراكات بين القطاعين العام والخاص فعلاً؟ اعتمدوا على منهجية المراجعة المنهجية للأدبيات، محللين عقوداً من الدراسات النظرية والتطبيقية حول أداء الشراكات في مختلف دول العالم. توصلوا إلى أن الإجابة على هذا السؤال ليست بسيطة أو مطلقة، بل تعتمد بشكل كبير على السياق المؤسسي والسياسي والاقتصادي الذي تنفذ فيه الشراكة. أشار الباحثون إلى أن النجاح غالباً ما يُقاس بمقاييس محدودة مثل توفير التكاليف أو نقل المخاطر، بينما تُهمل أبعاد أخرى مثل الشفافية والمساءلة والقيمة الاجتماعية طويلة الأجل. كما لاحظ الباحثون وجود فجوة معرفية فيما يتعلق بكيفية تعلم المنظمات من تجاربها في الشراكات. أوصت الدراسة بضرورة تطوير أطر تقييم أكثر شمولاً تأخذ في الاعتبار الأبعاد المتعددة لأداء الشراكات، وإجراء المزيد من البحوث المقارنة بين الدول لتحديد العوامل المؤسسية والثقافية التي تؤثر على نجاح الشراكات</w:t>
      </w:r>
      <w:r w:rsidRPr="005D59A7">
        <w:rPr>
          <w:rFonts w:ascii="T" w:hAnsi="T" w:cs="Simplified Arabic"/>
          <w:sz w:val="24"/>
          <w:szCs w:val="24"/>
        </w:rPr>
        <w:t>.</w:t>
      </w:r>
    </w:p>
    <w:p w14:paraId="0BFD49B8" w14:textId="36106F6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ركزت دراسة </w:t>
      </w:r>
      <w:r w:rsidRPr="005D59A7">
        <w:rPr>
          <w:rFonts w:ascii="T" w:hAnsi="T" w:cs="Simplified Arabic"/>
          <w:sz w:val="24"/>
          <w:szCs w:val="24"/>
        </w:rPr>
        <w:t>Hodge &amp; Greve (2018)</w:t>
      </w:r>
      <w:r w:rsidRPr="005D59A7">
        <w:rPr>
          <w:rFonts w:ascii="T" w:hAnsi="T" w:cs="Simplified Arabic"/>
          <w:sz w:val="24"/>
          <w:szCs w:val="24"/>
          <w:rtl/>
        </w:rPr>
        <w:t xml:space="preserve"> على تطوير أجندة بحثية عالمية للشراكات بين القطاعين العام والخاص المعاصرة. اعتمدوا على مراجعة نقدية للأدبيات الحالية وتحليل للاتجاهات الناشئة في مجال أبحاث الشراكة. توصلوا إلى أن أبحاث الشراكة تحتاج إلى تجاوز الأسئلة التقليدية حول "هل تعمل الشراكة؟" إلى أسئلة أكثر تعقيداً حول "كيف ومتى ولماذا تعمل الشراكة في سياقات مختلفة؟". أشار الباحثون إلى أن أنظمة الحوكمة المؤثرة على أداء الشراكة تشمل ثلاثة مستويات مترابطة: مستوى السياسات الكلية (التي تحدد الإطار القانوني والمؤسسي العام)، ومستوى تنظيم القطاع (الذي يحدد قواعد المنافسة وحماية المستهلك)، ومستوى إدارة المشروع (الذي يشمل العقود وآليات المراقبة اليومية). كما أشاروا إلى أن نجاح الشراكات يتطلب توافقاً بين هذه المستويات الثلاثة. أوصى الباحثون بتوجيه البحوث المستقبلية نحو فهم التفاعلات بين هذه المستويات، ودور الجهات الفاعلة غير الحكومية (مثل المجتمع المدني ووسائل الإعلام) في تشكيل أداء الشراكات</w:t>
      </w:r>
      <w:r w:rsidRPr="005D59A7">
        <w:rPr>
          <w:rFonts w:ascii="T" w:hAnsi="T" w:cs="Simplified Arabic"/>
          <w:sz w:val="24"/>
          <w:szCs w:val="24"/>
        </w:rPr>
        <w:t>.</w:t>
      </w:r>
    </w:p>
    <w:p w14:paraId="2B49EF2C" w14:textId="6CC4DAC8"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أجرى </w:t>
      </w:r>
      <w:r w:rsidRPr="005D59A7">
        <w:rPr>
          <w:rFonts w:ascii="T" w:hAnsi="T" w:cs="Simplified Arabic"/>
          <w:sz w:val="24"/>
          <w:szCs w:val="24"/>
        </w:rPr>
        <w:t>Xiong, et al (2019)</w:t>
      </w:r>
      <w:r w:rsidRPr="005D59A7">
        <w:rPr>
          <w:rFonts w:ascii="T" w:hAnsi="T" w:cs="Simplified Arabic"/>
          <w:sz w:val="24"/>
          <w:szCs w:val="24"/>
          <w:rtl/>
        </w:rPr>
        <w:t xml:space="preserve"> مراجعة منهجية لأدبيات دراسات الحالة حول حوكمة الشراكات بين القطاعين العام والخاص. اعتمدوا على تحليل 87 دراسة حالة منشورة في مجلات محكمة، بهدف تحديد الأنماط المشتركة والفجوات المعرفية في هذا المجال. توصلوا إلى أن معظم دراسات الحالة ركزت على مرحلة توقيع العقد وما بعده، بينما أهملت مرحلة الإعداد والتخطيط التي تشكل الأساس لنجاح الشراكة. كما وجدوا أن الدراسات ركزت بشكل غير متناسب على مشاريع البنية التحتية الكبيرة في الدول المتقدمة، مع إهمال المشاريع الصغيرة والمتوسطة في الدول النامية. أشار الباحثون إلى أن حوكمة الشراكات تتأثر بعوامل سياقية متعددة، منها الاستقرار السياسي، وجودة المؤسسات القانونية، ومستوى الفساد، ودرجة تطور الأسواق المالية. أوصى الباحثون بضرورة إجراء المزيد من دراسات الحالة المقارنة التي تأخذ في الاعتبار هذه العوامل السياقية، وتطوير أطر نظرية أكثر حساسية للسياق في تحليل حوكمة الشراكات</w:t>
      </w:r>
      <w:r w:rsidRPr="005D59A7">
        <w:rPr>
          <w:rFonts w:ascii="T" w:hAnsi="T" w:cs="Simplified Arabic"/>
          <w:sz w:val="24"/>
          <w:szCs w:val="24"/>
        </w:rPr>
        <w:t>.</w:t>
      </w:r>
    </w:p>
    <w:p w14:paraId="34322A7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تأثير الحوكمة على تنظيم وأداء الشراكات</w:t>
      </w:r>
    </w:p>
    <w:p w14:paraId="039457CD"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تلعب الحوكمة دوراً حاسماً في تنظيم الشراكات وضمان نجاحها، من خلال وضع القواعد والمعايير التي تحكم العلاقة بين الشركاء، وتحديد آليات اتخاذ القرار، وضمان الالتزام بأهداف المصلحة العامة</w:t>
      </w:r>
      <w:r w:rsidRPr="005D59A7">
        <w:rPr>
          <w:rFonts w:ascii="T" w:hAnsi="T" w:cs="Simplified Arabic"/>
          <w:sz w:val="24"/>
          <w:szCs w:val="24"/>
        </w:rPr>
        <w:t>.</w:t>
      </w:r>
    </w:p>
    <w:p w14:paraId="6CBBC349" w14:textId="40ADE1A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Wang ,et al (2020)</w:t>
      </w:r>
      <w:r w:rsidRPr="005D59A7">
        <w:rPr>
          <w:rFonts w:ascii="T" w:hAnsi="T" w:cs="Simplified Arabic"/>
          <w:sz w:val="24"/>
          <w:szCs w:val="24"/>
          <w:rtl/>
        </w:rPr>
        <w:t xml:space="preserve"> إلى فهم تأثير الحوكمة على تنفيذ الشراكات بين القطاعين العام والخاص من خلال مقارنة منهجية بين المملكة المتحدة والصين. اعتمدوا على تحليل مقارن لحالتين دراسيتين بارزتين من كل دولة، مع التركيز على الاختلافات في الأطر المؤسسية والقانونية والثقافية بين السياقين. توصلوا إلى أن الاختلافات في أنظمة الحوكمة بين البلدين أدت إلى اختلافات جوهرية في أداء الشراكات. ففي المملكة المتحدة، حيث النظام القانوني أكثر تطوراً وشفافية، كانت الشراكات تميل إلى تحقيق توازن أفضل بين الكفاءة الاقتصادية والمساءلة العامة. في المقابل، في الصين، حيث الدولة تلعب دوراً أكثر مركزية وتوجيهاً، كانت الشراكات تميل إلى تحقيق كفاءة أعلى في التنفيذ ولكن مع تحديات أكبر في مجال الشفافية والمساءلة. أوصى الباحثون بضرورة تصميم أطر حوكمة الشراكات بما يتناسب مع السياق المؤسسي والثقافي لكل دولة، بدلاً من محاولة نقل النماذج الناجحة من سياق إلى آخر دون تعديل</w:t>
      </w:r>
      <w:r w:rsidRPr="005D59A7">
        <w:rPr>
          <w:rFonts w:ascii="T" w:hAnsi="T" w:cs="Simplified Arabic"/>
          <w:sz w:val="24"/>
          <w:szCs w:val="24"/>
        </w:rPr>
        <w:t>.</w:t>
      </w:r>
    </w:p>
    <w:p w14:paraId="668A8767" w14:textId="49FE725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52494" w:rsidRPr="005D59A7">
        <w:rPr>
          <w:rFonts w:ascii="T" w:hAnsi="T" w:cs="Simplified Arabic"/>
          <w:sz w:val="24"/>
          <w:szCs w:val="24"/>
        </w:rPr>
        <w:t>Song &amp; Hao (2023)</w:t>
      </w:r>
      <w:r w:rsidR="00852494" w:rsidRPr="005D59A7">
        <w:rPr>
          <w:rFonts w:ascii="T" w:hAnsi="T" w:cs="Simplified Arabic"/>
          <w:sz w:val="24"/>
          <w:szCs w:val="24"/>
          <w:rtl/>
        </w:rPr>
        <w:t xml:space="preserve"> </w:t>
      </w:r>
      <w:r w:rsidRPr="005D59A7">
        <w:rPr>
          <w:rFonts w:ascii="T" w:hAnsi="T" w:cs="Simplified Arabic"/>
          <w:sz w:val="24"/>
          <w:szCs w:val="24"/>
          <w:rtl/>
        </w:rPr>
        <w:t>على تأثير آليات حوكمة المشروع على التنمية المستدامة لمشاريع الشراكات بين القطاعين العام والخاص. اعتمدوا على منهجية كمية، حيث قاموا بتحليل بيانات من 312 مشروع شراكة باستخدام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توصلوا إلى أن آليات حوكمة المشروع تؤثر بشكل إيجابي على الاستدامة الاقتصادية (من خلال خفض التكاليف وزيادة الكفاءة)، والاستدامة البيئية (من خلال الالتزام بالمعايير البيئية)، والاستدامة الاجتماعية (من خلال إشراك المجتمع المحلي ومراعاة احتياجاته). أشار الباحثون إلى أن آليات الحوكمة الأكثر فعالية تشمل: وضوح الأدوار والمسؤوليات، وآليات الرصد والتقييم المستمر، وإشراك أصحاب المصلحة في اتخاذ القرار، وآليات حل النزاعات السريعة والشفافة. كما وجدوا أن فعالية هذه الآليات تعتمد على قدرة أطراف الشراكة على بناء الثقة والتعاون المستدام. أوصى الباحثون بضرورة إدراج أهداف الاستدامة كأساس لتصميم آليات حوكمة مشاريع الشراكة، وليس كأهداف إضافية أو ثانوية</w:t>
      </w:r>
      <w:r w:rsidRPr="005D59A7">
        <w:rPr>
          <w:rFonts w:ascii="T" w:hAnsi="T" w:cs="Simplified Arabic"/>
          <w:sz w:val="24"/>
          <w:szCs w:val="24"/>
        </w:rPr>
        <w:t>.</w:t>
      </w:r>
    </w:p>
    <w:p w14:paraId="02470BF4" w14:textId="29333846"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00852494" w:rsidRPr="005D59A7">
        <w:rPr>
          <w:rFonts w:ascii="T" w:hAnsi="T" w:cs="Simplified Arabic"/>
          <w:sz w:val="24"/>
          <w:szCs w:val="24"/>
        </w:rPr>
        <w:t xml:space="preserve"> Zhang et al. (</w:t>
      </w:r>
      <w:proofErr w:type="gramStart"/>
      <w:r w:rsidR="00852494" w:rsidRPr="005D59A7">
        <w:rPr>
          <w:rFonts w:ascii="T" w:hAnsi="T" w:cs="Simplified Arabic"/>
          <w:sz w:val="24"/>
          <w:szCs w:val="24"/>
        </w:rPr>
        <w:t>2020)</w:t>
      </w:r>
      <w:r w:rsidRPr="005D59A7">
        <w:rPr>
          <w:rFonts w:ascii="T" w:hAnsi="T" w:cs="Simplified Arabic"/>
          <w:sz w:val="24"/>
          <w:szCs w:val="24"/>
          <w:rtl/>
        </w:rPr>
        <w:t>في</w:t>
      </w:r>
      <w:proofErr w:type="gramEnd"/>
      <w:r w:rsidRPr="005D59A7">
        <w:rPr>
          <w:rFonts w:ascii="T" w:hAnsi="T" w:cs="Simplified Arabic"/>
          <w:sz w:val="24"/>
          <w:szCs w:val="24"/>
          <w:rtl/>
        </w:rPr>
        <w:t xml:space="preserve"> دور الشراكات بين القطاعين العام والخاص كاستجابة حوكمة للتوسع الحضري المستدام، مستخلصين الدروس من التجارب الصينية. اعتمدوا على منهجية دراسة الحالة المتعددة، محللين خمسة مشاريع شراكة في قطاعات مختلفة (النقل، الطاقة، معالجة المياه، والإسكان) في مدن صينية كبرى. توصلوا إلى أن الشراكات ساهمت بشكل كبير في تسريع وتيرة التوسع الحضري وتحسين جودة البنية التحتية، لكنها واجهت تحديات في تحقيق الاستدامة الاجتماعية والبيئية. أشار الباحثون إلى أن هذه التحديات تعود أساساً إلى ضعف آليات المشاركة المجتمعية والشفافية في بعض المشاريع، مما أدى إلى نزاعات مع المجتمعات المحلية وتأثيرات بيئية سلبية لم تؤخذ في الاعتبار بشكل كافٍ في مرحلة التخطيط. أوصى الباحثون بضرورة تعزيز أطر الحوكمة التي تضمن إشراك المجتمع المحلي في مراحل التخطيط والتنفيذ والتشغيل، وإجراء تقييمات أثر بيئي واجتماعي شفافة ومستقلة قبل الموافقة على مشاريع الشراكة</w:t>
      </w:r>
      <w:r w:rsidRPr="005D59A7">
        <w:rPr>
          <w:rFonts w:ascii="T" w:hAnsi="T" w:cs="Simplified Arabic"/>
          <w:sz w:val="24"/>
          <w:szCs w:val="24"/>
        </w:rPr>
        <w:t>.</w:t>
      </w:r>
    </w:p>
    <w:p w14:paraId="0C50B20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الفعالة بشكل كبير في تحديد وتقييم وتوزيع ومراقبة المخاطر المرتبطة بالشراكات بين القطاعين العام والخاص. تتنوع هذه المخاطر بين المالية والتشغيلية والقانونية والسياسية والبيئية، وإدارتها بشكل فعال تعد شرطاً أساسياً لنجاح الشراكة</w:t>
      </w:r>
      <w:r w:rsidRPr="005D59A7">
        <w:rPr>
          <w:rFonts w:ascii="T" w:hAnsi="T" w:cs="Simplified Arabic"/>
          <w:sz w:val="24"/>
          <w:szCs w:val="24"/>
        </w:rPr>
        <w:t>.</w:t>
      </w:r>
    </w:p>
    <w:p w14:paraId="012A91AB" w14:textId="7E44417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ركز </w:t>
      </w:r>
      <w:r w:rsidR="00875F77" w:rsidRPr="005D59A7">
        <w:rPr>
          <w:rFonts w:ascii="T" w:hAnsi="T" w:cs="Simplified Arabic"/>
          <w:sz w:val="24"/>
          <w:szCs w:val="24"/>
        </w:rPr>
        <w:t>Flyvbjerg (2014)</w:t>
      </w:r>
      <w:r w:rsidRPr="005D59A7">
        <w:rPr>
          <w:rFonts w:ascii="T" w:hAnsi="T" w:cs="Simplified Arabic"/>
          <w:sz w:val="24"/>
          <w:szCs w:val="24"/>
          <w:rtl/>
        </w:rPr>
        <w:t>على تحليل المخاطر المرتبطة بالمشاريع الكبرى، والتي تشكل جزءاً كبيراً من مشاريع الشراكة بين القطاعين العام والخاص. اعتمد على تحليل بيانات من أكثر من 2,000 مشروع كبير حول العالم، مستخدماً أساليب إحصائية لقياس الفجوة بين التقديرات الأولية والتكاليف الفعلية والفوائد المحققة. توصل الباحث إلى أن المشاريع الكبرى تعاني بشكل منهجي من ثلاث مشكلات مترابطة: تفاؤل غير واقعي في تقدير التكاليف والفوائد</w:t>
      </w:r>
      <w:r w:rsidRPr="005D59A7">
        <w:rPr>
          <w:rFonts w:ascii="T" w:hAnsi="T" w:cs="Simplified Arabic"/>
          <w:sz w:val="24"/>
          <w:szCs w:val="24"/>
        </w:rPr>
        <w:t xml:space="preserve"> (Optimism Bias)</w:t>
      </w:r>
      <w:r w:rsidRPr="005D59A7">
        <w:rPr>
          <w:rFonts w:ascii="T" w:hAnsi="T" w:cs="Simplified Arabic"/>
          <w:sz w:val="24"/>
          <w:szCs w:val="24"/>
          <w:rtl/>
        </w:rPr>
        <w:t>، وتلاعب استراتيجي بالمعلومات من قبل أصحاب المصلحة</w:t>
      </w:r>
      <w:r w:rsidRPr="005D59A7">
        <w:rPr>
          <w:rFonts w:ascii="T" w:hAnsi="T" w:cs="Simplified Arabic"/>
          <w:sz w:val="24"/>
          <w:szCs w:val="24"/>
        </w:rPr>
        <w:t xml:space="preserve"> (Strategic Misrepresentation)</w:t>
      </w:r>
      <w:r w:rsidRPr="005D59A7">
        <w:rPr>
          <w:rFonts w:ascii="T" w:hAnsi="T" w:cs="Simplified Arabic"/>
          <w:sz w:val="24"/>
          <w:szCs w:val="24"/>
          <w:rtl/>
        </w:rPr>
        <w:t>، وضعف آليات الرقابة والمساءلة. أشار الباحث إلى أن هذه المشكلات تؤدي إلى تجاوز التكاليف بنسبة تتراوح بين 50-100% في المتوسط، وتأخير التسليم بنسبة 30-50%، وضعف العوائد بشكل كبير عن التوقعات. أوصى الباحث بضرورة اعتماد آليات حوكمة رادعة، منها: المراجعة المستقلة لتقديرات التكاليف والفوائد قبل الموافقة على المشاريع، والشفافية الكاملة في عملية اتخاذ القرار، ومحاسبة المسؤولين عن التقديرات غير الواقعية</w:t>
      </w:r>
      <w:r w:rsidRPr="005D59A7">
        <w:rPr>
          <w:rFonts w:ascii="T" w:hAnsi="T" w:cs="Simplified Arabic"/>
          <w:sz w:val="24"/>
          <w:szCs w:val="24"/>
        </w:rPr>
        <w:t>.</w:t>
      </w:r>
    </w:p>
    <w:p w14:paraId="3E6EA8B4" w14:textId="7DE6D48B"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أجرى</w:t>
      </w:r>
      <w:r w:rsidR="00875F77" w:rsidRPr="005D59A7">
        <w:rPr>
          <w:rFonts w:ascii="T" w:hAnsi="T" w:cs="Simplified Arabic"/>
          <w:sz w:val="24"/>
          <w:szCs w:val="24"/>
        </w:rPr>
        <w:t xml:space="preserve"> Roehrich, et al (2014)</w:t>
      </w:r>
      <w:r w:rsidRPr="005D59A7">
        <w:rPr>
          <w:rFonts w:ascii="T" w:hAnsi="T" w:cs="Simplified Arabic"/>
          <w:sz w:val="24"/>
          <w:szCs w:val="24"/>
          <w:rtl/>
        </w:rPr>
        <w:t xml:space="preserve">مراجعة منهجية للأدبيات حول الشراكات بين القطاعين العام والخاص في قطاع الصحة، بهدف تقييم ما إذا كانت هذه الشراكات خياراً صحياً فعلاً. اعتمدوا على تحليل 129 دراسة منشورة في مجلات محكمة، مع التركيز على أربعة محاور: الأداء، والحوكمة، والشفافية، والمساءلة. توصلوا إلى أن الشراكات في قطاع الصحة حققت نجاحاً في تسريع بناء وتجهيز المرافق الصحية، لكنها واجهت تحديات في الحفاظ على جودة الخدمات الصحية وتكاليفها على المدى الطويل. أشار الباحثون إلى أن الشفافية المحدودة في عقود الشراكة (خاصة </w:t>
      </w:r>
      <w:r w:rsidR="005E42AD" w:rsidRPr="005D59A7">
        <w:rPr>
          <w:rFonts w:ascii="T" w:hAnsi="T" w:cs="Simplified Arabic"/>
          <w:sz w:val="24"/>
          <w:szCs w:val="24"/>
          <w:rtl/>
        </w:rPr>
        <w:t>فيما</w:t>
      </w:r>
      <w:r w:rsidRPr="005D59A7">
        <w:rPr>
          <w:rFonts w:ascii="T" w:hAnsi="T" w:cs="Simplified Arabic"/>
          <w:sz w:val="24"/>
          <w:szCs w:val="24"/>
          <w:rtl/>
        </w:rPr>
        <w:t xml:space="preserve"> يتعلق بتكاليف التشغيل والصيانة طويلة الأجل) كانت من أهم أسباب هذه التحديات. كما وجدوا أن ضعف آليات المساءلة أدى في بعض الحالات إلى تفضيل المصالح التجارية للشركاء الخاصين على حساب المصلحة العامة. أوصى الباحثون بضرورة تعزيز متطلبات الشفافية في عقود الشراكة في قطاع الصحة، بما يشمل نشر بنود العقود المتعلقة بالتكاليف ومعايير الجودة وآليات مراجعة الأسعار، وإنشاء آليات مستقلة لمراقبة أداء الشركاء الخاصين وحماية حقوق المرضى والمستفيدين</w:t>
      </w:r>
      <w:r w:rsidRPr="005D59A7">
        <w:rPr>
          <w:rFonts w:ascii="T" w:hAnsi="T" w:cs="Simplified Arabic"/>
          <w:sz w:val="24"/>
          <w:szCs w:val="24"/>
        </w:rPr>
        <w:t>.</w:t>
      </w:r>
    </w:p>
    <w:p w14:paraId="6F61B56D" w14:textId="439D8CDC" w:rsidR="00C57CC8" w:rsidRPr="005D59A7" w:rsidRDefault="00C57CC8" w:rsidP="00C476D6">
      <w:pPr>
        <w:pStyle w:val="Heading2"/>
        <w:bidi/>
        <w:rPr>
          <w:rFonts w:ascii="T" w:hAnsi="T" w:cs="Simplified Arabic"/>
          <w:color w:val="auto"/>
          <w:sz w:val="24"/>
          <w:szCs w:val="24"/>
          <w:rtl/>
        </w:rPr>
      </w:pPr>
      <w:bookmarkStart w:id="71" w:name="_Toc233202832"/>
      <w:r w:rsidRPr="005D59A7">
        <w:rPr>
          <w:rFonts w:ascii="T" w:hAnsi="T" w:cs="Simplified Arabic"/>
          <w:color w:val="auto"/>
          <w:sz w:val="24"/>
          <w:szCs w:val="24"/>
          <w:rtl/>
        </w:rPr>
        <w:t>المحور ال</w:t>
      </w:r>
      <w:r w:rsidR="00795AA3" w:rsidRPr="005D59A7">
        <w:rPr>
          <w:rFonts w:ascii="T" w:hAnsi="T" w:cs="Simplified Arabic"/>
          <w:color w:val="auto"/>
          <w:sz w:val="24"/>
          <w:szCs w:val="24"/>
          <w:rtl/>
        </w:rPr>
        <w:t>رابع</w:t>
      </w:r>
      <w:r w:rsidRPr="005D59A7">
        <w:rPr>
          <w:rFonts w:ascii="T" w:hAnsi="T" w:cs="Simplified Arabic"/>
          <w:color w:val="auto"/>
          <w:sz w:val="24"/>
          <w:szCs w:val="24"/>
          <w:rtl/>
        </w:rPr>
        <w:t>: دراسات العلاقة بين الحوكمة وإدارة الأداء</w:t>
      </w:r>
      <w:bookmarkEnd w:id="71"/>
    </w:p>
    <w:p w14:paraId="0459104F"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الحوكمة على تحسين الأداء المؤسسي</w:t>
      </w:r>
    </w:p>
    <w:p w14:paraId="67D36BB5"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العلاقة بين الحوكمة وإدارة الأداء من المحاور الأساسية في الأدبيات الإدارية المعاصرة، حيث تشير الدراسات إلى أن تطبيق مبادئ الحوكمة الجيدة (الشفافية، المساءلة، المشاركة، سيادة القانون) يساهم بشكل كبير في تحسين الأداء المؤسسي على المستويات المالية والتشغيلية والاستراتيجية</w:t>
      </w:r>
      <w:r w:rsidRPr="005D59A7">
        <w:rPr>
          <w:rFonts w:ascii="T" w:hAnsi="T" w:cs="Simplified Arabic"/>
          <w:sz w:val="24"/>
          <w:szCs w:val="24"/>
        </w:rPr>
        <w:t>.</w:t>
      </w:r>
    </w:p>
    <w:p w14:paraId="104DE4C9" w14:textId="7EA5C526"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Waardenburg, et al (2025)</w:t>
      </w:r>
      <w:r w:rsidRPr="005D59A7">
        <w:rPr>
          <w:rFonts w:ascii="T" w:hAnsi="T" w:cs="Simplified Arabic"/>
          <w:sz w:val="24"/>
          <w:szCs w:val="24"/>
          <w:rtl/>
        </w:rPr>
        <w:t>إلى تقديم مراجعة شاملة للأدبيات حول إدارة الأداء في الحوكمة التعاونية، وتوليف التحديات الرئيسية التي تواجه تطبيقها. اعتمدوا على مراجعة منهجية لـ 150 دراسة منشورة في مجلات محكمة خلال العقدين الماضيين، مع التركيز على السياقات التي تجمع بين قطاعات متعددة (حكومية، خاصة، غير ربحية). توصلوا إلى أن إدارة الأداء في الحوكمة التعاونية تواجه ثلاثة تحديات رئيسية: أولاً، تحديات القياس</w:t>
      </w:r>
      <w:r w:rsidRPr="005D59A7">
        <w:rPr>
          <w:rFonts w:ascii="T" w:hAnsi="T" w:cs="Simplified Arabic"/>
          <w:sz w:val="24"/>
          <w:szCs w:val="24"/>
        </w:rPr>
        <w:t xml:space="preserve"> (Measurement Challenges)</w:t>
      </w:r>
      <w:r w:rsidRPr="005D59A7">
        <w:rPr>
          <w:rFonts w:ascii="T" w:hAnsi="T" w:cs="Simplified Arabic"/>
          <w:sz w:val="24"/>
          <w:szCs w:val="24"/>
          <w:rtl/>
        </w:rPr>
        <w:t>، حيث يصعب قياس أداء الشراكات بسبب تعدد الأهداف وتضاربها أحياناً، وعدم توافق أنظمة القياس بين الشركاء. ثانياً، تحديات المساءلة</w:t>
      </w:r>
      <w:r w:rsidRPr="005D59A7">
        <w:rPr>
          <w:rFonts w:ascii="T" w:hAnsi="T" w:cs="Simplified Arabic"/>
          <w:sz w:val="24"/>
          <w:szCs w:val="24"/>
        </w:rPr>
        <w:t xml:space="preserve"> (Accountability Challenges)</w:t>
      </w:r>
      <w:r w:rsidRPr="005D59A7">
        <w:rPr>
          <w:rFonts w:ascii="T" w:hAnsi="T" w:cs="Simplified Arabic"/>
          <w:sz w:val="24"/>
          <w:szCs w:val="24"/>
          <w:rtl/>
        </w:rPr>
        <w:t>، حيث يصعب تحديد من المسؤول عن ماذا في ظل توزيع المسؤوليات بين شركاء متعددين. ثالثاً، تحديات التعلم</w:t>
      </w:r>
      <w:r w:rsidRPr="005D59A7">
        <w:rPr>
          <w:rFonts w:ascii="T" w:hAnsi="T" w:cs="Simplified Arabic"/>
          <w:sz w:val="24"/>
          <w:szCs w:val="24"/>
        </w:rPr>
        <w:t xml:space="preserve"> (Learning Challenges)</w:t>
      </w:r>
      <w:r w:rsidRPr="005D59A7">
        <w:rPr>
          <w:rFonts w:ascii="T" w:hAnsi="T" w:cs="Simplified Arabic"/>
          <w:sz w:val="24"/>
          <w:szCs w:val="24"/>
          <w:rtl/>
        </w:rPr>
        <w:t>، حيث يصعب تحويل نتائج تقييم الأداء إلى تحسينات فعلية في الأداء بسبب تعقيد العلاقات وتباين قدرات الشركاء على التعلم والتكيف. أوصى الباحثون بضرورة تطوير أنظمة إدارة أداء مصممة خصيصاً للحوكمة التعاونية، تتسم بالمرونة الكافية لاستيعاب تعدد الأهداف والشركاء، وتشمل آليات للمساءلة المتبادلة والتعلم الجماعي</w:t>
      </w:r>
      <w:r w:rsidRPr="005D59A7">
        <w:rPr>
          <w:rFonts w:ascii="T" w:hAnsi="T" w:cs="Simplified Arabic"/>
          <w:sz w:val="24"/>
          <w:szCs w:val="24"/>
        </w:rPr>
        <w:t>.</w:t>
      </w:r>
    </w:p>
    <w:p w14:paraId="22E7CF9F" w14:textId="427ED8D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Biondi &amp; Russo (2022)</w:t>
      </w:r>
      <w:r w:rsidRPr="005D59A7">
        <w:rPr>
          <w:rFonts w:ascii="T" w:hAnsi="T" w:cs="Simplified Arabic"/>
          <w:sz w:val="24"/>
          <w:szCs w:val="24"/>
          <w:rtl/>
        </w:rPr>
        <w:t>كيفية دمج التخطيط الاستراتيجي وإدارة الأداء في الجامعات، من خلال دراسة حالات متعددة. اعتمدوا على منهجية دراسة الحالة المقارنة، محللين أربع جامعات أوروبية طبقت أنظمة متكاملة للتخطيط الاستراتيجي وإدارة الأداء. توصلوا إلى أن دمج التخطيط الاستراتيجي مع إدارة الأداء يحقق فوائد كبيرة، منها: تحسين تخصيص الموارد بناءً على الأولويات الاستراتيجية، وزيادة الشفافية في تقييم الأداء، وتعزيز المساءلة على جميع المستويات. كما وجدوا أن نجاح هذا الدمج يعتمد على عدة عوامل: دعم القيادة العليا، وإشراك جميع أصحاب المصلحة في تصميم النظام، وتوفير التدريب اللازم للكوادر، وربط نتائج تقييم الأداء بالمكافآت والتطوير المهني. أشار الباحثون إلى أن غياب هذه العوامل يؤدي إلى فشل أنظمة إدارة الأداء، حيث تصبح شكلية أو موسمية دون تأثير حقيقي على الأداء. أوصى الباحثون بضرورة تصميم أنظمة إدارة أداء متكاملة تبدأ من التخطيط الاستراتيجي وتنتهي بتقييم النتائج وربطها بالتطوير المؤسسي</w:t>
      </w:r>
      <w:r w:rsidRPr="005D59A7">
        <w:rPr>
          <w:rFonts w:ascii="T" w:hAnsi="T" w:cs="Simplified Arabic"/>
          <w:sz w:val="24"/>
          <w:szCs w:val="24"/>
        </w:rPr>
        <w:t>.</w:t>
      </w:r>
    </w:p>
    <w:p w14:paraId="3284CAEC" w14:textId="18492E5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Kaunda &amp; Pelser (2023)</w:t>
      </w:r>
      <w:r w:rsidRPr="005D59A7">
        <w:rPr>
          <w:rFonts w:ascii="T" w:hAnsi="T" w:cs="Simplified Arabic"/>
          <w:sz w:val="24"/>
          <w:szCs w:val="24"/>
          <w:rtl/>
        </w:rPr>
        <w:t>في العلاقة بين حوكمة الشركات وأداء المؤسسات المملوكة للدولة في اقتصاد نامٍ. اعتمدوا على منهجية كمية، حيث قاموا بتحليل بيانات من 45 مؤسسة مملوكة للدولة، باستخدام تحليل الانحدار المتعدد. توصلوا إلى أن هناك علاقة إيجابية قوية بين تطبيق مبادئ الحوكمة الجيدة (شفافية، مساءلة، استقلالية مجلس الإدارة) وأداء المؤسسات (مقاسة بالعائد على الأصول، والعائد على حقوق الملكية، والكفاءة التشغيلية). كما وجدوا أن أبعاد الحوكمة الأكثر تأثيراً على الأداء هي استقلالية مجلس الإدارة ووجود لجان تدقيق فعالة وشفافية الإفصاح المالي. أشار الباحثون إلى أن ضعف الحوكمة في المؤسسات المملوكة للدولة كان سبباً رئيسياً في ضعف أدائها، وارتفاع تكاليفها، وهدر الموارد العامة. أوصى الباحثون بضرورة تطبيق مبادئ الحوكمة الجيدة في المؤسسات المملوكة للدولة بنفس الصرامة المطبقة في الشركات الخاصة، مع تعزيز استقلالية مجالس الإدارة وآليات الرقابة الداخلية والخارجية</w:t>
      </w:r>
      <w:r w:rsidRPr="005D59A7">
        <w:rPr>
          <w:rFonts w:ascii="T" w:hAnsi="T" w:cs="Simplified Arabic"/>
          <w:sz w:val="24"/>
          <w:szCs w:val="24"/>
        </w:rPr>
        <w:t>.</w:t>
      </w:r>
    </w:p>
    <w:p w14:paraId="0BFEFC0B"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العلاقة بين الرقابة والنتائج المؤسسية</w:t>
      </w:r>
    </w:p>
    <w:p w14:paraId="5017FC19"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وجود علاقة قوية بين فعالية أنظمة الرقابة الداخلية والخارجية وجودة النتائج المؤسسية. فالرقابة ليست غاية في حد ذاتها، بل وسيلة لتحسين الأداء وضمان الامتثال وتحقيق الأهداف الاستراتيجية</w:t>
      </w:r>
      <w:r w:rsidRPr="005D59A7">
        <w:rPr>
          <w:rFonts w:ascii="T" w:hAnsi="T" w:cs="Simplified Arabic"/>
          <w:sz w:val="24"/>
          <w:szCs w:val="24"/>
        </w:rPr>
        <w:t>.</w:t>
      </w:r>
    </w:p>
    <w:p w14:paraId="368866EC" w14:textId="2974FF3A"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Atmaja, et al. (</w:t>
      </w:r>
      <w:proofErr w:type="gramStart"/>
      <w:r w:rsidRPr="005D59A7">
        <w:rPr>
          <w:rFonts w:ascii="T" w:hAnsi="T" w:cs="Simplified Arabic"/>
          <w:sz w:val="24"/>
          <w:szCs w:val="24"/>
        </w:rPr>
        <w:t>2022)</w:t>
      </w:r>
      <w:r w:rsidRPr="005D59A7">
        <w:rPr>
          <w:rFonts w:ascii="T" w:hAnsi="T" w:cs="Simplified Arabic"/>
          <w:sz w:val="24"/>
          <w:szCs w:val="24"/>
          <w:rtl/>
        </w:rPr>
        <w:t>تفعيل</w:t>
      </w:r>
      <w:proofErr w:type="gramEnd"/>
      <w:r w:rsidRPr="005D59A7">
        <w:rPr>
          <w:rFonts w:ascii="T" w:hAnsi="T" w:cs="Simplified Arabic"/>
          <w:sz w:val="24"/>
          <w:szCs w:val="24"/>
          <w:rtl/>
        </w:rPr>
        <w:t xml:space="preserve"> نماذج إدارة الأداء لتطوير جودة الموارد البشرية والإمكانات الاقتصادية وسياسات الحوكمة المالية. اعتمدوا على منهجية بحث إجرائي</w:t>
      </w:r>
      <w:r w:rsidRPr="005D59A7">
        <w:rPr>
          <w:rFonts w:ascii="T" w:hAnsi="T" w:cs="Simplified Arabic"/>
          <w:sz w:val="24"/>
          <w:szCs w:val="24"/>
        </w:rPr>
        <w:t xml:space="preserve"> (Action Research) </w:t>
      </w:r>
      <w:r w:rsidRPr="005D59A7">
        <w:rPr>
          <w:rFonts w:ascii="T" w:hAnsi="T" w:cs="Simplified Arabic"/>
          <w:sz w:val="24"/>
          <w:szCs w:val="24"/>
          <w:rtl/>
        </w:rPr>
        <w:t>في وزارة التعليم، حيث قاموا بتطبيق نموذج مقترح لإدارة الأداء على مدى 18 شهراً وتقييم نتائجه. توصلوا إلى أن تطبيق نموذج منظم لإدارة الأداء أدى إلى تحسينات ملموسة في جودة الموارد البشرية (من خلال ربط التدريب والتطوير بفجوات الأداء)، وفي الإمكانات الاقتصادية (من خلال تحسين كفاءة استخدام الموارد)، وفي سياسات الحوكمة المالية (من خلال تعزيز الشفافية والمساءلة في الإنفاق). أشار الباحثون إلى أن نجاح تطبيق نموذج إدارة الأداء يعتمد على: وضوح الأهداف والمؤشرات، ومشاركة جميع المستويات في التصميم والتنفيذ، وتوفير أنظمة معلومات متكاملة لدعم عملية التقييم، وربط نتائج التقييم بالقرارات (مكافآت، ترقيات، تطوير). أوصى الباحثون بضرورة اعتماد نماذج إدارة أداء متكاملة تشمل الأبعاد المالية والتشغيلية والبشرية، مع التركيز على التحسين المستمر وليس فقط على الرقابة والمحاسبة</w:t>
      </w:r>
      <w:r w:rsidRPr="005D59A7">
        <w:rPr>
          <w:rFonts w:ascii="T" w:hAnsi="T" w:cs="Simplified Arabic"/>
          <w:sz w:val="24"/>
          <w:szCs w:val="24"/>
        </w:rPr>
        <w:t>.</w:t>
      </w:r>
    </w:p>
    <w:p w14:paraId="22584478" w14:textId="79404CA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بحث </w:t>
      </w:r>
      <w:r w:rsidRPr="005D59A7">
        <w:rPr>
          <w:rFonts w:ascii="T" w:hAnsi="T" w:cs="Simplified Arabic"/>
          <w:sz w:val="24"/>
          <w:szCs w:val="24"/>
        </w:rPr>
        <w:t xml:space="preserve"> Yadav &amp; Prashar (2023)</w:t>
      </w:r>
      <w:r w:rsidRPr="005D59A7">
        <w:rPr>
          <w:rFonts w:ascii="T" w:hAnsi="T" w:cs="Simplified Arabic"/>
          <w:sz w:val="24"/>
          <w:szCs w:val="24"/>
          <w:rtl/>
        </w:rPr>
        <w:t>في تأثير التنوع بين الجنسين في مجالس الإدارة على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منهجية كمية، حيث قاموا بتحليل بيانات من 200 شركة هندية خلال الفترة 2015-2020، باستخدام نماذج تحليل الانحدار. توصلوا إلى أن وجود نساء في مجالس الإدارة يرتبط بشكل إيجابي بتحسين أداء الشركات في المجالات البيئية والاجتماعية والحوكمة. كما وجدوا أن هذا التأثير يكون أقوى عندما تشغل النساء مناصب قيادية في لجان الحوكمة والتدقيق، وعندما يكون هناك ثلاث نساء أو أكثر في مجلس الإدارة (كتلة حرجة). أشار الباحثون إلى أن تفسير هذه النتيجة يعود إلى أن النساء تميل إلى أن تكون أكثر حساسية للقضايا البيئية والاجتماعية، وأكثر التزاماً بالشفافية والمساءلة، وأكثر قدرة على إحداث توازن في قرارات مجلس الإدارة. أوصى الباحثون بضرورة تعزيز تمثيل النساء في مجالس الإدارة، ليس فقط كإجراء رمزي، بل كآلية لتحسين أداء الشركات في المجالات البيئية والاجتماعية والحوكمة</w:t>
      </w:r>
      <w:r w:rsidRPr="005D59A7">
        <w:rPr>
          <w:rFonts w:ascii="T" w:hAnsi="T" w:cs="Simplified Arabic"/>
          <w:sz w:val="24"/>
          <w:szCs w:val="24"/>
        </w:rPr>
        <w:t>.</w:t>
      </w:r>
    </w:p>
    <w:p w14:paraId="52DDFF0B" w14:textId="56A42028"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أجرى </w:t>
      </w:r>
      <w:r w:rsidRPr="005D59A7">
        <w:rPr>
          <w:rFonts w:ascii="T" w:hAnsi="T" w:cs="Simplified Arabic"/>
          <w:sz w:val="24"/>
          <w:szCs w:val="24"/>
        </w:rPr>
        <w:t>Martiny, et al. (2024)</w:t>
      </w:r>
      <w:r w:rsidRPr="005D59A7">
        <w:rPr>
          <w:rFonts w:ascii="T" w:hAnsi="T" w:cs="Simplified Arabic"/>
          <w:sz w:val="24"/>
          <w:szCs w:val="24"/>
          <w:rtl/>
        </w:rPr>
        <w:t xml:space="preserve"> مراجعة منهجية للأدبيات حول محددات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تحليل 210 دراسة منشورة في مجلات محكمة خلال الفترة 2010-2023، باستخدام منهجية مراجعة منهجية مقننة</w:t>
      </w:r>
      <w:r w:rsidRPr="005D59A7">
        <w:rPr>
          <w:rFonts w:ascii="T" w:hAnsi="T" w:cs="Simplified Arabic"/>
          <w:sz w:val="24"/>
          <w:szCs w:val="24"/>
        </w:rPr>
        <w:t xml:space="preserve"> (PRISMA). </w:t>
      </w:r>
      <w:r w:rsidRPr="005D59A7">
        <w:rPr>
          <w:rFonts w:ascii="T" w:hAnsi="T" w:cs="Simplified Arabic"/>
          <w:sz w:val="24"/>
          <w:szCs w:val="24"/>
          <w:rtl/>
        </w:rPr>
        <w:t>توصلوا إلى أن محددات أداء</w:t>
      </w:r>
      <w:r w:rsidRPr="005D59A7">
        <w:rPr>
          <w:rFonts w:ascii="T" w:hAnsi="T" w:cs="Simplified Arabic"/>
          <w:sz w:val="24"/>
          <w:szCs w:val="24"/>
        </w:rPr>
        <w:t xml:space="preserve"> ESG </w:t>
      </w:r>
      <w:r w:rsidRPr="005D59A7">
        <w:rPr>
          <w:rFonts w:ascii="T" w:hAnsi="T" w:cs="Simplified Arabic"/>
          <w:sz w:val="24"/>
          <w:szCs w:val="24"/>
          <w:rtl/>
        </w:rPr>
        <w:t>تتوزع على ثلاثة مستويات: مستوى البيئة الخارجية (السياسات الحكومية، الضغوط المجتمعية، المعايير الدولية)، ومستوى خصائص الشركة (الحجم، القطاع، هيكل الملكية، عمر الشركة)، ومستوى آليات الحوكمة الداخلية (استقلالية مجلس الإدارة، تنوع المجلس، وجود لجان متخصصة للاستدامة، جودة أنظمة الرقابة الداخلية). أشار الباحثون إلى أن آليات الحوكمة الداخلية هي المحدد الأكثر تأثيراً على أداء</w:t>
      </w:r>
      <w:r w:rsidRPr="005D59A7">
        <w:rPr>
          <w:rFonts w:ascii="T" w:hAnsi="T" w:cs="Simplified Arabic"/>
          <w:sz w:val="24"/>
          <w:szCs w:val="24"/>
        </w:rPr>
        <w:t xml:space="preserve"> ESG</w:t>
      </w:r>
      <w:r w:rsidRPr="005D59A7">
        <w:rPr>
          <w:rFonts w:ascii="T" w:hAnsi="T" w:cs="Simplified Arabic"/>
          <w:sz w:val="24"/>
          <w:szCs w:val="24"/>
          <w:rtl/>
        </w:rPr>
        <w:t>، حيث تفسر وحدها حوالي 40% من التباين في الأداء بين الشركات. كما وجدوا أن الشركات ذات أنظمة الحوكمة القوية تحقق أداء أفضل في</w:t>
      </w:r>
      <w:r w:rsidRPr="005D59A7">
        <w:rPr>
          <w:rFonts w:ascii="T" w:hAnsi="T" w:cs="Simplified Arabic"/>
          <w:sz w:val="24"/>
          <w:szCs w:val="24"/>
        </w:rPr>
        <w:t xml:space="preserve"> ESG</w:t>
      </w:r>
      <w:r w:rsidRPr="005D59A7">
        <w:rPr>
          <w:rFonts w:ascii="T" w:hAnsi="T" w:cs="Simplified Arabic"/>
          <w:sz w:val="24"/>
          <w:szCs w:val="24"/>
          <w:rtl/>
        </w:rPr>
        <w:t>، حتى في ظل بيئات خارجية غير مواتية</w:t>
      </w:r>
      <w:r w:rsidRPr="005D59A7">
        <w:rPr>
          <w:rFonts w:ascii="T" w:hAnsi="T" w:cs="Simplified Arabic"/>
          <w:sz w:val="24"/>
          <w:szCs w:val="24"/>
        </w:rPr>
        <w:t xml:space="preserve"> (</w:t>
      </w:r>
      <w:r w:rsidRPr="005D59A7">
        <w:rPr>
          <w:rFonts w:ascii="T" w:hAnsi="T" w:cs="Simplified Arabic"/>
          <w:sz w:val="24"/>
          <w:szCs w:val="24"/>
          <w:rtl/>
        </w:rPr>
        <w:t>مثل ضعف</w:t>
      </w:r>
      <w:r w:rsidRPr="005D59A7">
        <w:rPr>
          <w:rFonts w:ascii="T" w:hAnsi="T" w:cs="Simplified Arabic"/>
          <w:sz w:val="24"/>
          <w:szCs w:val="24"/>
        </w:rPr>
        <w:t xml:space="preserve"> enforcement </w:t>
      </w:r>
      <w:r w:rsidRPr="005D59A7">
        <w:rPr>
          <w:rFonts w:ascii="T" w:hAnsi="T" w:cs="Simplified Arabic"/>
          <w:sz w:val="24"/>
          <w:szCs w:val="24"/>
          <w:rtl/>
        </w:rPr>
        <w:t>الحكومي</w:t>
      </w:r>
      <w:r w:rsidRPr="005D59A7">
        <w:rPr>
          <w:rFonts w:ascii="T" w:hAnsi="T" w:cs="Simplified Arabic"/>
          <w:sz w:val="24"/>
          <w:szCs w:val="24"/>
        </w:rPr>
        <w:t xml:space="preserve">). </w:t>
      </w:r>
      <w:r w:rsidRPr="005D59A7">
        <w:rPr>
          <w:rFonts w:ascii="T" w:hAnsi="T" w:cs="Simplified Arabic"/>
          <w:sz w:val="24"/>
          <w:szCs w:val="24"/>
          <w:rtl/>
        </w:rPr>
        <w:t>أوصى الباحثون بضرورة تعزيز آليات الحوكمة الداخلية كأولوية لتحسين أداء</w:t>
      </w:r>
      <w:r w:rsidRPr="005D59A7">
        <w:rPr>
          <w:rFonts w:ascii="T" w:hAnsi="T" w:cs="Simplified Arabic"/>
          <w:sz w:val="24"/>
          <w:szCs w:val="24"/>
        </w:rPr>
        <w:t xml:space="preserve"> ESG</w:t>
      </w:r>
      <w:r w:rsidRPr="005D59A7">
        <w:rPr>
          <w:rFonts w:ascii="T" w:hAnsi="T" w:cs="Simplified Arabic"/>
          <w:sz w:val="24"/>
          <w:szCs w:val="24"/>
          <w:rtl/>
        </w:rPr>
        <w:t>، وليس الاعتماد فقط على الضغوط الخارجية أو المبادرات التطوعية</w:t>
      </w:r>
      <w:r w:rsidRPr="005D59A7">
        <w:rPr>
          <w:rFonts w:ascii="T" w:hAnsi="T" w:cs="Simplified Arabic"/>
          <w:sz w:val="24"/>
          <w:szCs w:val="24"/>
        </w:rPr>
        <w:t>.</w:t>
      </w:r>
    </w:p>
    <w:p w14:paraId="4E8A6A04"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حول الحوكمة كآلية لضبط جودة الخدمات</w:t>
      </w:r>
    </w:p>
    <w:p w14:paraId="2F11F080"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تعتبر الحوكمة آلية أساسية لضبط جودة الخدمات، خاصة في قطاعات الخدمات العامة التي تفتقر إلى آليات السوق التقليدية (المنافسة، اختيار المستهلك). فمن خلال وضع معايير واضحة، وآليات رقابة فعالة، ومساءلة صارمة، تساهم الحوكمة في تحسين جودة الخدمات وضمان اتساقها واستدامتها</w:t>
      </w:r>
      <w:r w:rsidRPr="005D59A7">
        <w:rPr>
          <w:rFonts w:ascii="T" w:hAnsi="T" w:cs="Simplified Arabic"/>
          <w:sz w:val="24"/>
          <w:szCs w:val="24"/>
        </w:rPr>
        <w:t>.</w:t>
      </w:r>
    </w:p>
    <w:p w14:paraId="7658E64F" w14:textId="409AAA51"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حلل عبد الرزاق (2025) إعادة ابتكار نماذج تقييم الأداء في المؤسسات العامة، مع التركيز على استراتيجيات مبتكرة لتعزيز الفاعلية المؤسسية من خلال الحوكمة والإدارة الحديثة. اعتمدوا على منهجية مراجعة الأدبيات وتحليل نماذج تقييم الأداء المستخدمة في مؤسسات عامة في عدة دول عربية. توصلوا إلى أن نماذج تقييم الأداء التقليدية (التي تركز على المدخلات والعمليات) غير كافية لقياس الفاعلية المؤسسية في ظل التحولات السريعة في البيئة الخارجية. أشار الباحثون إلى أن الحوكمة تساهم في ضبط جودة الخدمات من خلال: وضع معايير جودة واضحة وقابلة للقياس، وإنشاء آليات رقابة داخلية وخارجية لمراقبة الالتزام بهذه المعايير، وربط نتائج تقييم الأداء بالمكافآت والعقوبات، وإشراك المستفيدين من الخدمات في تقييم الجودة. كما أشاروا إلى أن تطبيق مبادئ الحوكمة الجيدة (الشفافية، المساءلة، المشاركة) يؤدي إلى تحسين جودة الخدمات بنسبة تتراوح بين 20-30% حسب الدراسات الميدانية. أوصى الباحثون بضرورة تبني نماذج تقييم أداء متطورة تجمع بين المقاييس الكمية (مؤشرات الأداء) والنوعية (رضا المستفيدين)، مع التركيز على النتائج وليس فقط على العمليات</w:t>
      </w:r>
      <w:r w:rsidRPr="005D59A7">
        <w:rPr>
          <w:rFonts w:ascii="T" w:hAnsi="T" w:cs="Simplified Arabic"/>
          <w:sz w:val="24"/>
          <w:szCs w:val="24"/>
        </w:rPr>
        <w:t>.</w:t>
      </w:r>
    </w:p>
    <w:p w14:paraId="50B3B150" w14:textId="590DAAA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بحث سعد (2025) في أثر تطبيق مبادئ الحوكمة في تحسين الأداء الوظيفي للعاملين في المنظمات، مع التركيز على الدور الوسيط لأنماط القيادة. اعتمدوا على منهجية كمية، حيث قاموا بتوزيع استبيانات على 350 موظفاً في منظمات عامة وخاصة،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أن تطبيق مبادئ الحوكمة (الشفافية، المساءلة، العدالة، المشاركة) يؤثر إيجاباً على الأداء الوظيفي للعاملين، وهذا التأثير يتم بشكل مباشر وغير مباشر عبر أنماط القيادة. أشار الباحثون إلى أن أنماط القيادة التحويلية</w:t>
      </w:r>
      <w:r w:rsidRPr="005D59A7">
        <w:rPr>
          <w:rFonts w:ascii="T" w:hAnsi="T" w:cs="Simplified Arabic"/>
          <w:sz w:val="24"/>
          <w:szCs w:val="24"/>
        </w:rPr>
        <w:t xml:space="preserve"> (Transformational Leadership) </w:t>
      </w:r>
      <w:r w:rsidRPr="005D59A7">
        <w:rPr>
          <w:rFonts w:ascii="T" w:hAnsi="T" w:cs="Simplified Arabic"/>
          <w:sz w:val="24"/>
          <w:szCs w:val="24"/>
          <w:rtl/>
        </w:rPr>
        <w:t>تعزز من تأثير الحوكمة على الأداء الوظيفي، بينما أنماط القيادة التبادلية</w:t>
      </w:r>
      <w:r w:rsidRPr="005D59A7">
        <w:rPr>
          <w:rFonts w:ascii="T" w:hAnsi="T" w:cs="Simplified Arabic"/>
          <w:sz w:val="24"/>
          <w:szCs w:val="24"/>
        </w:rPr>
        <w:t xml:space="preserve"> (Transactional Leadership) </w:t>
      </w:r>
      <w:r w:rsidRPr="005D59A7">
        <w:rPr>
          <w:rFonts w:ascii="T" w:hAnsi="T" w:cs="Simplified Arabic"/>
          <w:sz w:val="24"/>
          <w:szCs w:val="24"/>
          <w:rtl/>
        </w:rPr>
        <w:t>تضعف هذا التأثير. كما وجدوا أن الشفافية في تقييم الأداء وربطه بالمكافآت كان العامل الأكثر تأثيراً على تحفيز العاملين وتحسين أدائهم. أوصى الباحثون بضرورة تبني أنماط قيادة تحويلية في المؤسسات التي تطبق مبادئ الحوكمة، مع التركيز على تمكين العاملين وإشراكهم في اتخاذ القرار، وليس فقط على الرقابة والمحاسبة</w:t>
      </w:r>
      <w:r w:rsidRPr="005D59A7">
        <w:rPr>
          <w:rFonts w:ascii="T" w:hAnsi="T" w:cs="Simplified Arabic"/>
          <w:sz w:val="24"/>
          <w:szCs w:val="24"/>
        </w:rPr>
        <w:t>.</w:t>
      </w:r>
    </w:p>
    <w:p w14:paraId="195AF821" w14:textId="74FE510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حلل </w:t>
      </w:r>
      <w:r w:rsidR="00CC7BCA" w:rsidRPr="005D59A7">
        <w:rPr>
          <w:rFonts w:ascii="T" w:hAnsi="T" w:cs="Simplified Arabic"/>
          <w:sz w:val="24"/>
          <w:szCs w:val="24"/>
          <w:rtl/>
        </w:rPr>
        <w:t>محضر،</w:t>
      </w:r>
      <w:r w:rsidRPr="005D59A7">
        <w:rPr>
          <w:rFonts w:ascii="T" w:hAnsi="T" w:cs="Simplified Arabic"/>
          <w:sz w:val="24"/>
          <w:szCs w:val="24"/>
          <w:rtl/>
        </w:rPr>
        <w:t xml:space="preserve"> اخرون (2024) أثر تطبيق الحوكمة على كفاءة الأداء المؤسسي في مستشفيات القطاع الحكومي. اعتمدوا على منهجية كمية، حيث قاموا بتوزيع استبيانات على 250 من القيادات الإدارية والطبية في 5 مستشفيات حكومية، واستخدموا تحليل الانحدار المتعدد لاختبار الفرضيات. توصلوا إلى أن تطبيق مبادئ الحوكمة (الشفافية في الإفصاح المالي والإداري، المساءلة عن النتائج، المشاركة في اتخاذ القرار، سيادة القانون واللوائح) يرتبط بشكل إيجابي بتحسين كفاءة الأداء المؤسسي (مقاسة بمعدلات الإشغال، متوسط فترة الإقامة، نسب العدوى، رضا المرضى). كما وجدوا أن المستشفيات التي طبقت الحوكمة بشكل أكثر صرامة حققت نتائج أفضل في مؤشرات الجودة والكفاءة. أشار الباحثون إلى أن الحوكمة تساهم في تحسين جودة الخدمات الصحية من خلال: تقليل الهدر والتكاليف غير الضرورية، وتحسين تخصيص الموارد، وتعزيز الامتثال لبروتوكولات العلاج، وزيادة رضا المرضى. أوصى الباحثون بضرورة تعميم تطبيق مبادئ الحوكمة في جميع مستشفيات القطاع الحكومي، مع تطوير مؤشرات أداء خاصة بجودة الخدمات الصحية، وإنشاء آليات مستقلة لرصد وتقييم الأداء بشكل دوري</w:t>
      </w:r>
      <w:r w:rsidRPr="005D59A7">
        <w:rPr>
          <w:rFonts w:ascii="T" w:hAnsi="T" w:cs="Simplified Arabic"/>
          <w:sz w:val="24"/>
          <w:szCs w:val="24"/>
        </w:rPr>
        <w:t>.</w:t>
      </w:r>
    </w:p>
    <w:p w14:paraId="3B5A0208" w14:textId="53D246F4" w:rsidR="00C57CC8" w:rsidRPr="005D59A7" w:rsidRDefault="00C57CC8" w:rsidP="00C476D6">
      <w:pPr>
        <w:pStyle w:val="Heading2"/>
        <w:bidi/>
        <w:rPr>
          <w:rFonts w:ascii="T" w:hAnsi="T" w:cs="Simplified Arabic"/>
          <w:color w:val="auto"/>
          <w:sz w:val="24"/>
          <w:szCs w:val="24"/>
          <w:rtl/>
        </w:rPr>
      </w:pPr>
      <w:bookmarkStart w:id="72" w:name="_Toc233202833"/>
      <w:r w:rsidRPr="005D59A7">
        <w:rPr>
          <w:rFonts w:ascii="T" w:hAnsi="T" w:cs="Simplified Arabic"/>
          <w:color w:val="auto"/>
          <w:sz w:val="24"/>
          <w:szCs w:val="24"/>
          <w:rtl/>
        </w:rPr>
        <w:t>المحور ا</w:t>
      </w:r>
      <w:r w:rsidR="00C476D6" w:rsidRPr="005D59A7">
        <w:rPr>
          <w:rFonts w:ascii="T" w:hAnsi="T" w:cs="Simplified Arabic"/>
          <w:color w:val="auto"/>
          <w:sz w:val="24"/>
          <w:szCs w:val="24"/>
          <w:rtl/>
        </w:rPr>
        <w:t>لخامس</w:t>
      </w:r>
      <w:r w:rsidRPr="005D59A7">
        <w:rPr>
          <w:rFonts w:ascii="T" w:hAnsi="T" w:cs="Simplified Arabic"/>
          <w:color w:val="auto"/>
          <w:sz w:val="24"/>
          <w:szCs w:val="24"/>
          <w:rtl/>
        </w:rPr>
        <w:t>: دراسات في السياق العربي والسعودي</w:t>
      </w:r>
      <w:bookmarkEnd w:id="72"/>
    </w:p>
    <w:p w14:paraId="4FB4F2D4"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تطبيق الشراكات بين القطاعين العام والخاص في السعودية</w:t>
      </w:r>
    </w:p>
    <w:p w14:paraId="6BD482A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شهدت المملكة العربية السعودية خلال السنوات الأخيرة تحولاً كبيراً في تبني نموذج الشراكات بين القطاعين العام والخاص، خاصة في قطاعات البنية التحتية والخدمات العامة والبيئة. تأتي هذه التطورات في إطار رؤية السعودية 2030 التي تهدف إلى تنويع الاقتصاد وتعزيز دور القطاع الخاص في التنمية</w:t>
      </w:r>
      <w:r w:rsidRPr="005D59A7">
        <w:rPr>
          <w:rFonts w:ascii="T" w:hAnsi="T" w:cs="Simplified Arabic"/>
          <w:sz w:val="24"/>
          <w:szCs w:val="24"/>
        </w:rPr>
        <w:t>.</w:t>
      </w:r>
    </w:p>
    <w:p w14:paraId="04E8BCC2" w14:textId="55A7FF55"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Jubair &amp; Singh (2022)</w:t>
      </w:r>
      <w:r w:rsidRPr="005D59A7">
        <w:rPr>
          <w:rFonts w:ascii="T" w:hAnsi="T" w:cs="Simplified Arabic"/>
          <w:sz w:val="24"/>
          <w:szCs w:val="24"/>
          <w:rtl/>
        </w:rPr>
        <w:t xml:space="preserve">إلى تحديد عوامل النجاح الحرجة لمشاريع الشراكة بين القطاعين العام والخاص في المملكة العربية السعودية. اعتمدوا على منهجية كمية، حيث قاموا بتوزيع استبيانات على 150 خبيراً وممارساً في مجال الشراكات في القطاعات المختلفة (النقل، المياه، الطاقة، البيئة). توصلوا إلى أن أهم عوامل النجاح الحرجة للشراكات في السياق السعودي تشمل: الاستقرار السياسي والدعم الحكومي القوي، ووضوح الإطار القانوني والتنظيمي، وتوفر الكوادر البشرية المؤهلة، والشفافية في عمليات الطرح والتعاقد، والتوزيع العادل للمخاطر بين الشركاء. أشار الباحثون إلى أن هذه العوامل تتفق إلى حد كبير مع الأدبيات العالمية، لكن هناك عوامل خاصة بالسياق السعودي مثل التوافق مع الشريعة الإسلامية ومراعاة البعد الثقافي في تصميم العقود وإدارة </w:t>
      </w:r>
      <w:r w:rsidRPr="005D59A7">
        <w:rPr>
          <w:rFonts w:ascii="T" w:hAnsi="T" w:cs="Simplified Arabic"/>
          <w:sz w:val="24"/>
          <w:szCs w:val="24"/>
          <w:rtl/>
        </w:rPr>
        <w:lastRenderedPageBreak/>
        <w:t>العلاقات مع الشركاء. أوصى الباحثون بضرورة بناء قدرات الكوادر الوطنية في مجال إدارة عقود الشراكة، وتطوير دليل وطني موحد لإجراءات الطرح والتعاقد، وإنشاء قاعدة بيانات وطنية لمشاريع الشراكة لتوثيق الدروس المستفادة</w:t>
      </w:r>
      <w:r w:rsidRPr="005D59A7">
        <w:rPr>
          <w:rFonts w:ascii="T" w:hAnsi="T" w:cs="Simplified Arabic"/>
          <w:sz w:val="24"/>
          <w:szCs w:val="24"/>
        </w:rPr>
        <w:t>.</w:t>
      </w:r>
    </w:p>
    <w:p w14:paraId="43932D4B" w14:textId="5B9C066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Hidalgo (2024)</w:t>
      </w:r>
      <w:r w:rsidRPr="005D59A7">
        <w:rPr>
          <w:rFonts w:ascii="T" w:hAnsi="T" w:cs="Simplified Arabic"/>
          <w:sz w:val="24"/>
          <w:szCs w:val="24"/>
          <w:rtl/>
        </w:rPr>
        <w:t xml:space="preserve"> تطوير البنية التحتية في المملكة العربية السعودية من خلال نظام الشراكة بين القطاعين العام والخاص في إطار رؤية 2030. اعتمد على منهجية دراسة الحالة، محللاً ثلاث مشاريع شراكة كبرى في قطاعات النقل والمياه والطاقة. توصل الباحث إلى أن مشاريع الشراكة في السعودية حققت نجاحاً ملحوظاً في تسريع وتيرة تطوير البنية التحتية وتحسين جودتها، لكنها واجهت تحديات تتعلق بطول فترة الإعداد والتفاوض (بسبب تعقيد الإجراءات)، وصعوبة التنبؤ بالطلب المستقبلي (خاصة في المشاريع الجديدة)، والحاجة إلى تطوير قدرات القطاع العام في إدارة العقود طويلة الأجل. أشار الباحث إلى أن الإطار المؤسسي للشراكات في السعودية تطور بشكل كبير مع إنشاء المركز الوطني للتخصيص</w:t>
      </w:r>
      <w:r w:rsidRPr="005D59A7">
        <w:rPr>
          <w:rFonts w:ascii="T" w:hAnsi="T" w:cs="Simplified Arabic"/>
          <w:sz w:val="24"/>
          <w:szCs w:val="24"/>
        </w:rPr>
        <w:t xml:space="preserve"> (NCP) </w:t>
      </w:r>
      <w:r w:rsidRPr="005D59A7">
        <w:rPr>
          <w:rFonts w:ascii="T" w:hAnsi="T" w:cs="Simplified Arabic"/>
          <w:sz w:val="24"/>
          <w:szCs w:val="24"/>
          <w:rtl/>
        </w:rPr>
        <w:t>كجهة مركزية للإشراف على مشاريع الشراكة، مما ساهم في توحيد الإجراءات وزيادة الشفافية. أوصى الباحث بضرورة تبسيط إجراءات الموافقة على مشاريع الشراكة، وتطوير نماذج عقود موحدة تسرع عملية الإعداد، وتعزيز التعاون بين المركز الوطني للتخصيص والجهات القطاعية لبناء قدراتها</w:t>
      </w:r>
      <w:r w:rsidRPr="005D59A7">
        <w:rPr>
          <w:rFonts w:ascii="T" w:hAnsi="T" w:cs="Simplified Arabic"/>
          <w:sz w:val="24"/>
          <w:szCs w:val="24"/>
        </w:rPr>
        <w:t>.</w:t>
      </w:r>
    </w:p>
    <w:p w14:paraId="70ABB5BB" w14:textId="3E634E8A"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السمات</w:t>
      </w:r>
      <w:proofErr w:type="gramEnd"/>
      <w:r w:rsidRPr="005D59A7">
        <w:rPr>
          <w:rFonts w:ascii="T" w:hAnsi="T" w:cs="Simplified Arabic"/>
          <w:sz w:val="24"/>
          <w:szCs w:val="24"/>
          <w:rtl/>
        </w:rPr>
        <w:t xml:space="preserve"> المحددة لتقليل الفجوة في البنية التحتية في المملكة العربية السعودية في إطار نظام الشراكة بين القطاعين العام والخاص. اعتمدوا على منهجية تحليل العوامل متعددة المعايير</w:t>
      </w:r>
      <w:r w:rsidRPr="005D59A7">
        <w:rPr>
          <w:rFonts w:ascii="T" w:hAnsi="T" w:cs="Simplified Arabic"/>
          <w:sz w:val="24"/>
          <w:szCs w:val="24"/>
        </w:rPr>
        <w:t xml:space="preserve"> (Multi-Criteria Analysis)</w:t>
      </w:r>
      <w:r w:rsidRPr="005D59A7">
        <w:rPr>
          <w:rFonts w:ascii="T" w:hAnsi="T" w:cs="Simplified Arabic"/>
          <w:sz w:val="24"/>
          <w:szCs w:val="24"/>
          <w:rtl/>
        </w:rPr>
        <w:t>، بالتعاون مع خبراء من القطاعين العام والخاص. توصلوا إلى أن السمات الأكثر تأثيراً في تقليل فجوة البنية التحتية تشمل: الاستقرار الاقتصادي والسياسي طويل الأجل، ووضوح الإطار القانوني والتنظيمي للشراكات، وتوفر خيارات تمويلية مناسبة (مثل صناديق البنية التحتية والتمويل الإسلامي)، والشفافية في تخصيص المخاطر بين الشركاء. أشار الباحثون إلى أن السعودية تتمتع بدرجة عالية من الاستقرار الاقتصادي والسياسي، وهو ما يشجع المستثمرين المحليين والدوليين على المشاركة في مشاريع الشراكة. كما أشاروا إلى أن تطوير سوق مالية متطورة وتوفر التمويل الإسلامي (الصكوك) يخلق بيئة جاذبة للاستثمار في مشاريع البنية التحتية. أوصى الباحثون بضرورة الاستمرار في تطوير الإطار القانوني والتنظيمي للشراكات، مع التركيز على توحيد العقود وتقليل التعقيد الإداري، وتوسيع نطاق استخدام أدوات التمويل الإسلامي في مشاريع الشراكة</w:t>
      </w:r>
      <w:r w:rsidRPr="005D59A7">
        <w:rPr>
          <w:rFonts w:ascii="T" w:hAnsi="T" w:cs="Simplified Arabic"/>
          <w:sz w:val="24"/>
          <w:szCs w:val="24"/>
        </w:rPr>
        <w:t>.</w:t>
      </w:r>
    </w:p>
    <w:p w14:paraId="5591B26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دراسات الحوكمة والتحول المؤسسي في القطاع الحكومي السعودي</w:t>
      </w:r>
    </w:p>
    <w:p w14:paraId="5175389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الحكومي السعودي تحولاً مؤسسياً كبيراً في ظل رؤية 2030، مع التركيز على تعزيز الحوكمة والشفافية والمساءلة، وتبني التقنيات الحديثة، وتطوير القيادة المؤسسية</w:t>
      </w:r>
      <w:r w:rsidRPr="005D59A7">
        <w:rPr>
          <w:rFonts w:ascii="T" w:hAnsi="T" w:cs="Simplified Arabic"/>
          <w:sz w:val="24"/>
          <w:szCs w:val="24"/>
        </w:rPr>
        <w:t>.</w:t>
      </w:r>
    </w:p>
    <w:p w14:paraId="50AFD169" w14:textId="6D84991B"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w:t>
      </w:r>
      <w:r w:rsidRPr="005D59A7">
        <w:rPr>
          <w:rFonts w:ascii="T" w:hAnsi="T" w:cs="Simplified Arabic"/>
          <w:sz w:val="24"/>
          <w:szCs w:val="24"/>
          <w:rtl/>
        </w:rPr>
        <w:t xml:space="preserve"> التفاعل بين إدارة المعرفة، والحوكمة الإلكترونية، وكفاءة أداء الأعمال في مؤسسات القطاع العام السعودي. اعتمدوا على منهجية كمية، حيث قاموا بتوزيع استبيانات على 300 موظف في 10 مؤسسات حكومية،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وجود علاقة إيجابية قوية بين إدارة المعرفة والحوكمة الإلكترونية وكفاءة الأداء، حيث أن تطبيق الحوكمة الإلكترونية يعزز من فعالية إدارة المعرفة، وكلاهما يساهم في تحسين كفاءة الأداء المؤسسي. أشار الباحثون إلى أن التحول الرقمي في القطاع العام السعودي (بما في ذلك منصات الخدمات الإلكترونية، وأنظمة إدارة الوثائق، وقواعد البيانات المتكاملة) أسهم في تحسين الشفافية وتقليل الفساد وتسريع الإجراءات. كما أشاروا إلى أن تحديات تطبيق الحوكمة الإلكترونية تشمل: مقاومة التغيير من بعض الموظفين، وعدم كفاية البنية التحتية التقنية، ومخاطر الأمن السيبراني. أوصى الباحثون بضرورة الاستثمار في تدريب الكوادر البشرية على استخدام أنظمة الحوكمة الإلكترونية، وتطوير سياسات واضحة لحماية البيانات والخصوصية، وتعزيز ثقافة المشاركة وتبادل المعرفة بين المؤسسات الحكومية</w:t>
      </w:r>
      <w:r w:rsidRPr="005D59A7">
        <w:rPr>
          <w:rFonts w:ascii="T" w:hAnsi="T" w:cs="Simplified Arabic"/>
          <w:sz w:val="24"/>
          <w:szCs w:val="24"/>
        </w:rPr>
        <w:t>.</w:t>
      </w:r>
    </w:p>
    <w:p w14:paraId="2E7A668B" w14:textId="0F8CCA3F"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w:t>
      </w:r>
      <w:proofErr w:type="spellStart"/>
      <w:r w:rsidRPr="005D59A7">
        <w:rPr>
          <w:rFonts w:ascii="T" w:hAnsi="T" w:cs="Simplified Arabic"/>
          <w:sz w:val="24"/>
          <w:szCs w:val="24"/>
        </w:rPr>
        <w:t>Bendary</w:t>
      </w:r>
      <w:proofErr w:type="spellEnd"/>
      <w:r w:rsidRPr="005D59A7">
        <w:rPr>
          <w:rFonts w:ascii="T" w:hAnsi="T" w:cs="Simplified Arabic"/>
          <w:sz w:val="24"/>
          <w:szCs w:val="24"/>
        </w:rPr>
        <w:t xml:space="preserve"> &amp; Rajadurai (2024)</w:t>
      </w:r>
      <w:r w:rsidRPr="005D59A7">
        <w:rPr>
          <w:rFonts w:ascii="T" w:hAnsi="T" w:cs="Simplified Arabic"/>
          <w:sz w:val="24"/>
          <w:szCs w:val="24"/>
          <w:rtl/>
        </w:rPr>
        <w:t xml:space="preserve">تبني التقنيات الناشئة والابتكار العام في القطاع العام السعودي، مع التركيز على تحديات التبني في ظل رؤية 2030. اعتمدوا على منهجية نوعية، حيث أجروا مقابلات معمقة مع 25 من صانعي القرار والخبراء في مجال التحول الرقمي في القطاع العام. توصلوا إلى أن التقنيات الناشئة (مثل الذكاء الاصطناعي، وإنترنت الأشياء، وسلسلة الكتل، وتحليل البيانات الضخمة) توفر فرصاً كبيرة لتحسين الحوكمة وزيادة الكفاءة في القطاع العام، لكن تبنيها يواجه تحديات تتعلق بالاستثمار المالي الكبير المطلوب، وندرة الكوادر البشرية المؤهلة، وعدم نضج الأطر التنظيمية لاستخدام هذه التقنيات. أشار الباحثون إلى أن السعودية قطعت خطوات كبيرة في تبني الابتكار العام، من خلال مبادرات مثل منصة "تطويرة" للحلول الابتكارية، وبرامج التسريع الحكومية، والشراكات مع شركات التقنية العالمية. كما أشاروا إلى أن تطبيق الذكاء الاصطناعي في تحليل البيانات وتحسين اتخاذ القرار يعد من أبرز مجالات الابتكار الواعدة في القطاع العام. </w:t>
      </w:r>
      <w:r w:rsidRPr="005D59A7">
        <w:rPr>
          <w:rFonts w:ascii="T" w:hAnsi="T" w:cs="Simplified Arabic"/>
          <w:sz w:val="24"/>
          <w:szCs w:val="24"/>
          <w:rtl/>
        </w:rPr>
        <w:lastRenderedPageBreak/>
        <w:t>أوصى الباحثون بضرورة تطوير استراتيجية وطنية لتبني التقنيات الناشئة في القطاع العام، مع التركيز على بناء القدرات البشرية وتطوير الأطر التنظيمية والحوكمة الرقمية</w:t>
      </w:r>
      <w:r w:rsidRPr="005D59A7">
        <w:rPr>
          <w:rFonts w:ascii="T" w:hAnsi="T" w:cs="Simplified Arabic"/>
          <w:sz w:val="24"/>
          <w:szCs w:val="24"/>
        </w:rPr>
        <w:t>.</w:t>
      </w:r>
    </w:p>
    <w:p w14:paraId="499BA151" w14:textId="78A76BBD"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Bodrick ,et al. (</w:t>
      </w:r>
      <w:proofErr w:type="gramStart"/>
      <w:r w:rsidRPr="005D59A7">
        <w:rPr>
          <w:rFonts w:ascii="T" w:hAnsi="T" w:cs="Simplified Arabic"/>
          <w:sz w:val="24"/>
          <w:szCs w:val="24"/>
        </w:rPr>
        <w:t>2025)</w:t>
      </w:r>
      <w:r w:rsidRPr="005D59A7">
        <w:rPr>
          <w:rFonts w:ascii="T" w:hAnsi="T" w:cs="Simplified Arabic"/>
          <w:sz w:val="24"/>
          <w:szCs w:val="24"/>
          <w:rtl/>
        </w:rPr>
        <w:t>الديناميكية</w:t>
      </w:r>
      <w:proofErr w:type="gramEnd"/>
      <w:r w:rsidRPr="005D59A7">
        <w:rPr>
          <w:rFonts w:ascii="T" w:hAnsi="T" w:cs="Simplified Arabic"/>
          <w:sz w:val="24"/>
          <w:szCs w:val="24"/>
          <w:rtl/>
        </w:rPr>
        <w:t xml:space="preserve"> السياقية للقيادة التنظيمية في السعودية، مع التركيز على ما هو قادم بعد التغيير والتحول والانتقال. اعتمدوا على منهجية نوعية، حيث أجروا مقابلات معمقة مع 40 من القيادات التنفيذية في مؤسسات القطاعين العام والخاص، إلى جانب تحليل وثائقي لتقارير التحول المؤسسي. توصلوا إلى أن القيادة في السياق السعودي تمر بمرحلة تحول عميقة، تتطلب تجاوز النماذج القيادية التقليدية نحو نماذج أكثر مرونة وتشاركية وقدرة على التكيف مع التغيرات السريعة. أشار الباحثون إلى أن نجاح التحول المؤسسي في ظل رؤية 2030 يعتمد بشكل كبير على قدرة القيادات على التعامل مع تعقيدات التغيير، وإشراك جميع المستويات في عملية التحول، وبناء ثقافة مؤسسية داعمة للابتكار والتجريب. كما أشاروا إلى أن تحديات القيادة في السياق السعودي تشمل: الحاجة إلى تحقيق توازن بين الحفاظ على القيم الثقافية والانفتاح على الممارسات العالمية، وتطوير مسارات واعدة للقيادات الشابة، وبناء القدرات القيادية على إدارة الشراكات مع القطاع الخاص. أوصى الباحثون بضرورة الاستثمار في برامج تطوير القيادات الواعدة، وتبني نماذج قيادة موزعة</w:t>
      </w:r>
      <w:r w:rsidRPr="005D59A7">
        <w:rPr>
          <w:rFonts w:ascii="T" w:hAnsi="T" w:cs="Simplified Arabic"/>
          <w:sz w:val="24"/>
          <w:szCs w:val="24"/>
        </w:rPr>
        <w:t xml:space="preserve"> (Distributed Leadership) </w:t>
      </w:r>
      <w:r w:rsidRPr="005D59A7">
        <w:rPr>
          <w:rFonts w:ascii="T" w:hAnsi="T" w:cs="Simplified Arabic"/>
          <w:sz w:val="24"/>
          <w:szCs w:val="24"/>
          <w:rtl/>
        </w:rPr>
        <w:t>تشرك جميع المستويات في صنع القرار، وتطوير آليات لتقييم أداء القيادات وربطه بنتائج التحول المؤسسي</w:t>
      </w:r>
      <w:r w:rsidRPr="005D59A7">
        <w:rPr>
          <w:rFonts w:ascii="T" w:hAnsi="T" w:cs="Simplified Arabic"/>
          <w:sz w:val="24"/>
          <w:szCs w:val="24"/>
        </w:rPr>
        <w:t>.</w:t>
      </w:r>
    </w:p>
    <w:p w14:paraId="78995671"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التحول المؤسسي في القطاع البيئي السعودي</w:t>
      </w:r>
    </w:p>
    <w:p w14:paraId="2D9622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البيئي السعودي تحولاً مؤسسياً كبيراً في السنوات الأخيرة، تمثل في إعادة الهيكلة، وإنشاء مراكز بيئية متخصصة، وإطلاق الإستراتيجية الوطنية للبيئة، وتعزيز الشراكات مع القطاع الخاص</w:t>
      </w:r>
      <w:r w:rsidRPr="005D59A7">
        <w:rPr>
          <w:rFonts w:ascii="T" w:hAnsi="T" w:cs="Simplified Arabic"/>
          <w:sz w:val="24"/>
          <w:szCs w:val="24"/>
        </w:rPr>
        <w:t>.</w:t>
      </w:r>
    </w:p>
    <w:p w14:paraId="5319F519" w14:textId="01EA6A5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proofErr w:type="spellStart"/>
      <w:r w:rsidRPr="005D59A7">
        <w:rPr>
          <w:rFonts w:ascii="T" w:hAnsi="T" w:cs="Simplified Arabic"/>
          <w:sz w:val="24"/>
          <w:szCs w:val="24"/>
        </w:rPr>
        <w:t>Elkebti</w:t>
      </w:r>
      <w:proofErr w:type="spellEnd"/>
      <w:r w:rsidRPr="005D59A7">
        <w:rPr>
          <w:rFonts w:ascii="T" w:hAnsi="T" w:cs="Simplified Arabic"/>
          <w:sz w:val="24"/>
          <w:szCs w:val="24"/>
        </w:rPr>
        <w:t xml:space="preserve"> &amp; Khalifa (2025)</w:t>
      </w:r>
      <w:r w:rsidRPr="005D59A7">
        <w:rPr>
          <w:rFonts w:ascii="T" w:hAnsi="T" w:cs="Simplified Arabic"/>
          <w:sz w:val="24"/>
          <w:szCs w:val="24"/>
          <w:rtl/>
        </w:rPr>
        <w:t xml:space="preserve"> المبادرات الخضراء السعودية والشرق أوسطية، مع التركيز على دور الحوكمة البيئية، والتحول في مجال الطاقة المتجددة، والابتكار في تحقيق مستقبل أخضر إقليمي. اعتمدوا على منهجية تحليل البيانات الثانوية، حيث قاموا بتحليل تقارير دولية ووطنية حول أداء الدول في المؤشرات البيئية، ومبادرات الطاقة المتجددة، والابتكار الأخضر. توصلوا إلى أن المبادرة السعودية الخضراء</w:t>
      </w:r>
      <w:r w:rsidRPr="005D59A7">
        <w:rPr>
          <w:rFonts w:ascii="T" w:hAnsi="T" w:cs="Simplified Arabic"/>
          <w:sz w:val="24"/>
          <w:szCs w:val="24"/>
        </w:rPr>
        <w:t xml:space="preserve"> (SGI) </w:t>
      </w:r>
      <w:r w:rsidRPr="005D59A7">
        <w:rPr>
          <w:rFonts w:ascii="T" w:hAnsi="T" w:cs="Simplified Arabic"/>
          <w:sz w:val="24"/>
          <w:szCs w:val="24"/>
          <w:rtl/>
        </w:rPr>
        <w:t>ومبادرة الشرق الأوسط الأخضر</w:t>
      </w:r>
      <w:r w:rsidRPr="005D59A7">
        <w:rPr>
          <w:rFonts w:ascii="T" w:hAnsi="T" w:cs="Simplified Arabic"/>
          <w:sz w:val="24"/>
          <w:szCs w:val="24"/>
        </w:rPr>
        <w:t xml:space="preserve"> (MGI) </w:t>
      </w:r>
      <w:r w:rsidRPr="005D59A7">
        <w:rPr>
          <w:rFonts w:ascii="T" w:hAnsi="T" w:cs="Simplified Arabic"/>
          <w:sz w:val="24"/>
          <w:szCs w:val="24"/>
          <w:rtl/>
        </w:rPr>
        <w:t xml:space="preserve">تمثلان نقلة نوعية في الالتزام الإقليمي بالعمل البيئي، حيث تستهدفان خفض الانبعاثات، </w:t>
      </w:r>
      <w:r w:rsidRPr="005D59A7">
        <w:rPr>
          <w:rFonts w:ascii="T" w:hAnsi="T" w:cs="Simplified Arabic"/>
          <w:sz w:val="24"/>
          <w:szCs w:val="24"/>
          <w:rtl/>
        </w:rPr>
        <w:lastRenderedPageBreak/>
        <w:t>وزيادة الغطاء النباتي، وحماية الحياة الفطرية. أشار الباحثون إلى أن نجاح هذه المبادرات يعتمد بشكل كبير على تعزيز الحوكمة البيئية (بما يشمل الشفافية والمساءلة والمشاركة)، وتسريع التحول نحو الطاقة المتجددة، ودعم الابتكار في التقنيات الخضراء. كما أشاروا إلى أن المملكة قطعت خطوات كبيرة في مجال الطاقة المتجددة، من خلال مشاريع مثل سدير والسكة، والاستثمار في الهيدروجين الأخضر. أوصى الباحثون بضرورة تعزيز التعاون الإقليمي في مجال الحوكمة البيئية، وتبادل الخبرات في مجال الابتكار الأخضر، وتطوير آليات تمويل مبتكرة لدعم مشاريع الطاقة المتجددة والتكيف مع تغير المناخ</w:t>
      </w:r>
      <w:r w:rsidRPr="005D59A7">
        <w:rPr>
          <w:rFonts w:ascii="T" w:hAnsi="T" w:cs="Simplified Arabic"/>
          <w:sz w:val="24"/>
          <w:szCs w:val="24"/>
        </w:rPr>
        <w:t>.</w:t>
      </w:r>
    </w:p>
    <w:p w14:paraId="37050B5E" w14:textId="727F1149"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w:t>
      </w:r>
      <w:r w:rsidRPr="005D59A7">
        <w:rPr>
          <w:rFonts w:ascii="T" w:hAnsi="T" w:cs="Simplified Arabic"/>
          <w:sz w:val="24"/>
          <w:szCs w:val="24"/>
          <w:rtl/>
        </w:rPr>
        <w:t xml:space="preserve"> في المحفزات المؤسسية للمحاسبة البيئية واستجابات المنظمات في السياق السعودي. اعتمدوا على منهجية كمية، حيث قاموا بتوزيع استبيانات على 200 من المديرين الماليين والبيئيين في الشركات السعودية الكبرى. توصلوا إلى أن المحفزات المؤسسية للمحاسبة البيئية تشمل: الضغوط التنظيمية (قوانين وأنظمة بيئية أكثر صرامة)، والضغوط الاجتماعية (توقعات المجتمع والرأي العام)، والضغوط الاقتصادية (حوافز السوق وتكاليف الالتزام)، والضغوط المؤسسية الداخلية (التزام القيادة وثقافة المنظمة). أشار الباحثون إلى أن استجابات المنظمات لهذه المحفزات تتنوع بين الامتثال الأدنى (اتباع الحد الأدنى من المتطلبات القانونية)، والاستباقية (تجاوز المتطلبات القانونية طوعاً)، والريادة (دمج الاعتبارات البيئية في الاستراتيجية الأساسية للشركة). كما وجدوا أن الشركات التي تتبنى استجابات استباقية تحقق أداءً بيئياً ومالياً أفضل. أوصى الباحثون بضرورة تعزيز الأطر التنظيمية للمحاسبة البيئية والإفصاح عنها، وتطوير حوافز للشركات التي تتبنى ممارسات بيئية استباقية، وبناء قدرات المديرين الماليين والبيئيين في مجال المحاسبة البيئية</w:t>
      </w:r>
      <w:r w:rsidRPr="005D59A7">
        <w:rPr>
          <w:rFonts w:ascii="T" w:hAnsi="T" w:cs="Simplified Arabic"/>
          <w:sz w:val="24"/>
          <w:szCs w:val="24"/>
        </w:rPr>
        <w:t>.</w:t>
      </w:r>
    </w:p>
    <w:p w14:paraId="7D253087" w14:textId="271B1F48" w:rsidR="003C54ED"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Pr="005D59A7">
        <w:rPr>
          <w:rFonts w:ascii="T" w:hAnsi="T" w:cs="Simplified Arabic"/>
          <w:sz w:val="24"/>
          <w:szCs w:val="24"/>
        </w:rPr>
        <w:t xml:space="preserve"> </w:t>
      </w:r>
      <w:proofErr w:type="spellStart"/>
      <w:r w:rsidRPr="005D59A7">
        <w:rPr>
          <w:rFonts w:ascii="T" w:hAnsi="T" w:cs="Simplified Arabic"/>
          <w:sz w:val="24"/>
          <w:szCs w:val="24"/>
        </w:rPr>
        <w:t>Alhosani</w:t>
      </w:r>
      <w:proofErr w:type="spellEnd"/>
      <w:r w:rsidRPr="005D59A7">
        <w:rPr>
          <w:rFonts w:ascii="T" w:hAnsi="T" w:cs="Simplified Arabic"/>
          <w:sz w:val="24"/>
          <w:szCs w:val="24"/>
        </w:rPr>
        <w:t xml:space="preserve"> (2025) </w:t>
      </w:r>
      <w:r w:rsidRPr="005D59A7">
        <w:rPr>
          <w:rFonts w:ascii="T" w:hAnsi="T" w:cs="Simplified Arabic"/>
          <w:sz w:val="24"/>
          <w:szCs w:val="24"/>
          <w:rtl/>
        </w:rPr>
        <w:t xml:space="preserve">على الاستفادة من الشراكات بين القطاعين العام والخاص لتعزيز الاقتصاد الدائري، من خلال دراسة حالة في إمارة عجمان. اعتمد على منهجية دراسة الحالة، حيث حلل تجربة إمارة عجمان في تطبيق الشراكات مع القطاع الخاص لإدارة النفايات الصناعية وتحقيق الاستدامة الاقتصادية. توصل الباحث إلى أن تطبيق نموذج الشراكة مع القطاع الخاص ساهم بشكل كبير في تحسين إدارة النفايات الصناعية، وزيادة نسب إعادة التدوير، وتقليل النفايات المرسلة إلى المطامر. أشار الباحث إلى أن عوامل نجاح هذه الشراكات تشمل: الإرادة السياسية القوية، والإطار القانوني الواضح، والشفافية في عمليات الطرح والتعاقد، وتوزيع المخاطر بشكل عادل بين الشركاء، وإشراك القطاع الخاص في تصميم الحلول المبتكرة. كما أشار إلى أن تطبيق مبادئ الاقتصاد </w:t>
      </w:r>
      <w:r w:rsidRPr="005D59A7">
        <w:rPr>
          <w:rFonts w:ascii="T" w:hAnsi="T" w:cs="Simplified Arabic"/>
          <w:sz w:val="24"/>
          <w:szCs w:val="24"/>
          <w:rtl/>
        </w:rPr>
        <w:lastRenderedPageBreak/>
        <w:t>الدائري من خلال الشراكات يحقق فوائد اقتصادية (توفير التكاليف، خلق فرص عمل، جذب استثمارات) وبيئية (تقليل التلوث، الحفاظ على الموارد) واجتماعية (تحسين جودة الحياة، رفع الوعي البيئي). أوصى الباحث بضرورة تعميم تجربة عجمان على مستوى الإمارات الأخرى ودول المنطقة، مع التركيز على تطوير أطر حوكمة مناسبة للاقتصاد الدائري، وتحفيز القطاع الخاص على الاستثمار في مشاريع إعادة التدوير والتدوير</w:t>
      </w:r>
      <w:r w:rsidRPr="005D59A7">
        <w:rPr>
          <w:rFonts w:ascii="T" w:hAnsi="T" w:cs="Simplified Arabic"/>
          <w:sz w:val="24"/>
          <w:szCs w:val="24"/>
        </w:rPr>
        <w:t>.</w:t>
      </w:r>
    </w:p>
    <w:p w14:paraId="3EB3576F" w14:textId="77777777" w:rsidR="00F1481D" w:rsidRPr="005D59A7" w:rsidRDefault="00F1481D" w:rsidP="00F1481D">
      <w:pPr>
        <w:bidi/>
        <w:spacing w:line="360" w:lineRule="auto"/>
        <w:ind w:firstLine="720"/>
        <w:jc w:val="both"/>
        <w:rPr>
          <w:rFonts w:ascii="T" w:hAnsi="T" w:cs="Simplified Arabic"/>
          <w:sz w:val="24"/>
          <w:szCs w:val="24"/>
          <w:rtl/>
        </w:rPr>
      </w:pPr>
    </w:p>
    <w:p w14:paraId="17954E9E" w14:textId="77777777" w:rsidR="003C54ED" w:rsidRPr="00F4693E"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البحثية للدراسة</w:t>
      </w:r>
    </w:p>
    <w:p w14:paraId="4F47579B"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البحثية في وجود تباين واضح بين التطور المؤسسي والسياسي الكبير الذي يشهده قطاع البيئة في المملكة العربية السعودية - خاصة في مجال التفتيش البيئي - وبين محدودية المعرفة العلمية والتطبيقية حول آليات تصميم وتنفيذ الشراكات بين القطاعين العام والخاص في هذا القطاع الحيوي. فبينما شهدت السنوات الأخيرة إصلاحات هيكلية جذرية تمثلت في إعادة هيكلة القطاع البيئي، وإنشاء المراكز الوطنية المتخصصة، وإطلاق الإستراتيجية الوطنية للبيئة، وطرح أول مشاريع الشراكة في التفتيش البيئي، نجد أن الأدبيات الأكاديمية والدراسات السابقة لم تواكب هذه التطورات، ولم تقدم نماذج متكاملة يمكن أن توجه عملية التحول من نموذج التوريد التقليدي إلى نموذج الشراكة القائم على الأداء</w:t>
      </w:r>
      <w:r w:rsidRPr="005D59A7">
        <w:rPr>
          <w:rFonts w:ascii="T" w:hAnsi="T" w:cs="Simplified Arabic"/>
          <w:sz w:val="24"/>
          <w:szCs w:val="24"/>
        </w:rPr>
        <w:t>.</w:t>
      </w:r>
    </w:p>
    <w:p w14:paraId="263BACC7" w14:textId="77777777" w:rsidR="003C54ED" w:rsidRPr="00693289" w:rsidRDefault="003C54ED"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يمكن تفصيل هذه الفجوة البحثية عبر أربعة مستويات مترابطة: الفجوة النظرية، الفجوة المنهجية، الفجوة التطبيقية، والفجوة السياقية</w:t>
      </w:r>
      <w:r w:rsidRPr="00693289">
        <w:rPr>
          <w:rFonts w:ascii="T" w:hAnsi="T" w:cs="Simplified Arabic"/>
          <w:sz w:val="24"/>
          <w:szCs w:val="24"/>
        </w:rPr>
        <w:t>.</w:t>
      </w:r>
    </w:p>
    <w:p w14:paraId="358EB66C" w14:textId="36098D6E"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النظرية</w:t>
      </w:r>
    </w:p>
    <w:p w14:paraId="3EF9194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الأدبيات الحالية من غياب إطار نظري متكامل يفسر كيفية تحقيق التوازن بين الكفاءة الاقتصادية والحياد التنظيمي والشفافية والمساءلة في خدمات التفتيش البيئي عند تطبيق نموذج الشراكة بين القطاعين العام والخاص</w:t>
      </w:r>
      <w:r w:rsidRPr="005D59A7">
        <w:rPr>
          <w:rFonts w:ascii="T" w:hAnsi="T" w:cs="Simplified Arabic"/>
          <w:sz w:val="24"/>
          <w:szCs w:val="24"/>
        </w:rPr>
        <w:t>.</w:t>
      </w:r>
    </w:p>
    <w:p w14:paraId="7CDE25E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على الرغم من أن نظريتي الوكالة وتكاليف المعاملات تقدم أدوات تحليلية قوية لفهم العلاقات التعاقدية وتصميم آليات الحوافز، إلا أن تطبيقهما على الخدمات الرقابية عالية الحساسية</w:t>
      </w:r>
      <w:r w:rsidRPr="005D59A7">
        <w:rPr>
          <w:rFonts w:ascii="T" w:hAnsi="T" w:cs="Simplified Arabic"/>
          <w:sz w:val="24"/>
          <w:szCs w:val="24"/>
        </w:rPr>
        <w:t xml:space="preserve"> (High-Sensitivity </w:t>
      </w:r>
      <w:r w:rsidRPr="005D59A7">
        <w:rPr>
          <w:rFonts w:ascii="T" w:hAnsi="T" w:cs="Simplified Arabic"/>
          <w:sz w:val="24"/>
          <w:szCs w:val="24"/>
        </w:rPr>
        <w:lastRenderedPageBreak/>
        <w:t xml:space="preserve">Regulatory Services) </w:t>
      </w:r>
      <w:r w:rsidRPr="005D59A7">
        <w:rPr>
          <w:rFonts w:ascii="T" w:hAnsi="T" w:cs="Simplified Arabic"/>
          <w:sz w:val="24"/>
          <w:szCs w:val="24"/>
          <w:rtl/>
        </w:rPr>
        <w:t>مثل التفتيش البيئي لا يزال محدوداً. فمعظم الدراسات التي تناولت الشراكات في قطاع البيئة ركزت على مشاريع البنية التحتية البيئية (مثل محطات معالجة المياه، ومحطات الطاقة المتجددة، وإدارة النفايات)، وهي مشاريع تختلف اختلافاً جوهرياً عن خدمات التفتيش البيئي التي تتطلب موازنة دقيقة بين الكفاءة التشغيلية والحفاظ على سلطة اتخاذ القرارات التنظيمية في يد الجهات الحكومية</w:t>
      </w:r>
      <w:r w:rsidRPr="005D59A7">
        <w:rPr>
          <w:rFonts w:ascii="T" w:hAnsi="T" w:cs="Simplified Arabic"/>
          <w:sz w:val="24"/>
          <w:szCs w:val="24"/>
        </w:rPr>
        <w:t>.</w:t>
      </w:r>
    </w:p>
    <w:p w14:paraId="38BDEE4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علاوة على ذلك، تشير الدراسات إلى أن العقود الطويلة الأجل في مشاريع الشراكة تواجه تحديات تتعلق بعدم اكتمال العقود</w:t>
      </w:r>
      <w:r w:rsidRPr="005D59A7">
        <w:rPr>
          <w:rFonts w:ascii="T" w:hAnsi="T" w:cs="Simplified Arabic"/>
          <w:sz w:val="24"/>
          <w:szCs w:val="24"/>
        </w:rPr>
        <w:t xml:space="preserve"> (Incomplete Contracts) </w:t>
      </w:r>
      <w:r w:rsidRPr="005D59A7">
        <w:rPr>
          <w:rFonts w:ascii="T" w:hAnsi="T" w:cs="Simplified Arabic"/>
          <w:sz w:val="24"/>
          <w:szCs w:val="24"/>
          <w:rtl/>
        </w:rPr>
        <w:t>والحاجة إلى آليات تكيف وتعديل خلال فترة العقد. وفي سياق التفتيش البيئي، حيث تتغير اللوائح البيئية باستمرار وتظهر أنواع جديدة من التلوث، تصبح الحاجة إلى أطر حوكمة مرنة وقادرة على التكيف أكثر إلحاحاً. غير أن الأدبيات الحالية لا تقدم نماذج واضحة لتصميم آليات التكيف هذه في عقود شراكة خدمات التفتيش البيئي</w:t>
      </w:r>
      <w:r w:rsidRPr="005D59A7">
        <w:rPr>
          <w:rFonts w:ascii="T" w:hAnsi="T" w:cs="Simplified Arabic"/>
          <w:sz w:val="24"/>
          <w:szCs w:val="24"/>
        </w:rPr>
        <w:t>.</w:t>
      </w:r>
    </w:p>
    <w:p w14:paraId="2D71C6A6"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أن هناك فجوة نظرية تتعلق بفهم العلاقة بين الحوكمة البيئية وإدارة الأداء في سياق الشراكات. فبينما أشارت دراسة</w:t>
      </w:r>
      <w:r w:rsidRPr="005D59A7">
        <w:rPr>
          <w:rFonts w:ascii="T" w:hAnsi="T" w:cs="Simplified Arabic"/>
          <w:sz w:val="24"/>
          <w:szCs w:val="24"/>
        </w:rPr>
        <w:t xml:space="preserve"> Waardenburg, </w:t>
      </w:r>
      <w:proofErr w:type="spellStart"/>
      <w:r w:rsidRPr="005D59A7">
        <w:rPr>
          <w:rFonts w:ascii="T" w:hAnsi="T" w:cs="Simplified Arabic"/>
          <w:sz w:val="24"/>
          <w:szCs w:val="24"/>
        </w:rPr>
        <w:t>Groenleer</w:t>
      </w:r>
      <w:proofErr w:type="spellEnd"/>
      <w:r w:rsidRPr="005D59A7">
        <w:rPr>
          <w:rFonts w:ascii="T" w:hAnsi="T" w:cs="Simplified Arabic"/>
          <w:sz w:val="24"/>
          <w:szCs w:val="24"/>
        </w:rPr>
        <w:t xml:space="preserve">, &amp; de Jong (2025) </w:t>
      </w:r>
      <w:r w:rsidRPr="005D59A7">
        <w:rPr>
          <w:rFonts w:ascii="T" w:hAnsi="T" w:cs="Simplified Arabic"/>
          <w:sz w:val="24"/>
          <w:szCs w:val="24"/>
          <w:rtl/>
        </w:rPr>
        <w:t>إلى تحديات قياس الأداء والمساءلة في الحوكمة التعاونية، ودراسة</w:t>
      </w:r>
      <w:r w:rsidRPr="005D59A7">
        <w:rPr>
          <w:rFonts w:ascii="T" w:hAnsi="T" w:cs="Simplified Arabic"/>
          <w:sz w:val="24"/>
          <w:szCs w:val="24"/>
        </w:rPr>
        <w:t xml:space="preserve"> Martiny et al. (2024) </w:t>
      </w:r>
      <w:r w:rsidRPr="005D59A7">
        <w:rPr>
          <w:rFonts w:ascii="T" w:hAnsi="T" w:cs="Simplified Arabic"/>
          <w:sz w:val="24"/>
          <w:szCs w:val="24"/>
          <w:rtl/>
        </w:rPr>
        <w:t>إلى محددات أداء</w:t>
      </w:r>
      <w:r w:rsidRPr="005D59A7">
        <w:rPr>
          <w:rFonts w:ascii="T" w:hAnsi="T" w:cs="Simplified Arabic"/>
          <w:sz w:val="24"/>
          <w:szCs w:val="24"/>
        </w:rPr>
        <w:t xml:space="preserve"> ESG</w:t>
      </w:r>
      <w:r w:rsidRPr="005D59A7">
        <w:rPr>
          <w:rFonts w:ascii="T" w:hAnsi="T" w:cs="Simplified Arabic"/>
          <w:sz w:val="24"/>
          <w:szCs w:val="24"/>
          <w:rtl/>
        </w:rPr>
        <w:t>، ودراسة</w:t>
      </w:r>
      <w:r w:rsidRPr="005D59A7">
        <w:rPr>
          <w:rFonts w:ascii="T" w:hAnsi="T" w:cs="Simplified Arabic"/>
          <w:sz w:val="24"/>
          <w:szCs w:val="24"/>
        </w:rPr>
        <w:t xml:space="preserve"> Biondi &amp; Russo (2022) </w:t>
      </w:r>
      <w:r w:rsidRPr="005D59A7">
        <w:rPr>
          <w:rFonts w:ascii="T" w:hAnsi="T" w:cs="Simplified Arabic"/>
          <w:sz w:val="24"/>
          <w:szCs w:val="24"/>
          <w:rtl/>
        </w:rPr>
        <w:t>إلى دمج التخطيط الاستراتيجي وإدارة الأداء، فإن هذه الدراسات لم تتناول بشكل خاص كيفية تصميم أنظمة إدارة أداء تناسب طبيعة خدمات التفتيش البيئي في إطار الشراكة مع القطاع الخاص</w:t>
      </w:r>
      <w:r w:rsidRPr="005D59A7">
        <w:rPr>
          <w:rFonts w:ascii="T" w:hAnsi="T" w:cs="Simplified Arabic"/>
          <w:sz w:val="24"/>
          <w:szCs w:val="24"/>
        </w:rPr>
        <w:t>.</w:t>
      </w:r>
    </w:p>
    <w:p w14:paraId="73DD9F0C" w14:textId="40EC5A16"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المنهجية</w:t>
      </w:r>
    </w:p>
    <w:p w14:paraId="182B93E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الدراسات السابقة من قيود منهجية واضحة تحد من قدرتها على تقديم إجابات قاطعة حول فعالية الشراكات في تحسين أداء خدمات التفتيش البيئي</w:t>
      </w:r>
      <w:r w:rsidRPr="005D59A7">
        <w:rPr>
          <w:rFonts w:ascii="T" w:hAnsi="T" w:cs="Simplified Arabic"/>
          <w:sz w:val="24"/>
          <w:szCs w:val="24"/>
        </w:rPr>
        <w:t>.</w:t>
      </w:r>
    </w:p>
    <w:p w14:paraId="63271E8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غلبة الدراسات النوعية والنظرية على حساب الدراسات الكمية. معظم الدراسات التي تناولت الشراكات في قطاع البيئة اعتمدت على منهجيات نوعية مثل دراسات الحالة والمقابلات، مما يجعل من الصعب تعميم نتائجها أو قياس حجم تأثير المتغيرات المختلفة على أداء الشراكة. كما أن ندرة الدراسات الكمية التي تستخدم نماذج إحصائية لاختبار الفرضيات تحول دون الوصول إلى استنتاجات قاطعة حول العلاقات السببية بين متغيرات الحوكمة وأداء الشراكات</w:t>
      </w:r>
      <w:r w:rsidRPr="005D59A7">
        <w:rPr>
          <w:rFonts w:ascii="T" w:hAnsi="T" w:cs="Simplified Arabic"/>
          <w:sz w:val="24"/>
          <w:szCs w:val="24"/>
        </w:rPr>
        <w:t>.</w:t>
      </w:r>
    </w:p>
    <w:p w14:paraId="1C4CCE1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غياب نماذج قياس أداء كمية خاصة بالتفتيش البيئي. في الوقت الذي تشير فيه دراسة</w:t>
      </w:r>
      <w:r w:rsidRPr="005D59A7">
        <w:rPr>
          <w:rFonts w:ascii="T" w:hAnsi="T" w:cs="Simplified Arabic"/>
          <w:sz w:val="24"/>
          <w:szCs w:val="24"/>
        </w:rPr>
        <w:t xml:space="preserve"> </w:t>
      </w:r>
      <w:proofErr w:type="spellStart"/>
      <w:r w:rsidRPr="005D59A7">
        <w:rPr>
          <w:rFonts w:ascii="T" w:hAnsi="T" w:cs="Simplified Arabic"/>
          <w:sz w:val="24"/>
          <w:szCs w:val="24"/>
        </w:rPr>
        <w:t>Alruwaili</w:t>
      </w:r>
      <w:proofErr w:type="spellEnd"/>
      <w:r w:rsidRPr="005D59A7">
        <w:rPr>
          <w:rFonts w:ascii="T" w:hAnsi="T" w:cs="Simplified Arabic"/>
          <w:sz w:val="24"/>
          <w:szCs w:val="24"/>
        </w:rPr>
        <w:t xml:space="preserve"> et al. (2024) </w:t>
      </w:r>
      <w:r w:rsidRPr="005D59A7">
        <w:rPr>
          <w:rFonts w:ascii="T" w:hAnsi="T" w:cs="Simplified Arabic"/>
          <w:sz w:val="24"/>
          <w:szCs w:val="24"/>
          <w:rtl/>
        </w:rPr>
        <w:t>إلى أهمية الحوكمة الإلكترونية وإدارة المعرفة في تحسين أداء القطاع العام، ودراسة</w:t>
      </w:r>
      <w:r w:rsidRPr="005D59A7">
        <w:rPr>
          <w:rFonts w:ascii="T" w:hAnsi="T" w:cs="Simplified Arabic"/>
          <w:sz w:val="24"/>
          <w:szCs w:val="24"/>
        </w:rPr>
        <w:t xml:space="preserve"> Yadav &amp; Prashar (2023) </w:t>
      </w:r>
      <w:r w:rsidRPr="005D59A7">
        <w:rPr>
          <w:rFonts w:ascii="T" w:hAnsi="T" w:cs="Simplified Arabic"/>
          <w:sz w:val="24"/>
          <w:szCs w:val="24"/>
          <w:rtl/>
        </w:rPr>
        <w:t>إلى تأثير تنوع مجلس الإدارة على أداء</w:t>
      </w:r>
      <w:r w:rsidRPr="005D59A7">
        <w:rPr>
          <w:rFonts w:ascii="T" w:hAnsi="T" w:cs="Simplified Arabic"/>
          <w:sz w:val="24"/>
          <w:szCs w:val="24"/>
        </w:rPr>
        <w:t xml:space="preserve"> ESG</w:t>
      </w:r>
      <w:r w:rsidRPr="005D59A7">
        <w:rPr>
          <w:rFonts w:ascii="T" w:hAnsi="T" w:cs="Simplified Arabic"/>
          <w:sz w:val="24"/>
          <w:szCs w:val="24"/>
          <w:rtl/>
        </w:rPr>
        <w:t>، فإن هذه الدراسات لم تقدم نماذج قياس كمية محددة لخدمة التفتيش البيئي، تشمل مؤشرات مثل التكلفة التشغيلية للزيارة التفتيشية، ونسبة المخالفات المرفوضة، ونسبة تغطية المنشآت، وزمن إغلاق المخالفات</w:t>
      </w:r>
      <w:r w:rsidRPr="005D59A7">
        <w:rPr>
          <w:rFonts w:ascii="T" w:hAnsi="T" w:cs="Simplified Arabic"/>
          <w:sz w:val="24"/>
          <w:szCs w:val="24"/>
        </w:rPr>
        <w:t>.</w:t>
      </w:r>
    </w:p>
    <w:p w14:paraId="7B2718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محدودية استخدام تحليل البيانات الثانوية الرسمية. رغم توفر بيانات كمية رسمية من المركز الوطني للرقابة على الالتزام البيئي عن أداء خدمة التفتيش البيئي خلال الفترة 2017-2019، إلا أن هذه البيانات لم تخضع لتحليل إحصائي معمق في الدراسات السابقة، مما يمثل فرصة بحثية ثمينة يمكن استغلالها في هذه الدراسة. تشمل هذه البيانات مؤشرات مالية (تكاليف المشروع، عوائد المخالفات، العجز)، ومؤشرات تشغيلية (عدد المفتشين، عدد الزيارات، عدد المنشآت، نسبة التغطية)، ومؤشرات جودة (نسبة المخالفات المرفوضة، المخالفات لكل زيارة)</w:t>
      </w:r>
      <w:r w:rsidRPr="005D59A7">
        <w:rPr>
          <w:rFonts w:ascii="T" w:hAnsi="T" w:cs="Simplified Arabic"/>
          <w:sz w:val="24"/>
          <w:szCs w:val="24"/>
        </w:rPr>
        <w:t>.</w:t>
      </w:r>
    </w:p>
    <w:p w14:paraId="332B516B" w14:textId="4648CF97"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التطبيقية</w:t>
      </w:r>
    </w:p>
    <w:p w14:paraId="1FDF441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رغم الإصلاحات المؤسسية الكبيرة التي شهدها قطاع البيئة السعودي، والتوجه الواضح نحو تعزيز الشراكات مع القطاع الخاص، إلا أن التطبيق الفعلي لنماذج الشراكة في خدمات التفتيش البيئي لا يزال محدوداً، مما يخلق فجوة بين النظرية والتطبيق وبين السياسات والتنفيذ</w:t>
      </w:r>
      <w:r w:rsidRPr="005D59A7">
        <w:rPr>
          <w:rFonts w:ascii="T" w:hAnsi="T" w:cs="Simplified Arabic"/>
          <w:sz w:val="24"/>
          <w:szCs w:val="24"/>
        </w:rPr>
        <w:t>.</w:t>
      </w:r>
    </w:p>
    <w:p w14:paraId="7C2B63B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محدودية التطبيق الميداني لنماذج الشراكة في قطاع البيئة السعودي. على الرغم من الإعلان عن أول مشروع تفتيش بيئي بنظام الشراكة بين القطاعين العام والخاص في عام 2025، والذي يستهدف تغطية 250,000 منشأة، فإن التطبيق الفعلي لا يزال في مراحله الأولى، ولم تتوفر بعد دراسات تقييمية حول أداء هذا المشروع أو الدروس المستفادة منه. كما أن مشاريع التفتيش في قطاع الحياة الفطرية لا تزال في مرحلة الطرح المحدود لتغطية 14 منفذاً حدودياً و50,000 منفذ بيع</w:t>
      </w:r>
      <w:r w:rsidRPr="005D59A7">
        <w:rPr>
          <w:rFonts w:ascii="T" w:hAnsi="T" w:cs="Simplified Arabic"/>
          <w:sz w:val="24"/>
          <w:szCs w:val="24"/>
        </w:rPr>
        <w:t>.</w:t>
      </w:r>
    </w:p>
    <w:p w14:paraId="5D1436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غياب نموذج موحد لهيكلة عقود شراكة التفتيش البيئي. تشير الدراسات إلى أن نجاح الشراكات يعتمد بشكل كبير على تصميم العقد وتوزيع المخاطر بين الشركاء. غير أن الأدبيات الحالية لا تقدم نموذجاً موحداً لهيكلة عقود شراكة التفتيش البيئي، يشمل تحديد نطاق الخدمة، وآليات الدفع، ومؤشرات الأداء، وعقوبات التقصير، </w:t>
      </w:r>
      <w:r w:rsidRPr="005D59A7">
        <w:rPr>
          <w:rFonts w:ascii="T" w:hAnsi="T" w:cs="Simplified Arabic"/>
          <w:sz w:val="24"/>
          <w:szCs w:val="24"/>
          <w:rtl/>
        </w:rPr>
        <w:lastRenderedPageBreak/>
        <w:t>وآليات التكيف مع تغير اللوائح، وحقوق والتزامات كل طرف. كما أن تجارب دول أخرى في هذا المجال (مثل المملكة المتحدة واسكتلندا) تحتاج إلى تقييم دقيق لمدى قابلية نقلها إلى السياق السعودي، مع مراعاة الاختلافات في الأطر القانونية والمؤسسية والثقافية</w:t>
      </w:r>
      <w:r w:rsidRPr="005D59A7">
        <w:rPr>
          <w:rFonts w:ascii="T" w:hAnsi="T" w:cs="Simplified Arabic"/>
          <w:sz w:val="24"/>
          <w:szCs w:val="24"/>
        </w:rPr>
        <w:t>.</w:t>
      </w:r>
    </w:p>
    <w:p w14:paraId="13A9C2F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آليات واضحة لربط المقابل المالي بمؤشرات الأداء. من أهم تحديات تصميم عقود شراكة التفتيش البيئي هو تحديد آلية مناسبة لربط المقابل المالي الذي يحصل عليه القطاع الخاص بمؤشرات أداء قابلة للقياس. في النموذج التقليدي، كان الدفع مقابل المدخلات (عدد المفتشين، ساعات العمل)، مما أدى إلى ضعف الحوافز وضعف جودة المخرجات. في النموذج المقترح، يجب الانتقال إلى الدفع مقابل المخرجات أو النتائج، مع تصميم آليات لقياس الأداء بشكل دوري ومستقل. غير أن الأدبيات الحالية لا تقدم نماذج واضحة لتصميم هذه الآليات في سياق التفتيش البيئي</w:t>
      </w:r>
      <w:r w:rsidRPr="005D59A7">
        <w:rPr>
          <w:rFonts w:ascii="T" w:hAnsi="T" w:cs="Simplified Arabic"/>
          <w:sz w:val="24"/>
          <w:szCs w:val="24"/>
        </w:rPr>
        <w:t>.</w:t>
      </w:r>
    </w:p>
    <w:p w14:paraId="6B680A76" w14:textId="7250A646" w:rsidR="003C54ED" w:rsidRPr="008769F3" w:rsidRDefault="003C54ED" w:rsidP="00861DC2">
      <w:pPr>
        <w:bidi/>
        <w:spacing w:line="360" w:lineRule="auto"/>
        <w:ind w:firstLine="720"/>
        <w:jc w:val="both"/>
        <w:rPr>
          <w:rFonts w:ascii="T" w:hAnsi="T" w:cs="Simplified Arabic"/>
          <w:b/>
          <w:bCs/>
          <w:sz w:val="24"/>
          <w:szCs w:val="24"/>
          <w:rtl/>
        </w:rPr>
      </w:pPr>
      <w:r w:rsidRPr="00693289">
        <w:rPr>
          <w:rFonts w:ascii="T" w:hAnsi="T" w:cs="Simplified Arabic"/>
          <w:b/>
          <w:bCs/>
          <w:sz w:val="24"/>
          <w:szCs w:val="24"/>
          <w:rtl/>
        </w:rPr>
        <w:t>الفجوة السياقية</w:t>
      </w:r>
    </w:p>
    <w:p w14:paraId="11662FC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السياقية في ندرة الدراسات التي تناولت تطبيق الشراكات بين القطاعين العام والخاص في قطاع البيئة السعودي بشكل عام، وفي خدمة التفتيش البيئي بشكل خاص، خاصة في ضوء الهيكلة المؤسسية الجديدة (المراكز البيئية الخمسة، صندوق البيئة) والإستراتيجية الوطنية للبيئة</w:t>
      </w:r>
      <w:r w:rsidRPr="005D59A7">
        <w:rPr>
          <w:rFonts w:ascii="T" w:hAnsi="T" w:cs="Simplified Arabic"/>
          <w:sz w:val="24"/>
          <w:szCs w:val="24"/>
        </w:rPr>
        <w:t>.</w:t>
      </w:r>
    </w:p>
    <w:p w14:paraId="1D55B66D"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w:t>
      </w:r>
      <w:r w:rsidRPr="00693289">
        <w:rPr>
          <w:rFonts w:ascii="T" w:hAnsi="T" w:cs="Simplified Arabic"/>
          <w:sz w:val="24"/>
          <w:szCs w:val="24"/>
          <w:rtl/>
        </w:rPr>
        <w:t>: ندرة الدراسات حول الشراكات في القطاع البيئي السعودي.</w:t>
      </w:r>
      <w:r w:rsidRPr="005D59A7">
        <w:rPr>
          <w:rFonts w:ascii="T" w:hAnsi="T" w:cs="Simplified Arabic"/>
          <w:sz w:val="24"/>
          <w:szCs w:val="24"/>
          <w:rtl/>
        </w:rPr>
        <w:t xml:space="preserve"> على الرغم من وجود دراسات تناولت عوامل النجاح الحرجة للشراكات في السعودية مثل دراسة</w:t>
      </w:r>
      <w:r w:rsidRPr="005D59A7">
        <w:rPr>
          <w:rFonts w:ascii="T" w:hAnsi="T" w:cs="Simplified Arabic"/>
          <w:sz w:val="24"/>
          <w:szCs w:val="24"/>
        </w:rPr>
        <w:t xml:space="preserve"> Jubair &amp; Singh (2022) </w:t>
      </w:r>
      <w:r w:rsidRPr="005D59A7">
        <w:rPr>
          <w:rFonts w:ascii="T" w:hAnsi="T" w:cs="Simplified Arabic"/>
          <w:sz w:val="24"/>
          <w:szCs w:val="24"/>
          <w:rtl/>
        </w:rPr>
        <w:t>ودراسة</w:t>
      </w:r>
      <w:r w:rsidRPr="005D59A7">
        <w:rPr>
          <w:rFonts w:ascii="T" w:hAnsi="T" w:cs="Simplified Arabic"/>
          <w:sz w:val="24"/>
          <w:szCs w:val="24"/>
        </w:rPr>
        <w:t xml:space="preserve"> Hidalgo (2024) </w:t>
      </w:r>
      <w:r w:rsidRPr="005D59A7">
        <w:rPr>
          <w:rFonts w:ascii="T" w:hAnsi="T" w:cs="Simplified Arabic"/>
          <w:sz w:val="24"/>
          <w:szCs w:val="24"/>
          <w:rtl/>
        </w:rPr>
        <w:t>ودراسة</w:t>
      </w:r>
      <w:r w:rsidRPr="005D59A7">
        <w:rPr>
          <w:rFonts w:ascii="T" w:hAnsi="T" w:cs="Simplified Arabic"/>
          <w:sz w:val="24"/>
          <w:szCs w:val="24"/>
        </w:rPr>
        <w:t xml:space="preserve"> Guerrero et al. (</w:t>
      </w:r>
      <w:proofErr w:type="gramStart"/>
      <w:r w:rsidRPr="005D59A7">
        <w:rPr>
          <w:rFonts w:ascii="T" w:hAnsi="T" w:cs="Simplified Arabic"/>
          <w:sz w:val="24"/>
          <w:szCs w:val="24"/>
        </w:rPr>
        <w:t>2024)</w:t>
      </w:r>
      <w:r w:rsidRPr="005D59A7">
        <w:rPr>
          <w:rFonts w:ascii="T" w:hAnsi="T" w:cs="Simplified Arabic"/>
          <w:sz w:val="24"/>
          <w:szCs w:val="24"/>
          <w:rtl/>
        </w:rPr>
        <w:t>،</w:t>
      </w:r>
      <w:proofErr w:type="gramEnd"/>
      <w:r w:rsidRPr="005D59A7">
        <w:rPr>
          <w:rFonts w:ascii="T" w:hAnsi="T" w:cs="Simplified Arabic"/>
          <w:sz w:val="24"/>
          <w:szCs w:val="24"/>
          <w:rtl/>
        </w:rPr>
        <w:t xml:space="preserve"> فإن هذه الدراسات تناولت قطاعات متعددة (النقل، المياه، الطاقة) دون تركيز خاص على قطاع البيئة. كما أن هذه الدراسات لم تتناول بالتحليل المؤشرات التشغيلية والمالية التفصيلية لخدمة التفتيش البيئي، مما يمثل فجوة بحثية واضحة</w:t>
      </w:r>
      <w:r w:rsidRPr="005D59A7">
        <w:rPr>
          <w:rFonts w:ascii="T" w:hAnsi="T" w:cs="Simplified Arabic"/>
          <w:sz w:val="24"/>
          <w:szCs w:val="24"/>
        </w:rPr>
        <w:t>.</w:t>
      </w:r>
    </w:p>
    <w:p w14:paraId="5F1184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w:t>
      </w:r>
      <w:r w:rsidRPr="00693289">
        <w:rPr>
          <w:rFonts w:ascii="T" w:hAnsi="T" w:cs="Simplified Arabic"/>
          <w:sz w:val="24"/>
          <w:szCs w:val="24"/>
          <w:rtl/>
        </w:rPr>
        <w:t>ندرة الدراسات حول الحوكمة البيئية في السعودية.</w:t>
      </w:r>
      <w:r w:rsidRPr="005D59A7">
        <w:rPr>
          <w:rFonts w:ascii="T" w:hAnsi="T" w:cs="Simplified Arabic"/>
          <w:sz w:val="24"/>
          <w:szCs w:val="24"/>
          <w:rtl/>
        </w:rPr>
        <w:t xml:space="preserve"> أشارت دراسة</w:t>
      </w:r>
      <w:r w:rsidRPr="005D59A7">
        <w:rPr>
          <w:rFonts w:ascii="T" w:hAnsi="T" w:cs="Simplified Arabic"/>
          <w:sz w:val="24"/>
          <w:szCs w:val="24"/>
        </w:rPr>
        <w:t xml:space="preserve"> </w:t>
      </w:r>
      <w:proofErr w:type="spellStart"/>
      <w:r w:rsidRPr="005D59A7">
        <w:rPr>
          <w:rFonts w:ascii="T" w:hAnsi="T" w:cs="Simplified Arabic"/>
          <w:sz w:val="24"/>
          <w:szCs w:val="24"/>
        </w:rPr>
        <w:t>Elkebti</w:t>
      </w:r>
      <w:proofErr w:type="spellEnd"/>
      <w:r w:rsidRPr="005D59A7">
        <w:rPr>
          <w:rFonts w:ascii="T" w:hAnsi="T" w:cs="Simplified Arabic"/>
          <w:sz w:val="24"/>
          <w:szCs w:val="24"/>
        </w:rPr>
        <w:t xml:space="preserve"> &amp; Khalifa (2025) </w:t>
      </w:r>
      <w:r w:rsidRPr="005D59A7">
        <w:rPr>
          <w:rFonts w:ascii="T" w:hAnsi="T" w:cs="Simplified Arabic"/>
          <w:sz w:val="24"/>
          <w:szCs w:val="24"/>
          <w:rtl/>
        </w:rPr>
        <w:t>إلى أهمية الحوكمة البيئية في تحقيق مستقبل أخضر، ودراسة</w:t>
      </w:r>
      <w:r w:rsidRPr="005D59A7">
        <w:rPr>
          <w:rFonts w:ascii="T" w:hAnsi="T" w:cs="Simplified Arabic"/>
          <w:sz w:val="24"/>
          <w:szCs w:val="24"/>
        </w:rPr>
        <w:t xml:space="preserve"> </w:t>
      </w:r>
      <w:proofErr w:type="spellStart"/>
      <w:r w:rsidRPr="005D59A7">
        <w:rPr>
          <w:rFonts w:ascii="T" w:hAnsi="T" w:cs="Simplified Arabic"/>
          <w:sz w:val="24"/>
          <w:szCs w:val="24"/>
        </w:rPr>
        <w:t>Almeflh</w:t>
      </w:r>
      <w:proofErr w:type="spellEnd"/>
      <w:r w:rsidRPr="005D59A7">
        <w:rPr>
          <w:rFonts w:ascii="T" w:hAnsi="T" w:cs="Simplified Arabic"/>
          <w:sz w:val="24"/>
          <w:szCs w:val="24"/>
        </w:rPr>
        <w:t xml:space="preserve"> &amp; </w:t>
      </w:r>
      <w:proofErr w:type="spellStart"/>
      <w:r w:rsidRPr="005D59A7">
        <w:rPr>
          <w:rFonts w:ascii="T" w:hAnsi="T" w:cs="Simplified Arabic"/>
          <w:sz w:val="24"/>
          <w:szCs w:val="24"/>
        </w:rPr>
        <w:t>Almofleh</w:t>
      </w:r>
      <w:proofErr w:type="spellEnd"/>
      <w:r w:rsidRPr="005D59A7">
        <w:rPr>
          <w:rFonts w:ascii="T" w:hAnsi="T" w:cs="Simplified Arabic"/>
          <w:sz w:val="24"/>
          <w:szCs w:val="24"/>
        </w:rPr>
        <w:t xml:space="preserve"> (2025) </w:t>
      </w:r>
      <w:r w:rsidRPr="005D59A7">
        <w:rPr>
          <w:rFonts w:ascii="T" w:hAnsi="T" w:cs="Simplified Arabic"/>
          <w:sz w:val="24"/>
          <w:szCs w:val="24"/>
          <w:rtl/>
        </w:rPr>
        <w:t>إلى المحفزات المؤسسية للمحاسبة البيئية، ودراسة</w:t>
      </w:r>
      <w:r w:rsidRPr="005D59A7">
        <w:rPr>
          <w:rFonts w:ascii="T" w:hAnsi="T" w:cs="Simplified Arabic"/>
          <w:sz w:val="24"/>
          <w:szCs w:val="24"/>
        </w:rPr>
        <w:t xml:space="preserve"> Bodrick et al. (2025) </w:t>
      </w:r>
      <w:r w:rsidRPr="005D59A7">
        <w:rPr>
          <w:rFonts w:ascii="T" w:hAnsi="T" w:cs="Simplified Arabic"/>
          <w:sz w:val="24"/>
          <w:szCs w:val="24"/>
          <w:rtl/>
        </w:rPr>
        <w:t xml:space="preserve">إلى القيادة التنظيمية في سياق التحول. غير أن هذه الدراسات لم تتناول بشكل متخصص آليات الحوكمة المناسبة لخدمة التفتيش البيئي في إطار الشراكة مع </w:t>
      </w:r>
      <w:r w:rsidRPr="005D59A7">
        <w:rPr>
          <w:rFonts w:ascii="T" w:hAnsi="T" w:cs="Simplified Arabic"/>
          <w:sz w:val="24"/>
          <w:szCs w:val="24"/>
          <w:rtl/>
        </w:rPr>
        <w:lastRenderedPageBreak/>
        <w:t>القطاع الخاص، ولا كيفية ضمان الحياد التنظيمي والشفافية والمساءلة عند إشراك القطاع الخاص في الخدمات الرقابية</w:t>
      </w:r>
      <w:r w:rsidRPr="005D59A7">
        <w:rPr>
          <w:rFonts w:ascii="T" w:hAnsi="T" w:cs="Simplified Arabic"/>
          <w:sz w:val="24"/>
          <w:szCs w:val="24"/>
        </w:rPr>
        <w:t>.</w:t>
      </w:r>
    </w:p>
    <w:p w14:paraId="47729155"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ثالثاً: </w:t>
      </w:r>
      <w:r w:rsidRPr="00693289">
        <w:rPr>
          <w:rFonts w:ascii="T" w:hAnsi="T" w:cs="Simplified Arabic"/>
          <w:sz w:val="24"/>
          <w:szCs w:val="24"/>
          <w:rtl/>
        </w:rPr>
        <w:t>غياب دراسات تقييمية لمرحلة ما بعد إعادة الهيكلة</w:t>
      </w:r>
      <w:r w:rsidRPr="005D59A7">
        <w:rPr>
          <w:rFonts w:ascii="T" w:hAnsi="T" w:cs="Simplified Arabic"/>
          <w:sz w:val="24"/>
          <w:szCs w:val="24"/>
          <w:rtl/>
        </w:rPr>
        <w:t>. تم إعادة هيكلة القطاع البيئي السعودي في عام 2020، مع إنشاء المراكز الوطنية الخمسة وصندوق البيئة. غير أنه لا توجد دراسات تقييمية كافية حول أداء هذه الهيكلة الجديدة، وحول مدى نجاحها في تحقيق أهدافها (زيادة الكفاءة، تعزيز الشفافية، تفعيل مشاركة القطاع الخاص). كما لا توجد دراسات حول التحديات التي واجهت تنفيذ هذه الهيكلة، والدروس المستفادة التي يمكن تطبيقها في المراحل القادمة</w:t>
      </w:r>
      <w:r w:rsidRPr="005D59A7">
        <w:rPr>
          <w:rFonts w:ascii="T" w:hAnsi="T" w:cs="Simplified Arabic"/>
          <w:sz w:val="24"/>
          <w:szCs w:val="24"/>
        </w:rPr>
        <w:t>.</w:t>
      </w:r>
    </w:p>
    <w:p w14:paraId="4262A876" w14:textId="77777777" w:rsidR="00A63F47" w:rsidRPr="00693289" w:rsidRDefault="00A63F47"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ترتبط هذه الفجوات مباشرة بأسئلة الدراسة الأربعة: حيث يسد السؤال الأول الفجوة المنهجية والسياقية من خلال تحليل مؤشرات الأداء الحالية، ويسد السؤال الثاني الفجوة المنهجية والتطبيقية من خلال تقدير الجدوى المالية للنموذج المقترح، ويسد السؤال الثالث الفجوة النظرية والتطبيقية من خلال تقييم ملاءمة النماذج التعاقدية، ويسد السؤال الرابع الفجوة النظرية والسياقية من خلال تصميم إطار متكامل لتوزيع المخاطر وربط الدفع بمؤشرات الأداء</w:t>
      </w:r>
      <w:r w:rsidRPr="00693289">
        <w:rPr>
          <w:rFonts w:ascii="T" w:hAnsi="T" w:cs="Simplified Arabic"/>
          <w:sz w:val="24"/>
          <w:szCs w:val="24"/>
        </w:rPr>
        <w:t>.</w:t>
      </w:r>
    </w:p>
    <w:p w14:paraId="483B6077" w14:textId="77777777" w:rsidR="00A63F47" w:rsidRPr="005D59A7" w:rsidRDefault="00A63F47" w:rsidP="00861DC2">
      <w:pPr>
        <w:bidi/>
        <w:spacing w:line="360" w:lineRule="auto"/>
        <w:ind w:firstLine="720"/>
        <w:jc w:val="both"/>
        <w:rPr>
          <w:rFonts w:ascii="T" w:hAnsi="T" w:cs="Simplified Arabic"/>
          <w:sz w:val="24"/>
          <w:szCs w:val="24"/>
          <w:rtl/>
        </w:rPr>
      </w:pPr>
      <w:r w:rsidRPr="00693289">
        <w:rPr>
          <w:rFonts w:ascii="T" w:hAnsi="T" w:cs="Simplified Arabic"/>
          <w:sz w:val="24"/>
          <w:szCs w:val="24"/>
          <w:rtl/>
        </w:rPr>
        <w:t>كما ترتبط الفجوات البحثية ارتباطاً وثيقاً بفرضيات الدراسة الأربع. فالفرضية الأولى (انخفاض الكفاءة التشغيلية للنموذج الحالي) والفرضية الثانية (عدم تحقيق الكفاءة المالية المستدامة) تسدان الفجوة المنهجية من خلال اختبار الفروق ذات الدلالة الإحصائية في مؤشرات الأداء والعلاقة بين التكاليف والعوائد. أما الفرضية الثالثة (تحسن الكفاءة التشغيلية وجودة المخرجات عند تطبيق نموذج الشراكة) والفرضية الرابعة</w:t>
      </w:r>
      <w:r w:rsidRPr="00693289">
        <w:rPr>
          <w:rFonts w:ascii="T" w:hAnsi="T" w:cs="Simplified Arabic"/>
          <w:sz w:val="24"/>
          <w:szCs w:val="24"/>
        </w:rPr>
        <w:t xml:space="preserve"> (</w:t>
      </w:r>
      <w:r w:rsidRPr="00693289">
        <w:rPr>
          <w:rFonts w:ascii="T" w:hAnsi="T" w:cs="Simplified Arabic"/>
          <w:sz w:val="24"/>
          <w:szCs w:val="24"/>
          <w:rtl/>
        </w:rPr>
        <w:t>تحسن الاستدامة المالية وجودة الأداء عند تطبيق آليات توزيع المخاطر وربط الدفع بـ</w:t>
      </w:r>
      <w:r w:rsidRPr="00693289">
        <w:rPr>
          <w:rFonts w:ascii="T" w:hAnsi="T" w:cs="Simplified Arabic"/>
          <w:sz w:val="24"/>
          <w:szCs w:val="24"/>
        </w:rPr>
        <w:t xml:space="preserve"> KPIs) </w:t>
      </w:r>
      <w:r w:rsidRPr="00693289">
        <w:rPr>
          <w:rFonts w:ascii="T" w:hAnsi="T" w:cs="Simplified Arabic"/>
          <w:sz w:val="24"/>
          <w:szCs w:val="24"/>
          <w:rtl/>
        </w:rPr>
        <w:t>فتسدان الفجوة النظرية والتطبيقية من خلال اختبار تأثير آليات الحوكمة والشراكة على الأداء. بهذا الشكل، تشكل الفجوات البحثية وأسئلة الدراسة وفرضياتها إطاراً متماسكاً يوجه الدراسة نحو أهدافها ويضمن اتساق منهجيتها مع طبيعة المشكلة المدروسة</w:t>
      </w:r>
      <w:r w:rsidRPr="00693289">
        <w:rPr>
          <w:rFonts w:ascii="T" w:hAnsi="T" w:cs="Simplified Arabic"/>
          <w:sz w:val="24"/>
          <w:szCs w:val="24"/>
        </w:rPr>
        <w:t>.</w:t>
      </w:r>
    </w:p>
    <w:p w14:paraId="4D93CDC8" w14:textId="3A4A4A99"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تسعى هذه الدراسة إلى سد الفجوات البحثية المذكورة أعلاه من خلال منهجية متكاملة تعالج الأبعاد الأربعة للفجوة في آن واحد. فلسد الفجوة النظرية، تعتمد الدراسة إطاراً نظرياً متكاملاً يجمع بين نظريتي الوكالة (لتفسير علاقة الأصيل-الوكيل وتصميم آليات الحوافز والرقابة) ونظرية تكاليف المعاملات (لتفسير اختيار هيكل الحوكمة المناسب لخدمة التفتيش البيئي)، مع ربط هاتين النظريتين بفرضيات الدراسة الأربع لتوجيه تصميم النموذج </w:t>
      </w:r>
      <w:r w:rsidRPr="005D59A7">
        <w:rPr>
          <w:rFonts w:ascii="T" w:hAnsi="T" w:cs="Simplified Arabic"/>
          <w:sz w:val="24"/>
          <w:szCs w:val="24"/>
          <w:rtl/>
        </w:rPr>
        <w:lastRenderedPageBreak/>
        <w:t>المقترح وتحليل العلاقات بين المتغيرات. ولسد الفجوة المنهجية، تقوم الدراسة ببناء نموذج كمي قابل للاختبار لقياس تأثير الشراكة على مؤشرات أداء التفتيش البيئي (التكلفة التشغيلية للزيارة، نسبة المخالفات المرفوضة، نسبة التغطية، زمن إغلاق المخالفات)، مع إجراء تحليل إحصائي معمق للبيانات الكمية الرسمية الصادرة عن المركز الوطني للرقابة على الالتزام البيئي خلال الفترة 2017-2019، وتحليل الحساسية والسيناريوهات المتوقعة (الأساسي، المتفائل، المتشائم). ولسد الفجوة التطبيقية، تقوم الدراسة بتطوير نموذج مقترح متكامل لهيكلة عقود شراكة التفتيش البيئي يشمل تحديد نطاق الخدمة، وآليات الدفع القائمة على الأداء، ومؤشرات الأداء الرئيسية (</w:t>
      </w:r>
      <w:r w:rsidRPr="005D59A7">
        <w:rPr>
          <w:rFonts w:ascii="T" w:hAnsi="T" w:cs="Simplified Arabic"/>
          <w:sz w:val="24"/>
          <w:szCs w:val="24"/>
        </w:rPr>
        <w:t>KPIs</w:t>
      </w:r>
      <w:r w:rsidRPr="005D59A7">
        <w:rPr>
          <w:rFonts w:ascii="T" w:hAnsi="T" w:cs="Simplified Arabic"/>
          <w:sz w:val="24"/>
          <w:szCs w:val="24"/>
          <w:rtl/>
        </w:rPr>
        <w:t>)، وعقوبات التقصير، وآليات التكيف مع تغير اللوائح، وتوزيع المخاطر بين القطاعين العام والخاص وفق مبدأ "الطرف الأكثر قدرة على الإدارة". ولسد الفجوة السياقية، تصمم الدراسة نموذجها المقترح ليتوافق مع الهيكلة المؤسسية الحديثة لقطاع البيئة السعودي (المراكز البيئية الخمسة، صندوق البيئة، الإستراتيجية الوطنية للبيئة) ومع مستهدفات رؤية السعودية 2030، مستفيدة من تحليل البيانات المحلية والتجارب الدولية المقارنة مع تقييم دقيق لمدى قابلية نقلها إلى السياق السعودي.</w:t>
      </w:r>
    </w:p>
    <w:p w14:paraId="455D2BD6" w14:textId="22679825" w:rsidR="004F7ABA" w:rsidRPr="005D59A7" w:rsidRDefault="004F7ABA" w:rsidP="00861DC2">
      <w:pPr>
        <w:bidi/>
        <w:spacing w:line="360" w:lineRule="auto"/>
        <w:ind w:firstLine="720"/>
        <w:jc w:val="both"/>
        <w:rPr>
          <w:rFonts w:ascii="T" w:hAnsi="T" w:cs="Simplified Arabic"/>
          <w:sz w:val="24"/>
          <w:szCs w:val="24"/>
          <w:rtl/>
        </w:rPr>
      </w:pPr>
    </w:p>
    <w:p w14:paraId="7B449064" w14:textId="691F8479" w:rsidR="004F7ABA" w:rsidRDefault="004F7ABA" w:rsidP="00861DC2">
      <w:pPr>
        <w:bidi/>
        <w:spacing w:line="360" w:lineRule="auto"/>
        <w:ind w:firstLine="720"/>
        <w:rPr>
          <w:rFonts w:ascii="T" w:hAnsi="T" w:cs="Simplified Arabic"/>
          <w:sz w:val="24"/>
          <w:szCs w:val="24"/>
        </w:rPr>
      </w:pPr>
    </w:p>
    <w:p w14:paraId="7929FD94" w14:textId="51719CCE" w:rsidR="00C43A02" w:rsidRDefault="00C43A02" w:rsidP="00C43A02">
      <w:pPr>
        <w:bidi/>
        <w:spacing w:line="360" w:lineRule="auto"/>
        <w:ind w:firstLine="720"/>
        <w:rPr>
          <w:rFonts w:ascii="T" w:hAnsi="T" w:cs="Simplified Arabic"/>
          <w:sz w:val="24"/>
          <w:szCs w:val="24"/>
        </w:rPr>
      </w:pPr>
    </w:p>
    <w:p w14:paraId="0E995ED5" w14:textId="60CE6DE1" w:rsidR="00C43A02" w:rsidRDefault="00C43A02" w:rsidP="00C43A02">
      <w:pPr>
        <w:bidi/>
        <w:spacing w:line="360" w:lineRule="auto"/>
        <w:ind w:firstLine="720"/>
        <w:rPr>
          <w:rFonts w:ascii="T" w:hAnsi="T" w:cs="Simplified Arabic"/>
          <w:sz w:val="24"/>
          <w:szCs w:val="24"/>
        </w:rPr>
      </w:pPr>
    </w:p>
    <w:p w14:paraId="6A5A2E9F" w14:textId="39C7D165" w:rsidR="00C43A02" w:rsidRDefault="00C43A02" w:rsidP="00C43A02">
      <w:pPr>
        <w:bidi/>
        <w:spacing w:line="360" w:lineRule="auto"/>
        <w:ind w:firstLine="720"/>
        <w:rPr>
          <w:rFonts w:ascii="T" w:hAnsi="T" w:cs="Simplified Arabic"/>
          <w:sz w:val="24"/>
          <w:szCs w:val="24"/>
        </w:rPr>
      </w:pPr>
    </w:p>
    <w:p w14:paraId="41B8E496" w14:textId="06C29003" w:rsidR="00C43A02" w:rsidRDefault="00C43A02" w:rsidP="00C43A02">
      <w:pPr>
        <w:bidi/>
        <w:spacing w:line="360" w:lineRule="auto"/>
        <w:ind w:firstLine="720"/>
        <w:rPr>
          <w:rFonts w:ascii="T" w:hAnsi="T" w:cs="Simplified Arabic"/>
          <w:sz w:val="24"/>
          <w:szCs w:val="24"/>
        </w:rPr>
      </w:pPr>
    </w:p>
    <w:p w14:paraId="711B6734" w14:textId="49206FF8" w:rsidR="00C43A02" w:rsidRDefault="00C43A02" w:rsidP="00C43A02">
      <w:pPr>
        <w:bidi/>
        <w:spacing w:line="360" w:lineRule="auto"/>
        <w:ind w:firstLine="720"/>
        <w:rPr>
          <w:rFonts w:ascii="T" w:hAnsi="T" w:cs="Simplified Arabic"/>
          <w:sz w:val="24"/>
          <w:szCs w:val="24"/>
        </w:rPr>
      </w:pPr>
    </w:p>
    <w:p w14:paraId="7C746936" w14:textId="508C6710" w:rsidR="00C43A02" w:rsidRDefault="00C43A02" w:rsidP="00C43A02">
      <w:pPr>
        <w:bidi/>
        <w:spacing w:line="360" w:lineRule="auto"/>
        <w:ind w:firstLine="720"/>
        <w:rPr>
          <w:rFonts w:ascii="T" w:hAnsi="T" w:cs="Simplified Arabic"/>
          <w:sz w:val="24"/>
          <w:szCs w:val="24"/>
        </w:rPr>
      </w:pPr>
    </w:p>
    <w:p w14:paraId="355A9FB7" w14:textId="19DDF31E" w:rsidR="00C43A02" w:rsidRDefault="00C43A02" w:rsidP="00C43A02">
      <w:pPr>
        <w:bidi/>
        <w:spacing w:line="360" w:lineRule="auto"/>
        <w:ind w:firstLine="720"/>
        <w:rPr>
          <w:rFonts w:ascii="T" w:hAnsi="T" w:cs="Simplified Arabic"/>
          <w:sz w:val="24"/>
          <w:szCs w:val="24"/>
        </w:rPr>
      </w:pPr>
    </w:p>
    <w:p w14:paraId="72C4782C" w14:textId="29E6AA1C" w:rsidR="00C43A02" w:rsidRDefault="00C43A02" w:rsidP="00C43A02">
      <w:pPr>
        <w:bidi/>
        <w:spacing w:line="360" w:lineRule="auto"/>
        <w:ind w:firstLine="720"/>
        <w:rPr>
          <w:rFonts w:ascii="T" w:hAnsi="T" w:cs="Simplified Arabic"/>
          <w:sz w:val="24"/>
          <w:szCs w:val="24"/>
        </w:rPr>
      </w:pPr>
    </w:p>
    <w:p w14:paraId="1118CF70" w14:textId="2F02E137" w:rsidR="00C43A02" w:rsidRDefault="00C43A02" w:rsidP="00C43A02">
      <w:pPr>
        <w:bidi/>
        <w:spacing w:line="360" w:lineRule="auto"/>
        <w:ind w:firstLine="720"/>
        <w:rPr>
          <w:rFonts w:ascii="T" w:hAnsi="T" w:cs="Simplified Arabic"/>
          <w:sz w:val="24"/>
          <w:szCs w:val="24"/>
          <w:rtl/>
        </w:rPr>
      </w:pPr>
    </w:p>
    <w:p w14:paraId="082E2259" w14:textId="19064185" w:rsidR="00C43A02" w:rsidRDefault="00C43A02" w:rsidP="008769F3">
      <w:pPr>
        <w:bidi/>
        <w:spacing w:line="360" w:lineRule="auto"/>
        <w:rPr>
          <w:rFonts w:ascii="T" w:hAnsi="T" w:cs="Simplified Arabic"/>
          <w:sz w:val="24"/>
          <w:szCs w:val="24"/>
        </w:rPr>
      </w:pPr>
    </w:p>
    <w:p w14:paraId="595A76A8" w14:textId="5B0EA462" w:rsidR="00C43A02" w:rsidRPr="008769F3" w:rsidRDefault="00C43A02" w:rsidP="002C6EAC">
      <w:pPr>
        <w:pStyle w:val="Heading1"/>
        <w:bidi/>
        <w:jc w:val="center"/>
        <w:rPr>
          <w:rFonts w:ascii="Simplified Arabic" w:hAnsi="Simplified Arabic" w:cs="Simplified Arabic"/>
          <w:b/>
          <w:bCs/>
          <w:color w:val="000000" w:themeColor="text1"/>
          <w:sz w:val="28"/>
          <w:szCs w:val="28"/>
          <w:u w:val="single"/>
          <w:rtl/>
          <w:lang w:bidi="ar-EG"/>
        </w:rPr>
      </w:pPr>
      <w:bookmarkStart w:id="73" w:name="_Toc233202834"/>
      <w:r w:rsidRPr="00693289">
        <w:rPr>
          <w:rFonts w:ascii="Simplified Arabic" w:hAnsi="Simplified Arabic" w:cs="Simplified Arabic"/>
          <w:b/>
          <w:bCs/>
          <w:color w:val="000000" w:themeColor="text1"/>
          <w:sz w:val="28"/>
          <w:szCs w:val="28"/>
          <w:highlight w:val="yellow"/>
          <w:u w:val="single"/>
          <w:rtl/>
          <w:lang w:bidi="ar-EG"/>
        </w:rPr>
        <w:lastRenderedPageBreak/>
        <w:t>الفصل الثالث: منهجية الدراسة</w:t>
      </w:r>
      <w:bookmarkEnd w:id="73"/>
    </w:p>
    <w:p w14:paraId="3BF46C21"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Pr>
      </w:pPr>
      <w:bookmarkStart w:id="74" w:name="_Toc233202835"/>
      <w:r w:rsidRPr="00C43A02">
        <w:rPr>
          <w:rFonts w:ascii="Simplified Arabic" w:hAnsi="Simplified Arabic" w:cs="Simplified Arabic"/>
          <w:b/>
          <w:bCs/>
          <w:color w:val="000000" w:themeColor="text1"/>
          <w:sz w:val="24"/>
          <w:szCs w:val="24"/>
          <w:rtl/>
        </w:rPr>
        <w:t>منهج البحث</w:t>
      </w:r>
      <w:bookmarkEnd w:id="74"/>
    </w:p>
    <w:p w14:paraId="2AE507D4"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تعتمد هذه الدراسة على المنهج الوصفي التحليلي باعتباره من أكثر المناهج ملاءمة لدراسة الظواهر الإدارية والتنظيمية المعاصرة، حيث يهدف إلى وصف وتحليل واقع الشراكات بين القطاعين العام والخاص في قطاع البيئة بالمملكة العربية السعودية، مع التركيز على أنشطة التفتيش البيئي، والتعرف على مستوى فاعلية هذه الشراكات في دعم الحوكمة البيئية وتحسين الأداء المؤسسي. كما يساعد هذا المنهج في دراسة العلاقات بين متغيرات الدراسة وتحليلها بصورة علمية تمكن من الوصول إلى نتائج دقيقة تسهم في تطوير نموذج مقترح للحوكمة البيئية وإدارة الأداء</w:t>
      </w:r>
      <w:r w:rsidRPr="00C43A02">
        <w:rPr>
          <w:rFonts w:ascii="Simplified Arabic" w:hAnsi="Simplified Arabic" w:cs="Simplified Arabic"/>
          <w:color w:val="000000" w:themeColor="text1"/>
        </w:rPr>
        <w:t>.</w:t>
      </w:r>
    </w:p>
    <w:p w14:paraId="2F6A21B0"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كذلك تستفيد الدراسة من المنهج الاستنباطي من خلال مراجعة الأدبيات العلمية والدراسات السابقة والنماذج العالمية المتعلقة بالشراكات بين القطاعين العام والخاص والحوكمة البيئية وإدارة الأداء، بهدف استخلاص المبادئ والأسس النظرية التي يمكن الاستناد إليها في بناء النموذج المقترح. ويتيح الجمع بين المنهج الوصفي التحليلي والمنهج الاستنباطي فهماً متكاملاً للواقع العملي والأبعاد النظرية المرتبطة بموضوع الدراسة</w:t>
      </w:r>
      <w:r w:rsidRPr="00C43A02">
        <w:rPr>
          <w:rFonts w:ascii="Simplified Arabic" w:hAnsi="Simplified Arabic" w:cs="Simplified Arabic"/>
          <w:color w:val="000000" w:themeColor="text1"/>
        </w:rPr>
        <w:t>.</w:t>
      </w:r>
    </w:p>
    <w:p w14:paraId="159B3654"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Pr>
      </w:pPr>
      <w:bookmarkStart w:id="75" w:name="_Toc233202836"/>
      <w:r w:rsidRPr="00C43A02">
        <w:rPr>
          <w:rFonts w:ascii="Simplified Arabic" w:hAnsi="Simplified Arabic" w:cs="Simplified Arabic"/>
          <w:b/>
          <w:bCs/>
          <w:color w:val="000000" w:themeColor="text1"/>
          <w:sz w:val="24"/>
          <w:szCs w:val="24"/>
          <w:rtl/>
        </w:rPr>
        <w:t>مجتمع وعينة الدراسة</w:t>
      </w:r>
      <w:bookmarkEnd w:id="75"/>
    </w:p>
    <w:p w14:paraId="7E8002BD"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يتكون مجتمع الدراسة من العاملين والمسؤولين والخبراء في الجهات الحكومية المعنية بالبيئة والتفتيش البيئي، بالإضافة إلى العاملين في الشركات والمؤسسات الخاصة المشاركة في تنفيذ الأنشطة والخدمات البيئية بالمملكة العربية السعودية. ويشمل ذلك الجهات التنظيمية والرقابية والمؤسسات التي ترتبط بعلاقات شراكة مع القطاع الحكومي في مجال البيئة</w:t>
      </w:r>
      <w:r w:rsidRPr="00C43A02">
        <w:rPr>
          <w:rFonts w:ascii="Simplified Arabic" w:hAnsi="Simplified Arabic" w:cs="Simplified Arabic"/>
          <w:color w:val="000000" w:themeColor="text1"/>
        </w:rPr>
        <w:t>.</w:t>
      </w:r>
    </w:p>
    <w:p w14:paraId="0FF5FEC7"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 xml:space="preserve">أما عينة الدراسة فسيتم اختيارها باستخدام أسلوب العينة الطبقية العشوائية لضمان تمثيل مختلف الفئات المستهدفة في المجتمع الأصلي للدراسة، حيث بلغ حجم العينة (260) مفردة من العاملين والمسؤولين في الجهات الحكومية والخاصة ذات العلاقة بالتفتيش البيئي والشراكات البيئية. ويُتوقع أن تعكس هذه العينة </w:t>
      </w:r>
      <w:r w:rsidRPr="00C43A02">
        <w:rPr>
          <w:rFonts w:ascii="Simplified Arabic" w:hAnsi="Simplified Arabic" w:cs="Simplified Arabic"/>
          <w:color w:val="000000" w:themeColor="text1"/>
          <w:rtl/>
        </w:rPr>
        <w:lastRenderedPageBreak/>
        <w:t>خصائص المجتمع المستهدف بصورة مناسبة، بما يسهم في تعزيز إمكانية تعميم نتائج الدراسة على المجتمع الأصلي</w:t>
      </w:r>
      <w:r w:rsidRPr="00C43A02">
        <w:rPr>
          <w:rFonts w:ascii="Simplified Arabic" w:hAnsi="Simplified Arabic" w:cs="Simplified Arabic"/>
          <w:color w:val="000000" w:themeColor="text1"/>
        </w:rPr>
        <w:t>.</w:t>
      </w:r>
    </w:p>
    <w:p w14:paraId="6B3BE458"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Pr>
      </w:pPr>
      <w:bookmarkStart w:id="76" w:name="_Toc233202837"/>
      <w:r w:rsidRPr="00C43A02">
        <w:rPr>
          <w:rFonts w:ascii="Simplified Arabic" w:hAnsi="Simplified Arabic" w:cs="Simplified Arabic"/>
          <w:b/>
          <w:bCs/>
          <w:color w:val="000000" w:themeColor="text1"/>
          <w:sz w:val="24"/>
          <w:szCs w:val="24"/>
          <w:rtl/>
        </w:rPr>
        <w:t>أدوات جمع البيانات</w:t>
      </w:r>
      <w:bookmarkEnd w:id="76"/>
    </w:p>
    <w:p w14:paraId="6DFF5850" w14:textId="77777777" w:rsidR="00497758" w:rsidRPr="00075095" w:rsidRDefault="00497758" w:rsidP="00497758">
      <w:pPr>
        <w:pStyle w:val="NormalWeb"/>
        <w:bidi/>
        <w:spacing w:after="240" w:afterAutospacing="0" w:line="360" w:lineRule="auto"/>
        <w:jc w:val="lowKashida"/>
        <w:rPr>
          <w:rFonts w:ascii="Simplified Arabic" w:hAnsi="Simplified Arabic" w:cs="Simplified Arabic"/>
          <w:color w:val="000000" w:themeColor="text1"/>
        </w:rPr>
      </w:pPr>
      <w:bookmarkStart w:id="77" w:name="_Toc233202838"/>
      <w:r w:rsidRPr="00075095">
        <w:rPr>
          <w:rFonts w:ascii="Simplified Arabic" w:hAnsi="Simplified Arabic" w:cs="Simplified Arabic"/>
          <w:color w:val="000000" w:themeColor="text1"/>
          <w:rtl/>
        </w:rPr>
        <w:t xml:space="preserve">تعتمد الدراسة الحالية على </w:t>
      </w:r>
      <w:r w:rsidRPr="00075095">
        <w:rPr>
          <w:rFonts w:ascii="Simplified Arabic" w:hAnsi="Simplified Arabic" w:cs="Simplified Arabic"/>
          <w:b/>
          <w:bCs/>
          <w:color w:val="000000" w:themeColor="text1"/>
          <w:rtl/>
        </w:rPr>
        <w:t>الاستبانة</w:t>
      </w:r>
      <w:r w:rsidRPr="00075095">
        <w:rPr>
          <w:rFonts w:ascii="Simplified Arabic" w:hAnsi="Simplified Arabic" w:cs="Simplified Arabic"/>
          <w:color w:val="000000" w:themeColor="text1"/>
          <w:rtl/>
        </w:rPr>
        <w:t xml:space="preserve"> بوصفها الأداة الرئيسة لجمع البيانات الكمية من أفراد عينة الدراسة، وذلك لما تتمتع به من قدرة على جمع البيانات من عدد كبير من المبحوثين بطريقة منظمة تسهم في تحقيق أهداف الدراسة والإجابة عن تساؤلاتها. وسيتم تصميم الاستبانة بالاستناد إلى الأدبيات العلمية الحديثة والدراسات السابقة ذات الصلة بموضوع الشراكات بين القطاعين العام والخاص والحوكمة البيئية وإدارة الأداء، بما يضمن شمولها لجميع الأبعاد والمتغيرات المرتبطة بالدراسة. كما ستتضمن الاستبانة مجموعة من العبارات والفقرات التي تعكس أبعاد المتغيرات الرئيسة للدراسة، وسيتم قياس استجابات أفراد العينة باستخدام مقياس ليكرت الخماسي الذي يتيح تحديد درجة موافقة المبحوثين على كل عبارة، الأمر الذي يساعد في الحصول على بيانات كمية دقيقة يمكن إخضاعها للتحليل الإحصائي واستخلاص النتائج المتعلقة بالعلاقات والتأثيرات بين المتغيرات محل الدراسة</w:t>
      </w:r>
      <w:r w:rsidRPr="00075095">
        <w:rPr>
          <w:rFonts w:ascii="Simplified Arabic" w:hAnsi="Simplified Arabic" w:cs="Simplified Arabic"/>
          <w:color w:val="000000" w:themeColor="text1"/>
        </w:rPr>
        <w:t>.</w:t>
      </w:r>
    </w:p>
    <w:p w14:paraId="77EBDA10" w14:textId="77777777" w:rsidR="00497758" w:rsidRPr="00075095" w:rsidRDefault="00497758" w:rsidP="00497758">
      <w:pPr>
        <w:pStyle w:val="NormalWeb"/>
        <w:bidi/>
        <w:spacing w:after="240" w:afterAutospacing="0" w:line="360" w:lineRule="auto"/>
        <w:jc w:val="lowKashida"/>
        <w:rPr>
          <w:rFonts w:ascii="Simplified Arabic" w:hAnsi="Simplified Arabic" w:cs="Simplified Arabic"/>
          <w:color w:val="000000" w:themeColor="text1"/>
        </w:rPr>
      </w:pPr>
      <w:r w:rsidRPr="00075095">
        <w:rPr>
          <w:rFonts w:ascii="Simplified Arabic" w:hAnsi="Simplified Arabic" w:cs="Simplified Arabic"/>
          <w:color w:val="000000" w:themeColor="text1"/>
          <w:rtl/>
        </w:rPr>
        <w:t>ولضمان جودة أداة الدراسة وصلاحيتها للتطبيق الميداني، سيتم عرض الاستبانة بصورتها الأولية على مجموعة من المحكمين والخبراء المتخصصين في مجالات الإدارة العامة والإدارة البيئية ومناهج البحث العلمي والإحصاء، بهدف التأكد من مدى ملاءمة العبارات وصياغتها اللغوية ودقتها العلمية وقدرتها على قياس المفاهيم التي وضعت من أجلها، بالإضافة إلى التحقق من شمول الأداة لجميع الأبعاد المرتبطة بموضوع الدراسة. وستؤخذ ملاحظات المحكمين بعين الاعتبار لإجراء التعديلات اللازمة وتحسين صياغة الفقرات قبل اعتماد النسخة النهائية من الاستبانة، بما يعزز من الصدق الظاهري وصدق المحتوى للأداة ويزيد من قدرتها على قياس متغيرات الدراسة بدقة وموضوعية</w:t>
      </w:r>
      <w:r w:rsidRPr="00075095">
        <w:rPr>
          <w:rFonts w:ascii="Simplified Arabic" w:hAnsi="Simplified Arabic" w:cs="Simplified Arabic"/>
          <w:color w:val="000000" w:themeColor="text1"/>
        </w:rPr>
        <w:t>.</w:t>
      </w:r>
    </w:p>
    <w:p w14:paraId="2E199252" w14:textId="77777777" w:rsidR="00497758" w:rsidRPr="00075095" w:rsidRDefault="00497758" w:rsidP="00497758">
      <w:pPr>
        <w:pStyle w:val="NormalWeb"/>
        <w:bidi/>
        <w:spacing w:after="240" w:afterAutospacing="0" w:line="360" w:lineRule="auto"/>
        <w:jc w:val="lowKashida"/>
        <w:rPr>
          <w:rFonts w:ascii="Simplified Arabic" w:hAnsi="Simplified Arabic" w:cs="Simplified Arabic"/>
          <w:color w:val="000000" w:themeColor="text1"/>
          <w:rtl/>
        </w:rPr>
      </w:pPr>
      <w:r w:rsidRPr="00075095">
        <w:rPr>
          <w:rFonts w:ascii="Simplified Arabic" w:hAnsi="Simplified Arabic" w:cs="Simplified Arabic"/>
          <w:color w:val="000000" w:themeColor="text1"/>
          <w:rtl/>
        </w:rPr>
        <w:t xml:space="preserve">كما سيتم تنفيذ </w:t>
      </w:r>
      <w:r w:rsidRPr="00075095">
        <w:rPr>
          <w:rFonts w:ascii="Simplified Arabic" w:hAnsi="Simplified Arabic" w:cs="Simplified Arabic"/>
          <w:b/>
          <w:bCs/>
          <w:color w:val="000000" w:themeColor="text1"/>
          <w:rtl/>
        </w:rPr>
        <w:t>دراسة استطلاعية</w:t>
      </w:r>
      <w:r w:rsidRPr="00075095">
        <w:rPr>
          <w:rFonts w:ascii="Simplified Arabic" w:hAnsi="Simplified Arabic" w:cs="Simplified Arabic"/>
          <w:b/>
          <w:bCs/>
          <w:color w:val="000000" w:themeColor="text1"/>
        </w:rPr>
        <w:t xml:space="preserve"> (Pilot Study)</w:t>
      </w:r>
      <w:r w:rsidRPr="00075095">
        <w:rPr>
          <w:rFonts w:ascii="Simplified Arabic" w:hAnsi="Simplified Arabic" w:cs="Simplified Arabic"/>
          <w:color w:val="000000" w:themeColor="text1"/>
        </w:rPr>
        <w:t xml:space="preserve"> </w:t>
      </w:r>
      <w:r w:rsidRPr="00075095">
        <w:rPr>
          <w:rFonts w:ascii="Simplified Arabic" w:hAnsi="Simplified Arabic" w:cs="Simplified Arabic"/>
          <w:color w:val="000000" w:themeColor="text1"/>
          <w:rtl/>
        </w:rPr>
        <w:t xml:space="preserve">على عينة محدودة من مجتمع الدراسة قبل التطبيق الفعلي للاستبانة، وذلك بهدف التأكد من وضوح العبارات وسهولة فهمها من قبل المبحوثين، والتعرف على أية صعوبات أو ملاحظات قد تظهر أثناء عملية التطبيق. وستُستخدم نتائج الدراسة الاستطلاعية في تقييم الخصائص </w:t>
      </w:r>
      <w:r w:rsidRPr="00075095">
        <w:rPr>
          <w:rFonts w:ascii="Simplified Arabic" w:hAnsi="Simplified Arabic" w:cs="Simplified Arabic"/>
          <w:color w:val="000000" w:themeColor="text1"/>
          <w:rtl/>
        </w:rPr>
        <w:lastRenderedPageBreak/>
        <w:t>السيكومترية للأداة، وخاصة فيما يتعلق بدرجة الثبات والاتساق الداخلي بين الفقرات من خلال حساب معامل ألفا كرونباخ، حيث يعد هذا المعامل من أكثر الأساليب شيوعًا في التحقق من ثبات أدوات القياس. وفي ضوء النتائج المتحصلة سيتم إجراء أية تعديلات ضرورية على الأداة قبل توزيعها على العينة الأساسية، بما يضمن الحصول على بيانات دقيقة وموثوقة يمكن الاعتماد عليها في اختبار فرضيات الدراسة وتحقيق أهدافها العلمية</w:t>
      </w:r>
      <w:r w:rsidRPr="00075095">
        <w:rPr>
          <w:rFonts w:ascii="Simplified Arabic" w:hAnsi="Simplified Arabic" w:cs="Simplified Arabic"/>
          <w:color w:val="000000" w:themeColor="text1"/>
        </w:rPr>
        <w:t>.</w:t>
      </w:r>
    </w:p>
    <w:p w14:paraId="0EB5A0C6"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tl/>
        </w:rPr>
      </w:pPr>
      <w:r w:rsidRPr="00C43A02">
        <w:rPr>
          <w:rFonts w:ascii="Simplified Arabic" w:hAnsi="Simplified Arabic" w:cs="Simplified Arabic"/>
          <w:b/>
          <w:bCs/>
          <w:color w:val="000000" w:themeColor="text1"/>
          <w:sz w:val="24"/>
          <w:szCs w:val="24"/>
          <w:rtl/>
        </w:rPr>
        <w:t>متغيرات الدراسة</w:t>
      </w:r>
      <w:bookmarkEnd w:id="77"/>
    </w:p>
    <w:p w14:paraId="4741184C" w14:textId="77777777" w:rsidR="00C43A02" w:rsidRDefault="00C43A02" w:rsidP="00C43A02">
      <w:pPr>
        <w:pStyle w:val="NormalWeb"/>
        <w:bidi/>
        <w:spacing w:after="240" w:afterAutospacing="0" w:line="360" w:lineRule="auto"/>
        <w:jc w:val="lowKashida"/>
        <w:rPr>
          <w:rFonts w:ascii="Simplified Arabic" w:hAnsi="Simplified Arabic" w:cs="Simplified Arabic"/>
          <w:color w:val="000000" w:themeColor="text1"/>
          <w:rtl/>
        </w:rPr>
      </w:pPr>
      <w:r w:rsidRPr="00C43A02">
        <w:rPr>
          <w:rFonts w:ascii="Simplified Arabic" w:hAnsi="Simplified Arabic" w:cs="Simplified Arabic"/>
          <w:color w:val="000000" w:themeColor="text1"/>
          <w:rtl/>
        </w:rPr>
        <w:t>تتضمن الدراسة متغيراً مستقلاً يتمثل في الشراكات بين القطاعين العام والخاص في قطاع البيئة، ويشمل أبعاداً تتمثل في الإطار التشريعي والتنظيمي للشراكات، وتوزيع الأدوار والمسؤوليات، ومستوى التنسيق وتبادل المعلومات، وإدارة الموارد والتمويل، وآليات الرقابة وإدارة المخاطر</w:t>
      </w:r>
      <w:r w:rsidRPr="00C43A02">
        <w:rPr>
          <w:rFonts w:ascii="Simplified Arabic" w:hAnsi="Simplified Arabic" w:cs="Simplified Arabic"/>
          <w:color w:val="000000" w:themeColor="text1"/>
        </w:rPr>
        <w:t>.</w:t>
      </w:r>
    </w:p>
    <w:p w14:paraId="4A2709FE" w14:textId="12E3C674"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كما تتضمن الدراسة متغيراً تابعاً يتمثل في فاعلية الحوكمة البيئية وإدارة الأداء في مجال التفتيش البيئي، ويشمل أبعاداً تتمثل في الكفاءة التشغيلية للتفتيش البيئي، وجودة الرقابة والامتثال البيئي، والشفافية والمساءلة، وتحسين الأداء البيئي، والاستدامة المؤسسية</w:t>
      </w:r>
      <w:r w:rsidRPr="00C43A02">
        <w:rPr>
          <w:rFonts w:ascii="Simplified Arabic" w:hAnsi="Simplified Arabic" w:cs="Simplified Arabic"/>
          <w:color w:val="000000" w:themeColor="text1"/>
        </w:rPr>
        <w:t>.</w:t>
      </w:r>
    </w:p>
    <w:p w14:paraId="56B73016"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Pr>
      </w:pPr>
      <w:bookmarkStart w:id="78" w:name="_Toc233202839"/>
      <w:r w:rsidRPr="00C43A02">
        <w:rPr>
          <w:rFonts w:ascii="Simplified Arabic" w:hAnsi="Simplified Arabic" w:cs="Simplified Arabic"/>
          <w:b/>
          <w:bCs/>
          <w:color w:val="000000" w:themeColor="text1"/>
          <w:sz w:val="24"/>
          <w:szCs w:val="24"/>
          <w:rtl/>
        </w:rPr>
        <w:t>إجراءات تنفيذ الدراسة</w:t>
      </w:r>
      <w:bookmarkEnd w:id="78"/>
    </w:p>
    <w:p w14:paraId="4CBC9B86"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بدأت الدراسة بمراجعة الأدبيات العلمية والدراسات السابقة المتعلقة بالشراكات بين القطاعين العام والخاص والحوكمة البيئية وإدارة الأداء، وذلك بهدف بناء الإطار النظري وتحديد متغيرات الدراسة وأبعادها. ثم تم إعداد أداة الدراسة وتحكيمها من قبل المختصين وإجراء الدراسة الاستطلاعية للتحقق من صدقها وثباتها</w:t>
      </w:r>
      <w:r w:rsidRPr="00C43A02">
        <w:rPr>
          <w:rFonts w:ascii="Simplified Arabic" w:hAnsi="Simplified Arabic" w:cs="Simplified Arabic"/>
          <w:color w:val="000000" w:themeColor="text1"/>
        </w:rPr>
        <w:t>.</w:t>
      </w:r>
    </w:p>
    <w:p w14:paraId="7AA75438"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بعد ذلك سيتم توزيع الاستبانة على أفراد العينة البالغ عددهم (260) مفردة وجمع البيانات اللازمة، ثم تنظيم البيانات وترميزها وإدخالها إلى البرامج الإحصائية المناسبة لتحليلها. وفي ضوء النتائج التي سيتم التوصل إليها، سيعمل الباحث على بناء نموذج مقترح للحوكمة البيئية وإدارة الأداء في مجال التفتيش البيئي بالمملكة العربية السعودية وتقديم مجموعة من التوصيات المناسبة</w:t>
      </w:r>
      <w:r w:rsidRPr="00C43A02">
        <w:rPr>
          <w:rFonts w:ascii="Simplified Arabic" w:hAnsi="Simplified Arabic" w:cs="Simplified Arabic"/>
          <w:color w:val="000000" w:themeColor="text1"/>
        </w:rPr>
        <w:t>.</w:t>
      </w:r>
    </w:p>
    <w:p w14:paraId="0056E1CF" w14:textId="77777777" w:rsidR="00C43A02" w:rsidRPr="00C43A02" w:rsidRDefault="00C43A02" w:rsidP="00C43A02">
      <w:pPr>
        <w:pStyle w:val="Heading2"/>
        <w:bidi/>
        <w:spacing w:after="240" w:line="360" w:lineRule="auto"/>
        <w:jc w:val="lowKashida"/>
        <w:rPr>
          <w:rFonts w:ascii="Simplified Arabic" w:hAnsi="Simplified Arabic" w:cs="Simplified Arabic"/>
          <w:b/>
          <w:bCs/>
          <w:color w:val="000000" w:themeColor="text1"/>
          <w:sz w:val="24"/>
          <w:szCs w:val="24"/>
        </w:rPr>
      </w:pPr>
      <w:bookmarkStart w:id="79" w:name="_Toc233202840"/>
      <w:r w:rsidRPr="00C43A02">
        <w:rPr>
          <w:rFonts w:ascii="Simplified Arabic" w:hAnsi="Simplified Arabic" w:cs="Simplified Arabic"/>
          <w:b/>
          <w:bCs/>
          <w:color w:val="000000" w:themeColor="text1"/>
          <w:sz w:val="24"/>
          <w:szCs w:val="24"/>
          <w:rtl/>
        </w:rPr>
        <w:lastRenderedPageBreak/>
        <w:t>تصميم الدراسة والمعالجة الإحصائية</w:t>
      </w:r>
      <w:bookmarkEnd w:id="79"/>
    </w:p>
    <w:p w14:paraId="2021603F" w14:textId="77777777" w:rsidR="00C43A02" w:rsidRPr="00C43A02" w:rsidRDefault="00C43A02" w:rsidP="00C43A02">
      <w:pPr>
        <w:pStyle w:val="NormalWeb"/>
        <w:bidi/>
        <w:spacing w:after="240" w:afterAutospacing="0" w:line="360" w:lineRule="auto"/>
        <w:jc w:val="lowKashida"/>
        <w:rPr>
          <w:rFonts w:ascii="Simplified Arabic" w:hAnsi="Simplified Arabic" w:cs="Simplified Arabic"/>
          <w:color w:val="000000" w:themeColor="text1"/>
        </w:rPr>
      </w:pPr>
      <w:r w:rsidRPr="00C43A02">
        <w:rPr>
          <w:rFonts w:ascii="Simplified Arabic" w:hAnsi="Simplified Arabic" w:cs="Simplified Arabic"/>
          <w:color w:val="000000" w:themeColor="text1"/>
          <w:rtl/>
        </w:rPr>
        <w:t>تعتمد الدراسة على التصميم الوصفي التحليلي، حيث يتم جمع البيانات من أفراد العينة وتحليلها بهدف وصف الواقع الحالي للشراكات بين القطاعين العام والخاص في قطاع البيئة وتحديد أثرها في الحوكمة البيئية وإدارة الأداء. ويُعد هذا التصميم مناسباً لطبيعة الدراسة وأهدافها، نظراً لقدرته على تفسير العلاقات بين المتغيرات واستخلاص النتائج العلمية المرتبطة بها</w:t>
      </w:r>
      <w:r w:rsidRPr="00C43A02">
        <w:rPr>
          <w:rFonts w:ascii="Simplified Arabic" w:hAnsi="Simplified Arabic" w:cs="Simplified Arabic"/>
          <w:color w:val="000000" w:themeColor="text1"/>
        </w:rPr>
        <w:t>.</w:t>
      </w:r>
    </w:p>
    <w:p w14:paraId="3B762482" w14:textId="77777777" w:rsidR="00C43A02" w:rsidRDefault="00C43A02" w:rsidP="008769F3">
      <w:pPr>
        <w:pStyle w:val="NormalWeb"/>
        <w:bidi/>
        <w:spacing w:after="240" w:afterAutospacing="0" w:line="360" w:lineRule="auto"/>
        <w:jc w:val="both"/>
        <w:rPr>
          <w:rFonts w:ascii="Simplified Arabic" w:hAnsi="Simplified Arabic" w:cs="Simplified Arabic"/>
          <w:color w:val="000000" w:themeColor="text1"/>
          <w:rtl/>
        </w:rPr>
      </w:pPr>
      <w:r w:rsidRPr="00C43A02">
        <w:rPr>
          <w:rFonts w:ascii="Simplified Arabic" w:hAnsi="Simplified Arabic" w:cs="Simplified Arabic"/>
          <w:color w:val="000000" w:themeColor="text1"/>
          <w:rtl/>
        </w:rPr>
        <w:t>وسيتم تحليل البيانات باستخدام برنامج الحزم الإحصائية للعلوم الاجتماعية</w:t>
      </w:r>
      <w:r w:rsidRPr="00C43A02">
        <w:rPr>
          <w:rFonts w:ascii="Simplified Arabic" w:hAnsi="Simplified Arabic" w:cs="Simplified Arabic"/>
          <w:color w:val="000000" w:themeColor="text1"/>
        </w:rPr>
        <w:t xml:space="preserve"> (SPSS)</w:t>
      </w:r>
      <w:r w:rsidRPr="00C43A02">
        <w:rPr>
          <w:rFonts w:ascii="Simplified Arabic" w:hAnsi="Simplified Arabic" w:cs="Simplified Arabic"/>
          <w:color w:val="000000" w:themeColor="text1"/>
          <w:rtl/>
        </w:rPr>
        <w:t>، وذلك من خلال استخدام التكرارات والنسب المئوية والمتوسطات الحسابية والانحرافات المعيارية لوصف خصائص العينة ومستويات الاستجابة. كما سيتم استخدام معامل ألفا كرونباخ لقياس ثبات الأداة، ومعامل ارتباط بيرسون لدراسة العلاقات بين المتغيرات، وتحليل الانحدار المتعدد لاختبار أثر الشراكات بين القطاعين العام والخاص في فاعلية الحوكمة البيئية وإدارة الأداء، بالإضافة إلى استخدام اختبار</w:t>
      </w:r>
      <w:r w:rsidRPr="00C43A02">
        <w:rPr>
          <w:rFonts w:ascii="Simplified Arabic" w:hAnsi="Simplified Arabic" w:cs="Simplified Arabic"/>
          <w:color w:val="000000" w:themeColor="text1"/>
        </w:rPr>
        <w:t xml:space="preserve"> (T-Test) </w:t>
      </w:r>
      <w:r w:rsidRPr="00C43A02">
        <w:rPr>
          <w:rFonts w:ascii="Simplified Arabic" w:hAnsi="Simplified Arabic" w:cs="Simplified Arabic"/>
          <w:color w:val="000000" w:themeColor="text1"/>
          <w:rtl/>
        </w:rPr>
        <w:t>وتحليل التباين الأحادي</w:t>
      </w:r>
      <w:r w:rsidRPr="00C43A02">
        <w:rPr>
          <w:rFonts w:ascii="Simplified Arabic" w:hAnsi="Simplified Arabic" w:cs="Simplified Arabic"/>
          <w:color w:val="000000" w:themeColor="text1"/>
        </w:rPr>
        <w:t xml:space="preserve"> (ANOVA) </w:t>
      </w:r>
      <w:r w:rsidRPr="00C43A02">
        <w:rPr>
          <w:rFonts w:ascii="Simplified Arabic" w:hAnsi="Simplified Arabic" w:cs="Simplified Arabic"/>
          <w:color w:val="000000" w:themeColor="text1"/>
          <w:rtl/>
        </w:rPr>
        <w:t>عند الحاجة لدراسة الفروق بين استجابات أفراد العينة وفقاً للمتغيرات الديموغرافية والوظيفية</w:t>
      </w:r>
      <w:r w:rsidRPr="00C43A02">
        <w:rPr>
          <w:rFonts w:ascii="Simplified Arabic" w:hAnsi="Simplified Arabic" w:cs="Simplified Arabic"/>
          <w:color w:val="000000" w:themeColor="text1"/>
        </w:rPr>
        <w:t>.</w:t>
      </w:r>
    </w:p>
    <w:p w14:paraId="48E4663E"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53D8038D"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2F604C8C"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26E629B5"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16136C3D" w14:textId="77777777" w:rsidR="00EE25C0" w:rsidRDefault="00EE25C0" w:rsidP="00EE25C0">
      <w:pPr>
        <w:pStyle w:val="NormalWeb"/>
        <w:bidi/>
        <w:spacing w:after="240" w:afterAutospacing="0" w:line="360" w:lineRule="auto"/>
        <w:jc w:val="both"/>
        <w:rPr>
          <w:rFonts w:ascii="Simplified Arabic" w:hAnsi="Simplified Arabic" w:cs="Simplified Arabic"/>
          <w:color w:val="000000" w:themeColor="text1"/>
          <w:rtl/>
        </w:rPr>
      </w:pPr>
    </w:p>
    <w:p w14:paraId="26DE3F0D" w14:textId="77777777" w:rsidR="00EE25C0" w:rsidRPr="00C43A02" w:rsidRDefault="00EE25C0" w:rsidP="00EE25C0">
      <w:pPr>
        <w:pStyle w:val="NormalWeb"/>
        <w:bidi/>
        <w:spacing w:after="240" w:afterAutospacing="0" w:line="360" w:lineRule="auto"/>
        <w:jc w:val="both"/>
        <w:rPr>
          <w:rFonts w:ascii="Simplified Arabic" w:hAnsi="Simplified Arabic" w:cs="Simplified Arabic"/>
          <w:color w:val="000000" w:themeColor="text1"/>
        </w:rPr>
      </w:pPr>
    </w:p>
    <w:p w14:paraId="56C63B66" w14:textId="2EE3B3F2" w:rsidR="00DD48D8" w:rsidRPr="005D59A7" w:rsidRDefault="00DD48D8" w:rsidP="0048002A">
      <w:pPr>
        <w:pStyle w:val="Heading1"/>
        <w:bidi/>
        <w:rPr>
          <w:rFonts w:ascii="T" w:eastAsia="Calibri" w:hAnsi="T" w:cs="Simplified Arabic"/>
          <w:color w:val="auto"/>
          <w:sz w:val="24"/>
          <w:szCs w:val="24"/>
          <w:lang w:bidi="ar-EG"/>
        </w:rPr>
      </w:pPr>
      <w:bookmarkStart w:id="80" w:name="_Hlk225644657"/>
      <w:bookmarkEnd w:id="0"/>
      <w:bookmarkEnd w:id="36"/>
    </w:p>
    <w:p w14:paraId="2F850BC5" w14:textId="351737D8" w:rsidR="00A63F47" w:rsidRPr="002D33E8" w:rsidRDefault="00A63F47" w:rsidP="00DD48D8">
      <w:pPr>
        <w:pStyle w:val="Heading1"/>
        <w:bidi/>
        <w:rPr>
          <w:rFonts w:ascii="T" w:eastAsia="Calibri" w:hAnsi="T" w:cs="Simplified Arabic"/>
          <w:b/>
          <w:bCs/>
          <w:color w:val="auto"/>
          <w:sz w:val="24"/>
          <w:szCs w:val="24"/>
          <w:rtl/>
          <w:lang w:bidi="ar-EG"/>
        </w:rPr>
      </w:pPr>
      <w:bookmarkStart w:id="81" w:name="_Toc233202841"/>
      <w:r w:rsidRPr="002D33E8">
        <w:rPr>
          <w:rFonts w:ascii="T" w:eastAsia="Calibri" w:hAnsi="T" w:cs="Simplified Arabic"/>
          <w:b/>
          <w:bCs/>
          <w:color w:val="auto"/>
          <w:sz w:val="24"/>
          <w:szCs w:val="24"/>
          <w:rtl/>
          <w:lang w:bidi="ar-EG"/>
        </w:rPr>
        <w:t>قائمة المراجع</w:t>
      </w:r>
      <w:bookmarkEnd w:id="81"/>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hyperlink r:id="rId37" w:history="1">
        <w:r w:rsidRPr="005D59A7">
          <w:rPr>
            <w:rFonts w:ascii="T" w:eastAsia="Calibri" w:hAnsi="T" w:cs="Simplified Arabic"/>
            <w:sz w:val="24"/>
            <w:szCs w:val="24"/>
            <w:u w:val="single"/>
            <w:lang w:bidi="ar-EG"/>
          </w:rPr>
          <w:t>https://www.vision2030.gov.sa</w:t>
        </w:r>
      </w:hyperlink>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 xml:space="preserve">Journal of </w:t>
      </w:r>
      <w:proofErr w:type="spellStart"/>
      <w:r w:rsidRPr="005D59A7">
        <w:rPr>
          <w:rFonts w:ascii="T" w:eastAsia="Calibri" w:hAnsi="T" w:cs="Simplified Arabic"/>
          <w:sz w:val="24"/>
          <w:szCs w:val="24"/>
          <w:lang w:bidi="ar-EG"/>
        </w:rPr>
        <w:t>Madenat</w:t>
      </w:r>
      <w:proofErr w:type="spellEnd"/>
      <w:r w:rsidRPr="005D59A7">
        <w:rPr>
          <w:rFonts w:ascii="T" w:eastAsia="Calibri" w:hAnsi="T" w:cs="Simplified Arabic"/>
          <w:sz w:val="24"/>
          <w:szCs w:val="24"/>
          <w:lang w:bidi="ar-EG"/>
        </w:rPr>
        <w:t xml:space="preserve"> </w:t>
      </w:r>
      <w:proofErr w:type="spellStart"/>
      <w:r w:rsidRPr="005D59A7">
        <w:rPr>
          <w:rFonts w:ascii="T" w:eastAsia="Calibri" w:hAnsi="T" w:cs="Simplified Arabic"/>
          <w:sz w:val="24"/>
          <w:szCs w:val="24"/>
          <w:lang w:bidi="ar-EG"/>
        </w:rPr>
        <w:t>Alelem</w:t>
      </w:r>
      <w:proofErr w:type="spellEnd"/>
      <w:r w:rsidRPr="005D59A7">
        <w:rPr>
          <w:rFonts w:ascii="T" w:eastAsia="Calibri" w:hAnsi="T" w:cs="Simplified Arabic"/>
          <w:sz w:val="24"/>
          <w:szCs w:val="24"/>
          <w:lang w:bidi="ar-EG"/>
        </w:rPr>
        <w:t xml:space="preserve">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proofErr w:type="spellStart"/>
      <w:r w:rsidRPr="005D59A7">
        <w:rPr>
          <w:rFonts w:ascii="T" w:eastAsia="Calibri" w:hAnsi="T" w:cs="Simplified Arabic"/>
          <w:sz w:val="24"/>
          <w:szCs w:val="24"/>
          <w:lang w:bidi="ar-EG"/>
        </w:rPr>
        <w:t>Enterprenuership</w:t>
      </w:r>
      <w:proofErr w:type="spellEnd"/>
      <w:r w:rsidRPr="005D59A7">
        <w:rPr>
          <w:rFonts w:ascii="T" w:eastAsia="Calibri" w:hAnsi="T" w:cs="Simplified Arabic"/>
          <w:sz w:val="24"/>
          <w:szCs w:val="24"/>
          <w:lang w:bidi="ar-EG"/>
        </w:rPr>
        <w:t xml:space="preserve"> Journal </w:t>
      </w:r>
      <w:proofErr w:type="gramStart"/>
      <w:r w:rsidRPr="005D59A7">
        <w:rPr>
          <w:rFonts w:ascii="T" w:eastAsia="Calibri" w:hAnsi="T" w:cs="Simplified Arabic"/>
          <w:sz w:val="24"/>
          <w:szCs w:val="24"/>
          <w:lang w:bidi="ar-EG"/>
        </w:rPr>
        <w:t>For</w:t>
      </w:r>
      <w:proofErr w:type="gramEnd"/>
      <w:r w:rsidRPr="005D59A7">
        <w:rPr>
          <w:rFonts w:ascii="T" w:eastAsia="Calibri" w:hAnsi="T" w:cs="Simplified Arabic"/>
          <w:sz w:val="24"/>
          <w:szCs w:val="24"/>
          <w:lang w:bidi="ar-EG"/>
        </w:rPr>
        <w:t xml:space="preserve"> Finance and </w:t>
      </w:r>
      <w:proofErr w:type="spellStart"/>
      <w:r w:rsidRPr="005D59A7">
        <w:rPr>
          <w:rFonts w:ascii="T" w:eastAsia="Calibri" w:hAnsi="T" w:cs="Simplified Arabic"/>
          <w:sz w:val="24"/>
          <w:szCs w:val="24"/>
          <w:lang w:bidi="ar-EG"/>
        </w:rPr>
        <w:t>Bussiness</w:t>
      </w:r>
      <w:proofErr w:type="spellEnd"/>
      <w:r w:rsidRPr="005D59A7">
        <w:rPr>
          <w:rFonts w:ascii="T" w:eastAsia="Calibri" w:hAnsi="T" w:cs="Simplified Arabic"/>
          <w:sz w:val="24"/>
          <w:szCs w:val="24"/>
          <w:lang w:bidi="ar-EG"/>
        </w:rPr>
        <w:t>,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Default="002D33E8" w:rsidP="002D33E8">
      <w:pPr>
        <w:bidi/>
        <w:jc w:val="both"/>
        <w:rPr>
          <w:rFonts w:ascii="T" w:eastAsia="Calibri" w:hAnsi="T" w:cs="Simplified Arabic"/>
          <w:sz w:val="24"/>
          <w:szCs w:val="24"/>
          <w:lang w:bidi="ar-EG"/>
        </w:rPr>
      </w:pPr>
    </w:p>
    <w:p w14:paraId="6A88E20D" w14:textId="77777777" w:rsidR="00097C13" w:rsidRPr="005D59A7" w:rsidRDefault="00097C13" w:rsidP="00097C13">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lastRenderedPageBreak/>
        <w:t>ثانيا المراجع الأجنبية</w:t>
      </w:r>
    </w:p>
    <w:p w14:paraId="70695D1B" w14:textId="77777777" w:rsidR="00A63F47" w:rsidRPr="005D59A7" w:rsidRDefault="00A63F47" w:rsidP="00A63F47">
      <w:pPr>
        <w:rPr>
          <w:rFonts w:ascii="T" w:eastAsia="Calibri" w:hAnsi="T" w:cs="Arial"/>
          <w:lang w:bidi="ar-EG"/>
        </w:rPr>
      </w:pPr>
      <w:hyperlink r:id="rId38"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Tahat</w:t>
      </w:r>
      <w:proofErr w:type="spellEnd"/>
      <w:r w:rsidRPr="005D59A7">
        <w:rPr>
          <w:rFonts w:ascii="T" w:eastAsia="Calibri" w:hAnsi="T" w:cs="Arial"/>
          <w:lang w:bidi="ar-EG"/>
        </w:rPr>
        <w:t>, K. (2014). Knowledge management: public private participation (</w:t>
      </w:r>
      <w:proofErr w:type="spellStart"/>
      <w:r w:rsidRPr="005D59A7">
        <w:rPr>
          <w:rFonts w:ascii="T" w:eastAsia="Calibri" w:hAnsi="T" w:cs="Arial"/>
          <w:lang w:bidi="ar-EG"/>
        </w:rPr>
        <w:t>Ppps</w:t>
      </w:r>
      <w:proofErr w:type="spellEnd"/>
      <w:r w:rsidRPr="005D59A7">
        <w:rPr>
          <w:rFonts w:ascii="T" w:eastAsia="Calibri" w:hAnsi="T" w:cs="Arial"/>
          <w:lang w:bidi="ar-EG"/>
        </w:rPr>
        <w:t xml:space="preserve">) in the Kingdom of Saudi </w:t>
      </w:r>
      <w:proofErr w:type="spellStart"/>
      <w:proofErr w:type="gramStart"/>
      <w:r w:rsidRPr="005D59A7">
        <w:rPr>
          <w:rFonts w:ascii="T" w:eastAsia="Calibri" w:hAnsi="T" w:cs="Arial"/>
          <w:lang w:bidi="ar-EG"/>
        </w:rPr>
        <w:t>Arabia:“</w:t>
      </w:r>
      <w:proofErr w:type="gramEnd"/>
      <w:r w:rsidRPr="005D59A7">
        <w:rPr>
          <w:rFonts w:ascii="T" w:eastAsia="Calibri" w:hAnsi="T" w:cs="Arial"/>
          <w:lang w:bidi="ar-EG"/>
        </w:rPr>
        <w:t>a</w:t>
      </w:r>
      <w:proofErr w:type="spellEnd"/>
      <w:r w:rsidRPr="005D59A7">
        <w:rPr>
          <w:rFonts w:ascii="T" w:eastAsia="Calibri" w:hAnsi="T" w:cs="Arial"/>
          <w:lang w:bidi="ar-EG"/>
        </w:rPr>
        <w:t xml:space="preserve">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Dawoud, M. A., Ewea, H. A., &amp; </w:t>
      </w:r>
      <w:proofErr w:type="spellStart"/>
      <w:r w:rsidRPr="005D59A7">
        <w:rPr>
          <w:rFonts w:ascii="T" w:eastAsia="Calibri" w:hAnsi="T" w:cs="Arial"/>
          <w:lang w:bidi="ar-EG"/>
        </w:rPr>
        <w:t>Alaswad</w:t>
      </w:r>
      <w:proofErr w:type="spellEnd"/>
      <w:r w:rsidRPr="005D59A7">
        <w:rPr>
          <w:rFonts w:ascii="T" w:eastAsia="Calibri" w:hAnsi="T" w:cs="Arial"/>
          <w:lang w:bidi="ar-EG"/>
        </w:rPr>
        <w:t>,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Alkhurayji, K., Alzahrani, H. A., Alotaibi, A. S., Alharbi, A. G., </w:t>
      </w:r>
      <w:proofErr w:type="spellStart"/>
      <w:r w:rsidRPr="005D59A7">
        <w:rPr>
          <w:rFonts w:ascii="T" w:eastAsia="Calibri" w:hAnsi="T" w:cs="Arial"/>
          <w:lang w:bidi="ar-EG"/>
        </w:rPr>
        <w:t>Zandan</w:t>
      </w:r>
      <w:proofErr w:type="spellEnd"/>
      <w:r w:rsidRPr="005D59A7">
        <w:rPr>
          <w:rFonts w:ascii="T" w:eastAsia="Calibri" w:hAnsi="T" w:cs="Arial"/>
          <w:lang w:bidi="ar-EG"/>
        </w:rPr>
        <w:t xml:space="preserve">, A. A., </w:t>
      </w:r>
      <w:proofErr w:type="spellStart"/>
      <w:r w:rsidRPr="005D59A7">
        <w:rPr>
          <w:rFonts w:ascii="T" w:eastAsia="Calibri" w:hAnsi="T" w:cs="Arial"/>
          <w:lang w:bidi="ar-EG"/>
        </w:rPr>
        <w:t>Alsheikhi</w:t>
      </w:r>
      <w:proofErr w:type="spellEnd"/>
      <w:r w:rsidRPr="005D59A7">
        <w:rPr>
          <w:rFonts w:ascii="T" w:eastAsia="Calibri" w:hAnsi="T" w:cs="Arial"/>
          <w:lang w:bidi="ar-EG"/>
        </w:rPr>
        <w:t xml:space="preserve">, H., ... &amp; </w:t>
      </w:r>
      <w:proofErr w:type="spellStart"/>
      <w:r w:rsidRPr="005D59A7">
        <w:rPr>
          <w:rFonts w:ascii="T" w:eastAsia="Calibri" w:hAnsi="T" w:cs="Arial"/>
          <w:lang w:bidi="ar-EG"/>
        </w:rPr>
        <w:t>Alsheikhi</w:t>
      </w:r>
      <w:proofErr w:type="spellEnd"/>
      <w:r w:rsidRPr="005D59A7">
        <w:rPr>
          <w:rFonts w:ascii="T" w:eastAsia="Calibri" w:hAnsi="T" w:cs="Arial"/>
          <w:lang w:bidi="ar-EG"/>
        </w:rPr>
        <w:t>,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Alshuwaikhat</w:t>
      </w:r>
      <w:proofErr w:type="spellEnd"/>
      <w:r w:rsidRPr="005D59A7">
        <w:rPr>
          <w:rFonts w:ascii="T" w:eastAsia="Calibri" w:hAnsi="T" w:cs="Arial"/>
          <w:lang w:bidi="ar-EG"/>
        </w:rPr>
        <w:t xml:space="preserve">, H. M., Adenle, Y. A., &amp; </w:t>
      </w:r>
      <w:proofErr w:type="spellStart"/>
      <w:r w:rsidRPr="005D59A7">
        <w:rPr>
          <w:rFonts w:ascii="T" w:eastAsia="Calibri" w:hAnsi="T" w:cs="Arial"/>
          <w:lang w:bidi="ar-EG"/>
        </w:rPr>
        <w:t>Alotaishan</w:t>
      </w:r>
      <w:proofErr w:type="spellEnd"/>
      <w:r w:rsidRPr="005D59A7">
        <w:rPr>
          <w:rFonts w:ascii="T" w:eastAsia="Calibri" w:hAnsi="T" w:cs="Arial"/>
          <w:lang w:bidi="ar-EG"/>
        </w:rPr>
        <w:t xml:space="preserve">, T. N. (2023). The development of a grey relational analysis-based composite index for environmental sustainability assessment: Towards a net-zero emissions strategy in Saudi Arabia. </w:t>
      </w:r>
      <w:proofErr w:type="spellStart"/>
      <w:r w:rsidRPr="005D59A7">
        <w:rPr>
          <w:rFonts w:ascii="T" w:eastAsia="Calibri" w:hAnsi="T" w:cs="Arial"/>
          <w:lang w:bidi="ar-EG"/>
        </w:rPr>
        <w:t>Heliyon</w:t>
      </w:r>
      <w:proofErr w:type="spellEnd"/>
      <w:r w:rsidRPr="005D59A7">
        <w:rPr>
          <w:rFonts w:ascii="T" w:eastAsia="Calibri" w:hAnsi="T" w:cs="Arial"/>
          <w:lang w:bidi="ar-EG"/>
        </w:rPr>
        <w:t>, 9(7).</w:t>
      </w:r>
    </w:p>
    <w:p w14:paraId="1E7FE9D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Odnoletkova</w:t>
      </w:r>
      <w:proofErr w:type="spellEnd"/>
      <w:r w:rsidRPr="005D59A7">
        <w:rPr>
          <w:rFonts w:ascii="T" w:eastAsia="Calibri" w:hAnsi="T" w:cs="Arial"/>
          <w:lang w:bidi="ar-EG"/>
        </w:rPr>
        <w:t xml:space="preserve">, N., &amp; </w:t>
      </w:r>
      <w:proofErr w:type="spellStart"/>
      <w:r w:rsidRPr="005D59A7">
        <w:rPr>
          <w:rFonts w:ascii="T" w:eastAsia="Calibri" w:hAnsi="T" w:cs="Arial"/>
          <w:lang w:bidi="ar-EG"/>
        </w:rPr>
        <w:t>Patzek</w:t>
      </w:r>
      <w:proofErr w:type="spellEnd"/>
      <w:r w:rsidRPr="005D59A7">
        <w:rPr>
          <w:rFonts w:ascii="T" w:eastAsia="Calibri" w:hAnsi="T" w:cs="Arial"/>
          <w:lang w:bidi="ar-EG"/>
        </w:rPr>
        <w:t xml:space="preserve">, T. W. (2023). Water resources in Saudi Arabia: trends in rainfall, water consumption, and analysis of agricultural water footprint. </w:t>
      </w:r>
      <w:proofErr w:type="spellStart"/>
      <w:r w:rsidRPr="005D59A7">
        <w:rPr>
          <w:rFonts w:ascii="T" w:eastAsia="Calibri" w:hAnsi="T" w:cs="Arial"/>
          <w:lang w:bidi="ar-EG"/>
        </w:rPr>
        <w:t>npj</w:t>
      </w:r>
      <w:proofErr w:type="spellEnd"/>
      <w:r w:rsidRPr="005D59A7">
        <w:rPr>
          <w:rFonts w:ascii="T" w:eastAsia="Calibri" w:hAnsi="T" w:cs="Arial"/>
          <w:lang w:bidi="ar-EG"/>
        </w:rPr>
        <w:t xml:space="preserve">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Algamdy</w:t>
      </w:r>
      <w:proofErr w:type="spellEnd"/>
      <w:r w:rsidRPr="005D59A7">
        <w:rPr>
          <w:rFonts w:ascii="T" w:eastAsia="Calibri" w:hAnsi="T" w:cs="Arial"/>
          <w:lang w:bidi="ar-EG"/>
        </w:rPr>
        <w:t xml:space="preserve">, N. G. (2022). Regulation weakness and lack of public awareness </w:t>
      </w:r>
      <w:proofErr w:type="gramStart"/>
      <w:r w:rsidRPr="005D59A7">
        <w:rPr>
          <w:rFonts w:ascii="T" w:eastAsia="Calibri" w:hAnsi="T" w:cs="Arial"/>
          <w:lang w:bidi="ar-EG"/>
        </w:rPr>
        <w:t>has</w:t>
      </w:r>
      <w:proofErr w:type="gramEnd"/>
      <w:r w:rsidRPr="005D59A7">
        <w:rPr>
          <w:rFonts w:ascii="T" w:eastAsia="Calibri" w:hAnsi="T" w:cs="Arial"/>
          <w:lang w:bidi="ar-EG"/>
        </w:rPr>
        <w:t xml:space="preserve"> impeded the implementation of environmental policies in Saudi Arabia</w:t>
      </w:r>
      <w:bookmarkEnd w:id="80"/>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lastRenderedPageBreak/>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Abdul, S., </w:t>
      </w:r>
      <w:proofErr w:type="spellStart"/>
      <w:r w:rsidRPr="005D59A7">
        <w:rPr>
          <w:rFonts w:ascii="T" w:eastAsia="Calibri" w:hAnsi="T" w:cs="Arial"/>
          <w:lang w:bidi="ar-EG"/>
        </w:rPr>
        <w:t>Adeghe</w:t>
      </w:r>
      <w:proofErr w:type="spellEnd"/>
      <w:r w:rsidRPr="005D59A7">
        <w:rPr>
          <w:rFonts w:ascii="T" w:eastAsia="Calibri" w:hAnsi="T" w:cs="Arial"/>
          <w:lang w:bidi="ar-EG"/>
        </w:rPr>
        <w:t>,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Ogunode</w:t>
      </w:r>
      <w:proofErr w:type="spellEnd"/>
      <w:r w:rsidRPr="005D59A7">
        <w:rPr>
          <w:rFonts w:ascii="T" w:eastAsia="Calibri" w:hAnsi="T" w:cs="Arial"/>
          <w:lang w:bidi="ar-EG"/>
        </w:rPr>
        <w:t xml:space="preserve">, N. J., </w:t>
      </w:r>
      <w:proofErr w:type="spellStart"/>
      <w:r w:rsidRPr="005D59A7">
        <w:rPr>
          <w:rFonts w:ascii="T" w:eastAsia="Calibri" w:hAnsi="T" w:cs="Arial"/>
          <w:lang w:bidi="ar-EG"/>
        </w:rPr>
        <w:t>Edinoh</w:t>
      </w:r>
      <w:proofErr w:type="spellEnd"/>
      <w:r w:rsidRPr="005D59A7">
        <w:rPr>
          <w:rFonts w:ascii="T" w:eastAsia="Calibri" w:hAnsi="T" w:cs="Arial"/>
          <w:lang w:bidi="ar-EG"/>
        </w:rPr>
        <w:t>,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Newig</w:t>
      </w:r>
      <w:proofErr w:type="spellEnd"/>
      <w:r w:rsidRPr="005D59A7">
        <w:rPr>
          <w:rFonts w:ascii="T" w:eastAsia="Calibri" w:hAnsi="T" w:cs="Arial"/>
          <w:lang w:bidi="ar-EG"/>
        </w:rPr>
        <w:t xml:space="preserve">, J., Jager, N. W., </w:t>
      </w:r>
      <w:proofErr w:type="spellStart"/>
      <w:r w:rsidRPr="005D59A7">
        <w:rPr>
          <w:rFonts w:ascii="T" w:eastAsia="Calibri" w:hAnsi="T" w:cs="Arial"/>
          <w:lang w:bidi="ar-EG"/>
        </w:rPr>
        <w:t>Challies</w:t>
      </w:r>
      <w:proofErr w:type="spellEnd"/>
      <w:r w:rsidRPr="005D59A7">
        <w:rPr>
          <w:rFonts w:ascii="T" w:eastAsia="Calibri" w:hAnsi="T" w:cs="Arial"/>
          <w:lang w:bidi="ar-EG"/>
        </w:rPr>
        <w:t xml:space="preserve">, E., &amp; </w:t>
      </w:r>
      <w:proofErr w:type="spellStart"/>
      <w:r w:rsidRPr="005D59A7">
        <w:rPr>
          <w:rFonts w:ascii="T" w:eastAsia="Calibri" w:hAnsi="T" w:cs="Arial"/>
          <w:lang w:bidi="ar-EG"/>
        </w:rPr>
        <w:t>Kochskämper</w:t>
      </w:r>
      <w:proofErr w:type="spellEnd"/>
      <w:r w:rsidRPr="005D59A7">
        <w:rPr>
          <w:rFonts w:ascii="T" w:eastAsia="Calibri" w:hAnsi="T" w:cs="Arial"/>
          <w:lang w:bidi="ar-EG"/>
        </w:rPr>
        <w:t>,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Sörlin</w:t>
      </w:r>
      <w:proofErr w:type="spellEnd"/>
      <w:r w:rsidRPr="005D59A7">
        <w:rPr>
          <w:rFonts w:ascii="T" w:eastAsia="Calibri" w:hAnsi="T" w:cs="Arial"/>
          <w:lang w:bidi="ar-EG"/>
        </w:rPr>
        <w:t xml:space="preserve">, S., Warde, P., Akerman, I., Höglund Hellgren, J., </w:t>
      </w:r>
      <w:proofErr w:type="spellStart"/>
      <w:r w:rsidRPr="005D59A7">
        <w:rPr>
          <w:rFonts w:ascii="T" w:eastAsia="Calibri" w:hAnsi="T" w:cs="Arial"/>
          <w:lang w:bidi="ar-EG"/>
        </w:rPr>
        <w:t>Höhler</w:t>
      </w:r>
      <w:proofErr w:type="spellEnd"/>
      <w:r w:rsidRPr="005D59A7">
        <w:rPr>
          <w:rFonts w:ascii="T" w:eastAsia="Calibri" w:hAnsi="T" w:cs="Arial"/>
          <w:lang w:bidi="ar-EG"/>
        </w:rPr>
        <w:t xml:space="preserve">, S., Isberg, E., ... &amp; Schrøder, T. H. (2025). The great dispersal: The fall and rise of global environmental governance. </w:t>
      </w:r>
      <w:proofErr w:type="spellStart"/>
      <w:r w:rsidRPr="005D59A7">
        <w:rPr>
          <w:rFonts w:ascii="T" w:eastAsia="Calibri" w:hAnsi="T" w:cs="Arial"/>
          <w:lang w:bidi="ar-EG"/>
        </w:rPr>
        <w:t>Ambio</w:t>
      </w:r>
      <w:proofErr w:type="spellEnd"/>
      <w:r w:rsidRPr="005D59A7">
        <w:rPr>
          <w:rFonts w:ascii="T" w:eastAsia="Calibri" w:hAnsi="T" w:cs="Arial"/>
          <w:lang w:bidi="ar-EG"/>
        </w:rPr>
        <w:t>,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Bibri</w:t>
      </w:r>
      <w:proofErr w:type="spellEnd"/>
      <w:r w:rsidRPr="005D59A7">
        <w:rPr>
          <w:rFonts w:ascii="T" w:eastAsia="Calibri" w:hAnsi="T" w:cs="Arial"/>
          <w:lang w:bidi="ar-EG"/>
        </w:rPr>
        <w:t xml:space="preserve">, S. E., Huang, J., &amp; </w:t>
      </w:r>
      <w:proofErr w:type="spellStart"/>
      <w:r w:rsidRPr="005D59A7">
        <w:rPr>
          <w:rFonts w:ascii="T" w:eastAsia="Calibri" w:hAnsi="T" w:cs="Arial"/>
          <w:lang w:bidi="ar-EG"/>
        </w:rPr>
        <w:t>Krogstie</w:t>
      </w:r>
      <w:proofErr w:type="spellEnd"/>
      <w:r w:rsidRPr="005D59A7">
        <w:rPr>
          <w:rFonts w:ascii="T" w:eastAsia="Calibri" w:hAnsi="T" w:cs="Arial"/>
          <w:lang w:bidi="ar-EG"/>
        </w:rPr>
        <w:t>,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Albitar</w:t>
      </w:r>
      <w:proofErr w:type="spellEnd"/>
      <w:r w:rsidRPr="005D59A7">
        <w:rPr>
          <w:rFonts w:ascii="T" w:eastAsia="Calibri" w:hAnsi="T" w:cs="Arial"/>
          <w:lang w:bidi="ar-EG"/>
        </w:rPr>
        <w:t>,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Kloppenburg, S., Gupta, A., Kruk, S. R., Makris, S., Bergsvik, R., </w:t>
      </w:r>
      <w:proofErr w:type="spellStart"/>
      <w:r w:rsidRPr="005D59A7">
        <w:rPr>
          <w:rFonts w:ascii="T" w:eastAsia="Calibri" w:hAnsi="T" w:cs="Arial"/>
          <w:lang w:bidi="ar-EG"/>
        </w:rPr>
        <w:t>Korenhof</w:t>
      </w:r>
      <w:proofErr w:type="spellEnd"/>
      <w:r w:rsidRPr="005D59A7">
        <w:rPr>
          <w:rFonts w:ascii="T" w:eastAsia="Calibri" w:hAnsi="T" w:cs="Arial"/>
          <w:lang w:bidi="ar-EG"/>
        </w:rPr>
        <w:t xml:space="preserve">, P., ... &amp; Toonen, H. M. (2022). Scrutinizing environmental governance in a digital age: </w:t>
      </w:r>
      <w:proofErr w:type="gramStart"/>
      <w:r w:rsidRPr="005D59A7">
        <w:rPr>
          <w:rFonts w:ascii="T" w:eastAsia="Calibri" w:hAnsi="T" w:cs="Arial"/>
          <w:lang w:bidi="ar-EG"/>
        </w:rPr>
        <w:t>New</w:t>
      </w:r>
      <w:proofErr w:type="gramEnd"/>
      <w:r w:rsidRPr="005D59A7">
        <w:rPr>
          <w:rFonts w:ascii="T" w:eastAsia="Calibri" w:hAnsi="T" w:cs="Arial"/>
          <w:lang w:bidi="ar-EG"/>
        </w:rPr>
        <w:t xml:space="preserve">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 xml:space="preserve">Hodge, G. A., Greve, C., &amp; </w:t>
      </w:r>
      <w:proofErr w:type="spellStart"/>
      <w:r w:rsidRPr="005D59A7">
        <w:rPr>
          <w:rFonts w:ascii="T" w:eastAsia="Calibri" w:hAnsi="T" w:cs="Arial"/>
          <w:lang w:bidi="ar-EG"/>
        </w:rPr>
        <w:t>Biygautane</w:t>
      </w:r>
      <w:proofErr w:type="spellEnd"/>
      <w:r w:rsidRPr="005D59A7">
        <w:rPr>
          <w:rFonts w:ascii="T" w:eastAsia="Calibri" w:hAnsi="T" w:cs="Arial"/>
          <w:lang w:bidi="ar-EG"/>
        </w:rPr>
        <w:t>,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Waardenburg, M., </w:t>
      </w:r>
      <w:proofErr w:type="spellStart"/>
      <w:r w:rsidRPr="005D59A7">
        <w:rPr>
          <w:rFonts w:ascii="T" w:eastAsia="Calibri" w:hAnsi="T" w:cs="Arial"/>
          <w:lang w:bidi="ar-EG"/>
        </w:rPr>
        <w:t>Groenleer</w:t>
      </w:r>
      <w:proofErr w:type="spellEnd"/>
      <w:r w:rsidRPr="005D59A7">
        <w:rPr>
          <w:rFonts w:ascii="T" w:eastAsia="Calibri" w:hAnsi="T" w:cs="Arial"/>
          <w:lang w:bidi="ar-EG"/>
        </w:rPr>
        <w:t>,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Atmaja, D. S., </w:t>
      </w:r>
      <w:proofErr w:type="spellStart"/>
      <w:r w:rsidRPr="005D59A7">
        <w:rPr>
          <w:rFonts w:ascii="T" w:eastAsia="Calibri" w:hAnsi="T" w:cs="Arial"/>
          <w:lang w:bidi="ar-EG"/>
        </w:rPr>
        <w:t>Fachrurazi</w:t>
      </w:r>
      <w:proofErr w:type="spellEnd"/>
      <w:r w:rsidRPr="005D59A7">
        <w:rPr>
          <w:rFonts w:ascii="T" w:eastAsia="Calibri" w:hAnsi="T" w:cs="Arial"/>
          <w:lang w:bidi="ar-EG"/>
        </w:rPr>
        <w:t>,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Martiny, A., Taglialatela, J., Testa, F., &amp; </w:t>
      </w:r>
      <w:proofErr w:type="spellStart"/>
      <w:r w:rsidRPr="005D59A7">
        <w:rPr>
          <w:rFonts w:ascii="T" w:eastAsia="Calibri" w:hAnsi="T" w:cs="Arial"/>
          <w:lang w:bidi="ar-EG"/>
        </w:rPr>
        <w:t>Iraldo</w:t>
      </w:r>
      <w:proofErr w:type="spellEnd"/>
      <w:r w:rsidRPr="005D59A7">
        <w:rPr>
          <w:rFonts w:ascii="T" w:eastAsia="Calibri" w:hAnsi="T" w:cs="Arial"/>
          <w:lang w:bidi="ar-EG"/>
        </w:rPr>
        <w:t>,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Jubair, S. M. B., &amp; Singh, J. S. K. (2022). Critical success factors of Public-private Partnership (PPP) projects in the Kingdom of Saudi Arabia. </w:t>
      </w:r>
      <w:proofErr w:type="spellStart"/>
      <w:r w:rsidRPr="005D59A7">
        <w:rPr>
          <w:rFonts w:ascii="T" w:eastAsia="Calibri" w:hAnsi="T" w:cs="Arial"/>
          <w:lang w:bidi="ar-EG"/>
        </w:rPr>
        <w:t>Webology</w:t>
      </w:r>
      <w:proofErr w:type="spellEnd"/>
      <w:r w:rsidRPr="005D59A7">
        <w:rPr>
          <w:rFonts w:ascii="T" w:eastAsia="Calibri" w:hAnsi="T" w:cs="Arial"/>
          <w:lang w:bidi="ar-EG"/>
        </w:rPr>
        <w:t>,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Guerrero, A., Lara-Galera, A., Alcaraz Carrillo de Albornoz, V., &amp; Arévalo </w:t>
      </w:r>
      <w:proofErr w:type="spellStart"/>
      <w:r w:rsidRPr="005D59A7">
        <w:rPr>
          <w:rFonts w:ascii="T" w:eastAsia="Calibri" w:hAnsi="T" w:cs="Arial"/>
          <w:lang w:bidi="ar-EG"/>
        </w:rPr>
        <w:t>Sarrate</w:t>
      </w:r>
      <w:proofErr w:type="spellEnd"/>
      <w:r w:rsidRPr="005D59A7">
        <w:rPr>
          <w:rFonts w:ascii="T" w:eastAsia="Calibri" w:hAnsi="T" w:cs="Arial"/>
          <w:lang w:bidi="ar-EG"/>
        </w:rPr>
        <w:t>,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Alruwaili</w:t>
      </w:r>
      <w:proofErr w:type="spellEnd"/>
      <w:r w:rsidRPr="005D59A7">
        <w:rPr>
          <w:rFonts w:ascii="T" w:eastAsia="Calibri" w:hAnsi="T" w:cs="Arial"/>
          <w:lang w:bidi="ar-EG"/>
        </w:rPr>
        <w:t xml:space="preserve">, R., Al-Anzi, S., </w:t>
      </w:r>
      <w:proofErr w:type="spellStart"/>
      <w:r w:rsidRPr="005D59A7">
        <w:rPr>
          <w:rFonts w:ascii="T" w:eastAsia="Calibri" w:hAnsi="T" w:cs="Arial"/>
          <w:lang w:bidi="ar-EG"/>
        </w:rPr>
        <w:t>Alkhasha</w:t>
      </w:r>
      <w:proofErr w:type="spellEnd"/>
      <w:r w:rsidRPr="005D59A7">
        <w:rPr>
          <w:rFonts w:ascii="T" w:eastAsia="Calibri" w:hAnsi="T" w:cs="Arial"/>
          <w:lang w:bidi="ar-EG"/>
        </w:rPr>
        <w:t xml:space="preserve">, A., &amp; </w:t>
      </w:r>
      <w:proofErr w:type="spellStart"/>
      <w:r w:rsidRPr="005D59A7">
        <w:rPr>
          <w:rFonts w:ascii="T" w:eastAsia="Calibri" w:hAnsi="T" w:cs="Arial"/>
          <w:lang w:bidi="ar-EG"/>
        </w:rPr>
        <w:t>Benlaria</w:t>
      </w:r>
      <w:proofErr w:type="spellEnd"/>
      <w:r w:rsidRPr="005D59A7">
        <w:rPr>
          <w:rFonts w:ascii="T" w:eastAsia="Calibri" w:hAnsi="T" w:cs="Arial"/>
          <w:lang w:bidi="ar-EG"/>
        </w:rPr>
        <w:t>,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Bendary</w:t>
      </w:r>
      <w:proofErr w:type="spellEnd"/>
      <w:r w:rsidRPr="005D59A7">
        <w:rPr>
          <w:rFonts w:ascii="T" w:eastAsia="Calibri" w:hAnsi="T" w:cs="Arial"/>
          <w:lang w:bidi="ar-EG"/>
        </w:rPr>
        <w:t>,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Bodrick, M. M., Alkindi, E. T., </w:t>
      </w:r>
      <w:proofErr w:type="spellStart"/>
      <w:r w:rsidRPr="005D59A7">
        <w:rPr>
          <w:rFonts w:ascii="T" w:eastAsia="Calibri" w:hAnsi="T" w:cs="Arial"/>
          <w:lang w:bidi="ar-EG"/>
        </w:rPr>
        <w:t>Alassaf</w:t>
      </w:r>
      <w:proofErr w:type="spellEnd"/>
      <w:r w:rsidRPr="005D59A7">
        <w:rPr>
          <w:rFonts w:ascii="T" w:eastAsia="Calibri" w:hAnsi="T" w:cs="Arial"/>
          <w:lang w:bidi="ar-EG"/>
        </w:rPr>
        <w:t xml:space="preserve">, M. I., </w:t>
      </w:r>
      <w:proofErr w:type="spellStart"/>
      <w:r w:rsidRPr="005D59A7">
        <w:rPr>
          <w:rFonts w:ascii="T" w:eastAsia="Calibri" w:hAnsi="T" w:cs="Arial"/>
          <w:lang w:bidi="ar-EG"/>
        </w:rPr>
        <w:t>Alrasi</w:t>
      </w:r>
      <w:proofErr w:type="spellEnd"/>
      <w:r w:rsidRPr="005D59A7">
        <w:rPr>
          <w:rFonts w:ascii="T" w:eastAsia="Calibri" w:hAnsi="T" w:cs="Arial"/>
          <w:lang w:bidi="ar-EG"/>
        </w:rPr>
        <w:t xml:space="preserve">, M. Y., </w:t>
      </w:r>
      <w:proofErr w:type="spellStart"/>
      <w:r w:rsidRPr="005D59A7">
        <w:rPr>
          <w:rFonts w:ascii="T" w:eastAsia="Calibri" w:hAnsi="T" w:cs="Arial"/>
          <w:lang w:bidi="ar-EG"/>
        </w:rPr>
        <w:t>Aljuffali</w:t>
      </w:r>
      <w:proofErr w:type="spellEnd"/>
      <w:r w:rsidRPr="005D59A7">
        <w:rPr>
          <w:rFonts w:ascii="T" w:eastAsia="Calibri" w:hAnsi="T" w:cs="Arial"/>
          <w:lang w:bidi="ar-EG"/>
        </w:rPr>
        <w:t xml:space="preserve">, L., </w:t>
      </w:r>
      <w:proofErr w:type="spellStart"/>
      <w:r w:rsidRPr="005D59A7">
        <w:rPr>
          <w:rFonts w:ascii="T" w:eastAsia="Calibri" w:hAnsi="T" w:cs="Arial"/>
          <w:lang w:bidi="ar-EG"/>
        </w:rPr>
        <w:t>Alhawas</w:t>
      </w:r>
      <w:proofErr w:type="spellEnd"/>
      <w:r w:rsidRPr="005D59A7">
        <w:rPr>
          <w:rFonts w:ascii="T" w:eastAsia="Calibri" w:hAnsi="T" w:cs="Arial"/>
          <w:lang w:bidi="ar-EG"/>
        </w:rPr>
        <w:t xml:space="preserve">, A. A., ... &amp; </w:t>
      </w:r>
      <w:proofErr w:type="spellStart"/>
      <w:r w:rsidRPr="005D59A7">
        <w:rPr>
          <w:rFonts w:ascii="T" w:eastAsia="Calibri" w:hAnsi="T" w:cs="Arial"/>
          <w:lang w:bidi="ar-EG"/>
        </w:rPr>
        <w:t>Alsuhaim</w:t>
      </w:r>
      <w:proofErr w:type="spellEnd"/>
      <w:r w:rsidRPr="005D59A7">
        <w:rPr>
          <w:rFonts w:ascii="T" w:eastAsia="Calibri" w:hAnsi="T" w:cs="Arial"/>
          <w:lang w:bidi="ar-EG"/>
        </w:rPr>
        <w:t xml:space="preserve">, M. I. (2025). The Contextual Dynamism of Organizational Leadership in Saudi Arabia: What is Next After Change, Transition, and Transformation-Is it </w:t>
      </w:r>
      <w:proofErr w:type="gramStart"/>
      <w:r w:rsidRPr="005D59A7">
        <w:rPr>
          <w:rFonts w:ascii="T" w:eastAsia="Calibri" w:hAnsi="T" w:cs="Arial"/>
          <w:lang w:bidi="ar-EG"/>
        </w:rPr>
        <w:t>Transmogrification?.</w:t>
      </w:r>
      <w:proofErr w:type="gramEnd"/>
      <w:r w:rsidRPr="005D59A7">
        <w:rPr>
          <w:rFonts w:ascii="T" w:eastAsia="Calibri" w:hAnsi="T" w:cs="Arial"/>
          <w:lang w:bidi="ar-EG"/>
        </w:rPr>
        <w:t xml:space="preserve">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Elkebti</w:t>
      </w:r>
      <w:proofErr w:type="spellEnd"/>
      <w:r w:rsidRPr="005D59A7">
        <w:rPr>
          <w:rFonts w:ascii="T" w:eastAsia="Calibri" w:hAnsi="T" w:cs="Arial"/>
          <w:lang w:bidi="ar-EG"/>
        </w:rPr>
        <w:t xml:space="preserve">, O. A. M., &amp; Khalifa, W. M. (2025). Assessing the </w:t>
      </w:r>
      <w:proofErr w:type="spellStart"/>
      <w:r w:rsidRPr="005D59A7">
        <w:rPr>
          <w:rFonts w:ascii="T" w:eastAsia="Calibri" w:hAnsi="T" w:cs="Arial"/>
          <w:lang w:bidi="ar-EG"/>
        </w:rPr>
        <w:t>saudi</w:t>
      </w:r>
      <w:proofErr w:type="spellEnd"/>
      <w:r w:rsidRPr="005D59A7">
        <w:rPr>
          <w:rFonts w:ascii="T" w:eastAsia="Calibri" w:hAnsi="T" w:cs="Arial"/>
          <w:lang w:bidi="ar-EG"/>
        </w:rPr>
        <w:t xml:space="preserve">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Almeflh, A. A., &amp; </w:t>
      </w:r>
      <w:proofErr w:type="spellStart"/>
      <w:r w:rsidRPr="005D59A7">
        <w:rPr>
          <w:rFonts w:ascii="T" w:eastAsia="Calibri" w:hAnsi="T" w:cs="Arial"/>
          <w:lang w:bidi="ar-EG"/>
        </w:rPr>
        <w:t>Almofleh</w:t>
      </w:r>
      <w:proofErr w:type="spellEnd"/>
      <w:r w:rsidRPr="005D59A7">
        <w:rPr>
          <w:rFonts w:ascii="T" w:eastAsia="Calibri" w:hAnsi="T" w:cs="Arial"/>
          <w:lang w:bidi="ar-EG"/>
        </w:rPr>
        <w:t>,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Sampieri, S., &amp; </w:t>
      </w:r>
      <w:proofErr w:type="spellStart"/>
      <w:r w:rsidRPr="005D59A7">
        <w:rPr>
          <w:rFonts w:ascii="T" w:eastAsia="Calibri" w:hAnsi="T" w:cs="Arial"/>
          <w:lang w:bidi="ar-EG"/>
        </w:rPr>
        <w:t>Mazzetto</w:t>
      </w:r>
      <w:proofErr w:type="spellEnd"/>
      <w:r w:rsidRPr="005D59A7">
        <w:rPr>
          <w:rFonts w:ascii="T" w:eastAsia="Calibri" w:hAnsi="T" w:cs="Arial"/>
          <w:lang w:bidi="ar-EG"/>
        </w:rPr>
        <w:t>,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Azarian, M., Shiferaw, A. T., Stevik, T. K., </w:t>
      </w:r>
      <w:proofErr w:type="spellStart"/>
      <w:r w:rsidRPr="005D59A7">
        <w:rPr>
          <w:rFonts w:ascii="T" w:eastAsia="Calibri" w:hAnsi="T" w:cs="Arial"/>
          <w:lang w:bidi="ar-EG"/>
        </w:rPr>
        <w:t>Lædre</w:t>
      </w:r>
      <w:proofErr w:type="spellEnd"/>
      <w:r w:rsidRPr="005D59A7">
        <w:rPr>
          <w:rFonts w:ascii="T" w:eastAsia="Calibri" w:hAnsi="T" w:cs="Arial"/>
          <w:lang w:bidi="ar-EG"/>
        </w:rPr>
        <w:t>,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Oyegbade</w:t>
      </w:r>
      <w:proofErr w:type="spellEnd"/>
      <w:r w:rsidRPr="005D59A7">
        <w:rPr>
          <w:rFonts w:ascii="T" w:eastAsia="Calibri" w:hAnsi="T" w:cs="Arial"/>
          <w:lang w:bidi="ar-EG"/>
        </w:rPr>
        <w:t xml:space="preserve">, I. K., Igwe, A. N., </w:t>
      </w:r>
      <w:proofErr w:type="spellStart"/>
      <w:r w:rsidRPr="005D59A7">
        <w:rPr>
          <w:rFonts w:ascii="T" w:eastAsia="Calibri" w:hAnsi="T" w:cs="Arial"/>
          <w:lang w:bidi="ar-EG"/>
        </w:rPr>
        <w:t>Ofodile</w:t>
      </w:r>
      <w:proofErr w:type="spellEnd"/>
      <w:r w:rsidRPr="005D59A7">
        <w:rPr>
          <w:rFonts w:ascii="T" w:eastAsia="Calibri" w:hAnsi="T" w:cs="Arial"/>
          <w:lang w:bidi="ar-EG"/>
        </w:rPr>
        <w:t>,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Verweij, S., van </w:t>
      </w:r>
      <w:proofErr w:type="spellStart"/>
      <w:r w:rsidRPr="005D59A7">
        <w:rPr>
          <w:rFonts w:ascii="T" w:eastAsia="Calibri" w:hAnsi="T" w:cs="Arial"/>
          <w:lang w:bidi="ar-EG"/>
        </w:rPr>
        <w:t>Meerkerk</w:t>
      </w:r>
      <w:proofErr w:type="spellEnd"/>
      <w:r w:rsidRPr="005D59A7">
        <w:rPr>
          <w:rFonts w:ascii="T" w:eastAsia="Calibri" w:hAnsi="T" w:cs="Arial"/>
          <w:lang w:bidi="ar-EG"/>
        </w:rPr>
        <w:t xml:space="preserve">, I., &amp; Casady, C. B. (2022). The performance advantage of public-private partnerships: does it exist or </w:t>
      </w:r>
      <w:proofErr w:type="gramStart"/>
      <w:r w:rsidRPr="005D59A7">
        <w:rPr>
          <w:rFonts w:ascii="T" w:eastAsia="Calibri" w:hAnsi="T" w:cs="Arial"/>
          <w:lang w:bidi="ar-EG"/>
        </w:rPr>
        <w:t>not?.</w:t>
      </w:r>
      <w:proofErr w:type="gramEnd"/>
      <w:r w:rsidRPr="005D59A7">
        <w:rPr>
          <w:rFonts w:ascii="T" w:eastAsia="Calibri" w:hAnsi="T" w:cs="Arial"/>
          <w:lang w:bidi="ar-EG"/>
        </w:rPr>
        <w:t xml:space="preserve">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lastRenderedPageBreak/>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Aboelazm</w:t>
      </w:r>
      <w:proofErr w:type="spellEnd"/>
      <w:r w:rsidRPr="005D59A7">
        <w:rPr>
          <w:rFonts w:ascii="T" w:eastAsia="Calibri" w:hAnsi="T" w:cs="Arial"/>
          <w:lang w:bidi="ar-EG"/>
        </w:rPr>
        <w:t xml:space="preserve">, K. S., </w:t>
      </w:r>
      <w:proofErr w:type="spellStart"/>
      <w:r w:rsidRPr="005D59A7">
        <w:rPr>
          <w:rFonts w:ascii="T" w:eastAsia="Calibri" w:hAnsi="T" w:cs="Arial"/>
          <w:lang w:bidi="ar-EG"/>
        </w:rPr>
        <w:t>Tawakol</w:t>
      </w:r>
      <w:proofErr w:type="spellEnd"/>
      <w:r w:rsidRPr="005D59A7">
        <w:rPr>
          <w:rFonts w:ascii="T" w:eastAsia="Calibri" w:hAnsi="T" w:cs="Arial"/>
          <w:lang w:bidi="ar-EG"/>
        </w:rPr>
        <w:t>,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Raina, N., Zavalloni, M., &amp; </w:t>
      </w:r>
      <w:proofErr w:type="spellStart"/>
      <w:r w:rsidRPr="005D59A7">
        <w:rPr>
          <w:rFonts w:ascii="T" w:eastAsia="Calibri" w:hAnsi="T" w:cs="Arial"/>
          <w:lang w:bidi="ar-EG"/>
        </w:rPr>
        <w:t>Viaggi</w:t>
      </w:r>
      <w:proofErr w:type="spellEnd"/>
      <w:r w:rsidRPr="005D59A7">
        <w:rPr>
          <w:rFonts w:ascii="T" w:eastAsia="Calibri" w:hAnsi="T" w:cs="Arial"/>
          <w:lang w:bidi="ar-EG"/>
        </w:rPr>
        <w:t>,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Alshboul</w:t>
      </w:r>
      <w:proofErr w:type="spellEnd"/>
      <w:r w:rsidRPr="005D59A7">
        <w:rPr>
          <w:rFonts w:ascii="T" w:eastAsia="Calibri" w:hAnsi="T" w:cs="Arial"/>
          <w:lang w:bidi="ar-EG"/>
        </w:rPr>
        <w:t>,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Al-Otaibi, A., &amp; </w:t>
      </w:r>
      <w:proofErr w:type="spellStart"/>
      <w:r w:rsidRPr="005D59A7">
        <w:rPr>
          <w:rFonts w:ascii="T" w:eastAsia="Calibri" w:hAnsi="T" w:cs="Arial"/>
          <w:lang w:bidi="ar-EG"/>
        </w:rPr>
        <w:t>Elimam</w:t>
      </w:r>
      <w:proofErr w:type="spellEnd"/>
      <w:r w:rsidRPr="005D59A7">
        <w:rPr>
          <w:rFonts w:ascii="T" w:eastAsia="Calibri" w:hAnsi="T" w:cs="Arial"/>
          <w:lang w:bidi="ar-EG"/>
        </w:rPr>
        <w:t>,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Emam, A. (2022). Present and future: Does agriculture affect economic growth and the environment in the Kingdom of Saudi </w:t>
      </w:r>
      <w:proofErr w:type="gramStart"/>
      <w:r w:rsidRPr="005D59A7">
        <w:rPr>
          <w:rFonts w:ascii="T" w:eastAsia="Calibri" w:hAnsi="T" w:cs="Arial"/>
          <w:lang w:bidi="ar-EG"/>
        </w:rPr>
        <w:t>Arabia?.</w:t>
      </w:r>
      <w:proofErr w:type="gramEnd"/>
      <w:r w:rsidRPr="005D59A7">
        <w:rPr>
          <w:rFonts w:ascii="T" w:eastAsia="Calibri" w:hAnsi="T" w:cs="Arial"/>
          <w:lang w:bidi="ar-EG"/>
        </w:rPr>
        <w:t xml:space="preserve"> Agricultural Economics/</w:t>
      </w:r>
      <w:proofErr w:type="spellStart"/>
      <w:r w:rsidRPr="005D59A7">
        <w:rPr>
          <w:rFonts w:ascii="T" w:eastAsia="Calibri" w:hAnsi="T" w:cs="Arial"/>
          <w:lang w:bidi="ar-EG"/>
        </w:rPr>
        <w:t>Zemědělská</w:t>
      </w:r>
      <w:proofErr w:type="spellEnd"/>
      <w:r w:rsidRPr="005D59A7">
        <w:rPr>
          <w:rFonts w:ascii="T" w:eastAsia="Calibri" w:hAnsi="T" w:cs="Arial"/>
          <w:lang w:bidi="ar-EG"/>
        </w:rPr>
        <w:t xml:space="preserve"> </w:t>
      </w:r>
      <w:proofErr w:type="spellStart"/>
      <w:r w:rsidRPr="005D59A7">
        <w:rPr>
          <w:rFonts w:ascii="T" w:eastAsia="Calibri" w:hAnsi="T" w:cs="Arial"/>
          <w:lang w:bidi="ar-EG"/>
        </w:rPr>
        <w:t>Ekonomika</w:t>
      </w:r>
      <w:proofErr w:type="spellEnd"/>
      <w:r w:rsidRPr="005D59A7">
        <w:rPr>
          <w:rFonts w:ascii="T" w:eastAsia="Calibri" w:hAnsi="T" w:cs="Arial"/>
          <w:lang w:bidi="ar-EG"/>
        </w:rPr>
        <w:t>,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39"/>
      <w:headerReference w:type="default" r:id="rId40"/>
      <w:footerReference w:type="default" r:id="rId41"/>
      <w:headerReference w:type="first" r:id="rId42"/>
      <w:footerReference w:type="first" r:id="rId4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426DB" w14:textId="77777777" w:rsidR="00D91DE7" w:rsidRDefault="00D91DE7" w:rsidP="00F628F0">
      <w:pPr>
        <w:spacing w:after="0" w:line="240" w:lineRule="auto"/>
      </w:pPr>
      <w:r>
        <w:separator/>
      </w:r>
    </w:p>
  </w:endnote>
  <w:endnote w:type="continuationSeparator" w:id="0">
    <w:p w14:paraId="74219885" w14:textId="77777777" w:rsidR="00D91DE7" w:rsidRDefault="00D91DE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65439C84" w:rsidR="004B53E2" w:rsidRDefault="00EE7CFA">
        <w:pPr>
          <w:pStyle w:val="Footer"/>
          <w:jc w:val="center"/>
        </w:pPr>
        <w:r>
          <w:fldChar w:fldCharType="begin"/>
        </w:r>
        <w:r>
          <w:instrText xml:space="preserve"> PAGE   \* MERGEFORMAT </w:instrText>
        </w:r>
        <w:r>
          <w:fldChar w:fldCharType="separate"/>
        </w:r>
        <w:r w:rsidR="007E2852">
          <w:rPr>
            <w:noProof/>
          </w:rPr>
          <w:t>13</w:t>
        </w:r>
        <w:r>
          <w:rPr>
            <w:noProof/>
          </w:rPr>
          <w:fldChar w:fldCharType="end"/>
        </w:r>
      </w:p>
    </w:sdtContent>
  </w:sdt>
  <w:p w14:paraId="02FECB92"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049B5" w14:textId="77777777" w:rsidR="00D91DE7" w:rsidRDefault="00D91DE7" w:rsidP="00F628F0">
      <w:pPr>
        <w:spacing w:after="0" w:line="240" w:lineRule="auto"/>
      </w:pPr>
      <w:r>
        <w:separator/>
      </w:r>
    </w:p>
  </w:footnote>
  <w:footnote w:type="continuationSeparator" w:id="0">
    <w:p w14:paraId="2A463ED2" w14:textId="77777777" w:rsidR="00D91DE7" w:rsidRDefault="00D91DE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4B53E2" w:rsidRDefault="00D91DE7">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4B53E2" w:rsidRDefault="00D91DE7">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4B53E2" w:rsidRDefault="00D91DE7">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319AD"/>
    <w:multiLevelType w:val="hybridMultilevel"/>
    <w:tmpl w:val="799492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A97696"/>
    <w:multiLevelType w:val="hybridMultilevel"/>
    <w:tmpl w:val="0B9A97CA"/>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FAD3AD2"/>
    <w:multiLevelType w:val="hybridMultilevel"/>
    <w:tmpl w:val="7AD6C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B01568"/>
    <w:multiLevelType w:val="hybridMultilevel"/>
    <w:tmpl w:val="494EA5F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FA2455"/>
    <w:multiLevelType w:val="hybridMultilevel"/>
    <w:tmpl w:val="3760B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9"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FF1234"/>
    <w:multiLevelType w:val="hybridMultilevel"/>
    <w:tmpl w:val="CACED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224D8A"/>
    <w:multiLevelType w:val="hybridMultilevel"/>
    <w:tmpl w:val="EFFE8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5"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6"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77AB1F4F"/>
    <w:multiLevelType w:val="hybridMultilevel"/>
    <w:tmpl w:val="B8760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33739297">
    <w:abstractNumId w:val="0"/>
  </w:num>
  <w:num w:numId="2" w16cid:durableId="1325430988">
    <w:abstractNumId w:val="25"/>
  </w:num>
  <w:num w:numId="3" w16cid:durableId="787163584">
    <w:abstractNumId w:val="35"/>
  </w:num>
  <w:num w:numId="4" w16cid:durableId="1521579129">
    <w:abstractNumId w:val="10"/>
  </w:num>
  <w:num w:numId="5" w16cid:durableId="1572041592">
    <w:abstractNumId w:val="40"/>
  </w:num>
  <w:num w:numId="6" w16cid:durableId="10035481">
    <w:abstractNumId w:val="37"/>
  </w:num>
  <w:num w:numId="7" w16cid:durableId="240063526">
    <w:abstractNumId w:val="15"/>
  </w:num>
  <w:num w:numId="8" w16cid:durableId="1233419838">
    <w:abstractNumId w:val="5"/>
  </w:num>
  <w:num w:numId="9" w16cid:durableId="681785210">
    <w:abstractNumId w:val="19"/>
  </w:num>
  <w:num w:numId="10" w16cid:durableId="935526687">
    <w:abstractNumId w:val="17"/>
  </w:num>
  <w:num w:numId="11" w16cid:durableId="137965743">
    <w:abstractNumId w:val="13"/>
  </w:num>
  <w:num w:numId="12" w16cid:durableId="1753818434">
    <w:abstractNumId w:val="16"/>
  </w:num>
  <w:num w:numId="13" w16cid:durableId="1508448776">
    <w:abstractNumId w:val="14"/>
  </w:num>
  <w:num w:numId="14" w16cid:durableId="338429430">
    <w:abstractNumId w:val="3"/>
  </w:num>
  <w:num w:numId="15" w16cid:durableId="138617301">
    <w:abstractNumId w:val="27"/>
  </w:num>
  <w:num w:numId="16" w16cid:durableId="1868593171">
    <w:abstractNumId w:val="12"/>
  </w:num>
  <w:num w:numId="17" w16cid:durableId="1755664628">
    <w:abstractNumId w:val="24"/>
  </w:num>
  <w:num w:numId="18" w16cid:durableId="1048916747">
    <w:abstractNumId w:val="2"/>
  </w:num>
  <w:num w:numId="19" w16cid:durableId="1605769565">
    <w:abstractNumId w:val="11"/>
  </w:num>
  <w:num w:numId="20" w16cid:durableId="109130372">
    <w:abstractNumId w:val="22"/>
  </w:num>
  <w:num w:numId="21" w16cid:durableId="1715537981">
    <w:abstractNumId w:val="33"/>
  </w:num>
  <w:num w:numId="22" w16cid:durableId="1460764604">
    <w:abstractNumId w:val="39"/>
  </w:num>
  <w:num w:numId="23" w16cid:durableId="1729304421">
    <w:abstractNumId w:val="32"/>
  </w:num>
  <w:num w:numId="24" w16cid:durableId="884218011">
    <w:abstractNumId w:val="36"/>
  </w:num>
  <w:num w:numId="25" w16cid:durableId="1952544025">
    <w:abstractNumId w:val="29"/>
  </w:num>
  <w:num w:numId="26" w16cid:durableId="467170326">
    <w:abstractNumId w:val="26"/>
  </w:num>
  <w:num w:numId="27" w16cid:durableId="1854568358">
    <w:abstractNumId w:val="23"/>
  </w:num>
  <w:num w:numId="28" w16cid:durableId="1505625112">
    <w:abstractNumId w:val="6"/>
  </w:num>
  <w:num w:numId="29" w16cid:durableId="1873230796">
    <w:abstractNumId w:val="30"/>
  </w:num>
  <w:num w:numId="30" w16cid:durableId="15540632">
    <w:abstractNumId w:val="9"/>
  </w:num>
  <w:num w:numId="31" w16cid:durableId="1066761895">
    <w:abstractNumId w:val="8"/>
  </w:num>
  <w:num w:numId="32" w16cid:durableId="1909263081">
    <w:abstractNumId w:val="1"/>
  </w:num>
  <w:num w:numId="33" w16cid:durableId="719399887">
    <w:abstractNumId w:val="4"/>
  </w:num>
  <w:num w:numId="34" w16cid:durableId="1370302828">
    <w:abstractNumId w:val="28"/>
  </w:num>
  <w:num w:numId="35" w16cid:durableId="873926646">
    <w:abstractNumId w:val="34"/>
  </w:num>
  <w:num w:numId="36" w16cid:durableId="576986223">
    <w:abstractNumId w:val="20"/>
  </w:num>
  <w:num w:numId="37" w16cid:durableId="725959339">
    <w:abstractNumId w:val="18"/>
  </w:num>
  <w:num w:numId="38" w16cid:durableId="682518316">
    <w:abstractNumId w:val="31"/>
  </w:num>
  <w:num w:numId="39" w16cid:durableId="1228108988">
    <w:abstractNumId w:val="7"/>
  </w:num>
  <w:num w:numId="40" w16cid:durableId="915015270">
    <w:abstractNumId w:val="21"/>
  </w:num>
  <w:num w:numId="41" w16cid:durableId="18169604">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73C4"/>
    <w:rsid w:val="00012C1E"/>
    <w:rsid w:val="000136AC"/>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5095"/>
    <w:rsid w:val="00077001"/>
    <w:rsid w:val="0008247C"/>
    <w:rsid w:val="000824DD"/>
    <w:rsid w:val="000832EB"/>
    <w:rsid w:val="00083409"/>
    <w:rsid w:val="00083C08"/>
    <w:rsid w:val="00085801"/>
    <w:rsid w:val="00086462"/>
    <w:rsid w:val="00087E4F"/>
    <w:rsid w:val="00090A9C"/>
    <w:rsid w:val="000914EC"/>
    <w:rsid w:val="0009151C"/>
    <w:rsid w:val="00092C24"/>
    <w:rsid w:val="00093DC3"/>
    <w:rsid w:val="000940A0"/>
    <w:rsid w:val="00097C13"/>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706D"/>
    <w:rsid w:val="000B7FF8"/>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2BFC"/>
    <w:rsid w:val="000F797A"/>
    <w:rsid w:val="000F7F04"/>
    <w:rsid w:val="0010375B"/>
    <w:rsid w:val="001041E7"/>
    <w:rsid w:val="00110419"/>
    <w:rsid w:val="00110665"/>
    <w:rsid w:val="0011126E"/>
    <w:rsid w:val="00116AE4"/>
    <w:rsid w:val="00117CA1"/>
    <w:rsid w:val="00124F46"/>
    <w:rsid w:val="00125FDB"/>
    <w:rsid w:val="00134C25"/>
    <w:rsid w:val="0013659B"/>
    <w:rsid w:val="001378AD"/>
    <w:rsid w:val="001418CD"/>
    <w:rsid w:val="001421FE"/>
    <w:rsid w:val="00152104"/>
    <w:rsid w:val="0015279C"/>
    <w:rsid w:val="00152B1C"/>
    <w:rsid w:val="00160349"/>
    <w:rsid w:val="001603EF"/>
    <w:rsid w:val="001618EF"/>
    <w:rsid w:val="001624C4"/>
    <w:rsid w:val="001625B8"/>
    <w:rsid w:val="001641DC"/>
    <w:rsid w:val="00164370"/>
    <w:rsid w:val="001654CD"/>
    <w:rsid w:val="001656CC"/>
    <w:rsid w:val="00167548"/>
    <w:rsid w:val="00167E73"/>
    <w:rsid w:val="00171756"/>
    <w:rsid w:val="001723AA"/>
    <w:rsid w:val="00172951"/>
    <w:rsid w:val="00172A48"/>
    <w:rsid w:val="00175636"/>
    <w:rsid w:val="001762F4"/>
    <w:rsid w:val="00177E64"/>
    <w:rsid w:val="00180799"/>
    <w:rsid w:val="00180A9B"/>
    <w:rsid w:val="001846BB"/>
    <w:rsid w:val="00185F71"/>
    <w:rsid w:val="00194D56"/>
    <w:rsid w:val="00195226"/>
    <w:rsid w:val="001A3911"/>
    <w:rsid w:val="001A5804"/>
    <w:rsid w:val="001A680C"/>
    <w:rsid w:val="001A7C13"/>
    <w:rsid w:val="001B5421"/>
    <w:rsid w:val="001B5B53"/>
    <w:rsid w:val="001B7B64"/>
    <w:rsid w:val="001C01BE"/>
    <w:rsid w:val="001C1B15"/>
    <w:rsid w:val="001C2D09"/>
    <w:rsid w:val="001C2E98"/>
    <w:rsid w:val="001C2FF0"/>
    <w:rsid w:val="001C3DA0"/>
    <w:rsid w:val="001C426A"/>
    <w:rsid w:val="001C482F"/>
    <w:rsid w:val="001C7DB2"/>
    <w:rsid w:val="001D038E"/>
    <w:rsid w:val="001D47AD"/>
    <w:rsid w:val="001D55C5"/>
    <w:rsid w:val="001D5668"/>
    <w:rsid w:val="001E252D"/>
    <w:rsid w:val="001E2F2A"/>
    <w:rsid w:val="001E32DF"/>
    <w:rsid w:val="001E340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338"/>
    <w:rsid w:val="0024045F"/>
    <w:rsid w:val="00240A75"/>
    <w:rsid w:val="0024189A"/>
    <w:rsid w:val="00242A04"/>
    <w:rsid w:val="00247876"/>
    <w:rsid w:val="00247FF4"/>
    <w:rsid w:val="00250CC6"/>
    <w:rsid w:val="00251580"/>
    <w:rsid w:val="00257F01"/>
    <w:rsid w:val="002616CF"/>
    <w:rsid w:val="00263733"/>
    <w:rsid w:val="00264677"/>
    <w:rsid w:val="00265C31"/>
    <w:rsid w:val="002664D5"/>
    <w:rsid w:val="00266F9C"/>
    <w:rsid w:val="00271AB6"/>
    <w:rsid w:val="00274C5B"/>
    <w:rsid w:val="002752CD"/>
    <w:rsid w:val="00280FF6"/>
    <w:rsid w:val="00285330"/>
    <w:rsid w:val="00286DE0"/>
    <w:rsid w:val="00291499"/>
    <w:rsid w:val="002917E3"/>
    <w:rsid w:val="00291C72"/>
    <w:rsid w:val="00292D05"/>
    <w:rsid w:val="00294C02"/>
    <w:rsid w:val="00297342"/>
    <w:rsid w:val="002A06BA"/>
    <w:rsid w:val="002A113E"/>
    <w:rsid w:val="002A2235"/>
    <w:rsid w:val="002A64F2"/>
    <w:rsid w:val="002B25AB"/>
    <w:rsid w:val="002B338E"/>
    <w:rsid w:val="002B6766"/>
    <w:rsid w:val="002C2285"/>
    <w:rsid w:val="002C3A90"/>
    <w:rsid w:val="002C6EAC"/>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920"/>
    <w:rsid w:val="0036440D"/>
    <w:rsid w:val="00364C07"/>
    <w:rsid w:val="0036731C"/>
    <w:rsid w:val="003709B2"/>
    <w:rsid w:val="00372E00"/>
    <w:rsid w:val="00377C52"/>
    <w:rsid w:val="00377CB0"/>
    <w:rsid w:val="00381E03"/>
    <w:rsid w:val="00381E67"/>
    <w:rsid w:val="00382750"/>
    <w:rsid w:val="00384B6D"/>
    <w:rsid w:val="0038743B"/>
    <w:rsid w:val="003924E8"/>
    <w:rsid w:val="00395E1F"/>
    <w:rsid w:val="0039652C"/>
    <w:rsid w:val="00397058"/>
    <w:rsid w:val="003A34C1"/>
    <w:rsid w:val="003A4334"/>
    <w:rsid w:val="003A7450"/>
    <w:rsid w:val="003A7CBD"/>
    <w:rsid w:val="003B0F00"/>
    <w:rsid w:val="003B1418"/>
    <w:rsid w:val="003B2291"/>
    <w:rsid w:val="003B4A9A"/>
    <w:rsid w:val="003B6969"/>
    <w:rsid w:val="003C05E1"/>
    <w:rsid w:val="003C54ED"/>
    <w:rsid w:val="003C5564"/>
    <w:rsid w:val="003D1456"/>
    <w:rsid w:val="003D3563"/>
    <w:rsid w:val="003D5F89"/>
    <w:rsid w:val="003D6483"/>
    <w:rsid w:val="003D7E7F"/>
    <w:rsid w:val="003E1E60"/>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52D2"/>
    <w:rsid w:val="00436B59"/>
    <w:rsid w:val="00436F3A"/>
    <w:rsid w:val="00440E40"/>
    <w:rsid w:val="004413CD"/>
    <w:rsid w:val="0044258D"/>
    <w:rsid w:val="00443A60"/>
    <w:rsid w:val="00444B1D"/>
    <w:rsid w:val="00444B3C"/>
    <w:rsid w:val="00444E8E"/>
    <w:rsid w:val="00450B96"/>
    <w:rsid w:val="0045350D"/>
    <w:rsid w:val="00453B38"/>
    <w:rsid w:val="00454201"/>
    <w:rsid w:val="0045581D"/>
    <w:rsid w:val="00457F37"/>
    <w:rsid w:val="00463130"/>
    <w:rsid w:val="00464365"/>
    <w:rsid w:val="004655B7"/>
    <w:rsid w:val="00466097"/>
    <w:rsid w:val="00466C60"/>
    <w:rsid w:val="0046701C"/>
    <w:rsid w:val="004670FD"/>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1DEB"/>
    <w:rsid w:val="00492E40"/>
    <w:rsid w:val="00493731"/>
    <w:rsid w:val="00497758"/>
    <w:rsid w:val="004A10BC"/>
    <w:rsid w:val="004B0549"/>
    <w:rsid w:val="004B1E9E"/>
    <w:rsid w:val="004B250F"/>
    <w:rsid w:val="004B28F9"/>
    <w:rsid w:val="004B484B"/>
    <w:rsid w:val="004B4D60"/>
    <w:rsid w:val="004B53E2"/>
    <w:rsid w:val="004B59DA"/>
    <w:rsid w:val="004B78C6"/>
    <w:rsid w:val="004B7E79"/>
    <w:rsid w:val="004C0D1E"/>
    <w:rsid w:val="004C1CC5"/>
    <w:rsid w:val="004C27F9"/>
    <w:rsid w:val="004C6B2B"/>
    <w:rsid w:val="004C7503"/>
    <w:rsid w:val="004C7B52"/>
    <w:rsid w:val="004C7E01"/>
    <w:rsid w:val="004D075E"/>
    <w:rsid w:val="004D0A3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6E5"/>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4C6E"/>
    <w:rsid w:val="00535ED5"/>
    <w:rsid w:val="0053681E"/>
    <w:rsid w:val="005426F5"/>
    <w:rsid w:val="005433BE"/>
    <w:rsid w:val="00545742"/>
    <w:rsid w:val="00545FDC"/>
    <w:rsid w:val="00546BB3"/>
    <w:rsid w:val="005532E5"/>
    <w:rsid w:val="00555689"/>
    <w:rsid w:val="00556639"/>
    <w:rsid w:val="00560CC1"/>
    <w:rsid w:val="0056155E"/>
    <w:rsid w:val="00563091"/>
    <w:rsid w:val="00570C03"/>
    <w:rsid w:val="00574384"/>
    <w:rsid w:val="00581170"/>
    <w:rsid w:val="00581D5D"/>
    <w:rsid w:val="00584C41"/>
    <w:rsid w:val="00584F2C"/>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D1768"/>
    <w:rsid w:val="005D2492"/>
    <w:rsid w:val="005D3D19"/>
    <w:rsid w:val="005D59A7"/>
    <w:rsid w:val="005E1B7D"/>
    <w:rsid w:val="005E24FB"/>
    <w:rsid w:val="005E3641"/>
    <w:rsid w:val="005E42AD"/>
    <w:rsid w:val="005E4CDF"/>
    <w:rsid w:val="005E5F72"/>
    <w:rsid w:val="005E6A87"/>
    <w:rsid w:val="005F2661"/>
    <w:rsid w:val="005F4381"/>
    <w:rsid w:val="005F48DB"/>
    <w:rsid w:val="005F5AF5"/>
    <w:rsid w:val="005F70FC"/>
    <w:rsid w:val="005F7345"/>
    <w:rsid w:val="00601B8A"/>
    <w:rsid w:val="00602907"/>
    <w:rsid w:val="006052B6"/>
    <w:rsid w:val="0061026F"/>
    <w:rsid w:val="00616CCD"/>
    <w:rsid w:val="00621F2E"/>
    <w:rsid w:val="0062589E"/>
    <w:rsid w:val="00625A3C"/>
    <w:rsid w:val="00625E98"/>
    <w:rsid w:val="00626E7A"/>
    <w:rsid w:val="006272BA"/>
    <w:rsid w:val="00633F98"/>
    <w:rsid w:val="00634932"/>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770DE"/>
    <w:rsid w:val="0068067D"/>
    <w:rsid w:val="00681E12"/>
    <w:rsid w:val="00685A20"/>
    <w:rsid w:val="00686195"/>
    <w:rsid w:val="00687F77"/>
    <w:rsid w:val="00687FAF"/>
    <w:rsid w:val="00693289"/>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1A4"/>
    <w:rsid w:val="006C4D98"/>
    <w:rsid w:val="006C54C9"/>
    <w:rsid w:val="006C74C3"/>
    <w:rsid w:val="006C74D7"/>
    <w:rsid w:val="006D2973"/>
    <w:rsid w:val="006D38FF"/>
    <w:rsid w:val="006D5422"/>
    <w:rsid w:val="006E35DF"/>
    <w:rsid w:val="006E5511"/>
    <w:rsid w:val="006E6AA3"/>
    <w:rsid w:val="006E7C5B"/>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03EA"/>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7729"/>
    <w:rsid w:val="007507AF"/>
    <w:rsid w:val="00750F2F"/>
    <w:rsid w:val="00754496"/>
    <w:rsid w:val="00764F11"/>
    <w:rsid w:val="00765675"/>
    <w:rsid w:val="0076684E"/>
    <w:rsid w:val="00766937"/>
    <w:rsid w:val="00766A58"/>
    <w:rsid w:val="00773957"/>
    <w:rsid w:val="00773B98"/>
    <w:rsid w:val="007745B7"/>
    <w:rsid w:val="007764F4"/>
    <w:rsid w:val="00776AB8"/>
    <w:rsid w:val="00781550"/>
    <w:rsid w:val="007822A3"/>
    <w:rsid w:val="00784FE2"/>
    <w:rsid w:val="00785011"/>
    <w:rsid w:val="00785B37"/>
    <w:rsid w:val="00790119"/>
    <w:rsid w:val="007905CF"/>
    <w:rsid w:val="00790B4E"/>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1F01"/>
    <w:rsid w:val="007C22B7"/>
    <w:rsid w:val="007C29B8"/>
    <w:rsid w:val="007C428F"/>
    <w:rsid w:val="007C62EE"/>
    <w:rsid w:val="007D39B9"/>
    <w:rsid w:val="007D58CE"/>
    <w:rsid w:val="007D7D94"/>
    <w:rsid w:val="007E2852"/>
    <w:rsid w:val="007E3985"/>
    <w:rsid w:val="007E4447"/>
    <w:rsid w:val="007F4183"/>
    <w:rsid w:val="007F4785"/>
    <w:rsid w:val="007F604F"/>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A9F"/>
    <w:rsid w:val="00875CA4"/>
    <w:rsid w:val="00875D32"/>
    <w:rsid w:val="00875F77"/>
    <w:rsid w:val="008769F3"/>
    <w:rsid w:val="008804AB"/>
    <w:rsid w:val="008806D9"/>
    <w:rsid w:val="0088301D"/>
    <w:rsid w:val="00883E09"/>
    <w:rsid w:val="008849D8"/>
    <w:rsid w:val="00886510"/>
    <w:rsid w:val="00887763"/>
    <w:rsid w:val="00890400"/>
    <w:rsid w:val="0089176E"/>
    <w:rsid w:val="00892D95"/>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5EA2"/>
    <w:rsid w:val="009071FF"/>
    <w:rsid w:val="00910B36"/>
    <w:rsid w:val="00911494"/>
    <w:rsid w:val="0091232D"/>
    <w:rsid w:val="00912E0A"/>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38BE"/>
    <w:rsid w:val="009462FA"/>
    <w:rsid w:val="009505DD"/>
    <w:rsid w:val="00955905"/>
    <w:rsid w:val="00955EBF"/>
    <w:rsid w:val="00957F3D"/>
    <w:rsid w:val="00962E14"/>
    <w:rsid w:val="0096761A"/>
    <w:rsid w:val="009705B3"/>
    <w:rsid w:val="00971016"/>
    <w:rsid w:val="00972BEC"/>
    <w:rsid w:val="009737DA"/>
    <w:rsid w:val="009748C1"/>
    <w:rsid w:val="00975E1E"/>
    <w:rsid w:val="0098045D"/>
    <w:rsid w:val="009813A6"/>
    <w:rsid w:val="00985460"/>
    <w:rsid w:val="00986198"/>
    <w:rsid w:val="0099046D"/>
    <w:rsid w:val="00996AB0"/>
    <w:rsid w:val="009A3B11"/>
    <w:rsid w:val="009A6165"/>
    <w:rsid w:val="009B170B"/>
    <w:rsid w:val="009B52FF"/>
    <w:rsid w:val="009B69C0"/>
    <w:rsid w:val="009B7B1F"/>
    <w:rsid w:val="009C1F6C"/>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AB3"/>
    <w:rsid w:val="009F2F7B"/>
    <w:rsid w:val="009F44B4"/>
    <w:rsid w:val="009F4758"/>
    <w:rsid w:val="009F535E"/>
    <w:rsid w:val="009F589F"/>
    <w:rsid w:val="009F7119"/>
    <w:rsid w:val="009F73D2"/>
    <w:rsid w:val="009F7C4D"/>
    <w:rsid w:val="00A00401"/>
    <w:rsid w:val="00A043DE"/>
    <w:rsid w:val="00A05BAE"/>
    <w:rsid w:val="00A11618"/>
    <w:rsid w:val="00A12ADA"/>
    <w:rsid w:val="00A1327B"/>
    <w:rsid w:val="00A1431A"/>
    <w:rsid w:val="00A145E1"/>
    <w:rsid w:val="00A14CF4"/>
    <w:rsid w:val="00A1570C"/>
    <w:rsid w:val="00A15C4F"/>
    <w:rsid w:val="00A16E60"/>
    <w:rsid w:val="00A23560"/>
    <w:rsid w:val="00A23D85"/>
    <w:rsid w:val="00A2674F"/>
    <w:rsid w:val="00A2724A"/>
    <w:rsid w:val="00A27924"/>
    <w:rsid w:val="00A36121"/>
    <w:rsid w:val="00A37197"/>
    <w:rsid w:val="00A37539"/>
    <w:rsid w:val="00A40353"/>
    <w:rsid w:val="00A40B26"/>
    <w:rsid w:val="00A40B4C"/>
    <w:rsid w:val="00A40E05"/>
    <w:rsid w:val="00A41647"/>
    <w:rsid w:val="00A42286"/>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6F5"/>
    <w:rsid w:val="00AC4F32"/>
    <w:rsid w:val="00AC74FF"/>
    <w:rsid w:val="00AC7D37"/>
    <w:rsid w:val="00AD0603"/>
    <w:rsid w:val="00AD11DA"/>
    <w:rsid w:val="00AD191A"/>
    <w:rsid w:val="00AD2996"/>
    <w:rsid w:val="00AD4B04"/>
    <w:rsid w:val="00AD5DDB"/>
    <w:rsid w:val="00AD71FF"/>
    <w:rsid w:val="00AD783C"/>
    <w:rsid w:val="00AD7BAB"/>
    <w:rsid w:val="00AE0CA0"/>
    <w:rsid w:val="00AE1FA7"/>
    <w:rsid w:val="00AE6B9C"/>
    <w:rsid w:val="00AF62C2"/>
    <w:rsid w:val="00AF6F2B"/>
    <w:rsid w:val="00B00D76"/>
    <w:rsid w:val="00B0235B"/>
    <w:rsid w:val="00B03D10"/>
    <w:rsid w:val="00B05050"/>
    <w:rsid w:val="00B05FDA"/>
    <w:rsid w:val="00B102D0"/>
    <w:rsid w:val="00B10506"/>
    <w:rsid w:val="00B146C0"/>
    <w:rsid w:val="00B15810"/>
    <w:rsid w:val="00B16420"/>
    <w:rsid w:val="00B254CA"/>
    <w:rsid w:val="00B32BC6"/>
    <w:rsid w:val="00B32E4E"/>
    <w:rsid w:val="00B3377E"/>
    <w:rsid w:val="00B34014"/>
    <w:rsid w:val="00B344E2"/>
    <w:rsid w:val="00B4152E"/>
    <w:rsid w:val="00B43F32"/>
    <w:rsid w:val="00B4456F"/>
    <w:rsid w:val="00B477A9"/>
    <w:rsid w:val="00B53190"/>
    <w:rsid w:val="00B5432A"/>
    <w:rsid w:val="00B554E2"/>
    <w:rsid w:val="00B601A0"/>
    <w:rsid w:val="00B60659"/>
    <w:rsid w:val="00B61F61"/>
    <w:rsid w:val="00B627EA"/>
    <w:rsid w:val="00B62EC9"/>
    <w:rsid w:val="00B63BBC"/>
    <w:rsid w:val="00B64D6C"/>
    <w:rsid w:val="00B71861"/>
    <w:rsid w:val="00B74CCD"/>
    <w:rsid w:val="00B802A8"/>
    <w:rsid w:val="00B828C8"/>
    <w:rsid w:val="00B90CF8"/>
    <w:rsid w:val="00B91290"/>
    <w:rsid w:val="00B91986"/>
    <w:rsid w:val="00B91DC7"/>
    <w:rsid w:val="00B94AD1"/>
    <w:rsid w:val="00B96E4F"/>
    <w:rsid w:val="00BA6451"/>
    <w:rsid w:val="00BA688E"/>
    <w:rsid w:val="00BA68CA"/>
    <w:rsid w:val="00BB3408"/>
    <w:rsid w:val="00BB4052"/>
    <w:rsid w:val="00BB46BB"/>
    <w:rsid w:val="00BB5045"/>
    <w:rsid w:val="00BB5DCC"/>
    <w:rsid w:val="00BB7979"/>
    <w:rsid w:val="00BB7B8C"/>
    <w:rsid w:val="00BC5AEB"/>
    <w:rsid w:val="00BC6A9A"/>
    <w:rsid w:val="00BC7341"/>
    <w:rsid w:val="00BC78DA"/>
    <w:rsid w:val="00BD0DA0"/>
    <w:rsid w:val="00BD17E4"/>
    <w:rsid w:val="00BD4333"/>
    <w:rsid w:val="00BD507A"/>
    <w:rsid w:val="00BD624D"/>
    <w:rsid w:val="00BE07E2"/>
    <w:rsid w:val="00BE0E69"/>
    <w:rsid w:val="00BE2447"/>
    <w:rsid w:val="00BE2AD6"/>
    <w:rsid w:val="00BE5146"/>
    <w:rsid w:val="00BE609B"/>
    <w:rsid w:val="00BE6123"/>
    <w:rsid w:val="00BF00BC"/>
    <w:rsid w:val="00BF0DB3"/>
    <w:rsid w:val="00BF10E4"/>
    <w:rsid w:val="00BF1C82"/>
    <w:rsid w:val="00BF20DB"/>
    <w:rsid w:val="00BF2A76"/>
    <w:rsid w:val="00BF2F3B"/>
    <w:rsid w:val="00BF4225"/>
    <w:rsid w:val="00BF5F2F"/>
    <w:rsid w:val="00C00BB4"/>
    <w:rsid w:val="00C05DEE"/>
    <w:rsid w:val="00C11026"/>
    <w:rsid w:val="00C1168C"/>
    <w:rsid w:val="00C11E95"/>
    <w:rsid w:val="00C1324B"/>
    <w:rsid w:val="00C144E4"/>
    <w:rsid w:val="00C146B6"/>
    <w:rsid w:val="00C14A6F"/>
    <w:rsid w:val="00C15312"/>
    <w:rsid w:val="00C20C02"/>
    <w:rsid w:val="00C2122A"/>
    <w:rsid w:val="00C2376A"/>
    <w:rsid w:val="00C23A5B"/>
    <w:rsid w:val="00C25807"/>
    <w:rsid w:val="00C26FE5"/>
    <w:rsid w:val="00C31B82"/>
    <w:rsid w:val="00C335F7"/>
    <w:rsid w:val="00C343A2"/>
    <w:rsid w:val="00C34D41"/>
    <w:rsid w:val="00C35EB8"/>
    <w:rsid w:val="00C37D5D"/>
    <w:rsid w:val="00C41994"/>
    <w:rsid w:val="00C42F03"/>
    <w:rsid w:val="00C43A02"/>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9E2"/>
    <w:rsid w:val="00CB0A76"/>
    <w:rsid w:val="00CB0E67"/>
    <w:rsid w:val="00CB0EF4"/>
    <w:rsid w:val="00CB3FA0"/>
    <w:rsid w:val="00CC081F"/>
    <w:rsid w:val="00CC208F"/>
    <w:rsid w:val="00CC365B"/>
    <w:rsid w:val="00CC3C32"/>
    <w:rsid w:val="00CC7BCA"/>
    <w:rsid w:val="00CD67C0"/>
    <w:rsid w:val="00CD7C8F"/>
    <w:rsid w:val="00CE13A5"/>
    <w:rsid w:val="00CE39F0"/>
    <w:rsid w:val="00CE45FE"/>
    <w:rsid w:val="00CF0EE2"/>
    <w:rsid w:val="00CF3854"/>
    <w:rsid w:val="00CF38E8"/>
    <w:rsid w:val="00CF6A3F"/>
    <w:rsid w:val="00CF782C"/>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6B5E"/>
    <w:rsid w:val="00D635F7"/>
    <w:rsid w:val="00D64645"/>
    <w:rsid w:val="00D65A22"/>
    <w:rsid w:val="00D66F8C"/>
    <w:rsid w:val="00D67D0F"/>
    <w:rsid w:val="00D70797"/>
    <w:rsid w:val="00D725A6"/>
    <w:rsid w:val="00D73094"/>
    <w:rsid w:val="00D734B0"/>
    <w:rsid w:val="00D73F64"/>
    <w:rsid w:val="00D76071"/>
    <w:rsid w:val="00D826CC"/>
    <w:rsid w:val="00D82B05"/>
    <w:rsid w:val="00D83327"/>
    <w:rsid w:val="00D83A0C"/>
    <w:rsid w:val="00D9144F"/>
    <w:rsid w:val="00D91DE7"/>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5E2"/>
    <w:rsid w:val="00DB16F3"/>
    <w:rsid w:val="00DB67ED"/>
    <w:rsid w:val="00DB7493"/>
    <w:rsid w:val="00DC034B"/>
    <w:rsid w:val="00DC1CF7"/>
    <w:rsid w:val="00DC2C32"/>
    <w:rsid w:val="00DC7903"/>
    <w:rsid w:val="00DD48D8"/>
    <w:rsid w:val="00DD4E9D"/>
    <w:rsid w:val="00DE47EC"/>
    <w:rsid w:val="00DE4849"/>
    <w:rsid w:val="00DF083A"/>
    <w:rsid w:val="00DF0990"/>
    <w:rsid w:val="00DF0F3B"/>
    <w:rsid w:val="00DF131B"/>
    <w:rsid w:val="00DF30DF"/>
    <w:rsid w:val="00DF3BE2"/>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7AA8"/>
    <w:rsid w:val="00E4150D"/>
    <w:rsid w:val="00E415CF"/>
    <w:rsid w:val="00E424FA"/>
    <w:rsid w:val="00E45FD8"/>
    <w:rsid w:val="00E501DC"/>
    <w:rsid w:val="00E51F55"/>
    <w:rsid w:val="00E54263"/>
    <w:rsid w:val="00E57E7F"/>
    <w:rsid w:val="00E6041B"/>
    <w:rsid w:val="00E6351B"/>
    <w:rsid w:val="00E638A6"/>
    <w:rsid w:val="00E667FB"/>
    <w:rsid w:val="00E70A28"/>
    <w:rsid w:val="00E70BD4"/>
    <w:rsid w:val="00E70E4C"/>
    <w:rsid w:val="00E71504"/>
    <w:rsid w:val="00E73C9E"/>
    <w:rsid w:val="00E74D61"/>
    <w:rsid w:val="00E77C52"/>
    <w:rsid w:val="00E8068C"/>
    <w:rsid w:val="00E84470"/>
    <w:rsid w:val="00E85F1D"/>
    <w:rsid w:val="00E86871"/>
    <w:rsid w:val="00E872CF"/>
    <w:rsid w:val="00E932FF"/>
    <w:rsid w:val="00E954F5"/>
    <w:rsid w:val="00E95A7C"/>
    <w:rsid w:val="00E9655D"/>
    <w:rsid w:val="00E965A0"/>
    <w:rsid w:val="00E96C3E"/>
    <w:rsid w:val="00EA0044"/>
    <w:rsid w:val="00EA0711"/>
    <w:rsid w:val="00EA12C8"/>
    <w:rsid w:val="00EA148A"/>
    <w:rsid w:val="00EA1DF9"/>
    <w:rsid w:val="00EA21E0"/>
    <w:rsid w:val="00EA2B10"/>
    <w:rsid w:val="00EA2C08"/>
    <w:rsid w:val="00EA3D95"/>
    <w:rsid w:val="00EA4291"/>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25C0"/>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481D"/>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362"/>
    <w:rsid w:val="00F41E95"/>
    <w:rsid w:val="00F43227"/>
    <w:rsid w:val="00F43BA7"/>
    <w:rsid w:val="00F4536C"/>
    <w:rsid w:val="00F45432"/>
    <w:rsid w:val="00F4693E"/>
    <w:rsid w:val="00F46A8B"/>
    <w:rsid w:val="00F522E0"/>
    <w:rsid w:val="00F55531"/>
    <w:rsid w:val="00F5781A"/>
    <w:rsid w:val="00F6047E"/>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6C09"/>
    <w:rsid w:val="00FC7BDD"/>
    <w:rsid w:val="00FD0199"/>
    <w:rsid w:val="00FD131E"/>
    <w:rsid w:val="00FD224B"/>
    <w:rsid w:val="00FD30BF"/>
    <w:rsid w:val="00FD53D0"/>
    <w:rsid w:val="00FD6092"/>
    <w:rsid w:val="00FD65D4"/>
    <w:rsid w:val="00FD7DB5"/>
    <w:rsid w:val="00FE497A"/>
    <w:rsid w:val="00FE4B4E"/>
    <w:rsid w:val="00FE5AC1"/>
    <w:rsid w:val="00FE6577"/>
    <w:rsid w:val="00FE78E3"/>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EA21E0"/>
    <w:pPr>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customStyle="1" w:styleId="UnresolvedMention1">
    <w:name w:val="Unresolved Mention1"/>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www.vision2030.gov.sa"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documents1.worldbank.org/curated/en/381221644297502516/pdf/Overview.pdf" TargetMode="External"/><Relationship Id="rId20" Type="http://schemas.openxmlformats.org/officeDocument/2006/relationships/image" Target="media/image12.png"/><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6EF6-6A6A-4E60-B143-1D30A09B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150</Pages>
  <Words>36679</Words>
  <Characters>207605</Characters>
  <Application>Microsoft Office Word</Application>
  <DocSecurity>0</DocSecurity>
  <Lines>3707</Lines>
  <Paragraphs>1673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242611</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14</cp:revision>
  <cp:lastPrinted>2026-06-24T11:05:00Z</cp:lastPrinted>
  <dcterms:created xsi:type="dcterms:W3CDTF">2026-06-24T15:42:00Z</dcterms:created>
  <dcterms:modified xsi:type="dcterms:W3CDTF">2026-06-28T18:17:00Z</dcterms:modified>
</cp:coreProperties>
</file>