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719D6749" w14:textId="12E090F1" w:rsidR="009125CE" w:rsidRPr="002D2F40" w:rsidRDefault="00751A99" w:rsidP="00751A99">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2D2F40">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9FD3392">
            <wp:simplePos x="0" y="0"/>
            <wp:positionH relativeFrom="margin">
              <wp:posOffset>171450</wp:posOffset>
            </wp:positionH>
            <wp:positionV relativeFrom="margin">
              <wp:posOffset>-49530</wp:posOffset>
            </wp:positionV>
            <wp:extent cx="1571625" cy="1457960"/>
            <wp:effectExtent l="0" t="0" r="9525" b="889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71625" cy="1457960"/>
                    </a:xfrm>
                    <a:prstGeom prst="rect">
                      <a:avLst/>
                    </a:prstGeom>
                  </pic:spPr>
                </pic:pic>
              </a:graphicData>
            </a:graphic>
            <wp14:sizeRelH relativeFrom="margin">
              <wp14:pctWidth>0</wp14:pctWidth>
            </wp14:sizeRelH>
            <wp14:sizeRelV relativeFrom="margin">
              <wp14:pctHeight>0</wp14:pctHeight>
            </wp14:sizeRelV>
          </wp:anchor>
        </w:drawing>
      </w:r>
      <w:r w:rsidR="009125CE" w:rsidRPr="002D2F40">
        <w:rPr>
          <w:rFonts w:ascii="Simplified Arabic" w:hAnsi="Simplified Arabic" w:cs="Simplified Arabic"/>
          <w:b/>
          <w:bCs/>
          <w:color w:val="000000" w:themeColor="text1"/>
          <w:sz w:val="32"/>
          <w:szCs w:val="32"/>
          <w:rtl/>
          <w:lang w:bidi="ar-EG"/>
        </w:rPr>
        <w:t xml:space="preserve">جامعة ميدأوشن </w:t>
      </w:r>
    </w:p>
    <w:p w14:paraId="1E957002" w14:textId="123EEB96" w:rsidR="00F546CE" w:rsidRPr="002D2F40" w:rsidRDefault="009125CE" w:rsidP="00751A9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D2F40">
        <w:rPr>
          <w:rFonts w:ascii="Simplified Arabic" w:hAnsi="Simplified Arabic" w:cs="Simplified Arabic"/>
          <w:b/>
          <w:bCs/>
          <w:color w:val="000000" w:themeColor="text1"/>
          <w:sz w:val="32"/>
          <w:szCs w:val="32"/>
          <w:lang w:bidi="ar-EG"/>
        </w:rPr>
        <w:t xml:space="preserve"> </w:t>
      </w:r>
      <w:r w:rsidRPr="002D2F40">
        <w:rPr>
          <w:rFonts w:ascii="Simplified Arabic" w:hAnsi="Simplified Arabic" w:cs="Simplified Arabic"/>
          <w:b/>
          <w:bCs/>
          <w:color w:val="000000" w:themeColor="text1"/>
          <w:sz w:val="32"/>
          <w:szCs w:val="32"/>
          <w:rtl/>
          <w:lang w:bidi="ar-EG"/>
        </w:rPr>
        <w:t xml:space="preserve">كلية </w:t>
      </w:r>
      <w:r w:rsidR="008C42C1" w:rsidRPr="002D2F40">
        <w:rPr>
          <w:rFonts w:ascii="Simplified Arabic" w:hAnsi="Simplified Arabic" w:cs="Simplified Arabic"/>
          <w:b/>
          <w:bCs/>
          <w:color w:val="000000" w:themeColor="text1"/>
          <w:sz w:val="32"/>
          <w:szCs w:val="32"/>
          <w:rtl/>
          <w:lang w:bidi="ar-EG"/>
        </w:rPr>
        <w:t>الإدارة</w:t>
      </w:r>
      <w:r w:rsidRPr="002D2F40">
        <w:rPr>
          <w:rFonts w:ascii="Simplified Arabic" w:hAnsi="Simplified Arabic" w:cs="Simplified Arabic"/>
          <w:b/>
          <w:bCs/>
          <w:color w:val="000000" w:themeColor="text1"/>
          <w:sz w:val="32"/>
          <w:szCs w:val="32"/>
          <w:rtl/>
          <w:lang w:bidi="ar-EG"/>
        </w:rPr>
        <w:t xml:space="preserve"> </w:t>
      </w:r>
    </w:p>
    <w:p w14:paraId="0217C513" w14:textId="5AC26B69" w:rsidR="009125CE" w:rsidRPr="002D2F40" w:rsidRDefault="009125CE" w:rsidP="00751A99">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2D2F40">
        <w:rPr>
          <w:rFonts w:ascii="Simplified Arabic" w:hAnsi="Simplified Arabic" w:cs="Simplified Arabic"/>
          <w:b/>
          <w:bCs/>
          <w:color w:val="000000" w:themeColor="text1"/>
          <w:sz w:val="32"/>
          <w:szCs w:val="32"/>
          <w:rtl/>
          <w:lang w:bidi="ar-EG"/>
        </w:rPr>
        <w:t>تخصص</w:t>
      </w:r>
      <w:r w:rsidR="00B15A9E" w:rsidRPr="002D2F40">
        <w:rPr>
          <w:rFonts w:ascii="Simplified Arabic" w:hAnsi="Simplified Arabic" w:cs="Simplified Arabic"/>
          <w:b/>
          <w:bCs/>
          <w:color w:val="000000" w:themeColor="text1"/>
          <w:sz w:val="32"/>
          <w:szCs w:val="32"/>
          <w:rtl/>
          <w:lang w:bidi="ar-EG"/>
        </w:rPr>
        <w:t xml:space="preserve"> </w:t>
      </w:r>
      <w:r w:rsidR="00980B3C" w:rsidRPr="002D2F40">
        <w:rPr>
          <w:rFonts w:ascii="Simplified Arabic" w:hAnsi="Simplified Arabic" w:cs="Simplified Arabic"/>
          <w:b/>
          <w:bCs/>
          <w:color w:val="000000" w:themeColor="text1"/>
          <w:sz w:val="32"/>
          <w:szCs w:val="32"/>
          <w:rtl/>
          <w:lang w:bidi="ar-EG"/>
        </w:rPr>
        <w:t xml:space="preserve">الإدارة العقارية </w:t>
      </w:r>
    </w:p>
    <w:p w14:paraId="0A25F43C" w14:textId="77777777" w:rsidR="008C7BB4" w:rsidRPr="002D2F40" w:rsidRDefault="008C7BB4" w:rsidP="00751A9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309388BE" w14:textId="77777777" w:rsidR="00497D0C" w:rsidRPr="002D2F40" w:rsidRDefault="00497D0C" w:rsidP="00751A99">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2D2F40">
        <w:rPr>
          <w:rFonts w:ascii="Simplified Arabic" w:hAnsi="Simplified Arabic" w:cs="Simplified Arabic"/>
          <w:b/>
          <w:bCs/>
          <w:color w:val="000000" w:themeColor="text1"/>
          <w:sz w:val="40"/>
          <w:szCs w:val="40"/>
          <w:rtl/>
        </w:rPr>
        <w:t>إعادة تطوير المنازل السكنية القديمة كمدخل لتعظيم العائد الاستثماري وتحسين جودة الحياة الحضرية: دراسة ميدانية في مدينة الرياض</w:t>
      </w:r>
    </w:p>
    <w:p w14:paraId="3EFEA996" w14:textId="77777777" w:rsidR="00751A99" w:rsidRPr="002D2F40" w:rsidRDefault="00751A99" w:rsidP="00751A99">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55B2BC2D" w14:textId="77777777" w:rsidR="00A84337" w:rsidRDefault="009125CE"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D2F40">
        <w:rPr>
          <w:rFonts w:ascii="Simplified Arabic" w:hAnsi="Simplified Arabic" w:cs="Simplified Arabic"/>
          <w:b/>
          <w:bCs/>
          <w:color w:val="000000" w:themeColor="text1"/>
          <w:sz w:val="36"/>
          <w:szCs w:val="36"/>
          <w:rtl/>
          <w:lang w:bidi="ar-EG"/>
        </w:rPr>
        <w:t>إعداد الطالب/</w:t>
      </w:r>
    </w:p>
    <w:p w14:paraId="751A7E65" w14:textId="5303D943" w:rsidR="009125CE" w:rsidRPr="00B04B8A" w:rsidRDefault="00D507AC" w:rsidP="00751A99">
      <w:pPr>
        <w:spacing w:before="100" w:beforeAutospacing="1" w:after="100" w:afterAutospacing="1" w:line="276" w:lineRule="auto"/>
        <w:jc w:val="center"/>
        <w:rPr>
          <w:rFonts w:ascii="Simplified Arabic" w:hAnsi="Simplified Arabic" w:cs="Simplified Arabic"/>
          <w:b/>
          <w:bCs/>
          <w:color w:val="000000" w:themeColor="text1"/>
          <w:sz w:val="46"/>
          <w:szCs w:val="46"/>
          <w:rtl/>
          <w:lang w:bidi="ar-EG"/>
        </w:rPr>
      </w:pPr>
      <w:r w:rsidRPr="00B04B8A">
        <w:rPr>
          <w:rFonts w:ascii="Simplified Arabic" w:hAnsi="Simplified Arabic" w:cs="Simplified Arabic" w:hint="cs"/>
          <w:b/>
          <w:bCs/>
          <w:color w:val="000000" w:themeColor="text1"/>
          <w:sz w:val="46"/>
          <w:szCs w:val="46"/>
          <w:rtl/>
          <w:lang w:bidi="ar-EG"/>
        </w:rPr>
        <w:t xml:space="preserve"> عبدالمحسن منصور محسن العتيبي</w:t>
      </w:r>
    </w:p>
    <w:p w14:paraId="6D611506"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407067D6"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51A99" w:rsidRPr="002D2F40" w14:paraId="7001B5C3" w14:textId="77777777" w:rsidTr="00751A99">
        <w:tc>
          <w:tcPr>
            <w:tcW w:w="4530" w:type="dxa"/>
          </w:tcPr>
          <w:p w14:paraId="1479CE98"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D2F40">
              <w:rPr>
                <w:rFonts w:ascii="Simplified Arabic" w:hAnsi="Simplified Arabic" w:cs="Simplified Arabic" w:hint="cs"/>
                <w:b/>
                <w:bCs/>
                <w:color w:val="000000" w:themeColor="text1"/>
                <w:sz w:val="36"/>
                <w:szCs w:val="36"/>
                <w:rtl/>
                <w:lang w:bidi="ar-EG"/>
              </w:rPr>
              <w:t>المشرف الرئيسي/</w:t>
            </w:r>
          </w:p>
        </w:tc>
        <w:tc>
          <w:tcPr>
            <w:tcW w:w="4531" w:type="dxa"/>
          </w:tcPr>
          <w:p w14:paraId="1FF75EEF"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D2F40">
              <w:rPr>
                <w:rFonts w:ascii="Simplified Arabic" w:hAnsi="Simplified Arabic" w:cs="Simplified Arabic" w:hint="cs"/>
                <w:b/>
                <w:bCs/>
                <w:color w:val="000000" w:themeColor="text1"/>
                <w:sz w:val="36"/>
                <w:szCs w:val="36"/>
                <w:rtl/>
                <w:lang w:bidi="ar-EG"/>
              </w:rPr>
              <w:t>المشرف الثاني/</w:t>
            </w:r>
          </w:p>
        </w:tc>
      </w:tr>
      <w:tr w:rsidR="00751A99" w:rsidRPr="002D2F40" w14:paraId="455785FF" w14:textId="77777777" w:rsidTr="00751A99">
        <w:tc>
          <w:tcPr>
            <w:tcW w:w="4530" w:type="dxa"/>
          </w:tcPr>
          <w:p w14:paraId="0CA6E9DC"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D2F40">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7A6665AD"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D2F40">
              <w:rPr>
                <w:rFonts w:ascii="Simplified Arabic" w:eastAsia="Calibri" w:hAnsi="Simplified Arabic" w:cs="Simplified Arabic"/>
                <w:color w:val="000000" w:themeColor="text1"/>
                <w:kern w:val="0"/>
                <w:sz w:val="36"/>
                <w:szCs w:val="36"/>
                <w:rtl/>
                <w:lang w:bidi="ar-EG"/>
                <w14:ligatures w14:val="none"/>
              </w:rPr>
              <w:t>د.فايز جراد</w:t>
            </w:r>
          </w:p>
        </w:tc>
      </w:tr>
    </w:tbl>
    <w:p w14:paraId="49BC740F"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2D2F40">
        <w:rPr>
          <w:rFonts w:ascii="Simplified Arabic" w:hAnsi="Simplified Arabic" w:cs="Simplified Arabic"/>
          <w:b/>
          <w:bCs/>
          <w:color w:val="000000" w:themeColor="text1"/>
          <w:sz w:val="36"/>
          <w:szCs w:val="36"/>
          <w:rtl/>
          <w:lang w:bidi="ar-EG"/>
        </w:rPr>
        <w:t>العام الدراسي:</w:t>
      </w:r>
    </w:p>
    <w:p w14:paraId="5DBD36EB"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2D2F40">
        <w:rPr>
          <w:rFonts w:ascii="Simplified Arabic" w:hAnsi="Simplified Arabic" w:cs="Simplified Arabic" w:hint="cs"/>
          <w:color w:val="000000" w:themeColor="text1"/>
          <w:sz w:val="36"/>
          <w:szCs w:val="36"/>
          <w:rtl/>
          <w:lang w:bidi="ar-EG"/>
        </w:rPr>
        <w:t xml:space="preserve">1448 </w:t>
      </w:r>
      <w:r w:rsidRPr="002D2F40">
        <w:rPr>
          <w:rFonts w:ascii="Simplified Arabic" w:hAnsi="Simplified Arabic" w:cs="Simplified Arabic"/>
          <w:color w:val="000000" w:themeColor="text1"/>
          <w:sz w:val="36"/>
          <w:szCs w:val="36"/>
          <w:rtl/>
          <w:lang w:bidi="ar-EG"/>
        </w:rPr>
        <w:t>–</w:t>
      </w:r>
      <w:r w:rsidRPr="002D2F40">
        <w:rPr>
          <w:rFonts w:ascii="Simplified Arabic" w:hAnsi="Simplified Arabic" w:cs="Simplified Arabic" w:hint="cs"/>
          <w:color w:val="000000" w:themeColor="text1"/>
          <w:sz w:val="36"/>
          <w:szCs w:val="36"/>
          <w:rtl/>
          <w:lang w:bidi="ar-EG"/>
        </w:rPr>
        <w:t xml:space="preserve"> 2026</w:t>
      </w:r>
    </w:p>
    <w:p w14:paraId="17E8042F" w14:textId="77777777" w:rsidR="00751A99" w:rsidRPr="002D2F40" w:rsidRDefault="00751A99" w:rsidP="00751A99">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751A99" w:rsidRPr="002D2F40" w:rsidSect="00751A99">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E3FE435" w14:textId="680AF8E7" w:rsidR="00751A99" w:rsidRPr="002D2F40" w:rsidRDefault="00751A99" w:rsidP="00751A99">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500645"/>
      <w:r w:rsidRPr="002D2F40">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6163C475" w14:textId="1D7B5C28" w:rsidR="00751A99" w:rsidRPr="002D2F40" w:rsidRDefault="00751A99" w:rsidP="00751A99">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 w:name="_Toc233500646"/>
      <w:bookmarkStart w:id="2" w:name="_Hlk172151144"/>
      <w:bookmarkStart w:id="3" w:name="_Toc169790489"/>
      <w:r w:rsidRPr="002D2F40">
        <w:rPr>
          <w:rFonts w:ascii="Simplified Arabic" w:hAnsi="Simplified Arabic" w:cs="Simplified Arabic" w:hint="cs"/>
          <w:b/>
          <w:bCs/>
          <w:color w:val="000000" w:themeColor="text1"/>
          <w:sz w:val="36"/>
          <w:szCs w:val="36"/>
          <w:rtl/>
        </w:rPr>
        <w:t>1.1 المقدمة</w:t>
      </w:r>
      <w:bookmarkEnd w:id="1"/>
    </w:p>
    <w:p w14:paraId="461214EE" w14:textId="4B74B224" w:rsidR="00497D0C" w:rsidRPr="002D2F40" w:rsidRDefault="00497D0C" w:rsidP="00751A99">
      <w:pPr>
        <w:spacing w:before="100" w:beforeAutospacing="1" w:after="100" w:afterAutospacing="1" w:line="276" w:lineRule="auto"/>
        <w:ind w:firstLine="424"/>
        <w:jc w:val="both"/>
        <w:rPr>
          <w:rFonts w:ascii="Simplified Arabic" w:eastAsiaTheme="majorEastAsia"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تُعدّ المدن المحرّك الرئيسي للتنمية الاقتصادية والاجتماعية في العالم المعاصر، إذ يقطن أكثر من نصف سكان الكرة الأرضية في بيئات حضرية تتوسّع باستمرار وتفرض ضغوطاً متزايدة على البنى التحتية والموارد المتاحة. وفي ظلّ هذا التوسّع المتسارع، برزت ظاهرة التدهور العمراني في الأحياء الداخلية القديمة كأحد أبرز التحدّيات التي تواجه المدن الكبرى، حيث تتراجع جاذبية هذه المناطق مع هجرة السكان والاستثمارات نحو الضواحي الحديثة، ممّا يستدعي تبنّي مقاربات تجديدية شاملة توازن بين الحفاظ على الهوية العمرانية والاستجابة لمتطلبات التنمية المستدامة</w:t>
      </w:r>
      <w:r w:rsidRPr="002D2F40">
        <w:rPr>
          <w:rFonts w:ascii="Simplified Arabic" w:hAnsi="Simplified Arabic" w:cs="Simplified Arabic"/>
          <w:color w:val="000000" w:themeColor="text1"/>
          <w:sz w:val="28"/>
          <w:szCs w:val="28"/>
        </w:rPr>
        <w:t xml:space="preserve"> (</w:t>
      </w:r>
      <w:proofErr w:type="spellStart"/>
      <w:r w:rsidRPr="002D2F40">
        <w:rPr>
          <w:rFonts w:ascii="Simplified Arabic" w:hAnsi="Simplified Arabic" w:cs="Simplified Arabic"/>
          <w:color w:val="000000" w:themeColor="text1"/>
          <w:sz w:val="28"/>
          <w:szCs w:val="28"/>
        </w:rPr>
        <w:t>Carra</w:t>
      </w:r>
      <w:proofErr w:type="spellEnd"/>
      <w:r w:rsidRPr="002D2F40">
        <w:rPr>
          <w:rFonts w:ascii="Simplified Arabic" w:hAnsi="Simplified Arabic" w:cs="Simplified Arabic"/>
          <w:color w:val="000000" w:themeColor="text1"/>
          <w:sz w:val="28"/>
          <w:szCs w:val="28"/>
        </w:rPr>
        <w:t xml:space="preserve"> et al., 2023).</w:t>
      </w:r>
    </w:p>
    <w:p w14:paraId="3EB9C441" w14:textId="77777777" w:rsidR="00497D0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وقد حظيت إعادة تطوير المنازل السكنية القديمة باهتمام متنامٍ في أدبيات التخطيط العمراني بوصفها استراتيجية فعّالة لمواجهة هذا التدهور، إذ تشمل مجموعة متكاملة من التدخّلات تمتدّ من إعادة التخطيط والتصميم العمراني إلى التأهيل الإنشائي والمعماري وتحسين شبكات البنية التحتية وتفعيل آليات الشراكة بين القطاعين العام والخاص. وتُشير الدراسات إلى أنّ هذه التدخّلات حين تُنفَّذ بصورة تكاملية تُسهم في إعادة الحيوية إلى الأنسجة العمرانية القائمة والحدّ من الزحف الأفقي المكلف للمدن</w:t>
      </w:r>
      <w:r w:rsidRPr="002D2F40">
        <w:rPr>
          <w:rFonts w:ascii="Simplified Arabic" w:hAnsi="Simplified Arabic" w:cs="Simplified Arabic"/>
          <w:color w:val="000000" w:themeColor="text1"/>
          <w:sz w:val="28"/>
          <w:szCs w:val="28"/>
        </w:rPr>
        <w:t xml:space="preserve"> (Van Nguyen et al., 2024). </w:t>
      </w:r>
      <w:r w:rsidRPr="002D2F40">
        <w:rPr>
          <w:rFonts w:ascii="Simplified Arabic" w:hAnsi="Simplified Arabic" w:cs="Simplified Arabic"/>
          <w:color w:val="000000" w:themeColor="text1"/>
          <w:sz w:val="28"/>
          <w:szCs w:val="28"/>
          <w:rtl/>
        </w:rPr>
        <w:t>وفي السياق السعودي تحديداً، أكّدت الأبحاث أنّ الأحياء الداخلية في المدن الكبرى كالرياض تمتلك مقوّمات بنيوية وخدمية مكتملة تجعل من تحسينها خياراً أجدى اقتصادياً واجتماعياً من الهدم وإعادة البناء الكامل (السليم والزامل، 2021)</w:t>
      </w:r>
      <w:r w:rsidRPr="002D2F40">
        <w:rPr>
          <w:rFonts w:ascii="Simplified Arabic" w:hAnsi="Simplified Arabic" w:cs="Simplified Arabic"/>
          <w:color w:val="000000" w:themeColor="text1"/>
          <w:sz w:val="28"/>
          <w:szCs w:val="28"/>
        </w:rPr>
        <w:t>.</w:t>
      </w:r>
    </w:p>
    <w:p w14:paraId="77AACAA0" w14:textId="77777777" w:rsidR="00497D0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ويرتبط التجديد العمراني للأحياء السكنية ارتباطاً وثيقاً بتعظيم العائد الاستثماري العقاري، حيث تُظهر الشواهد الدولية أنّ المناطق المُعاد تطويرها وفق مخططات متكاملة تشهد ارتفاعاً ملموساً في القيم السوقية والإيجارية للعقارات، فضلاً عن استقطاب أنشطة تجارية وخدمية جديدة تُولّد فرص عمل محلية وتُنشّط الدورة الاقتصادية في المنطقة</w:t>
      </w:r>
      <w:r w:rsidRPr="002D2F40">
        <w:rPr>
          <w:rFonts w:ascii="Simplified Arabic" w:hAnsi="Simplified Arabic" w:cs="Simplified Arabic"/>
          <w:color w:val="000000" w:themeColor="text1"/>
          <w:sz w:val="28"/>
          <w:szCs w:val="28"/>
        </w:rPr>
        <w:t xml:space="preserve"> (</w:t>
      </w:r>
      <w:proofErr w:type="spellStart"/>
      <w:r w:rsidRPr="002D2F40">
        <w:rPr>
          <w:rFonts w:ascii="Simplified Arabic" w:hAnsi="Simplified Arabic" w:cs="Simplified Arabic"/>
          <w:color w:val="000000" w:themeColor="text1"/>
          <w:sz w:val="28"/>
          <w:szCs w:val="28"/>
        </w:rPr>
        <w:t>Karanikolas</w:t>
      </w:r>
      <w:proofErr w:type="spellEnd"/>
      <w:r w:rsidRPr="002D2F40">
        <w:rPr>
          <w:rFonts w:ascii="Simplified Arabic" w:hAnsi="Simplified Arabic" w:cs="Simplified Arabic"/>
          <w:color w:val="000000" w:themeColor="text1"/>
          <w:sz w:val="28"/>
          <w:szCs w:val="28"/>
        </w:rPr>
        <w:t xml:space="preserve"> et al., 2024). </w:t>
      </w:r>
      <w:r w:rsidRPr="002D2F40">
        <w:rPr>
          <w:rFonts w:ascii="Simplified Arabic" w:hAnsi="Simplified Arabic" w:cs="Simplified Arabic"/>
          <w:color w:val="000000" w:themeColor="text1"/>
          <w:sz w:val="28"/>
          <w:szCs w:val="28"/>
          <w:rtl/>
        </w:rPr>
        <w:t>وبالتوازي مع ذلك، يُعدّ تحسين جودة الحياة الحضرية غاية محورية لمشاريع إعادة التطوير، إذ ينعكس التجديد إيجاباً على رضا السكان من خلال توفير فراغات عامة ومساحات خضراء وبيئة عمرانية آمنة وصحية تُعزّز الانتماء المكاني وتُقلّل الحاجة إلى التنقّل الطويل نحو أطراف المدينة</w:t>
      </w:r>
      <w:r w:rsidRPr="002D2F40">
        <w:rPr>
          <w:rFonts w:ascii="Simplified Arabic" w:hAnsi="Simplified Arabic" w:cs="Simplified Arabic"/>
          <w:color w:val="000000" w:themeColor="text1"/>
          <w:sz w:val="28"/>
          <w:szCs w:val="28"/>
        </w:rPr>
        <w:t xml:space="preserve"> (Zhao et al., 2024).</w:t>
      </w:r>
    </w:p>
    <w:p w14:paraId="6E2C543C" w14:textId="77777777" w:rsidR="00497D0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lastRenderedPageBreak/>
        <w:t>كما أنّ بناء مؤشرات كمّية تربط بين خصائص البيئة الحضرية والقيمة العقارية يُتيح لصانعي القرار أدوات موضوعية لتحديد أولويات التدخّل وتقدير المنافع المتوقّعة، وهو ما أكّدته نماذج الانحدار المتعدد التي أثبتت أنّ تحسين مؤشر الجودة الحضرية ينعكس بصورة مباشرة وقابلة للقياس على أسعار العقارات في المناطق المُستهدفة</w:t>
      </w:r>
      <w:r w:rsidRPr="002D2F40">
        <w:rPr>
          <w:rFonts w:ascii="Simplified Arabic" w:hAnsi="Simplified Arabic" w:cs="Simplified Arabic"/>
          <w:color w:val="000000" w:themeColor="text1"/>
          <w:sz w:val="28"/>
          <w:szCs w:val="28"/>
        </w:rPr>
        <w:t xml:space="preserve"> (Carbonara et al., 2021).</w:t>
      </w:r>
    </w:p>
    <w:p w14:paraId="146B9B1D" w14:textId="7C3DD4BD" w:rsidR="001B46E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 xml:space="preserve">وانطلاقاً ممّا سبق، تسعى الدراسة الحالية إلى استكشاف أثر إعادة تطوير المنازل السكنية القديمة بأبعاده المتعددة على تعظيم العائد الاستثماري وتحسين جودة الحياة الحضرية في الأحياء الداخلية بمدينة الرياض، بما يُسهم في تقديم إطار علمي وتطبيقي يُثري الأدبيات العربية في هذا الحقل ويدعم جهود صانعي القرار والمطوّرين العقاريين في توجيه التدخّلات التجديدية نحو الأحياء الأكثر حاجةً والأعلى جدوى </w:t>
      </w:r>
    </w:p>
    <w:p w14:paraId="26A30044" w14:textId="6A440DD3" w:rsidR="00751A99" w:rsidRPr="002D2F40" w:rsidRDefault="00751A99" w:rsidP="00751A99">
      <w:pPr>
        <w:pStyle w:val="a8"/>
        <w:bidi/>
        <w:spacing w:line="276" w:lineRule="auto"/>
        <w:jc w:val="both"/>
        <w:outlineLvl w:val="1"/>
        <w:rPr>
          <w:rFonts w:ascii="Simplified Arabic" w:hAnsi="Simplified Arabic" w:cs="Simplified Arabic"/>
          <w:b/>
          <w:bCs/>
          <w:color w:val="000000" w:themeColor="text1"/>
          <w:sz w:val="36"/>
          <w:szCs w:val="36"/>
          <w:rtl/>
        </w:rPr>
      </w:pPr>
      <w:bookmarkStart w:id="4" w:name="_Toc233500647"/>
      <w:bookmarkStart w:id="5" w:name="_Toc223210603"/>
      <w:bookmarkStart w:id="6" w:name="_Toc169790500"/>
      <w:bookmarkEnd w:id="2"/>
      <w:bookmarkEnd w:id="3"/>
      <w:r w:rsidRPr="002D2F40">
        <w:rPr>
          <w:rFonts w:ascii="Simplified Arabic" w:hAnsi="Simplified Arabic" w:cs="Simplified Arabic"/>
          <w:b/>
          <w:bCs/>
          <w:color w:val="000000" w:themeColor="text1"/>
          <w:sz w:val="36"/>
          <w:szCs w:val="36"/>
          <w:rtl/>
        </w:rPr>
        <w:t>2.1 مشكلة الدراسة</w:t>
      </w:r>
      <w:bookmarkEnd w:id="4"/>
    </w:p>
    <w:p w14:paraId="302D3C47" w14:textId="77777777" w:rsidR="00497D0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 xml:space="preserve">تشهد مدينة الرياض، عاصمة المملكة العربية السعودية وأكبر تجمّع حضري فيها بعدد سكان تجاوز 8.5 مليون نسمة وفقاً لبيانات الهيئة العامة للإحصاء عام 2022، تحوّلات عمرانية متسارعة فرضتها موجات النمو السكاني المتلاحقة والطموحات التنموية الكبرى المرتبطة برؤية </w:t>
      </w:r>
      <w:r w:rsidRPr="002D2F40">
        <w:rPr>
          <w:rFonts w:ascii="Simplified Arabic" w:hAnsi="Simplified Arabic" w:cs="Simplified Arabic"/>
          <w:color w:val="000000" w:themeColor="text1"/>
          <w:sz w:val="28"/>
          <w:szCs w:val="28"/>
        </w:rPr>
        <w:t xml:space="preserve">2030 </w:t>
      </w:r>
      <w:r w:rsidRPr="002D2F40">
        <w:rPr>
          <w:rFonts w:ascii="Simplified Arabic" w:hAnsi="Simplified Arabic" w:cs="Simplified Arabic"/>
          <w:color w:val="000000" w:themeColor="text1"/>
          <w:sz w:val="28"/>
          <w:szCs w:val="28"/>
          <w:rtl/>
        </w:rPr>
        <w:t>التي تستهدف رفع عدد سكان المدينة إلى خمسة عشر مليون نسمة بحلول نهاية العقد الحالي. وقد أسفرت عقود من التوسّع الأفقي غير المنضبط عن نشوء تباين حادّ بين ضواحٍ حديثة مترامية الأطراف تستأثر بالاستثمارات العقارية والخدمات المتطوّرة، وأحياء داخلية قديمة ظلّت تعاني تراجعاً مطّرداً في جودة نسيجها العمراني وبنيتها التحتية على الرغم من تمتّعها بموقع مركزي استراتيجي واكتمال شبكة خدماتها الأساسية. وتكشف الدراسات الحديثة أنّ أحياءً مثل الشميسي، وسلام، ومنفوحة، وأم سليم، وعتيقة، باتت تضمّ نسبة مرتفعة من المباني التي مضى على إنشائها أكثر من ثلاثة عقود، وهي مبانٍ تعاني من تقادم الهياكل الإنشائية وتدنّي كفاءة الطاقة وضيق الشوارع وشحّ المواقف وغياب الفراغات العامة، ممّا أدّى إلى هجرة سكانية تدريجية نحو الأطراف وانخفاض معدلات الإشغال وتراجع القيم الإيجارية والسوقية للعقارات فيها</w:t>
      </w:r>
      <w:r w:rsidRPr="002D2F40">
        <w:rPr>
          <w:rFonts w:ascii="Simplified Arabic" w:hAnsi="Simplified Arabic" w:cs="Simplified Arabic"/>
          <w:color w:val="000000" w:themeColor="text1"/>
          <w:sz w:val="28"/>
          <w:szCs w:val="28"/>
        </w:rPr>
        <w:t>.</w:t>
      </w:r>
    </w:p>
    <w:p w14:paraId="526E34BA" w14:textId="77777777" w:rsidR="00497D0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 xml:space="preserve">وعلى صعيد البيئة التنظيمية، يُشير الزامل </w:t>
      </w:r>
      <w:r w:rsidRPr="002D2F40">
        <w:rPr>
          <w:rFonts w:ascii="Simplified Arabic" w:hAnsi="Simplified Arabic" w:cs="Simplified Arabic"/>
          <w:color w:val="000000" w:themeColor="text1"/>
          <w:sz w:val="28"/>
          <w:szCs w:val="28"/>
        </w:rPr>
        <w:t>(</w:t>
      </w:r>
      <w:proofErr w:type="spellStart"/>
      <w:r w:rsidRPr="002D2F40">
        <w:rPr>
          <w:rFonts w:ascii="Simplified Arabic" w:hAnsi="Simplified Arabic" w:cs="Simplified Arabic"/>
          <w:color w:val="000000" w:themeColor="text1"/>
          <w:sz w:val="28"/>
          <w:szCs w:val="28"/>
        </w:rPr>
        <w:t>Alzamil</w:t>
      </w:r>
      <w:proofErr w:type="spellEnd"/>
      <w:r w:rsidRPr="002D2F40">
        <w:rPr>
          <w:rFonts w:ascii="Simplified Arabic" w:hAnsi="Simplified Arabic" w:cs="Simplified Arabic"/>
          <w:color w:val="000000" w:themeColor="text1"/>
          <w:sz w:val="28"/>
          <w:szCs w:val="28"/>
        </w:rPr>
        <w:t xml:space="preserve">) </w:t>
      </w:r>
      <w:r w:rsidRPr="002D2F40">
        <w:rPr>
          <w:rFonts w:ascii="Simplified Arabic" w:hAnsi="Simplified Arabic" w:cs="Simplified Arabic"/>
          <w:color w:val="000000" w:themeColor="text1"/>
          <w:sz w:val="28"/>
          <w:szCs w:val="28"/>
          <w:rtl/>
        </w:rPr>
        <w:t xml:space="preserve">أستاذ التخطيط العمراني في جامعة الملك سعود إلى أنّ مراكز المدن السعودية عانت خلال العقود الثلاثة الماضية من تدهور عمراني ممنهج ناجم عن تفضيل التوسّع العقاري على حساب استغلال الفراغات الداخلية، مما غيّر النسيج الاجتماعي لقلب المدينة. كما أظهرت دراسة ميدانية حديثة أُجريت على مئة وثمانين مطوّراً عقارياً مرخّصاً في الرياض أنّ </w:t>
      </w:r>
      <w:r w:rsidRPr="002D2F40">
        <w:rPr>
          <w:rFonts w:ascii="Simplified Arabic" w:hAnsi="Simplified Arabic" w:cs="Simplified Arabic"/>
          <w:color w:val="000000" w:themeColor="text1"/>
          <w:sz w:val="28"/>
          <w:szCs w:val="28"/>
          <w:rtl/>
        </w:rPr>
        <w:lastRenderedPageBreak/>
        <w:t>ستة وستين بالمئة منهم أبدوا اهتماماً كبيراً بالمشاركة في مشاريع إعادة تطوير الأحياء الداخلية، غير أنّ معوقات جوهرية تحول دون تحقيق ذلك أبرزها: صعوبة الحصول على تراخيص البناء بمتوسط موافقة منخفض بلغ 2.74 من 5، وعدم كفاية الحوافز الحكومية التنظيمية بمتوسط لم يتجاوز 2.48 من 5، فضلاً عن تحدّيات دمج الملكيات الصغيرة وتعقيدات التعامل مع السكان الحاليين. وفي المقابل، أكّد المطوّرون أنّ توافر الخدمات بمتوسط 4.49 والموقع وسهولة الوصول بمتوسط 4.44 يُمثّلان عوامل جذب قوية، وأنّ الأحياء المخطّطة المُجدّدة قادرة على رفع قيم العقارات بنسبة تتراوح بين خمسة عشر وخمسة وثلاثين بالمئة وتوليد ما يصل إلى ثماني فرص عمل محلية لكل ألف متر مربع من المساحات التجارية</w:t>
      </w:r>
      <w:r w:rsidRPr="002D2F40">
        <w:rPr>
          <w:rFonts w:ascii="Simplified Arabic" w:hAnsi="Simplified Arabic" w:cs="Simplified Arabic"/>
          <w:color w:val="000000" w:themeColor="text1"/>
          <w:sz w:val="28"/>
          <w:szCs w:val="28"/>
        </w:rPr>
        <w:t>.</w:t>
      </w:r>
    </w:p>
    <w:p w14:paraId="65E98F92" w14:textId="77777777" w:rsidR="00497D0C" w:rsidRPr="002D2F40" w:rsidRDefault="00497D0C" w:rsidP="00751A99">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من هذا المنطلق، تتبلور مشكلة الدراسة الحالية في التساؤل الجوهري التالي</w:t>
      </w:r>
      <w:r w:rsidRPr="002D2F40">
        <w:rPr>
          <w:rFonts w:ascii="Simplified Arabic" w:hAnsi="Simplified Arabic" w:cs="Simplified Arabic"/>
          <w:color w:val="000000" w:themeColor="text1"/>
          <w:sz w:val="28"/>
          <w:szCs w:val="28"/>
        </w:rPr>
        <w:t xml:space="preserve">: </w:t>
      </w:r>
      <w:r w:rsidRPr="002D2F40">
        <w:rPr>
          <w:rStyle w:val="a9"/>
          <w:rFonts w:ascii="Simplified Arabic" w:hAnsi="Simplified Arabic" w:cs="Simplified Arabic"/>
          <w:b w:val="0"/>
          <w:bCs w:val="0"/>
          <w:color w:val="000000" w:themeColor="text1"/>
          <w:sz w:val="28"/>
          <w:szCs w:val="28"/>
          <w:rtl/>
        </w:rPr>
        <w:t>ما أثر إعادة تطوير المنازل السكنية القديمة بأبعاده (التخطيط العمراني وإعادة التصميم، التأهيل الإنشائي والمعماري، تحسين البنية التحتية والخدمات، الشراكة بين القطاعين العام والخاص) على تعظيم العائد الاستثماري وتحسين جودة الحياة الحضرية في الأحياء السكنية القديمة بمدينة الرياض؟</w:t>
      </w:r>
      <w:r w:rsidRPr="002D2F40">
        <w:rPr>
          <w:rFonts w:ascii="Simplified Arabic" w:hAnsi="Simplified Arabic" w:cs="Simplified Arabic"/>
          <w:color w:val="000000" w:themeColor="text1"/>
          <w:sz w:val="28"/>
          <w:szCs w:val="28"/>
          <w:rtl/>
        </w:rPr>
        <w:t xml:space="preserve"> </w:t>
      </w:r>
    </w:p>
    <w:p w14:paraId="2A58CD58" w14:textId="5B38CF1D" w:rsidR="00751A99" w:rsidRPr="002D2F40" w:rsidRDefault="00751A99" w:rsidP="00751A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500648"/>
      <w:bookmarkStart w:id="8" w:name="_Toc223210614"/>
      <w:bookmarkEnd w:id="5"/>
      <w:r w:rsidRPr="002D2F40">
        <w:rPr>
          <w:rFonts w:ascii="Simplified Arabic" w:eastAsia="Times New Roman" w:hAnsi="Simplified Arabic" w:cs="Simplified Arabic"/>
          <w:b/>
          <w:bCs/>
          <w:color w:val="000000" w:themeColor="text1"/>
          <w:kern w:val="0"/>
          <w:sz w:val="36"/>
          <w:szCs w:val="36"/>
          <w:rtl/>
          <w14:ligatures w14:val="none"/>
        </w:rPr>
        <w:t>3.1 أهدف الدراسة</w:t>
      </w:r>
      <w:bookmarkEnd w:id="7"/>
    </w:p>
    <w:p w14:paraId="77C6D4DD" w14:textId="77777777"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تهدف الدراسة إلى دراسة أثر إعادة تطوير المنازل السكنية القديمة بأبعاده (التخطيط العمراني وإعادة التصميم، التأهيل الإنشائي والمعماري، تحسين البنية التحتية والخدمات، الشراكة بين القطاعين العام والخاص) على تعظيم العائد الاستثماري وتحسين جودة الحياة الحضرية في الأحياء السكنية القديمة بمدينة الرياض</w:t>
      </w:r>
      <w:r w:rsidRPr="002D2F40">
        <w:rPr>
          <w:rFonts w:ascii="Simplified Arabic" w:eastAsia="Times New Roman" w:hAnsi="Simplified Arabic" w:cs="Simplified Arabic"/>
          <w:color w:val="000000" w:themeColor="text1"/>
          <w:kern w:val="0"/>
          <w:sz w:val="28"/>
          <w:szCs w:val="28"/>
          <w14:ligatures w14:val="none"/>
        </w:rPr>
        <w:t>.</w:t>
      </w:r>
    </w:p>
    <w:p w14:paraId="3ED36CD3" w14:textId="49D5D1C2" w:rsidR="00497D0C" w:rsidRPr="002D2F40" w:rsidRDefault="00497D0C" w:rsidP="00FC623E">
      <w:pPr>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تحديد أثر إعادة التخطيط العمراني للأحياء السكنية القديمة على رفع القيمة السوقية للعقارات وزيادة العائد الاستثماري في مدينة الرياض</w:t>
      </w:r>
      <w:r w:rsidRPr="002D2F40">
        <w:rPr>
          <w:rFonts w:ascii="Simplified Arabic" w:eastAsia="Times New Roman" w:hAnsi="Simplified Arabic" w:cs="Simplified Arabic"/>
          <w:color w:val="000000" w:themeColor="text1"/>
          <w:kern w:val="0"/>
          <w:sz w:val="28"/>
          <w:szCs w:val="28"/>
          <w14:ligatures w14:val="none"/>
        </w:rPr>
        <w:t>.</w:t>
      </w:r>
    </w:p>
    <w:p w14:paraId="221129EA" w14:textId="77777777" w:rsidR="00497D0C" w:rsidRPr="002D2F40" w:rsidRDefault="00497D0C" w:rsidP="00FC623E">
      <w:pPr>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قياس أثر عمليات التأهيل الإنشائي والترميم المعماري للمباني السكنية القديمة على زيادة العمر الافتراضي للمباني وتقليل تكاليف الصيانة المستقبلية</w:t>
      </w:r>
      <w:r w:rsidRPr="002D2F40">
        <w:rPr>
          <w:rFonts w:ascii="Simplified Arabic" w:eastAsia="Times New Roman" w:hAnsi="Simplified Arabic" w:cs="Simplified Arabic"/>
          <w:color w:val="000000" w:themeColor="text1"/>
          <w:kern w:val="0"/>
          <w:sz w:val="28"/>
          <w:szCs w:val="28"/>
          <w14:ligatures w14:val="none"/>
        </w:rPr>
        <w:t>.</w:t>
      </w:r>
    </w:p>
    <w:p w14:paraId="2554BF60" w14:textId="77777777" w:rsidR="00497D0C" w:rsidRPr="002D2F40" w:rsidRDefault="00497D0C" w:rsidP="00FC623E">
      <w:pPr>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دراسة أثر تطوير شبكات البنية التحتية (المياه، الصرف الصحي، الكهرباء، الاتصالات) في الأحياء القديمة على رفع مستوى جودة الحياة الحضرية وتعزيز القيمة الاستثمارية للمنطقة</w:t>
      </w:r>
      <w:r w:rsidRPr="002D2F40">
        <w:rPr>
          <w:rFonts w:ascii="Simplified Arabic" w:eastAsia="Times New Roman" w:hAnsi="Simplified Arabic" w:cs="Simplified Arabic"/>
          <w:color w:val="000000" w:themeColor="text1"/>
          <w:kern w:val="0"/>
          <w:sz w:val="28"/>
          <w:szCs w:val="28"/>
          <w14:ligatures w14:val="none"/>
        </w:rPr>
        <w:t>.</w:t>
      </w:r>
    </w:p>
    <w:p w14:paraId="0E595898" w14:textId="77777777" w:rsidR="00497D0C" w:rsidRPr="002D2F40" w:rsidRDefault="00497D0C" w:rsidP="00FC623E">
      <w:pPr>
        <w:numPr>
          <w:ilvl w:val="0"/>
          <w:numId w:val="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تحليل أثر آليات الشراكة بين القطاعين العام والخاص على تسريع وتيرة مشاريع إعادة تطوير المنازل القديمة وتحقيق عائد استثماري مُجزٍ للأطراف المعنية</w:t>
      </w:r>
      <w:r w:rsidRPr="002D2F40">
        <w:rPr>
          <w:rFonts w:ascii="Simplified Arabic" w:eastAsia="Times New Roman" w:hAnsi="Simplified Arabic" w:cs="Simplified Arabic"/>
          <w:color w:val="000000" w:themeColor="text1"/>
          <w:kern w:val="0"/>
          <w:sz w:val="28"/>
          <w:szCs w:val="28"/>
          <w14:ligatures w14:val="none"/>
        </w:rPr>
        <w:t>.</w:t>
      </w:r>
    </w:p>
    <w:p w14:paraId="495A9E2C" w14:textId="77777777" w:rsidR="00751A99" w:rsidRPr="002D2F40" w:rsidRDefault="00751A99" w:rsidP="00751A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500649"/>
      <w:r w:rsidRPr="002D2F40">
        <w:rPr>
          <w:rFonts w:ascii="Simplified Arabic" w:eastAsia="Times New Roman" w:hAnsi="Simplified Arabic" w:cs="Simplified Arabic"/>
          <w:b/>
          <w:bCs/>
          <w:color w:val="000000" w:themeColor="text1"/>
          <w:kern w:val="0"/>
          <w:sz w:val="36"/>
          <w:szCs w:val="36"/>
          <w:rtl/>
          <w14:ligatures w14:val="none"/>
        </w:rPr>
        <w:lastRenderedPageBreak/>
        <w:t>4.1 أسئلة الدراسة</w:t>
      </w:r>
      <w:bookmarkEnd w:id="9"/>
    </w:p>
    <w:p w14:paraId="6CD26784" w14:textId="3472D9C6" w:rsidR="00751A99" w:rsidRPr="002D2F40" w:rsidRDefault="00751A99"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السؤال الرئيسي</w:t>
      </w:r>
    </w:p>
    <w:p w14:paraId="5BCD2203" w14:textId="77777777"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ما أثر إعادة تطوير المنازل السكنية القديمة بأبعاده (التخطيط العمراني وإعادة التصميم، التأهيل الإنشائي والمعماري، تحسين البنية التحتية والخدمات، الشراكة بين القطاعين العام والخاص) على تعظيم العائد الاستثماري وتحسين جودة الحياة الحضرية في الأحياء السكنية القديمة بمدينة الرياض؟</w:t>
      </w:r>
    </w:p>
    <w:p w14:paraId="679EC426" w14:textId="77777777" w:rsidR="00497D0C" w:rsidRPr="002D2F40" w:rsidRDefault="00497D0C"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الأسئلة الفرعية</w:t>
      </w:r>
    </w:p>
    <w:p w14:paraId="50D7D7B2" w14:textId="716123C6" w:rsidR="00497D0C" w:rsidRPr="002D2F40" w:rsidRDefault="00497D0C" w:rsidP="00FC623E">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ما أثر التخطيط العمراني وإعادة التصميم للأحياء السكنية القديمة تعظيم العائد الاستثماري وتحسين جودة الحياة الحضرية في الأحياء السكنية القديمة بمدينة الرياض ؟</w:t>
      </w:r>
    </w:p>
    <w:p w14:paraId="131C9D55" w14:textId="1D61D24A" w:rsidR="00497D0C" w:rsidRPr="002D2F40" w:rsidRDefault="00497D0C" w:rsidP="00FC623E">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ما أثر التأهيل الإنشائي والمعماري للمنازل السكنية القديمة على تعظيم العائد الاستثماري وتحسين جودة الحياة الحضرية في الأحياء السكنية القديمة بمدينة الرياض</w:t>
      </w:r>
    </w:p>
    <w:p w14:paraId="7D6134D9" w14:textId="18C8C167" w:rsidR="00497D0C" w:rsidRPr="002D2F40" w:rsidRDefault="00497D0C" w:rsidP="00FC623E">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ما أثر تحسين البنية التحتية والخدمات في الأحياء القديمة على تعظيم العائد الاستثماري وتحسين جودة الحياة الحضرية في الأحياء السكنية القديمة بمدينة الرياض ؟</w:t>
      </w:r>
    </w:p>
    <w:p w14:paraId="3E58C104" w14:textId="4603F473" w:rsidR="00497D0C" w:rsidRPr="002D2F40" w:rsidRDefault="00497D0C" w:rsidP="00FC623E">
      <w:pPr>
        <w:numPr>
          <w:ilvl w:val="0"/>
          <w:numId w:val="2"/>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ما أثر الشراكة بين القطاعين العام والخاص في مشاريع إعادة التطوير على تعظيم العائد الاستثماري وتحسين جودة الحياة الحضرية في الأحياء السكنية القديمة بمدينة الرياض ؟</w:t>
      </w:r>
    </w:p>
    <w:p w14:paraId="01DA79B2" w14:textId="77777777" w:rsidR="00751A99" w:rsidRPr="002D2F40" w:rsidRDefault="00751A99" w:rsidP="00751A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0" w:name="_Toc233500650"/>
      <w:r w:rsidRPr="002D2F40">
        <w:rPr>
          <w:rFonts w:ascii="Simplified Arabic" w:eastAsia="Times New Roman" w:hAnsi="Simplified Arabic" w:cs="Simplified Arabic"/>
          <w:b/>
          <w:bCs/>
          <w:color w:val="000000" w:themeColor="text1"/>
          <w:kern w:val="0"/>
          <w:sz w:val="36"/>
          <w:szCs w:val="36"/>
          <w:rtl/>
          <w14:ligatures w14:val="none"/>
        </w:rPr>
        <w:t>5.1 فروض الدراسة</w:t>
      </w:r>
      <w:bookmarkEnd w:id="10"/>
    </w:p>
    <w:p w14:paraId="2073B5D7" w14:textId="357B5BE2" w:rsidR="00751A99" w:rsidRPr="002D2F40" w:rsidRDefault="00751A99"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الفرض الرئيسي</w:t>
      </w:r>
    </w:p>
    <w:p w14:paraId="4C2B0FED" w14:textId="77777777"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Cambria" w:eastAsia="Times New Roman" w:hAnsi="Cambria" w:cs="Cambria"/>
          <w:color w:val="000000" w:themeColor="text1"/>
          <w:kern w:val="0"/>
          <w:sz w:val="28"/>
          <w:szCs w:val="28"/>
          <w14:ligatures w14:val="none"/>
        </w:rPr>
        <w:t>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Times New Roman" w:eastAsia="Times New Roman" w:hAnsi="Times New Roman" w:cs="Times New Roman"/>
          <w:color w:val="000000" w:themeColor="text1"/>
          <w:kern w:val="0"/>
          <w:sz w:val="28"/>
          <w:szCs w:val="28"/>
          <w14:ligatures w14:val="none"/>
        </w:rPr>
        <w:t>≤</w:t>
      </w:r>
      <w:r w:rsidRPr="002D2F40">
        <w:rPr>
          <w:rFonts w:ascii="Simplified Arabic" w:eastAsia="Times New Roman" w:hAnsi="Simplified Arabic" w:cs="Simplified Arabic"/>
          <w:color w:val="000000" w:themeColor="text1"/>
          <w:kern w:val="0"/>
          <w:sz w:val="28"/>
          <w:szCs w:val="28"/>
          <w14:ligatures w14:val="none"/>
        </w:rPr>
        <w:t xml:space="preserve"> 0.05) </w:t>
      </w:r>
      <w:r w:rsidRPr="002D2F40">
        <w:rPr>
          <w:rFonts w:ascii="Simplified Arabic" w:eastAsia="Times New Roman" w:hAnsi="Simplified Arabic" w:cs="Simplified Arabic"/>
          <w:color w:val="000000" w:themeColor="text1"/>
          <w:kern w:val="0"/>
          <w:sz w:val="28"/>
          <w:szCs w:val="28"/>
          <w:rtl/>
          <w14:ligatures w14:val="none"/>
        </w:rPr>
        <w:t>لإعادة تطوير المنازل السكنية القديمة بأبعاده (التخطيط العمراني وإعادة التصميم، التأهيل الإنشائي والمعماري، تحسين البنية التحتية والخدمات، الشراكة بين القطاعين العام والخاص) على تعظيم العائد الاستثماري وتحسين جودة الحياة الحضرية في الأحياء السكنية القديمة بمدينة الرياض</w:t>
      </w:r>
      <w:r w:rsidRPr="002D2F40">
        <w:rPr>
          <w:rFonts w:ascii="Simplified Arabic" w:eastAsia="Times New Roman" w:hAnsi="Simplified Arabic" w:cs="Simplified Arabic"/>
          <w:color w:val="000000" w:themeColor="text1"/>
          <w:kern w:val="0"/>
          <w:sz w:val="28"/>
          <w:szCs w:val="28"/>
          <w14:ligatures w14:val="none"/>
        </w:rPr>
        <w:t>.</w:t>
      </w:r>
    </w:p>
    <w:p w14:paraId="70CBCBDE" w14:textId="15F447BB" w:rsidR="00497D0C" w:rsidRPr="002D2F40" w:rsidRDefault="00497D0C" w:rsidP="00FC623E">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يوجد أثر ذو دلالة إحصائية عند مستوى معنوية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Cambria" w:eastAsia="Times New Roman" w:hAnsi="Cambria" w:cs="Cambria"/>
          <w:color w:val="000000" w:themeColor="text1"/>
          <w:kern w:val="0"/>
          <w:sz w:val="28"/>
          <w:szCs w:val="28"/>
          <w14:ligatures w14:val="none"/>
        </w:rPr>
        <w:t>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Times New Roman" w:eastAsia="Times New Roman" w:hAnsi="Times New Roman" w:cs="Times New Roman"/>
          <w:color w:val="000000" w:themeColor="text1"/>
          <w:kern w:val="0"/>
          <w:sz w:val="28"/>
          <w:szCs w:val="28"/>
          <w14:ligatures w14:val="none"/>
        </w:rPr>
        <w:t>≤</w:t>
      </w:r>
      <w:r w:rsidRPr="002D2F40">
        <w:rPr>
          <w:rFonts w:ascii="Simplified Arabic" w:eastAsia="Times New Roman" w:hAnsi="Simplified Arabic" w:cs="Simplified Arabic"/>
          <w:color w:val="000000" w:themeColor="text1"/>
          <w:kern w:val="0"/>
          <w:sz w:val="28"/>
          <w:szCs w:val="28"/>
          <w14:ligatures w14:val="none"/>
        </w:rPr>
        <w:t xml:space="preserve"> 0.05) </w:t>
      </w:r>
      <w:r w:rsidRPr="002D2F40">
        <w:rPr>
          <w:rFonts w:ascii="Simplified Arabic" w:eastAsia="Times New Roman" w:hAnsi="Simplified Arabic" w:cs="Simplified Arabic"/>
          <w:color w:val="000000" w:themeColor="text1"/>
          <w:kern w:val="0"/>
          <w:sz w:val="28"/>
          <w:szCs w:val="28"/>
          <w:rtl/>
          <w14:ligatures w14:val="none"/>
        </w:rPr>
        <w:t>للتخطيط العمراني وإعادة التصميم على تعظيم العائد الاستثماري وتحسين جودة الحياة الحضرية في الأحياء السكنية القديمة بمدينة الرياض</w:t>
      </w:r>
      <w:r w:rsidRPr="002D2F40">
        <w:rPr>
          <w:rFonts w:ascii="Simplified Arabic" w:eastAsia="Times New Roman" w:hAnsi="Simplified Arabic" w:cs="Simplified Arabic"/>
          <w:color w:val="000000" w:themeColor="text1"/>
          <w:kern w:val="0"/>
          <w:sz w:val="28"/>
          <w:szCs w:val="28"/>
          <w14:ligatures w14:val="none"/>
        </w:rPr>
        <w:t>.</w:t>
      </w:r>
    </w:p>
    <w:p w14:paraId="51B0C2A1" w14:textId="50AA6F0F" w:rsidR="00497D0C" w:rsidRPr="002D2F40" w:rsidRDefault="00497D0C" w:rsidP="00FC623E">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Cambria" w:eastAsia="Times New Roman" w:hAnsi="Cambria" w:cs="Cambria"/>
          <w:color w:val="000000" w:themeColor="text1"/>
          <w:kern w:val="0"/>
          <w:sz w:val="28"/>
          <w:szCs w:val="28"/>
          <w14:ligatures w14:val="none"/>
        </w:rPr>
        <w:t>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Times New Roman" w:eastAsia="Times New Roman" w:hAnsi="Times New Roman" w:cs="Times New Roman"/>
          <w:color w:val="000000" w:themeColor="text1"/>
          <w:kern w:val="0"/>
          <w:sz w:val="28"/>
          <w:szCs w:val="28"/>
          <w14:ligatures w14:val="none"/>
        </w:rPr>
        <w:t>≤</w:t>
      </w:r>
      <w:r w:rsidRPr="002D2F40">
        <w:rPr>
          <w:rFonts w:ascii="Simplified Arabic" w:eastAsia="Times New Roman" w:hAnsi="Simplified Arabic" w:cs="Simplified Arabic"/>
          <w:color w:val="000000" w:themeColor="text1"/>
          <w:kern w:val="0"/>
          <w:sz w:val="28"/>
          <w:szCs w:val="28"/>
          <w14:ligatures w14:val="none"/>
        </w:rPr>
        <w:t xml:space="preserve"> 0.05) </w:t>
      </w:r>
      <w:r w:rsidRPr="002D2F40">
        <w:rPr>
          <w:rFonts w:ascii="Simplified Arabic" w:eastAsia="Times New Roman" w:hAnsi="Simplified Arabic" w:cs="Simplified Arabic"/>
          <w:color w:val="000000" w:themeColor="text1"/>
          <w:kern w:val="0"/>
          <w:sz w:val="28"/>
          <w:szCs w:val="28"/>
          <w:rtl/>
          <w14:ligatures w14:val="none"/>
        </w:rPr>
        <w:t>للتأهيل الإنشائي والمعماري على تعظيم العائد الاستثماري وتحسين جودة الحياة الحضرية في الأحياء السكنية القديمة بمدينة الرياض</w:t>
      </w:r>
      <w:r w:rsidRPr="002D2F40">
        <w:rPr>
          <w:rFonts w:ascii="Simplified Arabic" w:eastAsia="Times New Roman" w:hAnsi="Simplified Arabic" w:cs="Simplified Arabic"/>
          <w:color w:val="000000" w:themeColor="text1"/>
          <w:kern w:val="0"/>
          <w:sz w:val="28"/>
          <w:szCs w:val="28"/>
          <w14:ligatures w14:val="none"/>
        </w:rPr>
        <w:t>.</w:t>
      </w:r>
    </w:p>
    <w:p w14:paraId="58780BBA" w14:textId="228EF5AA" w:rsidR="00497D0C" w:rsidRPr="002D2F40" w:rsidRDefault="00497D0C" w:rsidP="00FC623E">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Cambria" w:eastAsia="Times New Roman" w:hAnsi="Cambria" w:cs="Cambria"/>
          <w:color w:val="000000" w:themeColor="text1"/>
          <w:kern w:val="0"/>
          <w:sz w:val="28"/>
          <w:szCs w:val="28"/>
          <w14:ligatures w14:val="none"/>
        </w:rPr>
        <w:t>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Times New Roman" w:eastAsia="Times New Roman" w:hAnsi="Times New Roman" w:cs="Times New Roman"/>
          <w:color w:val="000000" w:themeColor="text1"/>
          <w:kern w:val="0"/>
          <w:sz w:val="28"/>
          <w:szCs w:val="28"/>
          <w14:ligatures w14:val="none"/>
        </w:rPr>
        <w:t>≤</w:t>
      </w:r>
      <w:r w:rsidRPr="002D2F40">
        <w:rPr>
          <w:rFonts w:ascii="Simplified Arabic" w:eastAsia="Times New Roman" w:hAnsi="Simplified Arabic" w:cs="Simplified Arabic"/>
          <w:color w:val="000000" w:themeColor="text1"/>
          <w:kern w:val="0"/>
          <w:sz w:val="28"/>
          <w:szCs w:val="28"/>
          <w14:ligatures w14:val="none"/>
        </w:rPr>
        <w:t xml:space="preserve"> 0.05) </w:t>
      </w:r>
      <w:r w:rsidRPr="002D2F40">
        <w:rPr>
          <w:rFonts w:ascii="Simplified Arabic" w:eastAsia="Times New Roman" w:hAnsi="Simplified Arabic" w:cs="Simplified Arabic"/>
          <w:color w:val="000000" w:themeColor="text1"/>
          <w:kern w:val="0"/>
          <w:sz w:val="28"/>
          <w:szCs w:val="28"/>
          <w:rtl/>
          <w14:ligatures w14:val="none"/>
        </w:rPr>
        <w:t>لتحسين البنية التحتية والخدمات على تعظيم العائد الاستثماري وتحسين جودة الحياة الحضرية في الأحياء السكنية القديمة بمدينة الرياض</w:t>
      </w:r>
      <w:r w:rsidRPr="002D2F40">
        <w:rPr>
          <w:rFonts w:ascii="Simplified Arabic" w:eastAsia="Times New Roman" w:hAnsi="Simplified Arabic" w:cs="Simplified Arabic"/>
          <w:color w:val="000000" w:themeColor="text1"/>
          <w:kern w:val="0"/>
          <w:sz w:val="28"/>
          <w:szCs w:val="28"/>
          <w14:ligatures w14:val="none"/>
        </w:rPr>
        <w:t>.</w:t>
      </w:r>
    </w:p>
    <w:p w14:paraId="4FE2C422" w14:textId="6C5BC7B5" w:rsidR="00497D0C" w:rsidRPr="002D2F40" w:rsidRDefault="00497D0C" w:rsidP="00FC623E">
      <w:pPr>
        <w:pStyle w:val="a6"/>
        <w:numPr>
          <w:ilvl w:val="0"/>
          <w:numId w:val="3"/>
        </w:numPr>
        <w:tabs>
          <w:tab w:val="clear" w:pos="720"/>
          <w:tab w:val="num" w:pos="424"/>
        </w:tabs>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يوجد أثر ذو دلالة إحصائية عند مستوى معنوية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Cambria" w:eastAsia="Times New Roman" w:hAnsi="Cambria" w:cs="Cambria"/>
          <w:color w:val="000000" w:themeColor="text1"/>
          <w:kern w:val="0"/>
          <w:sz w:val="28"/>
          <w:szCs w:val="28"/>
          <w14:ligatures w14:val="none"/>
        </w:rPr>
        <w:t>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Times New Roman" w:eastAsia="Times New Roman" w:hAnsi="Times New Roman" w:cs="Times New Roman"/>
          <w:color w:val="000000" w:themeColor="text1"/>
          <w:kern w:val="0"/>
          <w:sz w:val="28"/>
          <w:szCs w:val="28"/>
          <w14:ligatures w14:val="none"/>
        </w:rPr>
        <w:t>≤</w:t>
      </w:r>
      <w:r w:rsidRPr="002D2F40">
        <w:rPr>
          <w:rFonts w:ascii="Simplified Arabic" w:eastAsia="Times New Roman" w:hAnsi="Simplified Arabic" w:cs="Simplified Arabic"/>
          <w:color w:val="000000" w:themeColor="text1"/>
          <w:kern w:val="0"/>
          <w:sz w:val="28"/>
          <w:szCs w:val="28"/>
          <w14:ligatures w14:val="none"/>
        </w:rPr>
        <w:t xml:space="preserve"> 0.05) </w:t>
      </w:r>
      <w:r w:rsidRPr="002D2F40">
        <w:rPr>
          <w:rFonts w:ascii="Simplified Arabic" w:eastAsia="Times New Roman" w:hAnsi="Simplified Arabic" w:cs="Simplified Arabic"/>
          <w:color w:val="000000" w:themeColor="text1"/>
          <w:kern w:val="0"/>
          <w:sz w:val="28"/>
          <w:szCs w:val="28"/>
          <w:rtl/>
          <w14:ligatures w14:val="none"/>
        </w:rPr>
        <w:t>للشراكة بين القطاعين العام والخاص على تعظيم العائد الاستثماري وتحسين جودة الحياة الحضرية في الأحياء السكنية القديمة بمدينة الرياض</w:t>
      </w:r>
      <w:r w:rsidRPr="002D2F40">
        <w:rPr>
          <w:rFonts w:ascii="Simplified Arabic" w:eastAsia="Times New Roman" w:hAnsi="Simplified Arabic" w:cs="Simplified Arabic"/>
          <w:color w:val="000000" w:themeColor="text1"/>
          <w:kern w:val="0"/>
          <w:sz w:val="28"/>
          <w:szCs w:val="28"/>
          <w14:ligatures w14:val="none"/>
        </w:rPr>
        <w:t>.</w:t>
      </w:r>
    </w:p>
    <w:p w14:paraId="51051204" w14:textId="77777777" w:rsidR="00751A99" w:rsidRPr="002D2F40" w:rsidRDefault="00751A99" w:rsidP="00751A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500651"/>
      <w:r w:rsidRPr="002D2F40">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236A6B84" w14:textId="4A910742" w:rsidR="00751A99" w:rsidRPr="002D2F40" w:rsidRDefault="00751A99"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A917D05" w14:textId="1809681D"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تُسهم الدراسة في سدّ فجوة بحثية واضحة في الأدبيات العربية، حيث تندر الدراسات التي تربط بين إعادة تطوير المساكن القديمة وبين المخرجات الاقتصادية والاجتماعية معاً في بيئة حضرية سعودية سريعة التحوّل. ومن ثمّ تقدّم نموذجاً نظرياً يمكن تعميمه على مدن خليجية أخرى تشترك في سمات تشريعية وعمرانية متقاربة</w:t>
      </w:r>
      <w:r w:rsidRPr="002D2F40">
        <w:rPr>
          <w:rFonts w:ascii="Simplified Arabic" w:eastAsia="Times New Roman" w:hAnsi="Simplified Arabic" w:cs="Simplified Arabic"/>
          <w:color w:val="000000" w:themeColor="text1"/>
          <w:kern w:val="0"/>
          <w:sz w:val="28"/>
          <w:szCs w:val="28"/>
          <w14:ligatures w14:val="none"/>
        </w:rPr>
        <w:t>.</w:t>
      </w:r>
    </w:p>
    <w:p w14:paraId="1C33FA00" w14:textId="3BEBCFAA"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تجمع الدراسة بين مراجع عربية وأجنبية محكّمة حديثة (2020–2025)، مما يُتيح للباحثين المستقبليين الانطلاق من قاعدة مرجعية شاملة ومحدّثة تختصر جهد المراجعة الأدبية وتُحدّد المتغيرات والعلاقات البحثية التي لم تُستكشف بعد</w:t>
      </w:r>
      <w:r w:rsidRPr="002D2F40">
        <w:rPr>
          <w:rFonts w:ascii="Simplified Arabic" w:eastAsia="Times New Roman" w:hAnsi="Simplified Arabic" w:cs="Simplified Arabic"/>
          <w:color w:val="000000" w:themeColor="text1"/>
          <w:kern w:val="0"/>
          <w:sz w:val="28"/>
          <w:szCs w:val="28"/>
          <w14:ligatures w14:val="none"/>
        </w:rPr>
        <w:t>.</w:t>
      </w:r>
    </w:p>
    <w:p w14:paraId="110A87E0" w14:textId="608A9043"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تمزج الدراسة بين حقول الهندسة المعمارية والتخطيط العمراني والاقتصاد العقاري والإدارة العامة، ممّا يُرسي منهجاً بينيّاً</w:t>
      </w:r>
      <w:r w:rsidRPr="002D2F40">
        <w:rPr>
          <w:rFonts w:ascii="Simplified Arabic" w:eastAsia="Times New Roman" w:hAnsi="Simplified Arabic" w:cs="Simplified Arabic"/>
          <w:color w:val="000000" w:themeColor="text1"/>
          <w:kern w:val="0"/>
          <w:sz w:val="28"/>
          <w:szCs w:val="28"/>
          <w14:ligatures w14:val="none"/>
        </w:rPr>
        <w:t xml:space="preserve"> (Interdisciplinary) </w:t>
      </w:r>
      <w:r w:rsidRPr="002D2F40">
        <w:rPr>
          <w:rFonts w:ascii="Simplified Arabic" w:eastAsia="Times New Roman" w:hAnsi="Simplified Arabic" w:cs="Simplified Arabic"/>
          <w:color w:val="000000" w:themeColor="text1"/>
          <w:kern w:val="0"/>
          <w:sz w:val="28"/>
          <w:szCs w:val="28"/>
          <w:rtl/>
          <w14:ligatures w14:val="none"/>
        </w:rPr>
        <w:t>يُشجّع على تبنّي مقاربات شاملة في البحث الأكاديمي بدلاً من المعالجات الأحادية التخصص</w:t>
      </w:r>
      <w:r w:rsidRPr="002D2F40">
        <w:rPr>
          <w:rFonts w:ascii="Simplified Arabic" w:eastAsia="Times New Roman" w:hAnsi="Simplified Arabic" w:cs="Simplified Arabic"/>
          <w:color w:val="000000" w:themeColor="text1"/>
          <w:kern w:val="0"/>
          <w:sz w:val="28"/>
          <w:szCs w:val="28"/>
          <w14:ligatures w14:val="none"/>
        </w:rPr>
        <w:t>.</w:t>
      </w:r>
    </w:p>
    <w:p w14:paraId="5C0B66DA" w14:textId="3ECD3C92"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تُتيح الدراسة الميدانية في الرياض اختبار مدى انطباق نظريات التجديد العمراني الغربية (كنظرية الترشيح ونظرية فجوة الإيجار) في سياق شرق أوسطي يتّسم بخصوصية ملكية الأراضي، ونظام البناء، والتركيبة الاجتماعية، مما يُغني النقاش النظري العالمي حول حدود تطبيق هذه النظريات</w:t>
      </w:r>
      <w:r w:rsidRPr="002D2F40">
        <w:rPr>
          <w:rFonts w:ascii="Simplified Arabic" w:eastAsia="Times New Roman" w:hAnsi="Simplified Arabic" w:cs="Simplified Arabic"/>
          <w:color w:val="000000" w:themeColor="text1"/>
          <w:kern w:val="0"/>
          <w:sz w:val="28"/>
          <w:szCs w:val="28"/>
          <w14:ligatures w14:val="none"/>
        </w:rPr>
        <w:t>.</w:t>
      </w:r>
    </w:p>
    <w:p w14:paraId="3C75A82A" w14:textId="77777777" w:rsidR="00497D0C" w:rsidRPr="002D2F40" w:rsidRDefault="00497D0C"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08C12D7A" w14:textId="69779C0C"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تقدّم الدراسة نتائج كمّية قابلة للاستخدام المباشر من قِبَل الهيئة الملكية لمدينة الرياض ووزارة الشؤون البلدية والقروية والإسكان وبرنامج الإسكان، لتوجيه أولويات التطوير نحو الأحياء الأكثر حاجة والأعلى جدوى اقتصادية، بما يتوافق مع مستهدفات برنامج جودة الحياة وبرنامج الإسكان ضمن الرؤية</w:t>
      </w:r>
      <w:r w:rsidRPr="002D2F40">
        <w:rPr>
          <w:rFonts w:ascii="Simplified Arabic" w:eastAsia="Times New Roman" w:hAnsi="Simplified Arabic" w:cs="Simplified Arabic"/>
          <w:color w:val="000000" w:themeColor="text1"/>
          <w:kern w:val="0"/>
          <w:sz w:val="28"/>
          <w:szCs w:val="28"/>
          <w14:ligatures w14:val="none"/>
        </w:rPr>
        <w:t>.</w:t>
      </w:r>
    </w:p>
    <w:p w14:paraId="75FA491B" w14:textId="7C404734"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توفّر الدراسة للمطوّرين العقاريين والمستثمرين بيانات ميدانية حول معدلات العائد المتوقّعة ونسب المخاطر والأبعاد الأكثر تأثيراً في نجاح مشاريع إعادة التطوير، مما يُقلّل حالة عدم اليقين ويُشجّع على ضخّ رؤوس الأموال في هذا القطاع بدلاً من التركيز الحصري على البناء الجديد على أراضٍ بيضاء</w:t>
      </w:r>
      <w:r w:rsidRPr="002D2F40">
        <w:rPr>
          <w:rFonts w:ascii="Simplified Arabic" w:eastAsia="Times New Roman" w:hAnsi="Simplified Arabic" w:cs="Simplified Arabic"/>
          <w:color w:val="000000" w:themeColor="text1"/>
          <w:kern w:val="0"/>
          <w:sz w:val="28"/>
          <w:szCs w:val="28"/>
          <w14:ligatures w14:val="none"/>
        </w:rPr>
        <w:t>.</w:t>
      </w:r>
    </w:p>
    <w:p w14:paraId="55473640" w14:textId="48F8A394" w:rsidR="00497D0C" w:rsidRPr="002D2F40" w:rsidRDefault="00497D0C" w:rsidP="00FC623E">
      <w:pPr>
        <w:pStyle w:val="a6"/>
        <w:numPr>
          <w:ilvl w:val="0"/>
          <w:numId w:val="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تُلقي الدراسة الضوء على الأبعاد الأكثر تأثيراً في رضا السكان (البنية التحتية، المساحات الخضراء، الخدمات)، ممّا يُساعد الأمانات والبلديات على ترتيب أولويات التدخّل بحيث يشعر المواطنون بتحسّن ملموس وسريع في بيئتهم المعيشية</w:t>
      </w:r>
      <w:r w:rsidRPr="002D2F40">
        <w:rPr>
          <w:rFonts w:ascii="Simplified Arabic" w:eastAsia="Times New Roman" w:hAnsi="Simplified Arabic" w:cs="Simplified Arabic"/>
          <w:color w:val="000000" w:themeColor="text1"/>
          <w:kern w:val="0"/>
          <w:sz w:val="28"/>
          <w:szCs w:val="28"/>
          <w14:ligatures w14:val="none"/>
        </w:rPr>
        <w:t>.</w:t>
      </w:r>
    </w:p>
    <w:p w14:paraId="29A0CAC3" w14:textId="77777777" w:rsidR="00751A99" w:rsidRPr="002D2F40" w:rsidRDefault="00751A99" w:rsidP="00751A99">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2" w:name="_Toc233500652"/>
      <w:bookmarkStart w:id="13" w:name="_Toc169790501"/>
      <w:bookmarkEnd w:id="6"/>
      <w:bookmarkEnd w:id="8"/>
      <w:r w:rsidRPr="002D2F40">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2"/>
    </w:p>
    <w:p w14:paraId="5211FFB3" w14:textId="188F7668" w:rsidR="00751A99" w:rsidRPr="002D2F40" w:rsidRDefault="00751A99"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(إعادة تطوير المنازل السكنية القديمة) وعلاقته بمتغيرات أخرى</w:t>
      </w:r>
    </w:p>
    <w:p w14:paraId="4D8EE7EA"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الزامل</w:t>
      </w:r>
      <w:r w:rsidRPr="002D2F40">
        <w:rPr>
          <w:rFonts w:ascii="Simplified Arabic" w:eastAsia="Times New Roman" w:hAnsi="Simplified Arabic" w:cs="Simplified Arabic"/>
          <w:b/>
          <w:bCs/>
          <w:color w:val="000000" w:themeColor="text1"/>
          <w:kern w:val="0"/>
          <w:sz w:val="28"/>
          <w:szCs w:val="28"/>
          <w14:ligatures w14:val="none"/>
        </w:rPr>
        <w:t xml:space="preserve"> (2021): "</w:t>
      </w:r>
      <w:r w:rsidRPr="002D2F40">
        <w:rPr>
          <w:rFonts w:ascii="Simplified Arabic" w:eastAsia="Times New Roman" w:hAnsi="Simplified Arabic" w:cs="Simplified Arabic"/>
          <w:b/>
          <w:bCs/>
          <w:color w:val="000000" w:themeColor="text1"/>
          <w:kern w:val="0"/>
          <w:sz w:val="28"/>
          <w:szCs w:val="28"/>
          <w:rtl/>
          <w14:ligatures w14:val="none"/>
        </w:rPr>
        <w:t>المبادئ الاستراتيجية المستدامة للتجديد العمراني في الأحياء القديمة: حي الدوبية في مدينة الرياض حالة دراسية</w:t>
      </w:r>
      <w:r w:rsidRPr="002D2F40">
        <w:rPr>
          <w:rFonts w:ascii="Simplified Arabic" w:eastAsia="Times New Roman" w:hAnsi="Simplified Arabic" w:cs="Simplified Arabic"/>
          <w:b/>
          <w:bCs/>
          <w:color w:val="000000" w:themeColor="text1"/>
          <w:kern w:val="0"/>
          <w:sz w:val="28"/>
          <w:szCs w:val="28"/>
          <w14:ligatures w14:val="none"/>
        </w:rPr>
        <w:t>".</w:t>
      </w:r>
    </w:p>
    <w:p w14:paraId="5A03B57D" w14:textId="253F71E9"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المبادئ الاستراتيجية المستدامة في التجديد العمراني بأبعادها (المحافظة والترميم، وإعادة الاستخدام التكيفي، والتطوير التدريجي والتكاملي) على الأحياء التاريخية في المملكة العربية السعودية، وتطبيقها على حي الدوبية بمدينة الرياض. واستخدمت الدراسة المنهج الوصفي التحليلي مع المسح الميداني والمقابلات مع السكان والمختصين. وتكونت العينة من سكان حي الدوبية </w:t>
      </w:r>
      <w:r w:rsidRPr="002D2F40">
        <w:rPr>
          <w:rFonts w:ascii="Simplified Arabic" w:eastAsia="Times New Roman" w:hAnsi="Simplified Arabic" w:cs="Simplified Arabic"/>
          <w:color w:val="000000" w:themeColor="text1"/>
          <w:kern w:val="0"/>
          <w:sz w:val="28"/>
          <w:szCs w:val="28"/>
          <w:rtl/>
          <w14:ligatures w14:val="none"/>
        </w:rPr>
        <w:lastRenderedPageBreak/>
        <w:t>وعدد من الخبراء في مجال التخطيط العمراني. وتوصلت نتائج الدراسة إلى وجود تدهور كبير في مباني الحي يستدعي تدخلات تخطيطية قائمة على منهج الاستدامة، وأن المحافظة والترميم تُسهم في الحفاظ على الهوية المعمارية وتعزيز الارتباط بالمكان، بينما يُسهم إعادة الاستخدام التكيفي في إحياء المباني المهجورة بوظائف جديدة. وأوصت الدراسة بإدماج هذه المبادئ ضمن خطط التجديد العمراني للأحياء السكنية القديمة مع التأكيد على إشراك المجتمع المحلي لضمان استدامة التدخلات ونجاحها</w:t>
      </w:r>
      <w:r w:rsidRPr="002D2F40">
        <w:rPr>
          <w:rFonts w:ascii="Simplified Arabic" w:eastAsia="Times New Roman" w:hAnsi="Simplified Arabic" w:cs="Simplified Arabic"/>
          <w:color w:val="000000" w:themeColor="text1"/>
          <w:kern w:val="0"/>
          <w:sz w:val="28"/>
          <w:szCs w:val="28"/>
          <w14:ligatures w14:val="none"/>
        </w:rPr>
        <w:t>.</w:t>
      </w:r>
    </w:p>
    <w:p w14:paraId="5B567292"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الجريسي والسعيد</w:t>
      </w:r>
      <w:r w:rsidRPr="002D2F40">
        <w:rPr>
          <w:rFonts w:ascii="Simplified Arabic" w:eastAsia="Times New Roman" w:hAnsi="Simplified Arabic" w:cs="Simplified Arabic"/>
          <w:b/>
          <w:bCs/>
          <w:color w:val="000000" w:themeColor="text1"/>
          <w:kern w:val="0"/>
          <w:sz w:val="28"/>
          <w:szCs w:val="28"/>
          <w14:ligatures w14:val="none"/>
        </w:rPr>
        <w:t xml:space="preserve"> (2021): "</w:t>
      </w:r>
      <w:r w:rsidRPr="002D2F40">
        <w:rPr>
          <w:rFonts w:ascii="Simplified Arabic" w:eastAsia="Times New Roman" w:hAnsi="Simplified Arabic" w:cs="Simplified Arabic"/>
          <w:b/>
          <w:bCs/>
          <w:color w:val="000000" w:themeColor="text1"/>
          <w:kern w:val="0"/>
          <w:sz w:val="28"/>
          <w:szCs w:val="28"/>
          <w:rtl/>
          <w14:ligatures w14:val="none"/>
        </w:rPr>
        <w:t>تحولات المسكن السعودي: دراسة مقارنة للفلل السكنية في مدينة الرياض من 1950 إلى 2019</w:t>
      </w:r>
      <w:r w:rsidRPr="002D2F40">
        <w:rPr>
          <w:rFonts w:ascii="Simplified Arabic" w:eastAsia="Times New Roman" w:hAnsi="Simplified Arabic" w:cs="Simplified Arabic"/>
          <w:b/>
          <w:bCs/>
          <w:color w:val="000000" w:themeColor="text1"/>
          <w:kern w:val="0"/>
          <w:sz w:val="28"/>
          <w:szCs w:val="28"/>
          <w14:ligatures w14:val="none"/>
        </w:rPr>
        <w:t>".</w:t>
      </w:r>
    </w:p>
    <w:p w14:paraId="3803DFCC" w14:textId="730E3EE9"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التحولات التي طرأت على نماذج الفلل السكنية في مدينة الرياض بأبعادها (التصميمية، والوظيفية، والاجتماعية) على تطور المسكن السعودي عبر سبعة عقود. واستخدمت الدراسة المنهج الوصفي المقارن من خلال تحليل نماذج سكنية مختلفة في فترات زمنية متتالية. وتكونت العينة من نماذج مختارة من الفلل السكنية في أحياء متعددة بمدينة الرياض تمثل مراحل زمنية مختلفة. وتوصلت نتائج الدراسة إلى أن المسكن السعودي شهد تحولات جوهرية في التصميم والمساحات والوظائف استجابةً للتغيرات الاجتماعية والاقتصادية، وأن المساكن القديمة لم تعد تلبي احتياجات الأسرة السعودية المعاصرة. وأوصت الدراسة بضرورة إعادة تطوير المنازل القديمة بما يتوافق مع المتطلبات الحديثة للسكن، مع الحفاظ على العناصر الثقافية المميزة</w:t>
      </w:r>
      <w:r w:rsidRPr="002D2F40">
        <w:rPr>
          <w:rFonts w:ascii="Simplified Arabic" w:eastAsia="Times New Roman" w:hAnsi="Simplified Arabic" w:cs="Simplified Arabic"/>
          <w:color w:val="000000" w:themeColor="text1"/>
          <w:kern w:val="0"/>
          <w:sz w:val="28"/>
          <w:szCs w:val="28"/>
          <w14:ligatures w14:val="none"/>
        </w:rPr>
        <w:t>.</w:t>
      </w:r>
    </w:p>
    <w:p w14:paraId="386EB93D"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السليم والزامل</w:t>
      </w:r>
      <w:r w:rsidRPr="002D2F40">
        <w:rPr>
          <w:rFonts w:ascii="Simplified Arabic" w:eastAsia="Times New Roman" w:hAnsi="Simplified Arabic" w:cs="Simplified Arabic"/>
          <w:b/>
          <w:bCs/>
          <w:color w:val="000000" w:themeColor="text1"/>
          <w:kern w:val="0"/>
          <w:sz w:val="28"/>
          <w:szCs w:val="28"/>
          <w14:ligatures w14:val="none"/>
        </w:rPr>
        <w:t xml:space="preserve"> (2021): "</w:t>
      </w:r>
      <w:r w:rsidRPr="002D2F40">
        <w:rPr>
          <w:rFonts w:ascii="Simplified Arabic" w:eastAsia="Times New Roman" w:hAnsi="Simplified Arabic" w:cs="Simplified Arabic"/>
          <w:b/>
          <w:bCs/>
          <w:color w:val="000000" w:themeColor="text1"/>
          <w:kern w:val="0"/>
          <w:sz w:val="28"/>
          <w:szCs w:val="28"/>
          <w:rtl/>
          <w14:ligatures w14:val="none"/>
        </w:rPr>
        <w:t>التحسين العمراني كخيار استراتيجي للتعامل مع التدهور العمراني: حالة دراسية حي الشميسي في مدينة الرياض</w:t>
      </w:r>
      <w:r w:rsidRPr="002D2F40">
        <w:rPr>
          <w:rFonts w:ascii="Simplified Arabic" w:eastAsia="Times New Roman" w:hAnsi="Simplified Arabic" w:cs="Simplified Arabic"/>
          <w:b/>
          <w:bCs/>
          <w:color w:val="000000" w:themeColor="text1"/>
          <w:kern w:val="0"/>
          <w:sz w:val="28"/>
          <w:szCs w:val="28"/>
          <w14:ligatures w14:val="none"/>
        </w:rPr>
        <w:t>".</w:t>
      </w:r>
    </w:p>
    <w:p w14:paraId="0AC51901" w14:textId="77777777"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تبني استراتيجية التحسين العمراني بأبعادها (الاستغلال الأمثل للهياكل العمرانية القائمة، والحفاظ على الموارد الاقتصادية، والمشاركة المجتمعية) على الأحياء المتدهورة بدلاً من الإزالة الشاملة، في حي الشميسي بمدينة الرياض</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واستخدمت الدراسة المنهجين الوصفي والنظري مع أدوات الاستبانة والمسح الميداني والمقابلات مع السكان والخبراء. وتكونت العينة من (149) مفردة من سكان حي الشميسي بالإضافة إلى (17) خبيراً في مجال التخطيط العمراني</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وتوصلت نتائج الدراسة إلى أن (33%) من إجمالي مباني الحي في حالة جيدة، ووجود نسيج عمراني قابل للاستغلال، فضلاً عن تكامل البنية التحتية والخدمات والأنشطة التجارية التي تُمثل مصدر دخل يُعزز مبدأ التحسين العمراني</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 xml:space="preserve">وأوصت </w:t>
      </w:r>
      <w:r w:rsidRPr="002D2F40">
        <w:rPr>
          <w:rFonts w:ascii="Simplified Arabic" w:eastAsia="Times New Roman" w:hAnsi="Simplified Arabic" w:cs="Simplified Arabic"/>
          <w:color w:val="000000" w:themeColor="text1"/>
          <w:kern w:val="0"/>
          <w:sz w:val="28"/>
          <w:szCs w:val="28"/>
          <w:rtl/>
          <w14:ligatures w14:val="none"/>
        </w:rPr>
        <w:lastRenderedPageBreak/>
        <w:t>الدراسة بمراجعة قرار الإزالة واستخدام التحسين العمراني كاستراتيجية للتعامل مع الأحياء المتدهورة ضمن إطار المشاركة المجتمعية</w:t>
      </w:r>
      <w:r w:rsidRPr="002D2F40">
        <w:rPr>
          <w:rFonts w:ascii="Simplified Arabic" w:eastAsia="Times New Roman" w:hAnsi="Simplified Arabic" w:cs="Simplified Arabic"/>
          <w:color w:val="000000" w:themeColor="text1"/>
          <w:kern w:val="0"/>
          <w:sz w:val="28"/>
          <w:szCs w:val="28"/>
          <w14:ligatures w14:val="none"/>
        </w:rPr>
        <w:t>.</w:t>
      </w:r>
    </w:p>
    <w:p w14:paraId="465CE58C"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Chen, Liu, &amp; Zhuang (2022): "Evaluating the Comprehensive Benefit of Urban Renewal Projects on the Area Scale: An Integrated Method".</w:t>
      </w:r>
    </w:p>
    <w:p w14:paraId="562DDC71" w14:textId="2C6E843E"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المنافع الشاملة لمشاريع التجديد العمراني على مستوى المنطقة بأبعادها (الاقتصادية، والاجتماعية والثقافية، والبيئية، ومنافع التنسيق التكاملي) على الأداء الحضري المستدام في مدينة تشونغتشينغ الصينية. واستخدمت الدراسة المنهج الكمي التكاملي الذي يجمع بين طريقة أوزان الإنتروبيا والشبكات العصبية الاصطناعية</w:t>
      </w:r>
      <w:r w:rsidRPr="002D2F40">
        <w:rPr>
          <w:rFonts w:ascii="Simplified Arabic" w:eastAsia="Times New Roman" w:hAnsi="Simplified Arabic" w:cs="Simplified Arabic"/>
          <w:color w:val="000000" w:themeColor="text1"/>
          <w:kern w:val="0"/>
          <w:sz w:val="28"/>
          <w:szCs w:val="28"/>
          <w14:ligatures w14:val="none"/>
        </w:rPr>
        <w:t xml:space="preserve"> (BP Neural Network). </w:t>
      </w:r>
      <w:r w:rsidRPr="002D2F40">
        <w:rPr>
          <w:rFonts w:ascii="Simplified Arabic" w:eastAsia="Times New Roman" w:hAnsi="Simplified Arabic" w:cs="Simplified Arabic"/>
          <w:color w:val="000000" w:themeColor="text1"/>
          <w:kern w:val="0"/>
          <w:sz w:val="28"/>
          <w:szCs w:val="28"/>
          <w:rtl/>
          <w14:ligatures w14:val="none"/>
        </w:rPr>
        <w:t>وتكونت العينة من (37) مشروع تجديد عمراني على مستوى المنطقة في تشونغتشينغ، مع إجراء مقابلات مع (8) خبراء متخصصين</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وتوصلت نتائج الدراسة إلى تفاوت كبير في أداء مشاريع التجديد العمراني، حيث بلغ أعلى مؤشر أداء (3.99) مقابل أدنى مؤشر (2.69)، وأن منافع التنسيق التكاملي بين المشاريع تُمثل نحو (19%) من إجمالي المنافع. وأوصت الدراسة بتعزيز التنسيق الشامل بين مشاريع التجديد العمراني على مستوى المنطقة وإيلاء اهتمام أكبر بالبُعد البيئي</w:t>
      </w:r>
      <w:r w:rsidRPr="002D2F40">
        <w:rPr>
          <w:rFonts w:ascii="Simplified Arabic" w:eastAsia="Times New Roman" w:hAnsi="Simplified Arabic" w:cs="Simplified Arabic"/>
          <w:color w:val="000000" w:themeColor="text1"/>
          <w:kern w:val="0"/>
          <w:sz w:val="28"/>
          <w:szCs w:val="28"/>
          <w14:ligatures w14:val="none"/>
        </w:rPr>
        <w:t>.</w:t>
      </w:r>
    </w:p>
    <w:p w14:paraId="07AD5780"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عرابي</w:t>
      </w:r>
      <w:r w:rsidRPr="002D2F40">
        <w:rPr>
          <w:rFonts w:ascii="Simplified Arabic" w:eastAsia="Times New Roman" w:hAnsi="Simplified Arabic" w:cs="Simplified Arabic"/>
          <w:b/>
          <w:bCs/>
          <w:color w:val="000000" w:themeColor="text1"/>
          <w:kern w:val="0"/>
          <w:sz w:val="28"/>
          <w:szCs w:val="28"/>
          <w14:ligatures w14:val="none"/>
        </w:rPr>
        <w:t xml:space="preserve"> (2023): "</w:t>
      </w:r>
      <w:r w:rsidRPr="002D2F40">
        <w:rPr>
          <w:rFonts w:ascii="Simplified Arabic" w:eastAsia="Times New Roman" w:hAnsi="Simplified Arabic" w:cs="Simplified Arabic"/>
          <w:b/>
          <w:bCs/>
          <w:color w:val="000000" w:themeColor="text1"/>
          <w:kern w:val="0"/>
          <w:sz w:val="28"/>
          <w:szCs w:val="28"/>
          <w:rtl/>
          <w14:ligatures w14:val="none"/>
        </w:rPr>
        <w:t>إعادة تأهيل واستخدام المباني ذات القيمة التراثية وتحقيق معايير الاستدامة: دراسة حالة منطقة الزمالك</w:t>
      </w:r>
      <w:r w:rsidRPr="002D2F40">
        <w:rPr>
          <w:rFonts w:ascii="Simplified Arabic" w:eastAsia="Times New Roman" w:hAnsi="Simplified Arabic" w:cs="Simplified Arabic"/>
          <w:b/>
          <w:bCs/>
          <w:color w:val="000000" w:themeColor="text1"/>
          <w:kern w:val="0"/>
          <w:sz w:val="28"/>
          <w:szCs w:val="28"/>
          <w14:ligatures w14:val="none"/>
        </w:rPr>
        <w:t>".</w:t>
      </w:r>
    </w:p>
    <w:p w14:paraId="1A1F98E4" w14:textId="33828F60"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آليات إعادة تأهيل المباني التراثية بأبعادها (الحفاظ المعماري، والاستدامة البيئية، وإعادة التوظيف الوظيفي) على تحقيق معايير الاستدامة في المناطق السكنية ذات القيمة التراثية. واستخدمت الدراسة المنهج الوصفي التحليلي مع دراسة الحالة الميدانية لمنطقة الزمالك بالقاهرة. وتكونت العينة من مجموعة من المباني التراثية المختارة في منطقة الزمالك. وتوصلت نتائج الدراسة إلى أن إعادة التأهيل المدروسة للمباني التراثية تُحقق التوازن بين الحفاظ على الهوية المعمارية وتلبية المتطلبات المعاصرة، وأن تطبيق معايير الاستدامة يُعزز من الجدوى الاقتصادية لعمليات إعادة التأهيل. وأوصت الدراسة بوضع إطار تنظيمي شامل يحكم عمليات إعادة تأهيل المباني التراثية مع مراعاة معايير الاستدامة في جميع مراحل التدخل</w:t>
      </w:r>
      <w:r w:rsidRPr="002D2F40">
        <w:rPr>
          <w:rFonts w:ascii="Simplified Arabic" w:eastAsia="Times New Roman" w:hAnsi="Simplified Arabic" w:cs="Simplified Arabic"/>
          <w:color w:val="000000" w:themeColor="text1"/>
          <w:kern w:val="0"/>
          <w:sz w:val="28"/>
          <w:szCs w:val="28"/>
          <w14:ligatures w14:val="none"/>
        </w:rPr>
        <w:t>.</w:t>
      </w:r>
    </w:p>
    <w:p w14:paraId="49392EE1"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lastRenderedPageBreak/>
        <w:t>دراسة سليمان ومحمد</w:t>
      </w:r>
      <w:r w:rsidRPr="002D2F40">
        <w:rPr>
          <w:rFonts w:ascii="Simplified Arabic" w:eastAsia="Times New Roman" w:hAnsi="Simplified Arabic" w:cs="Simplified Arabic"/>
          <w:b/>
          <w:bCs/>
          <w:color w:val="000000" w:themeColor="text1"/>
          <w:kern w:val="0"/>
          <w:sz w:val="28"/>
          <w:szCs w:val="28"/>
          <w14:ligatures w14:val="none"/>
        </w:rPr>
        <w:t xml:space="preserve"> (2023): "</w:t>
      </w:r>
      <w:r w:rsidRPr="002D2F40">
        <w:rPr>
          <w:rFonts w:ascii="Simplified Arabic" w:eastAsia="Times New Roman" w:hAnsi="Simplified Arabic" w:cs="Simplified Arabic"/>
          <w:b/>
          <w:bCs/>
          <w:color w:val="000000" w:themeColor="text1"/>
          <w:kern w:val="0"/>
          <w:sz w:val="28"/>
          <w:szCs w:val="28"/>
          <w:rtl/>
          <w14:ligatures w14:val="none"/>
        </w:rPr>
        <w:t>تأهيل وإعادة توظيف المواقع التراثية: عرقة القديمة نموذجاً</w:t>
      </w:r>
      <w:r w:rsidRPr="002D2F40">
        <w:rPr>
          <w:rFonts w:ascii="Simplified Arabic" w:eastAsia="Times New Roman" w:hAnsi="Simplified Arabic" w:cs="Simplified Arabic"/>
          <w:b/>
          <w:bCs/>
          <w:color w:val="000000" w:themeColor="text1"/>
          <w:kern w:val="0"/>
          <w:sz w:val="28"/>
          <w:szCs w:val="28"/>
          <w14:ligatures w14:val="none"/>
        </w:rPr>
        <w:t>".</w:t>
      </w:r>
    </w:p>
    <w:p w14:paraId="6D885240" w14:textId="020513F2"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متطلبات وإجراءات إعادة تأهيل المواقع التراثية بأبعادها (البرمجة المعمارية، والتوظيف السياحي، والتنمية المجتمعية) على بلدة عرقة القديمة بمدينة الرياض</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مع الرفع الميداني والتوثيق المعماري. وتكونت العينة من المباني والمرافق القائمة في بلدة عرقة القديمة. وتوصلت نتائج الدراسة إلى أن إعادة تأهيل المواقع التراثية يتطلب خطة عمل متكاملة تشمل تحديد أولويات التدخل وبرمجة الاستخدامات الجديدة بما يتلاءم مع طبيعة الموقع، وأن التوظيف السياحي والثقافي يُمثل فرصة واعدة لتحقيق عائد اقتصادي مستدام. وأوصت الدراسة بتبني نموذج شراكة بين القطاعين العام والخاص لتمويل مشاريع إعادة التأهيل وضمان استدامتها</w:t>
      </w:r>
      <w:r w:rsidRPr="002D2F40">
        <w:rPr>
          <w:rFonts w:ascii="Simplified Arabic" w:eastAsia="Times New Roman" w:hAnsi="Simplified Arabic" w:cs="Simplified Arabic"/>
          <w:color w:val="000000" w:themeColor="text1"/>
          <w:kern w:val="0"/>
          <w:sz w:val="28"/>
          <w:szCs w:val="28"/>
          <w14:ligatures w14:val="none"/>
        </w:rPr>
        <w:t>.</w:t>
      </w:r>
    </w:p>
    <w:p w14:paraId="4A96A295"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Carra</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Caselli</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Rossetti, &amp; </w:t>
      </w:r>
      <w:proofErr w:type="spellStart"/>
      <w:r w:rsidRPr="002D2F40">
        <w:rPr>
          <w:rFonts w:ascii="Simplified Arabic" w:eastAsia="Times New Roman" w:hAnsi="Simplified Arabic" w:cs="Simplified Arabic"/>
          <w:b/>
          <w:bCs/>
          <w:color w:val="000000" w:themeColor="text1"/>
          <w:kern w:val="0"/>
          <w:sz w:val="28"/>
          <w:szCs w:val="28"/>
          <w14:ligatures w14:val="none"/>
        </w:rPr>
        <w:t>Zazzi</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(2023): "Widespread Urban Regeneration of Existing Residential Areas in European Medium-Sized Cities—A Framework to Locate Redevelopment Interventions".</w:t>
      </w:r>
    </w:p>
    <w:p w14:paraId="53B484B2" w14:textId="41E8DBA2"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آليات تحديد المناطق السكنية المتقادمة القابلة لإعادة التطوير بأبعادها (استخدام الأراضي، وعمر المباني، وحالة الحفاظ، والكثافة السكانية، والفراغات العامة، ومستوى إمكانية الوصول) على المدن الأوروبية المتوسطة الحجم</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واستخدمت الدراسة المنهج التحليلي المكاني القائم على نظم المعلومات الجغرافية</w:t>
      </w:r>
      <w:r w:rsidRPr="002D2F40">
        <w:rPr>
          <w:rFonts w:ascii="Simplified Arabic" w:eastAsia="Times New Roman" w:hAnsi="Simplified Arabic" w:cs="Simplified Arabic"/>
          <w:color w:val="000000" w:themeColor="text1"/>
          <w:kern w:val="0"/>
          <w:sz w:val="28"/>
          <w:szCs w:val="28"/>
          <w14:ligatures w14:val="none"/>
        </w:rPr>
        <w:t xml:space="preserve"> (GIS) </w:t>
      </w:r>
      <w:r w:rsidRPr="002D2F40">
        <w:rPr>
          <w:rFonts w:ascii="Simplified Arabic" w:eastAsia="Times New Roman" w:hAnsi="Simplified Arabic" w:cs="Simplified Arabic"/>
          <w:color w:val="000000" w:themeColor="text1"/>
          <w:kern w:val="0"/>
          <w:sz w:val="28"/>
          <w:szCs w:val="28"/>
          <w:rtl/>
          <w14:ligatures w14:val="none"/>
        </w:rPr>
        <w:t>مع التحليل الإحصائي. وتكونت العينة من (991) وحدة إحصائية تعدادية في المنطقة الحضرية لمدينة بارما الإيطالية. وتوصلت نتائج الدراسة إلى تحديد (96) منطقة حضرية ذات أولوية محتملة لإعادة التجديد، وأن المباني السكنية التي بُنيت بين الأربعينيات والسبعينيات تُعاني من تقادم هيكلي وطاقوي يستدعي التدخل. وأوصت الدراسة بتبني إطار منهجي مُبسَّط وقابل للتكرار يُساعد الإدارات المحلية في ترشيد وتحديد أولويات مواقع التجديد العمراني</w:t>
      </w:r>
      <w:r w:rsidRPr="002D2F40">
        <w:rPr>
          <w:rFonts w:ascii="Simplified Arabic" w:eastAsia="Times New Roman" w:hAnsi="Simplified Arabic" w:cs="Simplified Arabic"/>
          <w:color w:val="000000" w:themeColor="text1"/>
          <w:kern w:val="0"/>
          <w:sz w:val="28"/>
          <w:szCs w:val="28"/>
          <w14:ligatures w14:val="none"/>
        </w:rPr>
        <w:t>.</w:t>
      </w:r>
    </w:p>
    <w:p w14:paraId="4F5384D8"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Van Nguyen, Nguyen, </w:t>
      </w:r>
      <w:proofErr w:type="spellStart"/>
      <w:r w:rsidRPr="002D2F40">
        <w:rPr>
          <w:rFonts w:ascii="Simplified Arabic" w:eastAsia="Times New Roman" w:hAnsi="Simplified Arabic" w:cs="Simplified Arabic"/>
          <w:b/>
          <w:bCs/>
          <w:color w:val="000000" w:themeColor="text1"/>
          <w:kern w:val="0"/>
          <w:sz w:val="28"/>
          <w:szCs w:val="28"/>
          <w14:ligatures w14:val="none"/>
        </w:rPr>
        <w:t>Huynh</w:t>
      </w:r>
      <w:proofErr w:type="spellEnd"/>
      <w:r w:rsidRPr="002D2F40">
        <w:rPr>
          <w:rFonts w:ascii="Simplified Arabic" w:eastAsia="Times New Roman" w:hAnsi="Simplified Arabic" w:cs="Simplified Arabic"/>
          <w:b/>
          <w:bCs/>
          <w:color w:val="000000" w:themeColor="text1"/>
          <w:kern w:val="0"/>
          <w:sz w:val="28"/>
          <w:szCs w:val="28"/>
          <w14:ligatures w14:val="none"/>
        </w:rPr>
        <w:t>, &amp; Nguyen (2024): "Sustainable Redevelopment of Urban Areas: Assessment of Key Barriers for the Reconstruction of Old Residential Buildings".</w:t>
      </w:r>
    </w:p>
    <w:p w14:paraId="1D050E13" w14:textId="0879AFE4"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المعوقات الرئيسية لإعادة بناء المباني السكنية القديمة بأبعادها (المعوقات المالية، والتنظيمية، والتقنية، والاجتماعية) على التنمية المستدامة للمناطق الحضرية. واستخدمت </w:t>
      </w:r>
      <w:r w:rsidRPr="002D2F40">
        <w:rPr>
          <w:rFonts w:ascii="Simplified Arabic" w:eastAsia="Times New Roman" w:hAnsi="Simplified Arabic" w:cs="Simplified Arabic"/>
          <w:color w:val="000000" w:themeColor="text1"/>
          <w:kern w:val="0"/>
          <w:sz w:val="28"/>
          <w:szCs w:val="28"/>
          <w:rtl/>
          <w14:ligatures w14:val="none"/>
        </w:rPr>
        <w:lastRenderedPageBreak/>
        <w:t>الدراسة المنهج الكمي مع التحليل متعدد المعايير واستبانات الخبراء. وتكونت العينة من مجموعة من الخبراء والمتخصصين في مجال التطوير العقاري والتخطيط العمراني. وتوصلت نتائج الدراسة إلى أن المعوقات المالية وصعوبة الحصول على موافقة جميع المالكين تُمثلان أكبر العقبات أمام إعادة البناء، وأن غياب الإطار القانوني الواضح يُعيق عمليات التطوير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وأوصت الدراسة بضرورة تطوير سياسات تحفيزية مالية وتشريعية لتسهيل عمليات إعادة بناء المباني السكنية القديمة</w:t>
      </w:r>
      <w:r w:rsidRPr="002D2F40">
        <w:rPr>
          <w:rFonts w:ascii="Simplified Arabic" w:eastAsia="Times New Roman" w:hAnsi="Simplified Arabic" w:cs="Simplified Arabic"/>
          <w:color w:val="000000" w:themeColor="text1"/>
          <w:kern w:val="0"/>
          <w:sz w:val="28"/>
          <w:szCs w:val="28"/>
          <w14:ligatures w14:val="none"/>
        </w:rPr>
        <w:t>.</w:t>
      </w:r>
    </w:p>
    <w:p w14:paraId="08B76429"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Martos</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2D2F40">
        <w:rPr>
          <w:rFonts w:ascii="Simplified Arabic" w:eastAsia="Times New Roman" w:hAnsi="Simplified Arabic" w:cs="Simplified Arabic"/>
          <w:b/>
          <w:bCs/>
          <w:color w:val="000000" w:themeColor="text1"/>
          <w:kern w:val="0"/>
          <w:sz w:val="28"/>
          <w:szCs w:val="28"/>
          <w14:ligatures w14:val="none"/>
        </w:rPr>
        <w:t>Vit</w:t>
      </w:r>
      <w:r w:rsidRPr="002D2F40">
        <w:rPr>
          <w:rFonts w:ascii="Cambria" w:eastAsia="Times New Roman" w:hAnsi="Cambria" w:cs="Cambria"/>
          <w:b/>
          <w:bCs/>
          <w:color w:val="000000" w:themeColor="text1"/>
          <w:kern w:val="0"/>
          <w:sz w:val="28"/>
          <w:szCs w:val="28"/>
          <w14:ligatures w14:val="none"/>
        </w:rPr>
        <w:t>á</w:t>
      </w:r>
      <w:r w:rsidRPr="002D2F40">
        <w:rPr>
          <w:rFonts w:ascii="Simplified Arabic" w:eastAsia="Times New Roman" w:hAnsi="Simplified Arabic" w:cs="Simplified Arabic"/>
          <w:b/>
          <w:bCs/>
          <w:color w:val="000000" w:themeColor="text1"/>
          <w:kern w:val="0"/>
          <w:sz w:val="28"/>
          <w:szCs w:val="28"/>
          <w14:ligatures w14:val="none"/>
        </w:rPr>
        <w:t>sek</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(2024): "Risk Analysis in Building Renovations: Strategies for Investors".</w:t>
      </w:r>
    </w:p>
    <w:p w14:paraId="18D487A8" w14:textId="158AA980"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المخاطر المتنوعة المرتبطة باستثمارات تجديد المباني بأبعادها (المخاطر التنظيمية، والمالية، والتقنية، والسوقية، والبيئية) على نجاح مشاريع التجديد وعوائد المستثمرين. واستخدمت الدراسة المنهج المختلط (نوعي وكمي) من خلال التحليل النوعي بأسلوب العصف الذهني والتحليل الكمي عبر الاستبانات. وتكونت العينة من (24) خبيراً في التحليل النوعي و(97) مشاركاً في المسح الكمي يشملون مهندسين معماريين ومطورين عقاريين ومستشارين ماليين وبيئيين. وتوصلت نتائج الدراسة إلى تحديد (15) خطراً رئيسياً تواجه استثمارات تجديد المباني، وأن المخاطر التنظيمية والمالية تحتل المرتبة الأعلى من حيث الاحتمالية والأثر، وأن العناية الواجبة والمشاركة الاستباقية لأصحاب المصلحة تُشكلان ركائز أساسية لإدارة المخاطر. وأوصت الدراسة بتبني استراتيجية</w:t>
      </w:r>
      <w:r w:rsidRPr="002D2F40">
        <w:rPr>
          <w:rFonts w:ascii="Simplified Arabic" w:eastAsia="Times New Roman" w:hAnsi="Simplified Arabic" w:cs="Simplified Arabic"/>
          <w:color w:val="000000" w:themeColor="text1"/>
          <w:kern w:val="0"/>
          <w:sz w:val="28"/>
          <w:szCs w:val="28"/>
          <w14:ligatures w14:val="none"/>
        </w:rPr>
        <w:t xml:space="preserve"> (4T) </w:t>
      </w:r>
      <w:r w:rsidRPr="002D2F40">
        <w:rPr>
          <w:rFonts w:ascii="Simplified Arabic" w:eastAsia="Times New Roman" w:hAnsi="Simplified Arabic" w:cs="Simplified Arabic"/>
          <w:color w:val="000000" w:themeColor="text1"/>
          <w:kern w:val="0"/>
          <w:sz w:val="28"/>
          <w:szCs w:val="28"/>
          <w:rtl/>
          <w14:ligatures w14:val="none"/>
        </w:rPr>
        <w:t>في التعامل مع المخاطر (التقبّل، والمعالجة، والنقل، والإنهاء) وفقاً لطبيعة كل خطر</w:t>
      </w:r>
      <w:r w:rsidRPr="002D2F40">
        <w:rPr>
          <w:rFonts w:ascii="Simplified Arabic" w:eastAsia="Times New Roman" w:hAnsi="Simplified Arabic" w:cs="Simplified Arabic"/>
          <w:color w:val="000000" w:themeColor="text1"/>
          <w:kern w:val="0"/>
          <w:sz w:val="28"/>
          <w:szCs w:val="28"/>
          <w14:ligatures w14:val="none"/>
        </w:rPr>
        <w:t>.</w:t>
      </w:r>
    </w:p>
    <w:p w14:paraId="2C64F759"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Cordeiro</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Ferreira, </w:t>
      </w:r>
      <w:proofErr w:type="spellStart"/>
      <w:r w:rsidRPr="002D2F40">
        <w:rPr>
          <w:rFonts w:ascii="Simplified Arabic" w:eastAsia="Times New Roman" w:hAnsi="Simplified Arabic" w:cs="Simplified Arabic"/>
          <w:b/>
          <w:bCs/>
          <w:color w:val="000000" w:themeColor="text1"/>
          <w:kern w:val="0"/>
          <w:sz w:val="28"/>
          <w:szCs w:val="28"/>
          <w14:ligatures w14:val="none"/>
        </w:rPr>
        <w:t>Younas</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2D2F40">
        <w:rPr>
          <w:rFonts w:ascii="Simplified Arabic" w:eastAsia="Times New Roman" w:hAnsi="Simplified Arabic" w:cs="Simplified Arabic"/>
          <w:b/>
          <w:bCs/>
          <w:color w:val="000000" w:themeColor="text1"/>
          <w:kern w:val="0"/>
          <w:sz w:val="28"/>
          <w:szCs w:val="28"/>
          <w14:ligatures w14:val="none"/>
        </w:rPr>
        <w:t>Pérez-Gladish</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(2024): "Enhanced Planning Capacity in Urban Renewal: A </w:t>
      </w:r>
      <w:proofErr w:type="spellStart"/>
      <w:r w:rsidRPr="002D2F40">
        <w:rPr>
          <w:rFonts w:ascii="Simplified Arabic" w:eastAsia="Times New Roman" w:hAnsi="Simplified Arabic" w:cs="Simplified Arabic"/>
          <w:b/>
          <w:bCs/>
          <w:color w:val="000000" w:themeColor="text1"/>
          <w:kern w:val="0"/>
          <w:sz w:val="28"/>
          <w:szCs w:val="28"/>
          <w14:ligatures w14:val="none"/>
        </w:rPr>
        <w:t>Multicriteria</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Framework for Informed Decision-Making".</w:t>
      </w:r>
    </w:p>
    <w:p w14:paraId="0263CAAC" w14:textId="13BEF4BE"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تعزيز القدرة التخطيطية في التجديد العمراني بأبعادها (المعايير الاقتصادية، والاجتماعية، والبيئية، والعمرانية) على دعم اتخاذ القرار المستنير في مشاريع التجديد الحضري. واستخدمت الدراسة المنهج التحليلي متعدد المعايير القائم على نظام تقييم شامل يجمع بين النماذج الكمية وآراء الخبراء. وتكونت العينة من مجموعة من الخبراء في مجالات التخطيط العمراني والتنمية الحضرية المستدامة. وتوصلت نتائج الدراسة إلى أن الإطار متعدد المعايير المقترح يُتيح للمخططين تقييماً أكثر </w:t>
      </w:r>
      <w:r w:rsidRPr="002D2F40">
        <w:rPr>
          <w:rFonts w:ascii="Simplified Arabic" w:eastAsia="Times New Roman" w:hAnsi="Simplified Arabic" w:cs="Simplified Arabic"/>
          <w:color w:val="000000" w:themeColor="text1"/>
          <w:kern w:val="0"/>
          <w:sz w:val="28"/>
          <w:szCs w:val="28"/>
          <w:rtl/>
          <w14:ligatures w14:val="none"/>
        </w:rPr>
        <w:lastRenderedPageBreak/>
        <w:t>شمولية لمشاريع التجديد العمراني، وأن دمج الأبعاد الاقتصادية والاجتماعية والبيئية يُحسّن من جودة القرارات التخطيطية. وأوصت الدراسة بتطبيق هذا الإطار كأداة دعم قرار في سياقات حضرية مختلفة مع تكييفه وفقاً للخصوصيات المحلية</w:t>
      </w:r>
      <w:r w:rsidRPr="002D2F40">
        <w:rPr>
          <w:rFonts w:ascii="Simplified Arabic" w:eastAsia="Times New Roman" w:hAnsi="Simplified Arabic" w:cs="Simplified Arabic"/>
          <w:color w:val="000000" w:themeColor="text1"/>
          <w:kern w:val="0"/>
          <w:sz w:val="28"/>
          <w:szCs w:val="28"/>
          <w14:ligatures w14:val="none"/>
        </w:rPr>
        <w:t>.</w:t>
      </w:r>
    </w:p>
    <w:p w14:paraId="71FECE22" w14:textId="1C66B368" w:rsidR="00497D0C" w:rsidRPr="002D2F40" w:rsidRDefault="00497D0C"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2D2F40">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(تعظيم العائد الاستثماري وتحسين جودة الحياة الحضرية) وعلاقته بمتغيرات أخرى</w:t>
      </w:r>
    </w:p>
    <w:p w14:paraId="2D368429"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إبراهيم</w:t>
      </w:r>
      <w:r w:rsidRPr="002D2F40">
        <w:rPr>
          <w:rFonts w:ascii="Simplified Arabic" w:eastAsia="Times New Roman" w:hAnsi="Simplified Arabic" w:cs="Simplified Arabic"/>
          <w:b/>
          <w:bCs/>
          <w:color w:val="000000" w:themeColor="text1"/>
          <w:kern w:val="0"/>
          <w:sz w:val="28"/>
          <w:szCs w:val="28"/>
          <w14:ligatures w14:val="none"/>
        </w:rPr>
        <w:t xml:space="preserve"> (2020): "</w:t>
      </w:r>
      <w:r w:rsidRPr="002D2F40">
        <w:rPr>
          <w:rFonts w:ascii="Simplified Arabic" w:eastAsia="Times New Roman" w:hAnsi="Simplified Arabic" w:cs="Simplified Arabic"/>
          <w:b/>
          <w:bCs/>
          <w:color w:val="000000" w:themeColor="text1"/>
          <w:kern w:val="0"/>
          <w:sz w:val="28"/>
          <w:szCs w:val="28"/>
          <w:rtl/>
          <w14:ligatures w14:val="none"/>
        </w:rPr>
        <w:t>التوافق العمراني بين المخططات السكنية الجديدة والمنطقة التراثية: حالة دراسية الدرعية</w:t>
      </w:r>
      <w:r w:rsidRPr="002D2F40">
        <w:rPr>
          <w:rFonts w:ascii="Simplified Arabic" w:eastAsia="Times New Roman" w:hAnsi="Simplified Arabic" w:cs="Simplified Arabic"/>
          <w:b/>
          <w:bCs/>
          <w:color w:val="000000" w:themeColor="text1"/>
          <w:kern w:val="0"/>
          <w:sz w:val="28"/>
          <w:szCs w:val="28"/>
          <w14:ligatures w14:val="none"/>
        </w:rPr>
        <w:t>".</w:t>
      </w:r>
    </w:p>
    <w:p w14:paraId="1F78D4B1" w14:textId="77777777"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مدى التوافق العمراني بأبعاده (المعماري، والوظيفي، والبصري، والاجتماعي) على العلاقة بين المخططات السكنية الجديدة والمنطقة التراثية في الدرعية بمدينة الرياض</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المقارن. وتكونت العينة من المخططات السكنية المجاورة لمنطقة الدرعية التاريخية. وتوصلت نتائج الدراسة إلى وجود فجوة كبيرة بين التصميم العمراني الحديث والنسيج التراثي القائم، وأن إعادة التطوير المدروسة للمناطق القديمة تُسهم في تعزيز القيمة الاستثمارية للمنطقة ككل. وأوصت الدراسة بوضع ضوابط تصميمية تُحقق الانسجام بين التطوير الجديد والموروث العمراني</w:t>
      </w:r>
      <w:r w:rsidRPr="002D2F40">
        <w:rPr>
          <w:rFonts w:ascii="Simplified Arabic" w:eastAsia="Times New Roman" w:hAnsi="Simplified Arabic" w:cs="Simplified Arabic"/>
          <w:color w:val="000000" w:themeColor="text1"/>
          <w:kern w:val="0"/>
          <w:sz w:val="28"/>
          <w:szCs w:val="28"/>
          <w14:ligatures w14:val="none"/>
        </w:rPr>
        <w:t>.</w:t>
      </w:r>
    </w:p>
    <w:p w14:paraId="79843BD3"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الخطيب والنجار</w:t>
      </w:r>
      <w:r w:rsidRPr="002D2F40">
        <w:rPr>
          <w:rFonts w:ascii="Simplified Arabic" w:eastAsia="Times New Roman" w:hAnsi="Simplified Arabic" w:cs="Simplified Arabic"/>
          <w:b/>
          <w:bCs/>
          <w:color w:val="000000" w:themeColor="text1"/>
          <w:kern w:val="0"/>
          <w:sz w:val="28"/>
          <w:szCs w:val="28"/>
          <w14:ligatures w14:val="none"/>
        </w:rPr>
        <w:t xml:space="preserve"> (2021): "</w:t>
      </w:r>
      <w:r w:rsidRPr="002D2F40">
        <w:rPr>
          <w:rFonts w:ascii="Simplified Arabic" w:eastAsia="Times New Roman" w:hAnsi="Simplified Arabic" w:cs="Simplified Arabic"/>
          <w:b/>
          <w:bCs/>
          <w:color w:val="000000" w:themeColor="text1"/>
          <w:kern w:val="0"/>
          <w:sz w:val="28"/>
          <w:szCs w:val="28"/>
          <w:rtl/>
          <w14:ligatures w14:val="none"/>
        </w:rPr>
        <w:t>أثر التطوير العقاري على تحسين جودة الحياة السكنية في المناطق الحضرية: دراسة تحليلية</w:t>
      </w:r>
      <w:r w:rsidRPr="002D2F40">
        <w:rPr>
          <w:rFonts w:ascii="Simplified Arabic" w:eastAsia="Times New Roman" w:hAnsi="Simplified Arabic" w:cs="Simplified Arabic"/>
          <w:b/>
          <w:bCs/>
          <w:color w:val="000000" w:themeColor="text1"/>
          <w:kern w:val="0"/>
          <w:sz w:val="28"/>
          <w:szCs w:val="28"/>
          <w14:ligatures w14:val="none"/>
        </w:rPr>
        <w:t>".</w:t>
      </w:r>
    </w:p>
    <w:p w14:paraId="60F81053" w14:textId="77777777"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التطوير العقاري بأبعاده (تحسين البنية التحتية، وتوفير الخدمات، ورفع القيمة العقارية) على جودة الحياة السكنية في المناطق الحضرية. واستخدمت الدراسة المنهج الوصفي التحليلي. وتكونت العينة من مجموعة من المشاريع العقارية التطويرية في مناطق حضرية مختارة. وتوصلت نتائج الدراسة إلى وجود علاقة طردية ذات دلالة إحصائية بين مشاريع التطوير العقاري وتحسين جودة الحياة السكنية، وأن تحسين البنية التحتية يُعد العامل الأكثر تأثيراً. وأوصت الدراسة بضرورة دمج مؤشرات جودة الحياة ضمن معايير تقييم مشاريع التطوير العقاري</w:t>
      </w:r>
      <w:r w:rsidRPr="002D2F40">
        <w:rPr>
          <w:rFonts w:ascii="Simplified Arabic" w:eastAsia="Times New Roman" w:hAnsi="Simplified Arabic" w:cs="Simplified Arabic"/>
          <w:color w:val="000000" w:themeColor="text1"/>
          <w:kern w:val="0"/>
          <w:sz w:val="28"/>
          <w:szCs w:val="28"/>
          <w14:ligatures w14:val="none"/>
        </w:rPr>
        <w:t>.</w:t>
      </w:r>
    </w:p>
    <w:p w14:paraId="077C4058"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lastRenderedPageBreak/>
        <w:t>دراسة</w:t>
      </w:r>
      <w:r w:rsidRPr="002D2F40">
        <w:rPr>
          <w:rFonts w:ascii="Simplified Arabic" w:eastAsia="Times New Roman" w:hAnsi="Simplified Arabic" w:cs="Simplified Arabic"/>
          <w:b/>
          <w:bCs/>
          <w:color w:val="000000" w:themeColor="text1"/>
          <w:kern w:val="0"/>
          <w:sz w:val="28"/>
          <w:szCs w:val="28"/>
          <w14:ligatures w14:val="none"/>
        </w:rPr>
        <w:t xml:space="preserve"> Carbonara, </w:t>
      </w:r>
      <w:proofErr w:type="spellStart"/>
      <w:r w:rsidRPr="002D2F40">
        <w:rPr>
          <w:rFonts w:ascii="Simplified Arabic" w:eastAsia="Times New Roman" w:hAnsi="Simplified Arabic" w:cs="Simplified Arabic"/>
          <w:b/>
          <w:bCs/>
          <w:color w:val="000000" w:themeColor="text1"/>
          <w:kern w:val="0"/>
          <w:sz w:val="28"/>
          <w:szCs w:val="28"/>
          <w14:ligatures w14:val="none"/>
        </w:rPr>
        <w:t>Faustoferri</w:t>
      </w:r>
      <w:proofErr w:type="spellEnd"/>
      <w:r w:rsidRPr="002D2F40">
        <w:rPr>
          <w:rFonts w:ascii="Simplified Arabic" w:eastAsia="Times New Roman" w:hAnsi="Simplified Arabic" w:cs="Simplified Arabic"/>
          <w:b/>
          <w:bCs/>
          <w:color w:val="000000" w:themeColor="text1"/>
          <w:kern w:val="0"/>
          <w:sz w:val="28"/>
          <w:szCs w:val="28"/>
          <w14:ligatures w14:val="none"/>
        </w:rPr>
        <w:t>, &amp; Stefano (2021): "Real Estate Values and Urban Quality: A Multiple Linear Regression Model for Defining an Urban Quality Index".</w:t>
      </w:r>
    </w:p>
    <w:p w14:paraId="5755892C" w14:textId="2630E7A8"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جودة البيئة الحضرية وقيم العقارات بأبعادها (النظام البيئي، ونظام البنية التحتية، والنظام العمراني، ونظام الخدمات) على أسعار العقارات السكنية في مدينة بيسكارا الإيطالية. واستخدمت الدراسة المنهج الكمي القائم على نموذج الانحدار الخطي المتعدد مع تحليل مكاني عبر نظم المعلومات الجغرافية</w:t>
      </w:r>
      <w:r w:rsidRPr="002D2F40">
        <w:rPr>
          <w:rFonts w:ascii="Simplified Arabic" w:eastAsia="Times New Roman" w:hAnsi="Simplified Arabic" w:cs="Simplified Arabic"/>
          <w:color w:val="000000" w:themeColor="text1"/>
          <w:kern w:val="0"/>
          <w:sz w:val="28"/>
          <w:szCs w:val="28"/>
          <w14:ligatures w14:val="none"/>
        </w:rPr>
        <w:t xml:space="preserve"> (GIS). </w:t>
      </w:r>
      <w:r w:rsidRPr="002D2F40">
        <w:rPr>
          <w:rFonts w:ascii="Simplified Arabic" w:eastAsia="Times New Roman" w:hAnsi="Simplified Arabic" w:cs="Simplified Arabic"/>
          <w:color w:val="000000" w:themeColor="text1"/>
          <w:kern w:val="0"/>
          <w:sz w:val="28"/>
          <w:szCs w:val="28"/>
          <w:rtl/>
          <w14:ligatures w14:val="none"/>
        </w:rPr>
        <w:t xml:space="preserve">وتكونت العينة من (205) عملية بيع عقارية مسجلة في مدينة بيسكارا، مع تحليل (10) مناطق حضرية مُتجانسة. وتوصلت نتائج الدراسة إلى أن مؤشر الجودة الحضرية هو المتغير الأكثر تأثيراً على تشكيل أسعار العقارات بمعامل تحديد </w:t>
      </w:r>
      <w:r w:rsidRPr="002D2F40">
        <w:rPr>
          <w:rFonts w:ascii="Simplified Arabic" w:eastAsia="Times New Roman" w:hAnsi="Simplified Arabic" w:cs="Simplified Arabic"/>
          <w:color w:val="000000" w:themeColor="text1"/>
          <w:kern w:val="0"/>
          <w:sz w:val="28"/>
          <w:szCs w:val="28"/>
          <w14:ligatures w14:val="none"/>
        </w:rPr>
        <w:t>(R²=0.866)</w:t>
      </w:r>
      <w:r w:rsidRPr="002D2F40">
        <w:rPr>
          <w:rFonts w:ascii="Simplified Arabic" w:eastAsia="Times New Roman" w:hAnsi="Simplified Arabic" w:cs="Simplified Arabic"/>
          <w:color w:val="000000" w:themeColor="text1"/>
          <w:kern w:val="0"/>
          <w:sz w:val="28"/>
          <w:szCs w:val="28"/>
          <w:rtl/>
          <w14:ligatures w14:val="none"/>
        </w:rPr>
        <w:t>، وأن كل وحدة زيادة في مؤشر الجودة الحضرية ترفع سعر المتر المربع بمقدار (189.98) يورو. وأوصت الدراسة بتبني مؤشر الجودة الحضرية كأداة لصُنّاع القرار في إعادة توازن السياسات الضريبية والتخطيطية</w:t>
      </w:r>
      <w:r w:rsidRPr="002D2F40">
        <w:rPr>
          <w:rFonts w:ascii="Simplified Arabic" w:eastAsia="Times New Roman" w:hAnsi="Simplified Arabic" w:cs="Simplified Arabic"/>
          <w:color w:val="000000" w:themeColor="text1"/>
          <w:kern w:val="0"/>
          <w:sz w:val="28"/>
          <w:szCs w:val="28"/>
          <w14:ligatures w14:val="none"/>
        </w:rPr>
        <w:t>.</w:t>
      </w:r>
    </w:p>
    <w:p w14:paraId="279737F7"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البسيوني وعمر</w:t>
      </w:r>
      <w:r w:rsidRPr="002D2F40">
        <w:rPr>
          <w:rFonts w:ascii="Simplified Arabic" w:eastAsia="Times New Roman" w:hAnsi="Simplified Arabic" w:cs="Simplified Arabic"/>
          <w:b/>
          <w:bCs/>
          <w:color w:val="000000" w:themeColor="text1"/>
          <w:kern w:val="0"/>
          <w:sz w:val="28"/>
          <w:szCs w:val="28"/>
          <w14:ligatures w14:val="none"/>
        </w:rPr>
        <w:t xml:space="preserve"> (2022): "</w:t>
      </w:r>
      <w:r w:rsidRPr="002D2F40">
        <w:rPr>
          <w:rFonts w:ascii="Simplified Arabic" w:eastAsia="Times New Roman" w:hAnsi="Simplified Arabic" w:cs="Simplified Arabic"/>
          <w:b/>
          <w:bCs/>
          <w:color w:val="000000" w:themeColor="text1"/>
          <w:kern w:val="0"/>
          <w:sz w:val="28"/>
          <w:szCs w:val="28"/>
          <w:rtl/>
          <w14:ligatures w14:val="none"/>
        </w:rPr>
        <w:t>تعزيز التنمية الحضرية بالاستفادة من عائدات مبادرات جودة الحياة في المباني السكنية</w:t>
      </w:r>
      <w:r w:rsidRPr="002D2F40">
        <w:rPr>
          <w:rFonts w:ascii="Simplified Arabic" w:eastAsia="Times New Roman" w:hAnsi="Simplified Arabic" w:cs="Simplified Arabic"/>
          <w:b/>
          <w:bCs/>
          <w:color w:val="000000" w:themeColor="text1"/>
          <w:kern w:val="0"/>
          <w:sz w:val="28"/>
          <w:szCs w:val="28"/>
          <w14:ligatures w14:val="none"/>
        </w:rPr>
        <w:t>".</w:t>
      </w:r>
    </w:p>
    <w:p w14:paraId="0623F9E5" w14:textId="222FEF92"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العائد الاستثماري لمعيار جودة الحياة بأبعاده (الصحة والرفاهية، وكفاءة الطاقة، والتصميم الداخلي، والبيئة المحيطة) على قيمة المباني السكنية والتنمية الحضرية. واستخدمت الدراسة المنهج التحليلي الاستقرائي القائم على تحليل البيانات والأدلة البحثية. وتكونت العينة من مجموعة من المشاريع السكنية التي طبقت معايير جودة الحياة في عدة مدن. وتوصلت نتائج الدراسة إلى أن تطبيق معايير جودة الحياة في المباني السكنية يُحقق عائد استثمار مُقنعاً يتراوح بين (6%-12%) سنوياً، ويُعزز جاذبية المنطقة الحضرية للسكان والمستثمرين. وأوصت الدراسة بتضمين معيار جودة الحياة في التشريعات العمرانية ومتطلبات البناء لضمان تحقيق عوائد استثمارية مستدامة</w:t>
      </w:r>
      <w:r w:rsidRPr="002D2F40">
        <w:rPr>
          <w:rFonts w:ascii="Simplified Arabic" w:eastAsia="Times New Roman" w:hAnsi="Simplified Arabic" w:cs="Simplified Arabic"/>
          <w:color w:val="000000" w:themeColor="text1"/>
          <w:kern w:val="0"/>
          <w:sz w:val="28"/>
          <w:szCs w:val="28"/>
          <w14:ligatures w14:val="none"/>
        </w:rPr>
        <w:t>.</w:t>
      </w:r>
    </w:p>
    <w:p w14:paraId="4FC57FA2" w14:textId="77777777" w:rsidR="00751A99" w:rsidRPr="002D2F40" w:rsidRDefault="00751A99"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الحسيني وعبدالرحمن</w:t>
      </w:r>
      <w:r w:rsidRPr="002D2F40">
        <w:rPr>
          <w:rFonts w:ascii="Simplified Arabic" w:eastAsia="Times New Roman" w:hAnsi="Simplified Arabic" w:cs="Simplified Arabic"/>
          <w:b/>
          <w:bCs/>
          <w:color w:val="000000" w:themeColor="text1"/>
          <w:kern w:val="0"/>
          <w:sz w:val="28"/>
          <w:szCs w:val="28"/>
          <w14:ligatures w14:val="none"/>
        </w:rPr>
        <w:t xml:space="preserve"> (2022): "</w:t>
      </w:r>
      <w:r w:rsidRPr="002D2F40">
        <w:rPr>
          <w:rFonts w:ascii="Simplified Arabic" w:eastAsia="Times New Roman" w:hAnsi="Simplified Arabic" w:cs="Simplified Arabic"/>
          <w:b/>
          <w:bCs/>
          <w:color w:val="000000" w:themeColor="text1"/>
          <w:kern w:val="0"/>
          <w:sz w:val="28"/>
          <w:szCs w:val="28"/>
          <w:rtl/>
          <w14:ligatures w14:val="none"/>
        </w:rPr>
        <w:t>تقييم مستوى جودة الحياة في البيئات الحضرية بالمدن الجديدة في مصر: دراسة حالة مدينة حدائق أكتوبر</w:t>
      </w:r>
      <w:r w:rsidRPr="002D2F40">
        <w:rPr>
          <w:rFonts w:ascii="Simplified Arabic" w:eastAsia="Times New Roman" w:hAnsi="Simplified Arabic" w:cs="Simplified Arabic"/>
          <w:b/>
          <w:bCs/>
          <w:color w:val="000000" w:themeColor="text1"/>
          <w:kern w:val="0"/>
          <w:sz w:val="28"/>
          <w:szCs w:val="28"/>
          <w14:ligatures w14:val="none"/>
        </w:rPr>
        <w:t>".</w:t>
      </w:r>
    </w:p>
    <w:p w14:paraId="66BE5C7D" w14:textId="77777777" w:rsidR="00751A99" w:rsidRPr="002D2F40" w:rsidRDefault="00751A99"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أدوات تقييم جودة الحياة الحضرية بأبعادها (البيئة العمرانية، والخدمات، والبنية التحتية، والتفاعل الاجتماعي) على المجتمعات العمرانية الجديدة في مصر. واستخدمت الدراسة </w:t>
      </w:r>
      <w:r w:rsidRPr="002D2F40">
        <w:rPr>
          <w:rFonts w:ascii="Simplified Arabic" w:eastAsia="Times New Roman" w:hAnsi="Simplified Arabic" w:cs="Simplified Arabic"/>
          <w:color w:val="000000" w:themeColor="text1"/>
          <w:kern w:val="0"/>
          <w:sz w:val="28"/>
          <w:szCs w:val="28"/>
          <w:rtl/>
          <w14:ligatures w14:val="none"/>
        </w:rPr>
        <w:lastRenderedPageBreak/>
        <w:t>المنهج الوصفي التحليلي مع تصميم أداة قياس مُستنبطة من المعايير الدولية والمحلية. وتكونت العينة من سكان مدينة حدائق أكتوبر كحالة دراسية للمدن الجديدة. وتوصلت نتائج الدراسة إلى تفاوت ملحوظ في مستويات جودة الحياة بين الأحياء المختلفة داخل المدينة الواحدة، وأن قُرب الخدمات وجودة المساحات الخضراء يُشكلان عوامل محورية في تحديد مستوى جودة الحياة. وأوصت الدراسة بضرورة اعتماد مؤشرات قياس مُوحدة لجودة الحياة الحضرية في مراحل التخطيط المبكرة</w:t>
      </w:r>
      <w:r w:rsidRPr="002D2F40">
        <w:rPr>
          <w:rFonts w:ascii="Simplified Arabic" w:eastAsia="Times New Roman" w:hAnsi="Simplified Arabic" w:cs="Simplified Arabic"/>
          <w:color w:val="000000" w:themeColor="text1"/>
          <w:kern w:val="0"/>
          <w:sz w:val="28"/>
          <w:szCs w:val="28"/>
          <w14:ligatures w14:val="none"/>
        </w:rPr>
        <w:t>.</w:t>
      </w:r>
    </w:p>
    <w:p w14:paraId="6DD2B8B7"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 عبدالفتاح وعلي</w:t>
      </w:r>
      <w:r w:rsidRPr="002D2F40">
        <w:rPr>
          <w:rFonts w:ascii="Simplified Arabic" w:eastAsia="Times New Roman" w:hAnsi="Simplified Arabic" w:cs="Simplified Arabic"/>
          <w:b/>
          <w:bCs/>
          <w:color w:val="000000" w:themeColor="text1"/>
          <w:kern w:val="0"/>
          <w:sz w:val="28"/>
          <w:szCs w:val="28"/>
          <w14:ligatures w14:val="none"/>
        </w:rPr>
        <w:t xml:space="preserve"> (2023): "</w:t>
      </w:r>
      <w:r w:rsidRPr="002D2F40">
        <w:rPr>
          <w:rFonts w:ascii="Simplified Arabic" w:eastAsia="Times New Roman" w:hAnsi="Simplified Arabic" w:cs="Simplified Arabic"/>
          <w:b/>
          <w:bCs/>
          <w:color w:val="000000" w:themeColor="text1"/>
          <w:kern w:val="0"/>
          <w:sz w:val="28"/>
          <w:szCs w:val="28"/>
          <w:rtl/>
          <w14:ligatures w14:val="none"/>
        </w:rPr>
        <w:t>نحو تحقيق جودة الحياة الحضرية في المدن عالية الكثافة: دراسة تطبيقية على المناطق السكنية في مصر</w:t>
      </w:r>
      <w:r w:rsidRPr="002D2F40">
        <w:rPr>
          <w:rFonts w:ascii="Simplified Arabic" w:eastAsia="Times New Roman" w:hAnsi="Simplified Arabic" w:cs="Simplified Arabic"/>
          <w:b/>
          <w:bCs/>
          <w:color w:val="000000" w:themeColor="text1"/>
          <w:kern w:val="0"/>
          <w:sz w:val="28"/>
          <w:szCs w:val="28"/>
          <w14:ligatures w14:val="none"/>
        </w:rPr>
        <w:t>".</w:t>
      </w:r>
    </w:p>
    <w:p w14:paraId="0A8AFD88" w14:textId="56DC7908"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مؤشرات جودة الحياة الحضرية بأبعادها (البيئية، والاجتماعية، والاقتصادية، والعمرانية) على المناطق السكنية في المدن المصرية عالية الكثافة. واستخدمت الدراسة المنهج الوصفي التحليلي مع دراسة الحالة والمسح الميداني. وتكونت العينة من مجموعة من المناطق السكنية المختارة في المدن المصرية ذات الكثافة العالية. وتوصلت نتائج الدراسة إلى أن التحضر السريع أحدث ضغطاً كبيراً على جودة الحياة الحضرية، وأن هناك علاقة عكسية بين الكثافة السكانية المفرطة وجودة الحياة، وأن توفير الفراغات العامة والخدمات يُحسّن مستوى رضا السكان. وأوصت الدراسة بضرورة تبني سياسات تخطيطية توازن بين الكثافة العمرانية وجودة البيئة الحضرية</w:t>
      </w:r>
      <w:r w:rsidRPr="002D2F40">
        <w:rPr>
          <w:rFonts w:ascii="Simplified Arabic" w:eastAsia="Times New Roman" w:hAnsi="Simplified Arabic" w:cs="Simplified Arabic"/>
          <w:color w:val="000000" w:themeColor="text1"/>
          <w:kern w:val="0"/>
          <w:sz w:val="28"/>
          <w:szCs w:val="28"/>
          <w14:ligatures w14:val="none"/>
        </w:rPr>
        <w:t>.</w:t>
      </w:r>
    </w:p>
    <w:p w14:paraId="2B273882"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Karanikolas</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Giannakopoulos</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&amp; </w:t>
      </w:r>
      <w:proofErr w:type="spellStart"/>
      <w:r w:rsidRPr="002D2F40">
        <w:rPr>
          <w:rFonts w:ascii="Simplified Arabic" w:eastAsia="Times New Roman" w:hAnsi="Simplified Arabic" w:cs="Simplified Arabic"/>
          <w:b/>
          <w:bCs/>
          <w:color w:val="000000" w:themeColor="text1"/>
          <w:kern w:val="0"/>
          <w:sz w:val="28"/>
          <w:szCs w:val="28"/>
          <w14:ligatures w14:val="none"/>
        </w:rPr>
        <w:t>Xifilidou</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(2024): "Urban Regeneration VS Residential Property Characteristics: The Case of Thessaloniki, Greece".</w:t>
      </w:r>
    </w:p>
    <w:p w14:paraId="5CBDE2D1" w14:textId="36EB4C41"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التجديد العمراني مقارنةً بخصائص العقارات السكنية بأبعادها (الجماليات الحضرية، والمساحات الخضراء، وإمكانية الوصول، والأمان) على قيم العقارات السكنية في مدينة سالونيك اليونانية. واستخدمت الدراسة المنهج الكمي القائم على نماذج الانحدار الخطي التقليدي</w:t>
      </w:r>
      <w:r w:rsidRPr="002D2F40">
        <w:rPr>
          <w:rFonts w:ascii="Simplified Arabic" w:eastAsia="Times New Roman" w:hAnsi="Simplified Arabic" w:cs="Simplified Arabic"/>
          <w:color w:val="000000" w:themeColor="text1"/>
          <w:kern w:val="0"/>
          <w:sz w:val="28"/>
          <w:szCs w:val="28"/>
          <w14:ligatures w14:val="none"/>
        </w:rPr>
        <w:t xml:space="preserve"> (OLS) </w:t>
      </w:r>
      <w:r w:rsidRPr="002D2F40">
        <w:rPr>
          <w:rFonts w:ascii="Simplified Arabic" w:eastAsia="Times New Roman" w:hAnsi="Simplified Arabic" w:cs="Simplified Arabic"/>
          <w:color w:val="000000" w:themeColor="text1"/>
          <w:kern w:val="0"/>
          <w:sz w:val="28"/>
          <w:szCs w:val="28"/>
          <w:rtl/>
          <w14:ligatures w14:val="none"/>
        </w:rPr>
        <w:t>ونموذج الانحدار الموزون جغرافياً</w:t>
      </w:r>
      <w:r w:rsidRPr="002D2F40">
        <w:rPr>
          <w:rFonts w:ascii="Simplified Arabic" w:eastAsia="Times New Roman" w:hAnsi="Simplified Arabic" w:cs="Simplified Arabic"/>
          <w:color w:val="000000" w:themeColor="text1"/>
          <w:kern w:val="0"/>
          <w:sz w:val="28"/>
          <w:szCs w:val="28"/>
          <w14:ligatures w14:val="none"/>
        </w:rPr>
        <w:t xml:space="preserve"> (GWR). </w:t>
      </w:r>
      <w:r w:rsidRPr="002D2F40">
        <w:rPr>
          <w:rFonts w:ascii="Simplified Arabic" w:eastAsia="Times New Roman" w:hAnsi="Simplified Arabic" w:cs="Simplified Arabic"/>
          <w:color w:val="000000" w:themeColor="text1"/>
          <w:kern w:val="0"/>
          <w:sz w:val="28"/>
          <w:szCs w:val="28"/>
          <w:rtl/>
          <w14:ligatures w14:val="none"/>
        </w:rPr>
        <w:t xml:space="preserve">وتكونت العينة من (264) وحدة سكنية موزعة على منطقتي تجديد عمراني (روتوندا وكالاماريا) في سالونيك. وتوصلت نتائج الدراسة إلى أن التجديد العمراني والتخطيط الحضري المستدام أصبحا أكثر تأثيراً على قيم العقارات من الخصائص الذاتية للعقار نفسه، وأن </w:t>
      </w:r>
      <w:r w:rsidRPr="002D2F40">
        <w:rPr>
          <w:rFonts w:ascii="Simplified Arabic" w:eastAsia="Times New Roman" w:hAnsi="Simplified Arabic" w:cs="Simplified Arabic"/>
          <w:color w:val="000000" w:themeColor="text1"/>
          <w:kern w:val="0"/>
          <w:sz w:val="28"/>
          <w:szCs w:val="28"/>
          <w:rtl/>
          <w14:ligatures w14:val="none"/>
        </w:rPr>
        <w:lastRenderedPageBreak/>
        <w:t xml:space="preserve">تحسين البيئة الحضرية يرفع قيم الإيجارات بنسبة </w:t>
      </w:r>
      <w:r w:rsidRPr="002D2F40">
        <w:rPr>
          <w:rFonts w:ascii="Simplified Arabic" w:eastAsia="Times New Roman" w:hAnsi="Simplified Arabic" w:cs="Simplified Arabic"/>
          <w:color w:val="000000" w:themeColor="text1"/>
          <w:kern w:val="0"/>
          <w:sz w:val="28"/>
          <w:szCs w:val="28"/>
          <w14:ligatures w14:val="none"/>
        </w:rPr>
        <w:t xml:space="preserve">(6.5%-7.75%). </w:t>
      </w:r>
      <w:r w:rsidRPr="002D2F40">
        <w:rPr>
          <w:rFonts w:ascii="Simplified Arabic" w:eastAsia="Times New Roman" w:hAnsi="Simplified Arabic" w:cs="Simplified Arabic"/>
          <w:color w:val="000000" w:themeColor="text1"/>
          <w:kern w:val="0"/>
          <w:sz w:val="28"/>
          <w:szCs w:val="28"/>
          <w:rtl/>
          <w14:ligatures w14:val="none"/>
        </w:rPr>
        <w:t>وأوصت الدراسة صُنّاع القرار بإعطاء الأولوية للتخطيط الحضري المستدام والتكامل البيئي باعتبارهما ضرورة وليسا ترفاً</w:t>
      </w:r>
      <w:r w:rsidRPr="002D2F40">
        <w:rPr>
          <w:rFonts w:ascii="Simplified Arabic" w:eastAsia="Times New Roman" w:hAnsi="Simplified Arabic" w:cs="Simplified Arabic"/>
          <w:color w:val="000000" w:themeColor="text1"/>
          <w:kern w:val="0"/>
          <w:sz w:val="28"/>
          <w:szCs w:val="28"/>
          <w14:ligatures w14:val="none"/>
        </w:rPr>
        <w:t>.</w:t>
      </w:r>
    </w:p>
    <w:p w14:paraId="5FD4CD8D"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Wu, Li, &amp; </w:t>
      </w:r>
      <w:proofErr w:type="spellStart"/>
      <w:r w:rsidRPr="002D2F40">
        <w:rPr>
          <w:rFonts w:ascii="Simplified Arabic" w:eastAsia="Times New Roman" w:hAnsi="Simplified Arabic" w:cs="Simplified Arabic"/>
          <w:b/>
          <w:bCs/>
          <w:color w:val="000000" w:themeColor="text1"/>
          <w:kern w:val="0"/>
          <w:sz w:val="28"/>
          <w:szCs w:val="28"/>
          <w14:ligatures w14:val="none"/>
        </w:rPr>
        <w:t>Nie</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(2024): "Typological Differentiation and Time-Series Effects of Urban Renewal on Housing Prices: Evidence from Shenzhen, China".</w:t>
      </w:r>
    </w:p>
    <w:p w14:paraId="516FF4F2" w14:textId="0EDC3938"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التأثيرات التصنيفية والزمنية للتجديد العمراني بأبعادها (نوع مشروع التجديد، والنطاق المكاني للتأثير، والبُعد الزمني) على أسعار المساكن في مدينة شنجن الصينية. واستخدمت الدراسة المنهج الكمي القائم على تحليل السلاسل الزمنية ونماذج الفروق في الفروق</w:t>
      </w:r>
      <w:r w:rsidRPr="002D2F40">
        <w:rPr>
          <w:rFonts w:ascii="Simplified Arabic" w:eastAsia="Times New Roman" w:hAnsi="Simplified Arabic" w:cs="Simplified Arabic"/>
          <w:color w:val="000000" w:themeColor="text1"/>
          <w:kern w:val="0"/>
          <w:sz w:val="28"/>
          <w:szCs w:val="28"/>
          <w14:ligatures w14:val="none"/>
        </w:rPr>
        <w:t xml:space="preserve"> (DID) </w:t>
      </w:r>
      <w:r w:rsidRPr="002D2F40">
        <w:rPr>
          <w:rFonts w:ascii="Simplified Arabic" w:eastAsia="Times New Roman" w:hAnsi="Simplified Arabic" w:cs="Simplified Arabic"/>
          <w:color w:val="000000" w:themeColor="text1"/>
          <w:kern w:val="0"/>
          <w:sz w:val="28"/>
          <w:szCs w:val="28"/>
          <w:rtl/>
          <w14:ligatures w14:val="none"/>
        </w:rPr>
        <w:t>مع التحليل المكاني. وتكونت العينة من بيانات أسعار المساكن ومشاريع التجديد العمراني في مدينة شنجن خلال الفترة من 2010 إلى 2022. وتوصلت نتائج الدراسة إلى أن التجديد العمراني يُحدث أثراً إيجابياً وملحوظاً على أسعار المساكن المحيطة، وأن هذا الأثر يتفاوت حسب نوع المشروع والمسافة الزمنية من تنفيذه. وأوصت الدراسة صُنّاع السياسات بمراعاة التأثيرات التصنيفية والزمنية المختلفة عند تصميم سياسات التجديد العمراني</w:t>
      </w:r>
      <w:r w:rsidRPr="002D2F40">
        <w:rPr>
          <w:rFonts w:ascii="Simplified Arabic" w:eastAsia="Times New Roman" w:hAnsi="Simplified Arabic" w:cs="Simplified Arabic"/>
          <w:color w:val="000000" w:themeColor="text1"/>
          <w:kern w:val="0"/>
          <w:sz w:val="28"/>
          <w:szCs w:val="28"/>
          <w14:ligatures w14:val="none"/>
        </w:rPr>
        <w:t>.</w:t>
      </w:r>
    </w:p>
    <w:p w14:paraId="4F14C0DB" w14:textId="77777777" w:rsidR="00497D0C" w:rsidRPr="002D2F40" w:rsidRDefault="00497D0C" w:rsidP="00FC623E">
      <w:pPr>
        <w:pStyle w:val="a6"/>
        <w:numPr>
          <w:ilvl w:val="0"/>
          <w:numId w:val="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دراسة</w:t>
      </w:r>
      <w:r w:rsidRPr="002D2F40">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b/>
          <w:bCs/>
          <w:color w:val="000000" w:themeColor="text1"/>
          <w:kern w:val="0"/>
          <w:sz w:val="28"/>
          <w:szCs w:val="28"/>
          <w14:ligatures w14:val="none"/>
        </w:rPr>
        <w:t>Qian</w:t>
      </w:r>
      <w:proofErr w:type="spellEnd"/>
      <w:r w:rsidRPr="002D2F40">
        <w:rPr>
          <w:rFonts w:ascii="Simplified Arabic" w:eastAsia="Times New Roman" w:hAnsi="Simplified Arabic" w:cs="Simplified Arabic"/>
          <w:b/>
          <w:bCs/>
          <w:color w:val="000000" w:themeColor="text1"/>
          <w:kern w:val="0"/>
          <w:sz w:val="28"/>
          <w:szCs w:val="28"/>
          <w14:ligatures w14:val="none"/>
        </w:rPr>
        <w:t xml:space="preserve"> &amp; Zhang (2024): "An Empirical Study on the Promotion of City Economic Development Quality by Healthy Real Estate Investment".</w:t>
      </w:r>
    </w:p>
    <w:p w14:paraId="6C50AC04" w14:textId="5CE11314"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دور الاستثمار العقاري الصحي بأبعاده (حجم الاستثمار، وهيكل السوق، والكفاءة التشغيلية) على جودة التنمية الاقتصادية الحضرية في المدن الصينية. واستخدمت الدراسة المنهج الكمي القائم على تحليل بيانات البانل</w:t>
      </w:r>
      <w:r w:rsidRPr="002D2F40">
        <w:rPr>
          <w:rFonts w:ascii="Simplified Arabic" w:eastAsia="Times New Roman" w:hAnsi="Simplified Arabic" w:cs="Simplified Arabic"/>
          <w:color w:val="000000" w:themeColor="text1"/>
          <w:kern w:val="0"/>
          <w:sz w:val="28"/>
          <w:szCs w:val="28"/>
          <w14:ligatures w14:val="none"/>
        </w:rPr>
        <w:t xml:space="preserve"> (Panel Data). </w:t>
      </w:r>
      <w:r w:rsidRPr="002D2F40">
        <w:rPr>
          <w:rFonts w:ascii="Simplified Arabic" w:eastAsia="Times New Roman" w:hAnsi="Simplified Arabic" w:cs="Simplified Arabic"/>
          <w:color w:val="000000" w:themeColor="text1"/>
          <w:kern w:val="0"/>
          <w:sz w:val="28"/>
          <w:szCs w:val="28"/>
          <w:rtl/>
          <w14:ligatures w14:val="none"/>
        </w:rPr>
        <w:t xml:space="preserve">وتكونت العينة من بيانات (278) مدينة صينية على مستوى المحافظة خلال الفترة من 2012 إلى </w:t>
      </w:r>
      <w:r w:rsidRPr="002D2F40">
        <w:rPr>
          <w:rFonts w:ascii="Simplified Arabic" w:eastAsia="Times New Roman" w:hAnsi="Simplified Arabic" w:cs="Simplified Arabic"/>
          <w:color w:val="000000" w:themeColor="text1"/>
          <w:kern w:val="0"/>
          <w:sz w:val="28"/>
          <w:szCs w:val="28"/>
          <w14:ligatures w14:val="none"/>
        </w:rPr>
        <w:t xml:space="preserve">2021. </w:t>
      </w:r>
      <w:r w:rsidRPr="002D2F40">
        <w:rPr>
          <w:rFonts w:ascii="Simplified Arabic" w:eastAsia="Times New Roman" w:hAnsi="Simplified Arabic" w:cs="Simplified Arabic"/>
          <w:color w:val="000000" w:themeColor="text1"/>
          <w:kern w:val="0"/>
          <w:sz w:val="28"/>
          <w:szCs w:val="28"/>
          <w:rtl/>
          <w14:ligatures w14:val="none"/>
        </w:rPr>
        <w:t>وتوصلت نتائج الدراسة إلى وجود علاقة إيجابية ذات دلالة إحصائية بين الاستثمار العقاري الصحي وجودة التنمية الاقتصادية الحضرية، وأن الاستثمار المتوازن في القطاع العقاري يُعزز من القدرة التنافسية للمدن. وأوصت الدراسة بتبني سياسات تنظيمية تضمن صحة واستدامة الاستثمار العقاري بما يخدم جودة التنمية الحضرية الشاملة</w:t>
      </w:r>
      <w:r w:rsidRPr="002D2F40">
        <w:rPr>
          <w:rFonts w:ascii="Simplified Arabic" w:eastAsia="Times New Roman" w:hAnsi="Simplified Arabic" w:cs="Simplified Arabic"/>
          <w:color w:val="000000" w:themeColor="text1"/>
          <w:kern w:val="0"/>
          <w:sz w:val="28"/>
          <w:szCs w:val="28"/>
          <w14:ligatures w14:val="none"/>
        </w:rPr>
        <w:t>.</w:t>
      </w:r>
    </w:p>
    <w:p w14:paraId="6DE4065E" w14:textId="77777777" w:rsidR="00497D0C" w:rsidRPr="002D2F40" w:rsidRDefault="00497D0C" w:rsidP="00FC623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lastRenderedPageBreak/>
        <w:t>دراسة</w:t>
      </w:r>
      <w:r w:rsidRPr="002D2F40">
        <w:rPr>
          <w:rFonts w:ascii="Simplified Arabic" w:eastAsia="Times New Roman" w:hAnsi="Simplified Arabic" w:cs="Simplified Arabic"/>
          <w:b/>
          <w:bCs/>
          <w:color w:val="000000" w:themeColor="text1"/>
          <w:kern w:val="0"/>
          <w:sz w:val="28"/>
          <w:szCs w:val="28"/>
          <w14:ligatures w14:val="none"/>
        </w:rPr>
        <w:t xml:space="preserve"> Zhao, Wang, &amp; Li (2024): "Post-Occupancy Evaluation of the Improved Old Residential Neighborhoods: A Case Study of Wuxi, China".</w:t>
      </w:r>
    </w:p>
    <w:p w14:paraId="5FD53A29" w14:textId="77777777" w:rsidR="00497D0C" w:rsidRPr="002D2F40" w:rsidRDefault="00497D0C" w:rsidP="00751A99">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هدفت الدراسة إلى التعرف على تقييم ما بعد الإشغال للأحياء السكنية القديمة المُحسَّنة بأبعادها (جودة الفراغات الخارجية، ورضا السكان، والأداء الوظيفي، والجماليات البصرية) على تحسين جودة حياة السكان في مدينة ووشي الصينية. واستخدمت الدراسة منهج تقييم ما بعد الإشغال</w:t>
      </w:r>
      <w:r w:rsidRPr="002D2F40">
        <w:rPr>
          <w:rFonts w:ascii="Simplified Arabic" w:eastAsia="Times New Roman" w:hAnsi="Simplified Arabic" w:cs="Simplified Arabic"/>
          <w:color w:val="000000" w:themeColor="text1"/>
          <w:kern w:val="0"/>
          <w:sz w:val="28"/>
          <w:szCs w:val="28"/>
          <w14:ligatures w14:val="none"/>
        </w:rPr>
        <w:t xml:space="preserve"> (POE) </w:t>
      </w:r>
      <w:r w:rsidRPr="002D2F40">
        <w:rPr>
          <w:rFonts w:ascii="Simplified Arabic" w:eastAsia="Times New Roman" w:hAnsi="Simplified Arabic" w:cs="Simplified Arabic"/>
          <w:color w:val="000000" w:themeColor="text1"/>
          <w:kern w:val="0"/>
          <w:sz w:val="28"/>
          <w:szCs w:val="28"/>
          <w:rtl/>
          <w14:ligatures w14:val="none"/>
        </w:rPr>
        <w:t>مع المسح الميداني والاستبانات. وتكونت العينة من سكان عدة أحياء سكنية قديمة خضعت لعمليات تحسين في مدينة ووشي. وتوصلت نتائج الدراسة إلى أن تحسين الفراغات الخارجية في الأحياء القديمة يُعزز بشكل ملحوظ من رضا السكان وجودة حياتهم اليومية، وأن الإضاءة والمساحات الخضراء والمسارات المشاة تحتل الأولوية في تفضيلات السكان. وأوصت الدراسة بإشراك السكان في مراحل التصميم المبكرة لمشاريع تحسين الأحياء القديمة، وتبني نهج تقييم ما بعد الإشغال كأداة لضمان فعالية التدخلات التطويرية</w:t>
      </w:r>
      <w:r w:rsidRPr="002D2F40">
        <w:rPr>
          <w:rFonts w:ascii="Simplified Arabic" w:eastAsia="Times New Roman" w:hAnsi="Simplified Arabic" w:cs="Simplified Arabic"/>
          <w:color w:val="000000" w:themeColor="text1"/>
          <w:kern w:val="0"/>
          <w:sz w:val="28"/>
          <w:szCs w:val="28"/>
          <w14:ligatures w14:val="none"/>
        </w:rPr>
        <w:t>.</w:t>
      </w:r>
    </w:p>
    <w:p w14:paraId="6FA6B7BD" w14:textId="3D5292F3" w:rsidR="00CC6261" w:rsidRPr="002D2F40" w:rsidRDefault="00751A99" w:rsidP="00751A99">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36"/>
          <w:sz w:val="36"/>
          <w:szCs w:val="36"/>
          <w:rtl/>
          <w14:ligatures w14:val="none"/>
        </w:rPr>
      </w:pPr>
      <w:bookmarkStart w:id="14" w:name="_Toc233500653"/>
      <w:r w:rsidRPr="002D2F40">
        <w:rPr>
          <w:rFonts w:ascii="Simplified Arabic" w:eastAsia="Times New Roman" w:hAnsi="Simplified Arabic" w:cs="Simplified Arabic" w:hint="cs"/>
          <w:b/>
          <w:bCs/>
          <w:color w:val="000000" w:themeColor="text1"/>
          <w:kern w:val="0"/>
          <w:sz w:val="36"/>
          <w:szCs w:val="36"/>
          <w:rtl/>
          <w14:ligatures w14:val="none"/>
        </w:rPr>
        <w:t xml:space="preserve">8.1 </w:t>
      </w:r>
      <w:r w:rsidR="00CC6261" w:rsidRPr="002D2F40">
        <w:rPr>
          <w:rFonts w:ascii="Simplified Arabic" w:eastAsia="Times New Roman" w:hAnsi="Simplified Arabic" w:cs="Simplified Arabic"/>
          <w:b/>
          <w:bCs/>
          <w:color w:val="000000" w:themeColor="text1"/>
          <w:kern w:val="36"/>
          <w:sz w:val="36"/>
          <w:szCs w:val="36"/>
          <w:rtl/>
          <w14:ligatures w14:val="none"/>
        </w:rPr>
        <w:t>الفجوة البحثية</w:t>
      </w:r>
      <w:bookmarkEnd w:id="14"/>
    </w:p>
    <w:p w14:paraId="13BC0567" w14:textId="77777777" w:rsidR="00497D0C" w:rsidRPr="002D2F40" w:rsidRDefault="00497D0C" w:rsidP="00926B42">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t>تتّفق الدراسة الحالية مع مجمل الدراسات السابقة العربية والأجنبية في عدد من المنطلقات الجوهرية، إذ تُشاطرها التأكيد على أنّ إعادة تطوير الأحياء السكنية القديمة يُمثّل ضرورة عمرانية واقتصادية لمواجهة التدهور الحضري المتراكم في قلب المدن، وهو ما أكّدته دراسة السليم والزامل (2021) في سياق حي الشميسي ودراسة</w:t>
      </w:r>
      <w:r w:rsidRPr="002D2F40">
        <w:rPr>
          <w:rFonts w:ascii="Simplified Arabic" w:hAnsi="Simplified Arabic" w:cs="Simplified Arabic"/>
          <w:color w:val="000000" w:themeColor="text1"/>
          <w:sz w:val="28"/>
          <w:szCs w:val="28"/>
        </w:rPr>
        <w:t xml:space="preserve"> Van Nguyen et al. (2024) </w:t>
      </w:r>
      <w:r w:rsidRPr="002D2F40">
        <w:rPr>
          <w:rFonts w:ascii="Simplified Arabic" w:hAnsi="Simplified Arabic" w:cs="Simplified Arabic"/>
          <w:color w:val="000000" w:themeColor="text1"/>
          <w:sz w:val="28"/>
          <w:szCs w:val="28"/>
          <w:rtl/>
        </w:rPr>
        <w:t>في سياق المدن الآسيوية. كما تتوافق مع دراسات</w:t>
      </w:r>
      <w:r w:rsidRPr="002D2F40">
        <w:rPr>
          <w:rFonts w:ascii="Simplified Arabic" w:hAnsi="Simplified Arabic" w:cs="Simplified Arabic"/>
          <w:color w:val="000000" w:themeColor="text1"/>
          <w:sz w:val="28"/>
          <w:szCs w:val="28"/>
        </w:rPr>
        <w:t xml:space="preserve"> </w:t>
      </w:r>
      <w:proofErr w:type="spellStart"/>
      <w:r w:rsidRPr="002D2F40">
        <w:rPr>
          <w:rFonts w:ascii="Simplified Arabic" w:hAnsi="Simplified Arabic" w:cs="Simplified Arabic"/>
          <w:color w:val="000000" w:themeColor="text1"/>
          <w:sz w:val="28"/>
          <w:szCs w:val="28"/>
        </w:rPr>
        <w:t>Carra</w:t>
      </w:r>
      <w:proofErr w:type="spellEnd"/>
      <w:r w:rsidRPr="002D2F40">
        <w:rPr>
          <w:rFonts w:ascii="Simplified Arabic" w:hAnsi="Simplified Arabic" w:cs="Simplified Arabic"/>
          <w:color w:val="000000" w:themeColor="text1"/>
          <w:sz w:val="28"/>
          <w:szCs w:val="28"/>
        </w:rPr>
        <w:t xml:space="preserve"> et al. (2023) </w:t>
      </w:r>
      <w:r w:rsidRPr="002D2F40">
        <w:rPr>
          <w:rFonts w:ascii="Simplified Arabic" w:hAnsi="Simplified Arabic" w:cs="Simplified Arabic"/>
          <w:color w:val="000000" w:themeColor="text1"/>
          <w:sz w:val="28"/>
          <w:szCs w:val="28"/>
          <w:rtl/>
        </w:rPr>
        <w:t>و</w:t>
      </w:r>
      <w:r w:rsidRPr="002D2F40">
        <w:rPr>
          <w:rFonts w:ascii="Simplified Arabic" w:hAnsi="Simplified Arabic" w:cs="Simplified Arabic"/>
          <w:color w:val="000000" w:themeColor="text1"/>
          <w:sz w:val="28"/>
          <w:szCs w:val="28"/>
        </w:rPr>
        <w:t xml:space="preserve">Chen et al. (2022) </w:t>
      </w:r>
      <w:r w:rsidRPr="002D2F40">
        <w:rPr>
          <w:rFonts w:ascii="Simplified Arabic" w:hAnsi="Simplified Arabic" w:cs="Simplified Arabic"/>
          <w:color w:val="000000" w:themeColor="text1"/>
          <w:sz w:val="28"/>
          <w:szCs w:val="28"/>
          <w:rtl/>
        </w:rPr>
        <w:t>و</w:t>
      </w:r>
      <w:proofErr w:type="spellStart"/>
      <w:r w:rsidRPr="002D2F40">
        <w:rPr>
          <w:rFonts w:ascii="Simplified Arabic" w:hAnsi="Simplified Arabic" w:cs="Simplified Arabic"/>
          <w:color w:val="000000" w:themeColor="text1"/>
          <w:sz w:val="28"/>
          <w:szCs w:val="28"/>
        </w:rPr>
        <w:t>Cordeiro</w:t>
      </w:r>
      <w:proofErr w:type="spellEnd"/>
      <w:r w:rsidRPr="002D2F40">
        <w:rPr>
          <w:rFonts w:ascii="Simplified Arabic" w:hAnsi="Simplified Arabic" w:cs="Simplified Arabic"/>
          <w:color w:val="000000" w:themeColor="text1"/>
          <w:sz w:val="28"/>
          <w:szCs w:val="28"/>
        </w:rPr>
        <w:t xml:space="preserve"> et al. (2024) </w:t>
      </w:r>
      <w:r w:rsidRPr="002D2F40">
        <w:rPr>
          <w:rFonts w:ascii="Simplified Arabic" w:hAnsi="Simplified Arabic" w:cs="Simplified Arabic"/>
          <w:color w:val="000000" w:themeColor="text1"/>
          <w:sz w:val="28"/>
          <w:szCs w:val="28"/>
          <w:rtl/>
        </w:rPr>
        <w:t>في تبنّي مقاربة متعددة الأبعاد لعملية التجديد تتجاوز البُعد المادي الإنشائي لتشمل التخطيط والبنية التحتية والشراكة المؤسسية، وتتّسق كذلك مع دراسات</w:t>
      </w:r>
      <w:r w:rsidRPr="002D2F40">
        <w:rPr>
          <w:rFonts w:ascii="Simplified Arabic" w:hAnsi="Simplified Arabic" w:cs="Simplified Arabic"/>
          <w:color w:val="000000" w:themeColor="text1"/>
          <w:sz w:val="28"/>
          <w:szCs w:val="28"/>
        </w:rPr>
        <w:t xml:space="preserve"> </w:t>
      </w:r>
      <w:proofErr w:type="spellStart"/>
      <w:r w:rsidRPr="002D2F40">
        <w:rPr>
          <w:rFonts w:ascii="Simplified Arabic" w:hAnsi="Simplified Arabic" w:cs="Simplified Arabic"/>
          <w:color w:val="000000" w:themeColor="text1"/>
          <w:sz w:val="28"/>
          <w:szCs w:val="28"/>
        </w:rPr>
        <w:t>Karanikolas</w:t>
      </w:r>
      <w:proofErr w:type="spellEnd"/>
      <w:r w:rsidRPr="002D2F40">
        <w:rPr>
          <w:rFonts w:ascii="Simplified Arabic" w:hAnsi="Simplified Arabic" w:cs="Simplified Arabic"/>
          <w:color w:val="000000" w:themeColor="text1"/>
          <w:sz w:val="28"/>
          <w:szCs w:val="28"/>
        </w:rPr>
        <w:t xml:space="preserve"> et al. (2024) </w:t>
      </w:r>
      <w:r w:rsidRPr="002D2F40">
        <w:rPr>
          <w:rFonts w:ascii="Simplified Arabic" w:hAnsi="Simplified Arabic" w:cs="Simplified Arabic"/>
          <w:color w:val="000000" w:themeColor="text1"/>
          <w:sz w:val="28"/>
          <w:szCs w:val="28"/>
          <w:rtl/>
        </w:rPr>
        <w:t>و</w:t>
      </w:r>
      <w:r w:rsidRPr="002D2F40">
        <w:rPr>
          <w:rFonts w:ascii="Simplified Arabic" w:hAnsi="Simplified Arabic" w:cs="Simplified Arabic"/>
          <w:color w:val="000000" w:themeColor="text1"/>
          <w:sz w:val="28"/>
          <w:szCs w:val="28"/>
        </w:rPr>
        <w:t xml:space="preserve">Carbonara et al. (2021) </w:t>
      </w:r>
      <w:r w:rsidRPr="002D2F40">
        <w:rPr>
          <w:rFonts w:ascii="Simplified Arabic" w:hAnsi="Simplified Arabic" w:cs="Simplified Arabic"/>
          <w:color w:val="000000" w:themeColor="text1"/>
          <w:sz w:val="28"/>
          <w:szCs w:val="28"/>
          <w:rtl/>
        </w:rPr>
        <w:t>و</w:t>
      </w:r>
      <w:r w:rsidRPr="002D2F40">
        <w:rPr>
          <w:rFonts w:ascii="Simplified Arabic" w:hAnsi="Simplified Arabic" w:cs="Simplified Arabic"/>
          <w:color w:val="000000" w:themeColor="text1"/>
          <w:sz w:val="28"/>
          <w:szCs w:val="28"/>
        </w:rPr>
        <w:t xml:space="preserve">Wu et al. (2024) </w:t>
      </w:r>
      <w:r w:rsidRPr="002D2F40">
        <w:rPr>
          <w:rFonts w:ascii="Simplified Arabic" w:hAnsi="Simplified Arabic" w:cs="Simplified Arabic"/>
          <w:color w:val="000000" w:themeColor="text1"/>
          <w:sz w:val="28"/>
          <w:szCs w:val="28"/>
          <w:rtl/>
        </w:rPr>
        <w:t>في إثبات العلاقة الإيجابية بين التجديد العمراني وارتفاع القيم العقارية وتحسّن رضا السكان. وتلتقي أيضاً مع دراسة عبدالفتاح وعلي (2023) ودراسة</w:t>
      </w:r>
      <w:r w:rsidRPr="002D2F40">
        <w:rPr>
          <w:rFonts w:ascii="Simplified Arabic" w:hAnsi="Simplified Arabic" w:cs="Simplified Arabic"/>
          <w:color w:val="000000" w:themeColor="text1"/>
          <w:sz w:val="28"/>
          <w:szCs w:val="28"/>
        </w:rPr>
        <w:t xml:space="preserve"> Zhao et al. (2024) </w:t>
      </w:r>
      <w:r w:rsidRPr="002D2F40">
        <w:rPr>
          <w:rFonts w:ascii="Simplified Arabic" w:hAnsi="Simplified Arabic" w:cs="Simplified Arabic"/>
          <w:color w:val="000000" w:themeColor="text1"/>
          <w:sz w:val="28"/>
          <w:szCs w:val="28"/>
          <w:rtl/>
        </w:rPr>
        <w:t>في اعتماد جودة الحياة الحضرية متغيراً تابعاً يُقاس من خلال مؤشرات موضوعية وذاتية مرتبطة بالبيئة المعيشية المباشرة للسكان، فضلاً عن الاتفاق المنهجي مع عدد من هذه الدراسات في استخدام المنهج الوصفي التحليلي والاستبانة أداةً رئيسية لجمع البيانات وأساليب الانحدار في تحليلها إحصائياً</w:t>
      </w:r>
      <w:r w:rsidRPr="002D2F40">
        <w:rPr>
          <w:rFonts w:ascii="Simplified Arabic" w:hAnsi="Simplified Arabic" w:cs="Simplified Arabic"/>
          <w:color w:val="000000" w:themeColor="text1"/>
          <w:sz w:val="28"/>
          <w:szCs w:val="28"/>
        </w:rPr>
        <w:t>.</w:t>
      </w:r>
    </w:p>
    <w:p w14:paraId="2F280534" w14:textId="488E3766" w:rsidR="00497D0C" w:rsidRPr="002D2F40" w:rsidRDefault="00497D0C" w:rsidP="00926B42">
      <w:pPr>
        <w:pStyle w:val="a8"/>
        <w:bidi/>
        <w:spacing w:line="276" w:lineRule="auto"/>
        <w:ind w:firstLine="424"/>
        <w:jc w:val="both"/>
        <w:rPr>
          <w:rFonts w:ascii="Simplified Arabic" w:hAnsi="Simplified Arabic" w:cs="Simplified Arabic"/>
          <w:color w:val="000000" w:themeColor="text1"/>
          <w:sz w:val="28"/>
          <w:szCs w:val="28"/>
        </w:rPr>
      </w:pPr>
      <w:r w:rsidRPr="002D2F40">
        <w:rPr>
          <w:rFonts w:ascii="Simplified Arabic" w:hAnsi="Simplified Arabic" w:cs="Simplified Arabic"/>
          <w:color w:val="000000" w:themeColor="text1"/>
          <w:sz w:val="28"/>
          <w:szCs w:val="28"/>
          <w:rtl/>
        </w:rPr>
        <w:lastRenderedPageBreak/>
        <w:t xml:space="preserve">بيد أنّ الدراسة الحالية تختلف عن الدراسات السابقة في جوانب متعددة تُشكّل إسهامها العلمي المتفرّد، فمن حيث السياق المكاني تُعدّ من الدراسات النادرة التي تُطبَّق ميدانياً على الأحياء السكنية القديمة في مدينة الرياض تحديداً بخصوصيتها التنظيمية والاجتماعية والمناخية، في حين ركّزت معظم الدراسات الأجنبية على سياقات أوروبية كدراسة </w:t>
      </w:r>
      <w:proofErr w:type="spellStart"/>
      <w:r w:rsidRPr="002D2F40">
        <w:rPr>
          <w:rFonts w:ascii="Simplified Arabic" w:hAnsi="Simplified Arabic" w:cs="Simplified Arabic"/>
          <w:color w:val="000000" w:themeColor="text1"/>
          <w:sz w:val="28"/>
          <w:szCs w:val="28"/>
        </w:rPr>
        <w:t>Carra</w:t>
      </w:r>
      <w:proofErr w:type="spellEnd"/>
      <w:r w:rsidRPr="002D2F40">
        <w:rPr>
          <w:rFonts w:ascii="Simplified Arabic" w:hAnsi="Simplified Arabic" w:cs="Simplified Arabic"/>
          <w:color w:val="000000" w:themeColor="text1"/>
          <w:sz w:val="28"/>
          <w:szCs w:val="28"/>
        </w:rPr>
        <w:t xml:space="preserve"> et al. (2023) </w:t>
      </w:r>
      <w:r w:rsidRPr="002D2F40">
        <w:rPr>
          <w:rFonts w:ascii="Simplified Arabic" w:hAnsi="Simplified Arabic" w:cs="Simplified Arabic"/>
          <w:color w:val="000000" w:themeColor="text1"/>
          <w:sz w:val="28"/>
          <w:szCs w:val="28"/>
          <w:rtl/>
        </w:rPr>
        <w:t>في بارما الإيطالية ودراسة</w:t>
      </w:r>
      <w:r w:rsidRPr="002D2F40">
        <w:rPr>
          <w:rFonts w:ascii="Simplified Arabic" w:hAnsi="Simplified Arabic" w:cs="Simplified Arabic"/>
          <w:color w:val="000000" w:themeColor="text1"/>
          <w:sz w:val="28"/>
          <w:szCs w:val="28"/>
        </w:rPr>
        <w:t xml:space="preserve"> </w:t>
      </w:r>
      <w:proofErr w:type="spellStart"/>
      <w:r w:rsidRPr="002D2F40">
        <w:rPr>
          <w:rFonts w:ascii="Simplified Arabic" w:hAnsi="Simplified Arabic" w:cs="Simplified Arabic"/>
          <w:color w:val="000000" w:themeColor="text1"/>
          <w:sz w:val="28"/>
          <w:szCs w:val="28"/>
        </w:rPr>
        <w:t>Karanikolas</w:t>
      </w:r>
      <w:proofErr w:type="spellEnd"/>
      <w:r w:rsidRPr="002D2F40">
        <w:rPr>
          <w:rFonts w:ascii="Simplified Arabic" w:hAnsi="Simplified Arabic" w:cs="Simplified Arabic"/>
          <w:color w:val="000000" w:themeColor="text1"/>
          <w:sz w:val="28"/>
          <w:szCs w:val="28"/>
        </w:rPr>
        <w:t xml:space="preserve"> et al. (2024) </w:t>
      </w:r>
      <w:r w:rsidRPr="002D2F40">
        <w:rPr>
          <w:rFonts w:ascii="Simplified Arabic" w:hAnsi="Simplified Arabic" w:cs="Simplified Arabic"/>
          <w:color w:val="000000" w:themeColor="text1"/>
          <w:sz w:val="28"/>
          <w:szCs w:val="28"/>
          <w:rtl/>
        </w:rPr>
        <w:t>في سالونيك اليونانية، أو آسيوية كدراسة</w:t>
      </w:r>
      <w:r w:rsidRPr="002D2F40">
        <w:rPr>
          <w:rFonts w:ascii="Simplified Arabic" w:hAnsi="Simplified Arabic" w:cs="Simplified Arabic"/>
          <w:color w:val="000000" w:themeColor="text1"/>
          <w:sz w:val="28"/>
          <w:szCs w:val="28"/>
        </w:rPr>
        <w:t xml:space="preserve"> Wu et al. (2024) </w:t>
      </w:r>
      <w:r w:rsidRPr="002D2F40">
        <w:rPr>
          <w:rFonts w:ascii="Simplified Arabic" w:hAnsi="Simplified Arabic" w:cs="Simplified Arabic"/>
          <w:color w:val="000000" w:themeColor="text1"/>
          <w:sz w:val="28"/>
          <w:szCs w:val="28"/>
          <w:rtl/>
        </w:rPr>
        <w:t xml:space="preserve">في شنجن ودراسة </w:t>
      </w:r>
      <w:r w:rsidRPr="002D2F40">
        <w:rPr>
          <w:rFonts w:ascii="Simplified Arabic" w:hAnsi="Simplified Arabic" w:cs="Simplified Arabic"/>
          <w:color w:val="000000" w:themeColor="text1"/>
          <w:sz w:val="28"/>
          <w:szCs w:val="28"/>
        </w:rPr>
        <w:t xml:space="preserve">Zhao et al. (2024) </w:t>
      </w:r>
      <w:r w:rsidRPr="002D2F40">
        <w:rPr>
          <w:rFonts w:ascii="Simplified Arabic" w:hAnsi="Simplified Arabic" w:cs="Simplified Arabic"/>
          <w:color w:val="000000" w:themeColor="text1"/>
          <w:sz w:val="28"/>
          <w:szCs w:val="28"/>
          <w:rtl/>
        </w:rPr>
        <w:t>في ووشي الصينيتين، بينما اقتصرت الدراسات العربية على سياقات مصرية أو ليبية لا تتماثل شروطها مع البيئة السعودية. ومن حيث النموذج المفاهيمي، تنفرد الدراسة الحالية بالجمع بين المتغير المستقل بأبعاده الأربعة المتكاملة (التخطيط العمراني وإعادة التصميم، التأهيل الإنشائي والمعماري، تحسين البنية التحتية والخدمات، الشراكة بين القطاعين العام والخاص) والمتغير التابع المزدوج الذي يدمج العائد الاستثماري وجودة الحياة الحضرية في محور واحد، وهو نموذج لم تتبنّه أيّ من الدراسات المُستعرَضة التي تناولت كلّ متغير على حدة أو ركّزت على بُعد واحد من أبعاد التطوير دون غيره. كذلك تختلف الدراسة في مجتمعها المستهدف الذي يجمع بين ثلاث فئات متخصصة هي المهندسون والمطوّرون العقاريون ومختصو التخطيط الحضري، ممّا يوفّر رؤية ثلاثية الأبعاد أكثر شمولاً مقارنةً بالدراسات التي اقتصرت على فئة واحدة كالمطوّرين فقط في دراسة الزامل وزميله المنشورة عام 2024 أو السكان فقط في دراسات جودة الحياة</w:t>
      </w:r>
      <w:r w:rsidRPr="002D2F40">
        <w:rPr>
          <w:rFonts w:ascii="Simplified Arabic" w:hAnsi="Simplified Arabic" w:cs="Simplified Arabic"/>
          <w:color w:val="000000" w:themeColor="text1"/>
          <w:sz w:val="28"/>
          <w:szCs w:val="28"/>
        </w:rPr>
        <w:t>.</w:t>
      </w:r>
    </w:p>
    <w:p w14:paraId="38AB545F" w14:textId="55F1D116" w:rsidR="00926B42"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500654"/>
      <w:bookmarkStart w:id="16" w:name="_Toc169790502"/>
      <w:bookmarkEnd w:id="13"/>
      <w:r w:rsidRPr="002D2F40">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5"/>
    </w:p>
    <w:p w14:paraId="2F932A1B"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تنطلق الدراسة الحالية من حقل معرفي متعدد التخصصات يتقاطع فيه التخطيط العمراني مع الاقتصاد العقاري وعلوم الإدارة العامة، وتستند في بنائها المفاهيمي إلى عدد من النظريات والأُطر التي شكّلت الأساس العلمي لفهم ديناميكيات تجديد الأحياء السكنية القديمة ومخرجاتها الاقتصادية والاجتماعية. ويُعدّ مفهوم التجديد العمراني</w:t>
      </w:r>
      <w:r w:rsidRPr="002D2F40">
        <w:rPr>
          <w:rFonts w:ascii="Simplified Arabic" w:eastAsia="Times New Roman" w:hAnsi="Simplified Arabic" w:cs="Simplified Arabic"/>
          <w:color w:val="000000" w:themeColor="text1"/>
          <w:kern w:val="0"/>
          <w:sz w:val="28"/>
          <w:szCs w:val="28"/>
          <w14:ligatures w14:val="none"/>
        </w:rPr>
        <w:t xml:space="preserve"> (Urban Regeneration) </w:t>
      </w:r>
      <w:r w:rsidRPr="002D2F40">
        <w:rPr>
          <w:rFonts w:ascii="Simplified Arabic" w:eastAsia="Times New Roman" w:hAnsi="Simplified Arabic" w:cs="Simplified Arabic"/>
          <w:color w:val="000000" w:themeColor="text1"/>
          <w:kern w:val="0"/>
          <w:sz w:val="28"/>
          <w:szCs w:val="28"/>
          <w:rtl/>
          <w14:ligatures w14:val="none"/>
        </w:rPr>
        <w:t xml:space="preserve">المظلّة الكبرى التي تندرج تحتها هذه الدراسة، وقد عرّفه </w:t>
      </w:r>
      <w:r w:rsidRPr="002D2F40">
        <w:rPr>
          <w:rFonts w:ascii="Simplified Arabic" w:eastAsia="Times New Roman" w:hAnsi="Simplified Arabic" w:cs="Simplified Arabic"/>
          <w:color w:val="000000" w:themeColor="text1"/>
          <w:kern w:val="0"/>
          <w:sz w:val="28"/>
          <w:szCs w:val="28"/>
          <w14:ligatures w14:val="none"/>
        </w:rPr>
        <w:t xml:space="preserve">Roberts </w:t>
      </w:r>
      <w:r w:rsidRPr="002D2F40">
        <w:rPr>
          <w:rFonts w:ascii="Simplified Arabic" w:eastAsia="Times New Roman" w:hAnsi="Simplified Arabic" w:cs="Simplified Arabic"/>
          <w:color w:val="000000" w:themeColor="text1"/>
          <w:kern w:val="0"/>
          <w:sz w:val="28"/>
          <w:szCs w:val="28"/>
          <w:rtl/>
          <w14:ligatures w14:val="none"/>
        </w:rPr>
        <w:t>و</w:t>
      </w:r>
      <w:r w:rsidRPr="002D2F40">
        <w:rPr>
          <w:rFonts w:ascii="Simplified Arabic" w:eastAsia="Times New Roman" w:hAnsi="Simplified Arabic" w:cs="Simplified Arabic"/>
          <w:color w:val="000000" w:themeColor="text1"/>
          <w:kern w:val="0"/>
          <w:sz w:val="28"/>
          <w:szCs w:val="28"/>
          <w14:ligatures w14:val="none"/>
        </w:rPr>
        <w:t xml:space="preserve">Sykes </w:t>
      </w:r>
      <w:r w:rsidRPr="002D2F40">
        <w:rPr>
          <w:rFonts w:ascii="Simplified Arabic" w:eastAsia="Times New Roman" w:hAnsi="Simplified Arabic" w:cs="Simplified Arabic"/>
          <w:color w:val="000000" w:themeColor="text1"/>
          <w:kern w:val="0"/>
          <w:sz w:val="28"/>
          <w:szCs w:val="28"/>
          <w:rtl/>
          <w14:ligatures w14:val="none"/>
        </w:rPr>
        <w:t>بأنّه "رؤية وعمل شاملان ومتكاملان يقودان إلى حلّ المشكلات الحضرية ويسعيان إلى إحداث تحسين دائم في الأوضاع الاقتصادية والعمرانية والاجتماعية والبيئية لمنطقة خضعت للتغيير</w:t>
      </w:r>
      <w:r w:rsidRPr="002D2F40">
        <w:rPr>
          <w:rFonts w:ascii="Simplified Arabic" w:eastAsia="Times New Roman" w:hAnsi="Simplified Arabic" w:cs="Simplified Arabic"/>
          <w:color w:val="000000" w:themeColor="text1"/>
          <w:kern w:val="0"/>
          <w:sz w:val="28"/>
          <w:szCs w:val="28"/>
          <w14:ligatures w14:val="none"/>
        </w:rPr>
        <w:t xml:space="preserve">" (Roberts &amp; Sykes, 2000). </w:t>
      </w:r>
      <w:r w:rsidRPr="002D2F40">
        <w:rPr>
          <w:rFonts w:ascii="Simplified Arabic" w:eastAsia="Times New Roman" w:hAnsi="Simplified Arabic" w:cs="Simplified Arabic"/>
          <w:color w:val="000000" w:themeColor="text1"/>
          <w:kern w:val="0"/>
          <w:sz w:val="28"/>
          <w:szCs w:val="28"/>
          <w:rtl/>
          <w14:ligatures w14:val="none"/>
        </w:rPr>
        <w:t>ويتجاوز هذا المفهوم عمليات الهدم وإعادة البناء التقليدية ليشمل طيفاً واسعاً من التدخّلات التي تحافظ على النسيج القائم وتُعيد توظيفه بما يتوافق مع الاحتياجات المعاصرة</w:t>
      </w:r>
      <w:r w:rsidRPr="002D2F40">
        <w:rPr>
          <w:rFonts w:ascii="Simplified Arabic" w:eastAsia="Times New Roman" w:hAnsi="Simplified Arabic" w:cs="Simplified Arabic"/>
          <w:color w:val="000000" w:themeColor="text1"/>
          <w:kern w:val="0"/>
          <w:sz w:val="28"/>
          <w:szCs w:val="28"/>
          <w14:ligatures w14:val="none"/>
        </w:rPr>
        <w:t>.</w:t>
      </w:r>
    </w:p>
    <w:p w14:paraId="3BC32733" w14:textId="564D70A0"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وتستمدّ الدراسة إطارها التحليلي من نظريتين اقتصاديتين مركزيتين في تفسير حركة رأس المال داخل المدن. تتمثّل الأولى في نظرية فجوة الإيجار</w:t>
      </w:r>
      <w:r w:rsidRPr="002D2F40">
        <w:rPr>
          <w:rFonts w:ascii="Simplified Arabic" w:eastAsia="Times New Roman" w:hAnsi="Simplified Arabic" w:cs="Simplified Arabic"/>
          <w:color w:val="000000" w:themeColor="text1"/>
          <w:kern w:val="0"/>
          <w:sz w:val="28"/>
          <w:szCs w:val="28"/>
          <w14:ligatures w14:val="none"/>
        </w:rPr>
        <w:t xml:space="preserve"> (Rent Gap Theory) </w:t>
      </w:r>
      <w:r w:rsidRPr="002D2F40">
        <w:rPr>
          <w:rFonts w:ascii="Simplified Arabic" w:eastAsia="Times New Roman" w:hAnsi="Simplified Arabic" w:cs="Simplified Arabic"/>
          <w:color w:val="000000" w:themeColor="text1"/>
          <w:kern w:val="0"/>
          <w:sz w:val="28"/>
          <w:szCs w:val="28"/>
          <w:rtl/>
          <w14:ligatures w14:val="none"/>
        </w:rPr>
        <w:t>التي طوّرها</w:t>
      </w:r>
      <w:r w:rsidRPr="002D2F40">
        <w:rPr>
          <w:rFonts w:ascii="Simplified Arabic" w:eastAsia="Times New Roman" w:hAnsi="Simplified Arabic" w:cs="Simplified Arabic"/>
          <w:color w:val="000000" w:themeColor="text1"/>
          <w:kern w:val="0"/>
          <w:sz w:val="28"/>
          <w:szCs w:val="28"/>
          <w14:ligatures w14:val="none"/>
        </w:rPr>
        <w:t xml:space="preserve"> Neil Smith </w:t>
      </w:r>
      <w:r w:rsidRPr="002D2F40">
        <w:rPr>
          <w:rFonts w:ascii="Simplified Arabic" w:eastAsia="Times New Roman" w:hAnsi="Simplified Arabic" w:cs="Simplified Arabic"/>
          <w:color w:val="000000" w:themeColor="text1"/>
          <w:kern w:val="0"/>
          <w:sz w:val="28"/>
          <w:szCs w:val="28"/>
          <w:rtl/>
          <w14:ligatures w14:val="none"/>
        </w:rPr>
        <w:t xml:space="preserve">عام 1979، والتي تُفسّر التجديد العمراني بالفجوة القائمة بين العائد الإيجاري الفعلي الذي يُدرّه العقار في وضعه الراهن المتدهور والعائد الإيجاري المحتمل الذي يمكن تحقيقه لو أُعيد تطوير الموقع وفقاً لأفضل استخدام. فحين تتّسع هذه الفجوة بدرجة كافية يُصبح التدخّل التطويري مُجزياً اقتصادياً للمستثمرين، وهو ما ينطبق بوضوح على الأحياء الداخلية في الرياض التي تمتلك موقعاً مركزياً استراتيجياً بينما تظلّ قيمها العقارية أدنى من إمكاناتها الحقيقية بسبب تقادم مبانيها. أمّا النظرية الثانية فهي نظرية الترشيح </w:t>
      </w:r>
      <w:r w:rsidRPr="002D2F40">
        <w:rPr>
          <w:rFonts w:ascii="Simplified Arabic" w:eastAsia="Times New Roman" w:hAnsi="Simplified Arabic" w:cs="Simplified Arabic"/>
          <w:color w:val="000000" w:themeColor="text1"/>
          <w:kern w:val="0"/>
          <w:sz w:val="28"/>
          <w:szCs w:val="28"/>
          <w14:ligatures w14:val="none"/>
        </w:rPr>
        <w:t xml:space="preserve">(Filtering Theory) </w:t>
      </w:r>
      <w:r w:rsidRPr="002D2F40">
        <w:rPr>
          <w:rFonts w:ascii="Simplified Arabic" w:eastAsia="Times New Roman" w:hAnsi="Simplified Arabic" w:cs="Simplified Arabic"/>
          <w:color w:val="000000" w:themeColor="text1"/>
          <w:kern w:val="0"/>
          <w:sz w:val="28"/>
          <w:szCs w:val="28"/>
          <w:rtl/>
          <w14:ligatures w14:val="none"/>
        </w:rPr>
        <w:t>التي تصف العملية التي تنتقل فيها المساكن تدريجياً من شرائح الدخل الأعلى إلى الأدنى مع تقادمها، ممّا يؤدي إلى تراجع مستوى الصيانة وانخفاض القيم السوقية، وهو نمط واضح في أحياء الرياض القديمة حيث هاجر السكان الأصليون نحو ضواحٍ أحدث تاركين مساكنهم لشرائح ذات قدرة إنفاقية أقل</w:t>
      </w:r>
      <w:r w:rsidRPr="002D2F40">
        <w:rPr>
          <w:rFonts w:ascii="Simplified Arabic" w:eastAsia="Times New Roman" w:hAnsi="Simplified Arabic" w:cs="Simplified Arabic"/>
          <w:color w:val="000000" w:themeColor="text1"/>
          <w:kern w:val="0"/>
          <w:sz w:val="28"/>
          <w:szCs w:val="28"/>
          <w14:ligatures w14:val="none"/>
        </w:rPr>
        <w:t>.</w:t>
      </w:r>
    </w:p>
    <w:p w14:paraId="48C39DC1"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وإلى جانب هذا الأساس النظري، تتبنّى الدراسة مقاربة أصحاب المصلحة المتعددين</w:t>
      </w:r>
      <w:r w:rsidRPr="002D2F40">
        <w:rPr>
          <w:rFonts w:ascii="Simplified Arabic" w:eastAsia="Times New Roman" w:hAnsi="Simplified Arabic" w:cs="Simplified Arabic"/>
          <w:color w:val="000000" w:themeColor="text1"/>
          <w:kern w:val="0"/>
          <w:sz w:val="28"/>
          <w:szCs w:val="28"/>
          <w14:ligatures w14:val="none"/>
        </w:rPr>
        <w:t xml:space="preserve"> (Multi-Stakeholder Approach) </w:t>
      </w:r>
      <w:r w:rsidRPr="002D2F40">
        <w:rPr>
          <w:rFonts w:ascii="Simplified Arabic" w:eastAsia="Times New Roman" w:hAnsi="Simplified Arabic" w:cs="Simplified Arabic"/>
          <w:color w:val="000000" w:themeColor="text1"/>
          <w:kern w:val="0"/>
          <w:sz w:val="28"/>
          <w:szCs w:val="28"/>
          <w:rtl/>
          <w14:ligatures w14:val="none"/>
        </w:rPr>
        <w:t>في تحليل بُعد الشراكة بين القطاعين العام والخاص، انطلاقاً من أنّ التجديد العمراني الناجح يستلزم تضافر جهود الحكومة والمطوّرين والمجتمع المحلي ضمن أُطر تنظيمية وتحفيزية تُوازن بين الربحية والمصلحة العامة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Amirtahmasebi</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2016). </w:t>
      </w:r>
      <w:r w:rsidRPr="002D2F40">
        <w:rPr>
          <w:rFonts w:ascii="Simplified Arabic" w:eastAsia="Times New Roman" w:hAnsi="Simplified Arabic" w:cs="Simplified Arabic"/>
          <w:color w:val="000000" w:themeColor="text1"/>
          <w:kern w:val="0"/>
          <w:sz w:val="28"/>
          <w:szCs w:val="28"/>
          <w:rtl/>
          <w14:ligatures w14:val="none"/>
        </w:rPr>
        <w:t>كما تستند في تحليل المتغير التابع إلى مفهوم جودة الحياة الحضرية</w:t>
      </w:r>
      <w:r w:rsidRPr="002D2F40">
        <w:rPr>
          <w:rFonts w:ascii="Simplified Arabic" w:eastAsia="Times New Roman" w:hAnsi="Simplified Arabic" w:cs="Simplified Arabic"/>
          <w:color w:val="000000" w:themeColor="text1"/>
          <w:kern w:val="0"/>
          <w:sz w:val="28"/>
          <w:szCs w:val="28"/>
          <w14:ligatures w14:val="none"/>
        </w:rPr>
        <w:t xml:space="preserve"> (Urban Quality of Life) </w:t>
      </w:r>
      <w:r w:rsidRPr="002D2F40">
        <w:rPr>
          <w:rFonts w:ascii="Simplified Arabic" w:eastAsia="Times New Roman" w:hAnsi="Simplified Arabic" w:cs="Simplified Arabic"/>
          <w:color w:val="000000" w:themeColor="text1"/>
          <w:kern w:val="0"/>
          <w:sz w:val="28"/>
          <w:szCs w:val="28"/>
          <w:rtl/>
          <w14:ligatures w14:val="none"/>
        </w:rPr>
        <w:t>بوصفه مفهوماً متعدد الأبعاد يجمع بين المؤشرات الموضوعية كتوافر الخدمات والبنية التحتية والمساحات الخضراء، والمؤشرات الذاتية كرضا السكان وإحساسهم بالانتماء والأمان</w:t>
      </w:r>
      <w:r w:rsidRPr="002D2F40">
        <w:rPr>
          <w:rFonts w:ascii="Simplified Arabic" w:eastAsia="Times New Roman" w:hAnsi="Simplified Arabic" w:cs="Simplified Arabic"/>
          <w:color w:val="000000" w:themeColor="text1"/>
          <w:kern w:val="0"/>
          <w:sz w:val="28"/>
          <w:szCs w:val="28"/>
          <w14:ligatures w14:val="none"/>
        </w:rPr>
        <w:t xml:space="preserve"> (Carbonara et al., 2021).</w:t>
      </w:r>
    </w:p>
    <w:p w14:paraId="1387C0DE" w14:textId="07AEF33B" w:rsidR="00497D0C"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7" w:name="_Toc233500655"/>
      <w:r w:rsidRPr="002D2F40">
        <w:rPr>
          <w:rFonts w:ascii="Simplified Arabic" w:eastAsia="Times New Roman" w:hAnsi="Simplified Arabic" w:cs="Simplified Arabic" w:hint="cs"/>
          <w:b/>
          <w:bCs/>
          <w:color w:val="000000" w:themeColor="text1"/>
          <w:kern w:val="0"/>
          <w:sz w:val="36"/>
          <w:szCs w:val="36"/>
          <w:rtl/>
          <w14:ligatures w14:val="none"/>
        </w:rPr>
        <w:t xml:space="preserve">10.1 </w:t>
      </w:r>
      <w:r w:rsidR="00497D0C" w:rsidRPr="002D2F40">
        <w:rPr>
          <w:rFonts w:ascii="Simplified Arabic" w:eastAsia="Times New Roman" w:hAnsi="Simplified Arabic" w:cs="Simplified Arabic"/>
          <w:b/>
          <w:bCs/>
          <w:color w:val="000000" w:themeColor="text1"/>
          <w:kern w:val="0"/>
          <w:sz w:val="36"/>
          <w:szCs w:val="36"/>
          <w:rtl/>
          <w14:ligatures w14:val="none"/>
        </w:rPr>
        <w:t>مصطلحات الدراسة</w:t>
      </w:r>
      <w:bookmarkEnd w:id="17"/>
    </w:p>
    <w:p w14:paraId="59FED0A0"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إعادة تطوير المنازل السكنية القديمة</w:t>
      </w:r>
      <w:r w:rsidRPr="002D2F40">
        <w:rPr>
          <w:rFonts w:ascii="Simplified Arabic" w:eastAsia="Times New Roman" w:hAnsi="Simplified Arabic" w:cs="Simplified Arabic"/>
          <w:color w:val="000000" w:themeColor="text1"/>
          <w:kern w:val="0"/>
          <w:sz w:val="28"/>
          <w:szCs w:val="28"/>
          <w14:ligatures w14:val="none"/>
        </w:rPr>
        <w:t xml:space="preserve"> (Old Residential Housing Redevelopment): </w:t>
      </w:r>
      <w:r w:rsidRPr="002D2F40">
        <w:rPr>
          <w:rFonts w:ascii="Simplified Arabic" w:eastAsia="Times New Roman" w:hAnsi="Simplified Arabic" w:cs="Simplified Arabic"/>
          <w:color w:val="000000" w:themeColor="text1"/>
          <w:kern w:val="0"/>
          <w:sz w:val="28"/>
          <w:szCs w:val="28"/>
          <w:rtl/>
          <w14:ligatures w14:val="none"/>
        </w:rPr>
        <w:t>يُقصد بها في هذه الدراسة مجموعة التدخّلات المخطّطة والمنظّمة التي تستهدف تحسين الوضع العمراني والإنشائي والخدمي للمباني السكنية التي مضى على إنشائها أكثر من ثلاثين عاماً في الأحياء الداخلية بمدينة الرياض، وذلك من خلال أربعة أبعاد متكاملة هي التخطيط العمراني وإعادة التصميم، والتأهيل الإنشائي والمعماري، وتحسين البنية التحتية والخدمات، والشراكة بين القطاعين العام والخاص، بهدف إعادة الحيوية الاقتصادية والاجتماعية لهذه المناطق مع الحفاظ على هويتها العمرانية</w:t>
      </w:r>
      <w:r w:rsidRPr="002D2F40">
        <w:rPr>
          <w:rFonts w:ascii="Simplified Arabic" w:eastAsia="Times New Roman" w:hAnsi="Simplified Arabic" w:cs="Simplified Arabic"/>
          <w:color w:val="000000" w:themeColor="text1"/>
          <w:kern w:val="0"/>
          <w:sz w:val="28"/>
          <w:szCs w:val="28"/>
          <w14:ligatures w14:val="none"/>
        </w:rPr>
        <w:t xml:space="preserve"> (Van Nguyen et al., 2024).</w:t>
      </w:r>
    </w:p>
    <w:p w14:paraId="1F966B02"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التخطيط العمراني وإعادة التصميم</w:t>
      </w:r>
      <w:r w:rsidRPr="002D2F40">
        <w:rPr>
          <w:rFonts w:ascii="Simplified Arabic" w:eastAsia="Times New Roman" w:hAnsi="Simplified Arabic" w:cs="Simplified Arabic"/>
          <w:color w:val="000000" w:themeColor="text1"/>
          <w:kern w:val="0"/>
          <w:sz w:val="28"/>
          <w:szCs w:val="28"/>
          <w14:ligatures w14:val="none"/>
        </w:rPr>
        <w:t xml:space="preserve"> (Urban Planning and Redesign): </w:t>
      </w:r>
      <w:r w:rsidRPr="002D2F40">
        <w:rPr>
          <w:rFonts w:ascii="Simplified Arabic" w:eastAsia="Times New Roman" w:hAnsi="Simplified Arabic" w:cs="Simplified Arabic"/>
          <w:color w:val="000000" w:themeColor="text1"/>
          <w:kern w:val="0"/>
          <w:sz w:val="28"/>
          <w:szCs w:val="28"/>
          <w:rtl/>
          <w14:ligatures w14:val="none"/>
        </w:rPr>
        <w:t>يُشير إلى عملية إعادة صياغة المخططات التنظيمية وأنظمة استعمالات الأراضي والارتفاعات ومعاملات البناء في الأحياء القديمة، بما يشمل تحديث شبكة الشوارع وتوزيع الفراغات العامة والمساحات الخضراء، وإعادة تنظيم الكتل السكنية لتحقيق كثافة عمرانية مناسبة تُوازن بين كفاءة استغلال الأرض وجودة البيئة الحضرية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Carra</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2023).</w:t>
      </w:r>
    </w:p>
    <w:p w14:paraId="6894003E"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التأهيل الإنشائي والمعماري</w:t>
      </w:r>
      <w:r w:rsidRPr="002D2F40">
        <w:rPr>
          <w:rFonts w:ascii="Simplified Arabic" w:eastAsia="Times New Roman" w:hAnsi="Simplified Arabic" w:cs="Simplified Arabic"/>
          <w:color w:val="000000" w:themeColor="text1"/>
          <w:kern w:val="0"/>
          <w:sz w:val="28"/>
          <w:szCs w:val="28"/>
          <w14:ligatures w14:val="none"/>
        </w:rPr>
        <w:t xml:space="preserve"> (Structural and Architectural Rehabilitation): </w:t>
      </w:r>
      <w:r w:rsidRPr="002D2F40">
        <w:rPr>
          <w:rFonts w:ascii="Simplified Arabic" w:eastAsia="Times New Roman" w:hAnsi="Simplified Arabic" w:cs="Simplified Arabic"/>
          <w:color w:val="000000" w:themeColor="text1"/>
          <w:kern w:val="0"/>
          <w:sz w:val="28"/>
          <w:szCs w:val="28"/>
          <w:rtl/>
          <w14:ligatures w14:val="none"/>
        </w:rPr>
        <w:t>يُقصد به مجموعة الأعمال الهندسية التي تهدف إلى تقوية الهياكل الإنشائية للمباني القائمة ومعالجة عيوبها، وتحديث واجهاتها المعمارية وتحسين كفاءتها في استهلاك الطاقة والعزل الحراري، مع مراعاة الحفاظ على العناصر ذات القيمة التراثية والهوية المعمارية المحلية، بما يُطيل العمر الافتراضي للمبنى ويرفع قيمته السوقية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Martos</w:t>
      </w:r>
      <w:proofErr w:type="spellEnd"/>
      <w:r w:rsidRPr="002D2F40">
        <w:rPr>
          <w:rFonts w:ascii="Simplified Arabic" w:eastAsia="Times New Roman" w:hAnsi="Simplified Arabic" w:cs="Simplified Arabic"/>
          <w:color w:val="000000" w:themeColor="text1"/>
          <w:kern w:val="0"/>
          <w:sz w:val="28"/>
          <w:szCs w:val="28"/>
          <w14:ligatures w14:val="none"/>
        </w:rPr>
        <w:t xml:space="preserve"> &amp; </w:t>
      </w:r>
      <w:proofErr w:type="spellStart"/>
      <w:r w:rsidRPr="002D2F40">
        <w:rPr>
          <w:rFonts w:ascii="Simplified Arabic" w:eastAsia="Times New Roman" w:hAnsi="Simplified Arabic" w:cs="Simplified Arabic"/>
          <w:color w:val="000000" w:themeColor="text1"/>
          <w:kern w:val="0"/>
          <w:sz w:val="28"/>
          <w:szCs w:val="28"/>
          <w14:ligatures w14:val="none"/>
        </w:rPr>
        <w:t>Vit</w:t>
      </w:r>
      <w:r w:rsidRPr="002D2F40">
        <w:rPr>
          <w:rFonts w:ascii="Cambria" w:eastAsia="Times New Roman" w:hAnsi="Cambria" w:cs="Cambria"/>
          <w:color w:val="000000" w:themeColor="text1"/>
          <w:kern w:val="0"/>
          <w:sz w:val="28"/>
          <w:szCs w:val="28"/>
          <w14:ligatures w14:val="none"/>
        </w:rPr>
        <w:t>á</w:t>
      </w:r>
      <w:r w:rsidRPr="002D2F40">
        <w:rPr>
          <w:rFonts w:ascii="Simplified Arabic" w:eastAsia="Times New Roman" w:hAnsi="Simplified Arabic" w:cs="Simplified Arabic"/>
          <w:color w:val="000000" w:themeColor="text1"/>
          <w:kern w:val="0"/>
          <w:sz w:val="28"/>
          <w:szCs w:val="28"/>
          <w14:ligatures w14:val="none"/>
        </w:rPr>
        <w:t>sek</w:t>
      </w:r>
      <w:proofErr w:type="spellEnd"/>
      <w:r w:rsidRPr="002D2F40">
        <w:rPr>
          <w:rFonts w:ascii="Simplified Arabic" w:eastAsia="Times New Roman" w:hAnsi="Simplified Arabic" w:cs="Simplified Arabic"/>
          <w:color w:val="000000" w:themeColor="text1"/>
          <w:kern w:val="0"/>
          <w:sz w:val="28"/>
          <w:szCs w:val="28"/>
          <w14:ligatures w14:val="none"/>
        </w:rPr>
        <w:t>, 2024).</w:t>
      </w:r>
    </w:p>
    <w:p w14:paraId="10DA4688"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تحسين البنية التحتية والخدمات</w:t>
      </w:r>
      <w:r w:rsidRPr="002D2F40">
        <w:rPr>
          <w:rFonts w:ascii="Simplified Arabic" w:eastAsia="Times New Roman" w:hAnsi="Simplified Arabic" w:cs="Simplified Arabic"/>
          <w:color w:val="000000" w:themeColor="text1"/>
          <w:kern w:val="0"/>
          <w:sz w:val="28"/>
          <w:szCs w:val="28"/>
          <w14:ligatures w14:val="none"/>
        </w:rPr>
        <w:t xml:space="preserve"> (Infrastructure and Services Improvement): </w:t>
      </w:r>
      <w:r w:rsidRPr="002D2F40">
        <w:rPr>
          <w:rFonts w:ascii="Simplified Arabic" w:eastAsia="Times New Roman" w:hAnsi="Simplified Arabic" w:cs="Simplified Arabic"/>
          <w:color w:val="000000" w:themeColor="text1"/>
          <w:kern w:val="0"/>
          <w:sz w:val="28"/>
          <w:szCs w:val="28"/>
          <w:rtl/>
          <w14:ligatures w14:val="none"/>
        </w:rPr>
        <w:t>يُعرَّف بأنّه تطوير وتحديث الشبكات الأساسية في الأحياء القديمة بما يشمل شبكات المياه والصرف الصحي والكهرباء والاتصالات والطرق، إضافةً إلى رفع مستوى الخدمات العامة كالنقل والمرافق الصحية والتعليمية والترفيهية وتوفير مواقف السيارات والممرات المشاة، بما يجعل هذه المناطق قادرة على استيعاب كثافات سكانية أعلى وتلبية معايير الحياة الحضرية المعاصرة</w:t>
      </w:r>
      <w:r w:rsidRPr="002D2F40">
        <w:rPr>
          <w:rFonts w:ascii="Simplified Arabic" w:eastAsia="Times New Roman" w:hAnsi="Simplified Arabic" w:cs="Simplified Arabic"/>
          <w:color w:val="000000" w:themeColor="text1"/>
          <w:kern w:val="0"/>
          <w:sz w:val="28"/>
          <w:szCs w:val="28"/>
          <w14:ligatures w14:val="none"/>
        </w:rPr>
        <w:t xml:space="preserve"> (Chen et al., 2022).</w:t>
      </w:r>
    </w:p>
    <w:p w14:paraId="20D09A7D"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الشراكة بين القطاعين العام والخاص</w:t>
      </w:r>
      <w:r w:rsidRPr="002D2F40">
        <w:rPr>
          <w:rFonts w:ascii="Simplified Arabic" w:eastAsia="Times New Roman" w:hAnsi="Simplified Arabic" w:cs="Simplified Arabic"/>
          <w:color w:val="000000" w:themeColor="text1"/>
          <w:kern w:val="0"/>
          <w:sz w:val="28"/>
          <w:szCs w:val="28"/>
          <w14:ligatures w14:val="none"/>
        </w:rPr>
        <w:t xml:space="preserve"> (Public-Private Partnership): </w:t>
      </w:r>
      <w:r w:rsidRPr="002D2F40">
        <w:rPr>
          <w:rFonts w:ascii="Simplified Arabic" w:eastAsia="Times New Roman" w:hAnsi="Simplified Arabic" w:cs="Simplified Arabic"/>
          <w:color w:val="000000" w:themeColor="text1"/>
          <w:kern w:val="0"/>
          <w:sz w:val="28"/>
          <w:szCs w:val="28"/>
          <w:rtl/>
          <w14:ligatures w14:val="none"/>
        </w:rPr>
        <w:t>تُعرَّف بأنّها الترتيبات التعاقدية والتنظيمية التي يتقاسم بموجبها القطاعان العام والخاص المسؤوليات والمخاطر والعوائد في مشاريع إعادة تطوير الأحياء السكنية القديمة، وتشمل آليات التحفيز الحكومي كالإعفاءات والتسهيلات التمويلية وتسريع التراخيص مقابل التزام المطوّرين بتحقيق منافع مجتمعية كالإسكان الميسّر والخدمات العامة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Cordeiro</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w:t>
      </w:r>
    </w:p>
    <w:p w14:paraId="7DC36108"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تعظيم العائد الاستثماري</w:t>
      </w:r>
      <w:r w:rsidRPr="002D2F40">
        <w:rPr>
          <w:rFonts w:ascii="Simplified Arabic" w:eastAsia="Times New Roman" w:hAnsi="Simplified Arabic" w:cs="Simplified Arabic"/>
          <w:color w:val="000000" w:themeColor="text1"/>
          <w:kern w:val="0"/>
          <w:sz w:val="28"/>
          <w:szCs w:val="28"/>
          <w14:ligatures w14:val="none"/>
        </w:rPr>
        <w:t xml:space="preserve"> (Maximizing Investment Return): </w:t>
      </w:r>
      <w:r w:rsidRPr="002D2F40">
        <w:rPr>
          <w:rFonts w:ascii="Simplified Arabic" w:eastAsia="Times New Roman" w:hAnsi="Simplified Arabic" w:cs="Simplified Arabic"/>
          <w:color w:val="000000" w:themeColor="text1"/>
          <w:kern w:val="0"/>
          <w:sz w:val="28"/>
          <w:szCs w:val="28"/>
          <w:rtl/>
          <w14:ligatures w14:val="none"/>
        </w:rPr>
        <w:t xml:space="preserve">يُقصد به في سياق هذه الدراسة تحقيق أعلى منفعة اقتصادية ممكنة من مشاريع إعادة تطوير المنازل القديمة، ويُقاس من خلال مؤشرات تشمل الارتفاع في القيم السوقية والإيجارية للعقارات المُطوَّرة، ومعدل العائد على الاستثمار، وحجم الأنشطة </w:t>
      </w:r>
      <w:r w:rsidRPr="002D2F40">
        <w:rPr>
          <w:rFonts w:ascii="Simplified Arabic" w:eastAsia="Times New Roman" w:hAnsi="Simplified Arabic" w:cs="Simplified Arabic"/>
          <w:color w:val="000000" w:themeColor="text1"/>
          <w:kern w:val="0"/>
          <w:sz w:val="28"/>
          <w:szCs w:val="28"/>
          <w:rtl/>
          <w14:ligatures w14:val="none"/>
        </w:rPr>
        <w:lastRenderedPageBreak/>
        <w:t>التجارية المُستقطبة، وفرص العمل المُولَّدة، ومعدلات الإشغال في الوحدات السكنية والتجارية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Karanikolas</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w:t>
      </w:r>
    </w:p>
    <w:p w14:paraId="4B6E75E1"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جودة الحياة الحضرية</w:t>
      </w:r>
      <w:r w:rsidRPr="002D2F40">
        <w:rPr>
          <w:rFonts w:ascii="Simplified Arabic" w:eastAsia="Times New Roman" w:hAnsi="Simplified Arabic" w:cs="Simplified Arabic"/>
          <w:color w:val="000000" w:themeColor="text1"/>
          <w:kern w:val="0"/>
          <w:sz w:val="28"/>
          <w:szCs w:val="28"/>
          <w14:ligatures w14:val="none"/>
        </w:rPr>
        <w:t xml:space="preserve"> (Urban Quality of Life): </w:t>
      </w:r>
      <w:r w:rsidRPr="002D2F40">
        <w:rPr>
          <w:rFonts w:ascii="Simplified Arabic" w:eastAsia="Times New Roman" w:hAnsi="Simplified Arabic" w:cs="Simplified Arabic"/>
          <w:color w:val="000000" w:themeColor="text1"/>
          <w:kern w:val="0"/>
          <w:sz w:val="28"/>
          <w:szCs w:val="28"/>
          <w:rtl/>
          <w14:ligatures w14:val="none"/>
        </w:rPr>
        <w:t>تُعرَّف بأنّها مستوى الرفاهية والرضا الذي يُحقّقه السكان نتيجة تفاعلهم مع بيئتهم العمرانية المباشرة، ويشمل ذلك جودة المسكن والفراغات العامة والمساحات الخضراء، ومستوى الخدمات والبنية التحتية، ودرجة الأمان والنظافة البيئية، وسهولة التنقّل والوصول إلى مرافق العمل والتعليم والصحة والترفيه، فضلاً عن الإحساس بالانتماء المكاني والهوية المجتمعية</w:t>
      </w:r>
      <w:r w:rsidRPr="002D2F40">
        <w:rPr>
          <w:rFonts w:ascii="Simplified Arabic" w:eastAsia="Times New Roman" w:hAnsi="Simplified Arabic" w:cs="Simplified Arabic"/>
          <w:color w:val="000000" w:themeColor="text1"/>
          <w:kern w:val="0"/>
          <w:sz w:val="28"/>
          <w:szCs w:val="28"/>
          <w14:ligatures w14:val="none"/>
        </w:rPr>
        <w:t xml:space="preserve"> (Zhao et al., 2024).</w:t>
      </w:r>
    </w:p>
    <w:p w14:paraId="67AD09E2"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الأحياء السكنية القديمة</w:t>
      </w:r>
      <w:r w:rsidRPr="002D2F40">
        <w:rPr>
          <w:rFonts w:ascii="Simplified Arabic" w:eastAsia="Times New Roman" w:hAnsi="Simplified Arabic" w:cs="Simplified Arabic"/>
          <w:color w:val="000000" w:themeColor="text1"/>
          <w:kern w:val="0"/>
          <w:sz w:val="28"/>
          <w:szCs w:val="28"/>
          <w14:ligatures w14:val="none"/>
        </w:rPr>
        <w:t xml:space="preserve"> (Old Residential Neighborhoods): </w:t>
      </w:r>
      <w:r w:rsidRPr="002D2F40">
        <w:rPr>
          <w:rFonts w:ascii="Simplified Arabic" w:eastAsia="Times New Roman" w:hAnsi="Simplified Arabic" w:cs="Simplified Arabic"/>
          <w:color w:val="000000" w:themeColor="text1"/>
          <w:kern w:val="0"/>
          <w:sz w:val="28"/>
          <w:szCs w:val="28"/>
          <w:rtl/>
          <w14:ligatures w14:val="none"/>
        </w:rPr>
        <w:t>يُقصد بها في هذه الدراسة المناطق السكنية الواقعة في النطاق الداخلي لمدينة الرياض والتي أُنشئت غالبيتها قبل ثلاثة عقود أو أكثر، وتتّسم بتقادم مبانيها وضيق شوارعها وانخفاض كثافتها السكانية وتراجع جاذبيتها الاستثمارية رغم تمتّعها بموقع مركزي وبنية خدمية قائمة، وتشمل أحياءً مثل الشميسي وسلام ومنفوحة وأم سليم وعتيقة (السليم والزامل، 2021)</w:t>
      </w:r>
      <w:r w:rsidRPr="002D2F40">
        <w:rPr>
          <w:rFonts w:ascii="Simplified Arabic" w:eastAsia="Times New Roman" w:hAnsi="Simplified Arabic" w:cs="Simplified Arabic"/>
          <w:color w:val="000000" w:themeColor="text1"/>
          <w:kern w:val="0"/>
          <w:sz w:val="28"/>
          <w:szCs w:val="28"/>
          <w14:ligatures w14:val="none"/>
        </w:rPr>
        <w:t>.</w:t>
      </w:r>
    </w:p>
    <w:p w14:paraId="70458194" w14:textId="411D920F" w:rsidR="00926B42"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8" w:name="_Toc233500656"/>
      <w:bookmarkStart w:id="19" w:name="_Toc169790506"/>
      <w:bookmarkStart w:id="20" w:name="_Toc223210632"/>
      <w:bookmarkEnd w:id="16"/>
      <w:r w:rsidRPr="002D2F40">
        <w:rPr>
          <w:rFonts w:ascii="Simplified Arabic" w:eastAsia="Times New Roman" w:hAnsi="Simplified Arabic" w:cs="Simplified Arabic"/>
          <w:b/>
          <w:bCs/>
          <w:color w:val="000000" w:themeColor="text1"/>
          <w:kern w:val="0"/>
          <w:sz w:val="36"/>
          <w:szCs w:val="36"/>
          <w:rtl/>
          <w14:ligatures w14:val="none"/>
        </w:rPr>
        <w:t>11.1 المنهجية وطرق البحث:</w:t>
      </w:r>
      <w:bookmarkEnd w:id="18"/>
    </w:p>
    <w:p w14:paraId="128408D6"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ستتبنّى الدراسة الحالية المنهج الوصفي التحليلي باعتباره الأنسب لطبيعة الموضوع وأهدافه، إذ يُمكّن هذا المنهج من وصف ظاهرة إعادة تطوير المنازل السكنية القديمة في مدينة الرياض كما هي في الواقع، وتحليل العلاقات والأثر بين المتغير المستقل بأبعاده الأربعة والمتغير التابع، والوصول إلى استنتاجات قائمة على بيانات كمّية قابلة للتعميم. وسيُستخدم أسلوب المسح الميداني بالاستبانة بوصفه الأداة الرئيسية لجمع البيانات الأولية من أفراد عيّنة الدراسة</w:t>
      </w:r>
      <w:r w:rsidRPr="002D2F40">
        <w:rPr>
          <w:rFonts w:ascii="Simplified Arabic" w:eastAsia="Times New Roman" w:hAnsi="Simplified Arabic" w:cs="Simplified Arabic"/>
          <w:color w:val="000000" w:themeColor="text1"/>
          <w:kern w:val="0"/>
          <w:sz w:val="28"/>
          <w:szCs w:val="28"/>
          <w14:ligatures w14:val="none"/>
        </w:rPr>
        <w:t>.</w:t>
      </w:r>
    </w:p>
    <w:p w14:paraId="1BCA07C7" w14:textId="1088094F"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وسيجمع المنهج المُتّبع بين الشقّين النظري والتطبيقي؛ ففي الشقّ النظري ستُراجع الأدبيات والدراسات السابقة العربية والأجنبية المنشورة في الفترة من 2020 إلى 2025 لبناء الإطار المفاهيمي وتحديد الأبعاد والمؤشرات، أمّا في الشقّ التطبيقي فسيُجرى مسح ميداني على عيّنة من المتخصصين وأصحاب العلاقة في مدينة الرياض، وستُحلَّل البيانات باستخدام الأساليب الإحصائية الوصفية والاستدلالية للإجابة عن أسئلة الدراسة واختبار فروضها عند مستوى دلالة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Cambria" w:eastAsia="Times New Roman" w:hAnsi="Cambria" w:cs="Cambria"/>
          <w:color w:val="000000" w:themeColor="text1"/>
          <w:kern w:val="0"/>
          <w:sz w:val="28"/>
          <w:szCs w:val="28"/>
          <w14:ligatures w14:val="none"/>
        </w:rPr>
        <w:t>α</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Times New Roman" w:eastAsia="Times New Roman" w:hAnsi="Times New Roman" w:cs="Times New Roman"/>
          <w:color w:val="000000" w:themeColor="text1"/>
          <w:kern w:val="0"/>
          <w:sz w:val="28"/>
          <w:szCs w:val="28"/>
          <w14:ligatures w14:val="none"/>
        </w:rPr>
        <w:t>≤</w:t>
      </w:r>
      <w:r w:rsidRPr="002D2F40">
        <w:rPr>
          <w:rFonts w:ascii="Simplified Arabic" w:eastAsia="Times New Roman" w:hAnsi="Simplified Arabic" w:cs="Simplified Arabic"/>
          <w:color w:val="000000" w:themeColor="text1"/>
          <w:kern w:val="0"/>
          <w:sz w:val="28"/>
          <w:szCs w:val="28"/>
          <w14:ligatures w14:val="none"/>
        </w:rPr>
        <w:t xml:space="preserve"> 0.05).</w:t>
      </w:r>
    </w:p>
    <w:p w14:paraId="30990FDF" w14:textId="55CD8838" w:rsidR="00497D0C"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1" w:name="_Toc233500657"/>
      <w:r w:rsidRPr="002D2F40">
        <w:rPr>
          <w:rFonts w:ascii="Simplified Arabic" w:eastAsia="Times New Roman" w:hAnsi="Simplified Arabic" w:cs="Simplified Arabic" w:hint="cs"/>
          <w:b/>
          <w:bCs/>
          <w:color w:val="000000" w:themeColor="text1"/>
          <w:kern w:val="0"/>
          <w:sz w:val="36"/>
          <w:szCs w:val="36"/>
          <w:rtl/>
          <w14:ligatures w14:val="none"/>
        </w:rPr>
        <w:lastRenderedPageBreak/>
        <w:t xml:space="preserve">12.1 </w:t>
      </w:r>
      <w:r w:rsidR="00497D0C" w:rsidRPr="002D2F40">
        <w:rPr>
          <w:rFonts w:ascii="Simplified Arabic" w:eastAsia="Times New Roman" w:hAnsi="Simplified Arabic" w:cs="Simplified Arabic"/>
          <w:b/>
          <w:bCs/>
          <w:color w:val="000000" w:themeColor="text1"/>
          <w:kern w:val="0"/>
          <w:sz w:val="36"/>
          <w:szCs w:val="36"/>
          <w:rtl/>
          <w14:ligatures w14:val="none"/>
        </w:rPr>
        <w:t>مجتمع الدراسة وعيّنته</w:t>
      </w:r>
      <w:bookmarkEnd w:id="21"/>
    </w:p>
    <w:p w14:paraId="7B02A8C9"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سيتكوّن مجتمع الدراسة من جميع الأطراف ذات العلاقة بإعادة تطوير المنازل السكنية القديمة في مدينة الرياض، ويشمل ذلك</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 xml:space="preserve">المهندسين المعماريين ومهندسي التخطيط العمراني العاملين في أمانة منطقة الرياض والبالغ عددهم نحو (320) مهندساً، والمطوّرين العقاريين المرخّصين من الهيئة العامة للعقار والمسجّلين في منطقة الرياض والبالغ عددهم نحو </w:t>
      </w:r>
      <w:r w:rsidRPr="002D2F40">
        <w:rPr>
          <w:rFonts w:ascii="Simplified Arabic" w:eastAsia="Times New Roman" w:hAnsi="Simplified Arabic" w:cs="Simplified Arabic"/>
          <w:color w:val="000000" w:themeColor="text1"/>
          <w:kern w:val="0"/>
          <w:sz w:val="28"/>
          <w:szCs w:val="28"/>
          <w14:ligatures w14:val="none"/>
        </w:rPr>
        <w:t xml:space="preserve">(450) </w:t>
      </w:r>
      <w:r w:rsidRPr="002D2F40">
        <w:rPr>
          <w:rFonts w:ascii="Simplified Arabic" w:eastAsia="Times New Roman" w:hAnsi="Simplified Arabic" w:cs="Simplified Arabic"/>
          <w:color w:val="000000" w:themeColor="text1"/>
          <w:kern w:val="0"/>
          <w:sz w:val="28"/>
          <w:szCs w:val="28"/>
          <w:rtl/>
          <w14:ligatures w14:val="none"/>
        </w:rPr>
        <w:t>مطوّراً، والمختصين في إدارات التخطيط الحضري بوزارة الشؤون البلدية والقروية والإسكان والبالغ عددهم نحو (230) مختصاً، ليصل إجمالي مجتمع الدراسة إلى نحو (1000) فرد تقريباً</w:t>
      </w:r>
      <w:r w:rsidRPr="002D2F40">
        <w:rPr>
          <w:rFonts w:ascii="Simplified Arabic" w:eastAsia="Times New Roman" w:hAnsi="Simplified Arabic" w:cs="Simplified Arabic"/>
          <w:color w:val="000000" w:themeColor="text1"/>
          <w:kern w:val="0"/>
          <w:sz w:val="28"/>
          <w:szCs w:val="28"/>
          <w14:ligatures w14:val="none"/>
        </w:rPr>
        <w:t>.</w:t>
      </w:r>
    </w:p>
    <w:p w14:paraId="450FB517" w14:textId="5876C406"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وستُسحب عيّنة الدراسة بأسلوب العيّنة الطبقية العشوائية التناسبية لضمان تمثيل الفئات الثلاث بنسبها الحقيقية في المجتمع، وسيُحدَّد حجم العيّنة وفقاً لجدول</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Krejcie</w:t>
      </w:r>
      <w:proofErr w:type="spellEnd"/>
      <w:r w:rsidRPr="002D2F40">
        <w:rPr>
          <w:rFonts w:ascii="Simplified Arabic" w:eastAsia="Times New Roman" w:hAnsi="Simplified Arabic" w:cs="Simplified Arabic"/>
          <w:color w:val="000000" w:themeColor="text1"/>
          <w:kern w:val="0"/>
          <w:sz w:val="28"/>
          <w:szCs w:val="28"/>
          <w14:ligatures w14:val="none"/>
        </w:rPr>
        <w:t xml:space="preserve"> &amp; Morgan, 1970) </w:t>
      </w:r>
      <w:r w:rsidRPr="002D2F40">
        <w:rPr>
          <w:rFonts w:ascii="Simplified Arabic" w:eastAsia="Times New Roman" w:hAnsi="Simplified Arabic" w:cs="Simplified Arabic"/>
          <w:color w:val="000000" w:themeColor="text1"/>
          <w:kern w:val="0"/>
          <w:sz w:val="28"/>
          <w:szCs w:val="28"/>
          <w:rtl/>
          <w14:ligatures w14:val="none"/>
        </w:rPr>
        <w:t>بحيث يبلغ (278) مفردة عند مستوى ثقة (95%) وهامش خطأ (5%). وسيُضاف</w:t>
      </w:r>
      <w:r w:rsidRPr="002D2F40">
        <w:rPr>
          <w:rFonts w:ascii="Simplified Arabic" w:eastAsia="Times New Roman" w:hAnsi="Simplified Arabic" w:cs="Simplified Arabic"/>
          <w:color w:val="000000" w:themeColor="text1"/>
          <w:kern w:val="0"/>
          <w:sz w:val="28"/>
          <w:szCs w:val="28"/>
          <w14:ligatures w14:val="none"/>
        </w:rPr>
        <w:t xml:space="preserve"> (10%) </w:t>
      </w:r>
      <w:r w:rsidRPr="002D2F40">
        <w:rPr>
          <w:rFonts w:ascii="Simplified Arabic" w:eastAsia="Times New Roman" w:hAnsi="Simplified Arabic" w:cs="Simplified Arabic"/>
          <w:color w:val="000000" w:themeColor="text1"/>
          <w:kern w:val="0"/>
          <w:sz w:val="28"/>
          <w:szCs w:val="28"/>
          <w:rtl/>
          <w14:ligatures w14:val="none"/>
        </w:rPr>
        <w:t xml:space="preserve">احتياطياً لتعويض الفاقد المتوقّع في الاستبانات غير المكتملة أو غير المُعادة، ليصبح العدد المستهدف للتوزيع (306) استبانات، تُوزَّع بواقع </w:t>
      </w:r>
      <w:r w:rsidRPr="002D2F40">
        <w:rPr>
          <w:rFonts w:ascii="Simplified Arabic" w:eastAsia="Times New Roman" w:hAnsi="Simplified Arabic" w:cs="Simplified Arabic"/>
          <w:color w:val="000000" w:themeColor="text1"/>
          <w:kern w:val="0"/>
          <w:sz w:val="28"/>
          <w:szCs w:val="28"/>
          <w14:ligatures w14:val="none"/>
        </w:rPr>
        <w:t xml:space="preserve">(98) </w:t>
      </w:r>
      <w:r w:rsidRPr="002D2F40">
        <w:rPr>
          <w:rFonts w:ascii="Simplified Arabic" w:eastAsia="Times New Roman" w:hAnsi="Simplified Arabic" w:cs="Simplified Arabic"/>
          <w:color w:val="000000" w:themeColor="text1"/>
          <w:kern w:val="0"/>
          <w:sz w:val="28"/>
          <w:szCs w:val="28"/>
          <w:rtl/>
          <w14:ligatures w14:val="none"/>
        </w:rPr>
        <w:t>استبانة للمهندسين، و(138) للمطوّرين العقاريين، و(70) للمختصين في التخطيط الحضري</w:t>
      </w:r>
      <w:r w:rsidRPr="002D2F40">
        <w:rPr>
          <w:rFonts w:ascii="Simplified Arabic" w:eastAsia="Times New Roman" w:hAnsi="Simplified Arabic" w:cs="Simplified Arabic"/>
          <w:color w:val="000000" w:themeColor="text1"/>
          <w:kern w:val="0"/>
          <w:sz w:val="28"/>
          <w:szCs w:val="28"/>
          <w14:ligatures w14:val="none"/>
        </w:rPr>
        <w:t>.</w:t>
      </w:r>
    </w:p>
    <w:p w14:paraId="06A309FA" w14:textId="4873C729" w:rsidR="00497D0C"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33500658"/>
      <w:r w:rsidRPr="002D2F40">
        <w:rPr>
          <w:rFonts w:ascii="Simplified Arabic" w:eastAsia="Times New Roman" w:hAnsi="Simplified Arabic" w:cs="Simplified Arabic" w:hint="cs"/>
          <w:b/>
          <w:bCs/>
          <w:color w:val="000000" w:themeColor="text1"/>
          <w:kern w:val="0"/>
          <w:sz w:val="36"/>
          <w:szCs w:val="36"/>
          <w:rtl/>
          <w14:ligatures w14:val="none"/>
        </w:rPr>
        <w:t xml:space="preserve">13.1 </w:t>
      </w:r>
      <w:r w:rsidR="00497D0C" w:rsidRPr="002D2F40">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2"/>
    </w:p>
    <w:p w14:paraId="37C26E66"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المصادر الثانوية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ستعتمد الدراسة على الكتب والمراجع العلمية المتخصصة في التجديد العمراني والتطوير العقاري، والدوريات والمجلات العلمية المحكّمة العربية والأجنبية، والتقارير الرسمية الصادرة عن الهيئة الملكية لمدينة الرياض ووزارة الشؤون البلدية والقروية والإسكان والهيئة العامة للعقار والهيئة العامة للإحصاء، والرسائل العلمية (ماجستير ودكتوراه) ذات الصلة، وذلك لبناء الإطار النظري والمفاهيمي للدراسة</w:t>
      </w:r>
      <w:r w:rsidRPr="002D2F40">
        <w:rPr>
          <w:rFonts w:ascii="Simplified Arabic" w:eastAsia="Times New Roman" w:hAnsi="Simplified Arabic" w:cs="Simplified Arabic"/>
          <w:color w:val="000000" w:themeColor="text1"/>
          <w:kern w:val="0"/>
          <w:sz w:val="28"/>
          <w:szCs w:val="28"/>
          <w14:ligatures w14:val="none"/>
        </w:rPr>
        <w:t>.</w:t>
      </w:r>
    </w:p>
    <w:p w14:paraId="391209D5"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المصادر الأولية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ستُجمع البيانات الأولية من خلال استبانة إلكترونية مُهيكلة تُصمَّم خصيصاً لأغراض الدراسة، وتُوزَّع على أفراد عيّنة الدراسة عبر منصة إلكترونية متخصصة، بهدف الحصول على آرائهم وتقديراتهم حول أبعاد إعادة تطوير المنازل السكنية القديمة ومدى تأثيرها على العائد الاستثماري وجودة الحياة الحضرية</w:t>
      </w:r>
      <w:r w:rsidRPr="002D2F40">
        <w:rPr>
          <w:rFonts w:ascii="Simplified Arabic" w:eastAsia="Times New Roman" w:hAnsi="Simplified Arabic" w:cs="Simplified Arabic"/>
          <w:color w:val="000000" w:themeColor="text1"/>
          <w:kern w:val="0"/>
          <w:sz w:val="28"/>
          <w:szCs w:val="28"/>
          <w14:ligatures w14:val="none"/>
        </w:rPr>
        <w:t>.</w:t>
      </w:r>
    </w:p>
    <w:p w14:paraId="77FD05A6" w14:textId="0E8E0FB7" w:rsidR="00497D0C"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3" w:name="_Toc233500659"/>
      <w:r w:rsidRPr="002D2F40">
        <w:rPr>
          <w:rFonts w:ascii="Simplified Arabic" w:eastAsia="Times New Roman" w:hAnsi="Simplified Arabic" w:cs="Simplified Arabic" w:hint="cs"/>
          <w:b/>
          <w:bCs/>
          <w:color w:val="000000" w:themeColor="text1"/>
          <w:kern w:val="0"/>
          <w:sz w:val="36"/>
          <w:szCs w:val="36"/>
          <w:rtl/>
          <w14:ligatures w14:val="none"/>
        </w:rPr>
        <w:lastRenderedPageBreak/>
        <w:t xml:space="preserve">13.1 </w:t>
      </w:r>
      <w:r w:rsidR="00497D0C" w:rsidRPr="002D2F40">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3"/>
    </w:p>
    <w:p w14:paraId="40CEA751"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ستتكوّن الاستبانة من ثلاثة أقسام رئيسية، وسيُستخدم مقياس ليكرت الخماسي (موافق بشدة = 5، موافق = 4، محايد = 3، غير موافق = 2، غير موافق بشدة = 1) لقياس استجابات المبحوثين، وذلك على النحو التالي</w:t>
      </w:r>
      <w:r w:rsidRPr="002D2F40">
        <w:rPr>
          <w:rFonts w:ascii="Simplified Arabic" w:eastAsia="Times New Roman" w:hAnsi="Simplified Arabic" w:cs="Simplified Arabic"/>
          <w:color w:val="000000" w:themeColor="text1"/>
          <w:kern w:val="0"/>
          <w:sz w:val="28"/>
          <w:szCs w:val="28"/>
          <w14:ligatures w14:val="none"/>
        </w:rPr>
        <w:t>:</w:t>
      </w:r>
    </w:p>
    <w:p w14:paraId="52F5AB90" w14:textId="77777777" w:rsidR="00497D0C" w:rsidRPr="002D2F40" w:rsidRDefault="00497D0C" w:rsidP="00FC623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القسم الأول – البيانات الديموغرافية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سيتضمّن (5) فقرات تشمل النوع، والعمر، والمؤهل العلمي، وسنوات الخبرة، وطبيعة العمل</w:t>
      </w:r>
      <w:r w:rsidRPr="002D2F40">
        <w:rPr>
          <w:rFonts w:ascii="Simplified Arabic" w:eastAsia="Times New Roman" w:hAnsi="Simplified Arabic" w:cs="Simplified Arabic"/>
          <w:color w:val="000000" w:themeColor="text1"/>
          <w:kern w:val="0"/>
          <w:sz w:val="28"/>
          <w:szCs w:val="28"/>
          <w14:ligatures w14:val="none"/>
        </w:rPr>
        <w:t>.</w:t>
      </w:r>
    </w:p>
    <w:p w14:paraId="35C384B0" w14:textId="77777777" w:rsidR="00497D0C" w:rsidRPr="002D2F40" w:rsidRDefault="00497D0C" w:rsidP="00FC623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القسم الثاني – المتغير المستقل (إعادة تطوير المنازل السكنية القديمة)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سيتضمّن (16) فقرة موزّعة على أربعة أبعاد، حيث سيقيس بُعد التخطيط العمراني وإعادة التصميم (4) فقرات، وسيقيس بُعد التأهيل الإنشائي والمعماري (4) فقرات، وسيقيس بُعد تحسين البنية التحتية والخدمات</w:t>
      </w:r>
      <w:r w:rsidRPr="002D2F40">
        <w:rPr>
          <w:rFonts w:ascii="Simplified Arabic" w:eastAsia="Times New Roman" w:hAnsi="Simplified Arabic" w:cs="Simplified Arabic"/>
          <w:color w:val="000000" w:themeColor="text1"/>
          <w:kern w:val="0"/>
          <w:sz w:val="28"/>
          <w:szCs w:val="28"/>
          <w14:ligatures w14:val="none"/>
        </w:rPr>
        <w:t xml:space="preserve"> (4) </w:t>
      </w:r>
      <w:r w:rsidRPr="002D2F40">
        <w:rPr>
          <w:rFonts w:ascii="Simplified Arabic" w:eastAsia="Times New Roman" w:hAnsi="Simplified Arabic" w:cs="Simplified Arabic"/>
          <w:color w:val="000000" w:themeColor="text1"/>
          <w:kern w:val="0"/>
          <w:sz w:val="28"/>
          <w:szCs w:val="28"/>
          <w:rtl/>
          <w14:ligatures w14:val="none"/>
        </w:rPr>
        <w:t>فقرات، وسيقيس بُعد الشراكة بين القطاعين العام والخاص (4) فقرات</w:t>
      </w:r>
      <w:r w:rsidRPr="002D2F40">
        <w:rPr>
          <w:rFonts w:ascii="Simplified Arabic" w:eastAsia="Times New Roman" w:hAnsi="Simplified Arabic" w:cs="Simplified Arabic"/>
          <w:color w:val="000000" w:themeColor="text1"/>
          <w:kern w:val="0"/>
          <w:sz w:val="28"/>
          <w:szCs w:val="28"/>
          <w14:ligatures w14:val="none"/>
        </w:rPr>
        <w:t>.</w:t>
      </w:r>
    </w:p>
    <w:p w14:paraId="28C61175" w14:textId="77777777" w:rsidR="00497D0C" w:rsidRPr="002D2F40" w:rsidRDefault="00497D0C" w:rsidP="00FC623E">
      <w:pPr>
        <w:pStyle w:val="a6"/>
        <w:numPr>
          <w:ilvl w:val="0"/>
          <w:numId w:val="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القسم الثالث – المتغير التابع (تعظيم العائد الاستثماري وتحسين جودة الحياة الحضرية)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سيتضمّن (10) فقرات في محور واحد تقيس مجتمعةً مدى تحقّق العائد الاستثماري وتحسّن جودة الحياة الحضرية نتيجة عمليات إعادة التطوير</w:t>
      </w:r>
      <w:r w:rsidRPr="002D2F40">
        <w:rPr>
          <w:rFonts w:ascii="Simplified Arabic" w:eastAsia="Times New Roman" w:hAnsi="Simplified Arabic" w:cs="Simplified Arabic"/>
          <w:color w:val="000000" w:themeColor="text1"/>
          <w:kern w:val="0"/>
          <w:sz w:val="28"/>
          <w:szCs w:val="28"/>
          <w14:ligatures w14:val="none"/>
        </w:rPr>
        <w:t>.</w:t>
      </w:r>
    </w:p>
    <w:p w14:paraId="51986DD9"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وبذلك سيبلغ إجمالي فقرات الاستبانة (31) فقرة: (5) فقرات ديموغرافية، و(16) فقرة للمتغير المستقل، و(10) فقرات للمتغير التابع</w:t>
      </w:r>
      <w:r w:rsidRPr="002D2F40">
        <w:rPr>
          <w:rFonts w:ascii="Simplified Arabic" w:eastAsia="Times New Roman" w:hAnsi="Simplified Arabic" w:cs="Simplified Arabic"/>
          <w:color w:val="000000" w:themeColor="text1"/>
          <w:kern w:val="0"/>
          <w:sz w:val="28"/>
          <w:szCs w:val="28"/>
          <w14:ligatures w14:val="none"/>
        </w:rPr>
        <w:t>.</w:t>
      </w:r>
    </w:p>
    <w:p w14:paraId="26262BD8" w14:textId="4FCAF19A" w:rsidR="00497D0C"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33500660"/>
      <w:r w:rsidRPr="002D2F40">
        <w:rPr>
          <w:rFonts w:ascii="Simplified Arabic" w:eastAsia="Times New Roman" w:hAnsi="Simplified Arabic" w:cs="Simplified Arabic" w:hint="cs"/>
          <w:b/>
          <w:bCs/>
          <w:color w:val="000000" w:themeColor="text1"/>
          <w:kern w:val="0"/>
          <w:sz w:val="36"/>
          <w:szCs w:val="36"/>
          <w:rtl/>
          <w14:ligatures w14:val="none"/>
        </w:rPr>
        <w:t xml:space="preserve">14.1 </w:t>
      </w:r>
      <w:r w:rsidR="00497D0C" w:rsidRPr="002D2F40">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4"/>
    </w:p>
    <w:p w14:paraId="216CBDAF" w14:textId="77777777" w:rsidR="00497D0C" w:rsidRPr="002D2F40" w:rsidRDefault="00497D0C"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سيُعالَج البيانات باستخدام برنامج الحزمة الإحصائية للعلوم الاجتماعية</w:t>
      </w:r>
      <w:r w:rsidRPr="002D2F40">
        <w:rPr>
          <w:rFonts w:ascii="Simplified Arabic" w:eastAsia="Times New Roman" w:hAnsi="Simplified Arabic" w:cs="Simplified Arabic"/>
          <w:color w:val="000000" w:themeColor="text1"/>
          <w:kern w:val="0"/>
          <w:sz w:val="28"/>
          <w:szCs w:val="28"/>
          <w14:ligatures w14:val="none"/>
        </w:rPr>
        <w:t xml:space="preserve"> (SPSS v.28)</w:t>
      </w:r>
      <w:r w:rsidRPr="002D2F40">
        <w:rPr>
          <w:rFonts w:ascii="Simplified Arabic" w:eastAsia="Times New Roman" w:hAnsi="Simplified Arabic" w:cs="Simplified Arabic"/>
          <w:color w:val="000000" w:themeColor="text1"/>
          <w:kern w:val="0"/>
          <w:sz w:val="28"/>
          <w:szCs w:val="28"/>
          <w:rtl/>
          <w14:ligatures w14:val="none"/>
        </w:rPr>
        <w:t>، وستُوظَّف الأساليب الإحصائية التالية</w:t>
      </w:r>
      <w:r w:rsidRPr="002D2F40">
        <w:rPr>
          <w:rFonts w:ascii="Simplified Arabic" w:eastAsia="Times New Roman" w:hAnsi="Simplified Arabic" w:cs="Simplified Arabic"/>
          <w:color w:val="000000" w:themeColor="text1"/>
          <w:kern w:val="0"/>
          <w:sz w:val="28"/>
          <w:szCs w:val="28"/>
          <w14:ligatures w14:val="none"/>
        </w:rPr>
        <w:t>:</w:t>
      </w:r>
    </w:p>
    <w:p w14:paraId="63B5AF99" w14:textId="77777777" w:rsidR="00497D0C" w:rsidRPr="002D2F40" w:rsidRDefault="00497D0C" w:rsidP="00FC623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أساليب التحقّق من جودة الأداة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سيُستخدم معامل ألفا كرونباخ</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Cronbach's</w:t>
      </w:r>
      <w:proofErr w:type="spellEnd"/>
      <w:r w:rsidRPr="002D2F40">
        <w:rPr>
          <w:rFonts w:ascii="Simplified Arabic" w:eastAsia="Times New Roman" w:hAnsi="Simplified Arabic" w:cs="Simplified Arabic"/>
          <w:color w:val="000000" w:themeColor="text1"/>
          <w:kern w:val="0"/>
          <w:sz w:val="28"/>
          <w:szCs w:val="28"/>
          <w14:ligatures w14:val="none"/>
        </w:rPr>
        <w:t xml:space="preserve"> Alpha) </w:t>
      </w:r>
      <w:r w:rsidRPr="002D2F40">
        <w:rPr>
          <w:rFonts w:ascii="Simplified Arabic" w:eastAsia="Times New Roman" w:hAnsi="Simplified Arabic" w:cs="Simplified Arabic"/>
          <w:color w:val="000000" w:themeColor="text1"/>
          <w:kern w:val="0"/>
          <w:sz w:val="28"/>
          <w:szCs w:val="28"/>
          <w:rtl/>
          <w14:ligatures w14:val="none"/>
        </w:rPr>
        <w:t>لقياس ثبات الاستبانة وأبعادها، وسيُستخدم معامل ارتباط بيرسون لقياس صدق الاتساق الداخلي بين كل فقرة والبُعد الذي تنتمي إليه وبين كل بُعد والدرجة الكلية</w:t>
      </w:r>
      <w:r w:rsidRPr="002D2F40">
        <w:rPr>
          <w:rFonts w:ascii="Simplified Arabic" w:eastAsia="Times New Roman" w:hAnsi="Simplified Arabic" w:cs="Simplified Arabic"/>
          <w:color w:val="000000" w:themeColor="text1"/>
          <w:kern w:val="0"/>
          <w:sz w:val="28"/>
          <w:szCs w:val="28"/>
          <w14:ligatures w14:val="none"/>
        </w:rPr>
        <w:t>.</w:t>
      </w:r>
    </w:p>
    <w:p w14:paraId="4C1E764B" w14:textId="77777777" w:rsidR="00497D0C" w:rsidRPr="002D2F40" w:rsidRDefault="00497D0C" w:rsidP="00FC623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أساليب التحليل الوصفي</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ستُحسب التكرارات والنسب المئوية لوصف خصائص عيّنة الدراسة، والمتوسطات الحسابية والانحرافات المعيارية لتحديد اتجاهات الاستجابة والأهمية النسبية لكل فقرة وبُعد</w:t>
      </w:r>
      <w:r w:rsidRPr="002D2F40">
        <w:rPr>
          <w:rFonts w:ascii="Simplified Arabic" w:eastAsia="Times New Roman" w:hAnsi="Simplified Arabic" w:cs="Simplified Arabic"/>
          <w:color w:val="000000" w:themeColor="text1"/>
          <w:kern w:val="0"/>
          <w:sz w:val="28"/>
          <w:szCs w:val="28"/>
          <w14:ligatures w14:val="none"/>
        </w:rPr>
        <w:t>.</w:t>
      </w:r>
    </w:p>
    <w:p w14:paraId="47AD02CC" w14:textId="77777777" w:rsidR="00497D0C" w:rsidRPr="002D2F40" w:rsidRDefault="00497D0C" w:rsidP="00FC623E">
      <w:pPr>
        <w:pStyle w:val="a6"/>
        <w:numPr>
          <w:ilvl w:val="0"/>
          <w:numId w:val="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أساليب التحليل الاستدلالي</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سيُستخدم تحليل الانحدار المتعدد</w:t>
      </w:r>
      <w:r w:rsidRPr="002D2F40">
        <w:rPr>
          <w:rFonts w:ascii="Simplified Arabic" w:eastAsia="Times New Roman" w:hAnsi="Simplified Arabic" w:cs="Simplified Arabic"/>
          <w:color w:val="000000" w:themeColor="text1"/>
          <w:kern w:val="0"/>
          <w:sz w:val="28"/>
          <w:szCs w:val="28"/>
          <w14:ligatures w14:val="none"/>
        </w:rPr>
        <w:t xml:space="preserve"> (Multiple Regression Analysis) </w:t>
      </w:r>
      <w:r w:rsidRPr="002D2F40">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 التابع، وتحليل الانحدار البسيط</w:t>
      </w:r>
      <w:r w:rsidRPr="002D2F40">
        <w:rPr>
          <w:rFonts w:ascii="Simplified Arabic" w:eastAsia="Times New Roman" w:hAnsi="Simplified Arabic" w:cs="Simplified Arabic"/>
          <w:color w:val="000000" w:themeColor="text1"/>
          <w:kern w:val="0"/>
          <w:sz w:val="28"/>
          <w:szCs w:val="28"/>
          <w14:ligatures w14:val="none"/>
        </w:rPr>
        <w:t xml:space="preserve"> (Simple Regression) </w:t>
      </w:r>
      <w:r w:rsidRPr="002D2F40">
        <w:rPr>
          <w:rFonts w:ascii="Simplified Arabic" w:eastAsia="Times New Roman" w:hAnsi="Simplified Arabic" w:cs="Simplified Arabic"/>
          <w:color w:val="000000" w:themeColor="text1"/>
          <w:kern w:val="0"/>
          <w:sz w:val="28"/>
          <w:szCs w:val="28"/>
          <w:rtl/>
          <w14:ligatures w14:val="none"/>
        </w:rPr>
        <w:t>لاختبار أثر كل بُعد على حدة، واختبار</w:t>
      </w:r>
      <w:r w:rsidRPr="002D2F40">
        <w:rPr>
          <w:rFonts w:ascii="Simplified Arabic" w:eastAsia="Times New Roman" w:hAnsi="Simplified Arabic" w:cs="Simplified Arabic"/>
          <w:color w:val="000000" w:themeColor="text1"/>
          <w:kern w:val="0"/>
          <w:sz w:val="28"/>
          <w:szCs w:val="28"/>
          <w14:ligatures w14:val="none"/>
        </w:rPr>
        <w:t xml:space="preserve"> (T-Test) </w:t>
      </w:r>
      <w:r w:rsidRPr="002D2F40">
        <w:rPr>
          <w:rFonts w:ascii="Simplified Arabic" w:eastAsia="Times New Roman" w:hAnsi="Simplified Arabic" w:cs="Simplified Arabic"/>
          <w:color w:val="000000" w:themeColor="text1"/>
          <w:kern w:val="0"/>
          <w:sz w:val="28"/>
          <w:szCs w:val="28"/>
          <w:rtl/>
          <w14:ligatures w14:val="none"/>
        </w:rPr>
        <w:t>للعيّنات المستقلة لاختبار الفروق وفقاً لمتغير النوع، وتحليل التباين الأحادي</w:t>
      </w:r>
      <w:r w:rsidRPr="002D2F40">
        <w:rPr>
          <w:rFonts w:ascii="Simplified Arabic" w:eastAsia="Times New Roman" w:hAnsi="Simplified Arabic" w:cs="Simplified Arabic"/>
          <w:color w:val="000000" w:themeColor="text1"/>
          <w:kern w:val="0"/>
          <w:sz w:val="28"/>
          <w:szCs w:val="28"/>
          <w14:ligatures w14:val="none"/>
        </w:rPr>
        <w:t xml:space="preserve"> (One-Way ANOVA) </w:t>
      </w:r>
      <w:r w:rsidRPr="002D2F40">
        <w:rPr>
          <w:rFonts w:ascii="Simplified Arabic" w:eastAsia="Times New Roman" w:hAnsi="Simplified Arabic" w:cs="Simplified Arabic"/>
          <w:color w:val="000000" w:themeColor="text1"/>
          <w:kern w:val="0"/>
          <w:sz w:val="28"/>
          <w:szCs w:val="28"/>
          <w:rtl/>
          <w14:ligatures w14:val="none"/>
        </w:rPr>
        <w:t>لاختبار الفروق وفقاً لمتغيرات العمر والمؤهل العلمي وسنوات الخبرة وطبيعة العمل، واختبار</w:t>
      </w:r>
      <w:r w:rsidRPr="002D2F40">
        <w:rPr>
          <w:rFonts w:ascii="Simplified Arabic" w:eastAsia="Times New Roman" w:hAnsi="Simplified Arabic" w:cs="Simplified Arabic"/>
          <w:color w:val="000000" w:themeColor="text1"/>
          <w:kern w:val="0"/>
          <w:sz w:val="28"/>
          <w:szCs w:val="28"/>
          <w14:ligatures w14:val="none"/>
        </w:rPr>
        <w:t xml:space="preserve"> (LSD) </w:t>
      </w:r>
      <w:r w:rsidRPr="002D2F40">
        <w:rPr>
          <w:rFonts w:ascii="Simplified Arabic" w:eastAsia="Times New Roman" w:hAnsi="Simplified Arabic" w:cs="Simplified Arabic"/>
          <w:color w:val="000000" w:themeColor="text1"/>
          <w:kern w:val="0"/>
          <w:sz w:val="28"/>
          <w:szCs w:val="28"/>
          <w:rtl/>
          <w14:ligatures w14:val="none"/>
        </w:rPr>
        <w:t>أو</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Scheffé</w:t>
      </w:r>
      <w:proofErr w:type="spellEnd"/>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للمقارنات البعدية في حال وجود فروق دالة إحصائياً</w:t>
      </w:r>
      <w:r w:rsidRPr="002D2F40">
        <w:rPr>
          <w:rFonts w:ascii="Simplified Arabic" w:eastAsia="Times New Roman" w:hAnsi="Simplified Arabic" w:cs="Simplified Arabic"/>
          <w:color w:val="000000" w:themeColor="text1"/>
          <w:kern w:val="0"/>
          <w:sz w:val="28"/>
          <w:szCs w:val="28"/>
          <w14:ligatures w14:val="none"/>
        </w:rPr>
        <w:t>.</w:t>
      </w:r>
    </w:p>
    <w:p w14:paraId="6B51EB23" w14:textId="2EF91ED5" w:rsidR="00497D0C" w:rsidRPr="002D2F40" w:rsidRDefault="00926B42" w:rsidP="00926B4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33500661"/>
      <w:r w:rsidRPr="002D2F40">
        <w:rPr>
          <w:rFonts w:ascii="Simplified Arabic" w:eastAsia="Times New Roman" w:hAnsi="Simplified Arabic" w:cs="Simplified Arabic" w:hint="cs"/>
          <w:b/>
          <w:bCs/>
          <w:color w:val="000000" w:themeColor="text1"/>
          <w:kern w:val="0"/>
          <w:sz w:val="36"/>
          <w:szCs w:val="36"/>
          <w:rtl/>
          <w14:ligatures w14:val="none"/>
        </w:rPr>
        <w:t xml:space="preserve">15.1 </w:t>
      </w:r>
      <w:r w:rsidR="00497D0C" w:rsidRPr="002D2F40">
        <w:rPr>
          <w:rFonts w:ascii="Simplified Arabic" w:eastAsia="Times New Roman" w:hAnsi="Simplified Arabic" w:cs="Simplified Arabic"/>
          <w:b/>
          <w:bCs/>
          <w:color w:val="000000" w:themeColor="text1"/>
          <w:kern w:val="0"/>
          <w:sz w:val="36"/>
          <w:szCs w:val="36"/>
          <w:rtl/>
          <w14:ligatures w14:val="none"/>
        </w:rPr>
        <w:t>حدود الدراسة</w:t>
      </w:r>
      <w:bookmarkEnd w:id="25"/>
    </w:p>
    <w:p w14:paraId="40B68A23" w14:textId="77777777" w:rsidR="00497D0C" w:rsidRPr="002D2F40" w:rsidRDefault="00497D0C" w:rsidP="00FC623E">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الحدود الموضوعية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ستقتصر الدراسة على دراسة أثر إعادة تطوير المنازل السكنية القديمة بأبعاده الأربعة (التخطيط العمراني وإعادة التصميم، التأهيل الإنشائي والمعماري، تحسين البنية التحتية والخدمات، الشراكة بين القطاعين العام والخاص) على تعظيم العائد الاستثماري وتحسين جودة الحياة الحضرية</w:t>
      </w:r>
      <w:r w:rsidRPr="002D2F40">
        <w:rPr>
          <w:rFonts w:ascii="Simplified Arabic" w:eastAsia="Times New Roman" w:hAnsi="Simplified Arabic" w:cs="Simplified Arabic"/>
          <w:color w:val="000000" w:themeColor="text1"/>
          <w:kern w:val="0"/>
          <w:sz w:val="28"/>
          <w:szCs w:val="28"/>
          <w14:ligatures w14:val="none"/>
        </w:rPr>
        <w:t>.</w:t>
      </w:r>
    </w:p>
    <w:p w14:paraId="35DE3443" w14:textId="77777777" w:rsidR="00497D0C" w:rsidRPr="002D2F40" w:rsidRDefault="00497D0C" w:rsidP="00FC623E">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الحدود المكانية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ستُطبَّق الدراسة الميدانية في مدينة الرياض، عاصمة المملكة العربية السعودية، مع التركيز على الأحياء السكنية القديمة ذات المباني التي مضى على إنشائها أكثر من ثلاثين عاماً</w:t>
      </w:r>
      <w:r w:rsidRPr="002D2F40">
        <w:rPr>
          <w:rFonts w:ascii="Simplified Arabic" w:eastAsia="Times New Roman" w:hAnsi="Simplified Arabic" w:cs="Simplified Arabic"/>
          <w:color w:val="000000" w:themeColor="text1"/>
          <w:kern w:val="0"/>
          <w:sz w:val="28"/>
          <w:szCs w:val="28"/>
          <w14:ligatures w14:val="none"/>
        </w:rPr>
        <w:t>.</w:t>
      </w:r>
    </w:p>
    <w:p w14:paraId="2887B61F" w14:textId="77777777" w:rsidR="00497D0C" w:rsidRPr="002D2F40" w:rsidRDefault="00497D0C" w:rsidP="00FC623E">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الحدود الزمانية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ستُجرى الدراسة الميدانية خلال العام الأكاديمي 1447/1448هـ الموافق 2025/2026م</w:t>
      </w:r>
      <w:r w:rsidRPr="002D2F40">
        <w:rPr>
          <w:rFonts w:ascii="Simplified Arabic" w:eastAsia="Times New Roman" w:hAnsi="Simplified Arabic" w:cs="Simplified Arabic"/>
          <w:color w:val="000000" w:themeColor="text1"/>
          <w:kern w:val="0"/>
          <w:sz w:val="28"/>
          <w:szCs w:val="28"/>
          <w14:ligatures w14:val="none"/>
        </w:rPr>
        <w:t>.</w:t>
      </w:r>
    </w:p>
    <w:p w14:paraId="79629D8C" w14:textId="2D3828DF" w:rsidR="00497D0C" w:rsidRPr="002D2F40" w:rsidRDefault="00497D0C" w:rsidP="00FC623E">
      <w:pPr>
        <w:pStyle w:val="a6"/>
        <w:numPr>
          <w:ilvl w:val="0"/>
          <w:numId w:val="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2D2F40">
        <w:rPr>
          <w:rFonts w:ascii="Simplified Arabic" w:eastAsia="Times New Roman" w:hAnsi="Simplified Arabic" w:cs="Simplified Arabic"/>
          <w:color w:val="000000" w:themeColor="text1"/>
          <w:kern w:val="0"/>
          <w:sz w:val="28"/>
          <w:szCs w:val="28"/>
          <w:rtl/>
          <w14:ligatures w14:val="none"/>
        </w:rPr>
        <w:t>الحدود البشرية</w:t>
      </w:r>
      <w:r w:rsidRPr="002D2F40">
        <w:rPr>
          <w:rFonts w:ascii="Simplified Arabic" w:eastAsia="Times New Roman" w:hAnsi="Simplified Arabic" w:cs="Simplified Arabic"/>
          <w:color w:val="000000" w:themeColor="text1"/>
          <w:kern w:val="0"/>
          <w:sz w:val="28"/>
          <w:szCs w:val="28"/>
          <w14:ligatures w14:val="none"/>
        </w:rPr>
        <w:t xml:space="preserve">: </w:t>
      </w:r>
      <w:r w:rsidRPr="002D2F40">
        <w:rPr>
          <w:rFonts w:ascii="Simplified Arabic" w:eastAsia="Times New Roman" w:hAnsi="Simplified Arabic" w:cs="Simplified Arabic"/>
          <w:color w:val="000000" w:themeColor="text1"/>
          <w:kern w:val="0"/>
          <w:sz w:val="28"/>
          <w:szCs w:val="28"/>
          <w:rtl/>
          <w14:ligatures w14:val="none"/>
        </w:rPr>
        <w:t>ستقتصر الدراسة على المهندسين المعماريين ومهندسي التخطيط العمراني العاملين في أمانة منطقة الرياض، والمطوّرين العقاريين المرخّصين في منطقة الرياض، والمختصين في إدارات التخطيط الحضري بوزارة الشؤون البلدية والقروية والإسكان</w:t>
      </w:r>
      <w:r w:rsidRPr="002D2F40">
        <w:rPr>
          <w:rFonts w:ascii="Simplified Arabic" w:eastAsia="Times New Roman" w:hAnsi="Simplified Arabic" w:cs="Simplified Arabic"/>
          <w:color w:val="000000" w:themeColor="text1"/>
          <w:kern w:val="0"/>
          <w:sz w:val="28"/>
          <w:szCs w:val="28"/>
          <w14:ligatures w14:val="none"/>
        </w:rPr>
        <w:t>.</w:t>
      </w:r>
    </w:p>
    <w:p w14:paraId="613EE93B" w14:textId="26315489" w:rsidR="00955473" w:rsidRPr="002D2F40" w:rsidRDefault="00926B42" w:rsidP="00926B42">
      <w:pPr>
        <w:jc w:val="center"/>
        <w:outlineLvl w:val="0"/>
        <w:rPr>
          <w:rFonts w:ascii="Simplified Arabic" w:eastAsia="Times New Roman" w:hAnsi="Simplified Arabic" w:cs="Simplified Arabic"/>
          <w:b/>
          <w:bCs/>
          <w:color w:val="000000" w:themeColor="text1"/>
          <w:kern w:val="0"/>
          <w:sz w:val="40"/>
          <w:szCs w:val="40"/>
          <w14:ligatures w14:val="none"/>
        </w:rPr>
      </w:pPr>
      <w:r w:rsidRPr="002D2F40">
        <w:rPr>
          <w:rFonts w:ascii="Simplified Arabic" w:eastAsia="Times New Roman" w:hAnsi="Simplified Arabic" w:cs="Simplified Arabic"/>
          <w:b/>
          <w:bCs/>
          <w:color w:val="000000" w:themeColor="text1"/>
          <w:kern w:val="0"/>
          <w:sz w:val="40"/>
          <w:szCs w:val="40"/>
          <w:rtl/>
          <w14:ligatures w14:val="none"/>
        </w:rPr>
        <w:br w:type="page"/>
      </w:r>
      <w:bookmarkStart w:id="26" w:name="_Toc233500662"/>
      <w:r w:rsidRPr="002D2F40">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955473" w:rsidRPr="002D2F40">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6"/>
    </w:p>
    <w:p w14:paraId="45866841" w14:textId="2236A32C" w:rsidR="00955473" w:rsidRPr="002D2F40" w:rsidRDefault="00955473" w:rsidP="00926B42">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27" w:name="_Toc233500663"/>
      <w:r w:rsidRPr="002D2F40">
        <w:rPr>
          <w:rFonts w:ascii="Simplified Arabic" w:eastAsia="Times New Roman" w:hAnsi="Simplified Arabic" w:cs="Simplified Arabic"/>
          <w:b/>
          <w:bCs/>
          <w:color w:val="000000" w:themeColor="text1"/>
          <w:kern w:val="0"/>
          <w:sz w:val="36"/>
          <w:szCs w:val="36"/>
          <w:rtl/>
          <w14:ligatures w14:val="none"/>
        </w:rPr>
        <w:t>المبحث الأول: إعادة تطوير المنازل السكنية القديمة</w:t>
      </w:r>
      <w:bookmarkEnd w:id="27"/>
    </w:p>
    <w:p w14:paraId="505A6E10" w14:textId="59450670"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8" w:name="_Toc233500664"/>
      <w:r w:rsidRPr="002D2F40">
        <w:rPr>
          <w:rFonts w:ascii="Simplified Arabic" w:eastAsia="Times New Roman" w:hAnsi="Simplified Arabic" w:cs="Simplified Arabic" w:hint="cs"/>
          <w:b/>
          <w:bCs/>
          <w:color w:val="000000" w:themeColor="text1"/>
          <w:kern w:val="0"/>
          <w:sz w:val="32"/>
          <w:szCs w:val="32"/>
          <w:rtl/>
          <w14:ligatures w14:val="none"/>
        </w:rPr>
        <w:t xml:space="preserve">1.1.2 </w:t>
      </w:r>
      <w:r w:rsidR="00955473" w:rsidRPr="002D2F40">
        <w:rPr>
          <w:rFonts w:ascii="Simplified Arabic" w:eastAsia="Times New Roman" w:hAnsi="Simplified Arabic" w:cs="Simplified Arabic"/>
          <w:b/>
          <w:bCs/>
          <w:color w:val="000000" w:themeColor="text1"/>
          <w:kern w:val="0"/>
          <w:sz w:val="32"/>
          <w:szCs w:val="32"/>
          <w:rtl/>
          <w14:ligatures w14:val="none"/>
        </w:rPr>
        <w:t>تمهيد</w:t>
      </w:r>
      <w:bookmarkEnd w:id="28"/>
    </w:p>
    <w:p w14:paraId="383D3D98"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تُمثّل عمليات إعادة تطوير المنازل السكنية القديمة أحد أبرز المداخل المعاصرة التي تتبناها المدن الكبرى في مواجهة التحديات المتنامية الناجمة عن التوسع الحضري المتسارع، وتقادم البنية العمرانية، وتراجع كفاءة المخزون السكني في الأحياء التاريخية والمناطق المركزية. وقد فرضت التحولات الاقتصادية والاجتماعية والبيئية على صانعي القرار في مختلف دول العالم إعادة النظر في فلسفة التعامل مع النسيج العمراني القديم، بحيث لم يعد يُنظر إليه باعتباره عبئًا يستوجب الإزالة أو الاستبدال الشامل، بل بوصفه رصيدًا حضريًا ومعماريًا يمكن تثمينه واستثماره من خلال تدخلات مدروسة تُوازن بين الحفاظ على الهوية المحلية وتلبية متطلبات العصر. وفي هذا السياق، برزت إعادة التطوير العمراني بوصفها أداة استراتيجية متعددة الأبعاد، تتقاطع فيها الاعتبارات التخطيطية والإنشائية والخدمية والاستثمارية، وتتشابك من خلالها أدوار الفاعلين الحكوميين والخاصين والمجتمعيين في صياغة بيئة سكنية أكثر جودة واستدامة</w:t>
      </w:r>
      <w:r w:rsidRPr="002D2F40">
        <w:rPr>
          <w:rFonts w:ascii="Simplified Arabic" w:eastAsia="Times New Roman" w:hAnsi="Simplified Arabic" w:cs="Simplified Arabic"/>
          <w:color w:val="000000" w:themeColor="text1"/>
          <w:kern w:val="0"/>
          <w:sz w:val="28"/>
          <w:szCs w:val="28"/>
          <w14:ligatures w14:val="none"/>
        </w:rPr>
        <w:t>.</w:t>
      </w:r>
    </w:p>
    <w:p w14:paraId="2070CBA2"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وتكتسب هذه القضية أهمية مضاعفة في السياق السعودي، وتحديدًا في مدينة الرياض، التي تشهد توسعًا حضريًا واسعًا في ظل رؤية المملكة 2030، وما تطرحه من مستهدفات تتصل بتطوير المدن وتحسين جودة الحياة وزيادة الإسهام الاقتصادي للقطاع العقاري. فالأحياء السكنية القديمة في الرياض تنطوي على إشكاليات مركّبة تتعلق بتقادم المباني، وضعف البنية التحتية، وتراجع الجاذبية الاستثمارية، فضلًا عن تحديات اجتماعية ترتبط بأنماط السكن وتركيبة السكان. ومن ثَمّ، فإن تناول إعادة تطوير هذه المنازل من منظور إداري واستثماري وعمراني متكامل يُعدّ ضرورة علمية وتطبيقية، تستوجب بناء إطار نظري رصين يستوعب التعريفات المختلفة للمفهوم، ويُحلّل أهميته وأهدافه، ويُفصّل أبعاده الإجرائية بوصفها مرتكزات للقياس والتقويم. ويسعى هذا المبحث إلى تقديم تأصيل نظري معمّق لإعادة تطوير المنازل السكنية القديمة، يستند إلى ما طرحته الأدبيات المتخصصة من اتجاهات ومداخل، بما يُمهّد لاحقًا لاختبار العلاقة بين هذا المتغير وبين العائد الاستثماري وجودة الحياة الحضرية</w:t>
      </w:r>
      <w:r w:rsidRPr="002D2F40">
        <w:rPr>
          <w:rFonts w:ascii="Simplified Arabic" w:eastAsia="Times New Roman" w:hAnsi="Simplified Arabic" w:cs="Simplified Arabic"/>
          <w:color w:val="000000" w:themeColor="text1"/>
          <w:kern w:val="0"/>
          <w:sz w:val="28"/>
          <w:szCs w:val="28"/>
          <w14:ligatures w14:val="none"/>
        </w:rPr>
        <w:t>.</w:t>
      </w:r>
    </w:p>
    <w:p w14:paraId="2240D068" w14:textId="4CB4F378"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29" w:name="_Toc233500665"/>
      <w:r w:rsidRPr="002D2F40">
        <w:rPr>
          <w:rFonts w:ascii="Simplified Arabic" w:eastAsia="Times New Roman" w:hAnsi="Simplified Arabic" w:cs="Simplified Arabic" w:hint="cs"/>
          <w:b/>
          <w:bCs/>
          <w:color w:val="000000" w:themeColor="text1"/>
          <w:kern w:val="0"/>
          <w:sz w:val="32"/>
          <w:szCs w:val="32"/>
          <w:rtl/>
          <w14:ligatures w14:val="none"/>
        </w:rPr>
        <w:t>2.1.2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مفهوم إعادة تطوير المنازل السكنية القديمة</w:t>
      </w:r>
      <w:bookmarkEnd w:id="29"/>
    </w:p>
    <w:p w14:paraId="2B87F55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تتعدد التعريفات التي طرحها الباحثون لمفهوم إعادة تطوير المنازل السكنية القديمة بتعدد الزوايا التي تناولوا منها هذه الظاهرة، إذ يتقاطع المفهوم مع حقول معرفية متعددة تشمل التخطيط العمراني، والاقتصاد العقاري، والسياسات العامة، والإدارة الحضرية، مما أفرز مدارس متباينة في تحديد دلالاته وحدوده</w:t>
      </w:r>
      <w:r w:rsidRPr="002D2F40">
        <w:rPr>
          <w:rFonts w:ascii="Simplified Arabic" w:eastAsia="Times New Roman" w:hAnsi="Simplified Arabic" w:cs="Simplified Arabic"/>
          <w:color w:val="000000" w:themeColor="text1"/>
          <w:kern w:val="0"/>
          <w:sz w:val="28"/>
          <w:szCs w:val="28"/>
          <w14:ligatures w14:val="none"/>
        </w:rPr>
        <w:t>.</w:t>
      </w:r>
    </w:p>
    <w:p w14:paraId="19DC7A2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فمن منظور سياسات التجديد الحضري، يُنظر إلى إعادة التطوير باعتبارها تحولًا في فلسفة التدخل الحكومي في النسيج العمراني، إذ انتقلت من نموذج النمو الكمي القائم على التوسع الأفقي والإحلال الشامل إلى نموذج أكثر نضجًا يقوم على التنمية المستدامة وإعادة تثمين المخزون العمراني القائم، بما يضمن التوازن بين الحفاظ على الموروث المعماري وتحقيق متطلبات التحديث</w:t>
      </w:r>
      <w:r w:rsidRPr="002D2F40">
        <w:rPr>
          <w:rFonts w:ascii="Simplified Arabic" w:eastAsia="Times New Roman" w:hAnsi="Simplified Arabic" w:cs="Simplified Arabic"/>
          <w:color w:val="000000" w:themeColor="text1"/>
          <w:kern w:val="0"/>
          <w:sz w:val="28"/>
          <w:szCs w:val="28"/>
          <w14:ligatures w14:val="none"/>
        </w:rPr>
        <w:t xml:space="preserve"> (Ye et al., 2021). </w:t>
      </w:r>
      <w:r w:rsidRPr="002D2F40">
        <w:rPr>
          <w:rFonts w:ascii="Simplified Arabic" w:eastAsia="Times New Roman" w:hAnsi="Simplified Arabic" w:cs="Simplified Arabic"/>
          <w:color w:val="000000" w:themeColor="text1"/>
          <w:kern w:val="0"/>
          <w:sz w:val="28"/>
          <w:szCs w:val="28"/>
          <w:rtl/>
          <w14:ligatures w14:val="none"/>
        </w:rPr>
        <w:t>ويعكس هذا المنظور تطورًا في الإدراك المؤسسي لطبيعة المدينة بوصفها كيانًا حيًا يتجدد من داخله لا كيانًا جامدًا يُستبدل من الخارج</w:t>
      </w:r>
      <w:r w:rsidRPr="002D2F40">
        <w:rPr>
          <w:rFonts w:ascii="Simplified Arabic" w:eastAsia="Times New Roman" w:hAnsi="Simplified Arabic" w:cs="Simplified Arabic"/>
          <w:color w:val="000000" w:themeColor="text1"/>
          <w:kern w:val="0"/>
          <w:sz w:val="28"/>
          <w:szCs w:val="28"/>
          <w14:ligatures w14:val="none"/>
        </w:rPr>
        <w:t>.</w:t>
      </w:r>
    </w:p>
    <w:p w14:paraId="3A46F8B2"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ومن زاوية أخرى أكثر إجرائية، يُعرَّف المفهوم بأنه مجموعة العمليات المركّبة التي تستهدف إعادة بناء المباني السكنية المتقادمة أو تأهيلها، مع معالجة الحواجز الفنية والتنظيمية والاجتماعية التي تعترض هذه العمليات، بما يحقق استدامة المناطق الحضرية ويُعالج التدهور العمراني</w:t>
      </w:r>
      <w:r w:rsidRPr="002D2F40">
        <w:rPr>
          <w:rFonts w:ascii="Simplified Arabic" w:eastAsia="Times New Roman" w:hAnsi="Simplified Arabic" w:cs="Simplified Arabic"/>
          <w:color w:val="000000" w:themeColor="text1"/>
          <w:kern w:val="0"/>
          <w:sz w:val="28"/>
          <w:szCs w:val="28"/>
          <w14:ligatures w14:val="none"/>
        </w:rPr>
        <w:t xml:space="preserve"> (Van Nguyen et al., 2024). </w:t>
      </w:r>
      <w:r w:rsidRPr="002D2F40">
        <w:rPr>
          <w:rFonts w:ascii="Simplified Arabic" w:eastAsia="Times New Roman" w:hAnsi="Simplified Arabic" w:cs="Simplified Arabic"/>
          <w:color w:val="000000" w:themeColor="text1"/>
          <w:kern w:val="0"/>
          <w:sz w:val="28"/>
          <w:szCs w:val="28"/>
          <w:rtl/>
          <w14:ligatures w14:val="none"/>
        </w:rPr>
        <w:t>ويُبرز هذا التعريف الطبيعة المتشابكة لإعادة التطوير، إذ لا يقتصر على البعد الإنشائي، بل يمتد إلى الأطر التشريعية والمؤسسية وآليات التمويل ومشاركة المستفيدين</w:t>
      </w:r>
      <w:r w:rsidRPr="002D2F40">
        <w:rPr>
          <w:rFonts w:ascii="Simplified Arabic" w:eastAsia="Times New Roman" w:hAnsi="Simplified Arabic" w:cs="Simplified Arabic"/>
          <w:color w:val="000000" w:themeColor="text1"/>
          <w:kern w:val="0"/>
          <w:sz w:val="28"/>
          <w:szCs w:val="28"/>
          <w14:ligatures w14:val="none"/>
        </w:rPr>
        <w:t>.</w:t>
      </w:r>
    </w:p>
    <w:p w14:paraId="4FBF85ED"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إطار المدخل التشاركي، يُقدَّم المفهوم بوصفه عملية تفاوضية تنخرط فيها أطراف متعددة من جهات حكومية ومطورين ومالكين وسكان وممثلي المجتمع المدني، حيث تتشكّل قرارات التطوير من خلال موازنة المصالح المتباينة وتنسيق الأولويات المتعارضة، بما يجعل إعادة التطوير في جوهرها ممارسة حوكمية بقدر ما هي ممارسة عمرانية</w:t>
      </w:r>
      <w:r w:rsidRPr="002D2F40">
        <w:rPr>
          <w:rFonts w:ascii="Simplified Arabic" w:eastAsia="Times New Roman" w:hAnsi="Simplified Arabic" w:cs="Simplified Arabic"/>
          <w:color w:val="000000" w:themeColor="text1"/>
          <w:kern w:val="0"/>
          <w:sz w:val="28"/>
          <w:szCs w:val="28"/>
          <w14:ligatures w14:val="none"/>
        </w:rPr>
        <w:t xml:space="preserve"> (Bai et al., 2023). </w:t>
      </w:r>
      <w:r w:rsidRPr="002D2F40">
        <w:rPr>
          <w:rFonts w:ascii="Simplified Arabic" w:eastAsia="Times New Roman" w:hAnsi="Simplified Arabic" w:cs="Simplified Arabic"/>
          <w:color w:val="000000" w:themeColor="text1"/>
          <w:kern w:val="0"/>
          <w:sz w:val="28"/>
          <w:szCs w:val="28"/>
          <w:rtl/>
          <w14:ligatures w14:val="none"/>
        </w:rPr>
        <w:t>ويُكمل هذا الطرحَ توجهٌ آخر يُركّز على مركزية المستفيد النهائي، إذ يُعرَّف المفهوم بدلالة قدرته على تلبية احتياجات السكان وتحسين رضاهم عن بيئتهم السكنية، بحيث تُقاس نجاعة التدخل بمدى استجابته لتوقعاتهم وتحسينه لنوعية حياتهم اليومية</w:t>
      </w:r>
      <w:r w:rsidRPr="002D2F40">
        <w:rPr>
          <w:rFonts w:ascii="Simplified Arabic" w:eastAsia="Times New Roman" w:hAnsi="Simplified Arabic" w:cs="Simplified Arabic"/>
          <w:color w:val="000000" w:themeColor="text1"/>
          <w:kern w:val="0"/>
          <w:sz w:val="28"/>
          <w:szCs w:val="28"/>
          <w14:ligatures w14:val="none"/>
        </w:rPr>
        <w:t xml:space="preserve"> (Li et al., 2024).</w:t>
      </w:r>
    </w:p>
    <w:p w14:paraId="0181B6F5"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أما من المنظور التنموي الشامل، فيُنظر إلى إعادة تطوير المنازل السكنية القديمة باعتبارها رافعة لتحسين جودة الحياة في المجتمعات الحضرية، لا سيما في الدول النامية التي تعاني من ضغوط ديموغرافية وعمرانية متزايدة، حيث يتحوّل التطوير إلى أداة لمعالجة الفقر الحضري وعدم المساواة المكانية وتوفير بيئة </w:t>
      </w:r>
      <w:r w:rsidRPr="002D2F40">
        <w:rPr>
          <w:rFonts w:ascii="Simplified Arabic" w:eastAsia="Times New Roman" w:hAnsi="Simplified Arabic" w:cs="Simplified Arabic"/>
          <w:color w:val="000000" w:themeColor="text1"/>
          <w:kern w:val="0"/>
          <w:sz w:val="28"/>
          <w:szCs w:val="28"/>
          <w:rtl/>
          <w14:ligatures w14:val="none"/>
        </w:rPr>
        <w:lastRenderedPageBreak/>
        <w:t>سكنية لائقة</w:t>
      </w:r>
      <w:r w:rsidRPr="002D2F40">
        <w:rPr>
          <w:rFonts w:ascii="Simplified Arabic" w:eastAsia="Times New Roman" w:hAnsi="Simplified Arabic" w:cs="Simplified Arabic"/>
          <w:color w:val="000000" w:themeColor="text1"/>
          <w:kern w:val="0"/>
          <w:sz w:val="28"/>
          <w:szCs w:val="28"/>
          <w14:ligatures w14:val="none"/>
        </w:rPr>
        <w:t xml:space="preserve"> (Muhammed &amp; </w:t>
      </w:r>
      <w:proofErr w:type="spellStart"/>
      <w:r w:rsidRPr="002D2F40">
        <w:rPr>
          <w:rFonts w:ascii="Simplified Arabic" w:eastAsia="Times New Roman" w:hAnsi="Simplified Arabic" w:cs="Simplified Arabic"/>
          <w:color w:val="000000" w:themeColor="text1"/>
          <w:kern w:val="0"/>
          <w:sz w:val="28"/>
          <w:szCs w:val="28"/>
          <w14:ligatures w14:val="none"/>
        </w:rPr>
        <w:t>Abubakar</w:t>
      </w:r>
      <w:proofErr w:type="spellEnd"/>
      <w:r w:rsidRPr="002D2F40">
        <w:rPr>
          <w:rFonts w:ascii="Simplified Arabic" w:eastAsia="Times New Roman" w:hAnsi="Simplified Arabic" w:cs="Simplified Arabic"/>
          <w:color w:val="000000" w:themeColor="text1"/>
          <w:kern w:val="0"/>
          <w:sz w:val="28"/>
          <w:szCs w:val="28"/>
          <w14:ligatures w14:val="none"/>
        </w:rPr>
        <w:t xml:space="preserve">, 2022). </w:t>
      </w:r>
      <w:r w:rsidRPr="002D2F40">
        <w:rPr>
          <w:rFonts w:ascii="Simplified Arabic" w:eastAsia="Times New Roman" w:hAnsi="Simplified Arabic" w:cs="Simplified Arabic"/>
          <w:color w:val="000000" w:themeColor="text1"/>
          <w:kern w:val="0"/>
          <w:sz w:val="28"/>
          <w:szCs w:val="28"/>
          <w:rtl/>
          <w14:ligatures w14:val="none"/>
        </w:rPr>
        <w:t>ويتقاطع هذا الفهم مع المداخل التي تتناول التطوير بوصفه ممارسة لأنسنة المدينة، تستهدف إعادة الاعتبار للبُعد الإنساني في التخطيط العمراني وجعل الفضاء الحضري أكثر ملاءمة لحياة الإنسان واحتياجاته الوجدانية والاجتماعية (حميدات وجلود، 2024</w:t>
      </w:r>
      <w:r w:rsidRPr="002D2F40">
        <w:rPr>
          <w:rFonts w:ascii="Simplified Arabic" w:eastAsia="Times New Roman" w:hAnsi="Simplified Arabic" w:cs="Simplified Arabic"/>
          <w:color w:val="000000" w:themeColor="text1"/>
          <w:kern w:val="0"/>
          <w:sz w:val="28"/>
          <w:szCs w:val="28"/>
          <w14:ligatures w14:val="none"/>
        </w:rPr>
        <w:t>).</w:t>
      </w:r>
    </w:p>
    <w:p w14:paraId="68549105"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ولا تنفصل هذه التعريفات عن السياق المحلي للمملكة العربية السعودية، إذ يُقدَّم المفهوم في الأدبيات السعودية الحديثة بوصفه استجابة لتحولات نمط الأسرة ومتطلبات رؤية 2030، حيث تتضمن إعادة التطوير إعادة تصميم الحيزات الداخلية للمسكن بما يتلاءم مع الأدوار المستجدة للأسرة وتطلعاتها نحو بيئة سكنية معاصرة (سالم وترك، 2025)</w:t>
      </w:r>
      <w:r w:rsidRPr="002D2F40">
        <w:rPr>
          <w:rFonts w:ascii="Simplified Arabic" w:eastAsia="Times New Roman" w:hAnsi="Simplified Arabic" w:cs="Simplified Arabic"/>
          <w:color w:val="000000" w:themeColor="text1"/>
          <w:kern w:val="0"/>
          <w:sz w:val="28"/>
          <w:szCs w:val="28"/>
          <w14:ligatures w14:val="none"/>
        </w:rPr>
        <w:t>.</w:t>
      </w:r>
    </w:p>
    <w:p w14:paraId="0F4C599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وانطلاقًا مما تقدّم، يرى الباحث أن إعادة تطوير المنازل السكنية القديمة عملية إدارية وعمرانية مركّبة، تتضمن مجموعة من التدخلات المخططة والمتكاملة في الأحياء السكنية المتقادمة، تشمل إعادة التخطيط العمراني وتصميم الفضاءات السكنية، وتأهيل البنية الإنشائية والمعمارية للمباني القائمة، وتطوير البنية التحتية والخدمات الداعمة، وتفعيل صيغ الشراكة بين القطاعين العام والخاص، بحيث تُفضي مجتمعةً إلى تعظيم العائد الاستثماري للأصول العقارية وتحسين جودة الحياة الحضرية للسكان، في إطار يُوازن بين متطلبات الاستدامة والحفاظ على الهوية وتحقيق التنمية الاقتصادية والاجتماعية. ويتميز هذا التعريف بكونه تعريفًا إجرائيًا متعدد الأبعاد، يصلح أساسًا لقياس المتغير في الدراسة الحالية، ويستوعب التطورات الحديثة في الفكر العمراني الذي تجاوز النظرة الإنشائية الضيقة إلى نظرة شاملة تأخذ بمنطق التكامل بين الأبعاد المادية والاقتصادية والاجتماعية</w:t>
      </w:r>
      <w:r w:rsidRPr="002D2F40">
        <w:rPr>
          <w:rFonts w:ascii="Simplified Arabic" w:eastAsia="Times New Roman" w:hAnsi="Simplified Arabic" w:cs="Simplified Arabic"/>
          <w:color w:val="000000" w:themeColor="text1"/>
          <w:kern w:val="0"/>
          <w:sz w:val="28"/>
          <w:szCs w:val="28"/>
          <w14:ligatures w14:val="none"/>
        </w:rPr>
        <w:t>.</w:t>
      </w:r>
    </w:p>
    <w:p w14:paraId="7F16B772" w14:textId="7F6D7ACB"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0" w:name="_Toc233500666"/>
      <w:r w:rsidRPr="002D2F40">
        <w:rPr>
          <w:rFonts w:ascii="Simplified Arabic" w:eastAsia="Times New Roman" w:hAnsi="Simplified Arabic" w:cs="Simplified Arabic" w:hint="cs"/>
          <w:b/>
          <w:bCs/>
          <w:color w:val="000000" w:themeColor="text1"/>
          <w:kern w:val="0"/>
          <w:sz w:val="32"/>
          <w:szCs w:val="32"/>
          <w:rtl/>
          <w14:ligatures w14:val="none"/>
        </w:rPr>
        <w:t>3.1.2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أهمية إعادة تطوير المنازل السكنية القديمة</w:t>
      </w:r>
      <w:bookmarkEnd w:id="30"/>
    </w:p>
    <w:p w14:paraId="25888155"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تتجلى أهمية إعادة تطوير المنازل السكنية القديمة في كونها مدخلًا استراتيجيًا متعدد المسارات، يتجاوز البُعد العمراني الضيق إلى أبعاد اقتصادية واجتماعية وبيئية ومؤسسية متشابكة. فالأحياء السكنية القديمة في المدن الكبرى لا تُمثّل مجرد فضاءات عمرانية متقادمة، بل تنطوي على رصيد عقاري واجتماعي وثقافي ضخم، يستوجب توظيفه بكفاءة بدلًا من إهماله أو إزالته. ومن ثَمّ، فإن استكشاف أهمية هذا المفهوم يستلزم استعراض الزوايا المتعددة التي قاربها الباحثون</w:t>
      </w:r>
      <w:r w:rsidRPr="002D2F40">
        <w:rPr>
          <w:rFonts w:ascii="Simplified Arabic" w:eastAsia="Times New Roman" w:hAnsi="Simplified Arabic" w:cs="Simplified Arabic"/>
          <w:color w:val="000000" w:themeColor="text1"/>
          <w:kern w:val="0"/>
          <w:sz w:val="28"/>
          <w:szCs w:val="28"/>
          <w14:ligatures w14:val="none"/>
        </w:rPr>
        <w:t>.</w:t>
      </w:r>
    </w:p>
    <w:p w14:paraId="00D66988"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ويشير</w:t>
      </w:r>
      <w:r w:rsidRPr="002D2F40">
        <w:rPr>
          <w:rFonts w:ascii="Simplified Arabic" w:eastAsia="Times New Roman" w:hAnsi="Simplified Arabic" w:cs="Simplified Arabic"/>
          <w:color w:val="000000" w:themeColor="text1"/>
          <w:kern w:val="0"/>
          <w:sz w:val="28"/>
          <w:szCs w:val="28"/>
          <w14:ligatures w14:val="none"/>
        </w:rPr>
        <w:t xml:space="preserve"> (Muhammed &amp; </w:t>
      </w:r>
      <w:proofErr w:type="spellStart"/>
      <w:r w:rsidRPr="002D2F40">
        <w:rPr>
          <w:rFonts w:ascii="Simplified Arabic" w:eastAsia="Times New Roman" w:hAnsi="Simplified Arabic" w:cs="Simplified Arabic"/>
          <w:color w:val="000000" w:themeColor="text1"/>
          <w:kern w:val="0"/>
          <w:sz w:val="28"/>
          <w:szCs w:val="28"/>
          <w14:ligatures w14:val="none"/>
        </w:rPr>
        <w:t>Abubakar</w:t>
      </w:r>
      <w:proofErr w:type="spellEnd"/>
      <w:r w:rsidRPr="002D2F40">
        <w:rPr>
          <w:rFonts w:ascii="Simplified Arabic" w:eastAsia="Times New Roman" w:hAnsi="Simplified Arabic" w:cs="Simplified Arabic"/>
          <w:color w:val="000000" w:themeColor="text1"/>
          <w:kern w:val="0"/>
          <w:sz w:val="28"/>
          <w:szCs w:val="28"/>
          <w14:ligatures w14:val="none"/>
        </w:rPr>
        <w:t xml:space="preserve">, 2022) </w:t>
      </w:r>
      <w:r w:rsidRPr="002D2F40">
        <w:rPr>
          <w:rFonts w:ascii="Simplified Arabic" w:eastAsia="Times New Roman" w:hAnsi="Simplified Arabic" w:cs="Simplified Arabic"/>
          <w:color w:val="000000" w:themeColor="text1"/>
          <w:kern w:val="0"/>
          <w:sz w:val="28"/>
          <w:szCs w:val="28"/>
          <w:rtl/>
          <w14:ligatures w14:val="none"/>
        </w:rPr>
        <w:t xml:space="preserve">إلى أن أهمية إعادة تطوير الأحياء السكنية القديمة تتجلى في جملة من المسارات يمكن إجمالها فيما يأتي: أولًا، إسهامها في تحسين الظروف المعيشية </w:t>
      </w:r>
      <w:r w:rsidRPr="002D2F40">
        <w:rPr>
          <w:rFonts w:ascii="Simplified Arabic" w:eastAsia="Times New Roman" w:hAnsi="Simplified Arabic" w:cs="Simplified Arabic"/>
          <w:color w:val="000000" w:themeColor="text1"/>
          <w:kern w:val="0"/>
          <w:sz w:val="28"/>
          <w:szCs w:val="28"/>
          <w:rtl/>
          <w14:ligatures w14:val="none"/>
        </w:rPr>
        <w:lastRenderedPageBreak/>
        <w:t>للمجتمعات الحضرية في الدول النامية التي تعاني من فجوات سكنية وخدمية واسعة، إذ تُتيح هذه العمليات معالجة مظاهر التدهور وتوفير بيئة سكنية أكثر ملاءمة. ثانيًا، دورها في تعزيز الإدماج الاجتماعي والحد من التهميش المكاني الذي تعاني منه شرائح واسعة من السكان في الأحياء المتقادمة، وذلك من خلال تحسين الوصول إلى الخدمات وفرص العمل والمرافق العامة. ثالثًا، إسهامها في تحقيق أهداف التنمية المستدامة المتعلقة بالاستهلاك والإنتاج المسؤولين، عبر إعادة استخدام المخزون العمراني القائم بدلًا من استنزاف موارد جديدة. رابعًا، تعزيزها للقدرة التكيفية للمجتمعات الحضرية في مواجهة التحديات البيئية والاقتصادية، بما يجعل المدينة أكثر مرونة وقدرة على الاستجابة للأزمات</w:t>
      </w:r>
      <w:r w:rsidRPr="002D2F40">
        <w:rPr>
          <w:rFonts w:ascii="Simplified Arabic" w:eastAsia="Times New Roman" w:hAnsi="Simplified Arabic" w:cs="Simplified Arabic"/>
          <w:color w:val="000000" w:themeColor="text1"/>
          <w:kern w:val="0"/>
          <w:sz w:val="28"/>
          <w:szCs w:val="28"/>
          <w14:ligatures w14:val="none"/>
        </w:rPr>
        <w:t>.</w:t>
      </w:r>
    </w:p>
    <w:p w14:paraId="3C9B3D1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ويرى</w:t>
      </w:r>
      <w:r w:rsidRPr="002D2F40">
        <w:rPr>
          <w:rFonts w:ascii="Simplified Arabic" w:eastAsia="Times New Roman" w:hAnsi="Simplified Arabic" w:cs="Simplified Arabic"/>
          <w:color w:val="000000" w:themeColor="text1"/>
          <w:kern w:val="0"/>
          <w:sz w:val="28"/>
          <w:szCs w:val="28"/>
          <w14:ligatures w14:val="none"/>
        </w:rPr>
        <w:t xml:space="preserve"> (Bai et al., 2023) </w:t>
      </w:r>
      <w:r w:rsidRPr="002D2F40">
        <w:rPr>
          <w:rFonts w:ascii="Simplified Arabic" w:eastAsia="Times New Roman" w:hAnsi="Simplified Arabic" w:cs="Simplified Arabic"/>
          <w:color w:val="000000" w:themeColor="text1"/>
          <w:kern w:val="0"/>
          <w:sz w:val="28"/>
          <w:szCs w:val="28"/>
          <w:rtl/>
          <w14:ligatures w14:val="none"/>
        </w:rPr>
        <w:t>أن أهمية إعادة تطوير المنازل السكنية القديمة تنبع من طبيعتها بوصفها ممارسة تشاركية تُفعّل أدوار أصحاب المصلحة المتعددين، إذ تُوفّر هذه العمليات منصة للحوار بين الحكومة والمطورين والمالكين والسكان والمجتمع المدني، مما يُسهم في بناء توافقات حضرية حول مستقبل الأحياء. كما تكتسب أهميتها من كونها تتيح إعادة توزيع المنافع العمرانية والاقتصادية بصورة أكثر عدالة بين الأطراف المعنية، وتُعزّز الشفافية في صنع القرار العمراني، وتُرسّخ قيم الحوكمة الرشيدة في إدارة المدن</w:t>
      </w:r>
      <w:r w:rsidRPr="002D2F40">
        <w:rPr>
          <w:rFonts w:ascii="Simplified Arabic" w:eastAsia="Times New Roman" w:hAnsi="Simplified Arabic" w:cs="Simplified Arabic"/>
          <w:color w:val="000000" w:themeColor="text1"/>
          <w:kern w:val="0"/>
          <w:sz w:val="28"/>
          <w:szCs w:val="28"/>
          <w14:ligatures w14:val="none"/>
        </w:rPr>
        <w:t>.</w:t>
      </w:r>
    </w:p>
    <w:p w14:paraId="2A83FF3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ويُضيف</w:t>
      </w:r>
      <w:r w:rsidRPr="002D2F40">
        <w:rPr>
          <w:rFonts w:ascii="Simplified Arabic" w:eastAsia="Times New Roman" w:hAnsi="Simplified Arabic" w:cs="Simplified Arabic"/>
          <w:color w:val="000000" w:themeColor="text1"/>
          <w:kern w:val="0"/>
          <w:sz w:val="28"/>
          <w:szCs w:val="28"/>
          <w14:ligatures w14:val="none"/>
        </w:rPr>
        <w:t xml:space="preserve"> (Li et al., 2024) </w:t>
      </w:r>
      <w:r w:rsidRPr="002D2F40">
        <w:rPr>
          <w:rFonts w:ascii="Simplified Arabic" w:eastAsia="Times New Roman" w:hAnsi="Simplified Arabic" w:cs="Simplified Arabic"/>
          <w:color w:val="000000" w:themeColor="text1"/>
          <w:kern w:val="0"/>
          <w:sz w:val="28"/>
          <w:szCs w:val="28"/>
          <w:rtl/>
          <w14:ligatures w14:val="none"/>
        </w:rPr>
        <w:t>بُعدًا آخر للأهمية يرتبط بمركزية المستفيد النهائي، إذ تتجلى قيمة إعادة التطوير في قدرتها على رفع مستويات رضا السكان عن بيئتهم السكنية، وتحسين إدراكهم لكفاءة التدخلات العمرانية، وتعزيز شعورهم بالانتماء إلى أحيائهم. فالمستفيد الأخير من هذه العمليات هو الإنسان الذي يقطن هذه الأحياء، ومن ثَمّ تُقاس أهمية التطوير بمدى استجابته لتطلعاته وتحسينه لتجربته اليومية في الفضاء السكني</w:t>
      </w:r>
      <w:r w:rsidRPr="002D2F40">
        <w:rPr>
          <w:rFonts w:ascii="Simplified Arabic" w:eastAsia="Times New Roman" w:hAnsi="Simplified Arabic" w:cs="Simplified Arabic"/>
          <w:color w:val="000000" w:themeColor="text1"/>
          <w:kern w:val="0"/>
          <w:sz w:val="28"/>
          <w:szCs w:val="28"/>
          <w14:ligatures w14:val="none"/>
        </w:rPr>
        <w:t>.</w:t>
      </w:r>
    </w:p>
    <w:p w14:paraId="24E2AE15"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السياق ذاته، يُشير</w:t>
      </w:r>
      <w:r w:rsidRPr="002D2F40">
        <w:rPr>
          <w:rFonts w:ascii="Simplified Arabic" w:eastAsia="Times New Roman" w:hAnsi="Simplified Arabic" w:cs="Simplified Arabic"/>
          <w:color w:val="000000" w:themeColor="text1"/>
          <w:kern w:val="0"/>
          <w:sz w:val="28"/>
          <w:szCs w:val="28"/>
          <w14:ligatures w14:val="none"/>
        </w:rPr>
        <w:t xml:space="preserve"> (Ye et al., 2021) </w:t>
      </w:r>
      <w:r w:rsidRPr="002D2F40">
        <w:rPr>
          <w:rFonts w:ascii="Simplified Arabic" w:eastAsia="Times New Roman" w:hAnsi="Simplified Arabic" w:cs="Simplified Arabic"/>
          <w:color w:val="000000" w:themeColor="text1"/>
          <w:kern w:val="0"/>
          <w:sz w:val="28"/>
          <w:szCs w:val="28"/>
          <w:rtl/>
          <w14:ligatures w14:val="none"/>
        </w:rPr>
        <w:t>إلى أهمية إعادة التطوير بوصفه ابتكارًا في السياسات العامة، إذ يعكس انتقالًا في فلسفة الدولة من التركيز على تحفيز النمو الكمي إلى تبني نموذج التنمية المستدامة الذي يُوازن بين الكفاءة الاقتصادية والعدالة الاجتماعية والاستدامة البيئية. وتنبع أهميته أيضًا من كونه أداة لاختبار قدرة المنظومة الإدارية على تطوير أدواتها التنظيمية والتشريعية والتمويلية بما يتناسب مع التحولات الحضرية المعاصرة</w:t>
      </w:r>
      <w:r w:rsidRPr="002D2F40">
        <w:rPr>
          <w:rFonts w:ascii="Simplified Arabic" w:eastAsia="Times New Roman" w:hAnsi="Simplified Arabic" w:cs="Simplified Arabic"/>
          <w:color w:val="000000" w:themeColor="text1"/>
          <w:kern w:val="0"/>
          <w:sz w:val="28"/>
          <w:szCs w:val="28"/>
          <w14:ligatures w14:val="none"/>
        </w:rPr>
        <w:t>.</w:t>
      </w:r>
    </w:p>
    <w:p w14:paraId="273D31F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ويُبرز</w:t>
      </w:r>
      <w:r w:rsidRPr="002D2F40">
        <w:rPr>
          <w:rFonts w:ascii="Simplified Arabic" w:eastAsia="Times New Roman" w:hAnsi="Simplified Arabic" w:cs="Simplified Arabic"/>
          <w:color w:val="000000" w:themeColor="text1"/>
          <w:kern w:val="0"/>
          <w:sz w:val="28"/>
          <w:szCs w:val="28"/>
          <w14:ligatures w14:val="none"/>
        </w:rPr>
        <w:t xml:space="preserve"> (Van Nguyen et al., 2024) </w:t>
      </w:r>
      <w:r w:rsidRPr="002D2F40">
        <w:rPr>
          <w:rFonts w:ascii="Simplified Arabic" w:eastAsia="Times New Roman" w:hAnsi="Simplified Arabic" w:cs="Simplified Arabic"/>
          <w:color w:val="000000" w:themeColor="text1"/>
          <w:kern w:val="0"/>
          <w:sz w:val="28"/>
          <w:szCs w:val="28"/>
          <w:rtl/>
          <w14:ligatures w14:val="none"/>
        </w:rPr>
        <w:t xml:space="preserve">أهمية إعادة التطوير من زاوية تشخيص الحواجز التي تعترض تنفيذها، إذ إن إدراك أهمية هذه العمليات يستلزم في الوقت ذاته وعيًا بالعقبات الفنية والمالية </w:t>
      </w:r>
      <w:r w:rsidRPr="002D2F40">
        <w:rPr>
          <w:rFonts w:ascii="Simplified Arabic" w:eastAsia="Times New Roman" w:hAnsi="Simplified Arabic" w:cs="Simplified Arabic"/>
          <w:color w:val="000000" w:themeColor="text1"/>
          <w:kern w:val="0"/>
          <w:sz w:val="28"/>
          <w:szCs w:val="28"/>
          <w:rtl/>
          <w14:ligatures w14:val="none"/>
        </w:rPr>
        <w:lastRenderedPageBreak/>
        <w:t>والتنظيمية والاجتماعية التي تحول دون تحقيقها لأهدافها، مما يُحوّل إعادة التطوير إلى مختبر حقيقي لاختبار النضج المؤسسي للدول في إدارة شؤونها العمرانية</w:t>
      </w:r>
      <w:r w:rsidRPr="002D2F40">
        <w:rPr>
          <w:rFonts w:ascii="Simplified Arabic" w:eastAsia="Times New Roman" w:hAnsi="Simplified Arabic" w:cs="Simplified Arabic"/>
          <w:color w:val="000000" w:themeColor="text1"/>
          <w:kern w:val="0"/>
          <w:sz w:val="28"/>
          <w:szCs w:val="28"/>
          <w14:ligatures w14:val="none"/>
        </w:rPr>
        <w:t>.</w:t>
      </w:r>
    </w:p>
    <w:p w14:paraId="71B1F45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وعلى المستوى السعودي، تتضح أهمية إعادة تطوير المنازل السكنية القديمة في ارتباطها برؤية المملكة 2030 ومستهدفاتها الإسكانية، إذ تُسهم هذه العمليات في إعادة تصميم البيئة السكنية بما يتلاءم مع التحولات في بنية الأسرة السعودية وأنماط حياتها، ويُعزّز قدرتها على أداء أدوارها التربوية والاجتماعية في ظل المتغيرات المعاصرة (سالم وترك، 2025). كما تكتسب أهمية إضافية من إسهامها في تحسين جودة الحياة السكنية في المدن الكبرى ومعالجة الإشكاليات المتراكمة في الأحياء القديمة، بما يجعلها أحد روافع التنمية الحضرية الشاملة (الجهني، 2024)</w:t>
      </w:r>
      <w:r w:rsidRPr="002D2F40">
        <w:rPr>
          <w:rFonts w:ascii="Simplified Arabic" w:eastAsia="Times New Roman" w:hAnsi="Simplified Arabic" w:cs="Simplified Arabic"/>
          <w:color w:val="000000" w:themeColor="text1"/>
          <w:kern w:val="0"/>
          <w:sz w:val="28"/>
          <w:szCs w:val="28"/>
          <w14:ligatures w14:val="none"/>
        </w:rPr>
        <w:t>.</w:t>
      </w:r>
    </w:p>
    <w:p w14:paraId="52F7AF3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ويستخلص الباحث من تعدد هذه المقاربات أن أهمية إعادة تطوير المنازل السكنية القديمة تتشكّل من تفاعل أبعاد متكاملة، تشمل البُعد الاقتصادي المرتبط بتعظيم العائد الاستثماري للأصول العقارية، والبُعد الاجتماعي المتصل بتحسين جودة الحياة والإدماج الاجتماعي، والبُعد العمراني الذي يستهدف إعادة تثمين النسيج الحضري القائم، والبُعد البيئي الذي يُعزّز الاستدامة، والبُعد المؤسسي الذي يُطوّر أدوات الحوكمة الحضرية، فضلًا عن البُعد الاستراتيجي الذي يربط هذه العمليات بالرؤى التنموية الشاملة للدولة</w:t>
      </w:r>
      <w:r w:rsidRPr="002D2F40">
        <w:rPr>
          <w:rFonts w:ascii="Simplified Arabic" w:eastAsia="Times New Roman" w:hAnsi="Simplified Arabic" w:cs="Simplified Arabic"/>
          <w:color w:val="000000" w:themeColor="text1"/>
          <w:kern w:val="0"/>
          <w:sz w:val="28"/>
          <w:szCs w:val="28"/>
          <w14:ligatures w14:val="none"/>
        </w:rPr>
        <w:t>.</w:t>
      </w:r>
    </w:p>
    <w:p w14:paraId="030A4D91" w14:textId="5D3B3445"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500667"/>
      <w:r w:rsidRPr="002D2F40">
        <w:rPr>
          <w:rFonts w:ascii="Simplified Arabic" w:eastAsia="Times New Roman" w:hAnsi="Simplified Arabic" w:cs="Simplified Arabic" w:hint="cs"/>
          <w:b/>
          <w:bCs/>
          <w:color w:val="000000" w:themeColor="text1"/>
          <w:kern w:val="0"/>
          <w:sz w:val="32"/>
          <w:szCs w:val="32"/>
          <w:rtl/>
          <w14:ligatures w14:val="none"/>
        </w:rPr>
        <w:t>4.1.2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أهداف إعادة تطوير المنازل السكنية القديمة</w:t>
      </w:r>
      <w:bookmarkEnd w:id="31"/>
    </w:p>
    <w:p w14:paraId="3D4E7311"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تتباين أهداف إعادة تطوير المنازل السكنية القديمة بحسب السياقات والأولويات والمداخل النظرية التي يتبناها الباحثون، غير أنه يمكن استخلاص جملة من الأهداف الجوهرية من خلال استعراض ما طرحته الأدبيات المتخصصة</w:t>
      </w:r>
      <w:r w:rsidRPr="002D2F40">
        <w:rPr>
          <w:rFonts w:ascii="Simplified Arabic" w:eastAsia="Times New Roman" w:hAnsi="Simplified Arabic" w:cs="Simplified Arabic"/>
          <w:color w:val="000000" w:themeColor="text1"/>
          <w:kern w:val="0"/>
          <w:sz w:val="28"/>
          <w:szCs w:val="28"/>
          <w14:ligatures w14:val="none"/>
        </w:rPr>
        <w:t>.</w:t>
      </w:r>
    </w:p>
    <w:p w14:paraId="05A12049"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فمن منظور الاستدامة الحضرية، حدّد بعض الباحثين مجموعة من الأهداف الاستراتيجية لإعادة التطوير تتمحور حول: تحقيق التوازن بين متطلبات الحفاظ على الموروث العمراني واحتياجات التحديث؛ وتعزيز كفاءة استخدام الموارد العمرانية القائمة بدلًا من استنزاف موارد جديدة؛ ومعالجة مظاهر التدهور البيئي في الأحياء المتقادمة؛ وتطوير حلول مبتكرة في السياسات العامة تُلائم تحديات النمو الحضري المعاصر</w:t>
      </w:r>
      <w:r w:rsidRPr="002D2F40">
        <w:rPr>
          <w:rFonts w:ascii="Simplified Arabic" w:eastAsia="Times New Roman" w:hAnsi="Simplified Arabic" w:cs="Simplified Arabic"/>
          <w:color w:val="000000" w:themeColor="text1"/>
          <w:kern w:val="0"/>
          <w:sz w:val="28"/>
          <w:szCs w:val="28"/>
          <w14:ligatures w14:val="none"/>
        </w:rPr>
        <w:t xml:space="preserve"> (Ye et al., 2021).</w:t>
      </w:r>
    </w:p>
    <w:p w14:paraId="1160311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وفي سياق متّصل، يطرح اتجاه بحثي آخر مجموعة من الأهداف ذات الطابع التشخيصي والإجرائي، يمكن إجمالها فيما يأتي: تحديد الحواجز الفنية والتنظيمية والاجتماعية التي تعترض عمليات إعادة بناء المباني السكنية القديمة؛ وتطوير أطر تنظيمية وتشريعية تُسهّل تنفيذ هذه العمليات؛ وتوفير آليات تمويلية ملائمة لطبيعة المشروعات وحجم تكاليفها؛ وبناء قدرات الفاعلين المؤسسيين على إدارة مشروعات إعادة التطوير بكفاءة</w:t>
      </w:r>
      <w:r w:rsidRPr="002D2F40">
        <w:rPr>
          <w:rFonts w:ascii="Simplified Arabic" w:eastAsia="Times New Roman" w:hAnsi="Simplified Arabic" w:cs="Simplified Arabic"/>
          <w:color w:val="000000" w:themeColor="text1"/>
          <w:kern w:val="0"/>
          <w:sz w:val="28"/>
          <w:szCs w:val="28"/>
          <w14:ligatures w14:val="none"/>
        </w:rPr>
        <w:t xml:space="preserve"> (Van Nguyen et al., 2024).</w:t>
      </w:r>
    </w:p>
    <w:p w14:paraId="3248FFE6"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ويُبرز توجه ثالث مجموعة من الأهداف ذات الطابع الحوكمي والتشاركي، تتمثل في: تفعيل أدوار أصحاب المصلحة المتعددين في صنع القرار العمراني؛ وبناء توافقات بين الأطراف المتباينة المصالح حول أولويات التطوير؛ وتعزيز الشفافية في إدارة المشروعات العمرانية؛ وضمان عدالة توزيع المنافع والأعباء بين الفئات المختلفة من السكان والمستثمرين</w:t>
      </w:r>
      <w:r w:rsidRPr="002D2F40">
        <w:rPr>
          <w:rFonts w:ascii="Simplified Arabic" w:eastAsia="Times New Roman" w:hAnsi="Simplified Arabic" w:cs="Simplified Arabic"/>
          <w:color w:val="000000" w:themeColor="text1"/>
          <w:kern w:val="0"/>
          <w:sz w:val="28"/>
          <w:szCs w:val="28"/>
          <w14:ligatures w14:val="none"/>
        </w:rPr>
        <w:t xml:space="preserve"> (Bai et al., 2023).</w:t>
      </w:r>
    </w:p>
    <w:p w14:paraId="358DF6A4"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ومن منظور رضا المستفيدين، تتمحور الأهداف حول: تحسين تجربة السكن في الأحياء المعاد تطويرها؛ ورفع مستويات رضا السكان عن البيئة السكنية والخدمات المتاحة فيها؛ وتعزيز شعور الانتماء للحي والمدينة؛ وتلبية التطلعات المتجددة للسكان فيما يخص نوعية الفضاء السكني</w:t>
      </w:r>
      <w:r w:rsidRPr="002D2F40">
        <w:rPr>
          <w:rFonts w:ascii="Simplified Arabic" w:eastAsia="Times New Roman" w:hAnsi="Simplified Arabic" w:cs="Simplified Arabic"/>
          <w:color w:val="000000" w:themeColor="text1"/>
          <w:kern w:val="0"/>
          <w:sz w:val="28"/>
          <w:szCs w:val="28"/>
          <w14:ligatures w14:val="none"/>
        </w:rPr>
        <w:t xml:space="preserve"> (Li et al., 2024).</w:t>
      </w:r>
    </w:p>
    <w:p w14:paraId="223BD47C"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وعلى الصعيد التنموي، تتضمن أهداف إعادة التطوير: تحسين الظروف المعيشية للمجتمعات الحضرية لا سيما في الدول النامية؛ والحد من الفوارق المكانية بين الأحياء داخل المدينة الواحدة؛ وتوفير بيئة سكنية لائقة للفئات الأقل دخلًا؛ وتعزيز قدرة المدن على تحقيق أهداف التنمية المستدامة</w:t>
      </w:r>
      <w:r w:rsidRPr="002D2F40">
        <w:rPr>
          <w:rFonts w:ascii="Simplified Arabic" w:eastAsia="Times New Roman" w:hAnsi="Simplified Arabic" w:cs="Simplified Arabic"/>
          <w:color w:val="000000" w:themeColor="text1"/>
          <w:kern w:val="0"/>
          <w:sz w:val="28"/>
          <w:szCs w:val="28"/>
          <w14:ligatures w14:val="none"/>
        </w:rPr>
        <w:t xml:space="preserve"> (Muhammed &amp; </w:t>
      </w:r>
      <w:proofErr w:type="spellStart"/>
      <w:r w:rsidRPr="002D2F40">
        <w:rPr>
          <w:rFonts w:ascii="Simplified Arabic" w:eastAsia="Times New Roman" w:hAnsi="Simplified Arabic" w:cs="Simplified Arabic"/>
          <w:color w:val="000000" w:themeColor="text1"/>
          <w:kern w:val="0"/>
          <w:sz w:val="28"/>
          <w:szCs w:val="28"/>
          <w14:ligatures w14:val="none"/>
        </w:rPr>
        <w:t>Abubakar</w:t>
      </w:r>
      <w:proofErr w:type="spellEnd"/>
      <w:r w:rsidRPr="002D2F40">
        <w:rPr>
          <w:rFonts w:ascii="Simplified Arabic" w:eastAsia="Times New Roman" w:hAnsi="Simplified Arabic" w:cs="Simplified Arabic"/>
          <w:color w:val="000000" w:themeColor="text1"/>
          <w:kern w:val="0"/>
          <w:sz w:val="28"/>
          <w:szCs w:val="28"/>
          <w14:ligatures w14:val="none"/>
        </w:rPr>
        <w:t>, 2022).</w:t>
      </w:r>
    </w:p>
    <w:p w14:paraId="6C5369E4"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السياق المحلي، تتقاطع أهداف إعادة التطوير مع الأهداف الإسكانية والعمرانية لرؤية المملكة 2030، إذ تستهدف هذه العمليات إعادة تصميم البيئة السكنية بما يدعم الأسرة في أداء وظائفها التربوية والاجتماعية، ويُلائم التحولات في أنماط الحياة المعاصرة (سالم وترك، 2025). كما تتضمن أهدافًا تتصل بتقييم جودة الحياة السكنية في المدن الكبرى وتشخيص الإشكاليات المتراكمة في الأحياء القديمة بوصفها مدخلًا للتدخل المخطط (الجهني، 2024)</w:t>
      </w:r>
      <w:r w:rsidRPr="002D2F40">
        <w:rPr>
          <w:rFonts w:ascii="Simplified Arabic" w:eastAsia="Times New Roman" w:hAnsi="Simplified Arabic" w:cs="Simplified Arabic"/>
          <w:color w:val="000000" w:themeColor="text1"/>
          <w:kern w:val="0"/>
          <w:sz w:val="28"/>
          <w:szCs w:val="28"/>
          <w14:ligatures w14:val="none"/>
        </w:rPr>
        <w:t>.</w:t>
      </w:r>
    </w:p>
    <w:p w14:paraId="57124FA8"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ويُمكن استخلاص أن أهداف إعادة تطوير المنازل السكنية القديمة تتكامل في منظومة شاملة تجمع بين الاستدامة والكفاءة والعدالة والمشاركة، وتسعى في جوهرها إلى تحويل الأحياء المتقادمة من مواطن </w:t>
      </w:r>
      <w:r w:rsidRPr="002D2F40">
        <w:rPr>
          <w:rFonts w:ascii="Simplified Arabic" w:eastAsia="Times New Roman" w:hAnsi="Simplified Arabic" w:cs="Simplified Arabic"/>
          <w:color w:val="000000" w:themeColor="text1"/>
          <w:kern w:val="0"/>
          <w:sz w:val="28"/>
          <w:szCs w:val="28"/>
          <w:rtl/>
          <w14:ligatures w14:val="none"/>
        </w:rPr>
        <w:lastRenderedPageBreak/>
        <w:t>للتراجع العمراني والاجتماعي إلى مراكز نابضة بالحياة الاقتصادية والاجتماعية، تُسهم في تعظيم العائد الاستثماري وتحسين جودة الحياة الحضرية</w:t>
      </w:r>
      <w:r w:rsidRPr="002D2F40">
        <w:rPr>
          <w:rFonts w:ascii="Simplified Arabic" w:eastAsia="Times New Roman" w:hAnsi="Simplified Arabic" w:cs="Simplified Arabic"/>
          <w:color w:val="000000" w:themeColor="text1"/>
          <w:kern w:val="0"/>
          <w:sz w:val="28"/>
          <w:szCs w:val="28"/>
          <w14:ligatures w14:val="none"/>
        </w:rPr>
        <w:t>.</w:t>
      </w:r>
    </w:p>
    <w:p w14:paraId="7486B55F" w14:textId="12519E46"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500668"/>
      <w:r w:rsidRPr="002D2F40">
        <w:rPr>
          <w:rFonts w:ascii="Simplified Arabic" w:eastAsia="Times New Roman" w:hAnsi="Simplified Arabic" w:cs="Simplified Arabic" w:hint="cs"/>
          <w:b/>
          <w:bCs/>
          <w:color w:val="000000" w:themeColor="text1"/>
          <w:kern w:val="0"/>
          <w:sz w:val="32"/>
          <w:szCs w:val="32"/>
          <w:rtl/>
          <w14:ligatures w14:val="none"/>
        </w:rPr>
        <w:t>5.1.2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أبعاد إعادة تطوير المنازل السكنية القديمة</w:t>
      </w:r>
      <w:bookmarkEnd w:id="32"/>
    </w:p>
    <w:p w14:paraId="6EE8F971"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تم تحديد أبعاد إعادة تطوير المنازل السكنية القديمة في الدراسة الحالية بناءً على ما طرحته الأدبيات المتخصصة، ولا سيما دراسة</w:t>
      </w:r>
      <w:r w:rsidRPr="002D2F40">
        <w:rPr>
          <w:rFonts w:ascii="Simplified Arabic" w:eastAsia="Times New Roman" w:hAnsi="Simplified Arabic" w:cs="Simplified Arabic"/>
          <w:color w:val="000000" w:themeColor="text1"/>
          <w:kern w:val="0"/>
          <w:sz w:val="28"/>
          <w:szCs w:val="28"/>
          <w14:ligatures w14:val="none"/>
        </w:rPr>
        <w:t xml:space="preserve"> (Van Nguyen et al., 2024) </w:t>
      </w:r>
      <w:r w:rsidRPr="002D2F40">
        <w:rPr>
          <w:rFonts w:ascii="Simplified Arabic" w:eastAsia="Times New Roman" w:hAnsi="Simplified Arabic" w:cs="Simplified Arabic"/>
          <w:color w:val="000000" w:themeColor="text1"/>
          <w:kern w:val="0"/>
          <w:sz w:val="28"/>
          <w:szCs w:val="28"/>
          <w:rtl/>
          <w14:ligatures w14:val="none"/>
        </w:rPr>
        <w:t>التي تناولت إعادة بناء المباني السكنية القديمة بوصفها عملية مركّبة تتقاطع فيها الأبعاد التخطيطية والإنشائية والخدمية والتشاركية، ودراسة</w:t>
      </w:r>
      <w:r w:rsidRPr="002D2F40">
        <w:rPr>
          <w:rFonts w:ascii="Simplified Arabic" w:eastAsia="Times New Roman" w:hAnsi="Simplified Arabic" w:cs="Simplified Arabic"/>
          <w:color w:val="000000" w:themeColor="text1"/>
          <w:kern w:val="0"/>
          <w:sz w:val="28"/>
          <w:szCs w:val="28"/>
          <w14:ligatures w14:val="none"/>
        </w:rPr>
        <w:t xml:space="preserve"> (Bai et al., 2023) </w:t>
      </w:r>
      <w:r w:rsidRPr="002D2F40">
        <w:rPr>
          <w:rFonts w:ascii="Simplified Arabic" w:eastAsia="Times New Roman" w:hAnsi="Simplified Arabic" w:cs="Simplified Arabic"/>
          <w:color w:val="000000" w:themeColor="text1"/>
          <w:kern w:val="0"/>
          <w:sz w:val="28"/>
          <w:szCs w:val="28"/>
          <w:rtl/>
          <w14:ligatures w14:val="none"/>
        </w:rPr>
        <w:t>التي قاربت إعادة التطوير من منظور أصحاب المصلحة المتعددين، إضافةً إلى ما طرحته الأدبيات السعودية حول إعادة تصميم البيئة السكنية في إطار رؤية المملكة 2030 (سالم وترك، 2025). وقد أفضت هذه المقاربات مجتمعةً إلى تبنّي أربعة أبعاد رئيسة تُمثّل مرتكزات قياس المتغير المستقل في الدراسة الحالية، وهي: التخطيط العمراني وإعادة التصميم، والتأهيل الإنشائي والمعماري، وتحسين البنية التحتية والخدمات، والشراكة بين القطاعين العام والخاص</w:t>
      </w:r>
      <w:r w:rsidRPr="002D2F40">
        <w:rPr>
          <w:rFonts w:ascii="Simplified Arabic" w:eastAsia="Times New Roman" w:hAnsi="Simplified Arabic" w:cs="Simplified Arabic"/>
          <w:color w:val="000000" w:themeColor="text1"/>
          <w:kern w:val="0"/>
          <w:sz w:val="28"/>
          <w:szCs w:val="28"/>
          <w14:ligatures w14:val="none"/>
        </w:rPr>
        <w:t>.</w:t>
      </w:r>
    </w:p>
    <w:p w14:paraId="7AB64EAC"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البُعد الأول: التخطيط العمراني وإعادة التصميم</w:t>
      </w:r>
    </w:p>
    <w:p w14:paraId="3EF5089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التخطيط العمراني وإعادة التصميم البُعد التأسيسي في عمليات إعادة تطوير المنازل السكنية القديمة، إذ يُشكّل الإطار المرجعي الذي تنتظم في ضوئه سائر التدخلات اللاحقة. ويتضمن هذا البُعد إعادة قراءة النسيج العمراني للأحياء القديمة، وتشخيص مواطن الخلل في توزيع الكتل البنائية والفضاءات المفتوحة والشوارع، وإعادة هيكلة الاستخدامات على نحو يستجيب للتحولات الديموغرافية والاقتصادية والاجتماعية. ويستلزم هذا التخطيط رؤية شاملة تستوعب الأبعاد المكانية والوظيفية والجمالية للحي، وتُوازن بين الحفاظ على الهوية العمرانية المحلية وإدماج المعايير الحديثة للتخطيط المستدام</w:t>
      </w:r>
      <w:r w:rsidRPr="002D2F40">
        <w:rPr>
          <w:rFonts w:ascii="Simplified Arabic" w:eastAsia="Times New Roman" w:hAnsi="Simplified Arabic" w:cs="Simplified Arabic"/>
          <w:color w:val="000000" w:themeColor="text1"/>
          <w:kern w:val="0"/>
          <w:sz w:val="28"/>
          <w:szCs w:val="28"/>
          <w14:ligatures w14:val="none"/>
        </w:rPr>
        <w:t xml:space="preserve"> (Ye et al., 2021).</w:t>
      </w:r>
    </w:p>
    <w:p w14:paraId="59580058"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ويتقاطع هذا البُعد مع إعادة تصميم الحيزات الداخلية للمسكن بما يتلاءم مع التحولات في بنية الأسرة وأنماط حياتها، إذ لم يعد المسكن مجرد فضاء للإيواء، بل أصبح بيئة تربوية واجتماعية واقتصادية متعددة الوظائف، تستوجب تصميمًا يدعم أداء الأسرة لأدوارها في ضوء المستجدات المعاصرة (سالم وترك، 2025). كما يستوعب هذا البُعد مبادئ أنسنة المدينة التي تُعيد الاعتبار للبُعد الإنساني في التخطيط العمراني، وتجعل من رفاهية الإنسان وراحته معيارًا مركزيًا في تصميم الفضاء الحضري (حميدات وجلود، 2024)</w:t>
      </w:r>
      <w:r w:rsidRPr="002D2F40">
        <w:rPr>
          <w:rFonts w:ascii="Simplified Arabic" w:eastAsia="Times New Roman" w:hAnsi="Simplified Arabic" w:cs="Simplified Arabic"/>
          <w:color w:val="000000" w:themeColor="text1"/>
          <w:kern w:val="0"/>
          <w:sz w:val="28"/>
          <w:szCs w:val="28"/>
          <w14:ligatures w14:val="none"/>
        </w:rPr>
        <w:t>.</w:t>
      </w:r>
    </w:p>
    <w:p w14:paraId="2012083D"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ويتطلب التخطيط العمراني الفعّال إجراء تقييم دقيق للمناطق الحضرية باستخدام مؤشرات علمية تُمكّن من تشخيص الواقع وتحديد أولويات التدخل، بما يضمن أن تكون قرارات التطوير قائمة على معطيات موضوعية لا على تقديرات انطباعية (محمود، 2025). ويُعزّز هذا التوجه إدماجَ مؤشرات التنمية الحضرية المتصلة بالخدمات التعليمية والصحية في عملية التخطيط، بحيث تُسهم إعادة التصميم في تحسين توزيع هذه الخدمات وكفاءة الوصول إليها (الطائي وعبدالأمير، 2022)</w:t>
      </w:r>
      <w:r w:rsidRPr="002D2F40">
        <w:rPr>
          <w:rFonts w:ascii="Simplified Arabic" w:eastAsia="Times New Roman" w:hAnsi="Simplified Arabic" w:cs="Simplified Arabic"/>
          <w:color w:val="000000" w:themeColor="text1"/>
          <w:kern w:val="0"/>
          <w:sz w:val="28"/>
          <w:szCs w:val="28"/>
          <w14:ligatures w14:val="none"/>
        </w:rPr>
        <w:t>.</w:t>
      </w:r>
    </w:p>
    <w:p w14:paraId="6ED2BE96"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البُعد الثاني: التأهيل الإنشائي والمعماري</w:t>
      </w:r>
    </w:p>
    <w:p w14:paraId="25E663B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يُشكّل التأهيل الإنشائي والمعماري الجوهر المادي لعمليات إعادة التطوير، إذ يتعلق مباشرةً بمعالجة التقادم البنائي للمباني السكنية القديمة، سواء من خلال الترميم أو التدعيم أو إعادة البناء الجزئي أو الكلي. ويتضمن هذا البُعد تقييم السلامة الإنشائية للمباني القائمة، ومعالجة عيوب الأساسات والهياكل والأسقف، وتحديث المنظومات الكهربائية والصحية والميكانيكية، إضافةً إلى تطوير الواجهات والعناصر المعمارية بما يحافظ على الطابع التراثي ويُدمج في الوقت ذاته المعايير المعاصرة للأداء البنائي</w:t>
      </w:r>
      <w:r w:rsidRPr="002D2F40">
        <w:rPr>
          <w:rFonts w:ascii="Simplified Arabic" w:eastAsia="Times New Roman" w:hAnsi="Simplified Arabic" w:cs="Simplified Arabic"/>
          <w:color w:val="000000" w:themeColor="text1"/>
          <w:kern w:val="0"/>
          <w:sz w:val="28"/>
          <w:szCs w:val="28"/>
          <w14:ligatures w14:val="none"/>
        </w:rPr>
        <w:t>.</w:t>
      </w:r>
    </w:p>
    <w:p w14:paraId="128B906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ويرتبط هذا البُعد بمعالجة الحواجز الفنية التي تعترض عمليات إعادة البناء، والتي تشمل ضعف الكفاءات الهندسية المتخصصة في التعامل مع المباني القديمة، وارتفاع تكاليف التأهيل مقارنةً بالبناء الجديد، وصعوبة الالتزام بالاشتراطات الحديثة في مبانٍ صُمّمت وفق معايير قديمة</w:t>
      </w:r>
      <w:r w:rsidRPr="002D2F40">
        <w:rPr>
          <w:rFonts w:ascii="Simplified Arabic" w:eastAsia="Times New Roman" w:hAnsi="Simplified Arabic" w:cs="Simplified Arabic"/>
          <w:color w:val="000000" w:themeColor="text1"/>
          <w:kern w:val="0"/>
          <w:sz w:val="28"/>
          <w:szCs w:val="28"/>
          <w14:ligatures w14:val="none"/>
        </w:rPr>
        <w:t xml:space="preserve"> (Van Nguyen et al., 2024). </w:t>
      </w:r>
      <w:r w:rsidRPr="002D2F40">
        <w:rPr>
          <w:rFonts w:ascii="Simplified Arabic" w:eastAsia="Times New Roman" w:hAnsi="Simplified Arabic" w:cs="Simplified Arabic"/>
          <w:color w:val="000000" w:themeColor="text1"/>
          <w:kern w:val="0"/>
          <w:sz w:val="28"/>
          <w:szCs w:val="28"/>
          <w:rtl/>
          <w14:ligatures w14:val="none"/>
        </w:rPr>
        <w:t>كما يستوجب التأهيل الإنشائي تبنّي معايير الكفاءة في استخدام الموارد، بحيث تُفضي عمليات إعادة البناء إلى مبانٍ أكثر استدامة من حيث استهلاك الطاقة والمياه والمواد</w:t>
      </w:r>
      <w:r w:rsidRPr="002D2F40">
        <w:rPr>
          <w:rFonts w:ascii="Simplified Arabic" w:eastAsia="Times New Roman" w:hAnsi="Simplified Arabic" w:cs="Simplified Arabic"/>
          <w:color w:val="000000" w:themeColor="text1"/>
          <w:kern w:val="0"/>
          <w:sz w:val="28"/>
          <w:szCs w:val="28"/>
          <w14:ligatures w14:val="none"/>
        </w:rPr>
        <w:t>.</w:t>
      </w:r>
    </w:p>
    <w:p w14:paraId="0F2EEEF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ويتكامل هذا البُعد مع تقييم كفاءة التجديد في الأحياء السكنية القديمة من منظور رضا السكان، إذ يُمثّل التأهيل الإنشائي والمعماري التدخل الأكثر بروزًا في إدراك السكان لجودة التطوير، ومن ثَمّ فإن نجاحه يتوقف على مدى استجابته لتوقعاتهم فيما يخص جودة المباني وملاءمتها لاحتياجاتهم</w:t>
      </w:r>
      <w:r w:rsidRPr="002D2F40">
        <w:rPr>
          <w:rFonts w:ascii="Simplified Arabic" w:eastAsia="Times New Roman" w:hAnsi="Simplified Arabic" w:cs="Simplified Arabic"/>
          <w:color w:val="000000" w:themeColor="text1"/>
          <w:kern w:val="0"/>
          <w:sz w:val="28"/>
          <w:szCs w:val="28"/>
          <w14:ligatures w14:val="none"/>
        </w:rPr>
        <w:t xml:space="preserve"> (Li et al., 2024).</w:t>
      </w:r>
    </w:p>
    <w:p w14:paraId="1691909C"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البُعد الثالث: تحسين البنية التحتية والخدمات</w:t>
      </w:r>
    </w:p>
    <w:p w14:paraId="69656A3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يتجاوز هذا البُعد التركيز على المبنى الفردي إلى الاهتمام بالمنظومة الخدمية المحيطة به، إذ إن جودة الحياة في الحي السكني لا تتحدد بجودة المساكن وحدها، بل بكفاءة شبكات البنية التحتية والخدمات المتاحة فيه. ويتضمن هذا البُعد تطوير شبكات الطرق والنقل العام، وتحديث منظومات المياه والصرف الصحي </w:t>
      </w:r>
      <w:r w:rsidRPr="002D2F40">
        <w:rPr>
          <w:rFonts w:ascii="Simplified Arabic" w:eastAsia="Times New Roman" w:hAnsi="Simplified Arabic" w:cs="Simplified Arabic"/>
          <w:color w:val="000000" w:themeColor="text1"/>
          <w:kern w:val="0"/>
          <w:sz w:val="28"/>
          <w:szCs w:val="28"/>
          <w:rtl/>
          <w14:ligatures w14:val="none"/>
        </w:rPr>
        <w:lastRenderedPageBreak/>
        <w:t>والكهرباء والاتصالات، وتحسين خدمات النظافة وإدارة النفايات، فضلًا عن تطوير الخدمات التعليمية والصحية والترفيهية والتجارية في نطاق الحي</w:t>
      </w:r>
      <w:r w:rsidRPr="002D2F40">
        <w:rPr>
          <w:rFonts w:ascii="Simplified Arabic" w:eastAsia="Times New Roman" w:hAnsi="Simplified Arabic" w:cs="Simplified Arabic"/>
          <w:color w:val="000000" w:themeColor="text1"/>
          <w:kern w:val="0"/>
          <w:sz w:val="28"/>
          <w:szCs w:val="28"/>
          <w14:ligatures w14:val="none"/>
        </w:rPr>
        <w:t>.</w:t>
      </w:r>
    </w:p>
    <w:p w14:paraId="72A8AD00"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ويستند هذا البُعد إلى ما طرحته الأدبيات حول مؤشرات جودة الحياة الحضرية، التي تُبرز مركزية البنية التحتية والخدمات في تقييم نوعية الحياة في المناطق الحضرية (رحيل وعلي، 2025). كما يتكامل مع التوجهات الحديثة التي تربط جودة الخدمات الحضرية بالتطورات التقنية، حيث يُسهم توظيف الذكاء الاصطناعي والتقنيات الرقمية في رفع كفاءة تقديم الخدمات الحضرية وتحسين تجربة المستفيدين منها</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Kulal</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w:t>
      </w:r>
    </w:p>
    <w:p w14:paraId="4C01BDDA"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ويرتبط هذا البُعد بمفهوم أنسنة المدينة الذي يستهدف جعل الفضاء الحضري أكثر ملاءمة لحياة الإنسان، من خلال توفير بيئة آمنة وصحية ومريحة، تُلبي احتياجاته اليومية وتُعزّز رفاهيته (حميدات وجلود، 2024). كما يتقاطع مع جهود تحسين كفاءة الخدمات الحكومية المقدّمة للسكان، إذ تُمثّل الأحياء السكنية المعاد تطويرها ميدانًا تطبيقيًا لاختبار قدرة الجهات الحكومية على رفع جودة خدماتها (الجوهر، 2024)</w:t>
      </w:r>
      <w:r w:rsidRPr="002D2F40">
        <w:rPr>
          <w:rFonts w:ascii="Simplified Arabic" w:eastAsia="Times New Roman" w:hAnsi="Simplified Arabic" w:cs="Simplified Arabic"/>
          <w:color w:val="000000" w:themeColor="text1"/>
          <w:kern w:val="0"/>
          <w:sz w:val="28"/>
          <w:szCs w:val="28"/>
          <w14:ligatures w14:val="none"/>
        </w:rPr>
        <w:t>.</w:t>
      </w:r>
    </w:p>
    <w:p w14:paraId="79DD40EA"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البُعد الرابع: الشراكة بين القطاعين العام والخاص</w:t>
      </w:r>
    </w:p>
    <w:p w14:paraId="3810405A"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هذا البُعد الإطار المؤسسي والتمويلي الذي تنتظم في ضوئه عمليات إعادة التطوير، إذ إن ضخامة المشروعات وتعقّدها يجعلان من غير الممكن الاعتماد على القطاع العام وحده في تنفيذها، وإنما يستوجبان تفعيل صيغ شراكة متطورة مع القطاع الخاص. ويتضمن هذا البُعد تطوير أطر قانونية وتنظيمية تُحفّز الاستثمار الخاص في إعادة التطوير، وتوزيع الأدوار والمخاطر بين الشركاء بصورة عادلة، وتصميم آليات تمويلية مبتكرة تجمع بين التمويل الحكومي والاستثمار الخاص</w:t>
      </w:r>
      <w:r w:rsidRPr="002D2F40">
        <w:rPr>
          <w:rFonts w:ascii="Simplified Arabic" w:eastAsia="Times New Roman" w:hAnsi="Simplified Arabic" w:cs="Simplified Arabic"/>
          <w:color w:val="000000" w:themeColor="text1"/>
          <w:kern w:val="0"/>
          <w:sz w:val="28"/>
          <w:szCs w:val="28"/>
          <w14:ligatures w14:val="none"/>
        </w:rPr>
        <w:t>.</w:t>
      </w:r>
    </w:p>
    <w:p w14:paraId="62819389"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ويستند هذا البُعد إلى ما طرحته الأدبيات حول مركزية أصحاب المصلحة المتعددين في إعادة التطوير، إذ تُمثّل الشراكة بين القطاعين منصة لتفعيل أدوار الفاعلين المتباينين وبناء توافقات بينهم حول أولويات التطوير وآلياته</w:t>
      </w:r>
      <w:r w:rsidRPr="002D2F40">
        <w:rPr>
          <w:rFonts w:ascii="Simplified Arabic" w:eastAsia="Times New Roman" w:hAnsi="Simplified Arabic" w:cs="Simplified Arabic"/>
          <w:color w:val="000000" w:themeColor="text1"/>
          <w:kern w:val="0"/>
          <w:sz w:val="28"/>
          <w:szCs w:val="28"/>
          <w14:ligatures w14:val="none"/>
        </w:rPr>
        <w:t xml:space="preserve"> (Bai et al., 2023). </w:t>
      </w:r>
      <w:r w:rsidRPr="002D2F40">
        <w:rPr>
          <w:rFonts w:ascii="Simplified Arabic" w:eastAsia="Times New Roman" w:hAnsi="Simplified Arabic" w:cs="Simplified Arabic"/>
          <w:color w:val="000000" w:themeColor="text1"/>
          <w:kern w:val="0"/>
          <w:sz w:val="28"/>
          <w:szCs w:val="28"/>
          <w:rtl/>
          <w14:ligatures w14:val="none"/>
        </w:rPr>
        <w:t>كما يتكامل مع توجهات تحسين الخدمات في القطاع العام التي تُبرز أهمية الاستفادة من خبرات القطاع الخاص ومنطقه الإداري في رفع كفاءة العمليات الحكومية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Breen</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2020).</w:t>
      </w:r>
    </w:p>
    <w:p w14:paraId="2005DC9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ويُسهم هذا البُعد في معالجة الحواجز المالية التي تعترض إعادة التطوير، عبر تنويع مصادر التمويل وتوسيع قاعدة المستثمرين، كما يُتيح نقل المعرفة التقنية والإدارية من القطاع الخاص إلى المشروعات الحضرية، مما يرفع من احتمالات نجاحها</w:t>
      </w:r>
      <w:r w:rsidRPr="002D2F40">
        <w:rPr>
          <w:rFonts w:ascii="Simplified Arabic" w:eastAsia="Times New Roman" w:hAnsi="Simplified Arabic" w:cs="Simplified Arabic"/>
          <w:color w:val="000000" w:themeColor="text1"/>
          <w:kern w:val="0"/>
          <w:sz w:val="28"/>
          <w:szCs w:val="28"/>
          <w14:ligatures w14:val="none"/>
        </w:rPr>
        <w:t xml:space="preserve"> (Van Nguyen et al., 2024). </w:t>
      </w:r>
      <w:r w:rsidRPr="002D2F40">
        <w:rPr>
          <w:rFonts w:ascii="Simplified Arabic" w:eastAsia="Times New Roman" w:hAnsi="Simplified Arabic" w:cs="Simplified Arabic"/>
          <w:color w:val="000000" w:themeColor="text1"/>
          <w:kern w:val="0"/>
          <w:sz w:val="28"/>
          <w:szCs w:val="28"/>
          <w:rtl/>
          <w14:ligatures w14:val="none"/>
        </w:rPr>
        <w:t>ويتقاطع هذا البُعد مع جهود تحسين أداء الخدمات العامة من خلال الاستفادة من نماذج إدارية مبتكرة</w:t>
      </w:r>
      <w:r w:rsidRPr="002D2F40">
        <w:rPr>
          <w:rFonts w:ascii="Simplified Arabic" w:eastAsia="Times New Roman" w:hAnsi="Simplified Arabic" w:cs="Simplified Arabic"/>
          <w:color w:val="000000" w:themeColor="text1"/>
          <w:kern w:val="0"/>
          <w:sz w:val="28"/>
          <w:szCs w:val="28"/>
          <w14:ligatures w14:val="none"/>
        </w:rPr>
        <w:t xml:space="preserve"> (Imran &amp; Ram</w:t>
      </w:r>
      <w:r w:rsidRPr="002D2F40">
        <w:rPr>
          <w:rFonts w:ascii="Cambria" w:eastAsia="Times New Roman" w:hAnsi="Cambria" w:cs="Cambria"/>
          <w:color w:val="000000" w:themeColor="text1"/>
          <w:kern w:val="0"/>
          <w:sz w:val="28"/>
          <w:szCs w:val="28"/>
          <w14:ligatures w14:val="none"/>
        </w:rPr>
        <w:t>í</w:t>
      </w:r>
      <w:r w:rsidRPr="002D2F40">
        <w:rPr>
          <w:rFonts w:ascii="Simplified Arabic" w:eastAsia="Times New Roman" w:hAnsi="Simplified Arabic" w:cs="Simplified Arabic"/>
          <w:color w:val="000000" w:themeColor="text1"/>
          <w:kern w:val="0"/>
          <w:sz w:val="28"/>
          <w:szCs w:val="28"/>
          <w14:ligatures w14:val="none"/>
        </w:rPr>
        <w:t>rez, 2022).</w:t>
      </w:r>
    </w:p>
    <w:p w14:paraId="1BED57D1" w14:textId="43C34D92"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500669"/>
      <w:r w:rsidRPr="002D2F40">
        <w:rPr>
          <w:rFonts w:ascii="Simplified Arabic" w:eastAsia="Times New Roman" w:hAnsi="Simplified Arabic" w:cs="Simplified Arabic" w:hint="cs"/>
          <w:b/>
          <w:bCs/>
          <w:color w:val="000000" w:themeColor="text1"/>
          <w:kern w:val="0"/>
          <w:sz w:val="32"/>
          <w:szCs w:val="32"/>
          <w:rtl/>
          <w14:ligatures w14:val="none"/>
        </w:rPr>
        <w:t>6.1.2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استراتيجيات إعادة تطوير المنازل السكنية القديمة</w:t>
      </w:r>
      <w:bookmarkEnd w:id="33"/>
    </w:p>
    <w:p w14:paraId="7B4EAC29"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تتنوع الاستراتيجيات المعتمدة في إعادة تطوير المنازل السكنية القديمة بتنوع السياقات والأولويات، غير أنه يمكن تمييز جملة من الاستراتيجيات الجوهرية التي طرحتها الأدبيات المتخصصة. وتتمثل الاستراتيجية الأولى في الاستراتيجية التدرّجية القائمة على التدخل المرحلي، التي تُفضّل التطوير التدريجي للأحياء على مراحل متعاقبة بدلًا من التدخل الشامل المفاجئ، بما يُتيح تراكم الخبرات وتعديل المسار في ضوء التغذية الراجعة. وتستند هذه الاستراتيجية إلى منطق التعلّم المؤسسي، حيث تُمثّل كل مرحلة فرصة لاختبار الفرضيات وتطوير الأدوات</w:t>
      </w:r>
      <w:r w:rsidRPr="002D2F40">
        <w:rPr>
          <w:rFonts w:ascii="Simplified Arabic" w:eastAsia="Times New Roman" w:hAnsi="Simplified Arabic" w:cs="Simplified Arabic"/>
          <w:color w:val="000000" w:themeColor="text1"/>
          <w:kern w:val="0"/>
          <w:sz w:val="28"/>
          <w:szCs w:val="28"/>
          <w14:ligatures w14:val="none"/>
        </w:rPr>
        <w:t xml:space="preserve"> (Ye et al., 2021).</w:t>
      </w:r>
    </w:p>
    <w:p w14:paraId="142FACCA"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وتتمحور الاستراتيجية الثانية حول التطوير التشاركي الذي يُفعّل أدوار أصحاب المصلحة المتعددين في صنع القرار وتنفيذه، ويُعزّز الشفافية والمساءلة، ويبني توافقات حضرية حول أولويات التطوير</w:t>
      </w:r>
      <w:r w:rsidRPr="002D2F40">
        <w:rPr>
          <w:rFonts w:ascii="Simplified Arabic" w:eastAsia="Times New Roman" w:hAnsi="Simplified Arabic" w:cs="Simplified Arabic"/>
          <w:color w:val="000000" w:themeColor="text1"/>
          <w:kern w:val="0"/>
          <w:sz w:val="28"/>
          <w:szCs w:val="28"/>
          <w14:ligatures w14:val="none"/>
        </w:rPr>
        <w:t xml:space="preserve"> (Bai et al., 2023). </w:t>
      </w:r>
      <w:r w:rsidRPr="002D2F40">
        <w:rPr>
          <w:rFonts w:ascii="Simplified Arabic" w:eastAsia="Times New Roman" w:hAnsi="Simplified Arabic" w:cs="Simplified Arabic"/>
          <w:color w:val="000000" w:themeColor="text1"/>
          <w:kern w:val="0"/>
          <w:sz w:val="28"/>
          <w:szCs w:val="28"/>
          <w:rtl/>
          <w14:ligatures w14:val="none"/>
        </w:rPr>
        <w:t>وتستند الاستراتيجية الثالثة إلى التطوير المُوجَّه بمؤشرات جودة الحياة، حيث تُحدَّد أولويات التدخل في ضوء تشخيص دقيق لمستويات جودة الحياة في الأحياء المستهدفة باستخدام مؤشرات علمية موضوعية (رحيل وعلي، 2025). أما الاستراتيجية الرابعة فتتمثل في التطوير المُمكَّن رقميًا، الذي يستفيد من التحول الرقمي في إدارة المشروعات العمرانية وتقديم الخدمات الحضرية، ويُوظّف التقنيات الحديثة في رفع كفاءة التطوير</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Latupeirissa</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w:t>
      </w:r>
    </w:p>
    <w:p w14:paraId="040479A8"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وتُمثّل هذه الاستراتيجيات مدخلًا تكامليًا لإعادة التطوير، إذ لا تتعارض فيما بينها وإنما تتكامل في إطار رؤية شاملة، تستهدف تحقيق الأهداف الاقتصادية والاجتماعية والعمرانية والبيئية لعمليات إعادة التطوير</w:t>
      </w:r>
      <w:r w:rsidRPr="002D2F40">
        <w:rPr>
          <w:rFonts w:ascii="Simplified Arabic" w:eastAsia="Times New Roman" w:hAnsi="Simplified Arabic" w:cs="Simplified Arabic"/>
          <w:color w:val="000000" w:themeColor="text1"/>
          <w:kern w:val="0"/>
          <w:sz w:val="28"/>
          <w:szCs w:val="28"/>
          <w14:ligatures w14:val="none"/>
        </w:rPr>
        <w:t>.</w:t>
      </w:r>
    </w:p>
    <w:p w14:paraId="30210958" w14:textId="7AE15EC9" w:rsidR="00955473" w:rsidRPr="002D2F40" w:rsidRDefault="00926B42" w:rsidP="00926B42">
      <w:pPr>
        <w:jc w:val="center"/>
        <w:outlineLvl w:val="1"/>
        <w:rPr>
          <w:rFonts w:ascii="Simplified Arabic" w:eastAsia="Times New Roman" w:hAnsi="Simplified Arabic" w:cs="Simplified Arabic"/>
          <w:b/>
          <w:bCs/>
          <w:color w:val="000000" w:themeColor="text1"/>
          <w:kern w:val="0"/>
          <w:sz w:val="36"/>
          <w:szCs w:val="36"/>
          <w14:ligatures w14:val="none"/>
        </w:rPr>
      </w:pPr>
      <w:r w:rsidRPr="002D2F40">
        <w:rPr>
          <w:rFonts w:ascii="Simplified Arabic" w:eastAsia="Times New Roman" w:hAnsi="Simplified Arabic" w:cs="Simplified Arabic"/>
          <w:b/>
          <w:bCs/>
          <w:color w:val="000000" w:themeColor="text1"/>
          <w:kern w:val="0"/>
          <w:sz w:val="36"/>
          <w:szCs w:val="36"/>
          <w14:ligatures w14:val="none"/>
        </w:rPr>
        <w:br w:type="page"/>
      </w:r>
      <w:bookmarkStart w:id="34" w:name="_Toc233500670"/>
      <w:r w:rsidR="00955473" w:rsidRPr="002D2F40">
        <w:rPr>
          <w:rFonts w:ascii="Simplified Arabic" w:eastAsia="Times New Roman" w:hAnsi="Simplified Arabic" w:cs="Simplified Arabic"/>
          <w:b/>
          <w:bCs/>
          <w:color w:val="000000" w:themeColor="text1"/>
          <w:kern w:val="0"/>
          <w:sz w:val="36"/>
          <w:szCs w:val="36"/>
          <w:rtl/>
          <w14:ligatures w14:val="none"/>
        </w:rPr>
        <w:lastRenderedPageBreak/>
        <w:t>المبحث الثاني: تعظيم العائد الاستثماري وتحسين جودة الحياة الحضرية</w:t>
      </w:r>
      <w:bookmarkEnd w:id="34"/>
    </w:p>
    <w:p w14:paraId="7E704B48" w14:textId="6565AE2D"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500671"/>
      <w:r w:rsidRPr="002D2F40">
        <w:rPr>
          <w:rFonts w:ascii="Simplified Arabic" w:eastAsia="Times New Roman" w:hAnsi="Simplified Arabic" w:cs="Simplified Arabic" w:hint="cs"/>
          <w:b/>
          <w:bCs/>
          <w:color w:val="000000" w:themeColor="text1"/>
          <w:kern w:val="0"/>
          <w:sz w:val="32"/>
          <w:szCs w:val="32"/>
          <w:rtl/>
          <w14:ligatures w14:val="none"/>
        </w:rPr>
        <w:t xml:space="preserve">1.2.2 </w:t>
      </w:r>
      <w:r w:rsidR="00955473" w:rsidRPr="002D2F40">
        <w:rPr>
          <w:rFonts w:ascii="Simplified Arabic" w:eastAsia="Times New Roman" w:hAnsi="Simplified Arabic" w:cs="Simplified Arabic"/>
          <w:b/>
          <w:bCs/>
          <w:color w:val="000000" w:themeColor="text1"/>
          <w:kern w:val="0"/>
          <w:sz w:val="32"/>
          <w:szCs w:val="32"/>
          <w:rtl/>
          <w14:ligatures w14:val="none"/>
        </w:rPr>
        <w:t>تمهيد</w:t>
      </w:r>
      <w:bookmarkEnd w:id="35"/>
    </w:p>
    <w:p w14:paraId="350512F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تعظيم العائد الاستثماري وتحسين جودة الحياة الحضرية محصلة مركّبة تتقاطع فيها الأبعاد الاقتصادية والاجتماعية والعمرانية، وتُجسّد في الوقت ذاته الغاية النهائية التي تتجه إليها معظم التدخلات التنموية في الفضاء الحضري المعاصر. فعلى الرغم من أن العائد الاستثماري وجودة الحياة الحضرية يبدوان للوهلة الأولى مفهومين متمايزين، أحدهما اقتصادي يتصل بالكفاءة والربحية والآخر إنساني يتصل بالرفاهية والرضا، إلا أن الأدبيات الحديثة في الإدارة الحضرية والتنمية العمرانية كشفت عن ترابط عضوي بينهما، إذ لا يمكن استدامة العائد الاستثماري في المدى البعيد دون توفر بيئة حضرية ذات جودة عالية تجذب السكان والمستثمرين، كما لا يمكن تحقيق جودة حياة حضرية حقيقية دون توفر موارد اقتصادية كافية تُموّل التدخلات المطلوبة لتحسين البيئة الحضرية. ومن ثَمّ، فإن دمج المفهومين في متغير تابع واحد يعكس وعيًا متقدمًا بطبيعة العلاقة التكاملية بينهما، ويُتيح قياس الأثر المركّب لإعادة التطوير العمراني بصورة أكثر شمولًا وواقعية</w:t>
      </w:r>
      <w:r w:rsidRPr="002D2F40">
        <w:rPr>
          <w:rFonts w:ascii="Simplified Arabic" w:eastAsia="Times New Roman" w:hAnsi="Simplified Arabic" w:cs="Simplified Arabic"/>
          <w:color w:val="000000" w:themeColor="text1"/>
          <w:kern w:val="0"/>
          <w:sz w:val="28"/>
          <w:szCs w:val="28"/>
          <w14:ligatures w14:val="none"/>
        </w:rPr>
        <w:t>.</w:t>
      </w:r>
    </w:p>
    <w:p w14:paraId="1EB4CF9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سياق الأحياء السكنية القديمة بمدينة الرياض، يكتسب هذا المتغير دلالات خاصة، إذ تنطوي هذه الأحياء على إمكانات استثمارية كبيرة لم تُستثمر بعد بكفاءة، وتعاني في الوقت ذاته من تحديات تتصل بجودة الحياة الحضرية تشمل تقادم البنية التحتية، وتراجع الخدمات، وضعف الفضاءات العامة، ومحدودية الجاذبية السكنية والاستثمارية. ومن ثَمّ، فإن أي تدخل تطويري في هذه الأحياء يستوجب أن يُقاس أثره على هذين المحورين معًا، باعتبارهما المؤشرين الأكثر دلالةً على نجاح التدخل من منظور الفاعلين الاقتصاديين والمستفيدين النهائيين على حد سواء</w:t>
      </w:r>
      <w:r w:rsidRPr="002D2F40">
        <w:rPr>
          <w:rFonts w:ascii="Simplified Arabic" w:eastAsia="Times New Roman" w:hAnsi="Simplified Arabic" w:cs="Simplified Arabic"/>
          <w:color w:val="000000" w:themeColor="text1"/>
          <w:kern w:val="0"/>
          <w:sz w:val="28"/>
          <w:szCs w:val="28"/>
          <w14:ligatures w14:val="none"/>
        </w:rPr>
        <w:t>.</w:t>
      </w:r>
    </w:p>
    <w:p w14:paraId="198DA3FD"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ويسعى هذا المبحث إلى تقديم تأصيل نظري معمّق للمتغير التابع، يستوعب التعريفات المختلفة التي طرحها الباحثون، ويُحلّل أهميته وأهدافه، ويُفصّل أبعاده ومحاوره، بما يُمهّد لاختبار العلاقة بينه وبين المتغير المستقل في الدراسة الحالية</w:t>
      </w:r>
      <w:r w:rsidRPr="002D2F40">
        <w:rPr>
          <w:rFonts w:ascii="Simplified Arabic" w:eastAsia="Times New Roman" w:hAnsi="Simplified Arabic" w:cs="Simplified Arabic"/>
          <w:color w:val="000000" w:themeColor="text1"/>
          <w:kern w:val="0"/>
          <w:sz w:val="28"/>
          <w:szCs w:val="28"/>
          <w14:ligatures w14:val="none"/>
        </w:rPr>
        <w:t>.</w:t>
      </w:r>
    </w:p>
    <w:p w14:paraId="69D8CE3D" w14:textId="4B22F2E9"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500672"/>
      <w:r w:rsidRPr="002D2F40">
        <w:rPr>
          <w:rFonts w:ascii="Simplified Arabic" w:eastAsia="Times New Roman" w:hAnsi="Simplified Arabic" w:cs="Simplified Arabic" w:hint="cs"/>
          <w:b/>
          <w:bCs/>
          <w:color w:val="000000" w:themeColor="text1"/>
          <w:kern w:val="0"/>
          <w:sz w:val="32"/>
          <w:szCs w:val="32"/>
          <w:rtl/>
          <w14:ligatures w14:val="none"/>
        </w:rPr>
        <w:t xml:space="preserve">2.2.2 </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مفهوم تعظيم العائد الاستثماري وتحسين جودة الحياة الحضرية</w:t>
      </w:r>
      <w:bookmarkEnd w:id="36"/>
    </w:p>
    <w:p w14:paraId="3D6CF63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تتعدد التعريفات التي طرحها الباحثون لمفهوم تعظيم العائد الاستثماري وتحسين جودة الحياة الحضرية بتعدد المداخل النظرية والحقول المعرفية التي اقتربت من هذه الظاهرة، إذ يتقاطع المفهوم مع الاقتصاد العقاري وعلم الاجتماع الحضري والإدارة العامة والتخطيط العمراني، مما أفرز مدارس متباينة في تحديد دلالاته</w:t>
      </w:r>
      <w:r w:rsidRPr="002D2F40">
        <w:rPr>
          <w:rFonts w:ascii="Simplified Arabic" w:eastAsia="Times New Roman" w:hAnsi="Simplified Arabic" w:cs="Simplified Arabic"/>
          <w:color w:val="000000" w:themeColor="text1"/>
          <w:kern w:val="0"/>
          <w:sz w:val="28"/>
          <w:szCs w:val="28"/>
          <w14:ligatures w14:val="none"/>
        </w:rPr>
        <w:t>.</w:t>
      </w:r>
    </w:p>
    <w:p w14:paraId="182F7A9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فمن منظور جغرافي تقييمي، تُعرَّف جودة الحياة الحضرية بوصفها محصلة لجملة من المعايير الموضوعية التي تتصل بالبيئة الحضرية وخصائصها العمرانية والخدمية والبيئية، ويُمكن تقييمها من خلال مؤشر مقترح يُتيح قياسها قياسًا منهجيًا في المناطق الحضرية المختلفة (محمود، 2025). ويعكس هذا المنظور توجهًا علميًا يسعى إلى تجاوز التقديرات الانطباعية إلى قياس موضوعي يستند إلى مؤشرات قابلة للتحقق</w:t>
      </w:r>
      <w:r w:rsidRPr="002D2F40">
        <w:rPr>
          <w:rFonts w:ascii="Simplified Arabic" w:eastAsia="Times New Roman" w:hAnsi="Simplified Arabic" w:cs="Simplified Arabic"/>
          <w:color w:val="000000" w:themeColor="text1"/>
          <w:kern w:val="0"/>
          <w:sz w:val="28"/>
          <w:szCs w:val="28"/>
          <w14:ligatures w14:val="none"/>
        </w:rPr>
        <w:t>.</w:t>
      </w:r>
    </w:p>
    <w:p w14:paraId="707E08E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ومن زاوية تقييمية شاملة، يُعرَّف المفهوم بدلالة المستويات الموضوعية الشاملة لجودة الحياة الحضرية، حيث يتم التركيز على الأبعاد القابلة للقياس بمعزل عن الإدراك الذاتي للسكان، بما يُتيح إجراء مقارنات بين المناطق الحضرية المختلفة ورصد تطور أوضاعها عبر الزمن (رحيل وعلي، 2025). ويُكمل هذا الطرحَ توجهٌ آخر يربط المفهوم بمؤشرات التنمية الحضرية المتصلة بالخدمات التعليمية والصحية، ويرى أن جودة الحياة في المدن تتشكّل بصورة جوهرية من خلال كفاءة هذه الخدمات وعدالة توزيعها (الطائي وعبدالأمير، 2022)</w:t>
      </w:r>
      <w:r w:rsidRPr="002D2F40">
        <w:rPr>
          <w:rFonts w:ascii="Simplified Arabic" w:eastAsia="Times New Roman" w:hAnsi="Simplified Arabic" w:cs="Simplified Arabic"/>
          <w:color w:val="000000" w:themeColor="text1"/>
          <w:kern w:val="0"/>
          <w:sz w:val="28"/>
          <w:szCs w:val="28"/>
          <w14:ligatures w14:val="none"/>
        </w:rPr>
        <w:t>.</w:t>
      </w:r>
    </w:p>
    <w:p w14:paraId="2E288C44"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سياق المدخل الحضري الإنساني، يُقدَّم المفهوم بوصفه تجسيدًا لأنسنة المدينة، أي إعادة الاعتبار للبُعد الإنساني في التخطيط والإدارة الحضرية، بحيث تُصبح المدينة فضاءً يستجيب لاحتياجات الإنسان الجسدية والنفسية والاجتماعية، ويُعزّز رفاهيته وانتماءه (حميدات وجلود، 2024). ويُمثّل هذا الفهم تطورًا نوعيًا في الإدراك العمراني، إذ ينقل المدينة من كونها مجرد فضاء وظيفي إلى كونها بيئة إنسانية متكاملة</w:t>
      </w:r>
      <w:r w:rsidRPr="002D2F40">
        <w:rPr>
          <w:rFonts w:ascii="Simplified Arabic" w:eastAsia="Times New Roman" w:hAnsi="Simplified Arabic" w:cs="Simplified Arabic"/>
          <w:color w:val="000000" w:themeColor="text1"/>
          <w:kern w:val="0"/>
          <w:sz w:val="28"/>
          <w:szCs w:val="28"/>
          <w14:ligatures w14:val="none"/>
        </w:rPr>
        <w:t>.</w:t>
      </w:r>
    </w:p>
    <w:p w14:paraId="6499DA6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ومن منظور سعودي، يُعرَّف المفهوم بدلالة جودة الحياة السكنية في المدن الكبرى، حيث تتشكّل من تفاعل عناصر متعددة تشمل خصائص المسكن وبيئته المباشرة والخدمات المتاحة فيه ومدى ملاءمته لاحتياجات السكان (الجهني، 2024). ويتكامل هذا التعريف مع التوجهات الحديثة التي تربط جودة المسكن بدور الأسرة وتحوّلاتها المعاصرة (سالم وترك، 2025)</w:t>
      </w:r>
      <w:r w:rsidRPr="002D2F40">
        <w:rPr>
          <w:rFonts w:ascii="Simplified Arabic" w:eastAsia="Times New Roman" w:hAnsi="Simplified Arabic" w:cs="Simplified Arabic"/>
          <w:color w:val="000000" w:themeColor="text1"/>
          <w:kern w:val="0"/>
          <w:sz w:val="28"/>
          <w:szCs w:val="28"/>
          <w14:ligatures w14:val="none"/>
        </w:rPr>
        <w:t>.</w:t>
      </w:r>
    </w:p>
    <w:p w14:paraId="7D5C891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أما فيما يخص الشق المتعلق بالعائد الاستثماري، فيُقدَّم في الأدبيات بوصفه محصلة الكفاءة في توظيف الموارد الاستثمارية في المشروعات العمرانية، ويتشكّل من تفاعل عناصر متعددة تشمل العائد المالي المباشر وأثر التطوير على القيم العقارية وحجم الاستثمارات المستقطبة</w:t>
      </w:r>
      <w:r w:rsidRPr="002D2F40">
        <w:rPr>
          <w:rFonts w:ascii="Simplified Arabic" w:eastAsia="Times New Roman" w:hAnsi="Simplified Arabic" w:cs="Simplified Arabic"/>
          <w:color w:val="000000" w:themeColor="text1"/>
          <w:kern w:val="0"/>
          <w:sz w:val="28"/>
          <w:szCs w:val="28"/>
          <w14:ligatures w14:val="none"/>
        </w:rPr>
        <w:t xml:space="preserve"> (Li et al., 2024). </w:t>
      </w:r>
      <w:r w:rsidRPr="002D2F40">
        <w:rPr>
          <w:rFonts w:ascii="Simplified Arabic" w:eastAsia="Times New Roman" w:hAnsi="Simplified Arabic" w:cs="Simplified Arabic"/>
          <w:color w:val="000000" w:themeColor="text1"/>
          <w:kern w:val="0"/>
          <w:sz w:val="28"/>
          <w:szCs w:val="28"/>
          <w:rtl/>
          <w14:ligatures w14:val="none"/>
        </w:rPr>
        <w:t>ويتكامل هذا الفهم مع توجهات تحسين كفاءة الخدمات العامة التي تربط بين الكفاءة الاقتصادية وجودة المخرجات الخدمية المقدّمة للمستفيدين</w:t>
      </w:r>
      <w:r w:rsidRPr="002D2F40">
        <w:rPr>
          <w:rFonts w:ascii="Simplified Arabic" w:eastAsia="Times New Roman" w:hAnsi="Simplified Arabic" w:cs="Simplified Arabic"/>
          <w:color w:val="000000" w:themeColor="text1"/>
          <w:kern w:val="0"/>
          <w:sz w:val="28"/>
          <w:szCs w:val="28"/>
          <w14:ligatures w14:val="none"/>
        </w:rPr>
        <w:t xml:space="preserve"> (Imran &amp; Ram</w:t>
      </w:r>
      <w:r w:rsidRPr="002D2F40">
        <w:rPr>
          <w:rFonts w:ascii="Cambria" w:eastAsia="Times New Roman" w:hAnsi="Cambria" w:cs="Cambria"/>
          <w:color w:val="000000" w:themeColor="text1"/>
          <w:kern w:val="0"/>
          <w:sz w:val="28"/>
          <w:szCs w:val="28"/>
          <w14:ligatures w14:val="none"/>
        </w:rPr>
        <w:t>í</w:t>
      </w:r>
      <w:r w:rsidRPr="002D2F40">
        <w:rPr>
          <w:rFonts w:ascii="Simplified Arabic" w:eastAsia="Times New Roman" w:hAnsi="Simplified Arabic" w:cs="Simplified Arabic"/>
          <w:color w:val="000000" w:themeColor="text1"/>
          <w:kern w:val="0"/>
          <w:sz w:val="28"/>
          <w:szCs w:val="28"/>
          <w14:ligatures w14:val="none"/>
        </w:rPr>
        <w:t>rez, 2022).</w:t>
      </w:r>
    </w:p>
    <w:p w14:paraId="62052CB9" w14:textId="086D19DE"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ومن منظور تكاملي، يُقدَّم المفهوم بوصفه محصلة مركّبة تجمع بين الكفاءة الاقتصادية والرفاهية الاجتماعية، إذ إن المشروعات العمرانية الناجحة هي تلك التي تُحقّق توازنًا بين تعظيم العائد للمستثمرين وتحسين جودة الحياة للسكان، بحيث يتعزز كل منهما بالآخر في حلقة إيجابية متصاعدة</w:t>
      </w:r>
      <w:r w:rsidRPr="002D2F40">
        <w:rPr>
          <w:rFonts w:ascii="Simplified Arabic" w:eastAsia="Times New Roman" w:hAnsi="Simplified Arabic" w:cs="Simplified Arabic"/>
          <w:color w:val="000000" w:themeColor="text1"/>
          <w:kern w:val="0"/>
          <w:sz w:val="28"/>
          <w:szCs w:val="28"/>
          <w14:ligatures w14:val="none"/>
        </w:rPr>
        <w:t xml:space="preserve"> (Muhammed &amp; </w:t>
      </w:r>
      <w:proofErr w:type="spellStart"/>
      <w:r w:rsidRPr="002D2F40">
        <w:rPr>
          <w:rFonts w:ascii="Simplified Arabic" w:eastAsia="Times New Roman" w:hAnsi="Simplified Arabic" w:cs="Simplified Arabic"/>
          <w:color w:val="000000" w:themeColor="text1"/>
          <w:kern w:val="0"/>
          <w:sz w:val="28"/>
          <w:szCs w:val="28"/>
          <w14:ligatures w14:val="none"/>
        </w:rPr>
        <w:t>Abubakar</w:t>
      </w:r>
      <w:proofErr w:type="spellEnd"/>
      <w:r w:rsidRPr="002D2F40">
        <w:rPr>
          <w:rFonts w:ascii="Simplified Arabic" w:eastAsia="Times New Roman" w:hAnsi="Simplified Arabic" w:cs="Simplified Arabic"/>
          <w:color w:val="000000" w:themeColor="text1"/>
          <w:kern w:val="0"/>
          <w:sz w:val="28"/>
          <w:szCs w:val="28"/>
          <w14:ligatures w14:val="none"/>
        </w:rPr>
        <w:t xml:space="preserve">, 2022). </w:t>
      </w:r>
      <w:r w:rsidRPr="002D2F40">
        <w:rPr>
          <w:rFonts w:ascii="Simplified Arabic" w:eastAsia="Times New Roman" w:hAnsi="Simplified Arabic" w:cs="Simplified Arabic"/>
          <w:color w:val="000000" w:themeColor="text1"/>
          <w:kern w:val="0"/>
          <w:sz w:val="28"/>
          <w:szCs w:val="28"/>
          <w:rtl/>
          <w14:ligatures w14:val="none"/>
        </w:rPr>
        <w:t>ويتقاطع هذا الفهم مع التوجهات الحديثة التي تربط بين الابتكار في تقديم الخدمات الحكومية وتحسين جودة الحياة الحضرية (الجوهر، 2024)</w:t>
      </w:r>
      <w:r w:rsidRPr="002D2F40">
        <w:rPr>
          <w:rFonts w:ascii="Simplified Arabic" w:eastAsia="Times New Roman" w:hAnsi="Simplified Arabic" w:cs="Simplified Arabic"/>
          <w:color w:val="000000" w:themeColor="text1"/>
          <w:kern w:val="0"/>
          <w:sz w:val="28"/>
          <w:szCs w:val="28"/>
          <w14:ligatures w14:val="none"/>
        </w:rPr>
        <w:t>.</w:t>
      </w:r>
    </w:p>
    <w:p w14:paraId="7B91938A"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وانطلاقًا مما تقدّم، يرى الباحث أن تعظيم العائد الاستثماري وتحسين جودة الحياة الحضرية متغير مركّب يُعبّر عن المحصلة الاقتصادية والاجتماعية المتكاملة لعمليات إعادة التطوير العمراني في الأحياء السكنية القديمة، ويتشكّل من تفاعل بُعدين متلازمين: أولهما اقتصادي يتصل بالكفاءة في توظيف الموارد الاستثمارية وتعظيم العائد المالي والعقاري على الأطراف المعنية، وثانيهما اجتماعي عمراني يتصل بتحسين البيئة الحضرية وجعلها أكثر ملاءمة لحياة الإنسان من حيث جودة المسكن وكفاءة الخدمات وتنوع الفرص ورضا السكان. وتنبثق أهمية هذا التعريف التكاملي من كونه يتجاوز الفصل التقليدي بين الكفاءة الاقتصادية والرفاهية الاجتماعية، ويُؤسس لرؤية شاملة تُدرك العلاقة الجدلية بينهما في الفضاء الحضري المعاصر</w:t>
      </w:r>
      <w:r w:rsidRPr="002D2F40">
        <w:rPr>
          <w:rFonts w:ascii="Simplified Arabic" w:eastAsia="Times New Roman" w:hAnsi="Simplified Arabic" w:cs="Simplified Arabic"/>
          <w:color w:val="000000" w:themeColor="text1"/>
          <w:kern w:val="0"/>
          <w:sz w:val="28"/>
          <w:szCs w:val="28"/>
          <w14:ligatures w14:val="none"/>
        </w:rPr>
        <w:t>.</w:t>
      </w:r>
    </w:p>
    <w:p w14:paraId="1AD60946" w14:textId="3F0B52DB"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500673"/>
      <w:r w:rsidRPr="002D2F40">
        <w:rPr>
          <w:rFonts w:ascii="Simplified Arabic" w:eastAsia="Times New Roman" w:hAnsi="Simplified Arabic" w:cs="Simplified Arabic" w:hint="cs"/>
          <w:b/>
          <w:bCs/>
          <w:color w:val="000000" w:themeColor="text1"/>
          <w:kern w:val="0"/>
          <w:sz w:val="32"/>
          <w:szCs w:val="32"/>
          <w:rtl/>
          <w14:ligatures w14:val="none"/>
        </w:rPr>
        <w:t>3.2.2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أهمية تعظيم العائد الاستثماري وتحسين جودة الحياة الحضرية</w:t>
      </w:r>
      <w:bookmarkEnd w:id="37"/>
    </w:p>
    <w:p w14:paraId="202E8AE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تتجلى أهمية تعظيم العائد الاستثماري وتحسين جودة الحياة الحضرية في كونهما يُشكّلان معًا المعيار الأكثر دلالةً على نجاح التدخلات التنموية في الفضاء الحضري، إذ يجمعان بين منطق الكفاءة الاقتصادية ومنطق الرفاهية الإنسانية، ويُتيحان قراءة متكاملة لأثر السياسات والمشروعات العمرانية على الفاعلين الاقتصاديين والمستفيدين النهائيين</w:t>
      </w:r>
      <w:r w:rsidRPr="002D2F40">
        <w:rPr>
          <w:rFonts w:ascii="Simplified Arabic" w:eastAsia="Times New Roman" w:hAnsi="Simplified Arabic" w:cs="Simplified Arabic"/>
          <w:color w:val="000000" w:themeColor="text1"/>
          <w:kern w:val="0"/>
          <w:sz w:val="28"/>
          <w:szCs w:val="28"/>
          <w14:ligatures w14:val="none"/>
        </w:rPr>
        <w:t>.</w:t>
      </w:r>
    </w:p>
    <w:p w14:paraId="3492F2B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 xml:space="preserve">ويُشير (الجهني، 2024) إلى أن أهمية تقييم جودة الحياة السكنية في المدن الكبرى تتجلى في جملة من المسارات يمكن إجمالها فيما يأتي: أولًا، إسهامها في تشخيص الواقع الراهن للأحياء السكنية وتحديد </w:t>
      </w:r>
      <w:r w:rsidRPr="002D2F40">
        <w:rPr>
          <w:rFonts w:ascii="Simplified Arabic" w:eastAsia="Times New Roman" w:hAnsi="Simplified Arabic" w:cs="Simplified Arabic"/>
          <w:color w:val="000000" w:themeColor="text1"/>
          <w:kern w:val="0"/>
          <w:sz w:val="28"/>
          <w:szCs w:val="28"/>
          <w:rtl/>
          <w14:ligatures w14:val="none"/>
        </w:rPr>
        <w:lastRenderedPageBreak/>
        <w:t>مواطن الخلل والقصور فيها، بما يُشكّل قاعدة معرفية موضوعية لصنع القرار العمراني. ثانيًا، دورها في توجيه أولويات التدخل التطويري نحو الأحياء والمناطق الأكثر حاجةً، بما يُحقّق العدالة المكانية في توزيع الموارد. ثالثًا، إتاحتها لإجراء مقارنات بين المناطق الحضرية المختلفة ورصد تطورها عبر الزمن، بما يُمكّن من قياس أثر السياسات العمرانية. رابعًا، توفيرها لمنظور جغرافي شامل يستوعب البُعد المكاني في تحليل جودة الحياة، بما يُثري الفهم النظري للظاهرة</w:t>
      </w:r>
      <w:r w:rsidRPr="002D2F40">
        <w:rPr>
          <w:rFonts w:ascii="Simplified Arabic" w:eastAsia="Times New Roman" w:hAnsi="Simplified Arabic" w:cs="Simplified Arabic"/>
          <w:color w:val="000000" w:themeColor="text1"/>
          <w:kern w:val="0"/>
          <w:sz w:val="28"/>
          <w:szCs w:val="28"/>
          <w14:ligatures w14:val="none"/>
        </w:rPr>
        <w:t>.</w:t>
      </w:r>
    </w:p>
    <w:p w14:paraId="0477396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ويرى (محمود، 2025) أن أهمية تقييم المناطق الحضرية باستخدام مؤشرات علمية لجودة الحياة تنبع من قدرة هذه المؤشرات على تحويل المفاهيم المجردة إلى متغيرات قابلة للقياس، وإتاحة بناء قواعد بيانات حضرية تدعم صنع القرار، وتمكين الباحثين من اختبار العلاقات بين جودة الحياة وعوامل أخرى عمرانية واقتصادية واجتماعية، فضلًا عن إسهامها في تطوير منهجيات بحثية تتسم بالدقة والموضوعية</w:t>
      </w:r>
      <w:r w:rsidRPr="002D2F40">
        <w:rPr>
          <w:rFonts w:ascii="Simplified Arabic" w:eastAsia="Times New Roman" w:hAnsi="Simplified Arabic" w:cs="Simplified Arabic"/>
          <w:color w:val="000000" w:themeColor="text1"/>
          <w:kern w:val="0"/>
          <w:sz w:val="28"/>
          <w:szCs w:val="28"/>
          <w14:ligatures w14:val="none"/>
        </w:rPr>
        <w:t>.</w:t>
      </w:r>
    </w:p>
    <w:p w14:paraId="6CE281E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ويُضيف (رحيل وعلي، 2025) بُعدًا آخر للأهمية يرتبط بالتقييم الموضوعي الشامل لجودة الحياة الحضرية، إذ تتجلى قيمة هذا التقييم في كونه يتجاوز الإدراك الذاتي إلى قياس موضوعي يستند إلى مؤشرات يمكن التحقق منها، ويُتيح بناء صورة شاملة للأحياء الحضرية تستوعب أبعادها المختلفة، ويُمثّل مرجعية موثوقة لتقييم أثر التدخلات التطويرية على البيئة الحضرية</w:t>
      </w:r>
      <w:r w:rsidRPr="002D2F40">
        <w:rPr>
          <w:rFonts w:ascii="Simplified Arabic" w:eastAsia="Times New Roman" w:hAnsi="Simplified Arabic" w:cs="Simplified Arabic"/>
          <w:color w:val="000000" w:themeColor="text1"/>
          <w:kern w:val="0"/>
          <w:sz w:val="28"/>
          <w:szCs w:val="28"/>
          <w14:ligatures w14:val="none"/>
        </w:rPr>
        <w:t>.</w:t>
      </w:r>
    </w:p>
    <w:p w14:paraId="489E786C"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ويُبرز (حميدات وجلود، 2024) أهمية أنسنة المدينة بوصفها مدخلًا لتحقيق جودة الحياة الحضرية، إذ تتجلى هذه الأهمية في إعادة الاعتبار للإنسان بوصفه محور التخطيط والإدارة الحضرية، وفي تطوير معايير عمرانية تستجيب للاحتياجات الإنسانية الشاملة، وفي بناء فضاءات حضرية تُعزّز الرفاهية النفسية والاجتماعية للسكان</w:t>
      </w:r>
      <w:r w:rsidRPr="002D2F40">
        <w:rPr>
          <w:rFonts w:ascii="Simplified Arabic" w:eastAsia="Times New Roman" w:hAnsi="Simplified Arabic" w:cs="Simplified Arabic"/>
          <w:color w:val="000000" w:themeColor="text1"/>
          <w:kern w:val="0"/>
          <w:sz w:val="28"/>
          <w:szCs w:val="28"/>
          <w14:ligatures w14:val="none"/>
        </w:rPr>
        <w:t>.</w:t>
      </w:r>
    </w:p>
    <w:p w14:paraId="027EAAA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وفيما يخص الشق الاستثماري، يُشير</w:t>
      </w:r>
      <w:r w:rsidRPr="002D2F40">
        <w:rPr>
          <w:rFonts w:ascii="Simplified Arabic" w:eastAsia="Times New Roman" w:hAnsi="Simplified Arabic" w:cs="Simplified Arabic"/>
          <w:color w:val="000000" w:themeColor="text1"/>
          <w:kern w:val="0"/>
          <w:sz w:val="28"/>
          <w:szCs w:val="28"/>
          <w14:ligatures w14:val="none"/>
        </w:rPr>
        <w:t xml:space="preserve"> (Li et al., 2024) </w:t>
      </w:r>
      <w:r w:rsidRPr="002D2F40">
        <w:rPr>
          <w:rFonts w:ascii="Simplified Arabic" w:eastAsia="Times New Roman" w:hAnsi="Simplified Arabic" w:cs="Simplified Arabic"/>
          <w:color w:val="000000" w:themeColor="text1"/>
          <w:kern w:val="0"/>
          <w:sz w:val="28"/>
          <w:szCs w:val="28"/>
          <w:rtl/>
          <w14:ligatures w14:val="none"/>
        </w:rPr>
        <w:t>إلى أن أهمية تقييم كفاءة التجديد في الأحياء السكنية تتجلى في إتاحتها لقياس العائد على الاستثمار في المشروعات العمرانية، وربط الكفاءة الاقتصادية برضا المستفيدين، وتطوير نماذج تحليلية متقدمة تستوعب تعدد المخرجات وتنوعها. ويرى</w:t>
      </w:r>
      <w:r w:rsidRPr="002D2F40">
        <w:rPr>
          <w:rFonts w:ascii="Simplified Arabic" w:eastAsia="Times New Roman" w:hAnsi="Simplified Arabic" w:cs="Simplified Arabic"/>
          <w:color w:val="000000" w:themeColor="text1"/>
          <w:kern w:val="0"/>
          <w:sz w:val="28"/>
          <w:szCs w:val="28"/>
          <w14:ligatures w14:val="none"/>
        </w:rPr>
        <w:t xml:space="preserve"> (Imran &amp; Ram</w:t>
      </w:r>
      <w:r w:rsidRPr="002D2F40">
        <w:rPr>
          <w:rFonts w:ascii="Cambria" w:eastAsia="Times New Roman" w:hAnsi="Cambria" w:cs="Cambria"/>
          <w:color w:val="000000" w:themeColor="text1"/>
          <w:kern w:val="0"/>
          <w:sz w:val="28"/>
          <w:szCs w:val="28"/>
          <w14:ligatures w14:val="none"/>
        </w:rPr>
        <w:t>í</w:t>
      </w:r>
      <w:r w:rsidRPr="002D2F40">
        <w:rPr>
          <w:rFonts w:ascii="Simplified Arabic" w:eastAsia="Times New Roman" w:hAnsi="Simplified Arabic" w:cs="Simplified Arabic"/>
          <w:color w:val="000000" w:themeColor="text1"/>
          <w:kern w:val="0"/>
          <w:sz w:val="28"/>
          <w:szCs w:val="28"/>
          <w14:ligatures w14:val="none"/>
        </w:rPr>
        <w:t xml:space="preserve">rez, 2022) </w:t>
      </w:r>
      <w:r w:rsidRPr="002D2F40">
        <w:rPr>
          <w:rFonts w:ascii="Simplified Arabic" w:eastAsia="Times New Roman" w:hAnsi="Simplified Arabic" w:cs="Simplified Arabic"/>
          <w:color w:val="000000" w:themeColor="text1"/>
          <w:kern w:val="0"/>
          <w:sz w:val="28"/>
          <w:szCs w:val="28"/>
          <w:rtl/>
          <w14:ligatures w14:val="none"/>
        </w:rPr>
        <w:t>أن أهمية تحسين أداء الخدمات العامة تنبع من إسهامه في رفع كفاءة استخدام الموارد العامة، وتعزيز ثقة المواطنين في المؤسسات الحكومية، وتحسين تنافسية المدن في استقطاب الاستثمارات والكفاءات</w:t>
      </w:r>
      <w:r w:rsidRPr="002D2F40">
        <w:rPr>
          <w:rFonts w:ascii="Simplified Arabic" w:eastAsia="Times New Roman" w:hAnsi="Simplified Arabic" w:cs="Simplified Arabic"/>
          <w:color w:val="000000" w:themeColor="text1"/>
          <w:kern w:val="0"/>
          <w:sz w:val="28"/>
          <w:szCs w:val="28"/>
          <w14:ligatures w14:val="none"/>
        </w:rPr>
        <w:t>.</w:t>
      </w:r>
    </w:p>
    <w:p w14:paraId="50661705"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ويُسهم</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Latupeirissa</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 </w:t>
      </w:r>
      <w:r w:rsidRPr="002D2F40">
        <w:rPr>
          <w:rFonts w:ascii="Simplified Arabic" w:eastAsia="Times New Roman" w:hAnsi="Simplified Arabic" w:cs="Simplified Arabic"/>
          <w:color w:val="000000" w:themeColor="text1"/>
          <w:kern w:val="0"/>
          <w:sz w:val="28"/>
          <w:szCs w:val="28"/>
          <w:rtl/>
          <w14:ligatures w14:val="none"/>
        </w:rPr>
        <w:t>في إبراز أهمية إضافية مرتبطة بالتحول الرقمي في تقديم الخدمات العامة، حيث يُعزّز هذا التحول كفاءة العمليات الحضرية، ويُحسّن تجربة المستفيدين، ويُتيح قياسًا دقيقًا لأثر التدخلات على جودة الحياة الحضرية</w:t>
      </w:r>
      <w:r w:rsidRPr="002D2F40">
        <w:rPr>
          <w:rFonts w:ascii="Simplified Arabic" w:eastAsia="Times New Roman" w:hAnsi="Simplified Arabic" w:cs="Simplified Arabic"/>
          <w:color w:val="000000" w:themeColor="text1"/>
          <w:kern w:val="0"/>
          <w:sz w:val="28"/>
          <w:szCs w:val="28"/>
          <w14:ligatures w14:val="none"/>
        </w:rPr>
        <w:t>.</w:t>
      </w:r>
    </w:p>
    <w:p w14:paraId="778DFDCC"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ويستخلص الباحث من تعدد هذه المقاربات أن أهمية تعظيم العائد الاستثماري وتحسين جودة الحياة الحضرية تتشكّل من تفاعل أبعاد متكاملة، تشمل البُعد التشخيصي الذي يُتيح فهم الواقع الراهن، والبُعد التقييمي الذي يقيس أثر التدخلات، والبُعد التوجيهي الذي يُحدّد أولويات السياسات، والبُعد المقارن الذي يُتيح المقارنة بين المناطق، والبُعد التطويري الذي يُعزّز التحسين المستمر، فضلًا عن البُعد الاستراتيجي الذي يربط جودة الحياة والعائد الاستثماري بالرؤى التنموية الشاملة</w:t>
      </w:r>
      <w:r w:rsidRPr="002D2F40">
        <w:rPr>
          <w:rFonts w:ascii="Simplified Arabic" w:eastAsia="Times New Roman" w:hAnsi="Simplified Arabic" w:cs="Simplified Arabic"/>
          <w:color w:val="000000" w:themeColor="text1"/>
          <w:kern w:val="0"/>
          <w:sz w:val="28"/>
          <w:szCs w:val="28"/>
          <w14:ligatures w14:val="none"/>
        </w:rPr>
        <w:t>.</w:t>
      </w:r>
    </w:p>
    <w:p w14:paraId="1D4E69EE" w14:textId="7872506C"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500674"/>
      <w:r w:rsidRPr="002D2F40">
        <w:rPr>
          <w:rFonts w:ascii="Simplified Arabic" w:eastAsia="Times New Roman" w:hAnsi="Simplified Arabic" w:cs="Simplified Arabic" w:hint="cs"/>
          <w:b/>
          <w:bCs/>
          <w:color w:val="000000" w:themeColor="text1"/>
          <w:kern w:val="0"/>
          <w:sz w:val="32"/>
          <w:szCs w:val="32"/>
          <w:rtl/>
          <w14:ligatures w14:val="none"/>
        </w:rPr>
        <w:t>4.2.2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أهداف تعظيم العائد الاستثماري وتحسين جودة الحياة الحضرية</w:t>
      </w:r>
      <w:bookmarkEnd w:id="38"/>
    </w:p>
    <w:p w14:paraId="64429BD0"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تتعدد الأهداف التي تسعى إليها المنظومات الإدارية والعمرانية من خلال تعظيم العائد الاستثماري وتحسين جودة الحياة الحضرية، ويمكن استخلاصها من خلال استعراض ما طرحته الأدبيات</w:t>
      </w:r>
      <w:r w:rsidRPr="002D2F40">
        <w:rPr>
          <w:rFonts w:ascii="Simplified Arabic" w:eastAsia="Times New Roman" w:hAnsi="Simplified Arabic" w:cs="Simplified Arabic"/>
          <w:color w:val="000000" w:themeColor="text1"/>
          <w:kern w:val="0"/>
          <w:sz w:val="28"/>
          <w:szCs w:val="28"/>
          <w14:ligatures w14:val="none"/>
        </w:rPr>
        <w:t>.</w:t>
      </w:r>
    </w:p>
    <w:p w14:paraId="6A6057EC"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فمن منظور التقييم الجغرافي، يطرح بعض الباحثين مجموعة من الأهداف الجوهرية يمكن إجمالها فيما يأتي: تطوير منهجيات علمية لقياس جودة الحياة السكنية في المدن الكبرى؛ وتشخيص واقع الأحياء السكنية وتحديد الفوارق بينها؛ وتوفير قاعدة بيانات حضرية تدعم صنع القرار؛ وتقديم رؤية جغرافية متكاملة لأوضاع جودة الحياة في المدينة (الجهني، 2024)</w:t>
      </w:r>
      <w:r w:rsidRPr="002D2F40">
        <w:rPr>
          <w:rFonts w:ascii="Simplified Arabic" w:eastAsia="Times New Roman" w:hAnsi="Simplified Arabic" w:cs="Simplified Arabic"/>
          <w:color w:val="000000" w:themeColor="text1"/>
          <w:kern w:val="0"/>
          <w:sz w:val="28"/>
          <w:szCs w:val="28"/>
          <w14:ligatures w14:val="none"/>
        </w:rPr>
        <w:t>.</w:t>
      </w:r>
    </w:p>
    <w:p w14:paraId="0D19DF04"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ويتمحور اتجاه آخر حول مجموعة من الأهداف ذات الطابع التقييمي والقياسي، تشمل: بناء مؤشرات مقترحة لقياس جودة الحياة في المناطق الحضرية؛ وتطوير أدوات تقييم تستوعب الأبعاد المتعددة لجودة الحياة؛ وإجراء تقييم منهجي للمناطق الحضرية يُمكّن من المقارنة بينها؛ وتأسيس منهجية بحثية يُمكن تكرارها في سياقات حضرية مختلفة (محمود، 2025)</w:t>
      </w:r>
      <w:r w:rsidRPr="002D2F40">
        <w:rPr>
          <w:rFonts w:ascii="Simplified Arabic" w:eastAsia="Times New Roman" w:hAnsi="Simplified Arabic" w:cs="Simplified Arabic"/>
          <w:color w:val="000000" w:themeColor="text1"/>
          <w:kern w:val="0"/>
          <w:sz w:val="28"/>
          <w:szCs w:val="28"/>
          <w14:ligatures w14:val="none"/>
        </w:rPr>
        <w:t>.</w:t>
      </w:r>
    </w:p>
    <w:p w14:paraId="348D4D9B"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ويُبرز توجه ثالث مجموعة من الأهداف ذات الطابع التحليلي الشامل، تتمثل في: تقييم مستويات جودة الحياة الحضرية تقييمًا موضوعيًا شاملًا؛ وتحليل العوامل المؤثرة في جودة الحياة في الأحياء المختلفة؛ وتطوير فهم نظري معمّق لمكونات جودة الحياة وأبعادها؛ وتوفير إطار مرجعي للسياسات الحضرية (رحيل وعلي، 2025)</w:t>
      </w:r>
      <w:r w:rsidRPr="002D2F40">
        <w:rPr>
          <w:rFonts w:ascii="Simplified Arabic" w:eastAsia="Times New Roman" w:hAnsi="Simplified Arabic" w:cs="Simplified Arabic"/>
          <w:color w:val="000000" w:themeColor="text1"/>
          <w:kern w:val="0"/>
          <w:sz w:val="28"/>
          <w:szCs w:val="28"/>
          <w14:ligatures w14:val="none"/>
        </w:rPr>
        <w:t>.</w:t>
      </w:r>
    </w:p>
    <w:p w14:paraId="2BE71325"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ومن منظور الأنسنة الحضرية، تتمحور الأهداف حول: إعادة تشكيل المدينة بما يستجيب للاحتياجات الإنسانية الشاملة؛ وتطوير فضاءات حضرية تُعزّز الرفاهية النفسية والاجتماعية؛ وبناء بيئة حضرية أكثر ملاءمة لحياة الإنسان؛ وترسيخ قيم العدالة المكانية والإدماج الاجتماعي (حميدات وجلود، 2024)</w:t>
      </w:r>
      <w:r w:rsidRPr="002D2F40">
        <w:rPr>
          <w:rFonts w:ascii="Simplified Arabic" w:eastAsia="Times New Roman" w:hAnsi="Simplified Arabic" w:cs="Simplified Arabic"/>
          <w:color w:val="000000" w:themeColor="text1"/>
          <w:kern w:val="0"/>
          <w:sz w:val="28"/>
          <w:szCs w:val="28"/>
          <w14:ligatures w14:val="none"/>
        </w:rPr>
        <w:t>.</w:t>
      </w:r>
    </w:p>
    <w:p w14:paraId="5AD63221"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وفيما يخص الشق المؤسسي والاستثماري، يطرح اتجاه بحثي مجموعة من الأهداف تتمثل في: رفع كفاءة الاستثمار في المشروعات العمرانية؛ وربط الكفاءة الاقتصادية برضا المستفيدين؛ وتطوير نماذج تحليلية لقياس العائد الاستثماري والاجتماعي معًا؛ وتعزيز استدامة المشروعات العمرانية في المدى البعيد</w:t>
      </w:r>
      <w:r w:rsidRPr="002D2F40">
        <w:rPr>
          <w:rFonts w:ascii="Simplified Arabic" w:eastAsia="Times New Roman" w:hAnsi="Simplified Arabic" w:cs="Simplified Arabic"/>
          <w:color w:val="000000" w:themeColor="text1"/>
          <w:kern w:val="0"/>
          <w:sz w:val="28"/>
          <w:szCs w:val="28"/>
          <w14:ligatures w14:val="none"/>
        </w:rPr>
        <w:t xml:space="preserve"> (Li et al., 2024).</w:t>
      </w:r>
    </w:p>
    <w:p w14:paraId="664E04F6" w14:textId="723A2CE3"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السياق الخدمي، تتضمن الأهداف: تحسين أداء الخدمات العامة المقدّمة في المناطق الحضرية؛ ورفع كفاءة استخدام الموارد العامة؛ وتعزيز قدرة المؤسسات على الاستجابة لاحتياجات المواطنين؛ وتطوير منظومة الخدمات بما يدعم جودة الحياة الحضرية</w:t>
      </w:r>
      <w:r w:rsidRPr="002D2F40">
        <w:rPr>
          <w:rFonts w:ascii="Simplified Arabic" w:eastAsia="Times New Roman" w:hAnsi="Simplified Arabic" w:cs="Simplified Arabic"/>
          <w:color w:val="000000" w:themeColor="text1"/>
          <w:kern w:val="0"/>
          <w:sz w:val="28"/>
          <w:szCs w:val="28"/>
          <w14:ligatures w14:val="none"/>
        </w:rPr>
        <w:t xml:space="preserve"> (Imran &amp; Ram</w:t>
      </w:r>
      <w:r w:rsidRPr="002D2F40">
        <w:rPr>
          <w:rFonts w:ascii="Cambria" w:eastAsia="Times New Roman" w:hAnsi="Cambria" w:cs="Cambria"/>
          <w:color w:val="000000" w:themeColor="text1"/>
          <w:kern w:val="0"/>
          <w:sz w:val="28"/>
          <w:szCs w:val="28"/>
          <w14:ligatures w14:val="none"/>
        </w:rPr>
        <w:t>í</w:t>
      </w:r>
      <w:r w:rsidRPr="002D2F40">
        <w:rPr>
          <w:rFonts w:ascii="Simplified Arabic" w:eastAsia="Times New Roman" w:hAnsi="Simplified Arabic" w:cs="Simplified Arabic"/>
          <w:color w:val="000000" w:themeColor="text1"/>
          <w:kern w:val="0"/>
          <w:sz w:val="28"/>
          <w:szCs w:val="28"/>
          <w14:ligatures w14:val="none"/>
        </w:rPr>
        <w:t xml:space="preserve">rez, 2022). </w:t>
      </w:r>
      <w:r w:rsidRPr="002D2F40">
        <w:rPr>
          <w:rFonts w:ascii="Simplified Arabic" w:eastAsia="Times New Roman" w:hAnsi="Simplified Arabic" w:cs="Simplified Arabic"/>
          <w:color w:val="000000" w:themeColor="text1"/>
          <w:kern w:val="0"/>
          <w:sz w:val="28"/>
          <w:szCs w:val="28"/>
          <w:rtl/>
          <w14:ligatures w14:val="none"/>
        </w:rPr>
        <w:t>ويتقاطع ذلك مع أهداف الابتكار في الخدمات الحكومية الرامية إلى تحسين كفاءتها وفاعليتها بما ينعكس على رضا المستفيدين (الجوهر، 2024</w:t>
      </w:r>
      <w:r w:rsidR="00926B42" w:rsidRPr="002D2F40">
        <w:rPr>
          <w:rFonts w:ascii="Simplified Arabic" w:eastAsia="Times New Roman" w:hAnsi="Simplified Arabic" w:cs="Simplified Arabic" w:hint="cs"/>
          <w:color w:val="000000" w:themeColor="text1"/>
          <w:kern w:val="0"/>
          <w:sz w:val="28"/>
          <w:szCs w:val="28"/>
          <w:rtl/>
          <w14:ligatures w14:val="none"/>
        </w:rPr>
        <w:t>)</w:t>
      </w:r>
    </w:p>
    <w:p w14:paraId="5A213D90"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ومن منظور التنمية المستدامة، تتضمن الأهداف: تحسين جودة حياة المجتمعات الحضرية بصورة شاملة ومستدامة؛ وتحقيق العدالة في توزيع الفرص والمنافع الحضرية؛ وتعزيز قدرة المدن على مواجهة التحديات البيئية والاقتصادية؛ وإسهام التطوير الحضري في تحقيق أهداف التنمية المستدامة</w:t>
      </w:r>
      <w:r w:rsidRPr="002D2F40">
        <w:rPr>
          <w:rFonts w:ascii="Simplified Arabic" w:eastAsia="Times New Roman" w:hAnsi="Simplified Arabic" w:cs="Simplified Arabic"/>
          <w:color w:val="000000" w:themeColor="text1"/>
          <w:kern w:val="0"/>
          <w:sz w:val="28"/>
          <w:szCs w:val="28"/>
          <w14:ligatures w14:val="none"/>
        </w:rPr>
        <w:t xml:space="preserve"> (Muhammed &amp; </w:t>
      </w:r>
      <w:proofErr w:type="spellStart"/>
      <w:r w:rsidRPr="002D2F40">
        <w:rPr>
          <w:rFonts w:ascii="Simplified Arabic" w:eastAsia="Times New Roman" w:hAnsi="Simplified Arabic" w:cs="Simplified Arabic"/>
          <w:color w:val="000000" w:themeColor="text1"/>
          <w:kern w:val="0"/>
          <w:sz w:val="28"/>
          <w:szCs w:val="28"/>
          <w14:ligatures w14:val="none"/>
        </w:rPr>
        <w:t>Abubakar</w:t>
      </w:r>
      <w:proofErr w:type="spellEnd"/>
      <w:r w:rsidRPr="002D2F40">
        <w:rPr>
          <w:rFonts w:ascii="Simplified Arabic" w:eastAsia="Times New Roman" w:hAnsi="Simplified Arabic" w:cs="Simplified Arabic"/>
          <w:color w:val="000000" w:themeColor="text1"/>
          <w:kern w:val="0"/>
          <w:sz w:val="28"/>
          <w:szCs w:val="28"/>
          <w14:ligatures w14:val="none"/>
        </w:rPr>
        <w:t>, 2022).</w:t>
      </w:r>
    </w:p>
    <w:p w14:paraId="4843A23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وفي سياق متّصل، تتضمن الأهداف المتعلقة بتحسين الخدمات الحكومية: تطوير أداء القطاع العام في تقديم الخدمات؛ وتعزيز قدرة الجهات الحكومية على الاستجابة لاحتياجات المواطنين؛ ورفع تنافسية المدن في استقطاب الاستثمارات</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Breen</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2020). </w:t>
      </w:r>
      <w:r w:rsidRPr="002D2F40">
        <w:rPr>
          <w:rFonts w:ascii="Simplified Arabic" w:eastAsia="Times New Roman" w:hAnsi="Simplified Arabic" w:cs="Simplified Arabic"/>
          <w:color w:val="000000" w:themeColor="text1"/>
          <w:kern w:val="0"/>
          <w:sz w:val="28"/>
          <w:szCs w:val="28"/>
          <w:rtl/>
          <w14:ligatures w14:val="none"/>
        </w:rPr>
        <w:t>كما تتقاطع مع أهداف توظيف التحول الرقمي في تطوير الخدمات العامة وتعزيز كفاءتها</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Szedm</w:t>
      </w:r>
      <w:r w:rsidRPr="002D2F40">
        <w:rPr>
          <w:rFonts w:ascii="Cambria" w:eastAsia="Times New Roman" w:hAnsi="Cambria" w:cs="Cambria"/>
          <w:color w:val="000000" w:themeColor="text1"/>
          <w:kern w:val="0"/>
          <w:sz w:val="28"/>
          <w:szCs w:val="28"/>
          <w14:ligatures w14:val="none"/>
        </w:rPr>
        <w:t>á</w:t>
      </w:r>
      <w:r w:rsidRPr="002D2F40">
        <w:rPr>
          <w:rFonts w:ascii="Simplified Arabic" w:eastAsia="Times New Roman" w:hAnsi="Simplified Arabic" w:cs="Simplified Arabic"/>
          <w:color w:val="000000" w:themeColor="text1"/>
          <w:kern w:val="0"/>
          <w:sz w:val="28"/>
          <w:szCs w:val="28"/>
          <w14:ligatures w14:val="none"/>
        </w:rPr>
        <w:t>k</w:t>
      </w:r>
      <w:proofErr w:type="spellEnd"/>
      <w:r w:rsidRPr="002D2F40">
        <w:rPr>
          <w:rFonts w:ascii="Simplified Arabic" w:eastAsia="Times New Roman" w:hAnsi="Simplified Arabic" w:cs="Simplified Arabic"/>
          <w:color w:val="000000" w:themeColor="text1"/>
          <w:kern w:val="0"/>
          <w:sz w:val="28"/>
          <w:szCs w:val="28"/>
          <w14:ligatures w14:val="none"/>
        </w:rPr>
        <w:t>, 2025).</w:t>
      </w:r>
    </w:p>
    <w:p w14:paraId="65B3F1B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ويمكن استخلاص أن أهداف تعظيم العائد الاستثماري وتحسين جودة الحياة الحضرية تتكامل في منظومة شاملة تجمع بين الكفاءة الاقتصادية والرفاهية الإنسانية والاستدامة البيئية والعدالة الاجتماعية، وتسعى في جوهرها إلى بناء مدن أكثر ملاءمة لحياة الإنسان وأكثر كفاءة في توظيف الموارد، بما يُحقّق التطلعات التنموية على المديين القريب والبعيد</w:t>
      </w:r>
      <w:r w:rsidRPr="002D2F40">
        <w:rPr>
          <w:rFonts w:ascii="Simplified Arabic" w:eastAsia="Times New Roman" w:hAnsi="Simplified Arabic" w:cs="Simplified Arabic"/>
          <w:color w:val="000000" w:themeColor="text1"/>
          <w:kern w:val="0"/>
          <w:sz w:val="28"/>
          <w:szCs w:val="28"/>
          <w14:ligatures w14:val="none"/>
        </w:rPr>
        <w:t>.</w:t>
      </w:r>
    </w:p>
    <w:p w14:paraId="434C3D50" w14:textId="5477B102"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500675"/>
      <w:r w:rsidRPr="002D2F40">
        <w:rPr>
          <w:rFonts w:ascii="Simplified Arabic" w:eastAsia="Times New Roman" w:hAnsi="Simplified Arabic" w:cs="Simplified Arabic" w:hint="cs"/>
          <w:b/>
          <w:bCs/>
          <w:color w:val="000000" w:themeColor="text1"/>
          <w:kern w:val="0"/>
          <w:sz w:val="32"/>
          <w:szCs w:val="32"/>
          <w:rtl/>
          <w14:ligatures w14:val="none"/>
        </w:rPr>
        <w:lastRenderedPageBreak/>
        <w:t>5.2.2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أبعاد ومحاور تعظيم العائد الاستثماري وتحسين جودة الحياة الحضرية</w:t>
      </w:r>
      <w:bookmarkEnd w:id="39"/>
    </w:p>
    <w:p w14:paraId="5ED9055F"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تم تحديد أبعاد المتغير التابع في الدراسة الحالية بوصفه محورًا واحدًا متكاملًا يقيس مدى تحقّق العائد الاستثماري وتحسّن جودة الحياة الحضرية نتيجة عمليات إعادة التطوير، وذلك بناءً على ما طرحته دراسة (رحيل وعلي، 2025) حول تقييم مستويات جودة الحياة الحضرية الموضوعية الشاملة، ودراسة (محمود، 2025) حول المؤشر المقترح لقياس جودة الحياة في المناطق الحضرية، ودراسة</w:t>
      </w:r>
      <w:r w:rsidRPr="002D2F40">
        <w:rPr>
          <w:rFonts w:ascii="Simplified Arabic" w:eastAsia="Times New Roman" w:hAnsi="Simplified Arabic" w:cs="Simplified Arabic"/>
          <w:color w:val="000000" w:themeColor="text1"/>
          <w:kern w:val="0"/>
          <w:sz w:val="28"/>
          <w:szCs w:val="28"/>
          <w14:ligatures w14:val="none"/>
        </w:rPr>
        <w:t xml:space="preserve"> (Li et al., 2024) </w:t>
      </w:r>
      <w:r w:rsidRPr="002D2F40">
        <w:rPr>
          <w:rFonts w:ascii="Simplified Arabic" w:eastAsia="Times New Roman" w:hAnsi="Simplified Arabic" w:cs="Simplified Arabic"/>
          <w:color w:val="000000" w:themeColor="text1"/>
          <w:kern w:val="0"/>
          <w:sz w:val="28"/>
          <w:szCs w:val="28"/>
          <w:rtl/>
          <w14:ligatures w14:val="none"/>
        </w:rPr>
        <w:t>حول تقييم كفاءة التجديد من منظور رضا السكان. وتتفرّع داخل هذا المحور مكونات تحليلية متعددة يُمكن تفصيلها على النحو الآتي</w:t>
      </w:r>
      <w:r w:rsidRPr="002D2F40">
        <w:rPr>
          <w:rFonts w:ascii="Simplified Arabic" w:eastAsia="Times New Roman" w:hAnsi="Simplified Arabic" w:cs="Simplified Arabic"/>
          <w:color w:val="000000" w:themeColor="text1"/>
          <w:kern w:val="0"/>
          <w:sz w:val="28"/>
          <w:szCs w:val="28"/>
          <w14:ligatures w14:val="none"/>
        </w:rPr>
        <w:t>.</w:t>
      </w:r>
    </w:p>
    <w:p w14:paraId="46AFE926"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المكوّن الأول: العائد الاقتصادي والاستثماري</w:t>
      </w:r>
    </w:p>
    <w:p w14:paraId="65903643"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هذا المكوّن الجانب الاقتصادي من المتغير التابع، ويتصل بمدى قدرة عمليات إعادة التطوير على تحقيق عوائد اقتصادية تتجاوز التكاليف المُستثمرة. ويتضمن هذا المكوّن قياس أثر التطوير على القيم العقارية في الأحياء المستهدفة، وحجم الاستثمارات المستقطبة إليها، ومدى تنشيط الحركة التجارية والاقتصادية فيها، فضلًا عن قياس العائد المالي المباشر على الجهات المستثمرة. ويستند هذا المكوّن إلى ما طرحته الأدبيات حول كفاءة التجديد الحضري وتقييمها بنماذج تحليلية متقدمة تستوعب تعدد المخرجات</w:t>
      </w:r>
      <w:r w:rsidRPr="002D2F40">
        <w:rPr>
          <w:rFonts w:ascii="Simplified Arabic" w:eastAsia="Times New Roman" w:hAnsi="Simplified Arabic" w:cs="Simplified Arabic"/>
          <w:color w:val="000000" w:themeColor="text1"/>
          <w:kern w:val="0"/>
          <w:sz w:val="28"/>
          <w:szCs w:val="28"/>
          <w14:ligatures w14:val="none"/>
        </w:rPr>
        <w:t xml:space="preserve"> (Li et al., 2024)</w:t>
      </w:r>
      <w:r w:rsidRPr="002D2F40">
        <w:rPr>
          <w:rFonts w:ascii="Simplified Arabic" w:eastAsia="Times New Roman" w:hAnsi="Simplified Arabic" w:cs="Simplified Arabic"/>
          <w:color w:val="000000" w:themeColor="text1"/>
          <w:kern w:val="0"/>
          <w:sz w:val="28"/>
          <w:szCs w:val="28"/>
          <w:rtl/>
          <w14:ligatures w14:val="none"/>
        </w:rPr>
        <w:t>، ويتكامل مع التوجهات الحديثة التي تربط الكفاءة الاقتصادية بالكفاءة الخدمية في القطاع العام</w:t>
      </w:r>
      <w:r w:rsidRPr="002D2F40">
        <w:rPr>
          <w:rFonts w:ascii="Simplified Arabic" w:eastAsia="Times New Roman" w:hAnsi="Simplified Arabic" w:cs="Simplified Arabic"/>
          <w:color w:val="000000" w:themeColor="text1"/>
          <w:kern w:val="0"/>
          <w:sz w:val="28"/>
          <w:szCs w:val="28"/>
          <w14:ligatures w14:val="none"/>
        </w:rPr>
        <w:t xml:space="preserve"> (Imran &amp; Ram</w:t>
      </w:r>
      <w:r w:rsidRPr="002D2F40">
        <w:rPr>
          <w:rFonts w:ascii="Cambria" w:eastAsia="Times New Roman" w:hAnsi="Cambria" w:cs="Cambria"/>
          <w:color w:val="000000" w:themeColor="text1"/>
          <w:kern w:val="0"/>
          <w:sz w:val="28"/>
          <w:szCs w:val="28"/>
          <w14:ligatures w14:val="none"/>
        </w:rPr>
        <w:t>í</w:t>
      </w:r>
      <w:r w:rsidRPr="002D2F40">
        <w:rPr>
          <w:rFonts w:ascii="Simplified Arabic" w:eastAsia="Times New Roman" w:hAnsi="Simplified Arabic" w:cs="Simplified Arabic"/>
          <w:color w:val="000000" w:themeColor="text1"/>
          <w:kern w:val="0"/>
          <w:sz w:val="28"/>
          <w:szCs w:val="28"/>
          <w14:ligatures w14:val="none"/>
        </w:rPr>
        <w:t>rez, 2022).</w:t>
      </w:r>
    </w:p>
    <w:p w14:paraId="687E91E9"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المكوّن الثاني: جودة البيئة السكنية</w:t>
      </w:r>
    </w:p>
    <w:p w14:paraId="5AB09539"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هذا المكوّن الجانب الأكثر مباشرةً في إدراك السكان لجودة الحياة، ويتصل بخصائص المسكن وبيئته المباشرة. ويتضمن هذا المكوّن قياس مدى ملاءمة المساكن للاحتياجات الأسرية الحديثة، وكفاءة التصميم الداخلي، وجودة المواد البنائية، فضلًا عن مدى استجابة المسكن للتحولات في بنية الأسرة وأنماط حياتها. ويستند هذا المكوّن إلى ما طرحته الأدبيات السعودية حول إعادة تصميم الحيزات الداخلية للمسكن بما يدعم دور الأسرة في تحقيق رؤية 2030 (سالم وترك، 2025)، ويتقاطع مع تقييم جودة الحياة السكنية من منظور جغرافي شامل (الجهني، 2024)</w:t>
      </w:r>
      <w:r w:rsidRPr="002D2F40">
        <w:rPr>
          <w:rFonts w:ascii="Simplified Arabic" w:eastAsia="Times New Roman" w:hAnsi="Simplified Arabic" w:cs="Simplified Arabic"/>
          <w:color w:val="000000" w:themeColor="text1"/>
          <w:kern w:val="0"/>
          <w:sz w:val="28"/>
          <w:szCs w:val="28"/>
          <w14:ligatures w14:val="none"/>
        </w:rPr>
        <w:t>.</w:t>
      </w:r>
    </w:p>
    <w:p w14:paraId="43599608"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المكوّن الثالث: كفاءة البنية التحتية والخدمات الحضرية</w:t>
      </w:r>
    </w:p>
    <w:p w14:paraId="5EDD8114"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lastRenderedPageBreak/>
        <w:t>يتصل هذا المكوّن بمدى كفاءة البنية التحتية والخدمات المتاحة في الأحياء المعاد تطويرها، ويتضمن قياس جودة شبكات الطرق والنقل والمرافق والخدمات التعليمية والصحية والترفيهية. ويستند إلى ما طرحته الأدبيات حول مؤشرات التنمية الحضرية للخدمات التعليمية والصحية ودورها في جودة الحياة (الطائي وعبدالأمير، 2022)، ويتكامل مع التوجهات الحديثة التي تربط جودة الخدمات الحضرية بالتطورات التقنية وتوظيف الذكاء الاصطناعي</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Kulal</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 </w:t>
      </w:r>
      <w:r w:rsidRPr="002D2F40">
        <w:rPr>
          <w:rFonts w:ascii="Simplified Arabic" w:eastAsia="Times New Roman" w:hAnsi="Simplified Arabic" w:cs="Simplified Arabic"/>
          <w:color w:val="000000" w:themeColor="text1"/>
          <w:kern w:val="0"/>
          <w:sz w:val="28"/>
          <w:szCs w:val="28"/>
          <w:rtl/>
          <w14:ligatures w14:val="none"/>
        </w:rPr>
        <w:t>والتحول الرقمي</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Latupeirissa</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w:t>
      </w:r>
    </w:p>
    <w:p w14:paraId="72ADC3BD"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المكوّن الرابع: البيئة الحضرية الإنسانية</w:t>
      </w:r>
    </w:p>
    <w:p w14:paraId="0F3B23F2"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هذا المكوّن البُعد الأكثر شمولًا لجودة الحياة الحضرية، ويتصل بمدى استجابة الفضاء الحضري للاحتياجات الإنسانية الجسدية والنفسية والاجتماعية. ويتضمن قياس مدى توفر الفضاءات العامة والخضراء، وجودة المشهد الحضري، ومستوى الأمان والراحة، ومدى تعزيز الفضاء الحضري للتفاعل الاجتماعي والشعور بالانتماء. ويستند هذا المكوّن إلى ما طرحته الأدبيات حول أنسنة المدينة لتحقيق جودة الحياة الحضرية (حميدات وجلود، 2024)</w:t>
      </w:r>
      <w:r w:rsidRPr="002D2F40">
        <w:rPr>
          <w:rFonts w:ascii="Simplified Arabic" w:eastAsia="Times New Roman" w:hAnsi="Simplified Arabic" w:cs="Simplified Arabic"/>
          <w:color w:val="000000" w:themeColor="text1"/>
          <w:kern w:val="0"/>
          <w:sz w:val="28"/>
          <w:szCs w:val="28"/>
          <w14:ligatures w14:val="none"/>
        </w:rPr>
        <w:t>.</w:t>
      </w:r>
    </w:p>
    <w:p w14:paraId="6ADEBF2C"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المكوّن الخامس: رضا السكان وإدراكهم لجودة الحياة</w:t>
      </w:r>
    </w:p>
    <w:p w14:paraId="7E58E707"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هذا المكوّن البُعد الذاتي من جودة الحياة، ويتصل بمدى رضا السكان عن أحيائهم المعاد تطويرها وإدراكهم لأثر التطوير على حياتهم اليومية. ويتضمن قياس مستوى الرضا عن المسكن والخدمات والبيئة الحضرية، ومدى تحقّق توقعات السكان من عمليات التطوير. ويستند هذا المكوّن إلى ما طرحته الأدبيات حول تقييم كفاءة التجديد من منظور رضا السكان</w:t>
      </w:r>
      <w:r w:rsidRPr="002D2F40">
        <w:rPr>
          <w:rFonts w:ascii="Simplified Arabic" w:eastAsia="Times New Roman" w:hAnsi="Simplified Arabic" w:cs="Simplified Arabic"/>
          <w:color w:val="000000" w:themeColor="text1"/>
          <w:kern w:val="0"/>
          <w:sz w:val="28"/>
          <w:szCs w:val="28"/>
          <w14:ligatures w14:val="none"/>
        </w:rPr>
        <w:t xml:space="preserve"> (Li et al., 2024)</w:t>
      </w:r>
      <w:r w:rsidRPr="002D2F40">
        <w:rPr>
          <w:rFonts w:ascii="Simplified Arabic" w:eastAsia="Times New Roman" w:hAnsi="Simplified Arabic" w:cs="Simplified Arabic"/>
          <w:color w:val="000000" w:themeColor="text1"/>
          <w:kern w:val="0"/>
          <w:sz w:val="28"/>
          <w:szCs w:val="28"/>
          <w:rtl/>
          <w14:ligatures w14:val="none"/>
        </w:rPr>
        <w:t>، ويتقاطع مع توجهات قياس جودة الحياة الحضرية الموضوعية الشاملة (رحيل وعلي، 2025)</w:t>
      </w:r>
      <w:r w:rsidRPr="002D2F40">
        <w:rPr>
          <w:rFonts w:ascii="Simplified Arabic" w:eastAsia="Times New Roman" w:hAnsi="Simplified Arabic" w:cs="Simplified Arabic"/>
          <w:color w:val="000000" w:themeColor="text1"/>
          <w:kern w:val="0"/>
          <w:sz w:val="28"/>
          <w:szCs w:val="28"/>
          <w14:ligatures w14:val="none"/>
        </w:rPr>
        <w:t>.</w:t>
      </w:r>
    </w:p>
    <w:p w14:paraId="33A3F50D" w14:textId="77777777" w:rsidR="00955473" w:rsidRPr="002D2F40" w:rsidRDefault="00955473" w:rsidP="00751A99">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2D2F40">
        <w:rPr>
          <w:rFonts w:ascii="Simplified Arabic" w:eastAsia="Times New Roman" w:hAnsi="Simplified Arabic" w:cs="Simplified Arabic"/>
          <w:b/>
          <w:bCs/>
          <w:color w:val="000000" w:themeColor="text1"/>
          <w:kern w:val="0"/>
          <w:sz w:val="28"/>
          <w:szCs w:val="28"/>
          <w:rtl/>
          <w14:ligatures w14:val="none"/>
        </w:rPr>
        <w:t>المكوّن السادس: الاستدامة وأثر التطوير على المدى البعيد</w:t>
      </w:r>
    </w:p>
    <w:p w14:paraId="33FCB0CA"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يُمثّل هذا المكوّن البُعد الزمني من المتغير التابع، ويتصل بمدى قدرة عمليات إعادة التطوير على إفراز عوائد مستدامة على المدى البعيد، اقتصاديًا واجتماعيًا وبيئيًا. ويتضمن قياس مدى استدامة العوائد الاقتصادية، ومدى الحفاظ على جودة البيئة الحضرية عبر الزمن، ومدى إسهام التطوير في تحقيق أهداف التنمية المستدامة. ويستند هذا المكوّن إلى ما طرحته الأدبيات حول تحسين جودة حياة المجتمعات الحضرية في إطار الاستهلاك والإنتاج المسؤولين</w:t>
      </w:r>
      <w:r w:rsidRPr="002D2F40">
        <w:rPr>
          <w:rFonts w:ascii="Simplified Arabic" w:eastAsia="Times New Roman" w:hAnsi="Simplified Arabic" w:cs="Simplified Arabic"/>
          <w:color w:val="000000" w:themeColor="text1"/>
          <w:kern w:val="0"/>
          <w:sz w:val="28"/>
          <w:szCs w:val="28"/>
          <w14:ligatures w14:val="none"/>
        </w:rPr>
        <w:t xml:space="preserve"> (Muhammed &amp; </w:t>
      </w:r>
      <w:proofErr w:type="spellStart"/>
      <w:r w:rsidRPr="002D2F40">
        <w:rPr>
          <w:rFonts w:ascii="Simplified Arabic" w:eastAsia="Times New Roman" w:hAnsi="Simplified Arabic" w:cs="Simplified Arabic"/>
          <w:color w:val="000000" w:themeColor="text1"/>
          <w:kern w:val="0"/>
          <w:sz w:val="28"/>
          <w:szCs w:val="28"/>
          <w14:ligatures w14:val="none"/>
        </w:rPr>
        <w:t>Abubakar</w:t>
      </w:r>
      <w:proofErr w:type="spellEnd"/>
      <w:r w:rsidRPr="002D2F40">
        <w:rPr>
          <w:rFonts w:ascii="Simplified Arabic" w:eastAsia="Times New Roman" w:hAnsi="Simplified Arabic" w:cs="Simplified Arabic"/>
          <w:color w:val="000000" w:themeColor="text1"/>
          <w:kern w:val="0"/>
          <w:sz w:val="28"/>
          <w:szCs w:val="28"/>
          <w14:ligatures w14:val="none"/>
        </w:rPr>
        <w:t>, 2022).</w:t>
      </w:r>
    </w:p>
    <w:p w14:paraId="001710A6" w14:textId="1E676528" w:rsidR="00955473" w:rsidRPr="002D2F40" w:rsidRDefault="00926B42" w:rsidP="00926B4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500676"/>
      <w:r w:rsidRPr="002D2F40">
        <w:rPr>
          <w:rFonts w:ascii="Simplified Arabic" w:eastAsia="Times New Roman" w:hAnsi="Simplified Arabic" w:cs="Simplified Arabic" w:hint="cs"/>
          <w:b/>
          <w:bCs/>
          <w:color w:val="000000" w:themeColor="text1"/>
          <w:kern w:val="0"/>
          <w:sz w:val="32"/>
          <w:szCs w:val="32"/>
          <w:rtl/>
          <w14:ligatures w14:val="none"/>
        </w:rPr>
        <w:lastRenderedPageBreak/>
        <w:t>6.2.2</w:t>
      </w:r>
      <w:r w:rsidR="00955473" w:rsidRPr="002D2F40">
        <w:rPr>
          <w:rFonts w:ascii="Simplified Arabic" w:eastAsia="Times New Roman" w:hAnsi="Simplified Arabic" w:cs="Simplified Arabic"/>
          <w:b/>
          <w:bCs/>
          <w:color w:val="000000" w:themeColor="text1"/>
          <w:kern w:val="0"/>
          <w:sz w:val="32"/>
          <w:szCs w:val="32"/>
          <w:rtl/>
          <w14:ligatures w14:val="none"/>
        </w:rPr>
        <w:t xml:space="preserve"> استراتيجيات تعظيم العائد الاستثماري وتحسين جودة الحياة الحضرية</w:t>
      </w:r>
      <w:bookmarkEnd w:id="40"/>
    </w:p>
    <w:p w14:paraId="0FE66CED"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تتنوع الاستراتيجيات المعتمدة لتعظيم العائد الاستثماري وتحسين جودة الحياة الحضرية بتنوع السياقات والأولويات، ويمكن استعراض أبرزها على النحو الآتي. تتمثل الاستراتيجية الأولى في الاستراتيجية القائمة على القياس المنهجي، التي تستند إلى تطوير مؤشرات علمية لقياس جودة الحياة الحضرية بصورة منتظمة، وتوظيف نتائج القياس في توجيه السياسات والتدخلات (محمود، 2025). وتقوم الاستراتيجية الثانية على التطوير المُمكَّن رقميًا، حيث يُستفاد من التحول الرقمي في رفع كفاءة الخدمات الحضرية وتحسين تجربة المستفيدين، بما يُعزّز جودة الحياة ويُعظّم العائد الاستثماري</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Szedm</w:t>
      </w:r>
      <w:r w:rsidRPr="002D2F40">
        <w:rPr>
          <w:rFonts w:ascii="Cambria" w:eastAsia="Times New Roman" w:hAnsi="Cambria" w:cs="Cambria"/>
          <w:color w:val="000000" w:themeColor="text1"/>
          <w:kern w:val="0"/>
          <w:sz w:val="28"/>
          <w:szCs w:val="28"/>
          <w14:ligatures w14:val="none"/>
        </w:rPr>
        <w:t>á</w:t>
      </w:r>
      <w:r w:rsidRPr="002D2F40">
        <w:rPr>
          <w:rFonts w:ascii="Simplified Arabic" w:eastAsia="Times New Roman" w:hAnsi="Simplified Arabic" w:cs="Simplified Arabic"/>
          <w:color w:val="000000" w:themeColor="text1"/>
          <w:kern w:val="0"/>
          <w:sz w:val="28"/>
          <w:szCs w:val="28"/>
          <w14:ligatures w14:val="none"/>
        </w:rPr>
        <w:t>k</w:t>
      </w:r>
      <w:proofErr w:type="spellEnd"/>
      <w:r w:rsidRPr="002D2F40">
        <w:rPr>
          <w:rFonts w:ascii="Simplified Arabic" w:eastAsia="Times New Roman" w:hAnsi="Simplified Arabic" w:cs="Simplified Arabic"/>
          <w:color w:val="000000" w:themeColor="text1"/>
          <w:kern w:val="0"/>
          <w:sz w:val="28"/>
          <w:szCs w:val="28"/>
          <w14:ligatures w14:val="none"/>
        </w:rPr>
        <w:t>, 2025).</w:t>
      </w:r>
    </w:p>
    <w:p w14:paraId="15ED718E"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lang w:bidi="ar-EG"/>
          <w14:ligatures w14:val="none"/>
        </w:rPr>
      </w:pPr>
      <w:r w:rsidRPr="002D2F40">
        <w:rPr>
          <w:rFonts w:ascii="Simplified Arabic" w:eastAsia="Times New Roman" w:hAnsi="Simplified Arabic" w:cs="Simplified Arabic"/>
          <w:color w:val="000000" w:themeColor="text1"/>
          <w:kern w:val="0"/>
          <w:sz w:val="28"/>
          <w:szCs w:val="28"/>
          <w:rtl/>
          <w14:ligatures w14:val="none"/>
        </w:rPr>
        <w:t>أما الاستراتيجية الثالثة فتتمحور حول توظيف الذكاء الاصطناعي في رفع كفاءة تقديم الخدمات العامة، وتطوير حلول مبتكرة لإدارة الفضاء الحضري بصورة أكثر كفاءة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Kulal</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2024). </w:t>
      </w:r>
      <w:r w:rsidRPr="002D2F40">
        <w:rPr>
          <w:rFonts w:ascii="Simplified Arabic" w:eastAsia="Times New Roman" w:hAnsi="Simplified Arabic" w:cs="Simplified Arabic"/>
          <w:color w:val="000000" w:themeColor="text1"/>
          <w:kern w:val="0"/>
          <w:sz w:val="28"/>
          <w:szCs w:val="28"/>
          <w:rtl/>
          <w14:ligatures w14:val="none"/>
        </w:rPr>
        <w:t>وتتمثل الاستراتيجية الرابعة في تحسين أداء الخدمات في القطاع العام عبر تبني أساليب إدارية حديثة ومقاربات مقارنة تستفيد من التجارب الدولية</w:t>
      </w:r>
      <w:r w:rsidRPr="002D2F40">
        <w:rPr>
          <w:rFonts w:ascii="Simplified Arabic" w:eastAsia="Times New Roman" w:hAnsi="Simplified Arabic" w:cs="Simplified Arabic"/>
          <w:color w:val="000000" w:themeColor="text1"/>
          <w:kern w:val="0"/>
          <w:sz w:val="28"/>
          <w:szCs w:val="28"/>
          <w14:ligatures w14:val="none"/>
        </w:rPr>
        <w:t xml:space="preserve"> (</w:t>
      </w:r>
      <w:proofErr w:type="spellStart"/>
      <w:r w:rsidRPr="002D2F40">
        <w:rPr>
          <w:rFonts w:ascii="Simplified Arabic" w:eastAsia="Times New Roman" w:hAnsi="Simplified Arabic" w:cs="Simplified Arabic"/>
          <w:color w:val="000000" w:themeColor="text1"/>
          <w:kern w:val="0"/>
          <w:sz w:val="28"/>
          <w:szCs w:val="28"/>
          <w14:ligatures w14:val="none"/>
        </w:rPr>
        <w:t>Breen</w:t>
      </w:r>
      <w:proofErr w:type="spellEnd"/>
      <w:r w:rsidRPr="002D2F40">
        <w:rPr>
          <w:rFonts w:ascii="Simplified Arabic" w:eastAsia="Times New Roman" w:hAnsi="Simplified Arabic" w:cs="Simplified Arabic"/>
          <w:color w:val="000000" w:themeColor="text1"/>
          <w:kern w:val="0"/>
          <w:sz w:val="28"/>
          <w:szCs w:val="28"/>
          <w14:ligatures w14:val="none"/>
        </w:rPr>
        <w:t xml:space="preserve"> et al., 2020). </w:t>
      </w:r>
      <w:r w:rsidRPr="002D2F40">
        <w:rPr>
          <w:rFonts w:ascii="Simplified Arabic" w:eastAsia="Times New Roman" w:hAnsi="Simplified Arabic" w:cs="Simplified Arabic"/>
          <w:color w:val="000000" w:themeColor="text1"/>
          <w:kern w:val="0"/>
          <w:sz w:val="28"/>
          <w:szCs w:val="28"/>
          <w:rtl/>
          <w14:ligatures w14:val="none"/>
        </w:rPr>
        <w:t>كما تتمحور الاستراتيجية الخامسة حول الابتكار في تقديم الخدمات الحكومية، الذي يُعزّز كفاءتها وفاعليتها وأثرها على جودة الحياة الحضرية (الجوهر، 2024)</w:t>
      </w:r>
      <w:r w:rsidRPr="002D2F40">
        <w:rPr>
          <w:rFonts w:ascii="Simplified Arabic" w:eastAsia="Times New Roman" w:hAnsi="Simplified Arabic" w:cs="Simplified Arabic"/>
          <w:color w:val="000000" w:themeColor="text1"/>
          <w:kern w:val="0"/>
          <w:sz w:val="28"/>
          <w:szCs w:val="28"/>
          <w14:ligatures w14:val="none"/>
        </w:rPr>
        <w:t>.</w:t>
      </w:r>
    </w:p>
    <w:p w14:paraId="512A1139" w14:textId="77777777" w:rsidR="00955473" w:rsidRPr="002D2F40" w:rsidRDefault="00955473" w:rsidP="00926B4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2D2F40">
        <w:rPr>
          <w:rFonts w:ascii="Simplified Arabic" w:eastAsia="Times New Roman" w:hAnsi="Simplified Arabic" w:cs="Simplified Arabic"/>
          <w:color w:val="000000" w:themeColor="text1"/>
          <w:kern w:val="0"/>
          <w:sz w:val="28"/>
          <w:szCs w:val="28"/>
          <w:rtl/>
          <w14:ligatures w14:val="none"/>
        </w:rPr>
        <w:t>وتُمثّل هذه الاستراتيجيات مدخلًا تكامليًا لتعظيم العائد الاستثماري وتحسين جودة الحياة، إذ تتقاطع فيما بينها وتتكامل في إطار رؤية شاملة تستهدف بناء مدن أكثر كفاءة وإنسانية واستدامة</w:t>
      </w:r>
      <w:r w:rsidRPr="002D2F40">
        <w:rPr>
          <w:rFonts w:ascii="Simplified Arabic" w:eastAsia="Times New Roman" w:hAnsi="Simplified Arabic" w:cs="Simplified Arabic"/>
          <w:color w:val="000000" w:themeColor="text1"/>
          <w:kern w:val="0"/>
          <w:sz w:val="28"/>
          <w:szCs w:val="28"/>
          <w14:ligatures w14:val="none"/>
        </w:rPr>
        <w:t>.</w:t>
      </w:r>
    </w:p>
    <w:p w14:paraId="69824315" w14:textId="09592153" w:rsidR="00830284" w:rsidRPr="002D2F40" w:rsidRDefault="00926B42" w:rsidP="00BD7456">
      <w:pPr>
        <w:jc w:val="center"/>
        <w:outlineLvl w:val="0"/>
        <w:rPr>
          <w:rFonts w:ascii="Simplified Arabic" w:hAnsi="Simplified Arabic" w:cs="Simplified Arabic"/>
          <w:b/>
          <w:bCs/>
          <w:color w:val="000000" w:themeColor="text1"/>
          <w:szCs w:val="28"/>
          <w:rtl/>
        </w:rPr>
        <w:sectPr w:rsidR="00830284" w:rsidRPr="002D2F40" w:rsidSect="00751A99">
          <w:footerReference w:type="default" r:id="rId10"/>
          <w:pgSz w:w="11906" w:h="16838" w:code="9"/>
          <w:pgMar w:top="1134" w:right="1701" w:bottom="1134" w:left="1134" w:header="720" w:footer="720" w:gutter="0"/>
          <w:pgNumType w:start="1"/>
          <w:cols w:space="708"/>
          <w:bidi/>
          <w:rtlGutter/>
          <w:docGrid w:linePitch="360"/>
        </w:sectPr>
      </w:pPr>
      <w:r w:rsidRPr="002D2F40">
        <w:rPr>
          <w:rFonts w:ascii="Simplified Arabic" w:eastAsia="Times New Roman" w:hAnsi="Simplified Arabic" w:cs="Simplified Arabic"/>
          <w:b/>
          <w:bCs/>
          <w:color w:val="000000" w:themeColor="text1"/>
          <w:kern w:val="0"/>
          <w:sz w:val="40"/>
          <w:szCs w:val="40"/>
          <w:rtl/>
          <w14:ligatures w14:val="none"/>
        </w:rPr>
        <w:br w:type="page"/>
      </w:r>
      <w:bookmarkEnd w:id="19"/>
      <w:bookmarkEnd w:id="20"/>
    </w:p>
    <w:p w14:paraId="29D4231B" w14:textId="5692A5E0" w:rsidR="0081623B" w:rsidRPr="002D2F40" w:rsidRDefault="00E27D3B" w:rsidP="00751A9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D2F40">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202802B9">
            <wp:simplePos x="0" y="0"/>
            <wp:positionH relativeFrom="column">
              <wp:posOffset>4278630</wp:posOffset>
            </wp:positionH>
            <wp:positionV relativeFrom="paragraph">
              <wp:posOffset>0</wp:posOffset>
            </wp:positionV>
            <wp:extent cx="1362075" cy="1261110"/>
            <wp:effectExtent l="0" t="0" r="9525" b="0"/>
            <wp:wrapTight wrapText="bothSides">
              <wp:wrapPolygon edited="0">
                <wp:start x="0" y="0"/>
                <wp:lineTo x="0" y="21208"/>
                <wp:lineTo x="21449" y="21208"/>
                <wp:lineTo x="21449"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62075" cy="126111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2D2F40">
        <w:rPr>
          <w:rFonts w:asciiTheme="majorBidi" w:eastAsia="Calibri" w:hAnsiTheme="majorBidi" w:cstheme="majorBidi"/>
          <w:b/>
          <w:bCs/>
          <w:color w:val="000000" w:themeColor="text1"/>
          <w:kern w:val="0"/>
          <w:sz w:val="32"/>
          <w:szCs w:val="32"/>
          <w:lang w:bidi="ar-EG"/>
          <w14:ligatures w14:val="none"/>
        </w:rPr>
        <w:t>Mid</w:t>
      </w:r>
      <w:r w:rsidR="000D353F" w:rsidRPr="002D2F40">
        <w:rPr>
          <w:rFonts w:asciiTheme="majorBidi" w:eastAsia="Calibri" w:hAnsiTheme="majorBidi" w:cstheme="majorBidi"/>
          <w:b/>
          <w:bCs/>
          <w:color w:val="000000" w:themeColor="text1"/>
          <w:kern w:val="0"/>
          <w:sz w:val="32"/>
          <w:szCs w:val="32"/>
          <w:lang w:bidi="ar-EG"/>
          <w14:ligatures w14:val="none"/>
        </w:rPr>
        <w:t xml:space="preserve"> </w:t>
      </w:r>
      <w:r w:rsidR="0081623B" w:rsidRPr="002D2F40">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2D2F40" w:rsidRDefault="0081623B" w:rsidP="00751A9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2D2F40">
        <w:rPr>
          <w:rFonts w:asciiTheme="majorBidi" w:eastAsia="Calibri" w:hAnsiTheme="majorBidi" w:cstheme="majorBidi"/>
          <w:b/>
          <w:bCs/>
          <w:color w:val="000000" w:themeColor="text1"/>
          <w:kern w:val="0"/>
          <w:sz w:val="32"/>
          <w:szCs w:val="32"/>
          <w:lang w:bidi="ar-EG"/>
          <w14:ligatures w14:val="none"/>
        </w:rPr>
        <w:t>College of Management</w:t>
      </w:r>
    </w:p>
    <w:p w14:paraId="0942BC16" w14:textId="756D4A97" w:rsidR="001B46EC" w:rsidRPr="002D2F40" w:rsidRDefault="00857739" w:rsidP="00751A99">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2D2F40">
        <w:rPr>
          <w:rFonts w:asciiTheme="majorBidi" w:eastAsia="Calibri" w:hAnsiTheme="majorBidi" w:cstheme="majorBidi"/>
          <w:b/>
          <w:bCs/>
          <w:color w:val="000000" w:themeColor="text1"/>
          <w:kern w:val="0"/>
          <w:sz w:val="32"/>
          <w:szCs w:val="32"/>
          <w:lang w:bidi="ar-EG"/>
          <w14:ligatures w14:val="none"/>
        </w:rPr>
        <w:t xml:space="preserve">Department of </w:t>
      </w:r>
      <w:r w:rsidR="008A7561" w:rsidRPr="002D2F40">
        <w:rPr>
          <w:rFonts w:asciiTheme="majorBidi" w:eastAsia="Calibri" w:hAnsiTheme="majorBidi" w:cstheme="majorBidi"/>
          <w:b/>
          <w:bCs/>
          <w:color w:val="000000" w:themeColor="text1"/>
          <w:kern w:val="0"/>
          <w:sz w:val="32"/>
          <w:szCs w:val="32"/>
          <w14:ligatures w14:val="none"/>
        </w:rPr>
        <w:t xml:space="preserve">real estate </w:t>
      </w:r>
      <w:r w:rsidR="001B46EC" w:rsidRPr="002D2F40">
        <w:rPr>
          <w:rFonts w:asciiTheme="majorBidi" w:eastAsia="Calibri" w:hAnsiTheme="majorBidi" w:cstheme="majorBidi"/>
          <w:b/>
          <w:bCs/>
          <w:color w:val="000000" w:themeColor="text1"/>
          <w:kern w:val="0"/>
          <w:sz w:val="32"/>
          <w:szCs w:val="32"/>
          <w14:ligatures w14:val="none"/>
        </w:rPr>
        <w:t>administration</w:t>
      </w:r>
    </w:p>
    <w:p w14:paraId="04411127" w14:textId="77777777" w:rsidR="00E27D3B" w:rsidRPr="002D2F40" w:rsidRDefault="00E27D3B" w:rsidP="00751A99">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14:ligatures w14:val="none"/>
        </w:rPr>
      </w:pPr>
    </w:p>
    <w:p w14:paraId="60F1CEDF" w14:textId="5E348D5F" w:rsidR="0025395E" w:rsidRPr="002D2F40" w:rsidRDefault="00497D0C" w:rsidP="00830284">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2D2F40">
        <w:rPr>
          <w:rFonts w:asciiTheme="majorBidi" w:eastAsia="Calibri" w:hAnsiTheme="majorBidi" w:cstheme="majorBidi"/>
          <w:b/>
          <w:bCs/>
          <w:color w:val="000000" w:themeColor="text1"/>
          <w:kern w:val="0"/>
          <w:sz w:val="40"/>
          <w:szCs w:val="40"/>
          <w:lang w:bidi="ar-EG"/>
          <w14:ligatures w14:val="none"/>
        </w:rPr>
        <w:t>Redevelopment of Old Residential Houses as an Approach to Maximizing Investment Return and Improving Urban Quality of Life: A Field Study in Riyadh City</w:t>
      </w:r>
    </w:p>
    <w:p w14:paraId="3574960E" w14:textId="77777777" w:rsidR="00830284" w:rsidRPr="002D2F40" w:rsidRDefault="00830284" w:rsidP="00751A99">
      <w:pPr>
        <w:bidi w:val="0"/>
        <w:spacing w:before="100" w:beforeAutospacing="1" w:after="100" w:afterAutospacing="1" w:line="276" w:lineRule="auto"/>
        <w:jc w:val="both"/>
        <w:rPr>
          <w:rFonts w:asciiTheme="majorBidi" w:eastAsia="Calibri" w:hAnsiTheme="majorBidi" w:cstheme="majorBidi"/>
          <w:color w:val="000000" w:themeColor="text1"/>
          <w:kern w:val="0"/>
          <w:sz w:val="32"/>
          <w:szCs w:val="32"/>
          <w:rtl/>
          <w:lang w:bidi="ar-EG"/>
          <w14:ligatures w14:val="none"/>
        </w:rPr>
      </w:pPr>
    </w:p>
    <w:p w14:paraId="03C60462" w14:textId="77777777" w:rsidR="0025395E" w:rsidRPr="002D2F40" w:rsidRDefault="0025395E" w:rsidP="0083028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2D2F40">
        <w:rPr>
          <w:rFonts w:asciiTheme="majorBidi" w:eastAsia="Calibri" w:hAnsiTheme="majorBidi" w:cstheme="majorBidi"/>
          <w:b/>
          <w:bCs/>
          <w:color w:val="000000" w:themeColor="text1"/>
          <w:kern w:val="0"/>
          <w:sz w:val="36"/>
          <w:szCs w:val="36"/>
          <w:lang w:bidi="ar-EG"/>
          <w14:ligatures w14:val="none"/>
        </w:rPr>
        <w:t>Prepared by</w:t>
      </w:r>
    </w:p>
    <w:p w14:paraId="455DA488" w14:textId="77777777" w:rsidR="002F6FB8" w:rsidRPr="008E547A" w:rsidRDefault="002F6FB8">
      <w:pPr>
        <w:pStyle w:val="p1"/>
        <w:rPr>
          <w:sz w:val="44"/>
          <w:szCs w:val="44"/>
          <w:u w:val="single"/>
        </w:rPr>
      </w:pPr>
      <w:proofErr w:type="spellStart"/>
      <w:r w:rsidRPr="008E547A">
        <w:rPr>
          <w:sz w:val="44"/>
          <w:szCs w:val="44"/>
          <w:u w:val="single"/>
        </w:rPr>
        <w:t>Abdulmohsen</w:t>
      </w:r>
      <w:proofErr w:type="spellEnd"/>
      <w:r w:rsidRPr="008E547A">
        <w:rPr>
          <w:sz w:val="44"/>
          <w:szCs w:val="44"/>
          <w:u w:val="single"/>
        </w:rPr>
        <w:t xml:space="preserve"> </w:t>
      </w:r>
      <w:proofErr w:type="spellStart"/>
      <w:r w:rsidRPr="008E547A">
        <w:rPr>
          <w:sz w:val="44"/>
          <w:szCs w:val="44"/>
          <w:u w:val="single"/>
        </w:rPr>
        <w:t>Mansour</w:t>
      </w:r>
      <w:proofErr w:type="spellEnd"/>
      <w:r w:rsidRPr="008E547A">
        <w:rPr>
          <w:sz w:val="44"/>
          <w:szCs w:val="44"/>
          <w:u w:val="single"/>
        </w:rPr>
        <w:t xml:space="preserve"> Mohsen </w:t>
      </w:r>
      <w:proofErr w:type="spellStart"/>
      <w:r w:rsidRPr="008E547A">
        <w:rPr>
          <w:sz w:val="44"/>
          <w:szCs w:val="44"/>
          <w:u w:val="single"/>
        </w:rPr>
        <w:t>Al-Otaibi</w:t>
      </w:r>
      <w:proofErr w:type="spellEnd"/>
    </w:p>
    <w:p w14:paraId="6CAF7031" w14:textId="77777777" w:rsidR="00830284" w:rsidRPr="002D2F40" w:rsidRDefault="00830284" w:rsidP="0083028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16FF8F2" w14:textId="77777777" w:rsidR="00830284" w:rsidRPr="002D2F40" w:rsidRDefault="00830284" w:rsidP="0083028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830284" w:rsidRPr="002D2F40" w14:paraId="5D964C47" w14:textId="77777777" w:rsidTr="00D84106">
        <w:tc>
          <w:tcPr>
            <w:tcW w:w="4530" w:type="dxa"/>
          </w:tcPr>
          <w:p w14:paraId="375155CE" w14:textId="77777777" w:rsidR="00830284" w:rsidRPr="002D2F40" w:rsidRDefault="00830284" w:rsidP="00D841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D2F40">
              <w:rPr>
                <w:rFonts w:asciiTheme="majorBidi" w:eastAsia="Calibri" w:hAnsiTheme="majorBidi" w:cstheme="majorBidi"/>
                <w:b/>
                <w:bCs/>
                <w:color w:val="000000" w:themeColor="text1"/>
                <w:kern w:val="0"/>
                <w:sz w:val="36"/>
                <w:szCs w:val="36"/>
                <w:lang w:bidi="ar-EG"/>
                <w14:ligatures w14:val="none"/>
              </w:rPr>
              <w:t>Main supervisor</w:t>
            </w:r>
            <w:r w:rsidRPr="002D2F40">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46559DDF" w14:textId="77777777" w:rsidR="00830284" w:rsidRPr="002D2F40" w:rsidRDefault="00830284" w:rsidP="00D841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D2F40">
              <w:rPr>
                <w:rFonts w:asciiTheme="majorBidi" w:eastAsia="Calibri" w:hAnsiTheme="majorBidi" w:cstheme="majorBidi"/>
                <w:b/>
                <w:bCs/>
                <w:color w:val="000000" w:themeColor="text1"/>
                <w:kern w:val="0"/>
                <w:sz w:val="36"/>
                <w:szCs w:val="36"/>
                <w:lang w:bidi="ar-EG"/>
                <w14:ligatures w14:val="none"/>
              </w:rPr>
              <w:t>Second supervisor</w:t>
            </w:r>
            <w:r w:rsidRPr="002D2F40">
              <w:rPr>
                <w:rFonts w:asciiTheme="majorBidi" w:eastAsia="Calibri" w:hAnsiTheme="majorBidi" w:cstheme="majorBidi"/>
                <w:b/>
                <w:bCs/>
                <w:color w:val="000000" w:themeColor="text1"/>
                <w:kern w:val="0"/>
                <w:sz w:val="36"/>
                <w:szCs w:val="36"/>
                <w:rtl/>
                <w:lang w:bidi="ar-EG"/>
                <w14:ligatures w14:val="none"/>
              </w:rPr>
              <w:t>/</w:t>
            </w:r>
          </w:p>
        </w:tc>
      </w:tr>
      <w:tr w:rsidR="00830284" w:rsidRPr="002D2F40" w14:paraId="345A7C9A" w14:textId="77777777" w:rsidTr="00D84106">
        <w:tc>
          <w:tcPr>
            <w:tcW w:w="4530" w:type="dxa"/>
          </w:tcPr>
          <w:p w14:paraId="69F91895" w14:textId="77777777" w:rsidR="00830284" w:rsidRPr="002D2F40" w:rsidRDefault="00830284" w:rsidP="00D841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D2F40">
              <w:rPr>
                <w:rFonts w:asciiTheme="majorBidi" w:eastAsia="Calibri" w:hAnsiTheme="majorBidi" w:cstheme="majorBidi"/>
                <w:color w:val="000000" w:themeColor="text1"/>
                <w:kern w:val="0"/>
                <w:sz w:val="36"/>
                <w:szCs w:val="36"/>
                <w:lang w:bidi="ar-EG"/>
                <w14:ligatures w14:val="none"/>
              </w:rPr>
              <w:t xml:space="preserve">Dr. Al-Faisal </w:t>
            </w:r>
            <w:proofErr w:type="spellStart"/>
            <w:r w:rsidRPr="002D2F40">
              <w:rPr>
                <w:rFonts w:asciiTheme="majorBidi" w:eastAsia="Calibri" w:hAnsiTheme="majorBidi" w:cstheme="majorBidi"/>
                <w:color w:val="000000" w:themeColor="text1"/>
                <w:kern w:val="0"/>
                <w:sz w:val="36"/>
                <w:szCs w:val="36"/>
                <w:lang w:bidi="ar-EG"/>
                <w14:ligatures w14:val="none"/>
              </w:rPr>
              <w:t>Abdelhamid</w:t>
            </w:r>
            <w:proofErr w:type="spellEnd"/>
          </w:p>
        </w:tc>
        <w:tc>
          <w:tcPr>
            <w:tcW w:w="4531" w:type="dxa"/>
          </w:tcPr>
          <w:p w14:paraId="1430EF56" w14:textId="77777777" w:rsidR="00830284" w:rsidRPr="002D2F40" w:rsidRDefault="00830284" w:rsidP="00D84106">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2D2F40">
              <w:rPr>
                <w:rFonts w:asciiTheme="majorBidi" w:eastAsia="Calibri" w:hAnsiTheme="majorBidi" w:cstheme="majorBidi"/>
                <w:color w:val="000000" w:themeColor="text1"/>
                <w:kern w:val="0"/>
                <w:sz w:val="36"/>
                <w:szCs w:val="36"/>
                <w:lang w:bidi="ar-EG"/>
                <w14:ligatures w14:val="none"/>
              </w:rPr>
              <w:t xml:space="preserve">Dr. </w:t>
            </w:r>
            <w:proofErr w:type="spellStart"/>
            <w:r w:rsidRPr="002D2F40">
              <w:rPr>
                <w:rFonts w:asciiTheme="majorBidi" w:eastAsia="Calibri" w:hAnsiTheme="majorBidi" w:cstheme="majorBidi"/>
                <w:color w:val="000000" w:themeColor="text1"/>
                <w:kern w:val="0"/>
                <w:sz w:val="36"/>
                <w:szCs w:val="36"/>
                <w:lang w:bidi="ar-EG"/>
                <w14:ligatures w14:val="none"/>
              </w:rPr>
              <w:t>Fayez</w:t>
            </w:r>
            <w:proofErr w:type="spellEnd"/>
            <w:r w:rsidRPr="002D2F40">
              <w:rPr>
                <w:rFonts w:asciiTheme="majorBidi" w:eastAsia="Calibri" w:hAnsiTheme="majorBidi" w:cstheme="majorBidi"/>
                <w:color w:val="000000" w:themeColor="text1"/>
                <w:kern w:val="0"/>
                <w:sz w:val="36"/>
                <w:szCs w:val="36"/>
                <w:lang w:bidi="ar-EG"/>
                <w14:ligatures w14:val="none"/>
              </w:rPr>
              <w:t xml:space="preserve"> Jarad</w:t>
            </w:r>
          </w:p>
        </w:tc>
      </w:tr>
    </w:tbl>
    <w:p w14:paraId="0E6AE8EE" w14:textId="77777777" w:rsidR="00830284" w:rsidRPr="002D2F40" w:rsidRDefault="00830284" w:rsidP="00830284">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2D2F40">
        <w:rPr>
          <w:rFonts w:asciiTheme="majorBidi" w:eastAsia="Calibri" w:hAnsiTheme="majorBidi" w:cstheme="majorBidi"/>
          <w:color w:val="000000" w:themeColor="text1"/>
          <w:kern w:val="0"/>
          <w:sz w:val="36"/>
          <w:szCs w:val="36"/>
          <w:rtl/>
          <w:lang w:bidi="ar-EG"/>
          <w14:ligatures w14:val="none"/>
        </w:rPr>
        <w:t>1448 – 2026</w:t>
      </w:r>
    </w:p>
    <w:p w14:paraId="5FAE286A" w14:textId="77777777" w:rsidR="00830284" w:rsidRPr="002D2F40" w:rsidRDefault="00830284" w:rsidP="0083028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68287F43" w14:textId="77777777" w:rsidR="00E27D3B" w:rsidRPr="002D2F40" w:rsidRDefault="00E27D3B" w:rsidP="00751A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4569AAB2" w14:textId="77777777" w:rsidR="001B46EC" w:rsidRPr="002D2F40" w:rsidRDefault="001B46EC" w:rsidP="00751A99">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3F3FD34F" w:rsidR="009125CE" w:rsidRPr="002D2F40" w:rsidRDefault="009125CE" w:rsidP="00751A99">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2D2F40" w:rsidSect="00751A99">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D711E7C" w14:textId="77777777" w:rsidR="00FC623E" w:rsidRDefault="00FC623E" w:rsidP="009125CE">
      <w:pPr>
        <w:spacing w:after="0" w:line="240" w:lineRule="auto"/>
      </w:pPr>
      <w:r>
        <w:separator/>
      </w:r>
    </w:p>
  </w:endnote>
  <w:endnote w:type="continuationSeparator" w:id="0">
    <w:p w14:paraId="0BDCEB19" w14:textId="77777777" w:rsidR="00FC623E" w:rsidRDefault="00FC623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2019040329"/>
      <w:docPartObj>
        <w:docPartGallery w:val="Page Numbers (Bottom of Page)"/>
        <w:docPartUnique/>
      </w:docPartObj>
    </w:sdtPr>
    <w:sdtEndPr>
      <w:rPr>
        <w:rFonts w:ascii="Simplified Arabic" w:hAnsi="Simplified Arabic" w:cs="Simplified Arabic"/>
        <w:b/>
        <w:bCs/>
        <w:noProof/>
        <w:sz w:val="24"/>
        <w:szCs w:val="24"/>
      </w:rPr>
    </w:sdtEndPr>
    <w:sdtContent>
      <w:p w14:paraId="6C2DD62E" w14:textId="3F0F9375" w:rsidR="00D84106" w:rsidRDefault="00D84106">
        <w:pPr>
          <w:pStyle w:val="a4"/>
          <w:jc w:val="center"/>
        </w:pPr>
      </w:p>
      <w:p w14:paraId="13047AE1" w14:textId="4417BCDB" w:rsidR="00D84106" w:rsidRPr="00751A99" w:rsidRDefault="009B3869" w:rsidP="00751A99">
        <w:pPr>
          <w:pStyle w:val="a4"/>
          <w:jc w:val="center"/>
          <w:rPr>
            <w:rFonts w:ascii="Simplified Arabic" w:hAnsi="Simplified Arabic" w:cs="Simplified Arabic"/>
            <w:b/>
            <w:bCs/>
            <w:sz w:val="24"/>
            <w:szCs w:val="2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60258492"/>
      <w:docPartObj>
        <w:docPartGallery w:val="Page Numbers (Bottom of Page)"/>
        <w:docPartUnique/>
      </w:docPartObj>
    </w:sdtPr>
    <w:sdtEndPr>
      <w:rPr>
        <w:rFonts w:ascii="Simplified Arabic" w:hAnsi="Simplified Arabic" w:cs="Simplified Arabic"/>
        <w:b/>
        <w:bCs/>
        <w:noProof/>
        <w:sz w:val="24"/>
        <w:szCs w:val="24"/>
      </w:rPr>
    </w:sdtEndPr>
    <w:sdtContent>
      <w:p w14:paraId="4EB3F885" w14:textId="77777777" w:rsidR="00D84106" w:rsidRDefault="00D84106">
        <w:pPr>
          <w:pStyle w:val="a4"/>
          <w:jc w:val="center"/>
        </w:pPr>
        <w:r>
          <w:rPr>
            <w:noProof/>
          </w:rPr>
          <mc:AlternateContent>
            <mc:Choice Requires="wps">
              <w:drawing>
                <wp:inline distT="0" distB="0" distL="0" distR="0" wp14:anchorId="055ECCB7" wp14:editId="20E03F55">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761B1F49"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6951E22D" w14:textId="77777777" w:rsidR="00D84106" w:rsidRPr="00751A99" w:rsidRDefault="00D84106" w:rsidP="00751A99">
        <w:pPr>
          <w:pStyle w:val="a4"/>
          <w:jc w:val="center"/>
          <w:rPr>
            <w:rFonts w:ascii="Simplified Arabic" w:hAnsi="Simplified Arabic" w:cs="Simplified Arabic"/>
            <w:b/>
            <w:bCs/>
            <w:sz w:val="24"/>
            <w:szCs w:val="24"/>
          </w:rPr>
        </w:pPr>
        <w:r w:rsidRPr="00751A99">
          <w:rPr>
            <w:rFonts w:ascii="Simplified Arabic" w:hAnsi="Simplified Arabic" w:cs="Simplified Arabic"/>
            <w:b/>
            <w:bCs/>
            <w:sz w:val="24"/>
            <w:szCs w:val="24"/>
          </w:rPr>
          <w:fldChar w:fldCharType="begin"/>
        </w:r>
        <w:r w:rsidRPr="00751A99">
          <w:rPr>
            <w:rFonts w:ascii="Simplified Arabic" w:hAnsi="Simplified Arabic" w:cs="Simplified Arabic"/>
            <w:b/>
            <w:bCs/>
            <w:sz w:val="24"/>
            <w:szCs w:val="24"/>
          </w:rPr>
          <w:instrText xml:space="preserve"> PAGE    \* MERGEFORMAT </w:instrText>
        </w:r>
        <w:r w:rsidRPr="00751A99">
          <w:rPr>
            <w:rFonts w:ascii="Simplified Arabic" w:hAnsi="Simplified Arabic" w:cs="Simplified Arabic"/>
            <w:b/>
            <w:bCs/>
            <w:sz w:val="24"/>
            <w:szCs w:val="24"/>
          </w:rPr>
          <w:fldChar w:fldCharType="separate"/>
        </w:r>
        <w:r w:rsidR="00BD7456">
          <w:rPr>
            <w:rFonts w:ascii="Simplified Arabic" w:hAnsi="Simplified Arabic" w:cs="Simplified Arabic"/>
            <w:b/>
            <w:bCs/>
            <w:noProof/>
            <w:sz w:val="24"/>
            <w:szCs w:val="24"/>
            <w:rtl/>
          </w:rPr>
          <w:t>40</w:t>
        </w:r>
        <w:r w:rsidRPr="00751A99">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tl/>
      </w:rPr>
      <w:id w:val="-159543062"/>
      <w:docPartObj>
        <w:docPartGallery w:val="Page Numbers (Bottom of Page)"/>
        <w:docPartUnique/>
      </w:docPartObj>
    </w:sdtPr>
    <w:sdtEndPr>
      <w:rPr>
        <w:rFonts w:ascii="Simplified Arabic" w:hAnsi="Simplified Arabic" w:cs="Simplified Arabic"/>
        <w:b/>
        <w:bCs/>
        <w:noProof/>
        <w:sz w:val="24"/>
        <w:szCs w:val="24"/>
      </w:rPr>
    </w:sdtEndPr>
    <w:sdtContent>
      <w:p w14:paraId="63F0F8B6" w14:textId="7E1D514D" w:rsidR="00D84106" w:rsidRDefault="00D84106">
        <w:pPr>
          <w:pStyle w:val="a4"/>
          <w:jc w:val="center"/>
        </w:pPr>
      </w:p>
      <w:p w14:paraId="2E8245F8" w14:textId="1AF0575D" w:rsidR="00D84106" w:rsidRPr="00751A99" w:rsidRDefault="009B3869" w:rsidP="00751A99">
        <w:pPr>
          <w:pStyle w:val="a4"/>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6DA7594" w14:textId="77777777" w:rsidR="00FC623E" w:rsidRDefault="00FC623E" w:rsidP="009125CE">
      <w:pPr>
        <w:spacing w:after="0" w:line="240" w:lineRule="auto"/>
      </w:pPr>
      <w:r>
        <w:separator/>
      </w:r>
    </w:p>
  </w:footnote>
  <w:footnote w:type="continuationSeparator" w:id="0">
    <w:p w14:paraId="4DEB5E32" w14:textId="77777777" w:rsidR="00FC623E" w:rsidRDefault="00FC623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C4592"/>
    <w:multiLevelType w:val="hybridMultilevel"/>
    <w:tmpl w:val="0C1875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4A4B9F"/>
    <w:multiLevelType w:val="hybridMultilevel"/>
    <w:tmpl w:val="C9F8D8B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1364F"/>
    <w:multiLevelType w:val="multilevel"/>
    <w:tmpl w:val="4A9C90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0B7EA8"/>
    <w:multiLevelType w:val="hybridMultilevel"/>
    <w:tmpl w:val="BA0CDA0A"/>
    <w:lvl w:ilvl="0" w:tplc="0409000D">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 w15:restartNumberingAfterBreak="0">
    <w:nsid w:val="39A831CA"/>
    <w:multiLevelType w:val="hybridMultilevel"/>
    <w:tmpl w:val="86ECA30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B7B4E43"/>
    <w:multiLevelType w:val="hybridMultilevel"/>
    <w:tmpl w:val="6F4627F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6231DD4"/>
    <w:multiLevelType w:val="multilevel"/>
    <w:tmpl w:val="4A9C906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F064BE3"/>
    <w:multiLevelType w:val="hybridMultilevel"/>
    <w:tmpl w:val="22E4E29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15056028">
    <w:abstractNumId w:val="3"/>
  </w:num>
  <w:num w:numId="2" w16cid:durableId="679359493">
    <w:abstractNumId w:val="2"/>
  </w:num>
  <w:num w:numId="3" w16cid:durableId="1877545801">
    <w:abstractNumId w:val="6"/>
  </w:num>
  <w:num w:numId="4" w16cid:durableId="1856068522">
    <w:abstractNumId w:val="4"/>
  </w:num>
  <w:num w:numId="5" w16cid:durableId="1940142666">
    <w:abstractNumId w:val="0"/>
  </w:num>
  <w:num w:numId="6" w16cid:durableId="1716810608">
    <w:abstractNumId w:val="5"/>
  </w:num>
  <w:num w:numId="7" w16cid:durableId="509374448">
    <w:abstractNumId w:val="7"/>
  </w:num>
  <w:num w:numId="8" w16cid:durableId="892737799">
    <w:abstractNumId w:val="1"/>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67"/>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14C60"/>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38CB"/>
    <w:rsid w:val="00110487"/>
    <w:rsid w:val="0012342D"/>
    <w:rsid w:val="001306F3"/>
    <w:rsid w:val="00131E44"/>
    <w:rsid w:val="00136A9D"/>
    <w:rsid w:val="00143989"/>
    <w:rsid w:val="00144F43"/>
    <w:rsid w:val="00150B32"/>
    <w:rsid w:val="001510C1"/>
    <w:rsid w:val="00152611"/>
    <w:rsid w:val="00153B41"/>
    <w:rsid w:val="00170871"/>
    <w:rsid w:val="00174E80"/>
    <w:rsid w:val="00175050"/>
    <w:rsid w:val="001761A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46EC"/>
    <w:rsid w:val="001B6D18"/>
    <w:rsid w:val="001B7151"/>
    <w:rsid w:val="001C2162"/>
    <w:rsid w:val="001C42F9"/>
    <w:rsid w:val="001C6628"/>
    <w:rsid w:val="001D4406"/>
    <w:rsid w:val="001E7B16"/>
    <w:rsid w:val="001F0034"/>
    <w:rsid w:val="001F159D"/>
    <w:rsid w:val="001F46A5"/>
    <w:rsid w:val="0021718D"/>
    <w:rsid w:val="00217ADA"/>
    <w:rsid w:val="0022009F"/>
    <w:rsid w:val="00223AE0"/>
    <w:rsid w:val="002304C2"/>
    <w:rsid w:val="00234450"/>
    <w:rsid w:val="00250D99"/>
    <w:rsid w:val="00251BCA"/>
    <w:rsid w:val="0025395E"/>
    <w:rsid w:val="00256363"/>
    <w:rsid w:val="00260558"/>
    <w:rsid w:val="0026283D"/>
    <w:rsid w:val="00270FB5"/>
    <w:rsid w:val="00274BDE"/>
    <w:rsid w:val="002766BC"/>
    <w:rsid w:val="00280068"/>
    <w:rsid w:val="002828EF"/>
    <w:rsid w:val="00286958"/>
    <w:rsid w:val="0029680E"/>
    <w:rsid w:val="002A32D6"/>
    <w:rsid w:val="002A337C"/>
    <w:rsid w:val="002A365A"/>
    <w:rsid w:val="002A76B5"/>
    <w:rsid w:val="002B1274"/>
    <w:rsid w:val="002B63F8"/>
    <w:rsid w:val="002C205F"/>
    <w:rsid w:val="002C21BB"/>
    <w:rsid w:val="002C5EE0"/>
    <w:rsid w:val="002D0190"/>
    <w:rsid w:val="002D2F40"/>
    <w:rsid w:val="002D30A7"/>
    <w:rsid w:val="002D3120"/>
    <w:rsid w:val="002D5C0C"/>
    <w:rsid w:val="002E36BC"/>
    <w:rsid w:val="002E4629"/>
    <w:rsid w:val="002F5FA3"/>
    <w:rsid w:val="002F6FB8"/>
    <w:rsid w:val="00301731"/>
    <w:rsid w:val="00303BF8"/>
    <w:rsid w:val="00304304"/>
    <w:rsid w:val="003060F7"/>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2106"/>
    <w:rsid w:val="003D5D45"/>
    <w:rsid w:val="003D6376"/>
    <w:rsid w:val="003E0E80"/>
    <w:rsid w:val="003E29FB"/>
    <w:rsid w:val="003E3EBB"/>
    <w:rsid w:val="003E5B08"/>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6FE0"/>
    <w:rsid w:val="0047707D"/>
    <w:rsid w:val="00482056"/>
    <w:rsid w:val="00482616"/>
    <w:rsid w:val="00482C3A"/>
    <w:rsid w:val="004914B1"/>
    <w:rsid w:val="00491EAB"/>
    <w:rsid w:val="00497D0C"/>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04E7A"/>
    <w:rsid w:val="00513B3A"/>
    <w:rsid w:val="005146DA"/>
    <w:rsid w:val="0051585E"/>
    <w:rsid w:val="00522010"/>
    <w:rsid w:val="0052581D"/>
    <w:rsid w:val="0053331B"/>
    <w:rsid w:val="005423FA"/>
    <w:rsid w:val="00544E3F"/>
    <w:rsid w:val="00545455"/>
    <w:rsid w:val="005459E0"/>
    <w:rsid w:val="00545E45"/>
    <w:rsid w:val="00550EC8"/>
    <w:rsid w:val="005527F0"/>
    <w:rsid w:val="00557A05"/>
    <w:rsid w:val="00557B85"/>
    <w:rsid w:val="005832D4"/>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5F7D46"/>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73D30"/>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F162C"/>
    <w:rsid w:val="006F29F1"/>
    <w:rsid w:val="0070333D"/>
    <w:rsid w:val="00703542"/>
    <w:rsid w:val="00705AF7"/>
    <w:rsid w:val="00706E7F"/>
    <w:rsid w:val="0071504C"/>
    <w:rsid w:val="007178EE"/>
    <w:rsid w:val="007301E5"/>
    <w:rsid w:val="00731DC0"/>
    <w:rsid w:val="007401DF"/>
    <w:rsid w:val="00741B9A"/>
    <w:rsid w:val="007501C6"/>
    <w:rsid w:val="00751A99"/>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D654A"/>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284"/>
    <w:rsid w:val="0083081C"/>
    <w:rsid w:val="00831F14"/>
    <w:rsid w:val="008332E4"/>
    <w:rsid w:val="0083662A"/>
    <w:rsid w:val="00836FAC"/>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A5D16"/>
    <w:rsid w:val="008A7561"/>
    <w:rsid w:val="008B2333"/>
    <w:rsid w:val="008B30B3"/>
    <w:rsid w:val="008B3965"/>
    <w:rsid w:val="008B41AE"/>
    <w:rsid w:val="008B6EE6"/>
    <w:rsid w:val="008C1ABE"/>
    <w:rsid w:val="008C300E"/>
    <w:rsid w:val="008C42C1"/>
    <w:rsid w:val="008C4A35"/>
    <w:rsid w:val="008C52C9"/>
    <w:rsid w:val="008C7BB4"/>
    <w:rsid w:val="008D15AF"/>
    <w:rsid w:val="008D1829"/>
    <w:rsid w:val="008E1B7E"/>
    <w:rsid w:val="008E547A"/>
    <w:rsid w:val="008E5C19"/>
    <w:rsid w:val="008E7314"/>
    <w:rsid w:val="008F1EAE"/>
    <w:rsid w:val="008F6829"/>
    <w:rsid w:val="008F6B36"/>
    <w:rsid w:val="0090105B"/>
    <w:rsid w:val="0090438F"/>
    <w:rsid w:val="00905FD8"/>
    <w:rsid w:val="009125CE"/>
    <w:rsid w:val="00914D5B"/>
    <w:rsid w:val="0092088B"/>
    <w:rsid w:val="009216A4"/>
    <w:rsid w:val="00926B42"/>
    <w:rsid w:val="00927901"/>
    <w:rsid w:val="009307B0"/>
    <w:rsid w:val="00930A79"/>
    <w:rsid w:val="00932A89"/>
    <w:rsid w:val="00937CA3"/>
    <w:rsid w:val="00951F48"/>
    <w:rsid w:val="00955473"/>
    <w:rsid w:val="0096099D"/>
    <w:rsid w:val="009638CB"/>
    <w:rsid w:val="00963C6C"/>
    <w:rsid w:val="00964E82"/>
    <w:rsid w:val="00970F41"/>
    <w:rsid w:val="0097383F"/>
    <w:rsid w:val="009760DA"/>
    <w:rsid w:val="00976DC2"/>
    <w:rsid w:val="00980234"/>
    <w:rsid w:val="00980B3C"/>
    <w:rsid w:val="00985B71"/>
    <w:rsid w:val="0098768E"/>
    <w:rsid w:val="00994120"/>
    <w:rsid w:val="009A62C5"/>
    <w:rsid w:val="009B059D"/>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F47B9"/>
    <w:rsid w:val="009F7996"/>
    <w:rsid w:val="00A02DBC"/>
    <w:rsid w:val="00A057D1"/>
    <w:rsid w:val="00A10072"/>
    <w:rsid w:val="00A10B45"/>
    <w:rsid w:val="00A1279C"/>
    <w:rsid w:val="00A130CC"/>
    <w:rsid w:val="00A13C6F"/>
    <w:rsid w:val="00A15287"/>
    <w:rsid w:val="00A15584"/>
    <w:rsid w:val="00A16431"/>
    <w:rsid w:val="00A21819"/>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67321"/>
    <w:rsid w:val="00A71BCE"/>
    <w:rsid w:val="00A74F76"/>
    <w:rsid w:val="00A823EC"/>
    <w:rsid w:val="00A840CF"/>
    <w:rsid w:val="00A84337"/>
    <w:rsid w:val="00A846AF"/>
    <w:rsid w:val="00A86E11"/>
    <w:rsid w:val="00A9757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8A"/>
    <w:rsid w:val="00B04BD9"/>
    <w:rsid w:val="00B05F9C"/>
    <w:rsid w:val="00B134E7"/>
    <w:rsid w:val="00B15A9E"/>
    <w:rsid w:val="00B16D15"/>
    <w:rsid w:val="00B21E86"/>
    <w:rsid w:val="00B31E1F"/>
    <w:rsid w:val="00B346DF"/>
    <w:rsid w:val="00B36FBC"/>
    <w:rsid w:val="00B4269F"/>
    <w:rsid w:val="00B44182"/>
    <w:rsid w:val="00B467CC"/>
    <w:rsid w:val="00B5443B"/>
    <w:rsid w:val="00B570EB"/>
    <w:rsid w:val="00B57582"/>
    <w:rsid w:val="00B63B0F"/>
    <w:rsid w:val="00B653F7"/>
    <w:rsid w:val="00B70D11"/>
    <w:rsid w:val="00B72A08"/>
    <w:rsid w:val="00B74A10"/>
    <w:rsid w:val="00B74FF2"/>
    <w:rsid w:val="00B75E84"/>
    <w:rsid w:val="00B7678A"/>
    <w:rsid w:val="00B801FA"/>
    <w:rsid w:val="00B9286F"/>
    <w:rsid w:val="00BA0E1B"/>
    <w:rsid w:val="00BA1572"/>
    <w:rsid w:val="00BA1B67"/>
    <w:rsid w:val="00BA3D6A"/>
    <w:rsid w:val="00BA5817"/>
    <w:rsid w:val="00BB1144"/>
    <w:rsid w:val="00BB2094"/>
    <w:rsid w:val="00BB3514"/>
    <w:rsid w:val="00BC24EE"/>
    <w:rsid w:val="00BC454D"/>
    <w:rsid w:val="00BC61BD"/>
    <w:rsid w:val="00BD03D1"/>
    <w:rsid w:val="00BD590D"/>
    <w:rsid w:val="00BD7456"/>
    <w:rsid w:val="00BE2024"/>
    <w:rsid w:val="00BF35D5"/>
    <w:rsid w:val="00C01C2B"/>
    <w:rsid w:val="00C1175F"/>
    <w:rsid w:val="00C11CB2"/>
    <w:rsid w:val="00C16713"/>
    <w:rsid w:val="00C16D65"/>
    <w:rsid w:val="00C20A1C"/>
    <w:rsid w:val="00C23616"/>
    <w:rsid w:val="00C23A70"/>
    <w:rsid w:val="00C32E49"/>
    <w:rsid w:val="00C35B07"/>
    <w:rsid w:val="00C35BBA"/>
    <w:rsid w:val="00C426E5"/>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07AC"/>
    <w:rsid w:val="00D5653F"/>
    <w:rsid w:val="00D60743"/>
    <w:rsid w:val="00D75AD3"/>
    <w:rsid w:val="00D84106"/>
    <w:rsid w:val="00D92BC0"/>
    <w:rsid w:val="00D92F77"/>
    <w:rsid w:val="00D965B5"/>
    <w:rsid w:val="00DA0EBA"/>
    <w:rsid w:val="00DA1C1B"/>
    <w:rsid w:val="00DA3C05"/>
    <w:rsid w:val="00DA4EAA"/>
    <w:rsid w:val="00DA61E2"/>
    <w:rsid w:val="00DB0FBB"/>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180"/>
    <w:rsid w:val="00E24460"/>
    <w:rsid w:val="00E2784D"/>
    <w:rsid w:val="00E27D3B"/>
    <w:rsid w:val="00E30EB7"/>
    <w:rsid w:val="00E3112D"/>
    <w:rsid w:val="00E373EB"/>
    <w:rsid w:val="00E43E62"/>
    <w:rsid w:val="00E452A2"/>
    <w:rsid w:val="00E50B03"/>
    <w:rsid w:val="00E53564"/>
    <w:rsid w:val="00E552BA"/>
    <w:rsid w:val="00E55F94"/>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46FF"/>
    <w:rsid w:val="00EB60A5"/>
    <w:rsid w:val="00EC10F6"/>
    <w:rsid w:val="00EC5DCF"/>
    <w:rsid w:val="00ED1918"/>
    <w:rsid w:val="00ED24E8"/>
    <w:rsid w:val="00ED2B59"/>
    <w:rsid w:val="00ED2F10"/>
    <w:rsid w:val="00ED5DB0"/>
    <w:rsid w:val="00EE0BB8"/>
    <w:rsid w:val="00EE0BD0"/>
    <w:rsid w:val="00EE504D"/>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2F19"/>
    <w:rsid w:val="00F540A1"/>
    <w:rsid w:val="00F546CE"/>
    <w:rsid w:val="00F563E2"/>
    <w:rsid w:val="00F60BB7"/>
    <w:rsid w:val="00F66109"/>
    <w:rsid w:val="00F72CBB"/>
    <w:rsid w:val="00F733B2"/>
    <w:rsid w:val="00F87FDE"/>
    <w:rsid w:val="00F91846"/>
    <w:rsid w:val="00F95872"/>
    <w:rsid w:val="00FA0A03"/>
    <w:rsid w:val="00FA24AF"/>
    <w:rsid w:val="00FA4282"/>
    <w:rsid w:val="00FA44AF"/>
    <w:rsid w:val="00FB11CC"/>
    <w:rsid w:val="00FB22B3"/>
    <w:rsid w:val="00FB4F4E"/>
    <w:rsid w:val="00FB7A83"/>
    <w:rsid w:val="00FC20BB"/>
    <w:rsid w:val="00FC31E7"/>
    <w:rsid w:val="00FC4E54"/>
    <w:rsid w:val="00FC623E"/>
    <w:rsid w:val="00FC65CC"/>
    <w:rsid w:val="00FD1591"/>
    <w:rsid w:val="00FD1CCA"/>
    <w:rsid w:val="00FD4AA8"/>
    <w:rsid w:val="00FD4AC0"/>
    <w:rsid w:val="00FD5F5A"/>
    <w:rsid w:val="00FD7B84"/>
    <w:rsid w:val="00FE0443"/>
    <w:rsid w:val="00FE1E71"/>
    <w:rsid w:val="00FE22A8"/>
    <w:rsid w:val="00FE4C3D"/>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926B42"/>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926B42"/>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95547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6">
    <w:name w:val="Grid Table 1 Light Accent 6"/>
    <w:basedOn w:val="a1"/>
    <w:uiPriority w:val="46"/>
    <w:rsid w:val="00751A9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2-6">
    <w:name w:val="Grid Table 2 Accent 6"/>
    <w:basedOn w:val="a1"/>
    <w:uiPriority w:val="47"/>
    <w:rsid w:val="00926B42"/>
    <w:pPr>
      <w:spacing w:after="0" w:line="240" w:lineRule="auto"/>
    </w:pPr>
    <w:tblPr>
      <w:tblStyleRowBandSize w:val="1"/>
      <w:tblStyleColBandSize w:val="1"/>
      <w:tblBorders>
        <w:top w:val="single" w:sz="2" w:space="0" w:color="A8D08D" w:themeColor="accent6" w:themeTint="99"/>
        <w:bottom w:val="single" w:sz="2" w:space="0" w:color="A8D08D" w:themeColor="accent6" w:themeTint="99"/>
        <w:insideH w:val="single" w:sz="2" w:space="0" w:color="A8D08D" w:themeColor="accent6" w:themeTint="99"/>
        <w:insideV w:val="single" w:sz="2" w:space="0" w:color="A8D08D" w:themeColor="accent6" w:themeTint="99"/>
      </w:tblBorders>
    </w:tblPr>
    <w:tblStylePr w:type="firstRow">
      <w:rPr>
        <w:b/>
        <w:bCs/>
      </w:rPr>
      <w:tblPr/>
      <w:tcPr>
        <w:tcBorders>
          <w:top w:val="nil"/>
          <w:bottom w:val="single" w:sz="12" w:space="0" w:color="A8D08D" w:themeColor="accent6" w:themeTint="99"/>
          <w:insideH w:val="nil"/>
          <w:insideV w:val="nil"/>
        </w:tcBorders>
        <w:shd w:val="clear" w:color="auto" w:fill="FFFFFF" w:themeFill="background1"/>
      </w:tcPr>
    </w:tblStylePr>
    <w:tblStylePr w:type="lastRow">
      <w:rPr>
        <w:b/>
        <w:bCs/>
      </w:rPr>
      <w:tblPr/>
      <w:tcPr>
        <w:tcBorders>
          <w:top w:val="double" w:sz="2" w:space="0" w:color="A8D08D"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6-3">
    <w:name w:val="Grid Table 6 Colorful Accent 3"/>
    <w:basedOn w:val="a1"/>
    <w:uiPriority w:val="51"/>
    <w:rsid w:val="00830284"/>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p1">
    <w:name w:val="p1"/>
    <w:basedOn w:val="a"/>
    <w:rsid w:val="002F6FB8"/>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32122986">
      <w:bodyDiv w:val="1"/>
      <w:marLeft w:val="0"/>
      <w:marRight w:val="0"/>
      <w:marTop w:val="0"/>
      <w:marBottom w:val="0"/>
      <w:divBdr>
        <w:top w:val="none" w:sz="0" w:space="0" w:color="auto"/>
        <w:left w:val="none" w:sz="0" w:space="0" w:color="auto"/>
        <w:bottom w:val="none" w:sz="0" w:space="0" w:color="auto"/>
        <w:right w:val="none" w:sz="0" w:space="0" w:color="auto"/>
      </w:divBdr>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2092730">
      <w:bodyDiv w:val="1"/>
      <w:marLeft w:val="0"/>
      <w:marRight w:val="0"/>
      <w:marTop w:val="0"/>
      <w:marBottom w:val="0"/>
      <w:divBdr>
        <w:top w:val="none" w:sz="0" w:space="0" w:color="auto"/>
        <w:left w:val="none" w:sz="0" w:space="0" w:color="auto"/>
        <w:bottom w:val="none" w:sz="0" w:space="0" w:color="auto"/>
        <w:right w:val="none" w:sz="0" w:space="0" w:color="auto"/>
      </w:divBdr>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272724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35992648">
      <w:bodyDiv w:val="1"/>
      <w:marLeft w:val="0"/>
      <w:marRight w:val="0"/>
      <w:marTop w:val="0"/>
      <w:marBottom w:val="0"/>
      <w:divBdr>
        <w:top w:val="none" w:sz="0" w:space="0" w:color="auto"/>
        <w:left w:val="none" w:sz="0" w:space="0" w:color="auto"/>
        <w:bottom w:val="none" w:sz="0" w:space="0" w:color="auto"/>
        <w:right w:val="none" w:sz="0" w:space="0" w:color="auto"/>
      </w:divBdr>
      <w:divsChild>
        <w:div w:id="1374034382">
          <w:marLeft w:val="0"/>
          <w:marRight w:val="0"/>
          <w:marTop w:val="0"/>
          <w:marBottom w:val="0"/>
          <w:divBdr>
            <w:top w:val="none" w:sz="0" w:space="0" w:color="auto"/>
            <w:left w:val="none" w:sz="0" w:space="0" w:color="auto"/>
            <w:bottom w:val="none" w:sz="0" w:space="0" w:color="auto"/>
            <w:right w:val="none" w:sz="0" w:space="0" w:color="auto"/>
          </w:divBdr>
          <w:divsChild>
            <w:div w:id="336225529">
              <w:marLeft w:val="0"/>
              <w:marRight w:val="0"/>
              <w:marTop w:val="0"/>
              <w:marBottom w:val="0"/>
              <w:divBdr>
                <w:top w:val="none" w:sz="0" w:space="0" w:color="auto"/>
                <w:left w:val="none" w:sz="0" w:space="0" w:color="auto"/>
                <w:bottom w:val="none" w:sz="0" w:space="0" w:color="auto"/>
                <w:right w:val="none" w:sz="0" w:space="0" w:color="auto"/>
              </w:divBdr>
              <w:divsChild>
                <w:div w:id="430005832">
                  <w:marLeft w:val="0"/>
                  <w:marRight w:val="0"/>
                  <w:marTop w:val="0"/>
                  <w:marBottom w:val="0"/>
                  <w:divBdr>
                    <w:top w:val="none" w:sz="0" w:space="0" w:color="auto"/>
                    <w:left w:val="none" w:sz="0" w:space="0" w:color="auto"/>
                    <w:bottom w:val="none" w:sz="0" w:space="0" w:color="auto"/>
                    <w:right w:val="none" w:sz="0" w:space="0" w:color="auto"/>
                  </w:divBdr>
                  <w:divsChild>
                    <w:div w:id="13306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647825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3528361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59988909">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3289499">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2395653">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80456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451110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38800975">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266649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693921139">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7307438">
      <w:bodyDiv w:val="1"/>
      <w:marLeft w:val="0"/>
      <w:marRight w:val="0"/>
      <w:marTop w:val="0"/>
      <w:marBottom w:val="0"/>
      <w:divBdr>
        <w:top w:val="none" w:sz="0" w:space="0" w:color="auto"/>
        <w:left w:val="none" w:sz="0" w:space="0" w:color="auto"/>
        <w:bottom w:val="none" w:sz="0" w:space="0" w:color="auto"/>
        <w:right w:val="none" w:sz="0" w:space="0" w:color="auto"/>
      </w:divBdr>
    </w:div>
    <w:div w:id="757478605">
      <w:bodyDiv w:val="1"/>
      <w:marLeft w:val="0"/>
      <w:marRight w:val="0"/>
      <w:marTop w:val="0"/>
      <w:marBottom w:val="0"/>
      <w:divBdr>
        <w:top w:val="none" w:sz="0" w:space="0" w:color="auto"/>
        <w:left w:val="none" w:sz="0" w:space="0" w:color="auto"/>
        <w:bottom w:val="none" w:sz="0" w:space="0" w:color="auto"/>
        <w:right w:val="none" w:sz="0" w:space="0" w:color="auto"/>
      </w:divBdr>
    </w:div>
    <w:div w:id="759570804">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67888003">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4739220">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569511">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63707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366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5397415">
      <w:bodyDiv w:val="1"/>
      <w:marLeft w:val="0"/>
      <w:marRight w:val="0"/>
      <w:marTop w:val="0"/>
      <w:marBottom w:val="0"/>
      <w:divBdr>
        <w:top w:val="none" w:sz="0" w:space="0" w:color="auto"/>
        <w:left w:val="none" w:sz="0" w:space="0" w:color="auto"/>
        <w:bottom w:val="none" w:sz="0" w:space="0" w:color="auto"/>
        <w:right w:val="none" w:sz="0" w:space="0" w:color="auto"/>
      </w:divBdr>
    </w:div>
    <w:div w:id="10874558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98296921">
      <w:bodyDiv w:val="1"/>
      <w:marLeft w:val="0"/>
      <w:marRight w:val="0"/>
      <w:marTop w:val="0"/>
      <w:marBottom w:val="0"/>
      <w:divBdr>
        <w:top w:val="none" w:sz="0" w:space="0" w:color="auto"/>
        <w:left w:val="none" w:sz="0" w:space="0" w:color="auto"/>
        <w:bottom w:val="none" w:sz="0" w:space="0" w:color="auto"/>
        <w:right w:val="none" w:sz="0" w:space="0" w:color="auto"/>
      </w:divBdr>
      <w:divsChild>
        <w:div w:id="1341737654">
          <w:marLeft w:val="0"/>
          <w:marRight w:val="0"/>
          <w:marTop w:val="0"/>
          <w:marBottom w:val="0"/>
          <w:divBdr>
            <w:top w:val="none" w:sz="0" w:space="0" w:color="auto"/>
            <w:left w:val="none" w:sz="0" w:space="0" w:color="auto"/>
            <w:bottom w:val="none" w:sz="0" w:space="0" w:color="auto"/>
            <w:right w:val="none" w:sz="0" w:space="0" w:color="auto"/>
          </w:divBdr>
          <w:divsChild>
            <w:div w:id="36783641">
              <w:marLeft w:val="0"/>
              <w:marRight w:val="0"/>
              <w:marTop w:val="0"/>
              <w:marBottom w:val="0"/>
              <w:divBdr>
                <w:top w:val="none" w:sz="0" w:space="0" w:color="auto"/>
                <w:left w:val="none" w:sz="0" w:space="0" w:color="auto"/>
                <w:bottom w:val="none" w:sz="0" w:space="0" w:color="auto"/>
                <w:right w:val="none" w:sz="0" w:space="0" w:color="auto"/>
              </w:divBdr>
              <w:divsChild>
                <w:div w:id="172038659">
                  <w:marLeft w:val="0"/>
                  <w:marRight w:val="0"/>
                  <w:marTop w:val="0"/>
                  <w:marBottom w:val="0"/>
                  <w:divBdr>
                    <w:top w:val="none" w:sz="0" w:space="0" w:color="auto"/>
                    <w:left w:val="none" w:sz="0" w:space="0" w:color="auto"/>
                    <w:bottom w:val="none" w:sz="0" w:space="0" w:color="auto"/>
                    <w:right w:val="none" w:sz="0" w:space="0" w:color="auto"/>
                  </w:divBdr>
                  <w:divsChild>
                    <w:div w:id="64154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68353561">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1808468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0761914">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09282919">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806188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38766759">
      <w:bodyDiv w:val="1"/>
      <w:marLeft w:val="0"/>
      <w:marRight w:val="0"/>
      <w:marTop w:val="0"/>
      <w:marBottom w:val="0"/>
      <w:divBdr>
        <w:top w:val="none" w:sz="0" w:space="0" w:color="auto"/>
        <w:left w:val="none" w:sz="0" w:space="0" w:color="auto"/>
        <w:bottom w:val="none" w:sz="0" w:space="0" w:color="auto"/>
        <w:right w:val="none" w:sz="0" w:space="0" w:color="auto"/>
      </w:divBdr>
      <w:divsChild>
        <w:div w:id="4437727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1728774">
      <w:bodyDiv w:val="1"/>
      <w:marLeft w:val="0"/>
      <w:marRight w:val="0"/>
      <w:marTop w:val="0"/>
      <w:marBottom w:val="0"/>
      <w:divBdr>
        <w:top w:val="none" w:sz="0" w:space="0" w:color="auto"/>
        <w:left w:val="none" w:sz="0" w:space="0" w:color="auto"/>
        <w:bottom w:val="none" w:sz="0" w:space="0" w:color="auto"/>
        <w:right w:val="none" w:sz="0" w:space="0" w:color="auto"/>
      </w:divBdr>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1072313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46382388">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3937729">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79548046">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848047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4009262">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 w:id="21460724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F177C4B-958A-4F75-8646-A96B480055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11443</Words>
  <Characters>65934</Characters>
  <Application>Microsoft Office Word</Application>
  <DocSecurity>0</DocSecurity>
  <Lines>549</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عبدالمحسن العتيبي</cp:lastModifiedBy>
  <cp:revision>2</cp:revision>
  <cp:lastPrinted>2026-06-27T22:07:00Z</cp:lastPrinted>
  <dcterms:created xsi:type="dcterms:W3CDTF">2026-07-12T13:30:00Z</dcterms:created>
  <dcterms:modified xsi:type="dcterms:W3CDTF">2026-07-12T13:30:00Z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