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8ADA0" w14:textId="63549E0C" w:rsidR="00C308F6" w:rsidRPr="00085C9E" w:rsidRDefault="00085C9E" w:rsidP="00085C9E">
      <w:pPr>
        <w:rPr>
          <w:rFonts w:asciiTheme="majorBidi" w:hAnsiTheme="majorBidi" w:cstheme="majorBidi"/>
          <w:sz w:val="32"/>
          <w:szCs w:val="32"/>
        </w:rPr>
      </w:pPr>
      <w:r w:rsidRPr="00085C9E">
        <w:rPr>
          <w:rFonts w:ascii="Arial" w:hAnsi="Arial"/>
          <w:b/>
          <w:color w:val="0C2340"/>
          <w:sz w:val="32"/>
        </w:rPr>
        <w:drawing>
          <wp:inline distT="0" distB="0" distL="0" distR="0" wp14:anchorId="40400AED" wp14:editId="046F7DD8">
            <wp:extent cx="1781175" cy="831687"/>
            <wp:effectExtent l="0" t="0" r="0" b="0"/>
            <wp:docPr id="4" name="Graphic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phic 21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877" b="25429"/>
                    <a:stretch>
                      <a:fillRect/>
                    </a:stretch>
                  </pic:blipFill>
                  <pic:spPr>
                    <a:xfrm>
                      <a:off x="0" y="0"/>
                      <a:ext cx="1790025" cy="835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880"/>
        <w:gridCol w:w="6480"/>
      </w:tblGrid>
      <w:tr w:rsidR="00C308F6" w:rsidRPr="00085C9E" w14:paraId="50DD2446" w14:textId="77777777" w:rsidTr="00085C9E">
        <w:tc>
          <w:tcPr>
            <w:tcW w:w="2880" w:type="dxa"/>
          </w:tcPr>
          <w:p w14:paraId="3799C551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b/>
                <w:color w:val="0C2340"/>
                <w:sz w:val="32"/>
                <w:szCs w:val="32"/>
              </w:rPr>
              <w:t>Course Name</w:t>
            </w:r>
          </w:p>
        </w:tc>
        <w:tc>
          <w:tcPr>
            <w:tcW w:w="6480" w:type="dxa"/>
          </w:tcPr>
          <w:p w14:paraId="21338760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color w:val="333333"/>
                <w:sz w:val="32"/>
                <w:szCs w:val="32"/>
              </w:rPr>
              <w:t>Principles of Accounting</w:t>
            </w:r>
          </w:p>
        </w:tc>
      </w:tr>
      <w:tr w:rsidR="00C308F6" w:rsidRPr="00085C9E" w14:paraId="625B6A44" w14:textId="77777777" w:rsidTr="00085C9E">
        <w:tc>
          <w:tcPr>
            <w:tcW w:w="2880" w:type="dxa"/>
          </w:tcPr>
          <w:p w14:paraId="4EC56653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b/>
                <w:color w:val="0C2340"/>
                <w:sz w:val="32"/>
                <w:szCs w:val="32"/>
              </w:rPr>
              <w:t>Course Code</w:t>
            </w:r>
          </w:p>
        </w:tc>
        <w:tc>
          <w:tcPr>
            <w:tcW w:w="6480" w:type="dxa"/>
          </w:tcPr>
          <w:p w14:paraId="05F35047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color w:val="333333"/>
                <w:sz w:val="32"/>
                <w:szCs w:val="32"/>
              </w:rPr>
              <w:t>MGM 227</w:t>
            </w:r>
          </w:p>
        </w:tc>
      </w:tr>
      <w:tr w:rsidR="00C308F6" w:rsidRPr="00085C9E" w14:paraId="086FB010" w14:textId="77777777" w:rsidTr="00085C9E">
        <w:tc>
          <w:tcPr>
            <w:tcW w:w="2880" w:type="dxa"/>
          </w:tcPr>
          <w:p w14:paraId="68088E90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b/>
                <w:color w:val="0C2340"/>
                <w:sz w:val="32"/>
                <w:szCs w:val="32"/>
              </w:rPr>
              <w:t>Lecture No.</w:t>
            </w:r>
          </w:p>
        </w:tc>
        <w:tc>
          <w:tcPr>
            <w:tcW w:w="6480" w:type="dxa"/>
          </w:tcPr>
          <w:p w14:paraId="2B521EAD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color w:val="333333"/>
                <w:sz w:val="32"/>
                <w:szCs w:val="32"/>
              </w:rPr>
              <w:t>Lecture 1</w:t>
            </w:r>
          </w:p>
        </w:tc>
      </w:tr>
      <w:tr w:rsidR="00C308F6" w:rsidRPr="00085C9E" w14:paraId="68BF3429" w14:textId="77777777" w:rsidTr="00085C9E">
        <w:tc>
          <w:tcPr>
            <w:tcW w:w="2880" w:type="dxa"/>
          </w:tcPr>
          <w:p w14:paraId="3FC207CA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b/>
                <w:color w:val="0C2340"/>
                <w:sz w:val="32"/>
                <w:szCs w:val="32"/>
              </w:rPr>
              <w:t>Lecture Title</w:t>
            </w:r>
          </w:p>
        </w:tc>
        <w:tc>
          <w:tcPr>
            <w:tcW w:w="6480" w:type="dxa"/>
          </w:tcPr>
          <w:p w14:paraId="11B1B025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color w:val="333333"/>
                <w:sz w:val="32"/>
                <w:szCs w:val="32"/>
              </w:rPr>
              <w:t>Accounting and the Business Environment</w:t>
            </w:r>
          </w:p>
        </w:tc>
      </w:tr>
    </w:tbl>
    <w:p w14:paraId="7929D6BB" w14:textId="09CBC3CF" w:rsidR="00C308F6" w:rsidRPr="00085C9E" w:rsidRDefault="00000000" w:rsidP="0044292D">
      <w:pPr>
        <w:jc w:val="center"/>
        <w:rPr>
          <w:rFonts w:asciiTheme="majorBidi" w:hAnsiTheme="majorBidi" w:cstheme="majorBidi"/>
          <w:sz w:val="32"/>
          <w:szCs w:val="32"/>
        </w:rPr>
      </w:pPr>
      <w:r w:rsidRPr="00085C9E">
        <w:rPr>
          <w:rFonts w:asciiTheme="majorBidi" w:hAnsiTheme="majorBidi" w:cstheme="majorBidi"/>
          <w:sz w:val="32"/>
          <w:szCs w:val="32"/>
        </w:rPr>
        <w:br/>
      </w:r>
      <w:r w:rsidRPr="00085C9E">
        <w:rPr>
          <w:rFonts w:asciiTheme="majorBidi" w:hAnsiTheme="majorBidi" w:cstheme="majorBidi"/>
          <w:b/>
          <w:color w:val="00A8E1"/>
          <w:sz w:val="32"/>
          <w:szCs w:val="32"/>
        </w:rPr>
        <w:t>Lecture Glossary</w:t>
      </w:r>
    </w:p>
    <w:tbl>
      <w:tblPr>
        <w:tblStyle w:val="TableGrid"/>
        <w:tblW w:w="11070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540"/>
        <w:gridCol w:w="5940"/>
        <w:gridCol w:w="4590"/>
      </w:tblGrid>
      <w:tr w:rsidR="00C308F6" w:rsidRPr="00085C9E" w14:paraId="64EDEBC9" w14:textId="77777777" w:rsidTr="0044292D">
        <w:trPr>
          <w:trHeight w:val="368"/>
        </w:trPr>
        <w:tc>
          <w:tcPr>
            <w:tcW w:w="540" w:type="dxa"/>
          </w:tcPr>
          <w:p w14:paraId="551FAC62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b/>
                <w:color w:val="FFFFFF"/>
                <w:sz w:val="32"/>
                <w:szCs w:val="32"/>
              </w:rPr>
              <w:t>No.</w:t>
            </w:r>
          </w:p>
        </w:tc>
        <w:tc>
          <w:tcPr>
            <w:tcW w:w="5940" w:type="dxa"/>
          </w:tcPr>
          <w:p w14:paraId="3B250D89" w14:textId="6B0D5329" w:rsidR="00C308F6" w:rsidRPr="00085C9E" w:rsidRDefault="00085C9E" w:rsidP="00085C9E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English term</w:t>
            </w:r>
          </w:p>
        </w:tc>
        <w:tc>
          <w:tcPr>
            <w:tcW w:w="4590" w:type="dxa"/>
          </w:tcPr>
          <w:p w14:paraId="178503C2" w14:textId="7AD8EA7F" w:rsidR="00C308F6" w:rsidRPr="00085C9E" w:rsidRDefault="00085C9E" w:rsidP="00085C9E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Arabic term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000000" w:rsidRPr="00085C9E">
              <w:rPr>
                <w:rFonts w:asciiTheme="majorBidi" w:hAnsiTheme="majorBidi" w:cstheme="majorBidi"/>
                <w:b/>
                <w:color w:val="FFFFFF"/>
                <w:sz w:val="32"/>
                <w:szCs w:val="32"/>
              </w:rPr>
              <w:t>Arabic Term</w:t>
            </w:r>
          </w:p>
        </w:tc>
      </w:tr>
      <w:tr w:rsidR="00C308F6" w:rsidRPr="00085C9E" w14:paraId="535270F6" w14:textId="77777777" w:rsidTr="0044292D">
        <w:tc>
          <w:tcPr>
            <w:tcW w:w="540" w:type="dxa"/>
          </w:tcPr>
          <w:p w14:paraId="167B74B5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color w:val="333333"/>
                <w:sz w:val="32"/>
                <w:szCs w:val="32"/>
              </w:rPr>
              <w:t>1.</w:t>
            </w:r>
          </w:p>
        </w:tc>
        <w:tc>
          <w:tcPr>
            <w:tcW w:w="5940" w:type="dxa"/>
          </w:tcPr>
          <w:p w14:paraId="193912CE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b/>
                <w:color w:val="0C2340"/>
                <w:sz w:val="32"/>
                <w:szCs w:val="32"/>
              </w:rPr>
              <w:t>Bookkeeping</w:t>
            </w:r>
          </w:p>
        </w:tc>
        <w:tc>
          <w:tcPr>
            <w:tcW w:w="4590" w:type="dxa"/>
          </w:tcPr>
          <w:p w14:paraId="3D933484" w14:textId="77777777" w:rsidR="00C308F6" w:rsidRPr="00085C9E" w:rsidRDefault="00000000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color w:val="333333"/>
                <w:sz w:val="32"/>
                <w:szCs w:val="32"/>
              </w:rPr>
              <w:t>دفتر الأستاذ / إمساك الدفاتر</w:t>
            </w:r>
          </w:p>
        </w:tc>
      </w:tr>
      <w:tr w:rsidR="00C308F6" w:rsidRPr="00085C9E" w14:paraId="4EBE55D9" w14:textId="77777777" w:rsidTr="0044292D">
        <w:tc>
          <w:tcPr>
            <w:tcW w:w="540" w:type="dxa"/>
          </w:tcPr>
          <w:p w14:paraId="1CC4725F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color w:val="333333"/>
                <w:sz w:val="32"/>
                <w:szCs w:val="32"/>
              </w:rPr>
              <w:t>2.</w:t>
            </w:r>
          </w:p>
        </w:tc>
        <w:tc>
          <w:tcPr>
            <w:tcW w:w="5940" w:type="dxa"/>
          </w:tcPr>
          <w:p w14:paraId="37647AA8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b/>
                <w:color w:val="0C2340"/>
                <w:sz w:val="32"/>
                <w:szCs w:val="32"/>
              </w:rPr>
              <w:t>Financial Accounting</w:t>
            </w:r>
          </w:p>
        </w:tc>
        <w:tc>
          <w:tcPr>
            <w:tcW w:w="4590" w:type="dxa"/>
          </w:tcPr>
          <w:p w14:paraId="24C25833" w14:textId="77777777" w:rsidR="00C308F6" w:rsidRPr="00085C9E" w:rsidRDefault="00000000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color w:val="333333"/>
                <w:sz w:val="32"/>
                <w:szCs w:val="32"/>
              </w:rPr>
              <w:t>المحاسبة المالية</w:t>
            </w:r>
          </w:p>
        </w:tc>
      </w:tr>
      <w:tr w:rsidR="00C308F6" w:rsidRPr="00085C9E" w14:paraId="1988853F" w14:textId="77777777" w:rsidTr="0044292D">
        <w:tc>
          <w:tcPr>
            <w:tcW w:w="540" w:type="dxa"/>
          </w:tcPr>
          <w:p w14:paraId="76F03DF2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color w:val="333333"/>
                <w:sz w:val="32"/>
                <w:szCs w:val="32"/>
              </w:rPr>
              <w:t>3.</w:t>
            </w:r>
          </w:p>
        </w:tc>
        <w:tc>
          <w:tcPr>
            <w:tcW w:w="5940" w:type="dxa"/>
          </w:tcPr>
          <w:p w14:paraId="79855E21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b/>
                <w:color w:val="0C2340"/>
                <w:sz w:val="32"/>
                <w:szCs w:val="32"/>
              </w:rPr>
              <w:t>Managerial Accounting</w:t>
            </w:r>
          </w:p>
        </w:tc>
        <w:tc>
          <w:tcPr>
            <w:tcW w:w="4590" w:type="dxa"/>
          </w:tcPr>
          <w:p w14:paraId="0C790384" w14:textId="77777777" w:rsidR="00C308F6" w:rsidRPr="00085C9E" w:rsidRDefault="00000000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color w:val="333333"/>
                <w:sz w:val="32"/>
                <w:szCs w:val="32"/>
              </w:rPr>
              <w:t>المحاسبة الإدارية</w:t>
            </w:r>
          </w:p>
        </w:tc>
      </w:tr>
      <w:tr w:rsidR="00C308F6" w:rsidRPr="00085C9E" w14:paraId="31EA0B8F" w14:textId="77777777" w:rsidTr="0044292D">
        <w:tc>
          <w:tcPr>
            <w:tcW w:w="540" w:type="dxa"/>
          </w:tcPr>
          <w:p w14:paraId="256C6E65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color w:val="333333"/>
                <w:sz w:val="32"/>
                <w:szCs w:val="32"/>
              </w:rPr>
              <w:t>4.</w:t>
            </w:r>
          </w:p>
        </w:tc>
        <w:tc>
          <w:tcPr>
            <w:tcW w:w="5940" w:type="dxa"/>
          </w:tcPr>
          <w:p w14:paraId="4BD3EE7C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b/>
                <w:color w:val="0C2340"/>
                <w:sz w:val="32"/>
                <w:szCs w:val="32"/>
              </w:rPr>
              <w:t>Certified Public Accountant (CPA)</w:t>
            </w:r>
          </w:p>
        </w:tc>
        <w:tc>
          <w:tcPr>
            <w:tcW w:w="4590" w:type="dxa"/>
          </w:tcPr>
          <w:p w14:paraId="1C70E410" w14:textId="77777777" w:rsidR="00C308F6" w:rsidRPr="00085C9E" w:rsidRDefault="00000000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color w:val="333333"/>
                <w:sz w:val="32"/>
                <w:szCs w:val="32"/>
              </w:rPr>
              <w:t>محاسب قانوني معتمد</w:t>
            </w:r>
          </w:p>
        </w:tc>
      </w:tr>
      <w:tr w:rsidR="00C308F6" w:rsidRPr="00085C9E" w14:paraId="32DE8F0F" w14:textId="77777777" w:rsidTr="0044292D">
        <w:tc>
          <w:tcPr>
            <w:tcW w:w="540" w:type="dxa"/>
          </w:tcPr>
          <w:p w14:paraId="7ACA4D4E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color w:val="333333"/>
                <w:sz w:val="32"/>
                <w:szCs w:val="32"/>
              </w:rPr>
              <w:t>5.</w:t>
            </w:r>
          </w:p>
        </w:tc>
        <w:tc>
          <w:tcPr>
            <w:tcW w:w="5940" w:type="dxa"/>
          </w:tcPr>
          <w:p w14:paraId="3E0499CE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b/>
                <w:color w:val="0C2340"/>
                <w:sz w:val="32"/>
                <w:szCs w:val="32"/>
              </w:rPr>
              <w:t>Certified Management Accountant (CMA)</w:t>
            </w:r>
          </w:p>
        </w:tc>
        <w:tc>
          <w:tcPr>
            <w:tcW w:w="4590" w:type="dxa"/>
          </w:tcPr>
          <w:p w14:paraId="518D400A" w14:textId="77777777" w:rsidR="00C308F6" w:rsidRPr="00085C9E" w:rsidRDefault="00000000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color w:val="333333"/>
                <w:sz w:val="32"/>
                <w:szCs w:val="32"/>
              </w:rPr>
              <w:t>محاسب إداري معتمد</w:t>
            </w:r>
          </w:p>
        </w:tc>
      </w:tr>
      <w:tr w:rsidR="00C308F6" w:rsidRPr="00085C9E" w14:paraId="621A5931" w14:textId="77777777" w:rsidTr="0044292D">
        <w:tc>
          <w:tcPr>
            <w:tcW w:w="540" w:type="dxa"/>
          </w:tcPr>
          <w:p w14:paraId="1F22FA9C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color w:val="333333"/>
                <w:sz w:val="32"/>
                <w:szCs w:val="32"/>
              </w:rPr>
              <w:t>6.</w:t>
            </w:r>
          </w:p>
        </w:tc>
        <w:tc>
          <w:tcPr>
            <w:tcW w:w="5940" w:type="dxa"/>
          </w:tcPr>
          <w:p w14:paraId="1BF4E314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b/>
                <w:color w:val="0C2340"/>
                <w:sz w:val="32"/>
                <w:szCs w:val="32"/>
              </w:rPr>
              <w:t>Generally Accepted Accounting Principles (GAAP)</w:t>
            </w:r>
          </w:p>
        </w:tc>
        <w:tc>
          <w:tcPr>
            <w:tcW w:w="4590" w:type="dxa"/>
          </w:tcPr>
          <w:p w14:paraId="1CB836C8" w14:textId="77777777" w:rsidR="00C308F6" w:rsidRPr="00085C9E" w:rsidRDefault="00000000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color w:val="333333"/>
                <w:sz w:val="32"/>
                <w:szCs w:val="32"/>
              </w:rPr>
              <w:t>المبادئ المحاسبية المقبولة عموماً</w:t>
            </w:r>
          </w:p>
        </w:tc>
      </w:tr>
      <w:tr w:rsidR="00C308F6" w:rsidRPr="00085C9E" w14:paraId="05279BA1" w14:textId="77777777" w:rsidTr="0044292D">
        <w:tc>
          <w:tcPr>
            <w:tcW w:w="540" w:type="dxa"/>
          </w:tcPr>
          <w:p w14:paraId="27DC9208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color w:val="333333"/>
                <w:sz w:val="32"/>
                <w:szCs w:val="32"/>
              </w:rPr>
              <w:t>7.</w:t>
            </w:r>
          </w:p>
        </w:tc>
        <w:tc>
          <w:tcPr>
            <w:tcW w:w="5940" w:type="dxa"/>
          </w:tcPr>
          <w:p w14:paraId="53DAFF97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b/>
                <w:color w:val="0C2340"/>
                <w:sz w:val="32"/>
                <w:szCs w:val="32"/>
              </w:rPr>
              <w:t>Proprietorship</w:t>
            </w:r>
          </w:p>
        </w:tc>
        <w:tc>
          <w:tcPr>
            <w:tcW w:w="4590" w:type="dxa"/>
          </w:tcPr>
          <w:p w14:paraId="138C3706" w14:textId="77777777" w:rsidR="00C308F6" w:rsidRPr="00085C9E" w:rsidRDefault="00000000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color w:val="333333"/>
                <w:sz w:val="32"/>
                <w:szCs w:val="32"/>
              </w:rPr>
              <w:t>منشأة فردية / ملكية فردية</w:t>
            </w:r>
          </w:p>
        </w:tc>
      </w:tr>
      <w:tr w:rsidR="00C308F6" w:rsidRPr="00085C9E" w14:paraId="53E2812B" w14:textId="77777777" w:rsidTr="0044292D">
        <w:tc>
          <w:tcPr>
            <w:tcW w:w="540" w:type="dxa"/>
          </w:tcPr>
          <w:p w14:paraId="5B8A16AD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color w:val="333333"/>
                <w:sz w:val="32"/>
                <w:szCs w:val="32"/>
              </w:rPr>
              <w:t>8.</w:t>
            </w:r>
          </w:p>
        </w:tc>
        <w:tc>
          <w:tcPr>
            <w:tcW w:w="5940" w:type="dxa"/>
          </w:tcPr>
          <w:p w14:paraId="5B94C49C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b/>
                <w:color w:val="0C2340"/>
                <w:sz w:val="32"/>
                <w:szCs w:val="32"/>
              </w:rPr>
              <w:t>Partnership</w:t>
            </w:r>
          </w:p>
        </w:tc>
        <w:tc>
          <w:tcPr>
            <w:tcW w:w="4590" w:type="dxa"/>
          </w:tcPr>
          <w:p w14:paraId="754785BC" w14:textId="77777777" w:rsidR="00C308F6" w:rsidRPr="00085C9E" w:rsidRDefault="00000000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color w:val="333333"/>
                <w:sz w:val="32"/>
                <w:szCs w:val="32"/>
              </w:rPr>
              <w:t>شركة تضامن / شراكة</w:t>
            </w:r>
          </w:p>
        </w:tc>
      </w:tr>
      <w:tr w:rsidR="00C308F6" w:rsidRPr="00085C9E" w14:paraId="71847D47" w14:textId="77777777" w:rsidTr="0044292D">
        <w:tc>
          <w:tcPr>
            <w:tcW w:w="540" w:type="dxa"/>
          </w:tcPr>
          <w:p w14:paraId="338242D6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color w:val="333333"/>
                <w:sz w:val="32"/>
                <w:szCs w:val="32"/>
              </w:rPr>
              <w:t>9.</w:t>
            </w:r>
          </w:p>
        </w:tc>
        <w:tc>
          <w:tcPr>
            <w:tcW w:w="5940" w:type="dxa"/>
          </w:tcPr>
          <w:p w14:paraId="274ADB05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b/>
                <w:color w:val="0C2340"/>
                <w:sz w:val="32"/>
                <w:szCs w:val="32"/>
              </w:rPr>
              <w:t>Corporation</w:t>
            </w:r>
          </w:p>
        </w:tc>
        <w:tc>
          <w:tcPr>
            <w:tcW w:w="4590" w:type="dxa"/>
          </w:tcPr>
          <w:p w14:paraId="7DC10908" w14:textId="6606C328" w:rsidR="00C308F6" w:rsidRPr="00085C9E" w:rsidRDefault="00000000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color w:val="333333"/>
                <w:sz w:val="32"/>
                <w:szCs w:val="32"/>
              </w:rPr>
              <w:t xml:space="preserve">شركة مساهمة </w:t>
            </w:r>
          </w:p>
        </w:tc>
      </w:tr>
      <w:tr w:rsidR="00C308F6" w:rsidRPr="00085C9E" w14:paraId="02EE2EEA" w14:textId="77777777" w:rsidTr="0044292D">
        <w:tc>
          <w:tcPr>
            <w:tcW w:w="540" w:type="dxa"/>
          </w:tcPr>
          <w:p w14:paraId="02C6F2ED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color w:val="333333"/>
                <w:sz w:val="32"/>
                <w:szCs w:val="32"/>
              </w:rPr>
              <w:t>10.</w:t>
            </w:r>
          </w:p>
        </w:tc>
        <w:tc>
          <w:tcPr>
            <w:tcW w:w="5940" w:type="dxa"/>
          </w:tcPr>
          <w:p w14:paraId="25621164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b/>
                <w:color w:val="0C2340"/>
                <w:sz w:val="32"/>
                <w:szCs w:val="32"/>
              </w:rPr>
              <w:t>Entity Concept</w:t>
            </w:r>
          </w:p>
        </w:tc>
        <w:tc>
          <w:tcPr>
            <w:tcW w:w="4590" w:type="dxa"/>
          </w:tcPr>
          <w:p w14:paraId="3E41F203" w14:textId="77777777" w:rsidR="00C308F6" w:rsidRPr="00085C9E" w:rsidRDefault="00000000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color w:val="333333"/>
                <w:sz w:val="32"/>
                <w:szCs w:val="32"/>
              </w:rPr>
              <w:t>فرض الوحدة المحاسبية / الشخصية الاعتبارية</w:t>
            </w:r>
          </w:p>
        </w:tc>
      </w:tr>
      <w:tr w:rsidR="00C308F6" w:rsidRPr="00085C9E" w14:paraId="3FE100D5" w14:textId="77777777" w:rsidTr="0044292D">
        <w:tc>
          <w:tcPr>
            <w:tcW w:w="540" w:type="dxa"/>
          </w:tcPr>
          <w:p w14:paraId="068A87F9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color w:val="333333"/>
                <w:sz w:val="32"/>
                <w:szCs w:val="32"/>
              </w:rPr>
              <w:t>11.</w:t>
            </w:r>
          </w:p>
        </w:tc>
        <w:tc>
          <w:tcPr>
            <w:tcW w:w="5940" w:type="dxa"/>
          </w:tcPr>
          <w:p w14:paraId="0B8F2172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b/>
                <w:color w:val="0C2340"/>
                <w:sz w:val="32"/>
                <w:szCs w:val="32"/>
              </w:rPr>
              <w:t>Cost Principle</w:t>
            </w:r>
          </w:p>
        </w:tc>
        <w:tc>
          <w:tcPr>
            <w:tcW w:w="4590" w:type="dxa"/>
          </w:tcPr>
          <w:p w14:paraId="0D02CF8D" w14:textId="77777777" w:rsidR="00C308F6" w:rsidRPr="00085C9E" w:rsidRDefault="00000000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color w:val="333333"/>
                <w:sz w:val="32"/>
                <w:szCs w:val="32"/>
              </w:rPr>
              <w:t>مبدأ التكلفة التاريخية</w:t>
            </w:r>
          </w:p>
        </w:tc>
      </w:tr>
      <w:tr w:rsidR="00C308F6" w:rsidRPr="00085C9E" w14:paraId="00591FF2" w14:textId="77777777" w:rsidTr="0044292D">
        <w:tc>
          <w:tcPr>
            <w:tcW w:w="540" w:type="dxa"/>
          </w:tcPr>
          <w:p w14:paraId="35E9CF8D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color w:val="333333"/>
                <w:sz w:val="32"/>
                <w:szCs w:val="32"/>
              </w:rPr>
              <w:t>12.</w:t>
            </w:r>
          </w:p>
        </w:tc>
        <w:tc>
          <w:tcPr>
            <w:tcW w:w="5940" w:type="dxa"/>
          </w:tcPr>
          <w:p w14:paraId="65CC1928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b/>
                <w:color w:val="0C2340"/>
                <w:sz w:val="32"/>
                <w:szCs w:val="32"/>
              </w:rPr>
              <w:t>Going-Concern Assumption</w:t>
            </w:r>
          </w:p>
        </w:tc>
        <w:tc>
          <w:tcPr>
            <w:tcW w:w="4590" w:type="dxa"/>
          </w:tcPr>
          <w:p w14:paraId="61EDF191" w14:textId="77777777" w:rsidR="00C308F6" w:rsidRPr="00085C9E" w:rsidRDefault="00000000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color w:val="333333"/>
                <w:sz w:val="32"/>
                <w:szCs w:val="32"/>
              </w:rPr>
              <w:t>فرض استمرارية المنشأة</w:t>
            </w:r>
          </w:p>
        </w:tc>
      </w:tr>
      <w:tr w:rsidR="00C308F6" w:rsidRPr="00085C9E" w14:paraId="0F0B03F6" w14:textId="77777777" w:rsidTr="0044292D">
        <w:tc>
          <w:tcPr>
            <w:tcW w:w="540" w:type="dxa"/>
          </w:tcPr>
          <w:p w14:paraId="762B3956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color w:val="333333"/>
                <w:sz w:val="32"/>
                <w:szCs w:val="32"/>
              </w:rPr>
              <w:t>13.</w:t>
            </w:r>
          </w:p>
        </w:tc>
        <w:tc>
          <w:tcPr>
            <w:tcW w:w="5940" w:type="dxa"/>
          </w:tcPr>
          <w:p w14:paraId="7343A1CF" w14:textId="77777777" w:rsidR="00C308F6" w:rsidRPr="00085C9E" w:rsidRDefault="0000000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b/>
                <w:color w:val="0C2340"/>
                <w:sz w:val="32"/>
                <w:szCs w:val="32"/>
              </w:rPr>
              <w:t>Stable Monetary Unit Concept</w:t>
            </w:r>
          </w:p>
        </w:tc>
        <w:tc>
          <w:tcPr>
            <w:tcW w:w="4590" w:type="dxa"/>
          </w:tcPr>
          <w:p w14:paraId="04A37D4F" w14:textId="77777777" w:rsidR="00C308F6" w:rsidRPr="00085C9E" w:rsidRDefault="00000000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 w:rsidRPr="00085C9E">
              <w:rPr>
                <w:rFonts w:asciiTheme="majorBidi" w:hAnsiTheme="majorBidi" w:cstheme="majorBidi"/>
                <w:color w:val="333333"/>
                <w:sz w:val="32"/>
                <w:szCs w:val="32"/>
              </w:rPr>
              <w:t>فرض ثبات الوحدة النقدية</w:t>
            </w:r>
          </w:p>
        </w:tc>
      </w:tr>
    </w:tbl>
    <w:p w14:paraId="34A3BA0D" w14:textId="77777777" w:rsidR="00C3736B" w:rsidRPr="00085C9E" w:rsidRDefault="00C3736B">
      <w:pPr>
        <w:rPr>
          <w:rFonts w:asciiTheme="majorBidi" w:hAnsiTheme="majorBidi" w:cstheme="majorBidi"/>
          <w:sz w:val="32"/>
          <w:szCs w:val="32"/>
        </w:rPr>
      </w:pPr>
    </w:p>
    <w:sectPr w:rsidR="00C3736B" w:rsidRPr="00085C9E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68825502">
    <w:abstractNumId w:val="8"/>
  </w:num>
  <w:num w:numId="2" w16cid:durableId="764544321">
    <w:abstractNumId w:val="6"/>
  </w:num>
  <w:num w:numId="3" w16cid:durableId="1673799217">
    <w:abstractNumId w:val="5"/>
  </w:num>
  <w:num w:numId="4" w16cid:durableId="378162770">
    <w:abstractNumId w:val="4"/>
  </w:num>
  <w:num w:numId="5" w16cid:durableId="1732775856">
    <w:abstractNumId w:val="7"/>
  </w:num>
  <w:num w:numId="6" w16cid:durableId="862477759">
    <w:abstractNumId w:val="3"/>
  </w:num>
  <w:num w:numId="7" w16cid:durableId="1608193463">
    <w:abstractNumId w:val="2"/>
  </w:num>
  <w:num w:numId="8" w16cid:durableId="1370762713">
    <w:abstractNumId w:val="1"/>
  </w:num>
  <w:num w:numId="9" w16cid:durableId="1255623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85C9E"/>
    <w:rsid w:val="0015074B"/>
    <w:rsid w:val="0029639D"/>
    <w:rsid w:val="00326F90"/>
    <w:rsid w:val="0044292D"/>
    <w:rsid w:val="00770591"/>
    <w:rsid w:val="00AA1D8D"/>
    <w:rsid w:val="00B47730"/>
    <w:rsid w:val="00BA69F0"/>
    <w:rsid w:val="00C308F6"/>
    <w:rsid w:val="00C3736B"/>
    <w:rsid w:val="00CB0664"/>
    <w:rsid w:val="00DD21B0"/>
    <w:rsid w:val="00DF090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424ACB5"/>
  <w14:defaultImageDpi w14:val="300"/>
  <w15:docId w15:val="{2E79E3A8-A6CB-441C-85A7-57D63A4E5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48FF33-93A3-44C4-AEAB-68DAA4960DE8}"/>
</file>

<file path=customXml/itemProps3.xml><?xml version="1.0" encoding="utf-8"?>
<ds:datastoreItem xmlns:ds="http://schemas.openxmlformats.org/officeDocument/2006/customXml" ds:itemID="{40E8270E-012B-4C3D-AF3A-E178003C96A4}"/>
</file>

<file path=customXml/itemProps4.xml><?xml version="1.0" encoding="utf-8"?>
<ds:datastoreItem xmlns:ds="http://schemas.openxmlformats.org/officeDocument/2006/customXml" ds:itemID="{D1019964-4488-42DC-A67B-024DD17A82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rasha aljerd</cp:lastModifiedBy>
  <cp:revision>7</cp:revision>
  <dcterms:created xsi:type="dcterms:W3CDTF">2013-12-23T23:15:00Z</dcterms:created>
  <dcterms:modified xsi:type="dcterms:W3CDTF">2026-09-27T18:23:00Z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