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4B3D3C2E">
            <wp:simplePos x="0" y="0"/>
            <wp:positionH relativeFrom="margin">
              <wp:posOffset>-470535</wp:posOffset>
            </wp:positionH>
            <wp:positionV relativeFrom="margin">
              <wp:posOffset>-904875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E8A730A" w14:textId="77777777" w:rsidR="007E6130" w:rsidRPr="00095960" w:rsidRDefault="007E6130" w:rsidP="00095960">
      <w:pPr>
        <w:bidi/>
        <w:rPr>
          <w:rFonts w:ascii="Sakkal Majalla" w:hAnsi="Sakkal Majalla" w:cs="Sakkal Majalla"/>
          <w:b/>
          <w:bCs/>
          <w:color w:val="548DD4" w:themeColor="text2" w:themeTint="99"/>
          <w:sz w:val="44"/>
          <w:szCs w:val="44"/>
          <w:rtl/>
        </w:rPr>
      </w:pPr>
    </w:p>
    <w:p w14:paraId="761253CF" w14:textId="263C1410" w:rsidR="00BE609B" w:rsidRDefault="00355566" w:rsidP="00334B70">
      <w:pPr>
        <w:pStyle w:val="NormalWeb"/>
        <w:bidi/>
        <w:spacing w:before="0" w:beforeAutospacing="0" w:after="0" w:afterAutospacing="0"/>
        <w:ind w:right="-270"/>
        <w:rPr>
          <w:rFonts w:ascii="Arial" w:hAnsi="Arial" w:cs="Arial"/>
          <w:b/>
          <w:bCs/>
          <w:color w:val="548DD4" w:themeColor="text2" w:themeTint="99"/>
          <w:szCs w:val="28"/>
          <w:rtl/>
        </w:rPr>
      </w:pPr>
      <w:r w:rsidRPr="00095960">
        <w:rPr>
          <w:rFonts w:ascii="Sakkal Majalla" w:hAnsi="Sakkal Majalla" w:cs="Sakkal Majalla"/>
          <w:b/>
          <w:bCs/>
          <w:color w:val="548DD4" w:themeColor="text2" w:themeTint="99"/>
          <w:szCs w:val="28"/>
          <w:rtl/>
        </w:rPr>
        <w:t>أثر</w:t>
      </w:r>
      <w:r w:rsidR="006D2EA0" w:rsidRPr="00095960">
        <w:rPr>
          <w:rFonts w:ascii="Sakkal Majalla" w:hAnsi="Sakkal Majalla" w:cs="Sakkal Majalla"/>
          <w:b/>
          <w:bCs/>
          <w:color w:val="548DD4" w:themeColor="text2" w:themeTint="99"/>
          <w:szCs w:val="28"/>
          <w:rtl/>
        </w:rPr>
        <w:t xml:space="preserve"> الحوكمة المؤسسية </w:t>
      </w:r>
      <w:r w:rsidRPr="00095960">
        <w:rPr>
          <w:rFonts w:ascii="Sakkal Majalla" w:hAnsi="Sakkal Majalla" w:cs="Sakkal Majalla"/>
          <w:b/>
          <w:bCs/>
          <w:color w:val="548DD4" w:themeColor="text2" w:themeTint="99"/>
          <w:szCs w:val="28"/>
          <w:rtl/>
        </w:rPr>
        <w:t xml:space="preserve">على </w:t>
      </w:r>
      <w:r w:rsidR="00C67E01" w:rsidRPr="00095960">
        <w:rPr>
          <w:rFonts w:ascii="Sakkal Majalla" w:hAnsi="Sakkal Majalla" w:cs="Sakkal Majalla"/>
          <w:b/>
          <w:bCs/>
          <w:color w:val="548DD4" w:themeColor="text2" w:themeTint="99"/>
          <w:szCs w:val="28"/>
          <w:rtl/>
        </w:rPr>
        <w:t>كل من</w:t>
      </w:r>
      <w:r w:rsidR="006D2EA0" w:rsidRPr="00095960">
        <w:rPr>
          <w:rFonts w:ascii="Sakkal Majalla" w:hAnsi="Sakkal Majalla" w:cs="Sakkal Majalla"/>
          <w:b/>
          <w:bCs/>
          <w:color w:val="548DD4" w:themeColor="text2" w:themeTint="99"/>
          <w:szCs w:val="28"/>
          <w:rtl/>
        </w:rPr>
        <w:t xml:space="preserve"> التميز التشغيلي و</w:t>
      </w:r>
      <w:r w:rsidR="00C67E01" w:rsidRPr="00095960">
        <w:rPr>
          <w:rFonts w:ascii="Sakkal Majalla" w:hAnsi="Sakkal Majalla" w:cs="Sakkal Majalla"/>
          <w:b/>
          <w:bCs/>
          <w:color w:val="548DD4" w:themeColor="text2" w:themeTint="99"/>
          <w:szCs w:val="28"/>
          <w:rtl/>
        </w:rPr>
        <w:t xml:space="preserve">التميز </w:t>
      </w:r>
      <w:r w:rsidR="006D2EA0" w:rsidRPr="00095960">
        <w:rPr>
          <w:rFonts w:ascii="Sakkal Majalla" w:hAnsi="Sakkal Majalla" w:cs="Sakkal Majalla"/>
          <w:b/>
          <w:bCs/>
          <w:color w:val="548DD4" w:themeColor="text2" w:themeTint="99"/>
          <w:szCs w:val="28"/>
          <w:rtl/>
        </w:rPr>
        <w:t xml:space="preserve">الاستراتيجي– دراسة </w:t>
      </w:r>
      <w:r w:rsidR="00D155DE" w:rsidRPr="00095960">
        <w:rPr>
          <w:rFonts w:ascii="Sakkal Majalla" w:hAnsi="Sakkal Majalla" w:cs="Sakkal Majalla"/>
          <w:b/>
          <w:bCs/>
          <w:color w:val="548DD4" w:themeColor="text2" w:themeTint="99"/>
          <w:szCs w:val="28"/>
          <w:rtl/>
        </w:rPr>
        <w:t xml:space="preserve">ميدانية </w:t>
      </w:r>
      <w:r w:rsidR="006D2EA0" w:rsidRPr="00095960">
        <w:rPr>
          <w:rFonts w:ascii="Sakkal Majalla" w:hAnsi="Sakkal Majalla" w:cs="Sakkal Majalla"/>
          <w:b/>
          <w:bCs/>
          <w:color w:val="548DD4" w:themeColor="text2" w:themeTint="99"/>
          <w:szCs w:val="28"/>
          <w:rtl/>
        </w:rPr>
        <w:t>في المنظمات السعودية</w:t>
      </w:r>
      <w:r w:rsidR="006D2EA0" w:rsidRPr="00095960">
        <w:rPr>
          <w:rFonts w:ascii="Arial" w:hAnsi="Arial" w:cs="Arial"/>
          <w:b/>
          <w:bCs/>
          <w:color w:val="548DD4" w:themeColor="text2" w:themeTint="99"/>
          <w:szCs w:val="28"/>
          <w:rtl/>
        </w:rPr>
        <w:t xml:space="preserve"> </w:t>
      </w:r>
    </w:p>
    <w:p w14:paraId="7CEE46E0" w14:textId="77777777" w:rsidR="0039518B" w:rsidRPr="00095960" w:rsidRDefault="0039518B" w:rsidP="0039518B">
      <w:pPr>
        <w:pStyle w:val="NormalWeb"/>
        <w:bidi/>
        <w:spacing w:before="0" w:beforeAutospacing="0" w:after="0" w:afterAutospacing="0"/>
        <w:ind w:right="-270"/>
        <w:rPr>
          <w:rFonts w:ascii="Arial" w:hAnsi="Arial" w:cs="Arial"/>
          <w:b/>
          <w:bCs/>
          <w:color w:val="548DD4" w:themeColor="text2" w:themeTint="99"/>
          <w:szCs w:val="28"/>
          <w:rtl/>
        </w:rPr>
      </w:pPr>
    </w:p>
    <w:p w14:paraId="689F621C" w14:textId="06F60EF1" w:rsidR="00395E1F" w:rsidRPr="00095960" w:rsidRDefault="00F900D1" w:rsidP="00095960">
      <w:pPr>
        <w:pStyle w:val="NormalWeb"/>
        <w:spacing w:after="0"/>
        <w:ind w:right="-270"/>
        <w:jc w:val="center"/>
        <w:rPr>
          <w:rFonts w:ascii="Monotype Corsiva" w:hAnsi="Monotype Corsiva" w:cs="DecoType Naskh"/>
          <w:color w:val="548DD4" w:themeColor="text2" w:themeTint="99"/>
          <w:sz w:val="32"/>
          <w:szCs w:val="36"/>
          <w:rtl/>
        </w:rPr>
      </w:pPr>
      <w:r w:rsidRPr="00095960">
        <w:rPr>
          <w:rFonts w:ascii="Monotype Corsiva" w:hAnsi="Monotype Corsiva" w:cs="DecoType Naskh"/>
          <w:color w:val="548DD4" w:themeColor="text2" w:themeTint="99"/>
          <w:sz w:val="32"/>
          <w:szCs w:val="32"/>
        </w:rPr>
        <w:t>The Impact of Corporate Governance on Both Operational Excellence and Strategic Excellence: A Field Study in Saudi Organizations</w:t>
      </w:r>
    </w:p>
    <w:tbl>
      <w:tblPr>
        <w:tblStyle w:val="TableGrid"/>
        <w:tblpPr w:leftFromText="180" w:rightFromText="180" w:vertAnchor="text" w:horzAnchor="margin" w:tblpXSpec="center" w:tblpY="2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236"/>
        <w:gridCol w:w="3447"/>
        <w:gridCol w:w="237"/>
      </w:tblGrid>
      <w:tr w:rsidR="00095960" w14:paraId="1D5B14F8"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24F9CDFA"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اسم الباحث</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5AD0F530"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عبير عمر العطاس</w:t>
            </w:r>
          </w:p>
        </w:tc>
      </w:tr>
      <w:tr w:rsidR="00095960" w14:paraId="0EDB7C78"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4A404276"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الرقم الأكاديمي</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7BA54881"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222000966</w:t>
            </w:r>
          </w:p>
        </w:tc>
      </w:tr>
      <w:tr w:rsidR="00095960" w14:paraId="21BCD5D4"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1542C7F6"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 xml:space="preserve">الكلية                    </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4F12DD33"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كلية الإدارة</w:t>
            </w:r>
          </w:p>
        </w:tc>
      </w:tr>
      <w:tr w:rsidR="00093811" w14:paraId="09AC42A9" w14:textId="77777777" w:rsidTr="00095960">
        <w:tc>
          <w:tcPr>
            <w:tcW w:w="2667" w:type="dxa"/>
            <w:tcBorders>
              <w:top w:val="single" w:sz="4" w:space="0" w:color="D9D9D9" w:themeColor="background1" w:themeShade="D9"/>
            </w:tcBorders>
          </w:tcPr>
          <w:p w14:paraId="0CA89178"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6463F9DC" w14:textId="77777777" w:rsidR="00334B70" w:rsidRPr="004B484B" w:rsidRDefault="00334B70" w:rsidP="00334B70">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36" w:type="dxa"/>
            <w:tcBorders>
              <w:top w:val="single" w:sz="4" w:space="0" w:color="D9D9D9" w:themeColor="background1" w:themeShade="D9"/>
            </w:tcBorders>
          </w:tcPr>
          <w:p w14:paraId="6A755093" w14:textId="77777777" w:rsidR="00093811" w:rsidRPr="004B484B"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3684" w:type="dxa"/>
            <w:gridSpan w:val="2"/>
            <w:tcBorders>
              <w:top w:val="single" w:sz="4" w:space="0" w:color="D9D9D9" w:themeColor="background1" w:themeShade="D9"/>
            </w:tcBorders>
          </w:tcPr>
          <w:p w14:paraId="31A10792"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4A47AF25" w14:textId="77777777" w:rsidR="006D2EA0" w:rsidRDefault="006D2EA0" w:rsidP="006D2EA0">
      <w:pPr>
        <w:pStyle w:val="NormalWeb"/>
        <w:spacing w:after="0"/>
        <w:ind w:right="-270"/>
        <w:rPr>
          <w:rFonts w:ascii="Arial" w:hAnsi="Arial" w:cs="Arial"/>
          <w:b/>
          <w:bCs/>
          <w:color w:val="0070C0"/>
          <w:szCs w:val="28"/>
          <w:rtl/>
        </w:rPr>
      </w:pPr>
    </w:p>
    <w:p w14:paraId="4F2C4676" w14:textId="6956B00B" w:rsidR="00395E1F" w:rsidRDefault="00395E1F" w:rsidP="00F92EA4">
      <w:pPr>
        <w:pStyle w:val="NormalWeb"/>
        <w:bidi/>
        <w:spacing w:before="0" w:beforeAutospacing="0" w:after="0" w:afterAutospacing="0"/>
        <w:ind w:right="-270"/>
        <w:rPr>
          <w:rFonts w:ascii="Arial" w:hAnsi="Arial" w:cs="Arial"/>
          <w:b/>
          <w:bCs/>
          <w:color w:val="0070C0"/>
          <w:szCs w:val="28"/>
          <w:rtl/>
        </w:rPr>
      </w:pPr>
    </w:p>
    <w:p w14:paraId="79313DA6" w14:textId="1AAF97B0" w:rsidR="001C7DB2" w:rsidRDefault="001C7DB2" w:rsidP="00395E1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16118AA7" w14:textId="77777777" w:rsidR="00334B70" w:rsidRDefault="00883E09" w:rsidP="00883E09">
      <w:pPr>
        <w:jc w:val="center"/>
        <w:rPr>
          <w:rFonts w:ascii="Calibri" w:hAnsi="Calibri" w:cs="Calibri"/>
          <w:b/>
          <w:bCs/>
          <w:color w:val="548DD4" w:themeColor="text2" w:themeTint="99"/>
          <w:sz w:val="28"/>
          <w:szCs w:val="28"/>
          <w:rtl/>
        </w:rPr>
      </w:pPr>
      <w:r w:rsidRPr="00883E09">
        <w:rPr>
          <w:rFonts w:ascii="Calibri" w:hAnsi="Calibri" w:cs="Calibri" w:hint="cs"/>
          <w:b/>
          <w:bCs/>
          <w:color w:val="548DD4" w:themeColor="text2" w:themeTint="99"/>
          <w:sz w:val="28"/>
          <w:szCs w:val="28"/>
          <w:rtl/>
        </w:rPr>
        <w:t xml:space="preserve">      </w:t>
      </w:r>
    </w:p>
    <w:p w14:paraId="502990AC" w14:textId="77777777" w:rsidR="00334B70" w:rsidRDefault="00334B70" w:rsidP="00883E09">
      <w:pPr>
        <w:jc w:val="center"/>
        <w:rPr>
          <w:rFonts w:ascii="Calibri" w:hAnsi="Calibri" w:cs="Calibri"/>
          <w:b/>
          <w:bCs/>
          <w:color w:val="548DD4" w:themeColor="text2" w:themeTint="99"/>
          <w:sz w:val="28"/>
          <w:szCs w:val="28"/>
          <w:rtl/>
        </w:rPr>
      </w:pPr>
    </w:p>
    <w:p w14:paraId="4204A6A5" w14:textId="77777777" w:rsidR="00334B70" w:rsidRDefault="00334B70" w:rsidP="00883E09">
      <w:pPr>
        <w:jc w:val="center"/>
        <w:rPr>
          <w:rFonts w:ascii="Calibri" w:hAnsi="Calibri" w:cs="Calibri"/>
          <w:b/>
          <w:bCs/>
          <w:color w:val="548DD4" w:themeColor="text2" w:themeTint="99"/>
          <w:sz w:val="28"/>
          <w:szCs w:val="28"/>
          <w:rtl/>
        </w:rPr>
      </w:pPr>
    </w:p>
    <w:p w14:paraId="567EE102" w14:textId="659FE442" w:rsidR="00395E1F" w:rsidRDefault="00077740" w:rsidP="00883E09">
      <w:pPr>
        <w:jc w:val="center"/>
        <w:rPr>
          <w:rFonts w:ascii="Calibri" w:hAnsi="Calibri" w:cs="Calibri"/>
          <w:b/>
          <w:bCs/>
          <w:color w:val="FF0000"/>
          <w:sz w:val="28"/>
          <w:szCs w:val="28"/>
          <w:rtl/>
        </w:rPr>
      </w:pPr>
      <w:proofErr w:type="gramStart"/>
      <w:r w:rsidRPr="007E6130">
        <w:rPr>
          <w:rFonts w:ascii="Calibri" w:hAnsi="Calibri" w:cs="Calibri" w:hint="cs"/>
          <w:b/>
          <w:bCs/>
          <w:color w:val="000000" w:themeColor="text1"/>
          <w:sz w:val="28"/>
          <w:szCs w:val="28"/>
          <w:rtl/>
        </w:rPr>
        <w:t>46</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 xml:space="preserve"> </w:t>
      </w:r>
      <w:r w:rsidR="00883E09" w:rsidRPr="007E6130">
        <w:rPr>
          <w:rFonts w:ascii="Calibri" w:hAnsi="Calibri" w:cs="Calibri" w:hint="cs"/>
          <w:b/>
          <w:bCs/>
          <w:color w:val="000000" w:themeColor="text1"/>
          <w:sz w:val="28"/>
          <w:szCs w:val="28"/>
          <w:rtl/>
        </w:rPr>
        <w:t>14</w:t>
      </w:r>
      <w:proofErr w:type="gramEnd"/>
      <w:r w:rsidR="00883E09" w:rsidRPr="007E6130">
        <w:rPr>
          <w:rFonts w:ascii="Calibri" w:hAnsi="Calibri" w:cs="Calibri" w:hint="cs"/>
          <w:b/>
          <w:bCs/>
          <w:color w:val="000000" w:themeColor="text1"/>
          <w:sz w:val="28"/>
          <w:szCs w:val="28"/>
          <w:rtl/>
        </w:rPr>
        <w:t xml:space="preserve">ه      - </w:t>
      </w:r>
      <w:r w:rsidRPr="007E6130">
        <w:rPr>
          <w:rFonts w:ascii="Calibri" w:hAnsi="Calibri" w:cs="Calibri" w:hint="cs"/>
          <w:b/>
          <w:bCs/>
          <w:color w:val="000000" w:themeColor="text1"/>
          <w:sz w:val="28"/>
          <w:szCs w:val="28"/>
          <w:rtl/>
        </w:rPr>
        <w:t>25</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20</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61C38D8A" w14:textId="77777777" w:rsidR="00FD5A0F" w:rsidRDefault="00FD5A0F" w:rsidP="00883E09">
      <w:pPr>
        <w:jc w:val="center"/>
        <w:rPr>
          <w:rFonts w:ascii="Calibri" w:hAnsi="Calibri" w:cs="Calibri"/>
          <w:b/>
          <w:bCs/>
          <w:color w:val="FF0000"/>
          <w:sz w:val="28"/>
          <w:szCs w:val="28"/>
        </w:rPr>
      </w:pPr>
    </w:p>
    <w:p w14:paraId="35CE0815" w14:textId="77777777" w:rsidR="00AD783C" w:rsidRDefault="00AD783C" w:rsidP="00575721">
      <w:pPr>
        <w:rPr>
          <w:rFonts w:ascii="Calibri" w:hAnsi="Calibri" w:cs="Calibri"/>
          <w:b/>
          <w:bCs/>
          <w:color w:val="FF0000"/>
          <w:sz w:val="28"/>
          <w:szCs w:val="28"/>
          <w:rtl/>
        </w:rPr>
      </w:pPr>
    </w:p>
    <w:p w14:paraId="50782E57" w14:textId="77777777" w:rsidR="00A50F8C" w:rsidRDefault="00A50F8C" w:rsidP="00575721">
      <w:pPr>
        <w:rPr>
          <w:rFonts w:ascii="Calibri" w:hAnsi="Calibri" w:cs="Calibri"/>
          <w:b/>
          <w:bCs/>
          <w:color w:val="FF0000"/>
          <w:sz w:val="28"/>
          <w:szCs w:val="28"/>
          <w:rtl/>
        </w:rPr>
      </w:pPr>
    </w:p>
    <w:p w14:paraId="07F66028" w14:textId="77777777" w:rsidR="00A50F8C" w:rsidRDefault="00A50F8C" w:rsidP="00575721">
      <w:pPr>
        <w:rPr>
          <w:rFonts w:ascii="Calibri" w:hAnsi="Calibri" w:cs="Calibri"/>
          <w:b/>
          <w:bCs/>
          <w:color w:val="FF0000"/>
          <w:sz w:val="28"/>
          <w:szCs w:val="28"/>
          <w:rtl/>
        </w:rPr>
      </w:pPr>
    </w:p>
    <w:p w14:paraId="7B58F69F" w14:textId="77777777" w:rsidR="00A50F8C" w:rsidRDefault="00A50F8C" w:rsidP="00575721">
      <w:pPr>
        <w:rPr>
          <w:rFonts w:ascii="Calibri" w:hAnsi="Calibri" w:cs="Calibri"/>
          <w:b/>
          <w:bCs/>
          <w:color w:val="FF0000"/>
          <w:sz w:val="28"/>
          <w:szCs w:val="28"/>
          <w:rtl/>
        </w:rPr>
      </w:pPr>
    </w:p>
    <w:p w14:paraId="1E46B8AA" w14:textId="77777777" w:rsidR="00A14701" w:rsidRDefault="00A14701" w:rsidP="00A14701">
      <w:pPr>
        <w:bidi/>
        <w:spacing w:after="200" w:line="276" w:lineRule="auto"/>
        <w:ind w:right="-567"/>
        <w:jc w:val="both"/>
        <w:rPr>
          <w:rFonts w:ascii="Sakkal Majalla" w:hAnsi="Sakkal Majalla" w:cs="Sakkal Majalla"/>
          <w:color w:val="000000" w:themeColor="text1"/>
          <w:sz w:val="28"/>
          <w:szCs w:val="28"/>
        </w:rPr>
      </w:pPr>
    </w:p>
    <w:p w14:paraId="164D4A2C" w14:textId="77777777" w:rsidR="004204FB" w:rsidRDefault="004204FB" w:rsidP="004204FB">
      <w:pPr>
        <w:bidi/>
        <w:spacing w:after="200" w:line="276" w:lineRule="auto"/>
        <w:ind w:right="-567"/>
        <w:jc w:val="both"/>
        <w:rPr>
          <w:rFonts w:ascii="Sakkal Majalla" w:hAnsi="Sakkal Majalla" w:cs="Sakkal Majalla"/>
          <w:color w:val="000000" w:themeColor="text1"/>
          <w:sz w:val="28"/>
          <w:szCs w:val="28"/>
        </w:rPr>
      </w:pPr>
    </w:p>
    <w:p w14:paraId="2C66FF37" w14:textId="0827BA7B" w:rsidR="004204FB" w:rsidRPr="004204FB" w:rsidRDefault="00F32CCC" w:rsidP="004204FB">
      <w:pPr>
        <w:bidi/>
        <w:spacing w:after="200" w:line="276" w:lineRule="auto"/>
        <w:ind w:right="-567"/>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lastRenderedPageBreak/>
        <w:t>ا</w:t>
      </w:r>
      <w:r w:rsidR="004204FB" w:rsidRPr="004204FB">
        <w:rPr>
          <w:rFonts w:ascii="Sakkal Majalla" w:hAnsi="Sakkal Majalla" w:cs="Sakkal Majalla"/>
          <w:b/>
          <w:bCs/>
          <w:color w:val="000000" w:themeColor="text1"/>
          <w:sz w:val="28"/>
          <w:szCs w:val="28"/>
          <w:rtl/>
        </w:rPr>
        <w:t>لفصل الأول: الإطار العام للدراسة</w:t>
      </w:r>
    </w:p>
    <w:p w14:paraId="0659BAE7" w14:textId="4965F908" w:rsidR="004204FB" w:rsidRDefault="004204FB" w:rsidP="00F32CCC">
      <w:pPr>
        <w:bidi/>
        <w:spacing w:after="200" w:line="276" w:lineRule="auto"/>
        <w:ind w:right="-567"/>
        <w:jc w:val="both"/>
        <w:rPr>
          <w:rFonts w:ascii="Sakkal Majalla" w:hAnsi="Sakkal Majalla" w:cs="Sakkal Majalla"/>
          <w:b/>
          <w:bCs/>
          <w:color w:val="000000" w:themeColor="text1"/>
          <w:sz w:val="28"/>
          <w:szCs w:val="28"/>
        </w:rPr>
      </w:pPr>
      <w:r w:rsidRPr="00F32CCC">
        <w:rPr>
          <w:rFonts w:ascii="Sakkal Majalla" w:hAnsi="Sakkal Majalla" w:cs="Sakkal Majalla"/>
          <w:b/>
          <w:bCs/>
          <w:color w:val="000000" w:themeColor="text1"/>
          <w:sz w:val="28"/>
          <w:szCs w:val="28"/>
          <w:rtl/>
        </w:rPr>
        <w:t>مقدمة</w:t>
      </w:r>
    </w:p>
    <w:p w14:paraId="5FBA62BB"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تواجه معظم المنظمات في الوقت الراهن تحديات معقدة ومتعددة الأبعاد تشمل الجوانب التنظيمية والتكنولوجية والاقتصادية والمجتمعية والثقافية، وذلك نتيجة للتغيرات السريعة والجذرية في بيئات الأعمال. ويؤدي هذا التسارع إلى زيادة صعوبة التكيف مع متطلبات أصحاب المصلحة المتنامية، مما يجعل تبني أساليب إدارية فعّالة وبناء نماذج أعمال قوية أمرًا ضروريًا لضمان الاستمرارية وتحقيق الأهداف المنشودة. وتشير الدراسات إلى أن تطبيق مبادئ الحوكمة المؤسسية يسهم في تعزيز قدرة المنظمات على تحقيق التميز التشغيلي والاستراتيجي، عبر تحسين كفاءة العمليات واتخاذ القرارات الاستراتيجية الرشيدة (</w:t>
      </w:r>
      <w:proofErr w:type="spellStart"/>
      <w:r w:rsidRPr="00EE13A9">
        <w:rPr>
          <w:rFonts w:ascii="Sakkal Majalla" w:hAnsi="Sakkal Majalla" w:cs="Sakkal Majalla"/>
          <w:color w:val="000000" w:themeColor="text1"/>
          <w:sz w:val="28"/>
          <w:szCs w:val="28"/>
        </w:rPr>
        <w:t>Buallay</w:t>
      </w:r>
      <w:proofErr w:type="spellEnd"/>
      <w:r w:rsidRPr="00EE13A9">
        <w:rPr>
          <w:rFonts w:ascii="Sakkal Majalla" w:hAnsi="Sakkal Majalla" w:cs="Sakkal Majalla"/>
          <w:color w:val="000000" w:themeColor="text1"/>
          <w:sz w:val="28"/>
          <w:szCs w:val="28"/>
        </w:rPr>
        <w:t>, Hamdan</w:t>
      </w:r>
      <w:r w:rsidRPr="00EE13A9">
        <w:rPr>
          <w:rFonts w:ascii="Sakkal Majalla" w:hAnsi="Sakkal Majalla" w:cs="Sakkal Majalla"/>
          <w:color w:val="000000" w:themeColor="text1"/>
          <w:sz w:val="28"/>
          <w:szCs w:val="28"/>
          <w:rtl/>
        </w:rPr>
        <w:t xml:space="preserve">, &amp; </w:t>
      </w:r>
      <w:proofErr w:type="spellStart"/>
      <w:r w:rsidRPr="00EE13A9">
        <w:rPr>
          <w:rFonts w:ascii="Sakkal Majalla" w:hAnsi="Sakkal Majalla" w:cs="Sakkal Majalla"/>
          <w:color w:val="000000" w:themeColor="text1"/>
          <w:sz w:val="28"/>
          <w:szCs w:val="28"/>
        </w:rPr>
        <w:t>Zureigat</w:t>
      </w:r>
      <w:proofErr w:type="spellEnd"/>
      <w:r w:rsidRPr="00EE13A9">
        <w:rPr>
          <w:rFonts w:ascii="Sakkal Majalla" w:hAnsi="Sakkal Majalla" w:cs="Sakkal Majalla"/>
          <w:color w:val="000000" w:themeColor="text1"/>
          <w:sz w:val="28"/>
          <w:szCs w:val="28"/>
        </w:rPr>
        <w:t>, 2017</w:t>
      </w:r>
      <w:r w:rsidRPr="00EE13A9">
        <w:rPr>
          <w:rFonts w:ascii="Sakkal Majalla" w:hAnsi="Sakkal Majalla" w:cs="Sakkal Majalla"/>
          <w:color w:val="000000" w:themeColor="text1"/>
          <w:sz w:val="28"/>
          <w:szCs w:val="28"/>
          <w:rtl/>
        </w:rPr>
        <w:t>).</w:t>
      </w:r>
    </w:p>
    <w:p w14:paraId="0C6A9C65"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يتطلب الصمود المؤسسي والتغلّب على التحديات المؤسسية الضخمة، واكتساب ميزة تنافسية مستدامة، وتحقيق رضا أصحاب المصلحة، جهودًا تخطيطية ممنهجة ومدروسة بعناية. فتخطيط هذه الجهود بالشكل الصحيح يعزز الالتزام المؤسسي، ويقلّص من المخاطر، ويضع أطر عمل واضحة للتعامل معها، كما يساعد في صياغة استراتيجيات تدعم التميز التشغيلي والابتكار المستدام. وقد أظهرت الدراسات في السياق السعودي أن تطبيق مبادئ الحوكمة المؤسسية يسهم بشكل فعّال في تحسين الأداء العام للمؤسسات من خلال تعزيز الشفافية والمسائلة (</w:t>
      </w:r>
      <w:proofErr w:type="spellStart"/>
      <w:r w:rsidRPr="00EE13A9">
        <w:rPr>
          <w:rFonts w:ascii="Sakkal Majalla" w:hAnsi="Sakkal Majalla" w:cs="Sakkal Majalla"/>
          <w:color w:val="000000" w:themeColor="text1"/>
          <w:sz w:val="28"/>
          <w:szCs w:val="28"/>
        </w:rPr>
        <w:t>Buallay</w:t>
      </w:r>
      <w:proofErr w:type="spellEnd"/>
      <w:r w:rsidRPr="00EE13A9">
        <w:rPr>
          <w:rFonts w:ascii="Sakkal Majalla" w:hAnsi="Sakkal Majalla" w:cs="Sakkal Majalla"/>
          <w:color w:val="000000" w:themeColor="text1"/>
          <w:sz w:val="28"/>
          <w:szCs w:val="28"/>
        </w:rPr>
        <w:t>, Hamdan</w:t>
      </w:r>
      <w:r w:rsidRPr="00EE13A9">
        <w:rPr>
          <w:rFonts w:ascii="Sakkal Majalla" w:hAnsi="Sakkal Majalla" w:cs="Sakkal Majalla"/>
          <w:color w:val="000000" w:themeColor="text1"/>
          <w:sz w:val="28"/>
          <w:szCs w:val="28"/>
          <w:rtl/>
        </w:rPr>
        <w:t xml:space="preserve">, &amp; </w:t>
      </w:r>
      <w:proofErr w:type="spellStart"/>
      <w:r w:rsidRPr="00EE13A9">
        <w:rPr>
          <w:rFonts w:ascii="Sakkal Majalla" w:hAnsi="Sakkal Majalla" w:cs="Sakkal Majalla"/>
          <w:color w:val="000000" w:themeColor="text1"/>
          <w:sz w:val="28"/>
          <w:szCs w:val="28"/>
        </w:rPr>
        <w:t>Zureigat</w:t>
      </w:r>
      <w:proofErr w:type="spellEnd"/>
      <w:r w:rsidRPr="00EE13A9">
        <w:rPr>
          <w:rFonts w:ascii="Sakkal Majalla" w:hAnsi="Sakkal Majalla" w:cs="Sakkal Majalla"/>
          <w:color w:val="000000" w:themeColor="text1"/>
          <w:sz w:val="28"/>
          <w:szCs w:val="28"/>
        </w:rPr>
        <w:t>, 2017</w:t>
      </w:r>
      <w:r w:rsidRPr="00EE13A9">
        <w:rPr>
          <w:rFonts w:ascii="Sakkal Majalla" w:hAnsi="Sakkal Majalla" w:cs="Sakkal Majalla"/>
          <w:color w:val="000000" w:themeColor="text1"/>
          <w:sz w:val="28"/>
          <w:szCs w:val="28"/>
          <w:rtl/>
        </w:rPr>
        <w:t>).</w:t>
      </w:r>
    </w:p>
    <w:p w14:paraId="70FE76DA"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في السنوات الأخيرة، سعت العديد من المنظمات إلى وضع مجموعة من السياسات والممارسات التي تؤسس لإطار تنظيمي واضح ومتكامل يبرز تفاصيل العمليات الداخلية وآليات العمل. ويأتي ذلك استجابةً للتغيرات المتسارعة والتعقيدات التي تفرضها بيئة الأعمال الحديثة، والحاجة المتزايدة إلى نظام إداري داعم لاستقرار المنظمة ومرونتها (</w:t>
      </w:r>
      <w:r w:rsidRPr="00EE13A9">
        <w:rPr>
          <w:rFonts w:ascii="Sakkal Majalla" w:hAnsi="Sakkal Majalla" w:cs="Sakkal Majalla"/>
          <w:color w:val="000000" w:themeColor="text1"/>
          <w:sz w:val="28"/>
          <w:szCs w:val="28"/>
        </w:rPr>
        <w:t>Brennan</w:t>
      </w:r>
      <w:r w:rsidRPr="00EE13A9">
        <w:rPr>
          <w:rFonts w:ascii="Sakkal Majalla" w:hAnsi="Sakkal Majalla" w:cs="Sakkal Majalla"/>
          <w:color w:val="000000" w:themeColor="text1"/>
          <w:sz w:val="28"/>
          <w:szCs w:val="28"/>
          <w:rtl/>
        </w:rPr>
        <w:t xml:space="preserve"> &amp; </w:t>
      </w:r>
      <w:r w:rsidRPr="00EE13A9">
        <w:rPr>
          <w:rFonts w:ascii="Sakkal Majalla" w:hAnsi="Sakkal Majalla" w:cs="Sakkal Majalla"/>
          <w:color w:val="000000" w:themeColor="text1"/>
          <w:sz w:val="28"/>
          <w:szCs w:val="28"/>
        </w:rPr>
        <w:t>Solomon, 2008</w:t>
      </w:r>
      <w:r w:rsidRPr="00EE13A9">
        <w:rPr>
          <w:rFonts w:ascii="Sakkal Majalla" w:hAnsi="Sakkal Majalla" w:cs="Sakkal Majalla"/>
          <w:color w:val="000000" w:themeColor="text1"/>
          <w:sz w:val="28"/>
          <w:szCs w:val="28"/>
          <w:rtl/>
        </w:rPr>
        <w:t>).</w:t>
      </w:r>
    </w:p>
    <w:p w14:paraId="6D2270D2"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يرتكز الإطار التنظيمي الفعّال على وضع هياكل إدارية واضحة تحدد المسؤوليات والصلاحيات بدقة عبر جميع مستويات الإدارة، بدءًا من مجلس الإدارة مرورًا بالإدارة التنفيذية وصولًا إلى اللجان المتخصصة. كما يشمل هذا الإطار السياسات المتعلقة بالإفصاح والشفافية، لضمان تزويد جميع الأطراف المعنية بالمعلومات الدقيقة وفي الوقت المناسب، بما يعزز من الثقة والمصداقية ويضمن سلامة العمليات المؤسسية (</w:t>
      </w:r>
      <w:r w:rsidRPr="00EE13A9">
        <w:rPr>
          <w:rFonts w:ascii="Sakkal Majalla" w:hAnsi="Sakkal Majalla" w:cs="Sakkal Majalla"/>
          <w:color w:val="000000" w:themeColor="text1"/>
          <w:sz w:val="28"/>
          <w:szCs w:val="28"/>
        </w:rPr>
        <w:t>Capital Market Authority, 2023</w:t>
      </w:r>
      <w:r w:rsidRPr="00EE13A9">
        <w:rPr>
          <w:rFonts w:ascii="Sakkal Majalla" w:hAnsi="Sakkal Majalla" w:cs="Sakkal Majalla"/>
          <w:color w:val="000000" w:themeColor="text1"/>
          <w:sz w:val="28"/>
          <w:szCs w:val="28"/>
          <w:rtl/>
        </w:rPr>
        <w:t>).</w:t>
      </w:r>
    </w:p>
    <w:p w14:paraId="5D4F0A38"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إضافةً إلى ذلك، يحتوي الإطار التنظيمي على الآليات الرقابية التي تضمن المساءلة والالتزام، بما في ذلك أنظمة التدقيق الداخلي وإجراءات مراقبة الأداء وآليات إدارة المخاطر. تهدف هذه الممارسات والسياسات إلى تحسين القدرة على التكيف مع التغيرات ومواجهة التحديات، وتحقيق تكامل وظيفي يسهم في تعزيز الأداء التشغيلي والاستراتيجي (</w:t>
      </w:r>
      <w:r w:rsidRPr="00EE13A9">
        <w:rPr>
          <w:rFonts w:ascii="Sakkal Majalla" w:hAnsi="Sakkal Majalla" w:cs="Sakkal Majalla"/>
          <w:color w:val="000000" w:themeColor="text1"/>
          <w:sz w:val="28"/>
          <w:szCs w:val="28"/>
        </w:rPr>
        <w:t>Brown, Steen</w:t>
      </w:r>
      <w:r w:rsidRPr="00EE13A9">
        <w:rPr>
          <w:rFonts w:ascii="Sakkal Majalla" w:hAnsi="Sakkal Majalla" w:cs="Sakkal Majalla"/>
          <w:color w:val="000000" w:themeColor="text1"/>
          <w:sz w:val="28"/>
          <w:szCs w:val="28"/>
          <w:rtl/>
        </w:rPr>
        <w:t xml:space="preserve">, &amp; </w:t>
      </w:r>
      <w:r w:rsidRPr="00EE13A9">
        <w:rPr>
          <w:rFonts w:ascii="Sakkal Majalla" w:hAnsi="Sakkal Majalla" w:cs="Sakkal Majalla"/>
          <w:color w:val="000000" w:themeColor="text1"/>
          <w:sz w:val="28"/>
          <w:szCs w:val="28"/>
        </w:rPr>
        <w:t>Foreman, 2009</w:t>
      </w:r>
      <w:r w:rsidRPr="00EE13A9">
        <w:rPr>
          <w:rFonts w:ascii="Sakkal Majalla" w:hAnsi="Sakkal Majalla" w:cs="Sakkal Majalla"/>
          <w:color w:val="000000" w:themeColor="text1"/>
          <w:sz w:val="28"/>
          <w:szCs w:val="28"/>
          <w:rtl/>
        </w:rPr>
        <w:t>).</w:t>
      </w:r>
    </w:p>
    <w:p w14:paraId="3C47EFC5"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lastRenderedPageBreak/>
        <w:t>وبالرغم من تبني العديد من المنظمات لإطار تنظيمي واضح ضمن ممارسات الحوكمة المؤسسية بهدف تحسين الأداء وتعزيز الشفافية، إلا أن بعض الدراسات والأبحاث الواقعية أشارت إلى وجود تحديات وسلبيات محتملة لهذا النهج. فعلى سبيل المثال، أوضحت دراسة (</w:t>
      </w:r>
      <w:r w:rsidRPr="00EE13A9">
        <w:rPr>
          <w:rFonts w:ascii="Sakkal Majalla" w:hAnsi="Sakkal Majalla" w:cs="Sakkal Majalla"/>
          <w:color w:val="000000" w:themeColor="text1"/>
          <w:sz w:val="28"/>
          <w:szCs w:val="28"/>
        </w:rPr>
        <w:t>La Porta, Lopez-de-Silanes, Shleifer</w:t>
      </w:r>
      <w:r w:rsidRPr="00EE13A9">
        <w:rPr>
          <w:rFonts w:ascii="Sakkal Majalla" w:hAnsi="Sakkal Majalla" w:cs="Sakkal Majalla"/>
          <w:color w:val="000000" w:themeColor="text1"/>
          <w:sz w:val="28"/>
          <w:szCs w:val="28"/>
          <w:rtl/>
        </w:rPr>
        <w:t xml:space="preserve">, &amp; </w:t>
      </w:r>
      <w:proofErr w:type="spellStart"/>
      <w:r w:rsidRPr="00EE13A9">
        <w:rPr>
          <w:rFonts w:ascii="Sakkal Majalla" w:hAnsi="Sakkal Majalla" w:cs="Sakkal Majalla"/>
          <w:color w:val="000000" w:themeColor="text1"/>
          <w:sz w:val="28"/>
          <w:szCs w:val="28"/>
        </w:rPr>
        <w:t>Vishny</w:t>
      </w:r>
      <w:proofErr w:type="spellEnd"/>
      <w:r w:rsidRPr="00EE13A9">
        <w:rPr>
          <w:rFonts w:ascii="Sakkal Majalla" w:hAnsi="Sakkal Majalla" w:cs="Sakkal Majalla"/>
          <w:color w:val="000000" w:themeColor="text1"/>
          <w:sz w:val="28"/>
          <w:szCs w:val="28"/>
        </w:rPr>
        <w:t>, 2000</w:t>
      </w:r>
      <w:r w:rsidRPr="00EE13A9">
        <w:rPr>
          <w:rFonts w:ascii="Sakkal Majalla" w:hAnsi="Sakkal Majalla" w:cs="Sakkal Majalla"/>
          <w:color w:val="000000" w:themeColor="text1"/>
          <w:sz w:val="28"/>
          <w:szCs w:val="28"/>
          <w:rtl/>
        </w:rPr>
        <w:t>) أن التنظيم المفرط والصارم قد يؤدي أحيانًا إلى تقليل أداء المنظمات، لا سيما في البلدان المتقدمة التي تتميز بأنظمة حوكمة قوية بالفعل، وأكدت الدراسة أن هذه الصرامة قد تعيق القدرة على الاستجابة السريعة للتغيرات في السوق.</w:t>
      </w:r>
    </w:p>
    <w:p w14:paraId="2EC621D9"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إضافة إلى ذلك، ذكرت تقارير صادرة عن خبراء إداريين أن البيروقراطية الناتجة عن الأطر التنظيمية الصارمة قد تشكّل عائقًا أمام الابتكار والمرونة، إذ يمكن أن تؤدي القيود الإدارية والتسلسل الهرمي الشديد إلى إبطاء عمليات اتخاذ القرار وإضعاف روح المبادرة لدى الموظفين. كما أظهرت دراسة (</w:t>
      </w:r>
      <w:r w:rsidRPr="00EE13A9">
        <w:rPr>
          <w:rFonts w:ascii="Sakkal Majalla" w:hAnsi="Sakkal Majalla" w:cs="Sakkal Majalla"/>
          <w:color w:val="000000" w:themeColor="text1"/>
          <w:sz w:val="28"/>
          <w:szCs w:val="28"/>
        </w:rPr>
        <w:t>Dalton, Hitt, Certo</w:t>
      </w:r>
      <w:r w:rsidRPr="00EE13A9">
        <w:rPr>
          <w:rFonts w:ascii="Sakkal Majalla" w:hAnsi="Sakkal Majalla" w:cs="Sakkal Majalla"/>
          <w:color w:val="000000" w:themeColor="text1"/>
          <w:sz w:val="28"/>
          <w:szCs w:val="28"/>
          <w:rtl/>
        </w:rPr>
        <w:t xml:space="preserve">, &amp; </w:t>
      </w:r>
      <w:r w:rsidRPr="00EE13A9">
        <w:rPr>
          <w:rFonts w:ascii="Sakkal Majalla" w:hAnsi="Sakkal Majalla" w:cs="Sakkal Majalla"/>
          <w:color w:val="000000" w:themeColor="text1"/>
          <w:sz w:val="28"/>
          <w:szCs w:val="28"/>
        </w:rPr>
        <w:t>Dalton, 2007</w:t>
      </w:r>
      <w:r w:rsidRPr="00EE13A9">
        <w:rPr>
          <w:rFonts w:ascii="Sakkal Majalla" w:hAnsi="Sakkal Majalla" w:cs="Sakkal Majalla"/>
          <w:color w:val="000000" w:themeColor="text1"/>
          <w:sz w:val="28"/>
          <w:szCs w:val="28"/>
          <w:rtl/>
        </w:rPr>
        <w:t>) أن الهياكل التنظيمية الصارمة واعتماد الهيكل العمودي قد تؤثر سلبًا على التفاعل الداخلي بين فرق العمل، مما يحد من قدرتها على التعاون والتكيف مع متطلبات التغيير المستمرة.</w:t>
      </w:r>
    </w:p>
    <w:p w14:paraId="020D4E0A"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بناءً على ما سبق، يتضح أن بناء الإطار التنظيمي للحوكمة المؤسسية، رغم فوائده المهمة في توفير الشفافية والمساءلة، قد ينطوي على تحديات تتعلق بالمرونة والابتكار والتفاعل التنظيمي (</w:t>
      </w:r>
      <w:r w:rsidRPr="00EE13A9">
        <w:rPr>
          <w:rFonts w:ascii="Sakkal Majalla" w:hAnsi="Sakkal Majalla" w:cs="Sakkal Majalla"/>
          <w:color w:val="000000" w:themeColor="text1"/>
          <w:sz w:val="28"/>
          <w:szCs w:val="28"/>
        </w:rPr>
        <w:t>Jensen, 1993</w:t>
      </w:r>
      <w:r w:rsidRPr="00EE13A9">
        <w:rPr>
          <w:rFonts w:ascii="Sakkal Majalla" w:hAnsi="Sakkal Majalla" w:cs="Sakkal Majalla"/>
          <w:color w:val="000000" w:themeColor="text1"/>
          <w:sz w:val="28"/>
          <w:szCs w:val="28"/>
          <w:rtl/>
        </w:rPr>
        <w:t>). ومن هنا، يرى بعض الباحثين أهمية إجراء دراسات وتقييمات مستمرة (</w:t>
      </w:r>
      <w:r w:rsidRPr="00EE13A9">
        <w:rPr>
          <w:rFonts w:ascii="Sakkal Majalla" w:hAnsi="Sakkal Majalla" w:cs="Sakkal Majalla"/>
          <w:color w:val="000000" w:themeColor="text1"/>
          <w:sz w:val="28"/>
          <w:szCs w:val="28"/>
        </w:rPr>
        <w:t>Aguilera</w:t>
      </w:r>
      <w:r w:rsidRPr="00EE13A9">
        <w:rPr>
          <w:rFonts w:ascii="Sakkal Majalla" w:hAnsi="Sakkal Majalla" w:cs="Sakkal Majalla"/>
          <w:color w:val="000000" w:themeColor="text1"/>
          <w:sz w:val="28"/>
          <w:szCs w:val="28"/>
          <w:rtl/>
        </w:rPr>
        <w:t xml:space="preserve"> &amp; </w:t>
      </w:r>
      <w:r w:rsidRPr="00EE13A9">
        <w:rPr>
          <w:rFonts w:ascii="Sakkal Majalla" w:hAnsi="Sakkal Majalla" w:cs="Sakkal Majalla"/>
          <w:color w:val="000000" w:themeColor="text1"/>
          <w:sz w:val="28"/>
          <w:szCs w:val="28"/>
        </w:rPr>
        <w:t>Jackson, 2010</w:t>
      </w:r>
      <w:r w:rsidRPr="00EE13A9">
        <w:rPr>
          <w:rFonts w:ascii="Sakkal Majalla" w:hAnsi="Sakkal Majalla" w:cs="Sakkal Majalla"/>
          <w:color w:val="000000" w:themeColor="text1"/>
          <w:sz w:val="28"/>
          <w:szCs w:val="28"/>
          <w:rtl/>
        </w:rPr>
        <w:t>) لضمان توافق هذا الإطار مع الأهداف العامة للمنظمة وملاءمته لمتغيرات بيئة العمل الديناميكية.</w:t>
      </w:r>
    </w:p>
    <w:p w14:paraId="53777EB1"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وعلى الرغم من ذلك، لابد من وجود إطار تنظيمي تبرز أهمية تبني آليات الحوكمة المؤسسية الحديثة كأداة فعّالة لتعزيز قدرة المنظمات على التكيّف والابتكار وتحقيق التميز في أدائها التشغيلي والاستراتيجي.</w:t>
      </w:r>
    </w:p>
    <w:p w14:paraId="2A443AD3"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الحوكمة المؤسسية متى ما كانت متينة وجيدة تعتبر أداة أساسية يمكن من خلالها تحسين الكفاءة التشغيلية، وتعزيز القدرة الاستراتيجية، وضمان استدامة النمو في بيئة أعمال ديناميكية ومتغيرة (</w:t>
      </w:r>
      <w:proofErr w:type="spellStart"/>
      <w:r w:rsidRPr="00EE13A9">
        <w:rPr>
          <w:rFonts w:ascii="Sakkal Majalla" w:hAnsi="Sakkal Majalla" w:cs="Sakkal Majalla"/>
          <w:color w:val="000000" w:themeColor="text1"/>
          <w:sz w:val="28"/>
          <w:szCs w:val="28"/>
        </w:rPr>
        <w:t>Affes</w:t>
      </w:r>
      <w:proofErr w:type="spellEnd"/>
      <w:r w:rsidRPr="00EE13A9">
        <w:rPr>
          <w:rFonts w:ascii="Sakkal Majalla" w:hAnsi="Sakkal Majalla" w:cs="Sakkal Majalla"/>
          <w:color w:val="000000" w:themeColor="text1"/>
          <w:sz w:val="28"/>
          <w:szCs w:val="28"/>
        </w:rPr>
        <w:t xml:space="preserve">, </w:t>
      </w:r>
      <w:proofErr w:type="spellStart"/>
      <w:r w:rsidRPr="00EE13A9">
        <w:rPr>
          <w:rFonts w:ascii="Sakkal Majalla" w:hAnsi="Sakkal Majalla" w:cs="Sakkal Majalla"/>
          <w:color w:val="000000" w:themeColor="text1"/>
          <w:sz w:val="28"/>
          <w:szCs w:val="28"/>
        </w:rPr>
        <w:t>Jarboui</w:t>
      </w:r>
      <w:proofErr w:type="spellEnd"/>
      <w:r w:rsidRPr="00EE13A9">
        <w:rPr>
          <w:rFonts w:ascii="Sakkal Majalla" w:hAnsi="Sakkal Majalla" w:cs="Sakkal Majalla"/>
          <w:color w:val="000000" w:themeColor="text1"/>
          <w:sz w:val="28"/>
          <w:szCs w:val="28"/>
          <w:rtl/>
        </w:rPr>
        <w:t xml:space="preserve">, &amp; </w:t>
      </w:r>
      <w:r w:rsidRPr="00EE13A9">
        <w:rPr>
          <w:rFonts w:ascii="Sakkal Majalla" w:hAnsi="Sakkal Majalla" w:cs="Sakkal Majalla"/>
          <w:color w:val="000000" w:themeColor="text1"/>
          <w:sz w:val="28"/>
          <w:szCs w:val="28"/>
        </w:rPr>
        <w:t>Khlifi, 2023</w:t>
      </w:r>
      <w:r w:rsidRPr="00EE13A9">
        <w:rPr>
          <w:rFonts w:ascii="Sakkal Majalla" w:hAnsi="Sakkal Majalla" w:cs="Sakkal Majalla"/>
          <w:color w:val="000000" w:themeColor="text1"/>
          <w:sz w:val="28"/>
          <w:szCs w:val="28"/>
          <w:rtl/>
        </w:rPr>
        <w:t>). حيث توفر إطار تنظيمي يساعد المنظمات على تحديد سياسات واضحة، وآليات رقابة فعالة، وأنظمة مساءلة، وهو ما يعزز من الشفافية في اتخاذ القرارات ويقلل من المخاطر المرتبطة بالأداء المؤسسي (</w:t>
      </w:r>
      <w:proofErr w:type="spellStart"/>
      <w:r w:rsidRPr="00EE13A9">
        <w:rPr>
          <w:rFonts w:ascii="Sakkal Majalla" w:hAnsi="Sakkal Majalla" w:cs="Sakkal Majalla"/>
          <w:color w:val="000000" w:themeColor="text1"/>
          <w:sz w:val="28"/>
          <w:szCs w:val="28"/>
        </w:rPr>
        <w:t>Boshnak</w:t>
      </w:r>
      <w:proofErr w:type="spellEnd"/>
      <w:r w:rsidRPr="00EE13A9">
        <w:rPr>
          <w:rFonts w:ascii="Sakkal Majalla" w:hAnsi="Sakkal Majalla" w:cs="Sakkal Majalla"/>
          <w:color w:val="000000" w:themeColor="text1"/>
          <w:sz w:val="28"/>
          <w:szCs w:val="28"/>
        </w:rPr>
        <w:t>, 2023</w:t>
      </w:r>
      <w:r w:rsidRPr="00EE13A9">
        <w:rPr>
          <w:rFonts w:ascii="Sakkal Majalla" w:hAnsi="Sakkal Majalla" w:cs="Sakkal Majalla"/>
          <w:color w:val="000000" w:themeColor="text1"/>
          <w:sz w:val="28"/>
          <w:szCs w:val="28"/>
          <w:rtl/>
        </w:rPr>
        <w:t>).</w:t>
      </w:r>
    </w:p>
    <w:p w14:paraId="16917810"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تعتبر الحوكمة المؤسسية من المفاهيم الإدارية التي تركز على كيفية تنظيم المؤسسات لضمان اتخاذ قرارات استراتيجية فعالة وشفافة. من خلال إطار الحوكمة المؤسسية، يتم تحديد السياسات التنظيمية وآليات الرقابة لضمان تحقيق الأهداف المؤسسية بشكل يتماشى مع القيم والمبادئ الأخلاقية. الحوكمة المؤسسية تدعم المنظمات في تحسين إدارتها للموارد البشرية، المالية، والتشغيلية، وهو ما ينعكس بشكل إيجابي على استدامة أداء المنظمة (</w:t>
      </w:r>
      <w:proofErr w:type="spellStart"/>
      <w:r w:rsidRPr="00EE13A9">
        <w:rPr>
          <w:rFonts w:ascii="Sakkal Majalla" w:hAnsi="Sakkal Majalla" w:cs="Sakkal Majalla"/>
          <w:color w:val="000000" w:themeColor="text1"/>
          <w:sz w:val="28"/>
          <w:szCs w:val="28"/>
        </w:rPr>
        <w:t>Habbash</w:t>
      </w:r>
      <w:proofErr w:type="spellEnd"/>
      <w:r w:rsidRPr="00EE13A9">
        <w:rPr>
          <w:rFonts w:ascii="Sakkal Majalla" w:hAnsi="Sakkal Majalla" w:cs="Sakkal Majalla"/>
          <w:color w:val="000000" w:themeColor="text1"/>
          <w:sz w:val="28"/>
          <w:szCs w:val="28"/>
        </w:rPr>
        <w:t>, 2016</w:t>
      </w:r>
      <w:r w:rsidRPr="00EE13A9">
        <w:rPr>
          <w:rFonts w:ascii="Sakkal Majalla" w:hAnsi="Sakkal Majalla" w:cs="Sakkal Majalla"/>
          <w:color w:val="000000" w:themeColor="text1"/>
          <w:sz w:val="28"/>
          <w:szCs w:val="28"/>
          <w:rtl/>
        </w:rPr>
        <w:t>).</w:t>
      </w:r>
    </w:p>
    <w:p w14:paraId="65B7B542"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lastRenderedPageBreak/>
        <w:t>من جهة أخرى، يمكن أن يساهم ضعف أو غياب الحوكمة المؤسسية في زيادة المخاطر المؤسسية، مثل الفساد وضعف مساءلة الأداء والذي يشكل تهديدًا كبيرًا للمنظمات في تحقيق أهدافها الاستراتيجية والتشغيلية. لذلك، يعد تعزيز الحوكمة المؤسسية خطوة أساسية نحو تحسين الأداء المؤسسي وضمان تحقيق التميز على المدى الطويل (</w:t>
      </w:r>
      <w:r w:rsidRPr="00EE13A9">
        <w:rPr>
          <w:rFonts w:ascii="Sakkal Majalla" w:hAnsi="Sakkal Majalla" w:cs="Sakkal Majalla"/>
          <w:color w:val="000000" w:themeColor="text1"/>
          <w:sz w:val="28"/>
          <w:szCs w:val="28"/>
        </w:rPr>
        <w:t xml:space="preserve">Van </w:t>
      </w:r>
      <w:proofErr w:type="spellStart"/>
      <w:r w:rsidRPr="00EE13A9">
        <w:rPr>
          <w:rFonts w:ascii="Sakkal Majalla" w:hAnsi="Sakkal Majalla" w:cs="Sakkal Majalla"/>
          <w:color w:val="000000" w:themeColor="text1"/>
          <w:sz w:val="28"/>
          <w:szCs w:val="28"/>
        </w:rPr>
        <w:t>Greuning</w:t>
      </w:r>
      <w:proofErr w:type="spellEnd"/>
      <w:r w:rsidRPr="00EE13A9">
        <w:rPr>
          <w:rFonts w:ascii="Sakkal Majalla" w:hAnsi="Sakkal Majalla" w:cs="Sakkal Majalla"/>
          <w:color w:val="000000" w:themeColor="text1"/>
          <w:sz w:val="28"/>
          <w:szCs w:val="28"/>
          <w:rtl/>
        </w:rPr>
        <w:t xml:space="preserve"> &amp; </w:t>
      </w:r>
      <w:proofErr w:type="spellStart"/>
      <w:r w:rsidRPr="00EE13A9">
        <w:rPr>
          <w:rFonts w:ascii="Sakkal Majalla" w:hAnsi="Sakkal Majalla" w:cs="Sakkal Majalla"/>
          <w:color w:val="000000" w:themeColor="text1"/>
          <w:sz w:val="28"/>
          <w:szCs w:val="28"/>
        </w:rPr>
        <w:t>Bratanovic</w:t>
      </w:r>
      <w:proofErr w:type="spellEnd"/>
      <w:r w:rsidRPr="00EE13A9">
        <w:rPr>
          <w:rFonts w:ascii="Sakkal Majalla" w:hAnsi="Sakkal Majalla" w:cs="Sakkal Majalla"/>
          <w:color w:val="000000" w:themeColor="text1"/>
          <w:sz w:val="28"/>
          <w:szCs w:val="28"/>
        </w:rPr>
        <w:t>, 2020</w:t>
      </w:r>
      <w:r w:rsidRPr="00EE13A9">
        <w:rPr>
          <w:rFonts w:ascii="Sakkal Majalla" w:hAnsi="Sakkal Majalla" w:cs="Sakkal Majalla"/>
          <w:color w:val="000000" w:themeColor="text1"/>
          <w:sz w:val="28"/>
          <w:szCs w:val="28"/>
          <w:rtl/>
        </w:rPr>
        <w:t>).</w:t>
      </w:r>
    </w:p>
    <w:p w14:paraId="53B18EB3"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يُعد التميّز التشغيلي أحد الركائز الأساسية لتحقيق الكفاءة العالية داخل المؤسسات، حيث يشير إلى القدرة على تحسين كفاءة العمليات الداخلية بشكل منهجي ومستدام. ويتضمن ذلك العمل على رفع جودة المنتجات والخدمات، تقليل التكاليف التشغيلية، وتحسين الإنتاجية، مع الحرص على توظيف الموارد المتاحة بأفضل صورة ممكنة. يعتمد التميز التشغيلي بشكل كبير على تبنّي استراتيجيات فعّالة في إدارة العمليات والابتكار التنظيمي، مما يساهم في خلق بيئة عمل مرنة وقادرة على الاستجابة للتغيرات السريعة في السوق (</w:t>
      </w:r>
      <w:r w:rsidRPr="00EE13A9">
        <w:rPr>
          <w:rFonts w:ascii="Sakkal Majalla" w:hAnsi="Sakkal Majalla" w:cs="Sakkal Majalla"/>
          <w:color w:val="000000" w:themeColor="text1"/>
          <w:sz w:val="28"/>
          <w:szCs w:val="28"/>
        </w:rPr>
        <w:t xml:space="preserve">Found, </w:t>
      </w:r>
      <w:proofErr w:type="spellStart"/>
      <w:r w:rsidRPr="00EE13A9">
        <w:rPr>
          <w:rFonts w:ascii="Sakkal Majalla" w:hAnsi="Sakkal Majalla" w:cs="Sakkal Majalla"/>
          <w:color w:val="000000" w:themeColor="text1"/>
          <w:sz w:val="28"/>
          <w:szCs w:val="28"/>
        </w:rPr>
        <w:t>Lahy</w:t>
      </w:r>
      <w:proofErr w:type="spellEnd"/>
      <w:r w:rsidRPr="00EE13A9">
        <w:rPr>
          <w:rFonts w:ascii="Sakkal Majalla" w:hAnsi="Sakkal Majalla" w:cs="Sakkal Majalla"/>
          <w:color w:val="000000" w:themeColor="text1"/>
          <w:sz w:val="28"/>
          <w:szCs w:val="28"/>
        </w:rPr>
        <w:t>, Williams</w:t>
      </w:r>
      <w:r w:rsidRPr="00EE13A9">
        <w:rPr>
          <w:rFonts w:ascii="Sakkal Majalla" w:hAnsi="Sakkal Majalla" w:cs="Sakkal Majalla"/>
          <w:color w:val="000000" w:themeColor="text1"/>
          <w:sz w:val="28"/>
          <w:szCs w:val="28"/>
          <w:rtl/>
        </w:rPr>
        <w:t xml:space="preserve">, &amp; </w:t>
      </w:r>
      <w:r w:rsidRPr="00EE13A9">
        <w:rPr>
          <w:rFonts w:ascii="Sakkal Majalla" w:hAnsi="Sakkal Majalla" w:cs="Sakkal Majalla"/>
          <w:color w:val="000000" w:themeColor="text1"/>
          <w:sz w:val="28"/>
          <w:szCs w:val="28"/>
        </w:rPr>
        <w:t>Hu, 2018</w:t>
      </w:r>
      <w:r w:rsidRPr="00EE13A9">
        <w:rPr>
          <w:rFonts w:ascii="Sakkal Majalla" w:hAnsi="Sakkal Majalla" w:cs="Sakkal Majalla"/>
          <w:color w:val="000000" w:themeColor="text1"/>
          <w:sz w:val="28"/>
          <w:szCs w:val="28"/>
          <w:rtl/>
        </w:rPr>
        <w:t>).</w:t>
      </w:r>
    </w:p>
    <w:p w14:paraId="5DBC4E2E"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هذا النوع من التميز لا يتحقق في فراغ، بل يحتاج إلى حوكمة مؤسسية رشيدة تضمن وجود أنظمة رقابية وتنظيمية تدعم الشفافية والمساءلة واتخاذ القرارات المستندة إلى البيانات. فكما أشار (</w:t>
      </w:r>
      <w:r w:rsidRPr="00EE13A9">
        <w:rPr>
          <w:rFonts w:ascii="Sakkal Majalla" w:hAnsi="Sakkal Majalla" w:cs="Sakkal Majalla"/>
          <w:color w:val="000000" w:themeColor="text1"/>
          <w:sz w:val="28"/>
          <w:szCs w:val="28"/>
        </w:rPr>
        <w:t>Fung, 2014</w:t>
      </w:r>
      <w:r w:rsidRPr="00EE13A9">
        <w:rPr>
          <w:rFonts w:ascii="Sakkal Majalla" w:hAnsi="Sakkal Majalla" w:cs="Sakkal Majalla"/>
          <w:color w:val="000000" w:themeColor="text1"/>
          <w:sz w:val="28"/>
          <w:szCs w:val="28"/>
          <w:rtl/>
        </w:rPr>
        <w:t>)، فإن ممارسات الحوكمة الجيدة تسهم في ترسيخ ثقافة التحسين المستمر داخل المؤسسة، وتساعد في ضبط العمليات وضمان الامتثال للمعايير والمعايير المهنية، مما يعزز الأداء التشغيلي بشكل عام.</w:t>
      </w:r>
    </w:p>
    <w:p w14:paraId="1C101CCB"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ومن ناحية أخرى، يُعد التميّز الاستراتيجي بمثابة الرؤية بعيدة المدى التي تمكّن المؤسسة من التفوق في بيئة تنافسية متغيرة. يشير هذا المفهوم إلى قدرة المؤسسة على صياغة وتطبيق استراتيجيات ناجحة تهدف إلى التوسع والنمو، تطوير المنتجات والخدمات، واكتساب ميزة تنافسية مستدامة. يُركز التميز الاستراتيجي على خلق قيمة فريدة للعملاء واستشراف فرص المستقبل، بما في ذلك الدخول إلى أسواق جديدة أو استهداف شرائح جديدة من المستهلكين (</w:t>
      </w:r>
      <w:proofErr w:type="spellStart"/>
      <w:r w:rsidRPr="00EE13A9">
        <w:rPr>
          <w:rFonts w:ascii="Sakkal Majalla" w:hAnsi="Sakkal Majalla" w:cs="Sakkal Majalla"/>
          <w:color w:val="000000" w:themeColor="text1"/>
          <w:sz w:val="28"/>
          <w:szCs w:val="28"/>
        </w:rPr>
        <w:t>Ozbiltekin</w:t>
      </w:r>
      <w:proofErr w:type="spellEnd"/>
      <w:r w:rsidRPr="00EE13A9">
        <w:rPr>
          <w:rFonts w:ascii="Sakkal Majalla" w:hAnsi="Sakkal Majalla" w:cs="Sakkal Majalla"/>
          <w:color w:val="000000" w:themeColor="text1"/>
          <w:sz w:val="28"/>
          <w:szCs w:val="28"/>
        </w:rPr>
        <w:t xml:space="preserve">-Pala, </w:t>
      </w:r>
      <w:proofErr w:type="spellStart"/>
      <w:r w:rsidRPr="00EE13A9">
        <w:rPr>
          <w:rFonts w:ascii="Sakkal Majalla" w:hAnsi="Sakkal Majalla" w:cs="Sakkal Majalla"/>
          <w:color w:val="000000" w:themeColor="text1"/>
          <w:sz w:val="28"/>
          <w:szCs w:val="28"/>
        </w:rPr>
        <w:t>Kazancoglu</w:t>
      </w:r>
      <w:proofErr w:type="spellEnd"/>
      <w:r w:rsidRPr="00EE13A9">
        <w:rPr>
          <w:rFonts w:ascii="Sakkal Majalla" w:hAnsi="Sakkal Majalla" w:cs="Sakkal Majalla"/>
          <w:color w:val="000000" w:themeColor="text1"/>
          <w:sz w:val="28"/>
          <w:szCs w:val="28"/>
          <w:rtl/>
        </w:rPr>
        <w:t xml:space="preserve">, &amp; </w:t>
      </w:r>
      <w:r w:rsidRPr="00EE13A9">
        <w:rPr>
          <w:rFonts w:ascii="Sakkal Majalla" w:hAnsi="Sakkal Majalla" w:cs="Sakkal Majalla"/>
          <w:color w:val="000000" w:themeColor="text1"/>
          <w:sz w:val="28"/>
          <w:szCs w:val="28"/>
        </w:rPr>
        <w:t>Kumar, 2024</w:t>
      </w:r>
      <w:r w:rsidRPr="00EE13A9">
        <w:rPr>
          <w:rFonts w:ascii="Sakkal Majalla" w:hAnsi="Sakkal Majalla" w:cs="Sakkal Majalla"/>
          <w:color w:val="000000" w:themeColor="text1"/>
          <w:sz w:val="28"/>
          <w:szCs w:val="28"/>
          <w:rtl/>
        </w:rPr>
        <w:t>).</w:t>
      </w:r>
    </w:p>
    <w:p w14:paraId="312D68AB"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كما يُعد وجود حوكمة مؤسسية قوية عاملاً حاسمًا في تحقيق هذا النوع من التميز، حيث توفّر الحوكمة إطارًا مؤسسيًا متينًا لاتخاذ قرارات استراتيجية مدروسة ومبنية على أسس تحليلية سليمة. ووفقًا لما بيّنه (</w:t>
      </w:r>
      <w:r w:rsidRPr="00EE13A9">
        <w:rPr>
          <w:rFonts w:ascii="Sakkal Majalla" w:hAnsi="Sakkal Majalla" w:cs="Sakkal Majalla"/>
          <w:color w:val="000000" w:themeColor="text1"/>
          <w:sz w:val="28"/>
          <w:szCs w:val="28"/>
        </w:rPr>
        <w:t>Al-Faryan, 2020</w:t>
      </w:r>
      <w:r w:rsidRPr="00EE13A9">
        <w:rPr>
          <w:rFonts w:ascii="Sakkal Majalla" w:hAnsi="Sakkal Majalla" w:cs="Sakkal Majalla"/>
          <w:color w:val="000000" w:themeColor="text1"/>
          <w:sz w:val="28"/>
          <w:szCs w:val="28"/>
          <w:rtl/>
        </w:rPr>
        <w:t>)، فإن المؤسسات التي تعاني من ضعف في أنظمة الحوكمة قد تجد صعوبة في صياغة رؤى استراتيجية فعّالة أو تنفيذها على أرض الواقع، وهو ما قد يعيق نموها ويضعف قدرتها التنافسية على المدى الطويل.</w:t>
      </w:r>
    </w:p>
    <w:p w14:paraId="3615488E"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وفي السياق ذاته، يربط (</w:t>
      </w:r>
      <w:r w:rsidRPr="00EE13A9">
        <w:rPr>
          <w:rFonts w:ascii="Sakkal Majalla" w:hAnsi="Sakkal Majalla" w:cs="Sakkal Majalla"/>
          <w:color w:val="000000" w:themeColor="text1"/>
          <w:sz w:val="28"/>
          <w:szCs w:val="28"/>
        </w:rPr>
        <w:t>Nicholson</w:t>
      </w:r>
      <w:r w:rsidRPr="00EE13A9">
        <w:rPr>
          <w:rFonts w:ascii="Sakkal Majalla" w:hAnsi="Sakkal Majalla" w:cs="Sakkal Majalla"/>
          <w:color w:val="000000" w:themeColor="text1"/>
          <w:sz w:val="28"/>
          <w:szCs w:val="28"/>
          <w:rtl/>
        </w:rPr>
        <w:t xml:space="preserve"> &amp; </w:t>
      </w:r>
      <w:r w:rsidRPr="00EE13A9">
        <w:rPr>
          <w:rFonts w:ascii="Sakkal Majalla" w:hAnsi="Sakkal Majalla" w:cs="Sakkal Majalla"/>
          <w:color w:val="000000" w:themeColor="text1"/>
          <w:sz w:val="28"/>
          <w:szCs w:val="28"/>
        </w:rPr>
        <w:t>Kiel, 2004</w:t>
      </w:r>
      <w:r w:rsidRPr="00EE13A9">
        <w:rPr>
          <w:rFonts w:ascii="Sakkal Majalla" w:hAnsi="Sakkal Majalla" w:cs="Sakkal Majalla"/>
          <w:color w:val="000000" w:themeColor="text1"/>
          <w:sz w:val="28"/>
          <w:szCs w:val="28"/>
          <w:rtl/>
        </w:rPr>
        <w:t>) بين ممارسات الحوكمة المحسّنة والارتقاء بالأداء التشغيلي، مؤكدًا أن وجود هيكل إداري منظم، وعمليات مراجعة داخلية فعالة، وآليات واضحة لاتخاذ القرار، كلها تسهم في تعزيز كفاءة العمليات وتقليل المخاطر التشغيلية. كما أن التكامل بين التميز التشغيلي والاستراتيجي من خلال إطار حوكمة فعّال يتيح للمؤسسة تحقيق التوازن بين الأداء الفوري وتحقيق الأهداف طويلة الأجل، مما يجعلها أكثر قدرة على التكيف مع التحديات وتحقيق التنمية المستدامة.</w:t>
      </w:r>
    </w:p>
    <w:p w14:paraId="698D40A8"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lastRenderedPageBreak/>
        <w:t>وعليه، فإن الحوكمة المؤسسية تشكل العمود الفقري لكل من التميز التشغيلي والاستراتيجي، حيث تُمكّن المؤسسات من تحويل الرؤية إلى واقع ملموس، وتضمن في الوقت ذاته الاتساق والامتثال والشفافية في جميع العمليات. المؤسسات التي تسعى إلى تحقيق ميزة تنافسية حقيقية ومستدامة لا بد أن تستثمر في بناء أنظمة حوكمة قوية ترتكز على القيم المؤسسية، وتُدار بكفاءة واحترافية في كل من الجوانب التشغيلية والاستراتيجية (</w:t>
      </w:r>
      <w:r w:rsidRPr="00EE13A9">
        <w:rPr>
          <w:rFonts w:ascii="Sakkal Majalla" w:hAnsi="Sakkal Majalla" w:cs="Sakkal Majalla"/>
          <w:color w:val="000000" w:themeColor="text1"/>
          <w:sz w:val="28"/>
          <w:szCs w:val="28"/>
        </w:rPr>
        <w:t>Ringrose, 2013</w:t>
      </w:r>
      <w:r w:rsidRPr="00EE13A9">
        <w:rPr>
          <w:rFonts w:ascii="Sakkal Majalla" w:hAnsi="Sakkal Majalla" w:cs="Sakkal Majalla"/>
          <w:color w:val="000000" w:themeColor="text1"/>
          <w:sz w:val="28"/>
          <w:szCs w:val="28"/>
          <w:rtl/>
        </w:rPr>
        <w:t>).</w:t>
      </w:r>
    </w:p>
    <w:p w14:paraId="6AF65B66"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يهدف هذا البحث إلى دراسة العلاقة بين متانة الحوكمة المؤسسية وتحقيق التميز التشغيلي والاستراتيجي في المنظمات السعودية. فبينما تساهم الحوكمة المؤسسية في تحسين العمليات التشغيلية وتعزيز الشفافية، فإن غياب أو ضعف الحوكمة قد يؤثر سلبًا على الأداء المؤسسي ويعيق الوصول إلى الأهداف الاستراتيجية (</w:t>
      </w:r>
      <w:proofErr w:type="spellStart"/>
      <w:r w:rsidRPr="00EE13A9">
        <w:rPr>
          <w:rFonts w:ascii="Sakkal Majalla" w:hAnsi="Sakkal Majalla" w:cs="Sakkal Majalla"/>
          <w:color w:val="000000" w:themeColor="text1"/>
          <w:sz w:val="28"/>
          <w:szCs w:val="28"/>
        </w:rPr>
        <w:t>Bamahros</w:t>
      </w:r>
      <w:proofErr w:type="spellEnd"/>
      <w:r w:rsidRPr="00EE13A9">
        <w:rPr>
          <w:rFonts w:ascii="Sakkal Majalla" w:hAnsi="Sakkal Majalla" w:cs="Sakkal Majalla"/>
          <w:color w:val="000000" w:themeColor="text1"/>
          <w:sz w:val="28"/>
          <w:szCs w:val="28"/>
        </w:rPr>
        <w:t xml:space="preserve"> et al., 2022</w:t>
      </w:r>
      <w:r w:rsidRPr="00EE13A9">
        <w:rPr>
          <w:rFonts w:ascii="Sakkal Majalla" w:hAnsi="Sakkal Majalla" w:cs="Sakkal Majalla"/>
          <w:color w:val="000000" w:themeColor="text1"/>
          <w:sz w:val="28"/>
          <w:szCs w:val="28"/>
          <w:rtl/>
        </w:rPr>
        <w:t>). في ضوء ذلك، يركز البحث على استكشاف كيفية تأثير الحوكمة المؤسسية على تحسين الأداء التشغيلي والقدرة التنافسية للمنظمات، وأيضًا على تحقيق الأهداف الاستراتيجية على المدى الطويل.</w:t>
      </w:r>
    </w:p>
    <w:p w14:paraId="0F41475F" w14:textId="77777777" w:rsidR="00EE13A9" w:rsidRPr="00F32CCC"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12C5CD69" w14:textId="77777777" w:rsidR="00F32CCC" w:rsidRDefault="00F32CCC" w:rsidP="00F32CCC">
      <w:pPr>
        <w:bidi/>
        <w:spacing w:after="200" w:line="276" w:lineRule="auto"/>
        <w:ind w:right="-567"/>
        <w:jc w:val="both"/>
        <w:rPr>
          <w:rFonts w:ascii="Sakkal Majalla" w:hAnsi="Sakkal Majalla" w:cs="Sakkal Majalla"/>
          <w:b/>
          <w:bCs/>
          <w:color w:val="000000" w:themeColor="text1"/>
          <w:sz w:val="28"/>
          <w:szCs w:val="28"/>
          <w:rtl/>
        </w:rPr>
      </w:pPr>
    </w:p>
    <w:p w14:paraId="0746AACF"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مشكلة الدرا</w:t>
      </w:r>
      <w:r w:rsidRPr="00EE13A9">
        <w:rPr>
          <w:rFonts w:ascii="Sakkal Majalla" w:hAnsi="Sakkal Majalla" w:cs="Sakkal Majalla" w:hint="cs"/>
          <w:b/>
          <w:bCs/>
          <w:color w:val="000000" w:themeColor="text1"/>
          <w:sz w:val="28"/>
          <w:szCs w:val="28"/>
          <w:rtl/>
        </w:rPr>
        <w:t>سة وأسئلتها الرئيسية</w:t>
      </w:r>
      <w:r w:rsidRPr="00EE13A9">
        <w:rPr>
          <w:rFonts w:ascii="Sakkal Majalla" w:hAnsi="Sakkal Majalla" w:cs="Sakkal Majalla"/>
          <w:b/>
          <w:bCs/>
          <w:color w:val="000000" w:themeColor="text1"/>
          <w:sz w:val="28"/>
          <w:szCs w:val="28"/>
        </w:rPr>
        <w:t>:</w:t>
      </w:r>
    </w:p>
    <w:p w14:paraId="3D13828B"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 xml:space="preserve">        تواجه المنظمات في المملكة العربية السعودية تحديات كبيرة نتيجة للتغيرات الاقتصادية والإدارية المتسارعة في مختلف القطاعات. هذه التغيرات تضع ضغطًا على المنظمات للتكيف بسرعة مع المتطلبات الجديدة، سواء من حيث استمرارية الأعمال أو تعزيز الكفاءة التشغيلية أو ضمان الجودة المستدامة في بيئة ديناميكية. واحدة من أبرز المشكلات التي تواجهها هذه المنظمات هي ضعف أو غياب الحوكمة المؤسسية، مما يؤثر بشكل مباشر على الأداء المؤسسي وقدرة المنظمات على تحقيق أهدافها الاستراتيجية</w:t>
      </w:r>
      <w:r w:rsidRPr="00EE13A9">
        <w:rPr>
          <w:rFonts w:ascii="Sakkal Majalla" w:hAnsi="Sakkal Majalla" w:cs="Sakkal Majalla"/>
          <w:b/>
          <w:bCs/>
          <w:color w:val="000000" w:themeColor="text1"/>
          <w:sz w:val="28"/>
          <w:szCs w:val="28"/>
        </w:rPr>
        <w:t>.</w:t>
      </w:r>
    </w:p>
    <w:p w14:paraId="3083E2F1"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tl/>
        </w:rPr>
        <w:t>تتمثل هذه المشكلة في عدد من القضايا التي تعاني منها المنظمات السعودية، والتي يمكن أن تُحل بشكل فعال من خلال تطبيق ممارسات الحوكمة المؤسسية. تشمل هذه المشكلات</w:t>
      </w:r>
      <w:r w:rsidRPr="00EE13A9">
        <w:rPr>
          <w:rFonts w:ascii="Sakkal Majalla" w:hAnsi="Sakkal Majalla" w:cs="Sakkal Majalla"/>
          <w:b/>
          <w:bCs/>
          <w:color w:val="000000" w:themeColor="text1"/>
          <w:sz w:val="28"/>
          <w:szCs w:val="28"/>
        </w:rPr>
        <w:t>:</w:t>
      </w:r>
    </w:p>
    <w:p w14:paraId="4EA6063A" w14:textId="77777777" w:rsidR="00EE13A9" w:rsidRPr="00EE13A9" w:rsidRDefault="00EE13A9" w:rsidP="00EE13A9">
      <w:pPr>
        <w:numPr>
          <w:ilvl w:val="0"/>
          <w:numId w:val="1"/>
        </w:num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غياب الرؤية الاستراتيجية أو ضعفها</w:t>
      </w: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 xml:space="preserve">في بعض المنظمات، هناك غياب أو ضعف في الرؤية الاستراتيجية، مما يؤدي إلى صعوبة في تحقيق الأهداف المؤسسية في إطار زمني محدد. الحوكمة المؤسسية توفر الإطار الذي يساعد المنظمات على وضع وتوجيه استراتيجيات واضحة قابلة </w:t>
      </w:r>
      <w:proofErr w:type="gramStart"/>
      <w:r w:rsidRPr="00EE13A9">
        <w:rPr>
          <w:rFonts w:ascii="Sakkal Majalla" w:hAnsi="Sakkal Majalla" w:cs="Sakkal Majalla"/>
          <w:b/>
          <w:bCs/>
          <w:color w:val="000000" w:themeColor="text1"/>
          <w:sz w:val="28"/>
          <w:szCs w:val="28"/>
          <w:rtl/>
        </w:rPr>
        <w:t xml:space="preserve">للتنفيذ </w:t>
      </w:r>
      <w:r w:rsidRPr="00EE13A9">
        <w:rPr>
          <w:rFonts w:ascii="Sakkal Majalla" w:hAnsi="Sakkal Majalla" w:cs="Sakkal Majalla"/>
          <w:b/>
          <w:bCs/>
          <w:color w:val="000000" w:themeColor="text1"/>
          <w:sz w:val="28"/>
          <w:szCs w:val="28"/>
        </w:rPr>
        <w:t xml:space="preserve"> (</w:t>
      </w:r>
      <w:proofErr w:type="gramEnd"/>
      <w:r w:rsidRPr="00EE13A9">
        <w:rPr>
          <w:rFonts w:ascii="Sakkal Majalla" w:hAnsi="Sakkal Majalla" w:cs="Sakkal Majalla"/>
          <w:b/>
          <w:bCs/>
          <w:color w:val="000000" w:themeColor="text1"/>
          <w:sz w:val="28"/>
          <w:szCs w:val="28"/>
        </w:rPr>
        <w:t>Al-Saudi, 2021</w:t>
      </w:r>
      <w:proofErr w:type="gramStart"/>
      <w:r w:rsidRPr="00EE13A9">
        <w:rPr>
          <w:rFonts w:ascii="Sakkal Majalla" w:hAnsi="Sakkal Majalla" w:cs="Sakkal Majalla"/>
          <w:b/>
          <w:bCs/>
          <w:color w:val="000000" w:themeColor="text1"/>
          <w:sz w:val="28"/>
          <w:szCs w:val="28"/>
        </w:rPr>
        <w:t>)</w:t>
      </w:r>
      <w:r w:rsidRPr="00EE13A9">
        <w:rPr>
          <w:rFonts w:ascii="Sakkal Majalla" w:hAnsi="Sakkal Majalla" w:cs="Sakkal Majalla"/>
          <w:b/>
          <w:bCs/>
          <w:color w:val="000000" w:themeColor="text1"/>
          <w:sz w:val="28"/>
          <w:szCs w:val="28"/>
          <w:rtl/>
        </w:rPr>
        <w:t xml:space="preserve"> .</w:t>
      </w:r>
      <w:proofErr w:type="gramEnd"/>
    </w:p>
    <w:p w14:paraId="5249AE45" w14:textId="77777777" w:rsidR="00EE13A9" w:rsidRPr="00EE13A9" w:rsidRDefault="00EE13A9" w:rsidP="00EE13A9">
      <w:pPr>
        <w:numPr>
          <w:ilvl w:val="0"/>
          <w:numId w:val="1"/>
        </w:num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lastRenderedPageBreak/>
        <w:t>ضعف الشفافية في اتخاذ القرارات</w:t>
      </w: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العديد من المنظمات تعاني من غياب الشفافية في عمليات اتخاذ القرارات، مما يخلق بيئة من عدم الثقة بين الإدارات المختلفة والموظفين. وهذا يضعف فاعلية القرارات الاستراتيجية ويؤثر سلبًا على الأداء العام</w:t>
      </w:r>
      <w:r w:rsidRPr="00EE13A9">
        <w:rPr>
          <w:rFonts w:ascii="Sakkal Majalla" w:hAnsi="Sakkal Majalla" w:cs="Sakkal Majalla"/>
          <w:b/>
          <w:bCs/>
          <w:color w:val="000000" w:themeColor="text1"/>
          <w:sz w:val="28"/>
          <w:szCs w:val="28"/>
        </w:rPr>
        <w:t xml:space="preserve"> (Al-Zahrani, 2021).</w:t>
      </w:r>
    </w:p>
    <w:p w14:paraId="6FAF66AE" w14:textId="77777777" w:rsidR="00EE13A9" w:rsidRPr="00EE13A9" w:rsidRDefault="00EE13A9" w:rsidP="00EE13A9">
      <w:pPr>
        <w:numPr>
          <w:ilvl w:val="0"/>
          <w:numId w:val="1"/>
        </w:num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انعدام المساءلة</w:t>
      </w: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 xml:space="preserve">يشكل غياب المساءلة أحد أبرز المعوقات التي تعرقل تحسين الأداء المؤسسي. في كثير من الحالات، يفتقر الموظفون إلى الوضوح حول مسؤولياتهم، ما يؤدي إلى ضعف في تنفيذ القرارات وتنفيذ المهام بشكل غير فعال </w:t>
      </w:r>
      <w:r w:rsidRPr="00EE13A9">
        <w:rPr>
          <w:rFonts w:ascii="Sakkal Majalla" w:hAnsi="Sakkal Majalla" w:cs="Sakkal Majalla"/>
          <w:b/>
          <w:bCs/>
          <w:color w:val="000000" w:themeColor="text1"/>
          <w:sz w:val="28"/>
          <w:szCs w:val="28"/>
        </w:rPr>
        <w:t>(Al-Fahd, 2020)</w:t>
      </w:r>
      <w:r w:rsidRPr="00EE13A9">
        <w:rPr>
          <w:rFonts w:ascii="Sakkal Majalla" w:hAnsi="Sakkal Majalla" w:cs="Sakkal Majalla"/>
          <w:b/>
          <w:bCs/>
          <w:color w:val="000000" w:themeColor="text1"/>
          <w:sz w:val="28"/>
          <w:szCs w:val="28"/>
          <w:rtl/>
        </w:rPr>
        <w:t>.</w:t>
      </w:r>
    </w:p>
    <w:p w14:paraId="37030458" w14:textId="77777777" w:rsidR="00EE13A9" w:rsidRPr="00EE13A9" w:rsidRDefault="00EE13A9" w:rsidP="00EE13A9">
      <w:pPr>
        <w:numPr>
          <w:ilvl w:val="0"/>
          <w:numId w:val="1"/>
        </w:num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ضعف الرقابة الداخلية</w:t>
      </w: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تعاني بعض المنظمات من ضعف في الأنظمة الرقابية الداخلية، ما يزيد من تعرضها للمخاطر المالية والإدارية. تعتبر الحوكمة المؤسسية أحد الأدوات الحيوية لتعزيز الرقابة الداخلية وضمان الالتزام بالسياسات والإجراءات</w:t>
      </w:r>
      <w:r w:rsidRPr="00EE13A9">
        <w:rPr>
          <w:rFonts w:ascii="Sakkal Majalla" w:hAnsi="Sakkal Majalla" w:cs="Sakkal Majalla"/>
          <w:b/>
          <w:bCs/>
          <w:color w:val="000000" w:themeColor="text1"/>
          <w:sz w:val="28"/>
          <w:szCs w:val="28"/>
        </w:rPr>
        <w:t xml:space="preserve"> (Al-</w:t>
      </w:r>
      <w:proofErr w:type="spellStart"/>
      <w:r w:rsidRPr="00EE13A9">
        <w:rPr>
          <w:rFonts w:ascii="Sakkal Majalla" w:hAnsi="Sakkal Majalla" w:cs="Sakkal Majalla"/>
          <w:b/>
          <w:bCs/>
          <w:color w:val="000000" w:themeColor="text1"/>
          <w:sz w:val="28"/>
          <w:szCs w:val="28"/>
        </w:rPr>
        <w:t>Qathani</w:t>
      </w:r>
      <w:proofErr w:type="spellEnd"/>
      <w:r w:rsidRPr="00EE13A9">
        <w:rPr>
          <w:rFonts w:ascii="Sakkal Majalla" w:hAnsi="Sakkal Majalla" w:cs="Sakkal Majalla"/>
          <w:b/>
          <w:bCs/>
          <w:color w:val="000000" w:themeColor="text1"/>
          <w:sz w:val="28"/>
          <w:szCs w:val="28"/>
        </w:rPr>
        <w:t>, 2022).</w:t>
      </w:r>
    </w:p>
    <w:p w14:paraId="09CA6370" w14:textId="77777777" w:rsidR="00EE13A9" w:rsidRPr="00EE13A9" w:rsidRDefault="00EE13A9" w:rsidP="00EE13A9">
      <w:pPr>
        <w:numPr>
          <w:ilvl w:val="0"/>
          <w:numId w:val="1"/>
        </w:num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عدم وضوح السياسات والإجراءات</w:t>
      </w: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تواجه بعض المنظمات مشاكل في غياب سياسات واضحة تحدد كيفية اتخاذ القرارات وتنفيذ العمليات. هذا يؤدي إلى تباين في تنفيذ المهام بين الأقسام المختلفة، مما يؤثر على الكفاءة العامة</w:t>
      </w:r>
      <w:r w:rsidRPr="00EE13A9">
        <w:rPr>
          <w:rFonts w:ascii="Sakkal Majalla" w:hAnsi="Sakkal Majalla" w:cs="Sakkal Majalla"/>
          <w:b/>
          <w:bCs/>
          <w:color w:val="000000" w:themeColor="text1"/>
          <w:sz w:val="28"/>
          <w:szCs w:val="28"/>
        </w:rPr>
        <w:t xml:space="preserve"> (Al-Sharif, 2020).</w:t>
      </w:r>
    </w:p>
    <w:p w14:paraId="34556D65" w14:textId="77777777" w:rsidR="00EE13A9" w:rsidRPr="00EE13A9" w:rsidRDefault="00EE13A9" w:rsidP="00EE13A9">
      <w:pPr>
        <w:numPr>
          <w:ilvl w:val="0"/>
          <w:numId w:val="1"/>
        </w:num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ضعف التنسيق بين الأقسام والإدارات</w:t>
      </w: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غياب التنسيق الفعّال بين الأقسام المختلفة يخلق بيئة من العمل المنعزل، مما يعيق تقدم الأهداف الاستراتيجية. الحوكمة المؤسسية تساهم في تعزيز التنسيق من خلال وضوح الأدوار والمسؤوليات بين الأقسام المختلفة</w:t>
      </w:r>
      <w:r w:rsidRPr="00EE13A9">
        <w:rPr>
          <w:rFonts w:ascii="Sakkal Majalla" w:hAnsi="Sakkal Majalla" w:cs="Sakkal Majalla"/>
          <w:b/>
          <w:bCs/>
          <w:color w:val="000000" w:themeColor="text1"/>
          <w:sz w:val="28"/>
          <w:szCs w:val="28"/>
        </w:rPr>
        <w:t xml:space="preserve"> (Al-Otaibi, 2021)</w:t>
      </w:r>
      <w:r w:rsidRPr="00EE13A9">
        <w:rPr>
          <w:rFonts w:ascii="Sakkal Majalla" w:hAnsi="Sakkal Majalla" w:cs="Sakkal Majalla"/>
          <w:b/>
          <w:bCs/>
          <w:color w:val="000000" w:themeColor="text1"/>
          <w:sz w:val="28"/>
          <w:szCs w:val="28"/>
          <w:rtl/>
        </w:rPr>
        <w:t>.</w:t>
      </w:r>
    </w:p>
    <w:p w14:paraId="4C528DE3" w14:textId="77777777" w:rsidR="00EE13A9" w:rsidRPr="00EE13A9" w:rsidRDefault="00EE13A9" w:rsidP="00EE13A9">
      <w:pPr>
        <w:numPr>
          <w:ilvl w:val="0"/>
          <w:numId w:val="1"/>
        </w:num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المخاطر القانونية والامتثالية</w:t>
      </w: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بعض المنظمات تواجه صعوبة في الامتثال للمعايير القانونية والتنظيمية، ما يعرضها لمخاطر قانونية قد تؤثر على سمعتها وأدائها. يمكن للحوكمة المؤسسية أن تسهم في ضمان الالتزام بالقوانين المحلية والدولية، مما يقلل من هذه المخاطر</w:t>
      </w:r>
      <w:r w:rsidRPr="00EE13A9">
        <w:rPr>
          <w:rFonts w:ascii="Sakkal Majalla" w:hAnsi="Sakkal Majalla" w:cs="Sakkal Majalla"/>
          <w:b/>
          <w:bCs/>
          <w:color w:val="000000" w:themeColor="text1"/>
          <w:sz w:val="28"/>
          <w:szCs w:val="28"/>
        </w:rPr>
        <w:t xml:space="preserve"> (Al-Tawil, 2019)</w:t>
      </w:r>
      <w:r w:rsidRPr="00EE13A9">
        <w:rPr>
          <w:rFonts w:ascii="Sakkal Majalla" w:hAnsi="Sakkal Majalla" w:cs="Sakkal Majalla"/>
          <w:b/>
          <w:bCs/>
          <w:color w:val="000000" w:themeColor="text1"/>
          <w:sz w:val="28"/>
          <w:szCs w:val="28"/>
          <w:rtl/>
        </w:rPr>
        <w:t>.</w:t>
      </w:r>
    </w:p>
    <w:p w14:paraId="161A2146" w14:textId="77777777" w:rsidR="00EE13A9" w:rsidRPr="00EE13A9" w:rsidRDefault="00EE13A9" w:rsidP="00EE13A9">
      <w:pPr>
        <w:numPr>
          <w:ilvl w:val="0"/>
          <w:numId w:val="1"/>
        </w:num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ضعف القدرة على التكيف مع التغيرات الاقتصادية</w:t>
      </w: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في بيئة اقتصادية سريعة التغير، قد تواجه المنظمات صعوبة في التكيف مع المستجدات والتحديات الاقتصادية. الحوكمة المؤسسية توفر الآليات التي تساعد المنظمات على التكيف بسرعة مع المتغيرات وتحقيق استدامة النمو</w:t>
      </w:r>
      <w:r w:rsidRPr="00EE13A9">
        <w:rPr>
          <w:rFonts w:ascii="Sakkal Majalla" w:hAnsi="Sakkal Majalla" w:cs="Sakkal Majalla"/>
          <w:b/>
          <w:bCs/>
          <w:color w:val="000000" w:themeColor="text1"/>
          <w:sz w:val="28"/>
          <w:szCs w:val="28"/>
        </w:rPr>
        <w:t xml:space="preserve"> (Al-Fahd, 2020)</w:t>
      </w:r>
      <w:r w:rsidRPr="00EE13A9">
        <w:rPr>
          <w:rFonts w:ascii="Sakkal Majalla" w:hAnsi="Sakkal Majalla" w:cs="Sakkal Majalla"/>
          <w:b/>
          <w:bCs/>
          <w:color w:val="000000" w:themeColor="text1"/>
          <w:sz w:val="28"/>
          <w:szCs w:val="28"/>
          <w:rtl/>
        </w:rPr>
        <w:t>.</w:t>
      </w:r>
    </w:p>
    <w:p w14:paraId="037B2BD0"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تتداخل هذه المشكلات مع بعضها البعض وتؤثر على قدرة المنظمات على تحقيق التميز المؤسسي في ظل بيئة عمل سريعة التغير. ومن هنا، تظهر الحاجة الملحة لتطبيق ممارسات الحوكمة المؤسسية بشكل يضمن تحسين الأداء المؤسسي وزيادة القدرة التنافسية في السوق المحلي والعالمي</w:t>
      </w:r>
      <w:r w:rsidRPr="00EE13A9">
        <w:rPr>
          <w:rFonts w:ascii="Sakkal Majalla" w:hAnsi="Sakkal Majalla" w:cs="Sakkal Majalla"/>
          <w:b/>
          <w:bCs/>
          <w:color w:val="000000" w:themeColor="text1"/>
          <w:sz w:val="28"/>
          <w:szCs w:val="28"/>
        </w:rPr>
        <w:t>.</w:t>
      </w:r>
    </w:p>
    <w:p w14:paraId="274C7293"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lastRenderedPageBreak/>
        <w:t>أسئلة الدراسة</w:t>
      </w:r>
      <w:r w:rsidRPr="00EE13A9">
        <w:rPr>
          <w:rFonts w:ascii="Sakkal Majalla" w:hAnsi="Sakkal Majalla" w:cs="Sakkal Majalla"/>
          <w:b/>
          <w:bCs/>
          <w:color w:val="000000" w:themeColor="text1"/>
          <w:sz w:val="28"/>
          <w:szCs w:val="28"/>
        </w:rPr>
        <w:t>:</w:t>
      </w:r>
    </w:p>
    <w:p w14:paraId="3AD44B18" w14:textId="77777777" w:rsidR="00EE13A9" w:rsidRPr="00EE13A9" w:rsidRDefault="00EE13A9" w:rsidP="00EE13A9">
      <w:pPr>
        <w:numPr>
          <w:ilvl w:val="0"/>
          <w:numId w:val="1"/>
        </w:num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هل تؤثر الحوكمة المؤسسية على التميز الاستراتيجي؟</w:t>
      </w:r>
    </w:p>
    <w:p w14:paraId="7D519B73" w14:textId="77777777" w:rsidR="00EE13A9" w:rsidRPr="00EE13A9" w:rsidRDefault="00EE13A9" w:rsidP="00EE13A9">
      <w:pPr>
        <w:numPr>
          <w:ilvl w:val="0"/>
          <w:numId w:val="1"/>
        </w:num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هل تؤثر الحوكمة المؤسسية على التميز التشغيلي؟</w:t>
      </w:r>
    </w:p>
    <w:p w14:paraId="3EC592C6"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u w:val="single"/>
          <w:rtl/>
        </w:rPr>
      </w:pPr>
      <w:r w:rsidRPr="00EE13A9">
        <w:rPr>
          <w:rFonts w:ascii="Sakkal Majalla" w:hAnsi="Sakkal Majalla" w:cs="Sakkal Majalla"/>
          <w:b/>
          <w:bCs/>
          <w:color w:val="000000" w:themeColor="text1"/>
          <w:sz w:val="28"/>
          <w:szCs w:val="28"/>
          <w:u w:val="single"/>
          <w:rtl/>
        </w:rPr>
        <w:t>أهمية الدراسة (النظرية والتطبيقية):</w:t>
      </w:r>
    </w:p>
    <w:p w14:paraId="5B6CDF72"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الأهمية النظرية:</w:t>
      </w:r>
    </w:p>
    <w:p w14:paraId="7E09DF52" w14:textId="77777777" w:rsidR="00742379" w:rsidRPr="00742379" w:rsidRDefault="00742379" w:rsidP="00742379">
      <w:pPr>
        <w:bidi/>
        <w:spacing w:after="200" w:line="276" w:lineRule="auto"/>
        <w:ind w:right="-567"/>
        <w:jc w:val="both"/>
        <w:rPr>
          <w:rFonts w:ascii="Sakkal Majalla" w:hAnsi="Sakkal Majalla" w:cs="Sakkal Majalla"/>
          <w:color w:val="000000" w:themeColor="text1"/>
          <w:sz w:val="28"/>
          <w:szCs w:val="28"/>
          <w:rtl/>
        </w:rPr>
      </w:pPr>
      <w:r w:rsidRPr="00742379">
        <w:rPr>
          <w:rFonts w:ascii="Sakkal Majalla" w:hAnsi="Sakkal Majalla" w:cs="Sakkal Majalla"/>
          <w:color w:val="000000" w:themeColor="text1"/>
          <w:sz w:val="28"/>
          <w:szCs w:val="28"/>
          <w:rtl/>
        </w:rPr>
        <w:t>تتمثل الأهمية النظرية لهذه الدراسة في تعزيز الفهم حول العلاقة بين الحوكمة المؤسسية والتميز بنوعيه التشغيلي والاستراتيجي في المنظمات السعودية. من خلال هذا البحث، يتم تسليط الضوء على كيفية تأثير ممارسات الحوكمة المؤسسية في تحسين الأداء المؤسسي، وهو ما يتماشى مع التوجهات الحديثة في الأدبيات الأكاديمية</w:t>
      </w:r>
      <w:r w:rsidRPr="00742379">
        <w:rPr>
          <w:rFonts w:ascii="Sakkal Majalla" w:hAnsi="Sakkal Majalla" w:cs="Sakkal Majalla"/>
          <w:color w:val="000000" w:themeColor="text1"/>
          <w:sz w:val="28"/>
          <w:szCs w:val="28"/>
        </w:rPr>
        <w:t>.</w:t>
      </w:r>
    </w:p>
    <w:p w14:paraId="366B919F" w14:textId="77777777" w:rsidR="00742379" w:rsidRPr="00742379" w:rsidRDefault="00742379" w:rsidP="00742379">
      <w:pPr>
        <w:bidi/>
        <w:spacing w:after="200" w:line="276" w:lineRule="auto"/>
        <w:ind w:right="-567"/>
        <w:jc w:val="both"/>
        <w:rPr>
          <w:rFonts w:ascii="Sakkal Majalla" w:hAnsi="Sakkal Majalla" w:cs="Sakkal Majalla"/>
          <w:color w:val="000000" w:themeColor="text1"/>
          <w:sz w:val="28"/>
          <w:szCs w:val="28"/>
        </w:rPr>
      </w:pPr>
      <w:r w:rsidRPr="00742379">
        <w:rPr>
          <w:rFonts w:ascii="Sakkal Majalla" w:hAnsi="Sakkal Majalla" w:cs="Sakkal Majalla"/>
          <w:b/>
          <w:bCs/>
          <w:color w:val="000000" w:themeColor="text1"/>
          <w:sz w:val="28"/>
          <w:szCs w:val="28"/>
          <w:rtl/>
        </w:rPr>
        <w:t xml:space="preserve">دراسة العلاقة بين التميز التشغيلي والحوكمة المؤسسية: </w:t>
      </w:r>
      <w:r w:rsidRPr="00742379">
        <w:rPr>
          <w:rFonts w:ascii="Sakkal Majalla" w:hAnsi="Sakkal Majalla" w:cs="Sakkal Majalla"/>
          <w:color w:val="000000" w:themeColor="text1"/>
          <w:sz w:val="28"/>
          <w:szCs w:val="28"/>
          <w:rtl/>
        </w:rPr>
        <w:t>العلاقة بين التميز التشغيلي والحوكمة المؤسسية هي محط التركيز في هذه الدراسة. يتم تحليل كيفية تأثير آليات الحوكمة، مثل فعالية مجلس الإدارة (</w:t>
      </w:r>
      <w:r w:rsidRPr="00742379">
        <w:rPr>
          <w:rFonts w:ascii="Sakkal Majalla" w:hAnsi="Sakkal Majalla" w:cs="Sakkal Majalla"/>
          <w:color w:val="000000" w:themeColor="text1"/>
          <w:sz w:val="28"/>
          <w:szCs w:val="28"/>
        </w:rPr>
        <w:t>Nicholson</w:t>
      </w:r>
      <w:r w:rsidRPr="00742379">
        <w:rPr>
          <w:rFonts w:ascii="Sakkal Majalla" w:hAnsi="Sakkal Majalla" w:cs="Sakkal Majalla"/>
          <w:color w:val="000000" w:themeColor="text1"/>
          <w:sz w:val="28"/>
          <w:szCs w:val="28"/>
          <w:rtl/>
        </w:rPr>
        <w:t xml:space="preserve"> &amp; </w:t>
      </w:r>
      <w:r w:rsidRPr="00742379">
        <w:rPr>
          <w:rFonts w:ascii="Sakkal Majalla" w:hAnsi="Sakkal Majalla" w:cs="Sakkal Majalla"/>
          <w:color w:val="000000" w:themeColor="text1"/>
          <w:sz w:val="28"/>
          <w:szCs w:val="28"/>
        </w:rPr>
        <w:t>Kiel, 2004</w:t>
      </w:r>
      <w:r w:rsidRPr="00742379">
        <w:rPr>
          <w:rFonts w:ascii="Sakkal Majalla" w:hAnsi="Sakkal Majalla" w:cs="Sakkal Majalla"/>
          <w:color w:val="000000" w:themeColor="text1"/>
          <w:sz w:val="28"/>
          <w:szCs w:val="28"/>
          <w:rtl/>
        </w:rPr>
        <w:t>) وإدارة المخاطر (</w:t>
      </w:r>
      <w:r w:rsidRPr="00742379">
        <w:rPr>
          <w:rFonts w:ascii="Sakkal Majalla" w:hAnsi="Sakkal Majalla" w:cs="Sakkal Majalla"/>
          <w:color w:val="000000" w:themeColor="text1"/>
          <w:sz w:val="28"/>
          <w:szCs w:val="28"/>
        </w:rPr>
        <w:t>Brown, Steen</w:t>
      </w:r>
      <w:r w:rsidRPr="00742379">
        <w:rPr>
          <w:rFonts w:ascii="Sakkal Majalla" w:hAnsi="Sakkal Majalla" w:cs="Sakkal Majalla"/>
          <w:color w:val="000000" w:themeColor="text1"/>
          <w:sz w:val="28"/>
          <w:szCs w:val="28"/>
          <w:rtl/>
        </w:rPr>
        <w:t xml:space="preserve">, &amp; </w:t>
      </w:r>
      <w:r w:rsidRPr="00742379">
        <w:rPr>
          <w:rFonts w:ascii="Sakkal Majalla" w:hAnsi="Sakkal Majalla" w:cs="Sakkal Majalla"/>
          <w:color w:val="000000" w:themeColor="text1"/>
          <w:sz w:val="28"/>
          <w:szCs w:val="28"/>
        </w:rPr>
        <w:t>Foreman, 2009</w:t>
      </w:r>
      <w:r w:rsidRPr="00742379">
        <w:rPr>
          <w:rFonts w:ascii="Sakkal Majalla" w:hAnsi="Sakkal Majalla" w:cs="Sakkal Majalla"/>
          <w:color w:val="000000" w:themeColor="text1"/>
          <w:sz w:val="28"/>
          <w:szCs w:val="28"/>
          <w:rtl/>
        </w:rPr>
        <w:t>)، على أبعاد التميز التشغيلي كالكفاءة، والجودة، والتحسين المستمر. من خلال هذه الأبعاد، يعزز التميز التشغيلي القدرة التنافسية للمنظمات، وبالتالي فإن هذه الدراسة تقدم إسهامًا جديدًا لفهم العلاقة التبادلية بين هذه المفاهيم الهامة، وتدعم فكرة أن الحوكمة الرشيدة هي الأساس الذي يُبنى عليه التميز التشغيلي المستدام (</w:t>
      </w:r>
      <w:r w:rsidRPr="00742379">
        <w:rPr>
          <w:rFonts w:ascii="Sakkal Majalla" w:hAnsi="Sakkal Majalla" w:cs="Sakkal Majalla"/>
          <w:color w:val="000000" w:themeColor="text1"/>
          <w:sz w:val="28"/>
          <w:szCs w:val="28"/>
        </w:rPr>
        <w:t xml:space="preserve">Found, </w:t>
      </w:r>
      <w:proofErr w:type="spellStart"/>
      <w:r w:rsidRPr="00742379">
        <w:rPr>
          <w:rFonts w:ascii="Sakkal Majalla" w:hAnsi="Sakkal Majalla" w:cs="Sakkal Majalla"/>
          <w:color w:val="000000" w:themeColor="text1"/>
          <w:sz w:val="28"/>
          <w:szCs w:val="28"/>
        </w:rPr>
        <w:t>Lahy</w:t>
      </w:r>
      <w:proofErr w:type="spellEnd"/>
      <w:r w:rsidRPr="00742379">
        <w:rPr>
          <w:rFonts w:ascii="Sakkal Majalla" w:hAnsi="Sakkal Majalla" w:cs="Sakkal Majalla"/>
          <w:color w:val="000000" w:themeColor="text1"/>
          <w:sz w:val="28"/>
          <w:szCs w:val="28"/>
        </w:rPr>
        <w:t>, Williams</w:t>
      </w:r>
      <w:r w:rsidRPr="00742379">
        <w:rPr>
          <w:rFonts w:ascii="Sakkal Majalla" w:hAnsi="Sakkal Majalla" w:cs="Sakkal Majalla"/>
          <w:color w:val="000000" w:themeColor="text1"/>
          <w:sz w:val="28"/>
          <w:szCs w:val="28"/>
          <w:rtl/>
        </w:rPr>
        <w:t xml:space="preserve">, &amp; </w:t>
      </w:r>
      <w:r w:rsidRPr="00742379">
        <w:rPr>
          <w:rFonts w:ascii="Sakkal Majalla" w:hAnsi="Sakkal Majalla" w:cs="Sakkal Majalla"/>
          <w:color w:val="000000" w:themeColor="text1"/>
          <w:sz w:val="28"/>
          <w:szCs w:val="28"/>
        </w:rPr>
        <w:t>Hu, 2018</w:t>
      </w:r>
      <w:r w:rsidRPr="00742379">
        <w:rPr>
          <w:rFonts w:ascii="Sakkal Majalla" w:hAnsi="Sakkal Majalla" w:cs="Sakkal Majalla"/>
          <w:color w:val="000000" w:themeColor="text1"/>
          <w:sz w:val="28"/>
          <w:szCs w:val="28"/>
          <w:rtl/>
        </w:rPr>
        <w:t>).</w:t>
      </w:r>
    </w:p>
    <w:p w14:paraId="57BE52E2" w14:textId="77777777" w:rsidR="00742379" w:rsidRPr="00742379" w:rsidRDefault="00742379" w:rsidP="00742379">
      <w:pPr>
        <w:bidi/>
        <w:spacing w:after="200" w:line="276" w:lineRule="auto"/>
        <w:ind w:right="-567"/>
        <w:jc w:val="both"/>
        <w:rPr>
          <w:rFonts w:ascii="Sakkal Majalla" w:hAnsi="Sakkal Majalla" w:cs="Sakkal Majalla"/>
          <w:color w:val="000000" w:themeColor="text1"/>
          <w:sz w:val="28"/>
          <w:szCs w:val="28"/>
          <w:rtl/>
        </w:rPr>
      </w:pPr>
      <w:r w:rsidRPr="00742379">
        <w:rPr>
          <w:rFonts w:ascii="Sakkal Majalla" w:hAnsi="Sakkal Majalla" w:cs="Sakkal Majalla"/>
          <w:b/>
          <w:bCs/>
          <w:color w:val="000000" w:themeColor="text1"/>
          <w:sz w:val="28"/>
          <w:szCs w:val="28"/>
          <w:rtl/>
        </w:rPr>
        <w:t xml:space="preserve">إثراء الأدبيات السعودية حول الحوكمة والتميز التشغيلي: </w:t>
      </w:r>
      <w:r w:rsidRPr="00742379">
        <w:rPr>
          <w:rFonts w:ascii="Sakkal Majalla" w:hAnsi="Sakkal Majalla" w:cs="Sakkal Majalla"/>
          <w:color w:val="000000" w:themeColor="text1"/>
          <w:sz w:val="28"/>
          <w:szCs w:val="28"/>
          <w:rtl/>
        </w:rPr>
        <w:t>تسلط هذه الدراسة الضوء على تأثير الحوكمة المؤسسية على التميز التشغيلي في المنظمات السعودية، وهو جانب لم يحظَ بالتركيز الكافي في الدراسات المحلية السابقة. ففي حين ركزت دراسات مثل (</w:t>
      </w:r>
      <w:proofErr w:type="spellStart"/>
      <w:r w:rsidRPr="00742379">
        <w:rPr>
          <w:rFonts w:ascii="Sakkal Majalla" w:hAnsi="Sakkal Majalla" w:cs="Sakkal Majalla"/>
          <w:color w:val="000000" w:themeColor="text1"/>
          <w:sz w:val="28"/>
          <w:szCs w:val="28"/>
        </w:rPr>
        <w:t>Boshnak</w:t>
      </w:r>
      <w:proofErr w:type="spellEnd"/>
      <w:r w:rsidRPr="00742379">
        <w:rPr>
          <w:rFonts w:ascii="Sakkal Majalla" w:hAnsi="Sakkal Majalla" w:cs="Sakkal Majalla"/>
          <w:color w:val="000000" w:themeColor="text1"/>
          <w:sz w:val="28"/>
          <w:szCs w:val="28"/>
        </w:rPr>
        <w:t>, 2023</w:t>
      </w:r>
      <w:r w:rsidRPr="00742379">
        <w:rPr>
          <w:rFonts w:ascii="Sakkal Majalla" w:hAnsi="Sakkal Majalla" w:cs="Sakkal Majalla"/>
          <w:color w:val="000000" w:themeColor="text1"/>
          <w:sz w:val="28"/>
          <w:szCs w:val="28"/>
          <w:rtl/>
        </w:rPr>
        <w:t>) و (</w:t>
      </w:r>
      <w:proofErr w:type="spellStart"/>
      <w:r w:rsidRPr="00742379">
        <w:rPr>
          <w:rFonts w:ascii="Sakkal Majalla" w:hAnsi="Sakkal Majalla" w:cs="Sakkal Majalla"/>
          <w:color w:val="000000" w:themeColor="text1"/>
          <w:sz w:val="28"/>
          <w:szCs w:val="28"/>
        </w:rPr>
        <w:t>Habbash</w:t>
      </w:r>
      <w:proofErr w:type="spellEnd"/>
      <w:r w:rsidRPr="00742379">
        <w:rPr>
          <w:rFonts w:ascii="Sakkal Majalla" w:hAnsi="Sakkal Majalla" w:cs="Sakkal Majalla"/>
          <w:color w:val="000000" w:themeColor="text1"/>
          <w:sz w:val="28"/>
          <w:szCs w:val="28"/>
        </w:rPr>
        <w:t>, 2016</w:t>
      </w:r>
      <w:r w:rsidRPr="00742379">
        <w:rPr>
          <w:rFonts w:ascii="Sakkal Majalla" w:hAnsi="Sakkal Majalla" w:cs="Sakkal Majalla"/>
          <w:color w:val="000000" w:themeColor="text1"/>
          <w:sz w:val="28"/>
          <w:szCs w:val="28"/>
          <w:rtl/>
        </w:rPr>
        <w:t>) على أثر الحوكمة على الأداء المالي والمسؤولية الاجتماعية في السعودية، تأتي هذه الدراسة لتسد فجوة معرفية من خلال ربط الحوكمة مباشرة بالتميز التشغيلي. وبذلك، تعزز من أهمية فهم هذه العلاقة في سياق المنظمات السعودية، مما يعكس الحاجة الماسة لدراسة تطبيقات الحوكمة في تعزيز الأداء المؤسسي داخل هذه المنظمات بشكل أكثر من أي وقت مضى.</w:t>
      </w:r>
    </w:p>
    <w:p w14:paraId="1FFDE907" w14:textId="77777777" w:rsid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040D57E9" w14:textId="77777777" w:rsidR="00742379" w:rsidRDefault="00742379" w:rsidP="00742379">
      <w:pPr>
        <w:bidi/>
        <w:spacing w:after="200" w:line="276" w:lineRule="auto"/>
        <w:ind w:right="-567"/>
        <w:jc w:val="both"/>
        <w:rPr>
          <w:rFonts w:ascii="Sakkal Majalla" w:hAnsi="Sakkal Majalla" w:cs="Sakkal Majalla"/>
          <w:b/>
          <w:bCs/>
          <w:color w:val="000000" w:themeColor="text1"/>
          <w:sz w:val="28"/>
          <w:szCs w:val="28"/>
          <w:rtl/>
        </w:rPr>
      </w:pPr>
    </w:p>
    <w:p w14:paraId="41CE1F20" w14:textId="77777777" w:rsidR="00742379" w:rsidRPr="00EE13A9" w:rsidRDefault="00742379" w:rsidP="00742379">
      <w:pPr>
        <w:bidi/>
        <w:spacing w:after="200" w:line="276" w:lineRule="auto"/>
        <w:ind w:right="-567"/>
        <w:jc w:val="both"/>
        <w:rPr>
          <w:rFonts w:ascii="Sakkal Majalla" w:hAnsi="Sakkal Majalla" w:cs="Sakkal Majalla"/>
          <w:b/>
          <w:bCs/>
          <w:color w:val="000000" w:themeColor="text1"/>
          <w:sz w:val="28"/>
          <w:szCs w:val="28"/>
          <w:rtl/>
        </w:rPr>
      </w:pPr>
    </w:p>
    <w:p w14:paraId="6AE16611"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lastRenderedPageBreak/>
        <w:t>الأهمية التطبيقية:</w:t>
      </w:r>
    </w:p>
    <w:p w14:paraId="641580AD"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 xml:space="preserve">دعم المنظمات السعودية في تحسين ممارسات الحوكمة: </w:t>
      </w:r>
      <w:r w:rsidRPr="00EE13A9">
        <w:rPr>
          <w:rFonts w:ascii="Sakkal Majalla" w:hAnsi="Sakkal Majalla" w:cs="Sakkal Majalla"/>
          <w:color w:val="000000" w:themeColor="text1"/>
          <w:sz w:val="28"/>
          <w:szCs w:val="28"/>
          <w:rtl/>
        </w:rPr>
        <w:t>تُعد هذه الدراسة مهمة من الناحية التطبيقية حيث توفر للمنظمات السعودية رؤى وأدوات يمكن أن تساعد في تحسين ممارسات الحوكمة المؤسسية. ففي إطار التغيرات المستمرة في بيئة الأعمال، توفر الحوكمة المؤسسية بنية تنظيمية تسهم في تعزيز الشفافية والمساءلة، وهو ما يعزز بدوره القدرة على تحسين الأداء المؤسسي عبر تحسين العمليات واتخاذ القرارات المؤسسية الرشيدة.</w:t>
      </w:r>
    </w:p>
    <w:p w14:paraId="27F65945"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 xml:space="preserve">تحقيق التميز التشغيلي عبر تحسين العمليات الداخلية: </w:t>
      </w:r>
      <w:r w:rsidRPr="00EE13A9">
        <w:rPr>
          <w:rFonts w:ascii="Sakkal Majalla" w:hAnsi="Sakkal Majalla" w:cs="Sakkal Majalla"/>
          <w:color w:val="000000" w:themeColor="text1"/>
          <w:sz w:val="28"/>
          <w:szCs w:val="28"/>
          <w:rtl/>
        </w:rPr>
        <w:t>من خلال هذه الدراسة، سيتمكن الباحثون وصناع القرار من استنباط أساليب عملية لتحسين العمليات التشغيلية في المنظمات السعودية. التميز التشغيلي يتطلب تحسين الكفاءة والجودة والتقليل من الهدر، وهي الأبعاد التي يمكن للحوكمة المؤسسية تحسينها من خلال تطبيق سياسات واضحة وضمان الامتثال للمعايير التنظيمية، مما يؤدي إلى زيادة القدرة التنافسية للمنظمات وتحقيق نتائج فعالة ومستدامة.</w:t>
      </w:r>
    </w:p>
    <w:p w14:paraId="09E891F3"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b/>
          <w:bCs/>
          <w:color w:val="000000" w:themeColor="text1"/>
          <w:sz w:val="28"/>
          <w:szCs w:val="28"/>
          <w:rtl/>
        </w:rPr>
        <w:t xml:space="preserve">تعزيز الابتكار والتحسين المستمر في الأداء المؤسسي: </w:t>
      </w:r>
      <w:r w:rsidRPr="00EE13A9">
        <w:rPr>
          <w:rFonts w:ascii="Sakkal Majalla" w:hAnsi="Sakkal Majalla" w:cs="Sakkal Majalla"/>
          <w:color w:val="000000" w:themeColor="text1"/>
          <w:sz w:val="28"/>
          <w:szCs w:val="28"/>
          <w:rtl/>
        </w:rPr>
        <w:t xml:space="preserve">تساهم هذه الدراسة أيضًا في تعزيز فهم كيف يمكن للحوكمة المؤسسية أن تدعم التحسين المستمر في العمليات التشغيلية عبر استخدام منهجيات مثل </w:t>
      </w:r>
      <w:r w:rsidRPr="00EE13A9">
        <w:rPr>
          <w:rFonts w:ascii="Sakkal Majalla" w:hAnsi="Sakkal Majalla" w:cs="Sakkal Majalla"/>
          <w:color w:val="000000" w:themeColor="text1"/>
          <w:sz w:val="28"/>
          <w:szCs w:val="28"/>
        </w:rPr>
        <w:t>Lean Manufacturing</w:t>
      </w:r>
      <w:r w:rsidRPr="00EE13A9">
        <w:rPr>
          <w:rFonts w:ascii="Sakkal Majalla" w:hAnsi="Sakkal Majalla" w:cs="Sakkal Majalla"/>
          <w:color w:val="000000" w:themeColor="text1"/>
          <w:sz w:val="28"/>
          <w:szCs w:val="28"/>
          <w:rtl/>
        </w:rPr>
        <w:t xml:space="preserve"> و</w:t>
      </w:r>
      <w:r w:rsidRPr="00EE13A9">
        <w:rPr>
          <w:rFonts w:ascii="Sakkal Majalla" w:hAnsi="Sakkal Majalla" w:cs="Sakkal Majalla"/>
          <w:color w:val="000000" w:themeColor="text1"/>
          <w:sz w:val="28"/>
          <w:szCs w:val="28"/>
        </w:rPr>
        <w:t>Six Sigma</w:t>
      </w:r>
      <w:r w:rsidRPr="00EE13A9">
        <w:rPr>
          <w:rFonts w:ascii="Sakkal Majalla" w:hAnsi="Sakkal Majalla" w:cs="Sakkal Majalla"/>
          <w:color w:val="000000" w:themeColor="text1"/>
          <w:sz w:val="28"/>
          <w:szCs w:val="28"/>
          <w:rtl/>
        </w:rPr>
        <w:t>. يتضح من خلال ذلك أن الحوكمة المؤسسية لا تقتصر على التنظيم الإداري فحسب، بل تمتد إلى تحسين العمليات التي تؤدي إلى أداء مؤسسي متميز.</w:t>
      </w:r>
    </w:p>
    <w:p w14:paraId="70A577E5" w14:textId="08AD0A00"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tl/>
        </w:rPr>
        <w:t xml:space="preserve">تحقيق الاستدامة في الأداء المؤسسي: </w:t>
      </w:r>
      <w:r w:rsidRPr="00EE13A9">
        <w:rPr>
          <w:rFonts w:ascii="Sakkal Majalla" w:hAnsi="Sakkal Majalla" w:cs="Sakkal Majalla"/>
          <w:color w:val="000000" w:themeColor="text1"/>
          <w:sz w:val="28"/>
          <w:szCs w:val="28"/>
          <w:rtl/>
        </w:rPr>
        <w:t>تسهم نتائج هذه الدراسة في تعزيز استدامة الأداء المؤسسي للمنظمات السعودية، إذ تُظهر أهمية تطبيق ممارسات الحوكمة المؤسسية التي تضمن استمرارية الأعمال في ظل التحديات البيئية والاقتصادية. تدعم هذه الممارسات قدرة المنظمات على التكيف مع التغيرات الطارئة وتحقيق أهدافها على المدى الطويل</w:t>
      </w:r>
    </w:p>
    <w:p w14:paraId="16F576BE"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u w:val="single"/>
          <w:rtl/>
        </w:rPr>
      </w:pPr>
      <w:r w:rsidRPr="00EE13A9">
        <w:rPr>
          <w:rFonts w:ascii="Sakkal Majalla" w:hAnsi="Sakkal Majalla" w:cs="Sakkal Majalla"/>
          <w:b/>
          <w:bCs/>
          <w:color w:val="000000" w:themeColor="text1"/>
          <w:sz w:val="28"/>
          <w:szCs w:val="28"/>
          <w:u w:val="single"/>
          <w:rtl/>
        </w:rPr>
        <w:t>أهداف الدراسة:</w:t>
      </w:r>
    </w:p>
    <w:p w14:paraId="61D915E3"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الهدف الرئيسي للدراسة</w:t>
      </w:r>
      <w:r w:rsidRPr="00EE13A9">
        <w:rPr>
          <w:rFonts w:ascii="Sakkal Majalla" w:hAnsi="Sakkal Majalla" w:cs="Sakkal Majalla"/>
          <w:b/>
          <w:bCs/>
          <w:color w:val="000000" w:themeColor="text1"/>
          <w:sz w:val="28"/>
          <w:szCs w:val="28"/>
        </w:rPr>
        <w:t>:</w:t>
      </w:r>
    </w:p>
    <w:p w14:paraId="60298E83"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Pr>
      </w:pPr>
      <w:r w:rsidRPr="00EE13A9">
        <w:rPr>
          <w:rFonts w:ascii="Sakkal Majalla" w:hAnsi="Sakkal Majalla" w:cs="Sakkal Majalla"/>
          <w:b/>
          <w:bCs/>
          <w:color w:val="000000" w:themeColor="text1"/>
          <w:sz w:val="28"/>
          <w:szCs w:val="28"/>
          <w:rtl/>
        </w:rPr>
        <w:t>تهدف هذه الدراسة إلى تحليل العلاقة بين الحوكمة المؤسسية وتحقيق كل من التميز التشغيلي والتميز الاستراتيجي من خلال قياس مدى تأثير مبادئ الحوكمة على التميز التشغيلي والاستراتيجي</w:t>
      </w:r>
      <w:r w:rsidRPr="00EE13A9">
        <w:rPr>
          <w:rFonts w:ascii="Sakkal Majalla" w:hAnsi="Sakkal Majalla" w:cs="Sakkal Majalla"/>
          <w:b/>
          <w:bCs/>
          <w:color w:val="000000" w:themeColor="text1"/>
          <w:sz w:val="28"/>
          <w:szCs w:val="28"/>
        </w:rPr>
        <w:t>.</w:t>
      </w:r>
    </w:p>
    <w:p w14:paraId="354D2AC1"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b/>
          <w:bCs/>
          <w:color w:val="000000" w:themeColor="text1"/>
          <w:sz w:val="28"/>
          <w:szCs w:val="28"/>
          <w:rtl/>
        </w:rPr>
        <w:t>الأهداف الفرعية</w:t>
      </w:r>
      <w:r w:rsidRPr="00EE13A9">
        <w:rPr>
          <w:rFonts w:ascii="Sakkal Majalla" w:hAnsi="Sakkal Majalla" w:cs="Sakkal Majalla"/>
          <w:b/>
          <w:bCs/>
          <w:color w:val="000000" w:themeColor="text1"/>
          <w:sz w:val="28"/>
          <w:szCs w:val="28"/>
        </w:rPr>
        <w:t>:</w:t>
      </w:r>
    </w:p>
    <w:p w14:paraId="6C6E0EEB" w14:textId="77777777" w:rsidR="00EE13A9" w:rsidRPr="00EE13A9" w:rsidRDefault="00EE13A9" w:rsidP="00EE13A9">
      <w:pPr>
        <w:numPr>
          <w:ilvl w:val="0"/>
          <w:numId w:val="3"/>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دراسة العلاقة بين الحوكمة المؤسسية والتميز التشغيلي</w:t>
      </w:r>
      <w:r w:rsidRPr="00EE13A9">
        <w:rPr>
          <w:rFonts w:ascii="Sakkal Majalla" w:hAnsi="Sakkal Majalla" w:cs="Sakkal Majalla"/>
          <w:color w:val="000000" w:themeColor="text1"/>
          <w:sz w:val="28"/>
          <w:szCs w:val="28"/>
        </w:rPr>
        <w:t>.</w:t>
      </w:r>
    </w:p>
    <w:p w14:paraId="76B8675B" w14:textId="0CE2E436" w:rsidR="00EE13A9" w:rsidRPr="00EE13A9" w:rsidRDefault="00EE13A9" w:rsidP="00742379">
      <w:pPr>
        <w:numPr>
          <w:ilvl w:val="0"/>
          <w:numId w:val="3"/>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دراسة العلاقة بين الحوكمة المؤسسية والتميز الاستراتيجي</w:t>
      </w:r>
      <w:r w:rsidRPr="00EE13A9">
        <w:rPr>
          <w:rFonts w:ascii="Sakkal Majalla" w:hAnsi="Sakkal Majalla" w:cs="Sakkal Majalla"/>
          <w:color w:val="000000" w:themeColor="text1"/>
          <w:sz w:val="28"/>
          <w:szCs w:val="28"/>
        </w:rPr>
        <w:t>.</w:t>
      </w:r>
    </w:p>
    <w:p w14:paraId="1B620619"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u w:val="single"/>
          <w:rtl/>
        </w:rPr>
      </w:pPr>
      <w:r w:rsidRPr="00EE13A9">
        <w:rPr>
          <w:rFonts w:ascii="Sakkal Majalla" w:hAnsi="Sakkal Majalla" w:cs="Sakkal Majalla"/>
          <w:b/>
          <w:bCs/>
          <w:color w:val="000000" w:themeColor="text1"/>
          <w:sz w:val="28"/>
          <w:szCs w:val="28"/>
          <w:u w:val="single"/>
          <w:rtl/>
        </w:rPr>
        <w:lastRenderedPageBreak/>
        <w:t>فرضيات الدراسة:</w:t>
      </w:r>
    </w:p>
    <w:p w14:paraId="1A90A043"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الفرضية الأولى</w:t>
      </w:r>
      <w:r w:rsidRPr="00EE13A9">
        <w:rPr>
          <w:rFonts w:ascii="Sakkal Majalla" w:hAnsi="Sakkal Majalla" w:cs="Sakkal Majalla"/>
          <w:b/>
          <w:bCs/>
          <w:color w:val="000000" w:themeColor="text1"/>
          <w:sz w:val="28"/>
          <w:szCs w:val="28"/>
        </w:rPr>
        <w:t>:</w:t>
      </w:r>
      <w:r w:rsidRPr="00EE13A9">
        <w:rPr>
          <w:rFonts w:ascii="Sakkal Majalla" w:hAnsi="Sakkal Majalla" w:cs="Sakkal Majalla"/>
          <w:b/>
          <w:bCs/>
          <w:color w:val="000000" w:themeColor="text1"/>
          <w:sz w:val="28"/>
          <w:szCs w:val="28"/>
          <w:rtl/>
        </w:rPr>
        <w:t xml:space="preserve"> </w:t>
      </w:r>
      <w:r w:rsidRPr="00EE13A9">
        <w:rPr>
          <w:rFonts w:ascii="Sakkal Majalla" w:hAnsi="Sakkal Majalla" w:cs="Sakkal Majalla"/>
          <w:color w:val="000000" w:themeColor="text1"/>
          <w:sz w:val="28"/>
          <w:szCs w:val="28"/>
          <w:rtl/>
        </w:rPr>
        <w:t>توجد علاقة ارتباط إيجابية بين الحوكمة المؤسسية والتميز التشغيلي</w:t>
      </w:r>
      <w:r w:rsidRPr="00EE13A9">
        <w:rPr>
          <w:rFonts w:ascii="Sakkal Majalla" w:hAnsi="Sakkal Majalla" w:cs="Sakkal Majalla"/>
          <w:color w:val="000000" w:themeColor="text1"/>
          <w:sz w:val="28"/>
          <w:szCs w:val="28"/>
        </w:rPr>
        <w:t>.</w:t>
      </w:r>
    </w:p>
    <w:p w14:paraId="3960E024"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b/>
          <w:bCs/>
          <w:color w:val="000000" w:themeColor="text1"/>
          <w:sz w:val="28"/>
          <w:szCs w:val="28"/>
          <w:rtl/>
        </w:rPr>
        <w:t>الفرضية الثانية</w:t>
      </w:r>
      <w:r w:rsidRPr="00EE13A9">
        <w:rPr>
          <w:rFonts w:ascii="Sakkal Majalla" w:hAnsi="Sakkal Majalla" w:cs="Sakkal Majalla"/>
          <w:b/>
          <w:bCs/>
          <w:color w:val="000000" w:themeColor="text1"/>
          <w:sz w:val="28"/>
          <w:szCs w:val="28"/>
        </w:rPr>
        <w:t>:</w:t>
      </w:r>
      <w:r w:rsidRPr="00EE13A9">
        <w:rPr>
          <w:rFonts w:ascii="Sakkal Majalla" w:hAnsi="Sakkal Majalla" w:cs="Sakkal Majalla"/>
          <w:b/>
          <w:bCs/>
          <w:color w:val="000000" w:themeColor="text1"/>
          <w:sz w:val="28"/>
          <w:szCs w:val="28"/>
          <w:rtl/>
        </w:rPr>
        <w:t xml:space="preserve"> </w:t>
      </w:r>
      <w:r w:rsidRPr="00EE13A9">
        <w:rPr>
          <w:rFonts w:ascii="Sakkal Majalla" w:hAnsi="Sakkal Majalla" w:cs="Sakkal Majalla"/>
          <w:color w:val="000000" w:themeColor="text1"/>
          <w:sz w:val="28"/>
          <w:szCs w:val="28"/>
          <w:rtl/>
        </w:rPr>
        <w:t>توجد علاقة ارتباط إيجابية ومعنوية بين الحوكمة المؤسسية والتميز الاستراتيجي.</w:t>
      </w:r>
    </w:p>
    <w:p w14:paraId="551BD595"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27DD8EF8"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u w:val="single"/>
          <w:rtl/>
        </w:rPr>
      </w:pPr>
      <w:r w:rsidRPr="00EE13A9">
        <w:rPr>
          <w:rFonts w:ascii="Sakkal Majalla" w:hAnsi="Sakkal Majalla" w:cs="Sakkal Majalla"/>
          <w:b/>
          <w:bCs/>
          <w:color w:val="000000" w:themeColor="text1"/>
          <w:sz w:val="28"/>
          <w:szCs w:val="28"/>
          <w:u w:val="single"/>
          <w:rtl/>
        </w:rPr>
        <w:t xml:space="preserve">مصطلحات الدراسة </w:t>
      </w:r>
    </w:p>
    <w:p w14:paraId="79C291C3"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الحوكمة</w:t>
      </w:r>
      <w:r w:rsidRPr="00EE13A9">
        <w:rPr>
          <w:rFonts w:ascii="Sakkal Majalla" w:hAnsi="Sakkal Majalla" w:cs="Sakkal Majalla"/>
          <w:color w:val="000000" w:themeColor="text1"/>
          <w:sz w:val="28"/>
          <w:szCs w:val="28"/>
        </w:rPr>
        <w:t xml:space="preserve"> (Governance): </w:t>
      </w:r>
      <w:r w:rsidRPr="00EE13A9">
        <w:rPr>
          <w:rFonts w:ascii="Sakkal Majalla" w:hAnsi="Sakkal Majalla" w:cs="Sakkal Majalla"/>
          <w:color w:val="000000" w:themeColor="text1"/>
          <w:sz w:val="28"/>
          <w:szCs w:val="28"/>
          <w:rtl/>
        </w:rPr>
        <w:t>تشير الحوكمة إلى مجموعة الإجراءات والسياسات الهيكلية التي تضعها المنظمة لضمان تحقيق الشفافية، المساءلة، والانضباط في اتخاذ القرارات. وتشمل تحديد الأدوار والمسؤوليات داخل الهيكل التنظيمي، تنظيم الرقابة الداخلية، والامتثال للأنظمة القانونية والمعايير الدولية، مما يعزز الثقة بين جميع الأطراف المعنية</w:t>
      </w:r>
      <w:r w:rsidRPr="00EE13A9">
        <w:rPr>
          <w:rFonts w:ascii="Sakkal Majalla" w:hAnsi="Sakkal Majalla" w:cs="Sakkal Majalla"/>
          <w:color w:val="000000" w:themeColor="text1"/>
          <w:sz w:val="28"/>
          <w:szCs w:val="28"/>
        </w:rPr>
        <w:t>.</w:t>
      </w:r>
    </w:p>
    <w:p w14:paraId="385EE598" w14:textId="19BF43EB"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Pr>
        <w:t xml:space="preserve">  </w:t>
      </w:r>
      <w:r w:rsidRPr="00EE13A9">
        <w:rPr>
          <w:rFonts w:ascii="Sakkal Majalla" w:hAnsi="Sakkal Majalla" w:cs="Sakkal Majalla"/>
          <w:color w:val="000000" w:themeColor="text1"/>
          <w:sz w:val="28"/>
          <w:szCs w:val="28"/>
          <w:rtl/>
        </w:rPr>
        <w:t>الالتزام</w:t>
      </w:r>
      <w:r w:rsidRPr="00EE13A9">
        <w:rPr>
          <w:rFonts w:ascii="Sakkal Majalla" w:hAnsi="Sakkal Majalla" w:cs="Sakkal Majalla"/>
          <w:color w:val="000000" w:themeColor="text1"/>
          <w:sz w:val="28"/>
          <w:szCs w:val="28"/>
        </w:rPr>
        <w:t xml:space="preserve"> (Compliance) </w:t>
      </w:r>
      <w:r w:rsidRPr="00EE13A9">
        <w:rPr>
          <w:rFonts w:ascii="Sakkal Majalla" w:hAnsi="Sakkal Majalla" w:cs="Sakkal Majalla"/>
          <w:color w:val="000000" w:themeColor="text1"/>
          <w:sz w:val="28"/>
          <w:szCs w:val="28"/>
          <w:rtl/>
        </w:rPr>
        <w:t>اتباع وتنفيذ الإجراءات والسياسات التي تضعها المنظمة. ويتطلب ذلك احترام المعايير الأخلاقية، التزام الموظفين بتوجيهات الحوكمة، والامتثال لأفضل الممارسات والقوانين المحلية والدولية لضمان التشغيل السليم للمنظمة</w:t>
      </w:r>
      <w:r w:rsidRPr="00EE13A9">
        <w:rPr>
          <w:rFonts w:ascii="Sakkal Majalla" w:hAnsi="Sakkal Majalla" w:cs="Sakkal Majalla"/>
          <w:color w:val="000000" w:themeColor="text1"/>
          <w:sz w:val="28"/>
          <w:szCs w:val="28"/>
        </w:rPr>
        <w:t>.</w:t>
      </w:r>
    </w:p>
    <w:p w14:paraId="2B9AC685" w14:textId="3FD44129"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متانة الحوكمة</w:t>
      </w:r>
      <w:r w:rsidRPr="00EE13A9">
        <w:rPr>
          <w:rFonts w:ascii="Sakkal Majalla" w:hAnsi="Sakkal Majalla" w:cs="Sakkal Majalla"/>
          <w:color w:val="000000" w:themeColor="text1"/>
          <w:sz w:val="28"/>
          <w:szCs w:val="28"/>
        </w:rPr>
        <w:t xml:space="preserve"> (Governance </w:t>
      </w:r>
      <w:proofErr w:type="gramStart"/>
      <w:r w:rsidRPr="00EE13A9">
        <w:rPr>
          <w:rFonts w:ascii="Sakkal Majalla" w:hAnsi="Sakkal Majalla" w:cs="Sakkal Majalla"/>
          <w:color w:val="000000" w:themeColor="text1"/>
          <w:sz w:val="28"/>
          <w:szCs w:val="28"/>
        </w:rPr>
        <w:t xml:space="preserve">Resilience) </w:t>
      </w:r>
      <w:r w:rsidRPr="00EE13A9">
        <w:rPr>
          <w:rFonts w:ascii="Sakkal Majalla" w:hAnsi="Sakkal Majalla" w:cs="Sakkal Majalla"/>
          <w:color w:val="000000" w:themeColor="text1"/>
          <w:sz w:val="28"/>
          <w:szCs w:val="28"/>
          <w:rtl/>
        </w:rPr>
        <w:t xml:space="preserve"> قدرة</w:t>
      </w:r>
      <w:proofErr w:type="gramEnd"/>
      <w:r w:rsidRPr="00EE13A9">
        <w:rPr>
          <w:rFonts w:ascii="Sakkal Majalla" w:hAnsi="Sakkal Majalla" w:cs="Sakkal Majalla"/>
          <w:color w:val="000000" w:themeColor="text1"/>
          <w:sz w:val="28"/>
          <w:szCs w:val="28"/>
          <w:rtl/>
        </w:rPr>
        <w:t xml:space="preserve"> النظام </w:t>
      </w:r>
      <w:r w:rsidR="00742379">
        <w:rPr>
          <w:rFonts w:ascii="Sakkal Majalla" w:hAnsi="Sakkal Majalla" w:cs="Sakkal Majalla" w:hint="cs"/>
          <w:color w:val="000000" w:themeColor="text1"/>
          <w:sz w:val="28"/>
          <w:szCs w:val="28"/>
          <w:rtl/>
        </w:rPr>
        <w:t>المؤسسي</w:t>
      </w:r>
      <w:r w:rsidRPr="00EE13A9">
        <w:rPr>
          <w:rFonts w:ascii="Sakkal Majalla" w:hAnsi="Sakkal Majalla" w:cs="Sakkal Majalla"/>
          <w:color w:val="000000" w:themeColor="text1"/>
          <w:sz w:val="28"/>
          <w:szCs w:val="28"/>
          <w:rtl/>
        </w:rPr>
        <w:t xml:space="preserve"> في المنظمة على الحفاظ على فعاليته وكفاءته في ظل التغيرات والمتغيرات الداخلية والخارجية. تعكس هذه المتانة استقرار النظام وإمكانية استمراره في تحقيق الأهداف التنظيمية على المدى الطويل، إضافة إلى قدرة النظام على التكيف مع التحديات الجديدة</w:t>
      </w:r>
      <w:r w:rsidRPr="00EE13A9">
        <w:rPr>
          <w:rFonts w:ascii="Sakkal Majalla" w:hAnsi="Sakkal Majalla" w:cs="Sakkal Majalla"/>
          <w:color w:val="000000" w:themeColor="text1"/>
          <w:sz w:val="28"/>
          <w:szCs w:val="28"/>
        </w:rPr>
        <w:t>.</w:t>
      </w:r>
    </w:p>
    <w:p w14:paraId="6BBEAF09" w14:textId="5E6A6336"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إطار قياس حوكمة المنظمة</w:t>
      </w:r>
      <w:r w:rsidRPr="00EE13A9">
        <w:rPr>
          <w:rFonts w:ascii="Sakkal Majalla" w:hAnsi="Sakkal Majalla" w:cs="Sakkal Majalla"/>
          <w:color w:val="000000" w:themeColor="text1"/>
          <w:sz w:val="28"/>
          <w:szCs w:val="28"/>
        </w:rPr>
        <w:t xml:space="preserve"> (Governance Measurement Framework) </w:t>
      </w:r>
      <w:r w:rsidRPr="00EE13A9">
        <w:rPr>
          <w:rFonts w:ascii="Sakkal Majalla" w:hAnsi="Sakkal Majalla" w:cs="Sakkal Majalla"/>
          <w:color w:val="000000" w:themeColor="text1"/>
          <w:sz w:val="28"/>
          <w:szCs w:val="28"/>
          <w:rtl/>
        </w:rPr>
        <w:t>هو مجموعة من الأدوات والمعايير التي تُستخدم لتقييم أداء الحوكمة داخل المنظمة. يشمل هذا الإطار مؤشرات محددة لقياس فعالية الشفافية، المساءلة، الالتزام بمعايير السلوك الأخلاقي، ونجاح الرقابة الداخلية، مما يساهم في ضمان تحقيق الأهداف الاستراتيجية بشكل منظم ومتسق</w:t>
      </w:r>
      <w:r w:rsidRPr="00EE13A9">
        <w:rPr>
          <w:rFonts w:ascii="Sakkal Majalla" w:hAnsi="Sakkal Majalla" w:cs="Sakkal Majalla"/>
          <w:color w:val="000000" w:themeColor="text1"/>
          <w:sz w:val="28"/>
          <w:szCs w:val="28"/>
        </w:rPr>
        <w:t>.</w:t>
      </w:r>
    </w:p>
    <w:p w14:paraId="0D4DDA7E" w14:textId="5ECC4B1C"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التميز الاستراتيجي</w:t>
      </w:r>
      <w:r w:rsidRPr="00EE13A9">
        <w:rPr>
          <w:rFonts w:ascii="Sakkal Majalla" w:hAnsi="Sakkal Majalla" w:cs="Sakkal Majalla"/>
          <w:color w:val="000000" w:themeColor="text1"/>
          <w:sz w:val="28"/>
          <w:szCs w:val="28"/>
        </w:rPr>
        <w:t xml:space="preserve"> (Strategic Excellence) </w:t>
      </w:r>
      <w:r w:rsidRPr="00EE13A9">
        <w:rPr>
          <w:rFonts w:ascii="Sakkal Majalla" w:hAnsi="Sakkal Majalla" w:cs="Sakkal Majalla"/>
          <w:color w:val="000000" w:themeColor="text1"/>
          <w:sz w:val="28"/>
          <w:szCs w:val="28"/>
          <w:rtl/>
        </w:rPr>
        <w:t>يشير التميز الاستراتيجي إلى قدرة المنظمة على تحقيق تفوق وتميز مستدام في مجالات أعمالها الرئيسية، من خلال تنفيذ استراتيجيات الممنهجة والمدروسة. يتطلب ذلك تقييم الفرص والتحديات البيئية، وابتكار حلول استراتيجية تساهم في تعزيز تنافسية المنظمة واستدامتها</w:t>
      </w:r>
      <w:r w:rsidRPr="00EE13A9">
        <w:rPr>
          <w:rFonts w:ascii="Sakkal Majalla" w:hAnsi="Sakkal Majalla" w:cs="Sakkal Majalla"/>
          <w:color w:val="000000" w:themeColor="text1"/>
          <w:sz w:val="28"/>
          <w:szCs w:val="28"/>
        </w:rPr>
        <w:t>.</w:t>
      </w:r>
    </w:p>
    <w:p w14:paraId="7EC3CEBD"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التميز المؤسسي (</w:t>
      </w:r>
      <w:r w:rsidRPr="00EE13A9">
        <w:rPr>
          <w:rFonts w:ascii="Sakkal Majalla" w:hAnsi="Sakkal Majalla" w:cs="Sakkal Majalla"/>
          <w:color w:val="000000" w:themeColor="text1"/>
          <w:sz w:val="28"/>
          <w:szCs w:val="28"/>
        </w:rPr>
        <w:t>Organizational Excellence</w:t>
      </w:r>
      <w:r w:rsidRPr="00EE13A9">
        <w:rPr>
          <w:rFonts w:ascii="Sakkal Majalla" w:hAnsi="Sakkal Majalla" w:cs="Sakkal Majalla"/>
          <w:color w:val="000000" w:themeColor="text1"/>
          <w:sz w:val="28"/>
          <w:szCs w:val="28"/>
          <w:rtl/>
        </w:rPr>
        <w:t>) وهو القدرة التنافسية التي تميز الشركة عن غيرها، وتخلق مزايا فريدة تساعدها على تحقيق أداء متميز. وتقوم أعمال التميز المؤسسي على أساس متين من الجودة العالية، التي تُبنى عليها قدرات الابتكار والتطوير، وتتوج بتقديم خدمة مميزة للعملاء (السجان، 2023).</w:t>
      </w:r>
    </w:p>
    <w:p w14:paraId="38DF26FD" w14:textId="5E6B8B4F"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lastRenderedPageBreak/>
        <w:t>التميز التشغيلي</w:t>
      </w:r>
      <w:r w:rsidRPr="00EE13A9">
        <w:rPr>
          <w:rFonts w:ascii="Sakkal Majalla" w:hAnsi="Sakkal Majalla" w:cs="Sakkal Majalla"/>
          <w:color w:val="000000" w:themeColor="text1"/>
          <w:sz w:val="28"/>
          <w:szCs w:val="28"/>
        </w:rPr>
        <w:t xml:space="preserve"> (Operational Excellence</w:t>
      </w:r>
      <w:r w:rsidRPr="00EE13A9">
        <w:rPr>
          <w:rFonts w:ascii="Sakkal Majalla" w:hAnsi="Sakkal Majalla" w:cs="Sakkal Majalla"/>
          <w:color w:val="000000" w:themeColor="text1"/>
          <w:sz w:val="28"/>
          <w:szCs w:val="28"/>
        </w:rPr>
        <w:t>)</w:t>
      </w:r>
      <w:r w:rsidRPr="00EE13A9">
        <w:rPr>
          <w:rFonts w:ascii="Sakkal Majalla" w:hAnsi="Sakkal Majalla" w:cs="Sakkal Majalla"/>
          <w:color w:val="000000" w:themeColor="text1"/>
          <w:sz w:val="28"/>
          <w:szCs w:val="28"/>
          <w:rtl/>
        </w:rPr>
        <w:t xml:space="preserve"> قدرة المنظمة على تحسين الكفاءة وجودة عملياتها التشغيلية بشكل مستمر. يتضمن ذلك الابتكار في تحسين الإجراءات، تقليل التكاليف، تحسين جودة الخدمات، وتعزيز الإنتاجية، مما يؤدي إلى تحسين وزيادة الفعالية التشغيلية</w:t>
      </w:r>
      <w:r w:rsidRPr="00EE13A9">
        <w:rPr>
          <w:rFonts w:ascii="Sakkal Majalla" w:hAnsi="Sakkal Majalla" w:cs="Sakkal Majalla"/>
          <w:color w:val="000000" w:themeColor="text1"/>
          <w:sz w:val="28"/>
          <w:szCs w:val="28"/>
        </w:rPr>
        <w:t>.</w:t>
      </w:r>
    </w:p>
    <w:p w14:paraId="63E79B57"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 xml:space="preserve">الميزة التنافسية </w:t>
      </w:r>
      <w:r w:rsidRPr="00EE13A9">
        <w:rPr>
          <w:rFonts w:ascii="Sakkal Majalla" w:hAnsi="Sakkal Majalla" w:cs="Sakkal Majalla"/>
          <w:color w:val="000000" w:themeColor="text1"/>
          <w:sz w:val="28"/>
          <w:szCs w:val="28"/>
        </w:rPr>
        <w:t>(Competitive Advantage):</w:t>
      </w:r>
      <w:r w:rsidRPr="00EE13A9">
        <w:rPr>
          <w:rFonts w:ascii="Sakkal Majalla" w:hAnsi="Sakkal Majalla" w:cs="Sakkal Majalla"/>
          <w:color w:val="000000" w:themeColor="text1"/>
          <w:sz w:val="28"/>
          <w:szCs w:val="28"/>
          <w:rtl/>
        </w:rPr>
        <w:t xml:space="preserve"> هي السمات التي تمنح المنظمة تفوقاً مستداماً وتتضمن هذه الميزة التنافسية تعزيز الابتكار المستمر والذي يدعم مستوى عالٍ من الكفاءة التشغيلية، أو القدرة على تلبية احتياجات العملاء بشكل أفضل من المنافسين، مما يعزز من استدامة الأعمال.</w:t>
      </w:r>
    </w:p>
    <w:p w14:paraId="473F33DE"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5EB5AEA1"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u w:val="single"/>
          <w:rtl/>
        </w:rPr>
      </w:pPr>
      <w:r w:rsidRPr="00EE13A9">
        <w:rPr>
          <w:rFonts w:ascii="Sakkal Majalla" w:hAnsi="Sakkal Majalla" w:cs="Sakkal Majalla"/>
          <w:b/>
          <w:bCs/>
          <w:color w:val="000000" w:themeColor="text1"/>
          <w:sz w:val="28"/>
          <w:szCs w:val="28"/>
          <w:u w:val="single"/>
          <w:rtl/>
        </w:rPr>
        <w:t>إجراءات الدراسة:</w:t>
      </w:r>
      <w:r w:rsidRPr="00EE13A9">
        <w:rPr>
          <w:rFonts w:ascii="Sakkal Majalla" w:hAnsi="Sakkal Majalla" w:cs="Sakkal Majalla"/>
          <w:b/>
          <w:bCs/>
          <w:color w:val="000000" w:themeColor="text1"/>
          <w:sz w:val="28"/>
          <w:szCs w:val="28"/>
          <w:rtl/>
        </w:rPr>
        <w:t xml:space="preserve">  </w:t>
      </w:r>
    </w:p>
    <w:p w14:paraId="7AF92E4D"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u w:val="single"/>
        </w:rPr>
      </w:pPr>
      <w:r w:rsidRPr="00EE13A9">
        <w:rPr>
          <w:rFonts w:ascii="Sakkal Majalla" w:hAnsi="Sakkal Majalla" w:cs="Sakkal Majalla"/>
          <w:b/>
          <w:bCs/>
          <w:color w:val="000000" w:themeColor="text1"/>
          <w:sz w:val="28"/>
          <w:szCs w:val="28"/>
          <w:u w:val="single"/>
          <w:rtl/>
        </w:rPr>
        <w:t>منهج الدراسة:</w:t>
      </w:r>
    </w:p>
    <w:p w14:paraId="44723BAE"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سيستخدم المنهج الوصفي التحليلي في هذه الدراسة بهدف استكشاف العلاقة بين الحوكمة المؤسسية والتميز التشغيلي والاستراتيجي في المنظمات السعودية. يتيح هذا المنهج وصف وتحليل الظواهر المعنية بطريقة دقيقة وشاملة، مع التركيز على تقييم العلاقات بين المتغيرات المختلفة. يعتمد المنهج الوصفي على جمع البيانات وتحليلها من خلال أدوات متخصصة، بما في ذلك الاستبيانات والمقابلات، للوصول إلى استنتاجات مدعومة بالبيانات حول تأثير الحوكمة المؤسسية على الأداء المؤسسي</w:t>
      </w:r>
      <w:r w:rsidRPr="00EE13A9">
        <w:rPr>
          <w:rFonts w:ascii="Sakkal Majalla" w:hAnsi="Sakkal Majalla" w:cs="Sakkal Majalla"/>
          <w:color w:val="000000" w:themeColor="text1"/>
          <w:sz w:val="28"/>
          <w:szCs w:val="28"/>
        </w:rPr>
        <w:t>.</w:t>
      </w:r>
    </w:p>
    <w:p w14:paraId="6D6857DA"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color w:val="000000" w:themeColor="text1"/>
          <w:sz w:val="28"/>
          <w:szCs w:val="28"/>
          <w:rtl/>
        </w:rPr>
        <w:t>تم اعتماد النهج متعدد الأساليب في جمع البيانات، حيث يتم جمع بيانات كمية ونوعية لتقديم صورة شاملة عن الظاهرة المدروسة. يتضمن التحليل الإحصائي استخدام أساليب مثل التحليل الوصفي، التحليل الارتباطي، وتحليل الانحدار لاختبار الفرضيات المتعلقة بتأثير الحوكمة على التميز التشغيلي والاستراتيجي</w:t>
      </w:r>
      <w:r w:rsidRPr="00EE13A9">
        <w:rPr>
          <w:rFonts w:ascii="Sakkal Majalla" w:hAnsi="Sakkal Majalla" w:cs="Sakkal Majalla"/>
          <w:color w:val="000000" w:themeColor="text1"/>
          <w:sz w:val="28"/>
          <w:szCs w:val="28"/>
        </w:rPr>
        <w:t>.</w:t>
      </w:r>
    </w:p>
    <w:p w14:paraId="56FF37A3"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u w:val="single"/>
          <w:rtl/>
        </w:rPr>
      </w:pPr>
      <w:r w:rsidRPr="00EE13A9">
        <w:rPr>
          <w:rFonts w:ascii="Sakkal Majalla" w:hAnsi="Sakkal Majalla" w:cs="Sakkal Majalla"/>
          <w:b/>
          <w:bCs/>
          <w:color w:val="000000" w:themeColor="text1"/>
          <w:sz w:val="28"/>
          <w:szCs w:val="28"/>
          <w:u w:val="single"/>
          <w:rtl/>
        </w:rPr>
        <w:t>مجتمع وعينة الدراسة:</w:t>
      </w:r>
    </w:p>
    <w:p w14:paraId="1806425B" w14:textId="77777777" w:rsidR="00EE13A9" w:rsidRPr="00EE13A9" w:rsidRDefault="00EE13A9" w:rsidP="00EE13A9">
      <w:pPr>
        <w:numPr>
          <w:ilvl w:val="0"/>
          <w:numId w:val="6"/>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يشمل مجتمع الدراسة جميع المنظمات الحكومية والخاصة العاملة في المملكة العربية السعودية، بما في ذلك الوزارات والهيئات الحكومية، والشركات شبه الحكومية، والبنوك والمؤسسات المالية، إضافةً إلى الشركات الكبرى والمؤسسات الصغيرة والمتوسطة. ويتميز هذا المجتمع بتنوعه الكبير من حيث الحجم، والنشاط، والقطاع الاقتصادي، وهو ما يعكس البيئة التنظيمية الثرية والمتنوعة في المملكة</w:t>
      </w:r>
      <w:r w:rsidRPr="00EE13A9">
        <w:rPr>
          <w:rFonts w:ascii="Sakkal Majalla" w:hAnsi="Sakkal Majalla" w:cs="Sakkal Majalla"/>
          <w:color w:val="000000" w:themeColor="text1"/>
          <w:sz w:val="28"/>
          <w:szCs w:val="28"/>
        </w:rPr>
        <w:t>.</w:t>
      </w:r>
    </w:p>
    <w:p w14:paraId="432C643E" w14:textId="77777777" w:rsidR="00EE13A9" w:rsidRPr="00EE13A9" w:rsidRDefault="00EE13A9" w:rsidP="00EE13A9">
      <w:pPr>
        <w:numPr>
          <w:ilvl w:val="0"/>
          <w:numId w:val="6"/>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نظرًا لاتساع حجم مجتمع الدراسة وتعدد قطاعاته، فقد تم اختيار عينة قصدية طبقية تتكون من</w:t>
      </w:r>
      <w:r w:rsidRPr="00EE13A9">
        <w:rPr>
          <w:rFonts w:ascii="Sakkal Majalla" w:hAnsi="Sakkal Majalla" w:cs="Sakkal Majalla" w:hint="cs"/>
          <w:color w:val="000000" w:themeColor="text1"/>
          <w:sz w:val="28"/>
          <w:szCs w:val="28"/>
          <w:rtl/>
        </w:rPr>
        <w:t xml:space="preserve"> </w:t>
      </w:r>
      <w:r w:rsidRPr="00EE13A9">
        <w:rPr>
          <w:rFonts w:ascii="Sakkal Majalla" w:hAnsi="Sakkal Majalla" w:cs="Sakkal Majalla"/>
          <w:color w:val="000000" w:themeColor="text1"/>
          <w:sz w:val="28"/>
          <w:szCs w:val="28"/>
        </w:rPr>
        <w:t xml:space="preserve">(30) </w:t>
      </w:r>
      <w:r w:rsidRPr="00EE13A9">
        <w:rPr>
          <w:rFonts w:ascii="Sakkal Majalla" w:hAnsi="Sakkal Majalla" w:cs="Sakkal Majalla" w:hint="cs"/>
          <w:color w:val="000000" w:themeColor="text1"/>
          <w:sz w:val="28"/>
          <w:szCs w:val="28"/>
          <w:rtl/>
        </w:rPr>
        <w:t xml:space="preserve">  </w:t>
      </w:r>
      <w:r w:rsidRPr="00EE13A9">
        <w:rPr>
          <w:rFonts w:ascii="Sakkal Majalla" w:hAnsi="Sakkal Majalla" w:cs="Sakkal Majalla"/>
          <w:color w:val="000000" w:themeColor="text1"/>
          <w:sz w:val="28"/>
          <w:szCs w:val="28"/>
          <w:rtl/>
        </w:rPr>
        <w:t xml:space="preserve">منظمة، بحيث تُمثل مختلف القطاعات الاقتصادية الرئيسة (القطاع الحكومي، شبه الحكومي، والقطاع الخاص بما يشمله من </w:t>
      </w:r>
      <w:r w:rsidRPr="00EE13A9">
        <w:rPr>
          <w:rFonts w:ascii="Sakkal Majalla" w:hAnsi="Sakkal Majalla" w:cs="Sakkal Majalla"/>
          <w:color w:val="000000" w:themeColor="text1"/>
          <w:sz w:val="28"/>
          <w:szCs w:val="28"/>
          <w:rtl/>
        </w:rPr>
        <w:lastRenderedPageBreak/>
        <w:t>مؤسسات مالية، صناعية، تجارية وخدمية). ويهدف هذا التوزيع إلى ضمان تمثيل واقعي للتنوع القائم في المجتمع السعودي، بما يمكّن من دراسة أثر الحوكمة المؤسسية على التميز التشغيلي والتميز الاستراتيجي في سياقات تنظيمية متعددة</w:t>
      </w:r>
      <w:r w:rsidRPr="00EE13A9">
        <w:rPr>
          <w:rFonts w:ascii="Sakkal Majalla" w:hAnsi="Sakkal Majalla" w:cs="Sakkal Majalla"/>
          <w:color w:val="000000" w:themeColor="text1"/>
          <w:sz w:val="28"/>
          <w:szCs w:val="28"/>
        </w:rPr>
        <w:t>.</w:t>
      </w:r>
    </w:p>
    <w:p w14:paraId="190E676E"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tl/>
        </w:rPr>
        <w:t xml:space="preserve">تتضمن العينة المنظمات من قطاعات </w:t>
      </w:r>
      <w:r w:rsidRPr="00EE13A9">
        <w:rPr>
          <w:rFonts w:ascii="Sakkal Majalla" w:hAnsi="Sakkal Majalla" w:cs="Sakkal Majalla" w:hint="cs"/>
          <w:b/>
          <w:bCs/>
          <w:color w:val="000000" w:themeColor="text1"/>
          <w:sz w:val="28"/>
          <w:szCs w:val="28"/>
          <w:rtl/>
        </w:rPr>
        <w:t>متعددة</w:t>
      </w:r>
      <w:r w:rsidRPr="00EE13A9">
        <w:rPr>
          <w:rFonts w:ascii="Sakkal Majalla" w:hAnsi="Sakkal Majalla" w:cs="Sakkal Majalla"/>
          <w:b/>
          <w:bCs/>
          <w:color w:val="000000" w:themeColor="text1"/>
          <w:sz w:val="28"/>
          <w:szCs w:val="28"/>
          <w:rtl/>
        </w:rPr>
        <w:t xml:space="preserve"> مما يتيح دراسة تطبيقات الحوكمة المؤسسية عبر سياقات متنوعة.</w:t>
      </w:r>
    </w:p>
    <w:p w14:paraId="75473B9A"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48C66F97"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u w:val="single"/>
          <w:rtl/>
        </w:rPr>
      </w:pPr>
      <w:r w:rsidRPr="00EE13A9">
        <w:rPr>
          <w:rFonts w:ascii="Sakkal Majalla" w:hAnsi="Sakkal Majalla" w:cs="Sakkal Majalla"/>
          <w:b/>
          <w:bCs/>
          <w:color w:val="000000" w:themeColor="text1"/>
          <w:sz w:val="28"/>
          <w:szCs w:val="28"/>
          <w:u w:val="single"/>
          <w:rtl/>
        </w:rPr>
        <w:t>حدود الدراسة: (</w:t>
      </w:r>
      <w:proofErr w:type="gramStart"/>
      <w:r w:rsidRPr="00EE13A9">
        <w:rPr>
          <w:rFonts w:ascii="Sakkal Majalla" w:hAnsi="Sakkal Majalla" w:cs="Sakkal Majalla"/>
          <w:b/>
          <w:bCs/>
          <w:color w:val="000000" w:themeColor="text1"/>
          <w:sz w:val="28"/>
          <w:szCs w:val="28"/>
          <w:u w:val="single"/>
          <w:rtl/>
        </w:rPr>
        <w:t>المكانية ،</w:t>
      </w:r>
      <w:proofErr w:type="gramEnd"/>
      <w:r w:rsidRPr="00EE13A9">
        <w:rPr>
          <w:rFonts w:ascii="Sakkal Majalla" w:hAnsi="Sakkal Majalla" w:cs="Sakkal Majalla"/>
          <w:b/>
          <w:bCs/>
          <w:color w:val="000000" w:themeColor="text1"/>
          <w:sz w:val="28"/>
          <w:szCs w:val="28"/>
          <w:u w:val="single"/>
          <w:rtl/>
        </w:rPr>
        <w:t xml:space="preserve"> </w:t>
      </w:r>
      <w:proofErr w:type="gramStart"/>
      <w:r w:rsidRPr="00EE13A9">
        <w:rPr>
          <w:rFonts w:ascii="Sakkal Majalla" w:hAnsi="Sakkal Majalla" w:cs="Sakkal Majalla"/>
          <w:b/>
          <w:bCs/>
          <w:color w:val="000000" w:themeColor="text1"/>
          <w:sz w:val="28"/>
          <w:szCs w:val="28"/>
          <w:u w:val="single"/>
          <w:rtl/>
        </w:rPr>
        <w:t>الزمانية ،</w:t>
      </w:r>
      <w:proofErr w:type="gramEnd"/>
      <w:r w:rsidRPr="00EE13A9">
        <w:rPr>
          <w:rFonts w:ascii="Sakkal Majalla" w:hAnsi="Sakkal Majalla" w:cs="Sakkal Majalla"/>
          <w:b/>
          <w:bCs/>
          <w:color w:val="000000" w:themeColor="text1"/>
          <w:sz w:val="28"/>
          <w:szCs w:val="28"/>
          <w:u w:val="single"/>
          <w:rtl/>
        </w:rPr>
        <w:t xml:space="preserve"> البشرية)</w:t>
      </w:r>
    </w:p>
    <w:p w14:paraId="7FB3DC60"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 xml:space="preserve">الحدود المكانية: </w:t>
      </w:r>
      <w:r w:rsidRPr="00EE13A9">
        <w:rPr>
          <w:rFonts w:ascii="Sakkal Majalla" w:hAnsi="Sakkal Majalla" w:cs="Sakkal Majalla"/>
          <w:color w:val="000000" w:themeColor="text1"/>
          <w:sz w:val="28"/>
          <w:szCs w:val="28"/>
          <w:rtl/>
        </w:rPr>
        <w:t>تقتصر الدراسة على المنظمات الواقعة ضمن حدود المملكة العربية السعودية، مع التركيز على المدن الكبرى مثل الرياض، جدة، والدمام، التي تمثل المراكز الاقتصادية الرئيسية في المملكة العربية السعودية</w:t>
      </w:r>
      <w:r w:rsidRPr="00EE13A9">
        <w:rPr>
          <w:rFonts w:ascii="Sakkal Majalla" w:hAnsi="Sakkal Majalla" w:cs="Sakkal Majalla"/>
          <w:color w:val="000000" w:themeColor="text1"/>
          <w:sz w:val="28"/>
          <w:szCs w:val="28"/>
        </w:rPr>
        <w:t>.</w:t>
      </w:r>
    </w:p>
    <w:p w14:paraId="321A5DFD"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38948A5A" w14:textId="77777777" w:rsidR="00EE13A9" w:rsidRP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 xml:space="preserve">الحدود الزمانية: </w:t>
      </w:r>
      <w:r w:rsidRPr="00EE13A9">
        <w:rPr>
          <w:rFonts w:ascii="Sakkal Majalla" w:hAnsi="Sakkal Majalla" w:cs="Sakkal Majalla"/>
          <w:color w:val="000000" w:themeColor="text1"/>
          <w:sz w:val="28"/>
          <w:szCs w:val="28"/>
          <w:rtl/>
        </w:rPr>
        <w:t>تغطي الدراسة الفترة الزمنية الممتدة من عام 2020 حتى 2025، حيث تشهد هذه الفترة تحولًا كبيرًا في بيئة الأعمال في المملكة العربية السعودية، مدعومًا برؤية المملكة 2030. هذه الفترة حيوية لأنها شهدت تطبيقًا متزايدًا لممارسات الحوكمة المؤسسية وتأثير ذلك على الأداء المؤسسي</w:t>
      </w:r>
      <w:r w:rsidRPr="00EE13A9">
        <w:rPr>
          <w:rFonts w:ascii="Sakkal Majalla" w:hAnsi="Sakkal Majalla" w:cs="Sakkal Majalla"/>
          <w:color w:val="000000" w:themeColor="text1"/>
          <w:sz w:val="28"/>
          <w:szCs w:val="28"/>
        </w:rPr>
        <w:t>.</w:t>
      </w:r>
    </w:p>
    <w:p w14:paraId="358C7790" w14:textId="1B22B2C6"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tl/>
        </w:rPr>
        <w:t xml:space="preserve">• الحدود البشرية: </w:t>
      </w:r>
      <w:r w:rsidRPr="00EE13A9">
        <w:rPr>
          <w:rFonts w:ascii="Sakkal Majalla" w:hAnsi="Sakkal Majalla" w:cs="Sakkal Majalla"/>
          <w:color w:val="000000" w:themeColor="text1"/>
          <w:sz w:val="28"/>
          <w:szCs w:val="28"/>
          <w:rtl/>
        </w:rPr>
        <w:t xml:space="preserve">تستهدف الدراسة القيادات في المنظمات المستهدفة، بالإضافة إلى الخبراء والمستشارين في مجال الحوكمة المؤسسية. سيتم </w:t>
      </w:r>
      <w:r w:rsidRPr="00EE13A9">
        <w:rPr>
          <w:rFonts w:ascii="Sakkal Majalla" w:hAnsi="Sakkal Majalla" w:cs="Sakkal Majalla" w:hint="cs"/>
          <w:color w:val="000000" w:themeColor="text1"/>
          <w:sz w:val="28"/>
          <w:szCs w:val="28"/>
          <w:rtl/>
        </w:rPr>
        <w:t>عمل الاستبيانات</w:t>
      </w:r>
      <w:r w:rsidRPr="00EE13A9">
        <w:rPr>
          <w:rFonts w:ascii="Sakkal Majalla" w:hAnsi="Sakkal Majalla" w:cs="Sakkal Majalla"/>
          <w:color w:val="000000" w:themeColor="text1"/>
          <w:sz w:val="28"/>
          <w:szCs w:val="28"/>
          <w:rtl/>
        </w:rPr>
        <w:t xml:space="preserve"> مع هذه الفئة لضمان الحصول على رؤى شاملة حول تأثير الحوكمة على الأداء المؤسسي.</w:t>
      </w:r>
      <w:r w:rsidRPr="00EE13A9">
        <w:rPr>
          <w:rFonts w:ascii="Sakkal Majalla" w:hAnsi="Sakkal Majalla" w:cs="Sakkal Majalla"/>
          <w:b/>
          <w:bCs/>
          <w:color w:val="000000" w:themeColor="text1"/>
          <w:sz w:val="28"/>
          <w:szCs w:val="28"/>
          <w:rtl/>
        </w:rPr>
        <w:t xml:space="preserve"> </w:t>
      </w:r>
    </w:p>
    <w:p w14:paraId="68D3931F"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tl/>
        </w:rPr>
        <w:t xml:space="preserve">المعالجات الإحصائية </w:t>
      </w:r>
    </w:p>
    <w:p w14:paraId="17BFF4DD" w14:textId="77777777" w:rsidR="00EE13A9" w:rsidRPr="00EE13A9" w:rsidRDefault="00EE13A9" w:rsidP="00EE13A9">
      <w:pPr>
        <w:numPr>
          <w:ilvl w:val="0"/>
          <w:numId w:val="7"/>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التحليل الوصفي</w:t>
      </w:r>
      <w:r w:rsidRPr="00EE13A9">
        <w:rPr>
          <w:rFonts w:ascii="Sakkal Majalla" w:hAnsi="Sakkal Majalla" w:cs="Sakkal Majalla"/>
          <w:color w:val="000000" w:themeColor="text1"/>
          <w:sz w:val="28"/>
          <w:szCs w:val="28"/>
        </w:rPr>
        <w:t xml:space="preserve"> (Descriptive Statistics)</w:t>
      </w:r>
      <w:r w:rsidRPr="00EE13A9">
        <w:rPr>
          <w:rFonts w:ascii="Sakkal Majalla" w:hAnsi="Sakkal Majalla" w:cs="Sakkal Majalla"/>
          <w:color w:val="000000" w:themeColor="text1"/>
          <w:sz w:val="28"/>
          <w:szCs w:val="28"/>
          <w:rtl/>
        </w:rPr>
        <w:t xml:space="preserve"> لتقديم وصف شامل للبيانات الأولية وفهم السمات الرئيسية للمجتمع المدروس</w:t>
      </w:r>
      <w:r w:rsidRPr="00EE13A9">
        <w:rPr>
          <w:rFonts w:ascii="Sakkal Majalla" w:hAnsi="Sakkal Majalla" w:cs="Sakkal Majalla"/>
          <w:color w:val="000000" w:themeColor="text1"/>
          <w:sz w:val="28"/>
          <w:szCs w:val="28"/>
        </w:rPr>
        <w:t>.</w:t>
      </w:r>
      <w:r w:rsidRPr="00EE13A9">
        <w:rPr>
          <w:rFonts w:ascii="Sakkal Majalla" w:hAnsi="Sakkal Majalla" w:cs="Sakkal Majalla"/>
          <w:color w:val="000000" w:themeColor="text1"/>
          <w:sz w:val="28"/>
          <w:szCs w:val="28"/>
          <w:rtl/>
        </w:rPr>
        <w:t xml:space="preserve"> وذلك باستخدام الجداول التكرارية، الانحراف المعياري، والرسوم البيانية لتقديم عرض مرئي للبيانات</w:t>
      </w:r>
      <w:r w:rsidRPr="00EE13A9">
        <w:rPr>
          <w:rFonts w:ascii="Sakkal Majalla" w:hAnsi="Sakkal Majalla" w:cs="Sakkal Majalla"/>
          <w:color w:val="000000" w:themeColor="text1"/>
          <w:sz w:val="28"/>
          <w:szCs w:val="28"/>
        </w:rPr>
        <w:t>.</w:t>
      </w:r>
    </w:p>
    <w:p w14:paraId="3A218BA4" w14:textId="77777777" w:rsidR="00EE13A9" w:rsidRPr="00EE13A9" w:rsidRDefault="00EE13A9" w:rsidP="00EE13A9">
      <w:pPr>
        <w:numPr>
          <w:ilvl w:val="0"/>
          <w:numId w:val="7"/>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معامل الارتباط</w:t>
      </w:r>
      <w:r w:rsidRPr="00EE13A9">
        <w:rPr>
          <w:rFonts w:ascii="Sakkal Majalla" w:hAnsi="Sakkal Majalla" w:cs="Sakkal Majalla"/>
          <w:color w:val="000000" w:themeColor="text1"/>
          <w:sz w:val="28"/>
          <w:szCs w:val="28"/>
        </w:rPr>
        <w:t xml:space="preserve"> (Pearson Correlation)</w:t>
      </w:r>
      <w:r w:rsidRPr="00EE13A9">
        <w:rPr>
          <w:rFonts w:ascii="Sakkal Majalla" w:hAnsi="Sakkal Majalla" w:cs="Sakkal Majalla"/>
          <w:color w:val="000000" w:themeColor="text1"/>
          <w:sz w:val="28"/>
          <w:szCs w:val="28"/>
          <w:rtl/>
        </w:rPr>
        <w:t xml:space="preserve"> وذلك لقياس العلاقة الخطية بين متغيرين مستمرين باستخدام معامل بيرسون للارتباط لتحديد اتجاه العلاقة بين المتغيرات</w:t>
      </w:r>
      <w:r w:rsidRPr="00EE13A9">
        <w:rPr>
          <w:rFonts w:ascii="Sakkal Majalla" w:hAnsi="Sakkal Majalla" w:cs="Sakkal Majalla"/>
          <w:color w:val="000000" w:themeColor="text1"/>
          <w:sz w:val="28"/>
          <w:szCs w:val="28"/>
        </w:rPr>
        <w:t>.</w:t>
      </w:r>
    </w:p>
    <w:p w14:paraId="33F6E5C0" w14:textId="77777777" w:rsidR="00EE13A9" w:rsidRPr="00EE13A9" w:rsidRDefault="00EE13A9" w:rsidP="00EE13A9">
      <w:pPr>
        <w:numPr>
          <w:ilvl w:val="0"/>
          <w:numId w:val="7"/>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 xml:space="preserve">تحليل </w:t>
      </w:r>
      <w:proofErr w:type="gramStart"/>
      <w:r w:rsidRPr="00EE13A9">
        <w:rPr>
          <w:rFonts w:ascii="Sakkal Majalla" w:hAnsi="Sakkal Majalla" w:cs="Sakkal Majalla"/>
          <w:color w:val="000000" w:themeColor="text1"/>
          <w:sz w:val="28"/>
          <w:szCs w:val="28"/>
          <w:rtl/>
        </w:rPr>
        <w:t xml:space="preserve">الانحدار </w:t>
      </w:r>
      <w:r w:rsidRPr="00EE13A9">
        <w:rPr>
          <w:rFonts w:ascii="Sakkal Majalla" w:hAnsi="Sakkal Majalla" w:cs="Sakkal Majalla"/>
          <w:color w:val="000000" w:themeColor="text1"/>
          <w:sz w:val="28"/>
          <w:szCs w:val="28"/>
        </w:rPr>
        <w:t xml:space="preserve"> (</w:t>
      </w:r>
      <w:proofErr w:type="gramEnd"/>
      <w:r w:rsidRPr="00EE13A9">
        <w:rPr>
          <w:rFonts w:ascii="Sakkal Majalla" w:hAnsi="Sakkal Majalla" w:cs="Sakkal Majalla"/>
          <w:color w:val="000000" w:themeColor="text1"/>
          <w:sz w:val="28"/>
          <w:szCs w:val="28"/>
        </w:rPr>
        <w:t>Regression Analysis)</w:t>
      </w:r>
      <w:r w:rsidRPr="00EE13A9">
        <w:rPr>
          <w:rFonts w:ascii="Sakkal Majalla" w:hAnsi="Sakkal Majalla" w:cs="Sakkal Majalla"/>
          <w:color w:val="000000" w:themeColor="text1"/>
          <w:sz w:val="28"/>
          <w:szCs w:val="28"/>
          <w:rtl/>
        </w:rPr>
        <w:t xml:space="preserve"> لاختبار العلاقة السببية بين المتغيرات المستقلة والتابعة وذلك باستخدام</w:t>
      </w:r>
      <w:r w:rsidRPr="00EE13A9">
        <w:rPr>
          <w:rFonts w:ascii="Sakkal Majalla" w:hAnsi="Sakkal Majalla" w:cs="Sakkal Majalla"/>
          <w:color w:val="000000" w:themeColor="text1"/>
          <w:sz w:val="28"/>
          <w:szCs w:val="28"/>
        </w:rPr>
        <w:t xml:space="preserve"> </w:t>
      </w:r>
      <w:r w:rsidRPr="00EE13A9">
        <w:rPr>
          <w:rFonts w:ascii="Sakkal Majalla" w:hAnsi="Sakkal Majalla" w:cs="Sakkal Majalla"/>
          <w:color w:val="000000" w:themeColor="text1"/>
          <w:sz w:val="28"/>
          <w:szCs w:val="28"/>
          <w:rtl/>
        </w:rPr>
        <w:t>الانحدار الخطي المتعدد لاختبار تأثير ممارسات الحوكمة على الأداء المؤسسي، مع مراعاة العوامل المتداخلة مثل الحجم والقطاع</w:t>
      </w:r>
      <w:r w:rsidRPr="00EE13A9">
        <w:rPr>
          <w:rFonts w:ascii="Sakkal Majalla" w:hAnsi="Sakkal Majalla" w:cs="Sakkal Majalla"/>
          <w:color w:val="000000" w:themeColor="text1"/>
          <w:sz w:val="28"/>
          <w:szCs w:val="28"/>
        </w:rPr>
        <w:t>.</w:t>
      </w:r>
    </w:p>
    <w:p w14:paraId="21D8C20E" w14:textId="77777777" w:rsidR="00EE13A9" w:rsidRPr="00EE13A9" w:rsidRDefault="00EE13A9" w:rsidP="00EE13A9">
      <w:pPr>
        <w:numPr>
          <w:ilvl w:val="0"/>
          <w:numId w:val="7"/>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lastRenderedPageBreak/>
        <w:t>تحليل العوامل</w:t>
      </w:r>
      <w:r w:rsidRPr="00EE13A9">
        <w:rPr>
          <w:rFonts w:ascii="Sakkal Majalla" w:hAnsi="Sakkal Majalla" w:cs="Sakkal Majalla"/>
          <w:color w:val="000000" w:themeColor="text1"/>
          <w:sz w:val="28"/>
          <w:szCs w:val="28"/>
        </w:rPr>
        <w:t xml:space="preserve"> (Factor Analysis)</w:t>
      </w:r>
      <w:r w:rsidRPr="00EE13A9">
        <w:rPr>
          <w:rFonts w:ascii="Sakkal Majalla" w:hAnsi="Sakkal Majalla" w:cs="Sakkal Majalla"/>
          <w:color w:val="000000" w:themeColor="text1"/>
          <w:sz w:val="28"/>
          <w:szCs w:val="28"/>
          <w:rtl/>
        </w:rPr>
        <w:t xml:space="preserve"> سيتم استخدام التحليل العاملي لاستخلاص الأبعاد الرئيسية للحوكمة المؤسسية التي تؤثر بشكل ملحوظ على الأداء المؤسسي. سيتم من خلاله تحديد العوامل الأساسية التي تساهم في تحسين التميز التشغيلي والاستراتيجي</w:t>
      </w:r>
      <w:r w:rsidRPr="00EE13A9">
        <w:rPr>
          <w:rFonts w:ascii="Sakkal Majalla" w:hAnsi="Sakkal Majalla" w:cs="Sakkal Majalla"/>
          <w:color w:val="000000" w:themeColor="text1"/>
          <w:sz w:val="28"/>
          <w:szCs w:val="28"/>
        </w:rPr>
        <w:t>.</w:t>
      </w:r>
    </w:p>
    <w:p w14:paraId="13995B9F" w14:textId="77777777" w:rsidR="00EE13A9" w:rsidRPr="00EE13A9" w:rsidRDefault="00EE13A9" w:rsidP="00EE13A9">
      <w:pPr>
        <w:numPr>
          <w:ilvl w:val="0"/>
          <w:numId w:val="7"/>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hint="cs"/>
          <w:color w:val="000000" w:themeColor="text1"/>
          <w:sz w:val="28"/>
          <w:szCs w:val="28"/>
          <w:rtl/>
        </w:rPr>
        <w:t xml:space="preserve">استبيان بعنوان </w:t>
      </w:r>
      <w:r w:rsidRPr="00EE13A9">
        <w:rPr>
          <w:rFonts w:ascii="Sakkal Majalla" w:hAnsi="Sakkal Majalla" w:cs="Sakkal Majalla"/>
          <w:color w:val="000000" w:themeColor="text1"/>
          <w:sz w:val="28"/>
          <w:szCs w:val="28"/>
          <w:rtl/>
        </w:rPr>
        <w:t>أثر الحوكمة المؤسسية على كل من التميز التشغيلي والتميز الاستراتيجي– دراسة ميدانية في المنظمات السعودية</w:t>
      </w:r>
    </w:p>
    <w:p w14:paraId="62FF7F36" w14:textId="647DF6A7" w:rsidR="00EE13A9" w:rsidRPr="00EE13A9" w:rsidRDefault="00EE13A9" w:rsidP="00742379">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tl/>
        </w:rPr>
        <w:t>1</w:t>
      </w: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المتغير المستقل</w:t>
      </w:r>
      <w:r w:rsidR="00742379">
        <w:rPr>
          <w:rFonts w:ascii="Sakkal Majalla" w:hAnsi="Sakkal Majalla" w:cs="Sakkal Majalla" w:hint="cs"/>
          <w:b/>
          <w:bCs/>
          <w:color w:val="000000" w:themeColor="text1"/>
          <w:sz w:val="28"/>
          <w:szCs w:val="28"/>
          <w:rtl/>
        </w:rPr>
        <w:t xml:space="preserve">: </w:t>
      </w:r>
      <w:r w:rsidRPr="00EE13A9">
        <w:rPr>
          <w:rFonts w:ascii="Sakkal Majalla" w:hAnsi="Sakkal Majalla" w:cs="Sakkal Majalla"/>
          <w:color w:val="000000" w:themeColor="text1"/>
          <w:sz w:val="28"/>
          <w:szCs w:val="28"/>
          <w:rtl/>
        </w:rPr>
        <w:t>الحوكمة المؤسسية وتتضمن الحوكمة المؤسسية المبادئ والممارسات التي تتبعها المنظمات لضمان الشفافية والمساءلة، مثل الهياكل الإدارية، وضوابط الرقابة، وآليات اتخاذ القرارات</w:t>
      </w:r>
      <w:r w:rsidRPr="00EE13A9">
        <w:rPr>
          <w:rFonts w:ascii="Sakkal Majalla" w:hAnsi="Sakkal Majalla" w:cs="Sakkal Majalla"/>
          <w:color w:val="000000" w:themeColor="text1"/>
          <w:sz w:val="28"/>
          <w:szCs w:val="28"/>
        </w:rPr>
        <w:t>.</w:t>
      </w:r>
    </w:p>
    <w:p w14:paraId="2C6D00B1" w14:textId="08153824" w:rsidR="00EE13A9" w:rsidRPr="00EE13A9" w:rsidRDefault="00EE13A9" w:rsidP="00742379">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tl/>
        </w:rPr>
        <w:t>2</w:t>
      </w: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المتغير</w:t>
      </w:r>
      <w:r w:rsidR="00742379">
        <w:rPr>
          <w:rFonts w:ascii="Sakkal Majalla" w:hAnsi="Sakkal Majalla" w:cs="Sakkal Majalla" w:hint="cs"/>
          <w:b/>
          <w:bCs/>
          <w:color w:val="000000" w:themeColor="text1"/>
          <w:sz w:val="28"/>
          <w:szCs w:val="28"/>
          <w:rtl/>
        </w:rPr>
        <w:t>ين</w:t>
      </w:r>
      <w:r w:rsidRPr="00EE13A9">
        <w:rPr>
          <w:rFonts w:ascii="Sakkal Majalla" w:hAnsi="Sakkal Majalla" w:cs="Sakkal Majalla"/>
          <w:b/>
          <w:bCs/>
          <w:color w:val="000000" w:themeColor="text1"/>
          <w:sz w:val="28"/>
          <w:szCs w:val="28"/>
          <w:rtl/>
        </w:rPr>
        <w:t xml:space="preserve"> </w:t>
      </w:r>
      <w:r w:rsidR="00742379" w:rsidRPr="00EE13A9">
        <w:rPr>
          <w:rFonts w:ascii="Sakkal Majalla" w:hAnsi="Sakkal Majalla" w:cs="Sakkal Majalla" w:hint="cs"/>
          <w:b/>
          <w:bCs/>
          <w:color w:val="000000" w:themeColor="text1"/>
          <w:sz w:val="28"/>
          <w:szCs w:val="28"/>
          <w:rtl/>
        </w:rPr>
        <w:t>التابع</w:t>
      </w:r>
      <w:r w:rsidR="00742379">
        <w:rPr>
          <w:rFonts w:ascii="Sakkal Majalla" w:hAnsi="Sakkal Majalla" w:cs="Sakkal Majalla" w:hint="cs"/>
          <w:b/>
          <w:bCs/>
          <w:color w:val="000000" w:themeColor="text1"/>
          <w:sz w:val="28"/>
          <w:szCs w:val="28"/>
          <w:rtl/>
        </w:rPr>
        <w:t xml:space="preserve">ين: </w:t>
      </w:r>
      <w:r w:rsidR="00742379" w:rsidRPr="00742379">
        <w:rPr>
          <w:rFonts w:ascii="Sakkal Majalla" w:hAnsi="Sakkal Majalla" w:cs="Sakkal Majalla" w:hint="cs"/>
          <w:color w:val="000000" w:themeColor="text1"/>
          <w:sz w:val="28"/>
          <w:szCs w:val="28"/>
          <w:rtl/>
        </w:rPr>
        <w:t>التميز</w:t>
      </w:r>
      <w:r w:rsidRPr="00EE13A9">
        <w:rPr>
          <w:rFonts w:ascii="Sakkal Majalla" w:hAnsi="Sakkal Majalla" w:cs="Sakkal Majalla"/>
          <w:color w:val="000000" w:themeColor="text1"/>
          <w:sz w:val="28"/>
          <w:szCs w:val="28"/>
          <w:rtl/>
        </w:rPr>
        <w:t xml:space="preserve"> التشغيلي والاستراتيجي هما المتغيران التابعان.</w:t>
      </w:r>
      <w:r w:rsidRPr="00EE13A9">
        <w:rPr>
          <w:rFonts w:ascii="Sakkal Majalla" w:hAnsi="Sakkal Majalla" w:cs="Sakkal Majalla"/>
          <w:b/>
          <w:bCs/>
          <w:color w:val="000000" w:themeColor="text1"/>
          <w:sz w:val="28"/>
          <w:szCs w:val="28"/>
          <w:rtl/>
        </w:rPr>
        <w:t xml:space="preserve"> </w:t>
      </w:r>
    </w:p>
    <w:p w14:paraId="20A5FD17" w14:textId="77777777" w:rsidR="00F32CCC" w:rsidRDefault="00F32CCC" w:rsidP="00F32CCC">
      <w:pPr>
        <w:bidi/>
        <w:spacing w:after="200" w:line="276" w:lineRule="auto"/>
        <w:ind w:right="-567"/>
        <w:jc w:val="both"/>
        <w:rPr>
          <w:rFonts w:ascii="Sakkal Majalla" w:hAnsi="Sakkal Majalla" w:cs="Sakkal Majalla"/>
          <w:b/>
          <w:bCs/>
          <w:color w:val="000000" w:themeColor="text1"/>
          <w:sz w:val="28"/>
          <w:szCs w:val="28"/>
          <w:rtl/>
        </w:rPr>
      </w:pPr>
    </w:p>
    <w:p w14:paraId="075F620F" w14:textId="77777777" w:rsidR="00490182" w:rsidRPr="00490182" w:rsidRDefault="00490182" w:rsidP="00490182">
      <w:pPr>
        <w:bidi/>
        <w:spacing w:after="200" w:line="276" w:lineRule="auto"/>
        <w:jc w:val="both"/>
        <w:rPr>
          <w:rFonts w:ascii="Sakkal Majalla" w:hAnsi="Sakkal Majalla" w:cs="Sakkal Majalla"/>
          <w:b/>
          <w:bCs/>
          <w:color w:val="00B0F0"/>
          <w:sz w:val="36"/>
          <w:szCs w:val="36"/>
          <w:u w:val="single"/>
          <w:rtl/>
        </w:rPr>
      </w:pPr>
    </w:p>
    <w:p w14:paraId="2071CA56" w14:textId="11637D43" w:rsidR="00080236" w:rsidRPr="00490182" w:rsidRDefault="00490182" w:rsidP="00080236">
      <w:pPr>
        <w:bidi/>
        <w:spacing w:after="200" w:line="276" w:lineRule="auto"/>
        <w:jc w:val="both"/>
        <w:rPr>
          <w:rFonts w:ascii="Sakkal Majalla" w:hAnsi="Sakkal Majalla" w:cs="Sakkal Majalla"/>
          <w:b/>
          <w:bCs/>
          <w:color w:val="00B0F0"/>
          <w:sz w:val="36"/>
          <w:szCs w:val="36"/>
          <w:u w:val="single"/>
          <w:rtl/>
        </w:rPr>
      </w:pPr>
      <w:r w:rsidRPr="00490182">
        <w:rPr>
          <w:rFonts w:ascii="Sakkal Majalla" w:hAnsi="Sakkal Majalla" w:cs="Sakkal Majalla"/>
          <w:b/>
          <w:bCs/>
          <w:sz w:val="28"/>
          <w:szCs w:val="28"/>
          <w:rtl/>
        </w:rPr>
        <w:t>الفصل الثاني: الإطار النظري والدراسات السابقة</w:t>
      </w:r>
    </w:p>
    <w:p w14:paraId="712E8FF6" w14:textId="77777777" w:rsidR="00490182" w:rsidRPr="00490182" w:rsidRDefault="00490182" w:rsidP="00490182">
      <w:pPr>
        <w:bidi/>
        <w:spacing w:after="0" w:line="240" w:lineRule="auto"/>
        <w:jc w:val="both"/>
        <w:rPr>
          <w:rFonts w:ascii="Sakkal Majalla" w:eastAsia="Times New Roman" w:hAnsi="Sakkal Majalla" w:cs="Sakkal Majalla"/>
          <w:b/>
          <w:bCs/>
          <w:sz w:val="28"/>
          <w:szCs w:val="28"/>
        </w:rPr>
      </w:pPr>
      <w:r w:rsidRPr="00490182">
        <w:rPr>
          <w:rFonts w:ascii="Sakkal Majalla" w:eastAsia="Times New Roman" w:hAnsi="Sakkal Majalla" w:cs="Sakkal Majalla"/>
          <w:b/>
          <w:bCs/>
          <w:sz w:val="28"/>
          <w:szCs w:val="28"/>
          <w:rtl/>
        </w:rPr>
        <w:t>تمهيد</w:t>
      </w:r>
    </w:p>
    <w:p w14:paraId="2255CF5F" w14:textId="77777777" w:rsidR="00490182" w:rsidRDefault="00490182" w:rsidP="00490182">
      <w:pPr>
        <w:bidi/>
        <w:spacing w:after="0" w:line="240"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يهدف هذا الفصل إلى بناء إطار نظري متكامل يوضح العلاقة بين الحوكمة المؤسسية كمتغير مستقل، وكل من التميز التشغيلي والتميز الاستراتيجي كمتغيرين تابعين، مع التركيز على السياق السعودي. يستعرض الفصل الأدبيات الأكاديمية الرئيسية التي تناولت هذه المتغيرات، ويحلل الدراسات السابقة ذات الصلة لتحديد الفجوة البحثية التي تسعى الدراسة الحالية لمعالجتها. تم الاعتماد بشكل أساسي على مجموعة من الدراسات المحورية والحديثة التي تشكل حجر الزاوية في هذا المجال.</w:t>
      </w:r>
    </w:p>
    <w:p w14:paraId="49DB60C9" w14:textId="77777777" w:rsidR="00490182" w:rsidRPr="00490182" w:rsidRDefault="00490182" w:rsidP="00490182">
      <w:pPr>
        <w:bidi/>
        <w:spacing w:after="0" w:line="240" w:lineRule="auto"/>
        <w:jc w:val="both"/>
        <w:rPr>
          <w:rFonts w:ascii="Sakkal Majalla" w:eastAsia="Times New Roman" w:hAnsi="Sakkal Majalla" w:cs="Sakkal Majalla"/>
          <w:sz w:val="28"/>
          <w:szCs w:val="28"/>
          <w:rtl/>
        </w:rPr>
      </w:pPr>
    </w:p>
    <w:p w14:paraId="510144DB" w14:textId="66B98D4A" w:rsidR="00490182" w:rsidRPr="00490182" w:rsidRDefault="00490182" w:rsidP="00490182">
      <w:pPr>
        <w:bidi/>
        <w:spacing w:after="0" w:line="240"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حور</w:t>
      </w:r>
      <w:r w:rsidRPr="00490182">
        <w:rPr>
          <w:rFonts w:ascii="Sakkal Majalla" w:eastAsia="Times New Roman" w:hAnsi="Sakkal Majalla" w:cs="Sakkal Majalla"/>
          <w:b/>
          <w:bCs/>
          <w:sz w:val="28"/>
          <w:szCs w:val="28"/>
          <w:rtl/>
        </w:rPr>
        <w:t xml:space="preserve"> الأول: الحوكمة المؤسسية كإطار لتحقيق التميز</w:t>
      </w:r>
    </w:p>
    <w:p w14:paraId="38BB5B21" w14:textId="77777777" w:rsidR="00490182" w:rsidRPr="00490182" w:rsidRDefault="00490182" w:rsidP="00490182">
      <w:pPr>
        <w:bidi/>
        <w:spacing w:after="0" w:line="240"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أولاً: مفهوم الحوكمة المؤسسية وركائزها الأساسية</w:t>
      </w:r>
    </w:p>
    <w:p w14:paraId="06A3C51A" w14:textId="77777777" w:rsidR="00490182" w:rsidRDefault="00490182" w:rsidP="00490182">
      <w:pPr>
        <w:bidi/>
        <w:spacing w:after="0" w:line="240"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تُعرّف الحوكمة المؤسسية بأنها الإطار الشامل من القواعد والعمليات التي يتم من خلالها توجيه المنظمة والرقابة عليها، بهدف تحقيق التوازن بين الأهداف الاقتصادية والاجتماعية، وضمان حماية مصالح جميع الأطراف ذات الصلة (</w:t>
      </w:r>
      <w:proofErr w:type="spellStart"/>
      <w:r w:rsidRPr="00490182">
        <w:rPr>
          <w:rFonts w:ascii="Sakkal Majalla" w:eastAsia="Times New Roman" w:hAnsi="Sakkal Majalla" w:cs="Sakkal Majalla"/>
          <w:sz w:val="28"/>
          <w:szCs w:val="28"/>
        </w:rPr>
        <w:t>Buallay</w:t>
      </w:r>
      <w:proofErr w:type="spellEnd"/>
      <w:r w:rsidRPr="00490182">
        <w:rPr>
          <w:rFonts w:ascii="Sakkal Majalla" w:eastAsia="Times New Roman" w:hAnsi="Sakkal Majalla" w:cs="Sakkal Majalla"/>
          <w:sz w:val="28"/>
          <w:szCs w:val="28"/>
        </w:rPr>
        <w:t>, 2017</w:t>
      </w:r>
      <w:r w:rsidRPr="00490182">
        <w:rPr>
          <w:rFonts w:ascii="Sakkal Majalla" w:eastAsia="Times New Roman" w:hAnsi="Sakkal Majalla" w:cs="Sakkal Majalla"/>
          <w:sz w:val="28"/>
          <w:szCs w:val="28"/>
          <w:rtl/>
        </w:rPr>
        <w:t>). وتقوم الحوكمة على مجموعة من الركائز الأساسية التي تشكل أساس فعاليتها، وهي: الشفافية (</w:t>
      </w:r>
      <w:r w:rsidRPr="00490182">
        <w:rPr>
          <w:rFonts w:ascii="Sakkal Majalla" w:eastAsia="Times New Roman" w:hAnsi="Sakkal Majalla" w:cs="Sakkal Majalla"/>
          <w:sz w:val="28"/>
          <w:szCs w:val="28"/>
        </w:rPr>
        <w:t>Transparency</w:t>
      </w:r>
      <w:r w:rsidRPr="00490182">
        <w:rPr>
          <w:rFonts w:ascii="Sakkal Majalla" w:eastAsia="Times New Roman" w:hAnsi="Sakkal Majalla" w:cs="Sakkal Majalla"/>
          <w:sz w:val="28"/>
          <w:szCs w:val="28"/>
          <w:rtl/>
        </w:rPr>
        <w:t>) في الإفصاح عن المعلومات، والمساءلة (</w:t>
      </w:r>
      <w:r w:rsidRPr="00490182">
        <w:rPr>
          <w:rFonts w:ascii="Sakkal Majalla" w:eastAsia="Times New Roman" w:hAnsi="Sakkal Majalla" w:cs="Sakkal Majalla"/>
          <w:sz w:val="28"/>
          <w:szCs w:val="28"/>
        </w:rPr>
        <w:t>Accountability</w:t>
      </w:r>
      <w:r w:rsidRPr="00490182">
        <w:rPr>
          <w:rFonts w:ascii="Sakkal Majalla" w:eastAsia="Times New Roman" w:hAnsi="Sakkal Majalla" w:cs="Sakkal Majalla"/>
          <w:sz w:val="28"/>
          <w:szCs w:val="28"/>
          <w:rtl/>
        </w:rPr>
        <w:t>) عن القرارات والنتائج، والمسؤولية (</w:t>
      </w:r>
      <w:r w:rsidRPr="00490182">
        <w:rPr>
          <w:rFonts w:ascii="Sakkal Majalla" w:eastAsia="Times New Roman" w:hAnsi="Sakkal Majalla" w:cs="Sakkal Majalla"/>
          <w:sz w:val="28"/>
          <w:szCs w:val="28"/>
        </w:rPr>
        <w:t>Responsibility</w:t>
      </w:r>
      <w:r w:rsidRPr="00490182">
        <w:rPr>
          <w:rFonts w:ascii="Sakkal Majalla" w:eastAsia="Times New Roman" w:hAnsi="Sakkal Majalla" w:cs="Sakkal Majalla"/>
          <w:sz w:val="28"/>
          <w:szCs w:val="28"/>
          <w:rtl/>
        </w:rPr>
        <w:t>) تجاه أصحاب المصلحة، والعدالة (</w:t>
      </w:r>
      <w:r w:rsidRPr="00490182">
        <w:rPr>
          <w:rFonts w:ascii="Sakkal Majalla" w:eastAsia="Times New Roman" w:hAnsi="Sakkal Majalla" w:cs="Sakkal Majalla"/>
          <w:sz w:val="28"/>
          <w:szCs w:val="28"/>
        </w:rPr>
        <w:t>Fairness</w:t>
      </w:r>
      <w:r w:rsidRPr="00490182">
        <w:rPr>
          <w:rFonts w:ascii="Sakkal Majalla" w:eastAsia="Times New Roman" w:hAnsi="Sakkal Majalla" w:cs="Sakkal Majalla"/>
          <w:sz w:val="28"/>
          <w:szCs w:val="28"/>
          <w:rtl/>
        </w:rPr>
        <w:t>) في معاملة الجميع، والاستقلالية (</w:t>
      </w:r>
      <w:r w:rsidRPr="00490182">
        <w:rPr>
          <w:rFonts w:ascii="Sakkal Majalla" w:eastAsia="Times New Roman" w:hAnsi="Sakkal Majalla" w:cs="Sakkal Majalla"/>
          <w:sz w:val="28"/>
          <w:szCs w:val="28"/>
        </w:rPr>
        <w:t>Independence</w:t>
      </w:r>
      <w:r w:rsidRPr="00490182">
        <w:rPr>
          <w:rFonts w:ascii="Sakkal Majalla" w:eastAsia="Times New Roman" w:hAnsi="Sakkal Majalla" w:cs="Sakkal Majalla"/>
          <w:sz w:val="28"/>
          <w:szCs w:val="28"/>
          <w:rtl/>
        </w:rPr>
        <w:t>) في اتخاذ القرارات (</w:t>
      </w:r>
      <w:proofErr w:type="spellStart"/>
      <w:r w:rsidRPr="00490182">
        <w:rPr>
          <w:rFonts w:ascii="Sakkal Majalla" w:eastAsia="Times New Roman" w:hAnsi="Sakkal Majalla" w:cs="Sakkal Majalla"/>
          <w:sz w:val="28"/>
          <w:szCs w:val="28"/>
        </w:rPr>
        <w:t>Boshnak</w:t>
      </w:r>
      <w:proofErr w:type="spellEnd"/>
      <w:r w:rsidRPr="00490182">
        <w:rPr>
          <w:rFonts w:ascii="Sakkal Majalla" w:eastAsia="Times New Roman" w:hAnsi="Sakkal Majalla" w:cs="Sakkal Majalla"/>
          <w:sz w:val="28"/>
          <w:szCs w:val="28"/>
        </w:rPr>
        <w:t>, 2023</w:t>
      </w:r>
      <w:r w:rsidRPr="00490182">
        <w:rPr>
          <w:rFonts w:ascii="Sakkal Majalla" w:eastAsia="Times New Roman" w:hAnsi="Sakkal Majalla" w:cs="Sakkal Majalla"/>
          <w:sz w:val="28"/>
          <w:szCs w:val="28"/>
          <w:rtl/>
        </w:rPr>
        <w:t xml:space="preserve">). في السياق السعودي، تكتسب هذه الركائز أهمية متزايدة في ظل رؤية 2030 التي تهدف إلى تعزيز الشفافية وكفاءة </w:t>
      </w:r>
      <w:r w:rsidRPr="00490182">
        <w:rPr>
          <w:rFonts w:ascii="Sakkal Majalla" w:eastAsia="Times New Roman" w:hAnsi="Sakkal Majalla" w:cs="Sakkal Majalla"/>
          <w:sz w:val="28"/>
          <w:szCs w:val="28"/>
          <w:rtl/>
        </w:rPr>
        <w:lastRenderedPageBreak/>
        <w:t>الأداء في القطاعين العام والخاص. وقد أكدت دراسة (</w:t>
      </w:r>
      <w:proofErr w:type="spellStart"/>
      <w:r w:rsidRPr="00490182">
        <w:rPr>
          <w:rFonts w:ascii="Sakkal Majalla" w:eastAsia="Times New Roman" w:hAnsi="Sakkal Majalla" w:cs="Sakkal Majalla"/>
          <w:sz w:val="28"/>
          <w:szCs w:val="28"/>
        </w:rPr>
        <w:t>Boshnak</w:t>
      </w:r>
      <w:proofErr w:type="spellEnd"/>
      <w:r w:rsidRPr="00490182">
        <w:rPr>
          <w:rFonts w:ascii="Sakkal Majalla" w:eastAsia="Times New Roman" w:hAnsi="Sakkal Majalla" w:cs="Sakkal Majalla"/>
          <w:sz w:val="28"/>
          <w:szCs w:val="28"/>
        </w:rPr>
        <w:t>, 2023</w:t>
      </w:r>
      <w:r w:rsidRPr="00490182">
        <w:rPr>
          <w:rFonts w:ascii="Sakkal Majalla" w:eastAsia="Times New Roman" w:hAnsi="Sakkal Majalla" w:cs="Sakkal Majalla"/>
          <w:sz w:val="28"/>
          <w:szCs w:val="28"/>
          <w:rtl/>
        </w:rPr>
        <w:t>) أن تطبيق آليات الحوكمة الفعالة في الشركات السعودية المدرجة يؤدي إلى تحسين الأداء بشكل ملحوظ، مما يعزز ثقة أصحاب المصلحة ويدعم استدامة الأعمال.</w:t>
      </w:r>
    </w:p>
    <w:p w14:paraId="58A24B9C" w14:textId="77777777" w:rsidR="00490182" w:rsidRPr="00490182" w:rsidRDefault="00490182" w:rsidP="00490182">
      <w:pPr>
        <w:bidi/>
        <w:spacing w:after="0" w:line="240" w:lineRule="auto"/>
        <w:jc w:val="both"/>
        <w:rPr>
          <w:rFonts w:ascii="Sakkal Majalla" w:eastAsia="Times New Roman" w:hAnsi="Sakkal Majalla" w:cs="Sakkal Majalla"/>
          <w:sz w:val="28"/>
          <w:szCs w:val="28"/>
          <w:rtl/>
        </w:rPr>
      </w:pPr>
    </w:p>
    <w:p w14:paraId="53CD2E31" w14:textId="77777777" w:rsidR="00490182" w:rsidRPr="00490182" w:rsidRDefault="00490182" w:rsidP="00490182">
      <w:pPr>
        <w:bidi/>
        <w:spacing w:after="0" w:line="240"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ثانياً: آليات الحوكمة وتأثيرها على الأداء</w:t>
      </w:r>
    </w:p>
    <w:p w14:paraId="0171ED0A" w14:textId="77777777" w:rsidR="00490182" w:rsidRDefault="00490182" w:rsidP="00490182">
      <w:pPr>
        <w:bidi/>
        <w:spacing w:after="0" w:line="240"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تتعدد آليات الحوكمة التي يمكن للمنظمات تطبيقها، وقد ركزت الدراسات في السياق السعودي على عدة آليات رئيسية. تشير دراسة (</w:t>
      </w:r>
      <w:proofErr w:type="spellStart"/>
      <w:r w:rsidRPr="00490182">
        <w:rPr>
          <w:rFonts w:ascii="Sakkal Majalla" w:eastAsia="Times New Roman" w:hAnsi="Sakkal Majalla" w:cs="Sakkal Majalla"/>
          <w:sz w:val="28"/>
          <w:szCs w:val="28"/>
        </w:rPr>
        <w:t>Boshnak</w:t>
      </w:r>
      <w:proofErr w:type="spellEnd"/>
      <w:r w:rsidRPr="00490182">
        <w:rPr>
          <w:rFonts w:ascii="Sakkal Majalla" w:eastAsia="Times New Roman" w:hAnsi="Sakkal Majalla" w:cs="Sakkal Majalla"/>
          <w:sz w:val="28"/>
          <w:szCs w:val="28"/>
        </w:rPr>
        <w:t>, 2023</w:t>
      </w:r>
      <w:r w:rsidRPr="00490182">
        <w:rPr>
          <w:rFonts w:ascii="Sakkal Majalla" w:eastAsia="Times New Roman" w:hAnsi="Sakkal Majalla" w:cs="Sakkal Majalla"/>
          <w:sz w:val="28"/>
          <w:szCs w:val="28"/>
          <w:rtl/>
        </w:rPr>
        <w:t>) إلى أن حجم مجلس الإدارة، واستقلالية أعضائه، ووجود لجان متخصصة (مثل لجنة المراجعة ولجنة المكافآت) هي من أهم الآليات التي تؤثر إيجاباً على أداء الشركات السعودية. كما تؤكد دراسة (القحطاني، 2022) على أهمية الإفصاح والشفافية كآلية أساسية لضمان حقوق المساهمين وتحسين كفاءة الأداء المالي. وتعتبر هذه الآليات جزءاً من مؤشر شامل لجودة الحوكمة، كما تم تطويره في دراسة (</w:t>
      </w:r>
      <w:r w:rsidRPr="00490182">
        <w:rPr>
          <w:rFonts w:ascii="Sakkal Majalla" w:eastAsia="Times New Roman" w:hAnsi="Sakkal Majalla" w:cs="Sakkal Majalla"/>
          <w:sz w:val="28"/>
          <w:szCs w:val="28"/>
        </w:rPr>
        <w:t>Brown</w:t>
      </w:r>
      <w:r w:rsidRPr="00490182">
        <w:rPr>
          <w:rFonts w:ascii="Sakkal Majalla" w:eastAsia="Times New Roman" w:hAnsi="Sakkal Majalla" w:cs="Sakkal Majalla"/>
          <w:sz w:val="28"/>
          <w:szCs w:val="28"/>
          <w:rtl/>
        </w:rPr>
        <w:t xml:space="preserve"> &amp; </w:t>
      </w:r>
      <w:r w:rsidRPr="00490182">
        <w:rPr>
          <w:rFonts w:ascii="Sakkal Majalla" w:eastAsia="Times New Roman" w:hAnsi="Sakkal Majalla" w:cs="Sakkal Majalla"/>
          <w:sz w:val="28"/>
          <w:szCs w:val="28"/>
        </w:rPr>
        <w:t>Caylor, 2009</w:t>
      </w:r>
      <w:r w:rsidRPr="00490182">
        <w:rPr>
          <w:rFonts w:ascii="Sakkal Majalla" w:eastAsia="Times New Roman" w:hAnsi="Sakkal Majalla" w:cs="Sakkal Majalla"/>
          <w:sz w:val="28"/>
          <w:szCs w:val="28"/>
          <w:rtl/>
        </w:rPr>
        <w:t>)، والذي أثبت فعاليته في قياس أثر الحوكمة على الأداء.</w:t>
      </w:r>
    </w:p>
    <w:p w14:paraId="3840CAC7" w14:textId="77777777" w:rsidR="00490182" w:rsidRPr="00490182" w:rsidRDefault="00490182" w:rsidP="00490182">
      <w:pPr>
        <w:bidi/>
        <w:spacing w:after="0" w:line="240" w:lineRule="auto"/>
        <w:jc w:val="both"/>
        <w:rPr>
          <w:rFonts w:ascii="Sakkal Majalla" w:eastAsia="Times New Roman" w:hAnsi="Sakkal Majalla" w:cs="Sakkal Majalla"/>
          <w:sz w:val="28"/>
          <w:szCs w:val="28"/>
          <w:rtl/>
        </w:rPr>
      </w:pPr>
    </w:p>
    <w:p w14:paraId="0A9F46F1" w14:textId="1C390CEB" w:rsidR="00490182" w:rsidRPr="00490182" w:rsidRDefault="00490182" w:rsidP="00490182">
      <w:pPr>
        <w:bidi/>
        <w:spacing w:after="0" w:line="240"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 xml:space="preserve">حور </w:t>
      </w:r>
      <w:r w:rsidRPr="00490182">
        <w:rPr>
          <w:rFonts w:ascii="Sakkal Majalla" w:eastAsia="Times New Roman" w:hAnsi="Sakkal Majalla" w:cs="Sakkal Majalla"/>
          <w:b/>
          <w:bCs/>
          <w:sz w:val="28"/>
          <w:szCs w:val="28"/>
          <w:rtl/>
        </w:rPr>
        <w:t>الثاني: أثر الحوكمة على التميز التشغيلي</w:t>
      </w:r>
    </w:p>
    <w:p w14:paraId="1B7148C5" w14:textId="77777777" w:rsidR="00490182" w:rsidRPr="00490182" w:rsidRDefault="00490182" w:rsidP="00490182">
      <w:pPr>
        <w:bidi/>
        <w:spacing w:after="0" w:line="240"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أولاً: مفهوم التميز التشغيلي</w:t>
      </w:r>
    </w:p>
    <w:p w14:paraId="64017BE7" w14:textId="77777777" w:rsidR="00490182" w:rsidRDefault="00490182" w:rsidP="00490182">
      <w:pPr>
        <w:bidi/>
        <w:spacing w:after="0" w:line="240"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يُعرّف التميز التشغيلي بأنه قدرة المنظمة على تحقيق أهدافها بكفاءة وفعالية، من خلال التحسين المستمر للعمليات وتقليل الهدر والتكاليف. يركز التميز التشغيلي على الجوانب الداخلية للمنظمة، مثل جودة المنتجات والخدمات، وسرعة الاستجابة، وكفاءة استخدام الموارد. وقد أشار (القحطاني، 2022) إلى أن كفاءة مؤشرات الأداء المالي هي انعكاس مباشر للتميز التشغيلي في المنظمة. وتعتبر مقاييس مثل العائد على الأصول (</w:t>
      </w:r>
      <w:r w:rsidRPr="00490182">
        <w:rPr>
          <w:rFonts w:ascii="Sakkal Majalla" w:eastAsia="Times New Roman" w:hAnsi="Sakkal Majalla" w:cs="Sakkal Majalla"/>
          <w:sz w:val="28"/>
          <w:szCs w:val="28"/>
        </w:rPr>
        <w:t>ROA</w:t>
      </w:r>
      <w:r w:rsidRPr="00490182">
        <w:rPr>
          <w:rFonts w:ascii="Sakkal Majalla" w:eastAsia="Times New Roman" w:hAnsi="Sakkal Majalla" w:cs="Sakkal Majalla"/>
          <w:sz w:val="28"/>
          <w:szCs w:val="28"/>
          <w:rtl/>
        </w:rPr>
        <w:t>) وهامش الربح التشغيلي من أهم مؤشرات قياس الأداء التشغيلي، كما استخدمتها دراسة (</w:t>
      </w:r>
      <w:r w:rsidRPr="00490182">
        <w:rPr>
          <w:rFonts w:ascii="Sakkal Majalla" w:eastAsia="Times New Roman" w:hAnsi="Sakkal Majalla" w:cs="Sakkal Majalla"/>
          <w:sz w:val="28"/>
          <w:szCs w:val="28"/>
        </w:rPr>
        <w:t>Brown</w:t>
      </w:r>
      <w:r w:rsidRPr="00490182">
        <w:rPr>
          <w:rFonts w:ascii="Sakkal Majalla" w:eastAsia="Times New Roman" w:hAnsi="Sakkal Majalla" w:cs="Sakkal Majalla"/>
          <w:sz w:val="28"/>
          <w:szCs w:val="28"/>
          <w:rtl/>
        </w:rPr>
        <w:t xml:space="preserve"> &amp; </w:t>
      </w:r>
      <w:r w:rsidRPr="00490182">
        <w:rPr>
          <w:rFonts w:ascii="Sakkal Majalla" w:eastAsia="Times New Roman" w:hAnsi="Sakkal Majalla" w:cs="Sakkal Majalla"/>
          <w:sz w:val="28"/>
          <w:szCs w:val="28"/>
        </w:rPr>
        <w:t>Caylor, 2009</w:t>
      </w:r>
      <w:r w:rsidRPr="00490182">
        <w:rPr>
          <w:rFonts w:ascii="Sakkal Majalla" w:eastAsia="Times New Roman" w:hAnsi="Sakkal Majalla" w:cs="Sakkal Majalla"/>
          <w:sz w:val="28"/>
          <w:szCs w:val="28"/>
          <w:rtl/>
        </w:rPr>
        <w:t>).</w:t>
      </w:r>
    </w:p>
    <w:p w14:paraId="5675BC48" w14:textId="77777777" w:rsidR="00490182" w:rsidRPr="00490182" w:rsidRDefault="00490182" w:rsidP="00490182">
      <w:pPr>
        <w:bidi/>
        <w:spacing w:after="0" w:line="240" w:lineRule="auto"/>
        <w:jc w:val="both"/>
        <w:rPr>
          <w:rFonts w:ascii="Sakkal Majalla" w:eastAsia="Times New Roman" w:hAnsi="Sakkal Majalla" w:cs="Sakkal Majalla"/>
          <w:b/>
          <w:bCs/>
          <w:sz w:val="28"/>
          <w:szCs w:val="28"/>
          <w:rtl/>
        </w:rPr>
      </w:pPr>
    </w:p>
    <w:p w14:paraId="27FB364E" w14:textId="77777777" w:rsidR="00490182" w:rsidRPr="00490182" w:rsidRDefault="00490182" w:rsidP="00490182">
      <w:pPr>
        <w:bidi/>
        <w:spacing w:after="0" w:line="240"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ثانياً: العلاقة بين الحوكمة والتميز التشغيلي</w:t>
      </w:r>
    </w:p>
    <w:p w14:paraId="6B5F2759" w14:textId="77777777" w:rsidR="00490182" w:rsidRDefault="00490182" w:rsidP="00490182">
      <w:pPr>
        <w:bidi/>
        <w:spacing w:after="0" w:line="240"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تؤكد الأدبيات العالمية والسعودية على وجود علاقة قوية ومباشرة بين الحوكمة المؤسسية والتميز التشغيلي. فالحوكمة الجيدة توفر إطاراً للرقابة والمساءلة يضمن كفاءة العمليات ويقلل من الانحرافات والتباين في الأداء والمشاكل الإدارية. وقد أثبتت دراسة (</w:t>
      </w:r>
      <w:r w:rsidRPr="00490182">
        <w:rPr>
          <w:rFonts w:ascii="Sakkal Majalla" w:eastAsia="Times New Roman" w:hAnsi="Sakkal Majalla" w:cs="Sakkal Majalla"/>
          <w:sz w:val="28"/>
          <w:szCs w:val="28"/>
        </w:rPr>
        <w:t>Brown</w:t>
      </w:r>
      <w:r w:rsidRPr="00490182">
        <w:rPr>
          <w:rFonts w:ascii="Sakkal Majalla" w:eastAsia="Times New Roman" w:hAnsi="Sakkal Majalla" w:cs="Sakkal Majalla"/>
          <w:sz w:val="28"/>
          <w:szCs w:val="28"/>
          <w:rtl/>
        </w:rPr>
        <w:t xml:space="preserve"> &amp; </w:t>
      </w:r>
      <w:r w:rsidRPr="00490182">
        <w:rPr>
          <w:rFonts w:ascii="Sakkal Majalla" w:eastAsia="Times New Roman" w:hAnsi="Sakkal Majalla" w:cs="Sakkal Majalla"/>
          <w:sz w:val="28"/>
          <w:szCs w:val="28"/>
        </w:rPr>
        <w:t>Caylor, 2009</w:t>
      </w:r>
      <w:r w:rsidRPr="00490182">
        <w:rPr>
          <w:rFonts w:ascii="Sakkal Majalla" w:eastAsia="Times New Roman" w:hAnsi="Sakkal Majalla" w:cs="Sakkal Majalla"/>
          <w:sz w:val="28"/>
          <w:szCs w:val="28"/>
          <w:rtl/>
        </w:rPr>
        <w:t>) بشكل قاطع أن المنظمات ذات الحوكمة الأفضل تتمتع بأداء تشغيلي أعلى. وتم تأكيد هذه النتيجة في سياق آخر من خلال دراسة (</w:t>
      </w:r>
      <w:proofErr w:type="spellStart"/>
      <w:r w:rsidRPr="00490182">
        <w:rPr>
          <w:rFonts w:ascii="Sakkal Majalla" w:eastAsia="Times New Roman" w:hAnsi="Sakkal Majalla" w:cs="Sakkal Majalla"/>
          <w:sz w:val="28"/>
          <w:szCs w:val="28"/>
        </w:rPr>
        <w:t>Wandroski</w:t>
      </w:r>
      <w:proofErr w:type="spellEnd"/>
      <w:r w:rsidRPr="00490182">
        <w:rPr>
          <w:rFonts w:ascii="Sakkal Majalla" w:eastAsia="Times New Roman" w:hAnsi="Sakkal Majalla" w:cs="Sakkal Majalla"/>
          <w:sz w:val="28"/>
          <w:szCs w:val="28"/>
        </w:rPr>
        <w:t xml:space="preserve"> Peris et al., 2017</w:t>
      </w:r>
      <w:r w:rsidRPr="00490182">
        <w:rPr>
          <w:rFonts w:ascii="Sakkal Majalla" w:eastAsia="Times New Roman" w:hAnsi="Sakkal Majalla" w:cs="Sakkal Majalla"/>
          <w:sz w:val="28"/>
          <w:szCs w:val="28"/>
          <w:rtl/>
        </w:rPr>
        <w:t>) التي أجابت بـ "نعم" على سؤال "هل الحوكمة الأفضل تزيد من الأداء التشغيلي؟". وفي السياق الخليجي، توصلت دراسة (</w:t>
      </w:r>
      <w:proofErr w:type="spellStart"/>
      <w:r w:rsidRPr="00490182">
        <w:rPr>
          <w:rFonts w:ascii="Sakkal Majalla" w:eastAsia="Times New Roman" w:hAnsi="Sakkal Majalla" w:cs="Sakkal Majalla"/>
          <w:sz w:val="28"/>
          <w:szCs w:val="28"/>
        </w:rPr>
        <w:t>Buallay</w:t>
      </w:r>
      <w:proofErr w:type="spellEnd"/>
      <w:r w:rsidRPr="00490182">
        <w:rPr>
          <w:rFonts w:ascii="Sakkal Majalla" w:eastAsia="Times New Roman" w:hAnsi="Sakkal Majalla" w:cs="Sakkal Majalla"/>
          <w:sz w:val="28"/>
          <w:szCs w:val="28"/>
        </w:rPr>
        <w:t>, 2017</w:t>
      </w:r>
      <w:r w:rsidRPr="00490182">
        <w:rPr>
          <w:rFonts w:ascii="Sakkal Majalla" w:eastAsia="Times New Roman" w:hAnsi="Sakkal Majalla" w:cs="Sakkal Majalla"/>
          <w:sz w:val="28"/>
          <w:szCs w:val="28"/>
          <w:rtl/>
        </w:rPr>
        <w:t>) إلى نفس النتيجة وهذا ما يدعم الفرضية الأولى للدراسة الحالية التي تفترض وجود أثر إيجابي للحوكمة على التميز التشغيلي.</w:t>
      </w:r>
    </w:p>
    <w:p w14:paraId="0A8D94E7" w14:textId="77777777" w:rsidR="00490182" w:rsidRPr="00490182" w:rsidRDefault="00490182" w:rsidP="00490182">
      <w:pPr>
        <w:bidi/>
        <w:spacing w:after="0" w:line="240" w:lineRule="auto"/>
        <w:jc w:val="both"/>
        <w:rPr>
          <w:rFonts w:ascii="Sakkal Majalla" w:eastAsia="Times New Roman" w:hAnsi="Sakkal Majalla" w:cs="Sakkal Majalla"/>
          <w:sz w:val="28"/>
          <w:szCs w:val="28"/>
          <w:rtl/>
        </w:rPr>
      </w:pPr>
    </w:p>
    <w:p w14:paraId="3C757971" w14:textId="08C9412D" w:rsidR="00490182" w:rsidRPr="00490182" w:rsidRDefault="00490182" w:rsidP="00490182">
      <w:pPr>
        <w:bidi/>
        <w:spacing w:after="0" w:line="240"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حور</w:t>
      </w:r>
      <w:r w:rsidRPr="00490182">
        <w:rPr>
          <w:rFonts w:ascii="Sakkal Majalla" w:eastAsia="Times New Roman" w:hAnsi="Sakkal Majalla" w:cs="Sakkal Majalla"/>
          <w:b/>
          <w:bCs/>
          <w:sz w:val="28"/>
          <w:szCs w:val="28"/>
          <w:rtl/>
        </w:rPr>
        <w:t xml:space="preserve"> الثالث: أثر الحوكمة على التميز الاستراتيجي</w:t>
      </w:r>
    </w:p>
    <w:p w14:paraId="01C0C47D" w14:textId="77777777" w:rsidR="00490182" w:rsidRPr="00490182" w:rsidRDefault="00490182" w:rsidP="00490182">
      <w:pPr>
        <w:bidi/>
        <w:spacing w:after="0" w:line="240"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أولاً: مفهوم التميز الاستراتيجي</w:t>
      </w:r>
    </w:p>
    <w:p w14:paraId="5B3E9A1E" w14:textId="77777777" w:rsidR="00490182" w:rsidRDefault="00490182" w:rsidP="00490182">
      <w:pPr>
        <w:bidi/>
        <w:spacing w:after="0" w:line="240"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lastRenderedPageBreak/>
        <w:t>يختلف التميز الاستراتيجي عن التميز التشغيلي في كونه يركز على الجوانب الخارجية للمنظمة وقدرتها على التكيف مع البيئة المحيطة وتحقيق ميزة تنافسية مستدامة. يشمل التميز الاستراتيجي القدرة على الابتكار، وتطوير نماذج أعمال جديدة، والدخول إلى أسواق جديدة، وبناء قدرات ديناميكية تمكن المنظمة من الاستجابة للتغيرات المستقبلية.</w:t>
      </w:r>
    </w:p>
    <w:p w14:paraId="4E28E4A4" w14:textId="77777777" w:rsidR="00490182" w:rsidRPr="00490182" w:rsidRDefault="00490182" w:rsidP="00490182">
      <w:pPr>
        <w:bidi/>
        <w:spacing w:after="0" w:line="240" w:lineRule="auto"/>
        <w:jc w:val="both"/>
        <w:rPr>
          <w:rFonts w:ascii="Sakkal Majalla" w:eastAsia="Times New Roman" w:hAnsi="Sakkal Majalla" w:cs="Sakkal Majalla"/>
          <w:sz w:val="28"/>
          <w:szCs w:val="28"/>
          <w:rtl/>
        </w:rPr>
      </w:pPr>
    </w:p>
    <w:p w14:paraId="0BAB5F46" w14:textId="77777777" w:rsidR="00490182" w:rsidRPr="00490182" w:rsidRDefault="00490182" w:rsidP="00490182">
      <w:pPr>
        <w:bidi/>
        <w:spacing w:after="0" w:line="240"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ثانياً: العلاقة بين الحوكمة والتميز الاستراتيجي</w:t>
      </w:r>
    </w:p>
    <w:p w14:paraId="4872B9E6" w14:textId="77777777" w:rsidR="00490182" w:rsidRDefault="00490182" w:rsidP="00490182">
      <w:pPr>
        <w:bidi/>
        <w:spacing w:after="0" w:line="240"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تلعب الحوكمة دوراً محورياً في تمكين التميز الاستراتيجي. فمجلس الإدارة الفعال والمستقل لا يقتصر دوره على الرقابة، بل يمتد ليشمل التوجيه الاستراتيجي ودعم الإدارة في صناعة واتخاذ القرارات. ورغم أن الدراسات التي تم استعراضها (سواء العالمية أو السعودية) ركزت بشكل أساسي على الأداء المالي والتشغيلي، إلا أن المراجعة المنهجية التي أجراها (</w:t>
      </w:r>
      <w:proofErr w:type="spellStart"/>
      <w:r w:rsidRPr="00490182">
        <w:rPr>
          <w:rFonts w:ascii="Sakkal Majalla" w:eastAsia="Times New Roman" w:hAnsi="Sakkal Majalla" w:cs="Sakkal Majalla"/>
          <w:sz w:val="28"/>
          <w:szCs w:val="28"/>
        </w:rPr>
        <w:t>Affes</w:t>
      </w:r>
      <w:proofErr w:type="spellEnd"/>
      <w:r w:rsidRPr="00490182">
        <w:rPr>
          <w:rFonts w:ascii="Sakkal Majalla" w:eastAsia="Times New Roman" w:hAnsi="Sakkal Majalla" w:cs="Sakkal Majalla"/>
          <w:sz w:val="28"/>
          <w:szCs w:val="28"/>
        </w:rPr>
        <w:t xml:space="preserve"> et al., 2023</w:t>
      </w:r>
      <w:r w:rsidRPr="00490182">
        <w:rPr>
          <w:rFonts w:ascii="Sakkal Majalla" w:eastAsia="Times New Roman" w:hAnsi="Sakkal Majalla" w:cs="Sakkal Majalla"/>
          <w:sz w:val="28"/>
          <w:szCs w:val="28"/>
          <w:rtl/>
        </w:rPr>
        <w:t>) دعت إلى ضرورة توسيع نطاق البحث ليشمل أبعاداً أخرى للأداء، مثل الابتكار والاستدامة، وهي من مكونات التميز الاستراتيجي. وهذا ما تسعى الدراسة الحالية لاختباره بشكل مباشر في الفرضية الثانية.</w:t>
      </w:r>
    </w:p>
    <w:p w14:paraId="33B9705C" w14:textId="77777777" w:rsidR="00490182" w:rsidRPr="00490182" w:rsidRDefault="00490182" w:rsidP="00490182">
      <w:pPr>
        <w:bidi/>
        <w:spacing w:after="0" w:line="240" w:lineRule="auto"/>
        <w:jc w:val="both"/>
        <w:rPr>
          <w:rFonts w:ascii="Sakkal Majalla" w:eastAsia="Times New Roman" w:hAnsi="Sakkal Majalla" w:cs="Sakkal Majalla"/>
          <w:sz w:val="28"/>
          <w:szCs w:val="28"/>
          <w:rtl/>
        </w:rPr>
      </w:pPr>
    </w:p>
    <w:p w14:paraId="7452929B" w14:textId="7B881454" w:rsidR="00490182" w:rsidRPr="00490182" w:rsidRDefault="00490182" w:rsidP="00490182">
      <w:pPr>
        <w:bidi/>
        <w:spacing w:after="0" w:line="240"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حور</w:t>
      </w:r>
      <w:r w:rsidRPr="00490182">
        <w:rPr>
          <w:rFonts w:ascii="Sakkal Majalla" w:eastAsia="Times New Roman" w:hAnsi="Sakkal Majalla" w:cs="Sakkal Majalla"/>
          <w:b/>
          <w:bCs/>
          <w:sz w:val="28"/>
          <w:szCs w:val="28"/>
          <w:rtl/>
        </w:rPr>
        <w:t xml:space="preserve"> الرابع: الدراسات السابقة والتعقيب عليها</w:t>
      </w:r>
    </w:p>
    <w:p w14:paraId="1ECF2D49" w14:textId="77777777" w:rsidR="00490182" w:rsidRPr="00490182" w:rsidRDefault="00490182" w:rsidP="00490182">
      <w:pPr>
        <w:bidi/>
        <w:spacing w:after="0" w:line="240"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أولاً: عرض الدراسات السابقة</w:t>
      </w:r>
    </w:p>
    <w:p w14:paraId="3740C32B" w14:textId="77777777" w:rsidR="00490182" w:rsidRPr="00490182" w:rsidRDefault="00490182" w:rsidP="00490182">
      <w:pPr>
        <w:pStyle w:val="ListParagraph"/>
        <w:numPr>
          <w:ilvl w:val="0"/>
          <w:numId w:val="11"/>
        </w:numPr>
        <w:bidi/>
        <w:spacing w:after="0" w:line="240" w:lineRule="auto"/>
        <w:jc w:val="both"/>
        <w:rPr>
          <w:rFonts w:ascii="Sakkal Majalla" w:eastAsia="Times New Roman" w:hAnsi="Sakkal Majalla" w:cs="Sakkal Majalla"/>
          <w:sz w:val="28"/>
          <w:szCs w:val="28"/>
        </w:rPr>
      </w:pPr>
      <w:r w:rsidRPr="00490182">
        <w:rPr>
          <w:rFonts w:ascii="Sakkal Majalla" w:eastAsia="Times New Roman" w:hAnsi="Sakkal Majalla" w:cs="Sakkal Majalla"/>
          <w:sz w:val="28"/>
          <w:szCs w:val="28"/>
          <w:rtl/>
        </w:rPr>
        <w:t>أثبتت دراسة (</w:t>
      </w:r>
      <w:r w:rsidRPr="00490182">
        <w:rPr>
          <w:rFonts w:ascii="Sakkal Majalla" w:eastAsia="Times New Roman" w:hAnsi="Sakkal Majalla" w:cs="Sakkal Majalla"/>
          <w:sz w:val="28"/>
          <w:szCs w:val="28"/>
        </w:rPr>
        <w:t>Brown</w:t>
      </w:r>
      <w:r w:rsidRPr="00490182">
        <w:rPr>
          <w:rFonts w:ascii="Sakkal Majalla" w:eastAsia="Times New Roman" w:hAnsi="Sakkal Majalla" w:cs="Sakkal Majalla"/>
          <w:sz w:val="28"/>
          <w:szCs w:val="28"/>
          <w:rtl/>
        </w:rPr>
        <w:t xml:space="preserve"> &amp; </w:t>
      </w:r>
      <w:r w:rsidRPr="00490182">
        <w:rPr>
          <w:rFonts w:ascii="Sakkal Majalla" w:eastAsia="Times New Roman" w:hAnsi="Sakkal Majalla" w:cs="Sakkal Majalla"/>
          <w:sz w:val="28"/>
          <w:szCs w:val="28"/>
        </w:rPr>
        <w:t>Caylor, 2009</w:t>
      </w:r>
      <w:r w:rsidRPr="00490182">
        <w:rPr>
          <w:rFonts w:ascii="Sakkal Majalla" w:eastAsia="Times New Roman" w:hAnsi="Sakkal Majalla" w:cs="Sakkal Majalla"/>
          <w:sz w:val="28"/>
          <w:szCs w:val="28"/>
          <w:rtl/>
        </w:rPr>
        <w:t>) في السوق الأمريكي وجود علاقة سببية بين جودة الحوكمة والأداء التشغيلي. وأكدت دراسة (</w:t>
      </w:r>
      <w:proofErr w:type="spellStart"/>
      <w:r w:rsidRPr="00490182">
        <w:rPr>
          <w:rFonts w:ascii="Sakkal Majalla" w:eastAsia="Times New Roman" w:hAnsi="Sakkal Majalla" w:cs="Sakkal Majalla"/>
          <w:sz w:val="28"/>
          <w:szCs w:val="28"/>
        </w:rPr>
        <w:t>Wandroski</w:t>
      </w:r>
      <w:proofErr w:type="spellEnd"/>
      <w:r w:rsidRPr="00490182">
        <w:rPr>
          <w:rFonts w:ascii="Sakkal Majalla" w:eastAsia="Times New Roman" w:hAnsi="Sakkal Majalla" w:cs="Sakkal Majalla"/>
          <w:sz w:val="28"/>
          <w:szCs w:val="28"/>
        </w:rPr>
        <w:t xml:space="preserve"> Peris et al., 2017</w:t>
      </w:r>
      <w:r w:rsidRPr="00490182">
        <w:rPr>
          <w:rFonts w:ascii="Sakkal Majalla" w:eastAsia="Times New Roman" w:hAnsi="Sakkal Majalla" w:cs="Sakkal Majalla"/>
          <w:sz w:val="28"/>
          <w:szCs w:val="28"/>
          <w:rtl/>
        </w:rPr>
        <w:t>) هذه النتيجة في سياق الأسواق الناشئة. وجاءت المراجعة المنهجية لـ (</w:t>
      </w:r>
      <w:proofErr w:type="spellStart"/>
      <w:r w:rsidRPr="00490182">
        <w:rPr>
          <w:rFonts w:ascii="Sakkal Majalla" w:eastAsia="Times New Roman" w:hAnsi="Sakkal Majalla" w:cs="Sakkal Majalla"/>
          <w:sz w:val="28"/>
          <w:szCs w:val="28"/>
        </w:rPr>
        <w:t>Affes</w:t>
      </w:r>
      <w:proofErr w:type="spellEnd"/>
      <w:r w:rsidRPr="00490182">
        <w:rPr>
          <w:rFonts w:ascii="Sakkal Majalla" w:eastAsia="Times New Roman" w:hAnsi="Sakkal Majalla" w:cs="Sakkal Majalla"/>
          <w:sz w:val="28"/>
          <w:szCs w:val="28"/>
        </w:rPr>
        <w:t xml:space="preserve"> et al., 2023</w:t>
      </w:r>
      <w:r w:rsidRPr="00490182">
        <w:rPr>
          <w:rFonts w:ascii="Sakkal Majalla" w:eastAsia="Times New Roman" w:hAnsi="Sakkal Majalla" w:cs="Sakkal Majalla"/>
          <w:sz w:val="28"/>
          <w:szCs w:val="28"/>
          <w:rtl/>
        </w:rPr>
        <w:t>) لتؤكد أن هذا الاتجاه ثابت في الأدبيات العالمية، مع الدعوة إلى توسيع نطاق البحث.</w:t>
      </w:r>
    </w:p>
    <w:p w14:paraId="2FA1B47F" w14:textId="453F8613" w:rsidR="00490182" w:rsidRPr="00490182" w:rsidRDefault="00490182" w:rsidP="00490182">
      <w:pPr>
        <w:pStyle w:val="ListParagraph"/>
        <w:numPr>
          <w:ilvl w:val="0"/>
          <w:numId w:val="11"/>
        </w:numPr>
        <w:bidi/>
        <w:spacing w:after="0" w:line="240" w:lineRule="auto"/>
        <w:jc w:val="both"/>
        <w:rPr>
          <w:rFonts w:ascii="Sakkal Majalla" w:eastAsia="Times New Roman" w:hAnsi="Sakkal Majalla" w:cs="Sakkal Majalla"/>
          <w:sz w:val="28"/>
          <w:szCs w:val="28"/>
        </w:rPr>
      </w:pPr>
      <w:r w:rsidRPr="00490182">
        <w:rPr>
          <w:rFonts w:ascii="Sakkal Majalla" w:eastAsia="Times New Roman" w:hAnsi="Sakkal Majalla" w:cs="Sakkal Majalla"/>
          <w:sz w:val="28"/>
          <w:szCs w:val="28"/>
          <w:rtl/>
        </w:rPr>
        <w:t>تعتبر دراسة (</w:t>
      </w:r>
      <w:proofErr w:type="spellStart"/>
      <w:r w:rsidRPr="00490182">
        <w:rPr>
          <w:rFonts w:ascii="Sakkal Majalla" w:eastAsia="Times New Roman" w:hAnsi="Sakkal Majalla" w:cs="Sakkal Majalla"/>
          <w:sz w:val="28"/>
          <w:szCs w:val="28"/>
        </w:rPr>
        <w:t>Buallay</w:t>
      </w:r>
      <w:proofErr w:type="spellEnd"/>
      <w:r w:rsidRPr="00490182">
        <w:rPr>
          <w:rFonts w:ascii="Sakkal Majalla" w:eastAsia="Times New Roman" w:hAnsi="Sakkal Majalla" w:cs="Sakkal Majalla"/>
          <w:sz w:val="28"/>
          <w:szCs w:val="28"/>
        </w:rPr>
        <w:t>, 2017</w:t>
      </w:r>
      <w:r w:rsidRPr="00490182">
        <w:rPr>
          <w:rFonts w:ascii="Sakkal Majalla" w:eastAsia="Times New Roman" w:hAnsi="Sakkal Majalla" w:cs="Sakkal Majalla"/>
          <w:sz w:val="28"/>
          <w:szCs w:val="28"/>
          <w:rtl/>
        </w:rPr>
        <w:t>) من أقوى الدراسات في السياق الخليجي، حيث أثبتت العلاقة الإيجابية بين الحوكمة والأداء. وركزت دراسة (القحطاني، 2022) بشكل خاص على الشركات السعودية، وأكدت أن الحوكمة تحسن كفاءة الأداء المالي. وجاءت دراسة (</w:t>
      </w:r>
      <w:proofErr w:type="spellStart"/>
      <w:r w:rsidRPr="00490182">
        <w:rPr>
          <w:rFonts w:ascii="Sakkal Majalla" w:eastAsia="Times New Roman" w:hAnsi="Sakkal Majalla" w:cs="Sakkal Majalla"/>
          <w:sz w:val="28"/>
          <w:szCs w:val="28"/>
        </w:rPr>
        <w:t>Boshnak</w:t>
      </w:r>
      <w:proofErr w:type="spellEnd"/>
      <w:r w:rsidRPr="00490182">
        <w:rPr>
          <w:rFonts w:ascii="Sakkal Majalla" w:eastAsia="Times New Roman" w:hAnsi="Sakkal Majalla" w:cs="Sakkal Majalla"/>
          <w:sz w:val="28"/>
          <w:szCs w:val="28"/>
        </w:rPr>
        <w:t>, 2023</w:t>
      </w:r>
      <w:r w:rsidRPr="00490182">
        <w:rPr>
          <w:rFonts w:ascii="Sakkal Majalla" w:eastAsia="Times New Roman" w:hAnsi="Sakkal Majalla" w:cs="Sakkal Majalla"/>
          <w:sz w:val="28"/>
          <w:szCs w:val="28"/>
          <w:rtl/>
        </w:rPr>
        <w:t>) الأحدث لتؤكد مجدداً على الدور الإيجابي لآليات الحوكمة في تحسين أداء الشركات السعودية.</w:t>
      </w:r>
    </w:p>
    <w:p w14:paraId="012E80AF" w14:textId="77777777" w:rsidR="00490182" w:rsidRPr="00490182" w:rsidRDefault="00490182" w:rsidP="00490182">
      <w:pPr>
        <w:pStyle w:val="ListParagraph"/>
        <w:bidi/>
        <w:spacing w:after="0" w:line="240" w:lineRule="auto"/>
        <w:jc w:val="both"/>
        <w:rPr>
          <w:rFonts w:ascii="Sakkal Majalla" w:eastAsia="Times New Roman" w:hAnsi="Sakkal Majalla" w:cs="Sakkal Majalla"/>
          <w:b/>
          <w:bCs/>
          <w:sz w:val="28"/>
          <w:szCs w:val="28"/>
          <w:rtl/>
        </w:rPr>
      </w:pPr>
    </w:p>
    <w:p w14:paraId="69963531" w14:textId="77777777" w:rsidR="00490182" w:rsidRPr="00490182" w:rsidRDefault="00490182" w:rsidP="00490182">
      <w:pPr>
        <w:bidi/>
        <w:spacing w:after="0" w:line="240"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ثانياً: التعقيب على الدراسات السابقة وتحديد الفجوة البحثية</w:t>
      </w:r>
    </w:p>
    <w:p w14:paraId="42837676" w14:textId="77777777" w:rsidR="00490182" w:rsidRPr="00490182" w:rsidRDefault="00490182" w:rsidP="00490182">
      <w:pPr>
        <w:bidi/>
        <w:spacing w:after="0" w:line="240"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من خلال استعراض الدراسات السابقة، يتضح ما يلي:</w:t>
      </w:r>
    </w:p>
    <w:p w14:paraId="486468A7" w14:textId="35A26BDB" w:rsidR="00490182" w:rsidRPr="001F6098" w:rsidRDefault="00490182" w:rsidP="00490182">
      <w:pPr>
        <w:pStyle w:val="ListParagraph"/>
        <w:numPr>
          <w:ilvl w:val="0"/>
          <w:numId w:val="12"/>
        </w:numPr>
        <w:bidi/>
        <w:spacing w:after="0" w:line="240" w:lineRule="auto"/>
        <w:ind w:left="281" w:hanging="283"/>
        <w:jc w:val="both"/>
        <w:rPr>
          <w:rFonts w:ascii="Sakkal Majalla" w:eastAsia="Times New Roman" w:hAnsi="Sakkal Majalla" w:cs="Sakkal Majalla"/>
          <w:sz w:val="28"/>
          <w:szCs w:val="28"/>
          <w:rtl/>
        </w:rPr>
      </w:pPr>
      <w:r w:rsidRPr="00490182">
        <w:rPr>
          <w:rFonts w:ascii="Sakkal Majalla" w:eastAsia="Times New Roman" w:hAnsi="Sakkal Majalla" w:cs="Sakkal Majalla"/>
          <w:b/>
          <w:bCs/>
          <w:sz w:val="28"/>
          <w:szCs w:val="28"/>
          <w:rtl/>
        </w:rPr>
        <w:t xml:space="preserve">تكامل النتائج: </w:t>
      </w:r>
      <w:r w:rsidRPr="001F6098">
        <w:rPr>
          <w:rFonts w:ascii="Sakkal Majalla" w:eastAsia="Times New Roman" w:hAnsi="Sakkal Majalla" w:cs="Sakkal Majalla"/>
          <w:sz w:val="28"/>
          <w:szCs w:val="28"/>
          <w:rtl/>
        </w:rPr>
        <w:t>هناك إجماع في الأدبيات العالمية والسعودية على وجود علاقة إيجابية بين الحوكمة والأداء المؤسسي بشكل عام.</w:t>
      </w:r>
    </w:p>
    <w:p w14:paraId="4F0FBC10" w14:textId="56BA4B2C" w:rsidR="00490182" w:rsidRPr="00490182" w:rsidRDefault="00490182" w:rsidP="00490182">
      <w:pPr>
        <w:pStyle w:val="ListParagraph"/>
        <w:numPr>
          <w:ilvl w:val="0"/>
          <w:numId w:val="12"/>
        </w:numPr>
        <w:bidi/>
        <w:spacing w:after="0" w:line="240" w:lineRule="auto"/>
        <w:ind w:left="281" w:hanging="283"/>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 xml:space="preserve">التركيز على الأداء التشغيلي: </w:t>
      </w:r>
      <w:r w:rsidRPr="001F6098">
        <w:rPr>
          <w:rFonts w:ascii="Sakkal Majalla" w:eastAsia="Times New Roman" w:hAnsi="Sakkal Majalla" w:cs="Sakkal Majalla"/>
          <w:sz w:val="28"/>
          <w:szCs w:val="28"/>
          <w:rtl/>
        </w:rPr>
        <w:t>ركزت الدراسات السابقة بشكل أساسي على الأداء المالي والتشغيلي، وأثبتت أن الحوكمة تحسن الكفاءة وتقلل التكاليف.</w:t>
      </w:r>
    </w:p>
    <w:p w14:paraId="29AE9325" w14:textId="6C63C1EB" w:rsidR="00490182" w:rsidRDefault="00490182" w:rsidP="00490182">
      <w:pPr>
        <w:pStyle w:val="ListParagraph"/>
        <w:numPr>
          <w:ilvl w:val="0"/>
          <w:numId w:val="12"/>
        </w:numPr>
        <w:bidi/>
        <w:spacing w:after="0" w:line="240" w:lineRule="auto"/>
        <w:ind w:left="423"/>
        <w:jc w:val="both"/>
        <w:rPr>
          <w:rFonts w:ascii="Sakkal Majalla" w:eastAsia="Times New Roman" w:hAnsi="Sakkal Majalla" w:cs="Sakkal Majalla"/>
          <w:sz w:val="28"/>
          <w:szCs w:val="28"/>
        </w:rPr>
      </w:pPr>
      <w:r w:rsidRPr="00490182">
        <w:rPr>
          <w:rFonts w:ascii="Sakkal Majalla" w:eastAsia="Times New Roman" w:hAnsi="Sakkal Majalla" w:cs="Sakkal Majalla"/>
          <w:b/>
          <w:bCs/>
          <w:sz w:val="28"/>
          <w:szCs w:val="28"/>
          <w:rtl/>
        </w:rPr>
        <w:t xml:space="preserve">إغفال التميز الاستراتيجي: </w:t>
      </w:r>
      <w:r w:rsidRPr="001F6098">
        <w:rPr>
          <w:rFonts w:ascii="Sakkal Majalla" w:eastAsia="Times New Roman" w:hAnsi="Sakkal Majalla" w:cs="Sakkal Majalla"/>
          <w:sz w:val="28"/>
          <w:szCs w:val="28"/>
          <w:rtl/>
        </w:rPr>
        <w:t>في حدود علم الباحث، لم تتناول أي من الدراسات السابقة (سواء العالمية أو السعودية) أثر الحوكمة على التميز الاستراتيجي بشكل مباشر ومستقل. فالدراسات ركزت على "كيف تعمل المنظمة بشكل صحيح" (التميز التشغيلي)، ولم تختبر دور الحوكمة في "كيف تختار المنظمة العمل الصحيح" (التميز الاستراتيجي).</w:t>
      </w:r>
    </w:p>
    <w:p w14:paraId="7CA1ABAC" w14:textId="77777777" w:rsidR="001F6098" w:rsidRPr="001F6098" w:rsidRDefault="001F6098" w:rsidP="001F6098">
      <w:pPr>
        <w:pStyle w:val="ListParagraph"/>
        <w:bidi/>
        <w:spacing w:after="0" w:line="240" w:lineRule="auto"/>
        <w:ind w:left="423"/>
        <w:jc w:val="both"/>
        <w:rPr>
          <w:rFonts w:ascii="Sakkal Majalla" w:eastAsia="Times New Roman" w:hAnsi="Sakkal Majalla" w:cs="Sakkal Majalla"/>
          <w:sz w:val="28"/>
          <w:szCs w:val="28"/>
          <w:rtl/>
        </w:rPr>
      </w:pPr>
    </w:p>
    <w:p w14:paraId="294FCA69" w14:textId="581605DF" w:rsidR="00490182" w:rsidRPr="00687CA0" w:rsidRDefault="00490182" w:rsidP="001F6098">
      <w:pPr>
        <w:bidi/>
        <w:spacing w:after="0" w:line="240" w:lineRule="auto"/>
        <w:ind w:left="63"/>
        <w:jc w:val="both"/>
        <w:rPr>
          <w:rFonts w:ascii="Sakkal Majalla" w:eastAsia="Times New Roman" w:hAnsi="Sakkal Majalla" w:cs="Sakkal Majalla"/>
          <w:sz w:val="28"/>
          <w:szCs w:val="28"/>
          <w:rtl/>
        </w:rPr>
      </w:pPr>
      <w:r w:rsidRPr="00687CA0">
        <w:rPr>
          <w:rFonts w:ascii="Sakkal Majalla" w:eastAsia="Times New Roman" w:hAnsi="Sakkal Majalla" w:cs="Sakkal Majalla"/>
          <w:sz w:val="28"/>
          <w:szCs w:val="28"/>
          <w:rtl/>
        </w:rPr>
        <w:t>بناءً على ذلك، تكمن الفجوة البحثية التي تسعى هذه الدراسة لسدها في عدم وجود دراسة ميدانية اختبرت الأثر المزدوج للحوكمة المؤسسية على كل من التميز التشغيلي والتميز الاستراتيجي كمتغيرين تابعين مستقلين ومتكاملين.</w:t>
      </w:r>
      <w:r w:rsidR="004204FB" w:rsidRPr="00687CA0">
        <w:rPr>
          <w:rFonts w:ascii="Sakkal Majalla" w:eastAsia="Times New Roman" w:hAnsi="Sakkal Majalla" w:cs="Sakkal Majalla"/>
          <w:sz w:val="28"/>
          <w:szCs w:val="28"/>
        </w:rPr>
        <w:t xml:space="preserve"> </w:t>
      </w:r>
      <w:r w:rsidRPr="00687CA0">
        <w:rPr>
          <w:rFonts w:ascii="Sakkal Majalla" w:eastAsia="Times New Roman" w:hAnsi="Sakkal Majalla" w:cs="Sakkal Majalla"/>
          <w:sz w:val="28"/>
          <w:szCs w:val="28"/>
          <w:rtl/>
        </w:rPr>
        <w:t>تسعى هذه الدراسة لتقديم نموذج شامل يوضح كيف يمكن للحوكمة أن تدعم المنظمات السعودية ليس فقط في تحسين عملياتها الحالية، بل أيضاً في بناء قدراتها المستقبلية وتحقيق ميزة تنافسية مستدامة في ظل رؤية 2030.</w:t>
      </w:r>
    </w:p>
    <w:p w14:paraId="0881D68D" w14:textId="77777777" w:rsidR="00490182" w:rsidRPr="00490182" w:rsidRDefault="00490182" w:rsidP="00490182">
      <w:pPr>
        <w:bidi/>
        <w:spacing w:after="0" w:line="240" w:lineRule="auto"/>
        <w:ind w:left="63"/>
        <w:jc w:val="both"/>
        <w:rPr>
          <w:rFonts w:ascii="Sakkal Majalla" w:eastAsia="Times New Roman" w:hAnsi="Sakkal Majalla" w:cs="Sakkal Majalla"/>
          <w:b/>
          <w:bCs/>
          <w:sz w:val="28"/>
          <w:szCs w:val="28"/>
          <w:rtl/>
        </w:rPr>
      </w:pPr>
    </w:p>
    <w:p w14:paraId="7514DB0F" w14:textId="77777777" w:rsidR="00490182" w:rsidRPr="00490182" w:rsidRDefault="00490182" w:rsidP="00490182">
      <w:pPr>
        <w:bidi/>
        <w:spacing w:after="0" w:line="240"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قائمة المراجع</w:t>
      </w:r>
    </w:p>
    <w:p w14:paraId="32F7D659" w14:textId="77777777" w:rsidR="00F32CCC" w:rsidRDefault="00F32CCC" w:rsidP="00F32CCC">
      <w:pPr>
        <w:bidi/>
        <w:spacing w:after="0" w:line="240" w:lineRule="auto"/>
        <w:jc w:val="both"/>
      </w:pPr>
    </w:p>
    <w:p w14:paraId="60B1BC78" w14:textId="77777777" w:rsidR="00D8405E" w:rsidRPr="00D8405E" w:rsidRDefault="00D8405E" w:rsidP="00D8405E">
      <w:pPr>
        <w:bidi/>
        <w:spacing w:after="0" w:line="240" w:lineRule="auto"/>
        <w:jc w:val="both"/>
      </w:pPr>
      <w:proofErr w:type="spellStart"/>
      <w:r w:rsidRPr="00D8405E">
        <w:t>Affes</w:t>
      </w:r>
      <w:proofErr w:type="spellEnd"/>
      <w:r w:rsidRPr="00D8405E">
        <w:t xml:space="preserve">, W., </w:t>
      </w:r>
      <w:proofErr w:type="spellStart"/>
      <w:r w:rsidRPr="00D8405E">
        <w:t>Jarboui</w:t>
      </w:r>
      <w:proofErr w:type="spellEnd"/>
      <w:r w:rsidRPr="00D8405E">
        <w:t xml:space="preserve">, A., &amp; Khlifi, F. (2023). The impact of corporate governance on financial performance: A systematic review. PLOS ONE, 18(5), e0286573. </w:t>
      </w:r>
      <w:hyperlink r:id="rId9" w:history="1">
        <w:r w:rsidRPr="00D8405E">
          <w:rPr>
            <w:rStyle w:val="Hyperlink"/>
          </w:rPr>
          <w:t>https://doi.org/10.1371/journal.pone.0286573</w:t>
        </w:r>
      </w:hyperlink>
    </w:p>
    <w:p w14:paraId="1D983537" w14:textId="77777777" w:rsidR="00D8405E" w:rsidRPr="00D8405E" w:rsidRDefault="00D8405E" w:rsidP="00D8405E">
      <w:pPr>
        <w:bidi/>
        <w:spacing w:after="0" w:line="240" w:lineRule="auto"/>
        <w:jc w:val="both"/>
      </w:pPr>
    </w:p>
    <w:p w14:paraId="733E4EDA" w14:textId="77777777" w:rsidR="00D8405E" w:rsidRPr="00D8405E" w:rsidRDefault="00D8405E" w:rsidP="00D8405E">
      <w:pPr>
        <w:bidi/>
        <w:spacing w:after="0" w:line="240" w:lineRule="auto"/>
        <w:jc w:val="both"/>
      </w:pPr>
      <w:proofErr w:type="spellStart"/>
      <w:r w:rsidRPr="00D8405E">
        <w:t>Affes</w:t>
      </w:r>
      <w:proofErr w:type="spellEnd"/>
      <w:r w:rsidRPr="00D8405E">
        <w:t xml:space="preserve">, W., </w:t>
      </w:r>
      <w:proofErr w:type="spellStart"/>
      <w:r w:rsidRPr="00D8405E">
        <w:t>Jarboui</w:t>
      </w:r>
      <w:proofErr w:type="spellEnd"/>
      <w:r w:rsidRPr="00D8405E">
        <w:t xml:space="preserve">, S., Khatib, S. F. A., &amp; </w:t>
      </w:r>
      <w:proofErr w:type="spellStart"/>
      <w:r w:rsidRPr="00D8405E">
        <w:t>Aldoseri</w:t>
      </w:r>
      <w:proofErr w:type="spellEnd"/>
      <w:r w:rsidRPr="00D8405E">
        <w:t xml:space="preserve">, M. M. (2023). The impact of corporate governance on financial performance: A systematic review and research agenda. </w:t>
      </w:r>
      <w:proofErr w:type="spellStart"/>
      <w:r w:rsidRPr="00D8405E">
        <w:t>Heliyon</w:t>
      </w:r>
      <w:proofErr w:type="spellEnd"/>
      <w:r w:rsidRPr="00D8405E">
        <w:t xml:space="preserve">, 9(5), e16015. </w:t>
      </w:r>
      <w:hyperlink r:id="rId10" w:history="1">
        <w:r w:rsidRPr="00D8405E">
          <w:rPr>
            <w:rStyle w:val="Hyperlink"/>
          </w:rPr>
          <w:t>https://doi.org/10.1016/j.heliyon.2023.e16015</w:t>
        </w:r>
      </w:hyperlink>
    </w:p>
    <w:p w14:paraId="3863F329" w14:textId="77777777" w:rsidR="00D8405E" w:rsidRPr="00D8405E" w:rsidRDefault="00D8405E" w:rsidP="00D8405E">
      <w:pPr>
        <w:bidi/>
        <w:spacing w:after="0" w:line="240" w:lineRule="auto"/>
        <w:jc w:val="both"/>
      </w:pPr>
    </w:p>
    <w:p w14:paraId="6D74505F" w14:textId="77777777" w:rsidR="00D8405E" w:rsidRPr="00D8405E" w:rsidRDefault="00D8405E" w:rsidP="00D8405E">
      <w:pPr>
        <w:bidi/>
        <w:spacing w:after="0" w:line="240" w:lineRule="auto"/>
        <w:jc w:val="both"/>
      </w:pPr>
      <w:r w:rsidRPr="00D8405E">
        <w:t xml:space="preserve">Aguilera, R. V., &amp; Jackson, G. (2010). Comparative and international corporate governance. The Academy of Management Annals, 4(1), 485-556. </w:t>
      </w:r>
      <w:hyperlink r:id="rId11" w:history="1">
        <w:r w:rsidRPr="00D8405E">
          <w:rPr>
            <w:rStyle w:val="Hyperlink"/>
          </w:rPr>
          <w:t>https://doi.org/10.1080/19416520.2010.495525</w:t>
        </w:r>
      </w:hyperlink>
    </w:p>
    <w:p w14:paraId="223C3C9B" w14:textId="77777777" w:rsidR="00D8405E" w:rsidRPr="00D8405E" w:rsidRDefault="00D8405E" w:rsidP="00D8405E">
      <w:pPr>
        <w:bidi/>
        <w:spacing w:after="0" w:line="240" w:lineRule="auto"/>
        <w:jc w:val="both"/>
      </w:pPr>
    </w:p>
    <w:p w14:paraId="7BEDD5F4" w14:textId="77777777" w:rsidR="00D8405E" w:rsidRPr="00D8405E" w:rsidRDefault="00D8405E" w:rsidP="00D8405E">
      <w:pPr>
        <w:bidi/>
        <w:spacing w:after="0" w:line="240" w:lineRule="auto"/>
        <w:jc w:val="both"/>
      </w:pPr>
      <w:r w:rsidRPr="00D8405E">
        <w:t xml:space="preserve">Al-Faryan, M. A. S. (2020). Corporate governance in Saudi Arabia: An overview of its evolution and recent trends. Risk Governance and Control: Financial Markets &amp; Institutions, 10(1), 8-18. </w:t>
      </w:r>
      <w:hyperlink r:id="rId12" w:history="1">
        <w:r w:rsidRPr="00D8405E">
          <w:rPr>
            <w:rStyle w:val="Hyperlink"/>
          </w:rPr>
          <w:t>https://doi.org/10.22495/rgcv10i1art1</w:t>
        </w:r>
      </w:hyperlink>
    </w:p>
    <w:p w14:paraId="6E35F510" w14:textId="77777777" w:rsidR="00D8405E" w:rsidRPr="00D8405E" w:rsidRDefault="00D8405E" w:rsidP="00D8405E">
      <w:pPr>
        <w:bidi/>
        <w:spacing w:after="0" w:line="240" w:lineRule="auto"/>
        <w:jc w:val="both"/>
      </w:pPr>
    </w:p>
    <w:p w14:paraId="270757BB" w14:textId="77777777" w:rsidR="00D8405E" w:rsidRPr="00D8405E" w:rsidRDefault="00D8405E" w:rsidP="00D8405E">
      <w:pPr>
        <w:bidi/>
        <w:spacing w:after="0" w:line="240" w:lineRule="auto"/>
        <w:jc w:val="both"/>
      </w:pPr>
      <w:proofErr w:type="spellStart"/>
      <w:r w:rsidRPr="00D8405E">
        <w:t>Bamahros</w:t>
      </w:r>
      <w:proofErr w:type="spellEnd"/>
      <w:r w:rsidRPr="00D8405E">
        <w:t xml:space="preserve">, H. M., Al-Matari, E. M., &amp; Al-Ahdal, W. M. (2022). Corporate governance mechanisms and ESG reporting: Evidence from the Saudi Stock Market. Sustainability, 14(10), 6202. </w:t>
      </w:r>
      <w:hyperlink r:id="rId13" w:history="1">
        <w:r w:rsidRPr="00D8405E">
          <w:rPr>
            <w:rStyle w:val="Hyperlink"/>
          </w:rPr>
          <w:t>https://doi.org/10.3390/su14106202</w:t>
        </w:r>
      </w:hyperlink>
    </w:p>
    <w:p w14:paraId="5FBD7095" w14:textId="77777777" w:rsidR="00D8405E" w:rsidRPr="00D8405E" w:rsidRDefault="00D8405E" w:rsidP="00D8405E">
      <w:pPr>
        <w:bidi/>
        <w:spacing w:after="0" w:line="240" w:lineRule="auto"/>
        <w:jc w:val="both"/>
      </w:pPr>
    </w:p>
    <w:p w14:paraId="0194E132" w14:textId="77777777" w:rsidR="00D8405E" w:rsidRPr="00D8405E" w:rsidRDefault="00D8405E" w:rsidP="00D8405E">
      <w:pPr>
        <w:bidi/>
        <w:spacing w:after="0" w:line="240" w:lineRule="auto"/>
        <w:jc w:val="both"/>
      </w:pPr>
      <w:proofErr w:type="spellStart"/>
      <w:r w:rsidRPr="00D8405E">
        <w:t>Boshnak</w:t>
      </w:r>
      <w:proofErr w:type="spellEnd"/>
      <w:r w:rsidRPr="00D8405E">
        <w:t xml:space="preserve">, H. A. (2023). Corporate governance mechanisms and firm performance: Evidence from Saudi Arabia. Cogent Business &amp; Management, 10(1), 2195990. </w:t>
      </w:r>
      <w:hyperlink r:id="rId14" w:history="1">
        <w:r w:rsidRPr="00D8405E">
          <w:rPr>
            <w:rStyle w:val="Hyperlink"/>
          </w:rPr>
          <w:t>https://doi.org/10.1080/23311975.2023.2195990</w:t>
        </w:r>
      </w:hyperlink>
    </w:p>
    <w:p w14:paraId="478FDF34" w14:textId="77777777" w:rsidR="00D8405E" w:rsidRPr="00D8405E" w:rsidRDefault="00D8405E" w:rsidP="00D8405E">
      <w:pPr>
        <w:bidi/>
        <w:spacing w:after="0" w:line="240" w:lineRule="auto"/>
        <w:jc w:val="both"/>
      </w:pPr>
    </w:p>
    <w:p w14:paraId="7572B5E4" w14:textId="77777777" w:rsidR="00D8405E" w:rsidRPr="00D8405E" w:rsidRDefault="00D8405E" w:rsidP="00D8405E">
      <w:pPr>
        <w:bidi/>
        <w:spacing w:after="0" w:line="240" w:lineRule="auto"/>
        <w:jc w:val="both"/>
      </w:pPr>
      <w:r w:rsidRPr="00D8405E">
        <w:t xml:space="preserve">Brennan, N. M., &amp; Solomon, J. (2008). Corporate governance, accountability and mechanisms of accountability: An overview. Accounting, Auditing &amp; Accountability Journal, 21(7), 885-906. </w:t>
      </w:r>
      <w:hyperlink r:id="rId15" w:history="1">
        <w:r w:rsidRPr="00D8405E">
          <w:rPr>
            <w:rStyle w:val="Hyperlink"/>
          </w:rPr>
          <w:t>https://doi.org/10.1108/09513570810907401</w:t>
        </w:r>
      </w:hyperlink>
    </w:p>
    <w:p w14:paraId="4CB8D5A0" w14:textId="77777777" w:rsidR="00D8405E" w:rsidRPr="00D8405E" w:rsidRDefault="00D8405E" w:rsidP="00D8405E">
      <w:pPr>
        <w:bidi/>
        <w:spacing w:after="0" w:line="240" w:lineRule="auto"/>
        <w:jc w:val="both"/>
      </w:pPr>
    </w:p>
    <w:p w14:paraId="69E8473F" w14:textId="77777777" w:rsidR="00D8405E" w:rsidRPr="00D8405E" w:rsidRDefault="00D8405E" w:rsidP="00D8405E">
      <w:pPr>
        <w:bidi/>
        <w:spacing w:after="0" w:line="240" w:lineRule="auto"/>
        <w:jc w:val="both"/>
      </w:pPr>
      <w:r w:rsidRPr="00D8405E">
        <w:t xml:space="preserve">Brown, I., Steen, A., &amp; Foreman, J. (2009). Risk management in corporate governance: A review and proposal. Corporate Governance: An International Review, 17(5), 546-558. </w:t>
      </w:r>
      <w:hyperlink r:id="rId16" w:history="1">
        <w:r w:rsidRPr="00D8405E">
          <w:rPr>
            <w:rStyle w:val="Hyperlink"/>
          </w:rPr>
          <w:t>https://doi.org/10.1111/j.1467-8683.2009.00763.x</w:t>
        </w:r>
      </w:hyperlink>
    </w:p>
    <w:p w14:paraId="0F0219DA" w14:textId="77777777" w:rsidR="00D8405E" w:rsidRPr="00D8405E" w:rsidRDefault="00D8405E" w:rsidP="00D8405E">
      <w:pPr>
        <w:bidi/>
        <w:spacing w:after="0" w:line="240" w:lineRule="auto"/>
        <w:jc w:val="both"/>
      </w:pPr>
    </w:p>
    <w:p w14:paraId="5EA66B21" w14:textId="77777777" w:rsidR="00D8405E" w:rsidRPr="00D8405E" w:rsidRDefault="00D8405E" w:rsidP="00D8405E">
      <w:pPr>
        <w:bidi/>
        <w:spacing w:after="0" w:line="240" w:lineRule="auto"/>
        <w:jc w:val="both"/>
      </w:pPr>
      <w:r w:rsidRPr="00D8405E">
        <w:t xml:space="preserve">Brown, L. D., &amp; Caylor, M. L. (2009). Corporate governance and firm operating performance. Review of Quantitative Finance and Accounting, 32(2), 129-144. </w:t>
      </w:r>
      <w:hyperlink r:id="rId17" w:history="1">
        <w:r w:rsidRPr="00D8405E">
          <w:rPr>
            <w:rStyle w:val="Hyperlink"/>
          </w:rPr>
          <w:t>https://doi.org/10.1007/s11156-007-0082-3</w:t>
        </w:r>
      </w:hyperlink>
    </w:p>
    <w:p w14:paraId="3168ADE7" w14:textId="77777777" w:rsidR="00D8405E" w:rsidRPr="00D8405E" w:rsidRDefault="00D8405E" w:rsidP="00D8405E">
      <w:pPr>
        <w:bidi/>
        <w:spacing w:after="0" w:line="240" w:lineRule="auto"/>
        <w:jc w:val="both"/>
      </w:pPr>
    </w:p>
    <w:p w14:paraId="17E43363" w14:textId="77777777" w:rsidR="00D8405E" w:rsidRPr="00D8405E" w:rsidRDefault="00D8405E" w:rsidP="00D8405E">
      <w:pPr>
        <w:bidi/>
        <w:spacing w:after="0" w:line="240" w:lineRule="auto"/>
        <w:jc w:val="both"/>
      </w:pPr>
      <w:proofErr w:type="spellStart"/>
      <w:r w:rsidRPr="00D8405E">
        <w:lastRenderedPageBreak/>
        <w:t>Buallay</w:t>
      </w:r>
      <w:proofErr w:type="spellEnd"/>
      <w:r w:rsidRPr="00D8405E">
        <w:t xml:space="preserve">, A. (2017). Corporate governance, </w:t>
      </w:r>
      <w:proofErr w:type="spellStart"/>
      <w:r w:rsidRPr="00D8405E">
        <w:t>Sharia’h</w:t>
      </w:r>
      <w:proofErr w:type="spellEnd"/>
      <w:r w:rsidRPr="00D8405E">
        <w:t xml:space="preserve"> governance and firm performance: Evidence from the GCC countries. Journal of Management and Governance, 21(4), 927-947. </w:t>
      </w:r>
      <w:hyperlink r:id="rId18" w:history="1">
        <w:r w:rsidRPr="00D8405E">
          <w:rPr>
            <w:rStyle w:val="Hyperlink"/>
          </w:rPr>
          <w:t>https://doi.org/10.1007/s10997-016-9363-3</w:t>
        </w:r>
      </w:hyperlink>
    </w:p>
    <w:p w14:paraId="289426D9" w14:textId="77777777" w:rsidR="00D8405E" w:rsidRPr="00D8405E" w:rsidRDefault="00D8405E" w:rsidP="00D8405E">
      <w:pPr>
        <w:bidi/>
        <w:spacing w:after="0" w:line="240" w:lineRule="auto"/>
        <w:jc w:val="both"/>
      </w:pPr>
    </w:p>
    <w:p w14:paraId="56A30A0E" w14:textId="77777777" w:rsidR="00D8405E" w:rsidRPr="00D8405E" w:rsidRDefault="00D8405E" w:rsidP="00D8405E">
      <w:pPr>
        <w:bidi/>
        <w:spacing w:after="0" w:line="240" w:lineRule="auto"/>
        <w:jc w:val="both"/>
      </w:pPr>
      <w:proofErr w:type="spellStart"/>
      <w:r w:rsidRPr="00D8405E">
        <w:t>Buallay</w:t>
      </w:r>
      <w:proofErr w:type="spellEnd"/>
      <w:r w:rsidRPr="00D8405E">
        <w:t xml:space="preserve">, A., Hamdan, A., &amp; </w:t>
      </w:r>
      <w:proofErr w:type="spellStart"/>
      <w:r w:rsidRPr="00D8405E">
        <w:t>Zureigat</w:t>
      </w:r>
      <w:proofErr w:type="spellEnd"/>
      <w:r w:rsidRPr="00D8405E">
        <w:t xml:space="preserve">, Q. (2017). Corporate governance and firm performance: Evidence from Saudi Arabia. Australasian Accounting, Business and Finance Journal, 11(1), 78-98. </w:t>
      </w:r>
      <w:hyperlink r:id="rId19" w:history="1">
        <w:r w:rsidRPr="00D8405E">
          <w:rPr>
            <w:rStyle w:val="Hyperlink"/>
          </w:rPr>
          <w:t>https://doi.org/10.14453/aabfj.v11i1.6</w:t>
        </w:r>
      </w:hyperlink>
    </w:p>
    <w:p w14:paraId="47C58FE8" w14:textId="77777777" w:rsidR="00D8405E" w:rsidRPr="00D8405E" w:rsidRDefault="00D8405E" w:rsidP="00D8405E">
      <w:pPr>
        <w:bidi/>
        <w:spacing w:after="0" w:line="240" w:lineRule="auto"/>
        <w:jc w:val="both"/>
      </w:pPr>
    </w:p>
    <w:p w14:paraId="012E8270" w14:textId="77777777" w:rsidR="00D8405E" w:rsidRPr="00D8405E" w:rsidRDefault="00D8405E" w:rsidP="00D8405E">
      <w:pPr>
        <w:bidi/>
        <w:spacing w:after="0" w:line="240" w:lineRule="auto"/>
        <w:jc w:val="both"/>
      </w:pPr>
      <w:r w:rsidRPr="00D8405E">
        <w:t xml:space="preserve">Capital Market Authority. (2023). Corporate Governance Regulations. Kingdom of Saudi Arabia. </w:t>
      </w:r>
      <w:hyperlink r:id="rId20" w:history="1">
        <w:r w:rsidRPr="00D8405E">
          <w:rPr>
            <w:rStyle w:val="Hyperlink"/>
          </w:rPr>
          <w:t>https://cma.gov.sa/en/RulesRegulations/Regulations/Documents/CorporateGovernanceRegulations1.pdf</w:t>
        </w:r>
      </w:hyperlink>
    </w:p>
    <w:p w14:paraId="704EBD47" w14:textId="77777777" w:rsidR="00D8405E" w:rsidRPr="00D8405E" w:rsidRDefault="00D8405E" w:rsidP="00D8405E">
      <w:pPr>
        <w:bidi/>
        <w:spacing w:after="0" w:line="240" w:lineRule="auto"/>
        <w:jc w:val="both"/>
      </w:pPr>
    </w:p>
    <w:p w14:paraId="17C04EA6" w14:textId="77777777" w:rsidR="00D8405E" w:rsidRPr="00D8405E" w:rsidRDefault="00D8405E" w:rsidP="00D8405E">
      <w:pPr>
        <w:bidi/>
        <w:spacing w:after="0" w:line="240" w:lineRule="auto"/>
        <w:jc w:val="both"/>
      </w:pPr>
      <w:r w:rsidRPr="00D8405E">
        <w:t xml:space="preserve">Dalton, D. R., Hitt, M. A., Certo, S. T., &amp; Dalton, C. M. (2007). The fundamental agency problem and its mitigation. The Academy of Management Annals, 1(1), 1-64. </w:t>
      </w:r>
      <w:hyperlink r:id="rId21" w:history="1">
        <w:r w:rsidRPr="00D8405E">
          <w:rPr>
            <w:rStyle w:val="Hyperlink"/>
          </w:rPr>
          <w:t>https://doi.org/10.1080/07851130701315354</w:t>
        </w:r>
      </w:hyperlink>
    </w:p>
    <w:p w14:paraId="4795ED14" w14:textId="77777777" w:rsidR="00D8405E" w:rsidRPr="00D8405E" w:rsidRDefault="00D8405E" w:rsidP="00D8405E">
      <w:pPr>
        <w:bidi/>
        <w:spacing w:after="0" w:line="240" w:lineRule="auto"/>
        <w:jc w:val="both"/>
      </w:pPr>
    </w:p>
    <w:p w14:paraId="5DB4E9A3" w14:textId="77777777" w:rsidR="00D8405E" w:rsidRPr="00D8405E" w:rsidRDefault="00D8405E" w:rsidP="00D8405E">
      <w:pPr>
        <w:bidi/>
        <w:spacing w:after="0" w:line="240" w:lineRule="auto"/>
        <w:jc w:val="both"/>
      </w:pPr>
      <w:r w:rsidRPr="00D8405E">
        <w:t xml:space="preserve">Found, P., </w:t>
      </w:r>
      <w:proofErr w:type="spellStart"/>
      <w:r w:rsidRPr="00D8405E">
        <w:t>Lahy</w:t>
      </w:r>
      <w:proofErr w:type="spellEnd"/>
      <w:r w:rsidRPr="00D8405E">
        <w:t xml:space="preserve">, A., Williams, S., &amp; Hu, Q. (2018). Towards a theory of operational excellence. Total Quality Management &amp; Business Excellence, 31(13-14), 1-20. </w:t>
      </w:r>
      <w:hyperlink r:id="rId22" w:history="1">
        <w:r w:rsidRPr="00D8405E">
          <w:rPr>
            <w:rStyle w:val="Hyperlink"/>
          </w:rPr>
          <w:t>https://doi.org/10.1080/14783363.2018.1486544</w:t>
        </w:r>
      </w:hyperlink>
    </w:p>
    <w:p w14:paraId="0073F619" w14:textId="77777777" w:rsidR="00D8405E" w:rsidRPr="00D8405E" w:rsidRDefault="00D8405E" w:rsidP="00D8405E">
      <w:pPr>
        <w:bidi/>
        <w:spacing w:after="0" w:line="240" w:lineRule="auto"/>
        <w:jc w:val="both"/>
      </w:pPr>
    </w:p>
    <w:p w14:paraId="7BB4D56D" w14:textId="77777777" w:rsidR="00D8405E" w:rsidRPr="00D8405E" w:rsidRDefault="00D8405E" w:rsidP="00D8405E">
      <w:pPr>
        <w:bidi/>
        <w:spacing w:after="0" w:line="240" w:lineRule="auto"/>
        <w:jc w:val="both"/>
      </w:pPr>
      <w:r w:rsidRPr="00D8405E">
        <w:t xml:space="preserve">Fung, B. (2014). The demand and need for transparency and disclosure in corporate governance. Universal Journal of Management, 2(2), 72-80. </w:t>
      </w:r>
      <w:hyperlink r:id="rId23" w:history="1">
        <w:r w:rsidRPr="00D8405E">
          <w:rPr>
            <w:rStyle w:val="Hyperlink"/>
          </w:rPr>
          <w:t>https://doi.org/10.13189/ujm.2014.020203</w:t>
        </w:r>
      </w:hyperlink>
    </w:p>
    <w:p w14:paraId="636CA737" w14:textId="77777777" w:rsidR="00D8405E" w:rsidRPr="00D8405E" w:rsidRDefault="00D8405E" w:rsidP="00D8405E">
      <w:pPr>
        <w:bidi/>
        <w:spacing w:after="0" w:line="240" w:lineRule="auto"/>
        <w:jc w:val="both"/>
      </w:pPr>
    </w:p>
    <w:p w14:paraId="5A57CEA8" w14:textId="77777777" w:rsidR="00D8405E" w:rsidRPr="00D8405E" w:rsidRDefault="00D8405E" w:rsidP="00D8405E">
      <w:pPr>
        <w:bidi/>
        <w:spacing w:after="0" w:line="240" w:lineRule="auto"/>
        <w:jc w:val="both"/>
      </w:pPr>
      <w:proofErr w:type="spellStart"/>
      <w:r w:rsidRPr="00D8405E">
        <w:t>Habbash</w:t>
      </w:r>
      <w:proofErr w:type="spellEnd"/>
      <w:r w:rsidRPr="00D8405E">
        <w:t xml:space="preserve">, M. (2016). Corporate governance and corporate social responsibility disclosure: Evidence from Saudi Arabia. Social Responsibility Journal, 12(4), 740-754. </w:t>
      </w:r>
      <w:hyperlink r:id="rId24" w:history="1">
        <w:r w:rsidRPr="00D8405E">
          <w:rPr>
            <w:rStyle w:val="Hyperlink"/>
          </w:rPr>
          <w:t>https://doi.org/10.1108/SRJ-07-2015-0088</w:t>
        </w:r>
      </w:hyperlink>
    </w:p>
    <w:p w14:paraId="759FEF86" w14:textId="77777777" w:rsidR="00D8405E" w:rsidRPr="00D8405E" w:rsidRDefault="00D8405E" w:rsidP="00D8405E">
      <w:pPr>
        <w:bidi/>
        <w:spacing w:after="0" w:line="240" w:lineRule="auto"/>
        <w:jc w:val="both"/>
      </w:pPr>
    </w:p>
    <w:p w14:paraId="13B4E87C" w14:textId="77777777" w:rsidR="00D8405E" w:rsidRPr="00D8405E" w:rsidRDefault="00D8405E" w:rsidP="00D8405E">
      <w:pPr>
        <w:bidi/>
        <w:spacing w:after="0" w:line="240" w:lineRule="auto"/>
        <w:jc w:val="both"/>
      </w:pPr>
      <w:r w:rsidRPr="00D8405E">
        <w:t xml:space="preserve">Jensen, M. C. (1993). The modern industrial revolution, exit, and the failure of internal control systems. The Journal of Finance, 48(3), 831-880. </w:t>
      </w:r>
      <w:hyperlink r:id="rId25" w:history="1">
        <w:r w:rsidRPr="00D8405E">
          <w:rPr>
            <w:rStyle w:val="Hyperlink"/>
          </w:rPr>
          <w:t>https://doi.org/10.1111/j.1540-6261.1993.tb04022.x</w:t>
        </w:r>
      </w:hyperlink>
    </w:p>
    <w:p w14:paraId="1E4799D1" w14:textId="77777777" w:rsidR="00D8405E" w:rsidRPr="00D8405E" w:rsidRDefault="00D8405E" w:rsidP="00D8405E">
      <w:pPr>
        <w:bidi/>
        <w:spacing w:after="0" w:line="240" w:lineRule="auto"/>
        <w:jc w:val="both"/>
      </w:pPr>
    </w:p>
    <w:p w14:paraId="3BE4A651" w14:textId="77777777" w:rsidR="00D8405E" w:rsidRPr="00D8405E" w:rsidRDefault="00D8405E" w:rsidP="00D8405E">
      <w:pPr>
        <w:bidi/>
        <w:spacing w:after="0" w:line="240" w:lineRule="auto"/>
        <w:jc w:val="both"/>
      </w:pPr>
      <w:r w:rsidRPr="00D8405E">
        <w:t xml:space="preserve">La Porta, R., Lopez-de-Silanes, F., Shleifer, A., &amp; </w:t>
      </w:r>
      <w:proofErr w:type="spellStart"/>
      <w:r w:rsidRPr="00D8405E">
        <w:t>Vishny</w:t>
      </w:r>
      <w:proofErr w:type="spellEnd"/>
      <w:r w:rsidRPr="00D8405E">
        <w:t xml:space="preserve">, R. (2000). Investor protection and corporate governance. Journal of Financial Economics, 58(1-2), 3-27. </w:t>
      </w:r>
      <w:hyperlink r:id="rId26" w:history="1">
        <w:r w:rsidRPr="00D8405E">
          <w:rPr>
            <w:rStyle w:val="Hyperlink"/>
          </w:rPr>
          <w:t>https://doi.org/10.1016/S0304-405X(00)00065-9</w:t>
        </w:r>
      </w:hyperlink>
    </w:p>
    <w:p w14:paraId="4DCD3E87" w14:textId="77777777" w:rsidR="00D8405E" w:rsidRPr="00D8405E" w:rsidRDefault="00D8405E" w:rsidP="00D8405E">
      <w:pPr>
        <w:bidi/>
        <w:spacing w:after="0" w:line="240" w:lineRule="auto"/>
        <w:jc w:val="both"/>
      </w:pPr>
    </w:p>
    <w:p w14:paraId="55E4975C" w14:textId="77777777" w:rsidR="00D8405E" w:rsidRPr="00D8405E" w:rsidRDefault="00D8405E" w:rsidP="00D8405E">
      <w:pPr>
        <w:bidi/>
        <w:spacing w:after="0" w:line="240" w:lineRule="auto"/>
        <w:jc w:val="both"/>
      </w:pPr>
      <w:r w:rsidRPr="00D8405E">
        <w:t xml:space="preserve">Nicholson, G. J., &amp; Kiel, G. C. (2004). A framework for diagnosing board effectiveness. Corporate Governance: An International Review, 12(4), 442-460. </w:t>
      </w:r>
      <w:hyperlink r:id="rId27" w:history="1">
        <w:r w:rsidRPr="00D8405E">
          <w:rPr>
            <w:rStyle w:val="Hyperlink"/>
          </w:rPr>
          <w:t>https://doi.org/10.1111/j.1467-8683.2004.00386.x</w:t>
        </w:r>
      </w:hyperlink>
    </w:p>
    <w:p w14:paraId="3D8F87DA" w14:textId="77777777" w:rsidR="00D8405E" w:rsidRPr="00D8405E" w:rsidRDefault="00D8405E" w:rsidP="00D8405E">
      <w:pPr>
        <w:bidi/>
        <w:spacing w:after="0" w:line="240" w:lineRule="auto"/>
        <w:jc w:val="both"/>
      </w:pPr>
    </w:p>
    <w:p w14:paraId="465B9175" w14:textId="77777777" w:rsidR="00D8405E" w:rsidRPr="00D8405E" w:rsidRDefault="00D8405E" w:rsidP="00D8405E">
      <w:pPr>
        <w:bidi/>
        <w:spacing w:after="0" w:line="240" w:lineRule="auto"/>
        <w:jc w:val="both"/>
      </w:pPr>
      <w:proofErr w:type="spellStart"/>
      <w:r w:rsidRPr="00D8405E">
        <w:t>Ozbiltekin</w:t>
      </w:r>
      <w:proofErr w:type="spellEnd"/>
      <w:r w:rsidRPr="00D8405E">
        <w:t xml:space="preserve">-Pala, M., </w:t>
      </w:r>
      <w:proofErr w:type="spellStart"/>
      <w:r w:rsidRPr="00D8405E">
        <w:t>Kazancoglu</w:t>
      </w:r>
      <w:proofErr w:type="spellEnd"/>
      <w:r w:rsidRPr="00D8405E">
        <w:t xml:space="preserve">, Y., &amp; Kumar, A. (2024). Analyzing critical factors of strategic alignment between operational excellence and Industry 4.0 technologies in smart manufacturing. The TQM Journal, 36(1), 1-25. </w:t>
      </w:r>
      <w:hyperlink r:id="rId28" w:history="1">
        <w:r w:rsidRPr="00D8405E">
          <w:rPr>
            <w:rStyle w:val="Hyperlink"/>
          </w:rPr>
          <w:t>https://doi.org/10.1108/TQM-07-2022-0232</w:t>
        </w:r>
      </w:hyperlink>
    </w:p>
    <w:p w14:paraId="41E8187C" w14:textId="77777777" w:rsidR="00D8405E" w:rsidRPr="00D8405E" w:rsidRDefault="00D8405E" w:rsidP="00D8405E">
      <w:pPr>
        <w:bidi/>
        <w:spacing w:after="0" w:line="240" w:lineRule="auto"/>
        <w:jc w:val="both"/>
      </w:pPr>
    </w:p>
    <w:p w14:paraId="000024DE" w14:textId="77777777" w:rsidR="00D8405E" w:rsidRPr="00D8405E" w:rsidRDefault="00D8405E" w:rsidP="00D8405E">
      <w:pPr>
        <w:bidi/>
        <w:spacing w:after="0" w:line="240" w:lineRule="auto"/>
        <w:jc w:val="both"/>
      </w:pPr>
      <w:r w:rsidRPr="00D8405E">
        <w:t xml:space="preserve">Ringrose, D. (2013). Development of an organizational excellence framework. The TQM Journal, 25(4), 441-452. </w:t>
      </w:r>
      <w:hyperlink r:id="rId29" w:history="1">
        <w:r w:rsidRPr="00D8405E">
          <w:rPr>
            <w:rStyle w:val="Hyperlink"/>
          </w:rPr>
          <w:t>https://doi.org/10.1108/17542731311314917</w:t>
        </w:r>
      </w:hyperlink>
    </w:p>
    <w:p w14:paraId="209307A1" w14:textId="77777777" w:rsidR="00D8405E" w:rsidRPr="00D8405E" w:rsidRDefault="00D8405E" w:rsidP="00D8405E">
      <w:pPr>
        <w:bidi/>
        <w:spacing w:after="0" w:line="240" w:lineRule="auto"/>
        <w:jc w:val="both"/>
      </w:pPr>
    </w:p>
    <w:p w14:paraId="4398810F" w14:textId="77777777" w:rsidR="00D8405E" w:rsidRPr="00D8405E" w:rsidRDefault="00D8405E" w:rsidP="00D8405E">
      <w:pPr>
        <w:bidi/>
        <w:spacing w:after="0" w:line="240" w:lineRule="auto"/>
        <w:jc w:val="both"/>
      </w:pPr>
      <w:r w:rsidRPr="00D8405E">
        <w:lastRenderedPageBreak/>
        <w:t xml:space="preserve">Van Greuning, H., &amp; </w:t>
      </w:r>
      <w:proofErr w:type="spellStart"/>
      <w:r w:rsidRPr="00D8405E">
        <w:t>Bratanovic</w:t>
      </w:r>
      <w:proofErr w:type="spellEnd"/>
      <w:r w:rsidRPr="00D8405E">
        <w:t xml:space="preserve">, S. B. (2020). Analyzing banking risk: A framework for assessing corporate governance and risk management (4th ed.). World Bank Publications. </w:t>
      </w:r>
      <w:hyperlink r:id="rId30" w:history="1">
        <w:r w:rsidRPr="00D8405E">
          <w:rPr>
            <w:rStyle w:val="Hyperlink"/>
          </w:rPr>
          <w:t>https://openknowledge.worldbank.org/handle/10986/33428</w:t>
        </w:r>
      </w:hyperlink>
    </w:p>
    <w:p w14:paraId="4C9BEE58" w14:textId="77777777" w:rsidR="00D8405E" w:rsidRPr="00D8405E" w:rsidRDefault="00D8405E" w:rsidP="00D8405E">
      <w:pPr>
        <w:bidi/>
        <w:spacing w:after="0" w:line="240" w:lineRule="auto"/>
        <w:jc w:val="both"/>
      </w:pPr>
    </w:p>
    <w:p w14:paraId="15139444" w14:textId="77777777" w:rsidR="00D8405E" w:rsidRPr="00D8405E" w:rsidRDefault="00D8405E" w:rsidP="00D8405E">
      <w:pPr>
        <w:bidi/>
        <w:spacing w:after="0" w:line="240" w:lineRule="auto"/>
        <w:jc w:val="both"/>
      </w:pPr>
      <w:proofErr w:type="spellStart"/>
      <w:r w:rsidRPr="00D8405E">
        <w:t>Wandroski</w:t>
      </w:r>
      <w:proofErr w:type="spellEnd"/>
      <w:r w:rsidRPr="00D8405E">
        <w:t xml:space="preserve"> Peris, R., </w:t>
      </w:r>
      <w:proofErr w:type="spellStart"/>
      <w:r w:rsidRPr="00D8405E">
        <w:t>Contani</w:t>
      </w:r>
      <w:proofErr w:type="spellEnd"/>
      <w:r w:rsidRPr="00D8405E">
        <w:t xml:space="preserve">, E., Savoia, J. R. F., &amp; Câmara, M. R. G. (2017). Does better corporate governance increase operational performance? Corporate Governance: The International Journal of Business in Society, 17(3), 524-537. </w:t>
      </w:r>
      <w:hyperlink r:id="rId31" w:history="1">
        <w:r w:rsidRPr="00D8405E">
          <w:rPr>
            <w:rStyle w:val="Hyperlink"/>
          </w:rPr>
          <w:t>https://doi.org/10.1108/CG-03-2016-0063</w:t>
        </w:r>
      </w:hyperlink>
    </w:p>
    <w:p w14:paraId="2B2BB691" w14:textId="77777777" w:rsidR="00D8405E" w:rsidRPr="00D8405E" w:rsidRDefault="00D8405E" w:rsidP="00D8405E">
      <w:pPr>
        <w:bidi/>
        <w:spacing w:after="0" w:line="240" w:lineRule="auto"/>
        <w:jc w:val="both"/>
      </w:pPr>
    </w:p>
    <w:p w14:paraId="4707A58D" w14:textId="77777777" w:rsidR="00D8405E" w:rsidRPr="00D8405E" w:rsidRDefault="00D8405E" w:rsidP="00D8405E">
      <w:pPr>
        <w:bidi/>
        <w:spacing w:after="0" w:line="240" w:lineRule="auto"/>
        <w:jc w:val="both"/>
      </w:pPr>
      <w:r w:rsidRPr="00D8405E">
        <w:rPr>
          <w:rtl/>
        </w:rPr>
        <w:t>القحطاني، محمد ناصر. (2022). أثر تطبيق حوكمة الشركات على تحسين كفاءة مؤشرات الأداء المالي: دراسة تطبيقية على الشركات المساهمة السعودية</w:t>
      </w:r>
      <w:r w:rsidRPr="00D8405E">
        <w:t xml:space="preserve">. </w:t>
      </w:r>
      <w:r w:rsidRPr="00D8405E">
        <w:rPr>
          <w:rtl/>
        </w:rPr>
        <w:t xml:space="preserve">المجلة الدولية للعلوم الإنسانية والاجتماعية، </w:t>
      </w:r>
      <w:r w:rsidRPr="00D8405E">
        <w:t>(29)</w:t>
      </w:r>
      <w:r w:rsidRPr="00D8405E">
        <w:rPr>
          <w:rtl/>
        </w:rPr>
        <w:t>، 1-22</w:t>
      </w:r>
      <w:r w:rsidRPr="00D8405E">
        <w:t xml:space="preserve">. </w:t>
      </w:r>
      <w:hyperlink r:id="rId32" w:history="1">
        <w:r w:rsidRPr="00D8405E">
          <w:rPr>
            <w:rStyle w:val="Hyperlink"/>
          </w:rPr>
          <w:t>https://www.ijohss.com/index.php/IJoHSS/article/view/410</w:t>
        </w:r>
      </w:hyperlink>
    </w:p>
    <w:p w14:paraId="268DF677" w14:textId="77777777" w:rsidR="004204FB" w:rsidRDefault="004204FB" w:rsidP="004204FB">
      <w:pPr>
        <w:bidi/>
        <w:spacing w:after="0" w:line="240" w:lineRule="auto"/>
        <w:jc w:val="both"/>
        <w:rPr>
          <w:rtl/>
        </w:rPr>
      </w:pPr>
    </w:p>
    <w:sectPr w:rsidR="004204FB" w:rsidSect="00334B70">
      <w:headerReference w:type="even" r:id="rId33"/>
      <w:headerReference w:type="default" r:id="rId34"/>
      <w:footerReference w:type="default" r:id="rId35"/>
      <w:headerReference w:type="first" r:id="rId36"/>
      <w:footerReference w:type="first" r:id="rId37"/>
      <w:pgSz w:w="11906" w:h="16838"/>
      <w:pgMar w:top="2183" w:right="1418" w:bottom="2183" w:left="1418"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70A57" w14:textId="77777777" w:rsidR="003E428C" w:rsidRDefault="003E428C" w:rsidP="00F628F0">
      <w:pPr>
        <w:spacing w:after="0" w:line="240" w:lineRule="auto"/>
      </w:pPr>
      <w:r>
        <w:separator/>
      </w:r>
    </w:p>
  </w:endnote>
  <w:endnote w:type="continuationSeparator" w:id="0">
    <w:p w14:paraId="21987647" w14:textId="77777777" w:rsidR="003E428C" w:rsidRDefault="003E428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onotype Corsiva">
    <w:panose1 w:val="03010101010201010101"/>
    <w:charset w:val="00"/>
    <w:family w:val="script"/>
    <w:pitch w:val="variable"/>
    <w:sig w:usb0="00000287" w:usb1="00000000" w:usb2="00000000" w:usb3="00000000" w:csb0="0000009F" w:csb1="00000000"/>
  </w:font>
  <w:font w:name="DecoType Naskh">
    <w:panose1 w:val="02010400000000000000"/>
    <w:charset w:val="B2"/>
    <w:family w:val="auto"/>
    <w:pitch w:val="variable"/>
    <w:sig w:usb0="00002001" w:usb1="80000000" w:usb2="00000008" w:usb3="00000000" w:csb0="00000040" w:csb1="00000000"/>
  </w:font>
  <w:font w:name="Lotus Linotype">
    <w:panose1 w:val="02000000000000000000"/>
    <w:charset w:val="00"/>
    <w:family w:val="auto"/>
    <w:pitch w:val="variable"/>
    <w:sig w:usb0="00002007" w:usb1="80000000" w:usb2="00000008" w:usb3="00000000" w:csb0="0000004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33E3481" w:rsidR="00883E09" w:rsidRPr="000763B6" w:rsidRDefault="00264677" w:rsidP="00883E09">
    <w:pPr>
      <w:pStyle w:val="Footer"/>
      <w:bidi/>
      <w:rPr>
        <w:rFonts w:ascii="Lotus Linotype" w:hAnsi="Lotus Linotype" w:cs="Lotus Linotype"/>
        <w:color w:val="000000" w:themeColor="text1"/>
        <w:sz w:val="24"/>
        <w:szCs w:val="24"/>
      </w:rPr>
    </w:pPr>
    <w:r w:rsidRPr="000763B6">
      <w:rPr>
        <w:rFonts w:ascii="Lotus Linotype" w:hAnsi="Lotus Linotype" w:cs="Lotus Linotype"/>
        <w:noProof/>
        <w:color w:val="000000" w:themeColor="text1"/>
        <w:sz w:val="20"/>
      </w:rPr>
      <w:drawing>
        <wp:anchor distT="0" distB="0" distL="114300" distR="114300" simplePos="0" relativeHeight="251662848" behindDoc="0" locked="0" layoutInCell="1" allowOverlap="1" wp14:anchorId="61F7BFC0" wp14:editId="2675BAA2">
          <wp:simplePos x="0" y="0"/>
          <wp:positionH relativeFrom="margin">
            <wp:posOffset>-207645</wp:posOffset>
          </wp:positionH>
          <wp:positionV relativeFrom="margin">
            <wp:posOffset>8338820</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0763B6">
      <w:rPr>
        <w:rFonts w:ascii="Lotus Linotype" w:hAnsi="Lotus Linotype" w:cs="Lotus Linotype"/>
        <w:noProof/>
        <w:color w:val="000000" w:themeColor="text1"/>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20AFD" w14:textId="77777777" w:rsidR="003E428C" w:rsidRDefault="003E428C" w:rsidP="00F628F0">
      <w:pPr>
        <w:spacing w:after="0" w:line="240" w:lineRule="auto"/>
      </w:pPr>
      <w:r>
        <w:separator/>
      </w:r>
    </w:p>
  </w:footnote>
  <w:footnote w:type="continuationSeparator" w:id="0">
    <w:p w14:paraId="5DA5644C" w14:textId="77777777" w:rsidR="003E428C" w:rsidRDefault="003E428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F35F0"/>
    <w:multiLevelType w:val="multilevel"/>
    <w:tmpl w:val="D85CC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3B05A6"/>
    <w:multiLevelType w:val="hybridMultilevel"/>
    <w:tmpl w:val="C1206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4F33E3"/>
    <w:multiLevelType w:val="hybridMultilevel"/>
    <w:tmpl w:val="B17C7E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C315DA1"/>
    <w:multiLevelType w:val="hybridMultilevel"/>
    <w:tmpl w:val="60E4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663E88"/>
    <w:multiLevelType w:val="hybridMultilevel"/>
    <w:tmpl w:val="50924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9B5293"/>
    <w:multiLevelType w:val="hybridMultilevel"/>
    <w:tmpl w:val="3E8E6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7D39B2"/>
    <w:multiLevelType w:val="hybridMultilevel"/>
    <w:tmpl w:val="599C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4E284B"/>
    <w:multiLevelType w:val="multilevel"/>
    <w:tmpl w:val="0C80D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F027B0"/>
    <w:multiLevelType w:val="hybridMultilevel"/>
    <w:tmpl w:val="B016B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14111D"/>
    <w:multiLevelType w:val="hybridMultilevel"/>
    <w:tmpl w:val="71C29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486B1C"/>
    <w:multiLevelType w:val="hybridMultilevel"/>
    <w:tmpl w:val="A5788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A83592"/>
    <w:multiLevelType w:val="multilevel"/>
    <w:tmpl w:val="37D0A0A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42697787"/>
    <w:multiLevelType w:val="multilevel"/>
    <w:tmpl w:val="9E8866E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A9A1146"/>
    <w:multiLevelType w:val="multilevel"/>
    <w:tmpl w:val="AB5E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BC19C7"/>
    <w:multiLevelType w:val="hybridMultilevel"/>
    <w:tmpl w:val="31B66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AA2B60"/>
    <w:multiLevelType w:val="hybridMultilevel"/>
    <w:tmpl w:val="BF104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23339B"/>
    <w:multiLevelType w:val="hybridMultilevel"/>
    <w:tmpl w:val="40788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6062E0"/>
    <w:multiLevelType w:val="hybridMultilevel"/>
    <w:tmpl w:val="E144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8338275">
    <w:abstractNumId w:val="8"/>
  </w:num>
  <w:num w:numId="2" w16cid:durableId="2093625989">
    <w:abstractNumId w:val="13"/>
  </w:num>
  <w:num w:numId="3" w16cid:durableId="855382428">
    <w:abstractNumId w:val="0"/>
  </w:num>
  <w:num w:numId="4" w16cid:durableId="253785742">
    <w:abstractNumId w:val="7"/>
  </w:num>
  <w:num w:numId="5" w16cid:durableId="442187039">
    <w:abstractNumId w:val="2"/>
  </w:num>
  <w:num w:numId="6" w16cid:durableId="2019966926">
    <w:abstractNumId w:val="3"/>
  </w:num>
  <w:num w:numId="7" w16cid:durableId="1332441743">
    <w:abstractNumId w:val="10"/>
  </w:num>
  <w:num w:numId="8" w16cid:durableId="345988663">
    <w:abstractNumId w:val="6"/>
  </w:num>
  <w:num w:numId="9" w16cid:durableId="190000526">
    <w:abstractNumId w:val="14"/>
  </w:num>
  <w:num w:numId="10" w16cid:durableId="2053074631">
    <w:abstractNumId w:val="1"/>
  </w:num>
  <w:num w:numId="11" w16cid:durableId="366948001">
    <w:abstractNumId w:val="16"/>
  </w:num>
  <w:num w:numId="12" w16cid:durableId="1549301213">
    <w:abstractNumId w:val="15"/>
  </w:num>
  <w:num w:numId="13" w16cid:durableId="512229676">
    <w:abstractNumId w:val="9"/>
  </w:num>
  <w:num w:numId="14" w16cid:durableId="1428502108">
    <w:abstractNumId w:val="5"/>
  </w:num>
  <w:num w:numId="15" w16cid:durableId="1572234066">
    <w:abstractNumId w:val="17"/>
  </w:num>
  <w:num w:numId="16" w16cid:durableId="2009602139">
    <w:abstractNumId w:val="4"/>
  </w:num>
  <w:num w:numId="17" w16cid:durableId="830564532">
    <w:abstractNumId w:val="11"/>
    <w:lvlOverride w:ilvl="0">
      <w:startOverride w:val="1"/>
    </w:lvlOverride>
  </w:num>
  <w:num w:numId="18" w16cid:durableId="72190419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83C"/>
    <w:rsid w:val="00015F0D"/>
    <w:rsid w:val="00027A34"/>
    <w:rsid w:val="000322E7"/>
    <w:rsid w:val="000440C4"/>
    <w:rsid w:val="00044CFD"/>
    <w:rsid w:val="00061A09"/>
    <w:rsid w:val="000720E3"/>
    <w:rsid w:val="000763B6"/>
    <w:rsid w:val="00077740"/>
    <w:rsid w:val="00080236"/>
    <w:rsid w:val="00087E4F"/>
    <w:rsid w:val="00090A9C"/>
    <w:rsid w:val="00092C24"/>
    <w:rsid w:val="00093811"/>
    <w:rsid w:val="000940A0"/>
    <w:rsid w:val="00095960"/>
    <w:rsid w:val="000A1D3E"/>
    <w:rsid w:val="000A1E46"/>
    <w:rsid w:val="000A310D"/>
    <w:rsid w:val="000A49ED"/>
    <w:rsid w:val="000A4B43"/>
    <w:rsid w:val="000A749C"/>
    <w:rsid w:val="000B0B32"/>
    <w:rsid w:val="000B706D"/>
    <w:rsid w:val="000C0D1E"/>
    <w:rsid w:val="000C17BE"/>
    <w:rsid w:val="000D0869"/>
    <w:rsid w:val="000D3EAE"/>
    <w:rsid w:val="000D5131"/>
    <w:rsid w:val="000E23AB"/>
    <w:rsid w:val="000E427F"/>
    <w:rsid w:val="000E5EBA"/>
    <w:rsid w:val="000E6887"/>
    <w:rsid w:val="000F0A0D"/>
    <w:rsid w:val="000F7F04"/>
    <w:rsid w:val="00110665"/>
    <w:rsid w:val="0011126E"/>
    <w:rsid w:val="00112407"/>
    <w:rsid w:val="00116AE4"/>
    <w:rsid w:val="00117CA1"/>
    <w:rsid w:val="0013755A"/>
    <w:rsid w:val="0014549E"/>
    <w:rsid w:val="00152104"/>
    <w:rsid w:val="00154BAC"/>
    <w:rsid w:val="001603EF"/>
    <w:rsid w:val="001618EF"/>
    <w:rsid w:val="001624C4"/>
    <w:rsid w:val="001654CD"/>
    <w:rsid w:val="0017448B"/>
    <w:rsid w:val="001762F4"/>
    <w:rsid w:val="00180799"/>
    <w:rsid w:val="00180A9B"/>
    <w:rsid w:val="00185F71"/>
    <w:rsid w:val="00195226"/>
    <w:rsid w:val="001A5804"/>
    <w:rsid w:val="001A680C"/>
    <w:rsid w:val="001C01BE"/>
    <w:rsid w:val="001C3DA0"/>
    <w:rsid w:val="001C426A"/>
    <w:rsid w:val="001C7DB2"/>
    <w:rsid w:val="001D284C"/>
    <w:rsid w:val="001D47AD"/>
    <w:rsid w:val="001E252D"/>
    <w:rsid w:val="001E32DF"/>
    <w:rsid w:val="001E3406"/>
    <w:rsid w:val="001F6098"/>
    <w:rsid w:val="0020239B"/>
    <w:rsid w:val="002064BC"/>
    <w:rsid w:val="0022051E"/>
    <w:rsid w:val="002223CB"/>
    <w:rsid w:val="00222468"/>
    <w:rsid w:val="002267E3"/>
    <w:rsid w:val="00231AB1"/>
    <w:rsid w:val="00232A16"/>
    <w:rsid w:val="0024045F"/>
    <w:rsid w:val="00250CC6"/>
    <w:rsid w:val="00251580"/>
    <w:rsid w:val="00257F01"/>
    <w:rsid w:val="002616CF"/>
    <w:rsid w:val="00261B29"/>
    <w:rsid w:val="00263733"/>
    <w:rsid w:val="00264124"/>
    <w:rsid w:val="00264677"/>
    <w:rsid w:val="00265973"/>
    <w:rsid w:val="00265C31"/>
    <w:rsid w:val="0026647E"/>
    <w:rsid w:val="00274C5B"/>
    <w:rsid w:val="002879A1"/>
    <w:rsid w:val="002A113E"/>
    <w:rsid w:val="002B034B"/>
    <w:rsid w:val="002B0A6E"/>
    <w:rsid w:val="002B46B1"/>
    <w:rsid w:val="002B6766"/>
    <w:rsid w:val="002C0B5F"/>
    <w:rsid w:val="002C2285"/>
    <w:rsid w:val="002C6F40"/>
    <w:rsid w:val="002C6FD8"/>
    <w:rsid w:val="002C717E"/>
    <w:rsid w:val="002C73F4"/>
    <w:rsid w:val="002D019D"/>
    <w:rsid w:val="002D3349"/>
    <w:rsid w:val="002D3BCC"/>
    <w:rsid w:val="002D638C"/>
    <w:rsid w:val="002D68BB"/>
    <w:rsid w:val="002E03CF"/>
    <w:rsid w:val="002F0EEA"/>
    <w:rsid w:val="002F20A7"/>
    <w:rsid w:val="002F20B5"/>
    <w:rsid w:val="002F357A"/>
    <w:rsid w:val="003133CB"/>
    <w:rsid w:val="00316776"/>
    <w:rsid w:val="003223F2"/>
    <w:rsid w:val="00322A0D"/>
    <w:rsid w:val="00322CDE"/>
    <w:rsid w:val="003235C8"/>
    <w:rsid w:val="00333FF1"/>
    <w:rsid w:val="00334002"/>
    <w:rsid w:val="00334B70"/>
    <w:rsid w:val="003355F6"/>
    <w:rsid w:val="00343773"/>
    <w:rsid w:val="00355566"/>
    <w:rsid w:val="00356156"/>
    <w:rsid w:val="00360A3F"/>
    <w:rsid w:val="00364C07"/>
    <w:rsid w:val="00376ED2"/>
    <w:rsid w:val="003775DF"/>
    <w:rsid w:val="00377CB0"/>
    <w:rsid w:val="0038074E"/>
    <w:rsid w:val="00381E67"/>
    <w:rsid w:val="00384760"/>
    <w:rsid w:val="00387421"/>
    <w:rsid w:val="0039001B"/>
    <w:rsid w:val="0039518B"/>
    <w:rsid w:val="00395E1F"/>
    <w:rsid w:val="00397058"/>
    <w:rsid w:val="003A4334"/>
    <w:rsid w:val="003B0F00"/>
    <w:rsid w:val="003B1418"/>
    <w:rsid w:val="003B6969"/>
    <w:rsid w:val="003C05E1"/>
    <w:rsid w:val="003C2B50"/>
    <w:rsid w:val="003C6D09"/>
    <w:rsid w:val="003D3563"/>
    <w:rsid w:val="003D5F89"/>
    <w:rsid w:val="003D7E7F"/>
    <w:rsid w:val="003E017E"/>
    <w:rsid w:val="003E1E60"/>
    <w:rsid w:val="003E428C"/>
    <w:rsid w:val="003F6189"/>
    <w:rsid w:val="003F69BC"/>
    <w:rsid w:val="0040510D"/>
    <w:rsid w:val="004057BC"/>
    <w:rsid w:val="004204FB"/>
    <w:rsid w:val="00434085"/>
    <w:rsid w:val="0043449E"/>
    <w:rsid w:val="00434A82"/>
    <w:rsid w:val="00436B59"/>
    <w:rsid w:val="004413CD"/>
    <w:rsid w:val="0044258D"/>
    <w:rsid w:val="00443A60"/>
    <w:rsid w:val="00444B1D"/>
    <w:rsid w:val="00444B3C"/>
    <w:rsid w:val="00466097"/>
    <w:rsid w:val="00466403"/>
    <w:rsid w:val="00473F99"/>
    <w:rsid w:val="00474246"/>
    <w:rsid w:val="004813A7"/>
    <w:rsid w:val="00485BD0"/>
    <w:rsid w:val="00486B51"/>
    <w:rsid w:val="00487152"/>
    <w:rsid w:val="00490182"/>
    <w:rsid w:val="00492BC4"/>
    <w:rsid w:val="00492E40"/>
    <w:rsid w:val="004A10BC"/>
    <w:rsid w:val="004A599D"/>
    <w:rsid w:val="004B484B"/>
    <w:rsid w:val="004B623B"/>
    <w:rsid w:val="004B78C6"/>
    <w:rsid w:val="004C1CC5"/>
    <w:rsid w:val="004C7B52"/>
    <w:rsid w:val="004D075E"/>
    <w:rsid w:val="004D1318"/>
    <w:rsid w:val="004D2A39"/>
    <w:rsid w:val="004D6DB2"/>
    <w:rsid w:val="004D7783"/>
    <w:rsid w:val="004D7F28"/>
    <w:rsid w:val="004E01F6"/>
    <w:rsid w:val="004E566F"/>
    <w:rsid w:val="004E672A"/>
    <w:rsid w:val="004E747E"/>
    <w:rsid w:val="004F1607"/>
    <w:rsid w:val="004F1964"/>
    <w:rsid w:val="004F1CF1"/>
    <w:rsid w:val="0050023D"/>
    <w:rsid w:val="00503FCB"/>
    <w:rsid w:val="0050451B"/>
    <w:rsid w:val="005144E3"/>
    <w:rsid w:val="00515088"/>
    <w:rsid w:val="0052019E"/>
    <w:rsid w:val="0052467F"/>
    <w:rsid w:val="0053336F"/>
    <w:rsid w:val="00533AA9"/>
    <w:rsid w:val="00535ED5"/>
    <w:rsid w:val="0053681E"/>
    <w:rsid w:val="00541774"/>
    <w:rsid w:val="005433BE"/>
    <w:rsid w:val="00545742"/>
    <w:rsid w:val="005466CE"/>
    <w:rsid w:val="00546BB3"/>
    <w:rsid w:val="005532E5"/>
    <w:rsid w:val="00560CC1"/>
    <w:rsid w:val="00575721"/>
    <w:rsid w:val="00595574"/>
    <w:rsid w:val="00597208"/>
    <w:rsid w:val="005A3266"/>
    <w:rsid w:val="005A3959"/>
    <w:rsid w:val="005A4F66"/>
    <w:rsid w:val="005A76D0"/>
    <w:rsid w:val="005A7BC1"/>
    <w:rsid w:val="005A7EB2"/>
    <w:rsid w:val="005B25B6"/>
    <w:rsid w:val="005B2E32"/>
    <w:rsid w:val="005B65AE"/>
    <w:rsid w:val="005C3DA2"/>
    <w:rsid w:val="005D1768"/>
    <w:rsid w:val="005D2492"/>
    <w:rsid w:val="005E1B7D"/>
    <w:rsid w:val="005E24FB"/>
    <w:rsid w:val="005F2661"/>
    <w:rsid w:val="005F5AF5"/>
    <w:rsid w:val="005F67B2"/>
    <w:rsid w:val="0060105E"/>
    <w:rsid w:val="0061026F"/>
    <w:rsid w:val="0062589E"/>
    <w:rsid w:val="00625A3C"/>
    <w:rsid w:val="00633F98"/>
    <w:rsid w:val="00634932"/>
    <w:rsid w:val="006447D8"/>
    <w:rsid w:val="00644F28"/>
    <w:rsid w:val="0065187E"/>
    <w:rsid w:val="00651A46"/>
    <w:rsid w:val="00652BDC"/>
    <w:rsid w:val="00655684"/>
    <w:rsid w:val="00661A1D"/>
    <w:rsid w:val="00667BBF"/>
    <w:rsid w:val="006731F3"/>
    <w:rsid w:val="00675DF1"/>
    <w:rsid w:val="00676B85"/>
    <w:rsid w:val="00680EA2"/>
    <w:rsid w:val="00687CA0"/>
    <w:rsid w:val="00687F77"/>
    <w:rsid w:val="006969AC"/>
    <w:rsid w:val="006A7DC3"/>
    <w:rsid w:val="006B0882"/>
    <w:rsid w:val="006B1075"/>
    <w:rsid w:val="006B366F"/>
    <w:rsid w:val="006B51C2"/>
    <w:rsid w:val="006C0642"/>
    <w:rsid w:val="006C10F3"/>
    <w:rsid w:val="006C2E76"/>
    <w:rsid w:val="006C3100"/>
    <w:rsid w:val="006C54C9"/>
    <w:rsid w:val="006C670F"/>
    <w:rsid w:val="006D2EA0"/>
    <w:rsid w:val="006E413B"/>
    <w:rsid w:val="006F1837"/>
    <w:rsid w:val="006F3CD1"/>
    <w:rsid w:val="0070060D"/>
    <w:rsid w:val="0070272D"/>
    <w:rsid w:val="00703A9A"/>
    <w:rsid w:val="00703FB5"/>
    <w:rsid w:val="00704C25"/>
    <w:rsid w:val="00705F1D"/>
    <w:rsid w:val="00706878"/>
    <w:rsid w:val="00706AC7"/>
    <w:rsid w:val="00711248"/>
    <w:rsid w:val="00712DB1"/>
    <w:rsid w:val="00722DB7"/>
    <w:rsid w:val="00723762"/>
    <w:rsid w:val="007239AC"/>
    <w:rsid w:val="00723E95"/>
    <w:rsid w:val="007265A9"/>
    <w:rsid w:val="00730323"/>
    <w:rsid w:val="00733953"/>
    <w:rsid w:val="00736364"/>
    <w:rsid w:val="0073642B"/>
    <w:rsid w:val="0073725A"/>
    <w:rsid w:val="00740AB1"/>
    <w:rsid w:val="00742379"/>
    <w:rsid w:val="007507AF"/>
    <w:rsid w:val="00750F2F"/>
    <w:rsid w:val="00754496"/>
    <w:rsid w:val="0076684E"/>
    <w:rsid w:val="00766A58"/>
    <w:rsid w:val="007764F4"/>
    <w:rsid w:val="00776AB8"/>
    <w:rsid w:val="00781550"/>
    <w:rsid w:val="007822A3"/>
    <w:rsid w:val="00782DC2"/>
    <w:rsid w:val="00790119"/>
    <w:rsid w:val="00793616"/>
    <w:rsid w:val="007969DC"/>
    <w:rsid w:val="00797AF9"/>
    <w:rsid w:val="007A064E"/>
    <w:rsid w:val="007A31DC"/>
    <w:rsid w:val="007B29E4"/>
    <w:rsid w:val="007B3A5C"/>
    <w:rsid w:val="007C1F01"/>
    <w:rsid w:val="007C428F"/>
    <w:rsid w:val="007D39B9"/>
    <w:rsid w:val="007D7D94"/>
    <w:rsid w:val="007E3985"/>
    <w:rsid w:val="007E6130"/>
    <w:rsid w:val="007F24DA"/>
    <w:rsid w:val="007F4183"/>
    <w:rsid w:val="008022F1"/>
    <w:rsid w:val="00802EEF"/>
    <w:rsid w:val="00810AE7"/>
    <w:rsid w:val="008173B3"/>
    <w:rsid w:val="00817E2A"/>
    <w:rsid w:val="00831B04"/>
    <w:rsid w:val="00840269"/>
    <w:rsid w:val="00854E14"/>
    <w:rsid w:val="0086333D"/>
    <w:rsid w:val="00864B2B"/>
    <w:rsid w:val="00867D56"/>
    <w:rsid w:val="00877358"/>
    <w:rsid w:val="008806D9"/>
    <w:rsid w:val="0088301D"/>
    <w:rsid w:val="00883E09"/>
    <w:rsid w:val="00886510"/>
    <w:rsid w:val="00890D4E"/>
    <w:rsid w:val="00894F92"/>
    <w:rsid w:val="008A09DC"/>
    <w:rsid w:val="008A2025"/>
    <w:rsid w:val="008A3A53"/>
    <w:rsid w:val="008A69EA"/>
    <w:rsid w:val="008A7AEA"/>
    <w:rsid w:val="008A7D25"/>
    <w:rsid w:val="008B070C"/>
    <w:rsid w:val="008B0F36"/>
    <w:rsid w:val="008B5953"/>
    <w:rsid w:val="008C140C"/>
    <w:rsid w:val="008C2AA8"/>
    <w:rsid w:val="008D1B67"/>
    <w:rsid w:val="008D43A4"/>
    <w:rsid w:val="008D5F2C"/>
    <w:rsid w:val="008E18C4"/>
    <w:rsid w:val="008E1DF8"/>
    <w:rsid w:val="008E7947"/>
    <w:rsid w:val="0090102E"/>
    <w:rsid w:val="009139AE"/>
    <w:rsid w:val="00916122"/>
    <w:rsid w:val="00917C97"/>
    <w:rsid w:val="00922314"/>
    <w:rsid w:val="0093756B"/>
    <w:rsid w:val="009400C2"/>
    <w:rsid w:val="009462FA"/>
    <w:rsid w:val="009505DD"/>
    <w:rsid w:val="00955905"/>
    <w:rsid w:val="009613E8"/>
    <w:rsid w:val="00962E14"/>
    <w:rsid w:val="00963FFF"/>
    <w:rsid w:val="0096761A"/>
    <w:rsid w:val="009705B3"/>
    <w:rsid w:val="00971016"/>
    <w:rsid w:val="009813A6"/>
    <w:rsid w:val="009836A7"/>
    <w:rsid w:val="009A16DE"/>
    <w:rsid w:val="009B505A"/>
    <w:rsid w:val="009B7B1F"/>
    <w:rsid w:val="009C2244"/>
    <w:rsid w:val="009C3C7B"/>
    <w:rsid w:val="009D1D31"/>
    <w:rsid w:val="009D4D64"/>
    <w:rsid w:val="009E4604"/>
    <w:rsid w:val="009F1183"/>
    <w:rsid w:val="009F1514"/>
    <w:rsid w:val="009F2F7B"/>
    <w:rsid w:val="009F44B4"/>
    <w:rsid w:val="009F4CD8"/>
    <w:rsid w:val="009F589F"/>
    <w:rsid w:val="009F7119"/>
    <w:rsid w:val="00A00401"/>
    <w:rsid w:val="00A00B43"/>
    <w:rsid w:val="00A043DE"/>
    <w:rsid w:val="00A05BAE"/>
    <w:rsid w:val="00A11618"/>
    <w:rsid w:val="00A14701"/>
    <w:rsid w:val="00A14CF4"/>
    <w:rsid w:val="00A1570C"/>
    <w:rsid w:val="00A15C4F"/>
    <w:rsid w:val="00A16E60"/>
    <w:rsid w:val="00A22C42"/>
    <w:rsid w:val="00A23560"/>
    <w:rsid w:val="00A23637"/>
    <w:rsid w:val="00A26DC5"/>
    <w:rsid w:val="00A2724A"/>
    <w:rsid w:val="00A30CD5"/>
    <w:rsid w:val="00A37539"/>
    <w:rsid w:val="00A40B4C"/>
    <w:rsid w:val="00A50F8C"/>
    <w:rsid w:val="00A51842"/>
    <w:rsid w:val="00A563ED"/>
    <w:rsid w:val="00A60347"/>
    <w:rsid w:val="00A62487"/>
    <w:rsid w:val="00A63AF0"/>
    <w:rsid w:val="00A67E70"/>
    <w:rsid w:val="00A70534"/>
    <w:rsid w:val="00A73A46"/>
    <w:rsid w:val="00A74A2B"/>
    <w:rsid w:val="00A7525C"/>
    <w:rsid w:val="00A77B25"/>
    <w:rsid w:val="00A83153"/>
    <w:rsid w:val="00A8785A"/>
    <w:rsid w:val="00A90432"/>
    <w:rsid w:val="00AA40E1"/>
    <w:rsid w:val="00AB0DB7"/>
    <w:rsid w:val="00AB0E27"/>
    <w:rsid w:val="00AC24D4"/>
    <w:rsid w:val="00AC3289"/>
    <w:rsid w:val="00AC46F5"/>
    <w:rsid w:val="00AC4F32"/>
    <w:rsid w:val="00AC72DA"/>
    <w:rsid w:val="00AD1445"/>
    <w:rsid w:val="00AD191A"/>
    <w:rsid w:val="00AD5DDB"/>
    <w:rsid w:val="00AD65F0"/>
    <w:rsid w:val="00AD783C"/>
    <w:rsid w:val="00AE6B9C"/>
    <w:rsid w:val="00AF462B"/>
    <w:rsid w:val="00AF5658"/>
    <w:rsid w:val="00AF62C2"/>
    <w:rsid w:val="00B00D76"/>
    <w:rsid w:val="00B03D10"/>
    <w:rsid w:val="00B05FDA"/>
    <w:rsid w:val="00B146C0"/>
    <w:rsid w:val="00B17002"/>
    <w:rsid w:val="00B2224B"/>
    <w:rsid w:val="00B32E4E"/>
    <w:rsid w:val="00B3455E"/>
    <w:rsid w:val="00B36EB3"/>
    <w:rsid w:val="00B43F32"/>
    <w:rsid w:val="00B4456F"/>
    <w:rsid w:val="00B6092B"/>
    <w:rsid w:val="00B61F61"/>
    <w:rsid w:val="00B63BBC"/>
    <w:rsid w:val="00B802A8"/>
    <w:rsid w:val="00B8356C"/>
    <w:rsid w:val="00B838A8"/>
    <w:rsid w:val="00B90CF8"/>
    <w:rsid w:val="00B91986"/>
    <w:rsid w:val="00B96E4F"/>
    <w:rsid w:val="00BA3381"/>
    <w:rsid w:val="00BA688E"/>
    <w:rsid w:val="00BA6991"/>
    <w:rsid w:val="00BB3408"/>
    <w:rsid w:val="00BB4052"/>
    <w:rsid w:val="00BB46BB"/>
    <w:rsid w:val="00BB5DCC"/>
    <w:rsid w:val="00BC7341"/>
    <w:rsid w:val="00BC78DA"/>
    <w:rsid w:val="00BD17E4"/>
    <w:rsid w:val="00BD4333"/>
    <w:rsid w:val="00BE07E2"/>
    <w:rsid w:val="00BE2447"/>
    <w:rsid w:val="00BE2AD6"/>
    <w:rsid w:val="00BE5C64"/>
    <w:rsid w:val="00BE609B"/>
    <w:rsid w:val="00BF00BC"/>
    <w:rsid w:val="00BF10E4"/>
    <w:rsid w:val="00BF20DB"/>
    <w:rsid w:val="00BF2A76"/>
    <w:rsid w:val="00BF4225"/>
    <w:rsid w:val="00C101B2"/>
    <w:rsid w:val="00C11026"/>
    <w:rsid w:val="00C1168C"/>
    <w:rsid w:val="00C1324B"/>
    <w:rsid w:val="00C144E4"/>
    <w:rsid w:val="00C2122A"/>
    <w:rsid w:val="00C22372"/>
    <w:rsid w:val="00C2376A"/>
    <w:rsid w:val="00C34D41"/>
    <w:rsid w:val="00C35EB8"/>
    <w:rsid w:val="00C36F6D"/>
    <w:rsid w:val="00C44E75"/>
    <w:rsid w:val="00C45804"/>
    <w:rsid w:val="00C472D8"/>
    <w:rsid w:val="00C476E1"/>
    <w:rsid w:val="00C56B6D"/>
    <w:rsid w:val="00C61182"/>
    <w:rsid w:val="00C62DC1"/>
    <w:rsid w:val="00C67E01"/>
    <w:rsid w:val="00C74AAF"/>
    <w:rsid w:val="00C76706"/>
    <w:rsid w:val="00C87AB5"/>
    <w:rsid w:val="00C93ED6"/>
    <w:rsid w:val="00C93FA9"/>
    <w:rsid w:val="00C94F6E"/>
    <w:rsid w:val="00CA1B14"/>
    <w:rsid w:val="00CA5E85"/>
    <w:rsid w:val="00CB0A76"/>
    <w:rsid w:val="00CB0E67"/>
    <w:rsid w:val="00CB7ACB"/>
    <w:rsid w:val="00CC15B0"/>
    <w:rsid w:val="00CC3107"/>
    <w:rsid w:val="00CC365B"/>
    <w:rsid w:val="00CC3C32"/>
    <w:rsid w:val="00CC4328"/>
    <w:rsid w:val="00CC770F"/>
    <w:rsid w:val="00CD67C0"/>
    <w:rsid w:val="00CE13A5"/>
    <w:rsid w:val="00CE39F0"/>
    <w:rsid w:val="00CE45FE"/>
    <w:rsid w:val="00CF2F4A"/>
    <w:rsid w:val="00CF3262"/>
    <w:rsid w:val="00CF38E8"/>
    <w:rsid w:val="00CF6521"/>
    <w:rsid w:val="00D0035F"/>
    <w:rsid w:val="00D012B5"/>
    <w:rsid w:val="00D03576"/>
    <w:rsid w:val="00D046CC"/>
    <w:rsid w:val="00D05EDF"/>
    <w:rsid w:val="00D0761F"/>
    <w:rsid w:val="00D1286C"/>
    <w:rsid w:val="00D155DE"/>
    <w:rsid w:val="00D175A9"/>
    <w:rsid w:val="00D20E96"/>
    <w:rsid w:val="00D235C5"/>
    <w:rsid w:val="00D23CA7"/>
    <w:rsid w:val="00D31D7E"/>
    <w:rsid w:val="00D37D9A"/>
    <w:rsid w:val="00D43F87"/>
    <w:rsid w:val="00D46B4D"/>
    <w:rsid w:val="00D47F4C"/>
    <w:rsid w:val="00D64575"/>
    <w:rsid w:val="00D66F8C"/>
    <w:rsid w:val="00D67DA7"/>
    <w:rsid w:val="00D70797"/>
    <w:rsid w:val="00D73F64"/>
    <w:rsid w:val="00D835EA"/>
    <w:rsid w:val="00D8405E"/>
    <w:rsid w:val="00D9144F"/>
    <w:rsid w:val="00DA5FAE"/>
    <w:rsid w:val="00DA6668"/>
    <w:rsid w:val="00DB37B2"/>
    <w:rsid w:val="00DB67ED"/>
    <w:rsid w:val="00DC034B"/>
    <w:rsid w:val="00DC7903"/>
    <w:rsid w:val="00DD4E9D"/>
    <w:rsid w:val="00DE0986"/>
    <w:rsid w:val="00DE19C3"/>
    <w:rsid w:val="00DE4849"/>
    <w:rsid w:val="00DF1577"/>
    <w:rsid w:val="00DF30DF"/>
    <w:rsid w:val="00DF6DD4"/>
    <w:rsid w:val="00E01413"/>
    <w:rsid w:val="00E01563"/>
    <w:rsid w:val="00E031FB"/>
    <w:rsid w:val="00E11EF3"/>
    <w:rsid w:val="00E16953"/>
    <w:rsid w:val="00E2118A"/>
    <w:rsid w:val="00E21B3F"/>
    <w:rsid w:val="00E3299D"/>
    <w:rsid w:val="00E34F6D"/>
    <w:rsid w:val="00E3576C"/>
    <w:rsid w:val="00E36535"/>
    <w:rsid w:val="00E40237"/>
    <w:rsid w:val="00E415CF"/>
    <w:rsid w:val="00E41D64"/>
    <w:rsid w:val="00E45FD8"/>
    <w:rsid w:val="00E472E4"/>
    <w:rsid w:val="00E47AEF"/>
    <w:rsid w:val="00E501DC"/>
    <w:rsid w:val="00E57E7F"/>
    <w:rsid w:val="00E63879"/>
    <w:rsid w:val="00E638A6"/>
    <w:rsid w:val="00E667FB"/>
    <w:rsid w:val="00E70A28"/>
    <w:rsid w:val="00E70E4C"/>
    <w:rsid w:val="00E86D50"/>
    <w:rsid w:val="00EA0044"/>
    <w:rsid w:val="00EA2C08"/>
    <w:rsid w:val="00EA69AC"/>
    <w:rsid w:val="00EB5AC9"/>
    <w:rsid w:val="00EB684E"/>
    <w:rsid w:val="00EC25CF"/>
    <w:rsid w:val="00EC4694"/>
    <w:rsid w:val="00EE13A9"/>
    <w:rsid w:val="00EE7D55"/>
    <w:rsid w:val="00EF040F"/>
    <w:rsid w:val="00EF1678"/>
    <w:rsid w:val="00F05002"/>
    <w:rsid w:val="00F1554E"/>
    <w:rsid w:val="00F17A30"/>
    <w:rsid w:val="00F20D35"/>
    <w:rsid w:val="00F25D43"/>
    <w:rsid w:val="00F26DE2"/>
    <w:rsid w:val="00F32CCC"/>
    <w:rsid w:val="00F42CD5"/>
    <w:rsid w:val="00F43BA7"/>
    <w:rsid w:val="00F4536C"/>
    <w:rsid w:val="00F525FE"/>
    <w:rsid w:val="00F55531"/>
    <w:rsid w:val="00F5781A"/>
    <w:rsid w:val="00F628F0"/>
    <w:rsid w:val="00F67396"/>
    <w:rsid w:val="00F71C4B"/>
    <w:rsid w:val="00F73EE4"/>
    <w:rsid w:val="00F74068"/>
    <w:rsid w:val="00F7526C"/>
    <w:rsid w:val="00F77CC4"/>
    <w:rsid w:val="00F900D1"/>
    <w:rsid w:val="00F909EF"/>
    <w:rsid w:val="00F92126"/>
    <w:rsid w:val="00F92EA4"/>
    <w:rsid w:val="00F936A7"/>
    <w:rsid w:val="00FA28F4"/>
    <w:rsid w:val="00FA4160"/>
    <w:rsid w:val="00FB18A1"/>
    <w:rsid w:val="00FB40CE"/>
    <w:rsid w:val="00FB4EC1"/>
    <w:rsid w:val="00FB5943"/>
    <w:rsid w:val="00FB599B"/>
    <w:rsid w:val="00FB67F2"/>
    <w:rsid w:val="00FB7B59"/>
    <w:rsid w:val="00FC3BCE"/>
    <w:rsid w:val="00FC4679"/>
    <w:rsid w:val="00FC7ACE"/>
    <w:rsid w:val="00FD0BA1"/>
    <w:rsid w:val="00FD131E"/>
    <w:rsid w:val="00FD5A0F"/>
    <w:rsid w:val="00FD65D4"/>
    <w:rsid w:val="00FE44BC"/>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211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835E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E2118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D835EA"/>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D0761F"/>
    <w:rPr>
      <w:i/>
      <w:iCs/>
    </w:rPr>
  </w:style>
  <w:style w:type="character" w:styleId="Hyperlink">
    <w:name w:val="Hyperlink"/>
    <w:basedOn w:val="DefaultParagraphFont"/>
    <w:uiPriority w:val="99"/>
    <w:unhideWhenUsed/>
    <w:rsid w:val="00AF5658"/>
    <w:rPr>
      <w:color w:val="0000FF" w:themeColor="hyperlink"/>
      <w:u w:val="single"/>
    </w:rPr>
  </w:style>
  <w:style w:type="character" w:styleId="UnresolvedMention">
    <w:name w:val="Unresolved Mention"/>
    <w:basedOn w:val="DefaultParagraphFont"/>
    <w:uiPriority w:val="99"/>
    <w:semiHidden/>
    <w:unhideWhenUsed/>
    <w:rsid w:val="00AF5658"/>
    <w:rPr>
      <w:color w:val="605E5C"/>
      <w:shd w:val="clear" w:color="auto" w:fill="E1DFDD"/>
    </w:rPr>
  </w:style>
  <w:style w:type="table" w:styleId="PlainTable4">
    <w:name w:val="Plain Table 4"/>
    <w:basedOn w:val="TableNormal"/>
    <w:uiPriority w:val="44"/>
    <w:rsid w:val="002064B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9A16DE"/>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CA5E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428701">
      <w:bodyDiv w:val="1"/>
      <w:marLeft w:val="0"/>
      <w:marRight w:val="0"/>
      <w:marTop w:val="0"/>
      <w:marBottom w:val="0"/>
      <w:divBdr>
        <w:top w:val="none" w:sz="0" w:space="0" w:color="auto"/>
        <w:left w:val="none" w:sz="0" w:space="0" w:color="auto"/>
        <w:bottom w:val="none" w:sz="0" w:space="0" w:color="auto"/>
        <w:right w:val="none" w:sz="0" w:space="0" w:color="auto"/>
      </w:divBdr>
    </w:div>
    <w:div w:id="143208976">
      <w:bodyDiv w:val="1"/>
      <w:marLeft w:val="0"/>
      <w:marRight w:val="0"/>
      <w:marTop w:val="0"/>
      <w:marBottom w:val="0"/>
      <w:divBdr>
        <w:top w:val="none" w:sz="0" w:space="0" w:color="auto"/>
        <w:left w:val="none" w:sz="0" w:space="0" w:color="auto"/>
        <w:bottom w:val="none" w:sz="0" w:space="0" w:color="auto"/>
        <w:right w:val="none" w:sz="0" w:space="0" w:color="auto"/>
      </w:divBdr>
    </w:div>
    <w:div w:id="163135755">
      <w:bodyDiv w:val="1"/>
      <w:marLeft w:val="0"/>
      <w:marRight w:val="0"/>
      <w:marTop w:val="0"/>
      <w:marBottom w:val="0"/>
      <w:divBdr>
        <w:top w:val="none" w:sz="0" w:space="0" w:color="auto"/>
        <w:left w:val="none" w:sz="0" w:space="0" w:color="auto"/>
        <w:bottom w:val="none" w:sz="0" w:space="0" w:color="auto"/>
        <w:right w:val="none" w:sz="0" w:space="0" w:color="auto"/>
      </w:divBdr>
    </w:div>
    <w:div w:id="180559537">
      <w:bodyDiv w:val="1"/>
      <w:marLeft w:val="0"/>
      <w:marRight w:val="0"/>
      <w:marTop w:val="0"/>
      <w:marBottom w:val="0"/>
      <w:divBdr>
        <w:top w:val="none" w:sz="0" w:space="0" w:color="auto"/>
        <w:left w:val="none" w:sz="0" w:space="0" w:color="auto"/>
        <w:bottom w:val="none" w:sz="0" w:space="0" w:color="auto"/>
        <w:right w:val="none" w:sz="0" w:space="0" w:color="auto"/>
      </w:divBdr>
    </w:div>
    <w:div w:id="218328552">
      <w:bodyDiv w:val="1"/>
      <w:marLeft w:val="0"/>
      <w:marRight w:val="0"/>
      <w:marTop w:val="0"/>
      <w:marBottom w:val="0"/>
      <w:divBdr>
        <w:top w:val="none" w:sz="0" w:space="0" w:color="auto"/>
        <w:left w:val="none" w:sz="0" w:space="0" w:color="auto"/>
        <w:bottom w:val="none" w:sz="0" w:space="0" w:color="auto"/>
        <w:right w:val="none" w:sz="0" w:space="0" w:color="auto"/>
      </w:divBdr>
    </w:div>
    <w:div w:id="258300764">
      <w:bodyDiv w:val="1"/>
      <w:marLeft w:val="0"/>
      <w:marRight w:val="0"/>
      <w:marTop w:val="0"/>
      <w:marBottom w:val="0"/>
      <w:divBdr>
        <w:top w:val="none" w:sz="0" w:space="0" w:color="auto"/>
        <w:left w:val="none" w:sz="0" w:space="0" w:color="auto"/>
        <w:bottom w:val="none" w:sz="0" w:space="0" w:color="auto"/>
        <w:right w:val="none" w:sz="0" w:space="0" w:color="auto"/>
      </w:divBdr>
    </w:div>
    <w:div w:id="373888281">
      <w:bodyDiv w:val="1"/>
      <w:marLeft w:val="0"/>
      <w:marRight w:val="0"/>
      <w:marTop w:val="0"/>
      <w:marBottom w:val="0"/>
      <w:divBdr>
        <w:top w:val="none" w:sz="0" w:space="0" w:color="auto"/>
        <w:left w:val="none" w:sz="0" w:space="0" w:color="auto"/>
        <w:bottom w:val="none" w:sz="0" w:space="0" w:color="auto"/>
        <w:right w:val="none" w:sz="0" w:space="0" w:color="auto"/>
      </w:divBdr>
    </w:div>
    <w:div w:id="398595037">
      <w:bodyDiv w:val="1"/>
      <w:marLeft w:val="0"/>
      <w:marRight w:val="0"/>
      <w:marTop w:val="0"/>
      <w:marBottom w:val="0"/>
      <w:divBdr>
        <w:top w:val="none" w:sz="0" w:space="0" w:color="auto"/>
        <w:left w:val="none" w:sz="0" w:space="0" w:color="auto"/>
        <w:bottom w:val="none" w:sz="0" w:space="0" w:color="auto"/>
        <w:right w:val="none" w:sz="0" w:space="0" w:color="auto"/>
      </w:divBdr>
    </w:div>
    <w:div w:id="400250247">
      <w:bodyDiv w:val="1"/>
      <w:marLeft w:val="0"/>
      <w:marRight w:val="0"/>
      <w:marTop w:val="0"/>
      <w:marBottom w:val="0"/>
      <w:divBdr>
        <w:top w:val="none" w:sz="0" w:space="0" w:color="auto"/>
        <w:left w:val="none" w:sz="0" w:space="0" w:color="auto"/>
        <w:bottom w:val="none" w:sz="0" w:space="0" w:color="auto"/>
        <w:right w:val="none" w:sz="0" w:space="0" w:color="auto"/>
      </w:divBdr>
    </w:div>
    <w:div w:id="460929306">
      <w:bodyDiv w:val="1"/>
      <w:marLeft w:val="0"/>
      <w:marRight w:val="0"/>
      <w:marTop w:val="0"/>
      <w:marBottom w:val="0"/>
      <w:divBdr>
        <w:top w:val="none" w:sz="0" w:space="0" w:color="auto"/>
        <w:left w:val="none" w:sz="0" w:space="0" w:color="auto"/>
        <w:bottom w:val="none" w:sz="0" w:space="0" w:color="auto"/>
        <w:right w:val="none" w:sz="0" w:space="0" w:color="auto"/>
      </w:divBdr>
    </w:div>
    <w:div w:id="591276991">
      <w:bodyDiv w:val="1"/>
      <w:marLeft w:val="0"/>
      <w:marRight w:val="0"/>
      <w:marTop w:val="0"/>
      <w:marBottom w:val="0"/>
      <w:divBdr>
        <w:top w:val="none" w:sz="0" w:space="0" w:color="auto"/>
        <w:left w:val="none" w:sz="0" w:space="0" w:color="auto"/>
        <w:bottom w:val="none" w:sz="0" w:space="0" w:color="auto"/>
        <w:right w:val="none" w:sz="0" w:space="0" w:color="auto"/>
      </w:divBdr>
    </w:div>
    <w:div w:id="792096342">
      <w:bodyDiv w:val="1"/>
      <w:marLeft w:val="0"/>
      <w:marRight w:val="0"/>
      <w:marTop w:val="0"/>
      <w:marBottom w:val="0"/>
      <w:divBdr>
        <w:top w:val="none" w:sz="0" w:space="0" w:color="auto"/>
        <w:left w:val="none" w:sz="0" w:space="0" w:color="auto"/>
        <w:bottom w:val="none" w:sz="0" w:space="0" w:color="auto"/>
        <w:right w:val="none" w:sz="0" w:space="0" w:color="auto"/>
      </w:divBdr>
    </w:div>
    <w:div w:id="913318306">
      <w:bodyDiv w:val="1"/>
      <w:marLeft w:val="0"/>
      <w:marRight w:val="0"/>
      <w:marTop w:val="0"/>
      <w:marBottom w:val="0"/>
      <w:divBdr>
        <w:top w:val="none" w:sz="0" w:space="0" w:color="auto"/>
        <w:left w:val="none" w:sz="0" w:space="0" w:color="auto"/>
        <w:bottom w:val="none" w:sz="0" w:space="0" w:color="auto"/>
        <w:right w:val="none" w:sz="0" w:space="0" w:color="auto"/>
      </w:divBdr>
    </w:div>
    <w:div w:id="95139820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1598373">
      <w:bodyDiv w:val="1"/>
      <w:marLeft w:val="0"/>
      <w:marRight w:val="0"/>
      <w:marTop w:val="0"/>
      <w:marBottom w:val="0"/>
      <w:divBdr>
        <w:top w:val="none" w:sz="0" w:space="0" w:color="auto"/>
        <w:left w:val="none" w:sz="0" w:space="0" w:color="auto"/>
        <w:bottom w:val="none" w:sz="0" w:space="0" w:color="auto"/>
        <w:right w:val="none" w:sz="0" w:space="0" w:color="auto"/>
      </w:divBdr>
    </w:div>
    <w:div w:id="1059089057">
      <w:bodyDiv w:val="1"/>
      <w:marLeft w:val="0"/>
      <w:marRight w:val="0"/>
      <w:marTop w:val="0"/>
      <w:marBottom w:val="0"/>
      <w:divBdr>
        <w:top w:val="none" w:sz="0" w:space="0" w:color="auto"/>
        <w:left w:val="none" w:sz="0" w:space="0" w:color="auto"/>
        <w:bottom w:val="none" w:sz="0" w:space="0" w:color="auto"/>
        <w:right w:val="none" w:sz="0" w:space="0" w:color="auto"/>
      </w:divBdr>
    </w:div>
    <w:div w:id="1105926452">
      <w:bodyDiv w:val="1"/>
      <w:marLeft w:val="0"/>
      <w:marRight w:val="0"/>
      <w:marTop w:val="0"/>
      <w:marBottom w:val="0"/>
      <w:divBdr>
        <w:top w:val="none" w:sz="0" w:space="0" w:color="auto"/>
        <w:left w:val="none" w:sz="0" w:space="0" w:color="auto"/>
        <w:bottom w:val="none" w:sz="0" w:space="0" w:color="auto"/>
        <w:right w:val="none" w:sz="0" w:space="0" w:color="auto"/>
      </w:divBdr>
    </w:div>
    <w:div w:id="1256015296">
      <w:bodyDiv w:val="1"/>
      <w:marLeft w:val="0"/>
      <w:marRight w:val="0"/>
      <w:marTop w:val="0"/>
      <w:marBottom w:val="0"/>
      <w:divBdr>
        <w:top w:val="none" w:sz="0" w:space="0" w:color="auto"/>
        <w:left w:val="none" w:sz="0" w:space="0" w:color="auto"/>
        <w:bottom w:val="none" w:sz="0" w:space="0" w:color="auto"/>
        <w:right w:val="none" w:sz="0" w:space="0" w:color="auto"/>
      </w:divBdr>
    </w:div>
    <w:div w:id="1270431501">
      <w:bodyDiv w:val="1"/>
      <w:marLeft w:val="0"/>
      <w:marRight w:val="0"/>
      <w:marTop w:val="0"/>
      <w:marBottom w:val="0"/>
      <w:divBdr>
        <w:top w:val="none" w:sz="0" w:space="0" w:color="auto"/>
        <w:left w:val="none" w:sz="0" w:space="0" w:color="auto"/>
        <w:bottom w:val="none" w:sz="0" w:space="0" w:color="auto"/>
        <w:right w:val="none" w:sz="0" w:space="0" w:color="auto"/>
      </w:divBdr>
    </w:div>
    <w:div w:id="1393383430">
      <w:bodyDiv w:val="1"/>
      <w:marLeft w:val="0"/>
      <w:marRight w:val="0"/>
      <w:marTop w:val="0"/>
      <w:marBottom w:val="0"/>
      <w:divBdr>
        <w:top w:val="none" w:sz="0" w:space="0" w:color="auto"/>
        <w:left w:val="none" w:sz="0" w:space="0" w:color="auto"/>
        <w:bottom w:val="none" w:sz="0" w:space="0" w:color="auto"/>
        <w:right w:val="none" w:sz="0" w:space="0" w:color="auto"/>
      </w:divBdr>
    </w:div>
    <w:div w:id="1469200275">
      <w:bodyDiv w:val="1"/>
      <w:marLeft w:val="0"/>
      <w:marRight w:val="0"/>
      <w:marTop w:val="0"/>
      <w:marBottom w:val="0"/>
      <w:divBdr>
        <w:top w:val="none" w:sz="0" w:space="0" w:color="auto"/>
        <w:left w:val="none" w:sz="0" w:space="0" w:color="auto"/>
        <w:bottom w:val="none" w:sz="0" w:space="0" w:color="auto"/>
        <w:right w:val="none" w:sz="0" w:space="0" w:color="auto"/>
      </w:divBdr>
    </w:div>
    <w:div w:id="1528635452">
      <w:bodyDiv w:val="1"/>
      <w:marLeft w:val="0"/>
      <w:marRight w:val="0"/>
      <w:marTop w:val="0"/>
      <w:marBottom w:val="0"/>
      <w:divBdr>
        <w:top w:val="none" w:sz="0" w:space="0" w:color="auto"/>
        <w:left w:val="none" w:sz="0" w:space="0" w:color="auto"/>
        <w:bottom w:val="none" w:sz="0" w:space="0" w:color="auto"/>
        <w:right w:val="none" w:sz="0" w:space="0" w:color="auto"/>
      </w:divBdr>
    </w:div>
    <w:div w:id="1596136186">
      <w:bodyDiv w:val="1"/>
      <w:marLeft w:val="0"/>
      <w:marRight w:val="0"/>
      <w:marTop w:val="0"/>
      <w:marBottom w:val="0"/>
      <w:divBdr>
        <w:top w:val="none" w:sz="0" w:space="0" w:color="auto"/>
        <w:left w:val="none" w:sz="0" w:space="0" w:color="auto"/>
        <w:bottom w:val="none" w:sz="0" w:space="0" w:color="auto"/>
        <w:right w:val="none" w:sz="0" w:space="0" w:color="auto"/>
      </w:divBdr>
    </w:div>
    <w:div w:id="1645772591">
      <w:bodyDiv w:val="1"/>
      <w:marLeft w:val="0"/>
      <w:marRight w:val="0"/>
      <w:marTop w:val="0"/>
      <w:marBottom w:val="0"/>
      <w:divBdr>
        <w:top w:val="none" w:sz="0" w:space="0" w:color="auto"/>
        <w:left w:val="none" w:sz="0" w:space="0" w:color="auto"/>
        <w:bottom w:val="none" w:sz="0" w:space="0" w:color="auto"/>
        <w:right w:val="none" w:sz="0" w:space="0" w:color="auto"/>
      </w:divBdr>
    </w:div>
    <w:div w:id="1654139668">
      <w:bodyDiv w:val="1"/>
      <w:marLeft w:val="0"/>
      <w:marRight w:val="0"/>
      <w:marTop w:val="0"/>
      <w:marBottom w:val="0"/>
      <w:divBdr>
        <w:top w:val="none" w:sz="0" w:space="0" w:color="auto"/>
        <w:left w:val="none" w:sz="0" w:space="0" w:color="auto"/>
        <w:bottom w:val="none" w:sz="0" w:space="0" w:color="auto"/>
        <w:right w:val="none" w:sz="0" w:space="0" w:color="auto"/>
      </w:divBdr>
    </w:div>
    <w:div w:id="1806315622">
      <w:bodyDiv w:val="1"/>
      <w:marLeft w:val="0"/>
      <w:marRight w:val="0"/>
      <w:marTop w:val="0"/>
      <w:marBottom w:val="0"/>
      <w:divBdr>
        <w:top w:val="none" w:sz="0" w:space="0" w:color="auto"/>
        <w:left w:val="none" w:sz="0" w:space="0" w:color="auto"/>
        <w:bottom w:val="none" w:sz="0" w:space="0" w:color="auto"/>
        <w:right w:val="none" w:sz="0" w:space="0" w:color="auto"/>
      </w:divBdr>
    </w:div>
    <w:div w:id="20229300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4106202" TargetMode="External"/><Relationship Id="rId18" Type="http://schemas.openxmlformats.org/officeDocument/2006/relationships/hyperlink" Target="https://doi.org/10.1007/s10997-016-9363-3" TargetMode="External"/><Relationship Id="rId26" Type="http://schemas.openxmlformats.org/officeDocument/2006/relationships/hyperlink" Target="https://doi.org/10.1016/S0304-405X(00)00065-9" TargetMode="External"/><Relationship Id="rId39" Type="http://schemas.openxmlformats.org/officeDocument/2006/relationships/theme" Target="theme/theme1.xml"/><Relationship Id="rId21" Type="http://schemas.openxmlformats.org/officeDocument/2006/relationships/hyperlink" Target="https://doi.org/10.1080/07851130701315354"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oi.org/10.22495/rgcv10i1art1" TargetMode="External"/><Relationship Id="rId17" Type="http://schemas.openxmlformats.org/officeDocument/2006/relationships/hyperlink" Target="https://doi.org/10.1007/s11156-007-0082-3" TargetMode="External"/><Relationship Id="rId25" Type="http://schemas.openxmlformats.org/officeDocument/2006/relationships/hyperlink" Target="https://doi.org/10.1111/j.1540-6261.1993.tb04022.x"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11/j.1467-8683.2009.00763.x" TargetMode="External"/><Relationship Id="rId20" Type="http://schemas.openxmlformats.org/officeDocument/2006/relationships/hyperlink" Target="https://cma.gov.sa/en/RulesRegulations/Regulations/Documents/CorporateGovernanceRegulations1.pdf" TargetMode="External"/><Relationship Id="rId29" Type="http://schemas.openxmlformats.org/officeDocument/2006/relationships/hyperlink" Target="https://doi.org/10.1108/175427313113149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9416520.2010.495525" TargetMode="External"/><Relationship Id="rId24" Type="http://schemas.openxmlformats.org/officeDocument/2006/relationships/hyperlink" Target="https://doi.org/10.1108/SRJ-07-2015-0088" TargetMode="External"/><Relationship Id="rId32" Type="http://schemas.openxmlformats.org/officeDocument/2006/relationships/hyperlink" Target="https://www.ijohss.com/index.php/IJoHSS/article/view/410"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108/09513570810907401" TargetMode="External"/><Relationship Id="rId23" Type="http://schemas.openxmlformats.org/officeDocument/2006/relationships/hyperlink" Target="https://doi.org/10.13189/ujm.2014.020203" TargetMode="External"/><Relationship Id="rId28" Type="http://schemas.openxmlformats.org/officeDocument/2006/relationships/hyperlink" Target="https://doi.org/10.1108/TQM-07-2022-0232" TargetMode="External"/><Relationship Id="rId36" Type="http://schemas.openxmlformats.org/officeDocument/2006/relationships/header" Target="header3.xml"/><Relationship Id="rId10" Type="http://schemas.openxmlformats.org/officeDocument/2006/relationships/hyperlink" Target="https://doi.org/10.1016/j.heliyon.2023.e16015" TargetMode="External"/><Relationship Id="rId19" Type="http://schemas.openxmlformats.org/officeDocument/2006/relationships/hyperlink" Target="https://doi.org/10.14453/aabfj.v11i1.6" TargetMode="External"/><Relationship Id="rId31" Type="http://schemas.openxmlformats.org/officeDocument/2006/relationships/hyperlink" Target="https://doi.org/10.1108/CG-03-2016-0063" TargetMode="External"/><Relationship Id="rId4" Type="http://schemas.openxmlformats.org/officeDocument/2006/relationships/settings" Target="settings.xml"/><Relationship Id="rId9" Type="http://schemas.openxmlformats.org/officeDocument/2006/relationships/hyperlink" Target="https://doi.org/10.1371/journal.pone.0286573" TargetMode="External"/><Relationship Id="rId14" Type="http://schemas.openxmlformats.org/officeDocument/2006/relationships/hyperlink" Target="https://doi.org/10.1080/23311975.2023.2195990" TargetMode="External"/><Relationship Id="rId22" Type="http://schemas.openxmlformats.org/officeDocument/2006/relationships/hyperlink" Target="https://doi.org/10.1080/14783363.2018.1486544" TargetMode="External"/><Relationship Id="rId27" Type="http://schemas.openxmlformats.org/officeDocument/2006/relationships/hyperlink" Target="https://doi.org/10.1111/j.1467-8683.2004.00386.x" TargetMode="External"/><Relationship Id="rId30" Type="http://schemas.openxmlformats.org/officeDocument/2006/relationships/hyperlink" Target="https://openknowledge.worldbank.org/handle/10986/33428"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17</Pages>
  <Words>5037</Words>
  <Characters>28715</Characters>
  <Application>Microsoft Office Word</Application>
  <DocSecurity>0</DocSecurity>
  <Lines>239</Lines>
  <Paragraphs>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Abeer Omar Alattas</cp:lastModifiedBy>
  <cp:revision>54</cp:revision>
  <cp:lastPrinted>2021-07-12T14:24:00Z</cp:lastPrinted>
  <dcterms:created xsi:type="dcterms:W3CDTF">2025-07-18T08:39:00Z</dcterms:created>
  <dcterms:modified xsi:type="dcterms:W3CDTF">2025-11-15T07:04:00Z</dcterms:modified>
</cp:coreProperties>
</file>