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4CA4E2" w14:textId="1DC9027A" w:rsidR="00276D90" w:rsidRPr="001A49AF" w:rsidRDefault="00655A16" w:rsidP="001A49AF">
      <w:pPr>
        <w:bidi/>
        <w:spacing w:after="0" w:line="240" w:lineRule="auto"/>
        <w:rPr>
          <w:rFonts w:ascii="Simplified Arabic" w:hAnsi="Simplified Arabic" w:cs="Simplified Arabic"/>
        </w:rPr>
      </w:pPr>
      <w:proofErr w:type="spellStart"/>
      <w:r w:rsidRPr="001A49AF">
        <w:rPr>
          <w:rFonts w:ascii="Simplified Arabic" w:hAnsi="Simplified Arabic" w:cs="Simplified Arabic"/>
          <w:b/>
        </w:rPr>
        <w:t>ملاحظات</w:t>
      </w:r>
      <w:proofErr w:type="spellEnd"/>
      <w:r w:rsidRPr="001A49AF">
        <w:rPr>
          <w:rFonts w:ascii="Simplified Arabic" w:hAnsi="Simplified Arabic" w:cs="Simplified Arabic"/>
          <w:b/>
        </w:rPr>
        <w:t xml:space="preserve"> </w:t>
      </w:r>
      <w:proofErr w:type="spellStart"/>
      <w:r w:rsidRPr="001A49AF">
        <w:rPr>
          <w:rFonts w:ascii="Simplified Arabic" w:hAnsi="Simplified Arabic" w:cs="Simplified Arabic"/>
          <w:b/>
        </w:rPr>
        <w:t>على</w:t>
      </w:r>
      <w:proofErr w:type="spellEnd"/>
      <w:r w:rsidRPr="001A49AF">
        <w:rPr>
          <w:rFonts w:ascii="Simplified Arabic" w:hAnsi="Simplified Arabic" w:cs="Simplified Arabic"/>
          <w:b/>
        </w:rPr>
        <w:t xml:space="preserve"> </w:t>
      </w:r>
      <w:proofErr w:type="spellStart"/>
      <w:r w:rsidRPr="001A49AF">
        <w:rPr>
          <w:rFonts w:ascii="Simplified Arabic" w:hAnsi="Simplified Arabic" w:cs="Simplified Arabic"/>
          <w:b/>
        </w:rPr>
        <w:t>الفصل</w:t>
      </w:r>
      <w:proofErr w:type="spellEnd"/>
      <w:r w:rsidRPr="001A49AF">
        <w:rPr>
          <w:rFonts w:ascii="Simplified Arabic" w:hAnsi="Simplified Arabic" w:cs="Simplified Arabic"/>
          <w:b/>
        </w:rPr>
        <w:t xml:space="preserve"> </w:t>
      </w:r>
      <w:proofErr w:type="spellStart"/>
      <w:r w:rsidRPr="001A49AF">
        <w:rPr>
          <w:rFonts w:ascii="Simplified Arabic" w:hAnsi="Simplified Arabic" w:cs="Simplified Arabic"/>
          <w:b/>
        </w:rPr>
        <w:t>الثاني</w:t>
      </w:r>
      <w:proofErr w:type="spellEnd"/>
      <w:r w:rsidRPr="001A49AF">
        <w:rPr>
          <w:rFonts w:ascii="Simplified Arabic" w:hAnsi="Simplified Arabic" w:cs="Simplified Arabic"/>
          <w:b/>
        </w:rPr>
        <w:t xml:space="preserve"> (الإطار النظري والدراسات السابقة)</w:t>
      </w:r>
    </w:p>
    <w:p w14:paraId="075E3098" w14:textId="77777777" w:rsidR="00276D90" w:rsidRPr="001A49AF" w:rsidRDefault="00655A16" w:rsidP="001A49AF">
      <w:pPr>
        <w:bidi/>
        <w:spacing w:after="0" w:line="240" w:lineRule="auto"/>
        <w:rPr>
          <w:rFonts w:ascii="Simplified Arabic" w:hAnsi="Simplified Arabic" w:cs="Simplified Arabic"/>
        </w:rPr>
      </w:pPr>
      <w:r w:rsidRPr="001A49AF">
        <w:rPr>
          <w:rFonts w:ascii="Simplified Arabic" w:hAnsi="Simplified Arabic" w:cs="Simplified Arabic"/>
        </w:rPr>
        <w:t>الملف المُراجع: شليويح المطيري _ الفصل الأول والثاني (المحتوى المرفق يبدأ بالفصل الثاني).</w:t>
      </w:r>
    </w:p>
    <w:p w14:paraId="437AFD6D" w14:textId="77777777" w:rsidR="00276D90" w:rsidRPr="001A49AF" w:rsidRDefault="00276D90" w:rsidP="001A49AF">
      <w:pPr>
        <w:bidi/>
        <w:spacing w:after="0" w:line="240" w:lineRule="auto"/>
        <w:rPr>
          <w:rFonts w:ascii="Simplified Arabic" w:hAnsi="Simplified Arabic" w:cs="Simplified Arabic"/>
        </w:rPr>
      </w:pPr>
    </w:p>
    <w:p w14:paraId="60592001" w14:textId="77777777" w:rsidR="00276D90" w:rsidRPr="001A49AF" w:rsidRDefault="00655A16" w:rsidP="001A49AF">
      <w:pPr>
        <w:bidi/>
        <w:spacing w:after="0" w:line="240" w:lineRule="auto"/>
        <w:rPr>
          <w:rFonts w:ascii="Simplified Arabic" w:hAnsi="Simplified Arabic" w:cs="Simplified Arabic"/>
        </w:rPr>
      </w:pPr>
      <w:r w:rsidRPr="001A49AF">
        <w:rPr>
          <w:rFonts w:ascii="Simplified Arabic" w:hAnsi="Simplified Arabic" w:cs="Simplified Arabic"/>
          <w:b/>
        </w:rPr>
        <w:t>1) الحكم العام كمشرف</w:t>
      </w:r>
    </w:p>
    <w:tbl>
      <w:tblPr>
        <w:tblStyle w:val="TableGrid"/>
        <w:bidiVisual/>
        <w:tblW w:w="0" w:type="auto"/>
        <w:jc w:val="center"/>
        <w:tblLook w:val="04A0" w:firstRow="1" w:lastRow="0" w:firstColumn="1" w:lastColumn="0" w:noHBand="0" w:noVBand="1"/>
      </w:tblPr>
      <w:tblGrid>
        <w:gridCol w:w="1425"/>
        <w:gridCol w:w="10155"/>
      </w:tblGrid>
      <w:tr w:rsidR="00276D90" w:rsidRPr="001A49AF" w14:paraId="046DDA45" w14:textId="77777777" w:rsidTr="001A49AF">
        <w:trPr>
          <w:jc w:val="center"/>
        </w:trPr>
        <w:tc>
          <w:tcPr>
            <w:tcW w:w="1268" w:type="dxa"/>
          </w:tcPr>
          <w:p w14:paraId="562DA54C" w14:textId="77777777" w:rsidR="00276D90" w:rsidRPr="001A49AF" w:rsidRDefault="00655A16" w:rsidP="001A49AF">
            <w:pPr>
              <w:bidi/>
              <w:rPr>
                <w:rFonts w:ascii="Simplified Arabic" w:hAnsi="Simplified Arabic" w:cs="Simplified Arabic"/>
              </w:rPr>
            </w:pPr>
            <w:proofErr w:type="spellStart"/>
            <w:r w:rsidRPr="001A49AF">
              <w:rPr>
                <w:rFonts w:ascii="Simplified Arabic" w:hAnsi="Simplified Arabic" w:cs="Simplified Arabic"/>
                <w:b/>
              </w:rPr>
              <w:t>البند</w:t>
            </w:r>
            <w:proofErr w:type="spellEnd"/>
          </w:p>
        </w:tc>
        <w:tc>
          <w:tcPr>
            <w:tcW w:w="10155" w:type="dxa"/>
          </w:tcPr>
          <w:p w14:paraId="302B33C5"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b/>
              </w:rPr>
              <w:t>الملاحظات</w:t>
            </w:r>
          </w:p>
        </w:tc>
      </w:tr>
      <w:tr w:rsidR="00276D90" w:rsidRPr="001A49AF" w14:paraId="79C13AC8" w14:textId="77777777" w:rsidTr="001A49AF">
        <w:trPr>
          <w:jc w:val="center"/>
        </w:trPr>
        <w:tc>
          <w:tcPr>
            <w:tcW w:w="1268" w:type="dxa"/>
          </w:tcPr>
          <w:p w14:paraId="055B4A68"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الحالة</w:t>
            </w:r>
          </w:p>
        </w:tc>
        <w:tc>
          <w:tcPr>
            <w:tcW w:w="10155" w:type="dxa"/>
          </w:tcPr>
          <w:p w14:paraId="1A423A3F"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يحتاج تعديلات جوهرية (سببها الرئيس: عدم اتساق المفهوم/المتغير التابع بين «البراعة التنظيمية/الازدواجية التنظيمية» وبين أبعاد أقرب إلى «الرشاقة التنظيمية»، إضافة إلى ضعف التوليف النقدي في محور الدراسات السابقة).</w:t>
            </w:r>
          </w:p>
        </w:tc>
      </w:tr>
      <w:tr w:rsidR="00276D90" w:rsidRPr="001A49AF" w14:paraId="16AC4F41" w14:textId="77777777" w:rsidTr="001A49AF">
        <w:trPr>
          <w:jc w:val="center"/>
        </w:trPr>
        <w:tc>
          <w:tcPr>
            <w:tcW w:w="1268" w:type="dxa"/>
          </w:tcPr>
          <w:p w14:paraId="04F8F7D5"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أبرز نقاط القوة (5 نقاط)</w:t>
            </w:r>
          </w:p>
        </w:tc>
        <w:tc>
          <w:tcPr>
            <w:tcW w:w="10155" w:type="dxa"/>
          </w:tcPr>
          <w:p w14:paraId="5E484C84"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 xml:space="preserve">1) بناء هيكلي واضح (محور نظري </w:t>
            </w:r>
            <w:r w:rsidRPr="001A49AF">
              <w:rPr>
                <w:rFonts w:ascii="Times New Roman" w:hAnsi="Times New Roman" w:cs="Times New Roman"/>
              </w:rPr>
              <w:t>→</w:t>
            </w:r>
            <w:r w:rsidRPr="001A49AF">
              <w:rPr>
                <w:rFonts w:ascii="Simplified Arabic" w:hAnsi="Simplified Arabic" w:cs="Simplified Arabic"/>
              </w:rPr>
              <w:t xml:space="preserve"> علاقة نظرية </w:t>
            </w:r>
            <w:r w:rsidRPr="001A49AF">
              <w:rPr>
                <w:rFonts w:ascii="Times New Roman" w:hAnsi="Times New Roman" w:cs="Times New Roman"/>
              </w:rPr>
              <w:t>→</w:t>
            </w:r>
            <w:r w:rsidRPr="001A49AF">
              <w:rPr>
                <w:rFonts w:ascii="Simplified Arabic" w:hAnsi="Simplified Arabic" w:cs="Simplified Arabic"/>
              </w:rPr>
              <w:t xml:space="preserve"> دراسات سابقة).</w:t>
            </w:r>
            <w:r w:rsidRPr="001A49AF">
              <w:rPr>
                <w:rFonts w:ascii="Simplified Arabic" w:hAnsi="Simplified Arabic" w:cs="Simplified Arabic"/>
              </w:rPr>
              <w:br/>
              <w:t>2) استدعاء نظريات مركزية (رأس المال البشري، منظور الموارد، القدرات الديناميكية، التوافق الاستراتيجي).</w:t>
            </w:r>
            <w:r w:rsidRPr="001A49AF">
              <w:rPr>
                <w:rFonts w:ascii="Simplified Arabic" w:hAnsi="Simplified Arabic" w:cs="Simplified Arabic"/>
              </w:rPr>
              <w:br/>
              <w:t>3) ربط مبكر بالسياق الحكومي والتحول الوطني (رؤية 2030).</w:t>
            </w:r>
            <w:r w:rsidRPr="001A49AF">
              <w:rPr>
                <w:rFonts w:ascii="Simplified Arabic" w:hAnsi="Simplified Arabic" w:cs="Simplified Arabic"/>
              </w:rPr>
              <w:br/>
              <w:t>4) تعريفات أولية جيدة لمفاهيم التخطيط الاستراتيجي للموارد البشرية.</w:t>
            </w:r>
            <w:r w:rsidRPr="001A49AF">
              <w:rPr>
                <w:rFonts w:ascii="Simplified Arabic" w:hAnsi="Simplified Arabic" w:cs="Simplified Arabic"/>
              </w:rPr>
              <w:br/>
              <w:t>5) محاولة واعية لصياغة فجوة بحثية وسياقية (وزارة الإعلام السعودية).</w:t>
            </w:r>
          </w:p>
        </w:tc>
      </w:tr>
      <w:tr w:rsidR="00276D90" w:rsidRPr="001A49AF" w14:paraId="4A9707F6" w14:textId="77777777" w:rsidTr="001A49AF">
        <w:trPr>
          <w:jc w:val="center"/>
        </w:trPr>
        <w:tc>
          <w:tcPr>
            <w:tcW w:w="1268" w:type="dxa"/>
          </w:tcPr>
          <w:p w14:paraId="6B692848"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أبرز نقاط الضعف/الفجوات الحرجة (10 نقاط)</w:t>
            </w:r>
          </w:p>
        </w:tc>
        <w:tc>
          <w:tcPr>
            <w:tcW w:w="10155" w:type="dxa"/>
          </w:tcPr>
          <w:p w14:paraId="3C3B50C9"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1) خلط مفاهيمي بين «البراعة التنظيمية (Ambidexterity)» و«الرشاقة التنظيمية (Agility)»؛ التعريفات تتبع March (1991) بينما الأبعاد المختارة (مرونة/تكيف/سرعة استجابة/ابتكار) أقرب للرشاقة.</w:t>
            </w:r>
            <w:r w:rsidRPr="001A49AF">
              <w:rPr>
                <w:rFonts w:ascii="Simplified Arabic" w:hAnsi="Simplified Arabic" w:cs="Simplified Arabic"/>
              </w:rPr>
              <w:br/>
              <w:t>2) عدم تبرير علمي كافٍ لاختيار أبعاد المتغيرين وكيفية اشتقاقها من النظرية.</w:t>
            </w:r>
            <w:r w:rsidRPr="001A49AF">
              <w:rPr>
                <w:rFonts w:ascii="Simplified Arabic" w:hAnsi="Simplified Arabic" w:cs="Simplified Arabic"/>
              </w:rPr>
              <w:br/>
              <w:t>3) غلبة السرد الوصفي والتلخيص على التحليل المقارن والتوليف.</w:t>
            </w:r>
            <w:r w:rsidRPr="001A49AF">
              <w:rPr>
                <w:rFonts w:ascii="Simplified Arabic" w:hAnsi="Simplified Arabic" w:cs="Simplified Arabic"/>
              </w:rPr>
              <w:br/>
              <w:t>4) غياب «خاتمة تركيبية» لكل مبحث تربط ما سبق مباشرة بمشكلة الدراسة وأسئلتها.</w:t>
            </w:r>
            <w:r w:rsidRPr="001A49AF">
              <w:rPr>
                <w:rFonts w:ascii="Simplified Arabic" w:hAnsi="Simplified Arabic" w:cs="Simplified Arabic"/>
              </w:rPr>
              <w:br/>
              <w:t>5) الدراسات السابقة مُجزأة (Study-by-study) دون مصفوفة توليف أو محاور موضوعية.</w:t>
            </w:r>
            <w:r w:rsidRPr="001A49AF">
              <w:rPr>
                <w:rFonts w:ascii="Simplified Arabic" w:hAnsi="Simplified Arabic" w:cs="Simplified Arabic"/>
              </w:rPr>
              <w:br/>
              <w:t>6) نقص أدبيات القطاع العام الخاصة بتخطيط القوى العاملة/التحول الرقمي الحكومي/البراعة أو الرشاقة في الوزارات.</w:t>
            </w:r>
            <w:r w:rsidRPr="001A49AF">
              <w:rPr>
                <w:rFonts w:ascii="Simplified Arabic" w:hAnsi="Simplified Arabic" w:cs="Simplified Arabic"/>
              </w:rPr>
              <w:br/>
              <w:t>7) ضعف إبراز التناقضات/النتائج المتباينة وشروط السياق (Boundary conditions).</w:t>
            </w:r>
            <w:r w:rsidRPr="001A49AF">
              <w:rPr>
                <w:rFonts w:ascii="Simplified Arabic" w:hAnsi="Simplified Arabic" w:cs="Simplified Arabic"/>
              </w:rPr>
              <w:br/>
              <w:t>8) استخدام مراجع غير محكّمة/رسائل غير منشورة بكثرة مقابل محدودية المجلات الرائدة.</w:t>
            </w:r>
            <w:r w:rsidRPr="001A49AF">
              <w:rPr>
                <w:rFonts w:ascii="Simplified Arabic" w:hAnsi="Simplified Arabic" w:cs="Simplified Arabic"/>
              </w:rPr>
              <w:br/>
              <w:t>9) مشكلات تحريرية وتوثيقية (أخطاء أقواس/تهجئة/اتساق المصطلحات، مثل: Teece... 1997)).</w:t>
            </w:r>
            <w:r w:rsidRPr="001A49AF">
              <w:rPr>
                <w:rFonts w:ascii="Simplified Arabic" w:hAnsi="Simplified Arabic" w:cs="Simplified Arabic"/>
              </w:rPr>
              <w:br/>
              <w:t>10) غياب جداول/نماذج تعريف تشغيلي للمتغيرات والمؤشرات، ما يضعف الجسر للفصل الثالث.</w:t>
            </w:r>
          </w:p>
        </w:tc>
      </w:tr>
      <w:tr w:rsidR="00276D90" w:rsidRPr="001A49AF" w14:paraId="3FCC8577" w14:textId="77777777" w:rsidTr="001A49AF">
        <w:trPr>
          <w:jc w:val="center"/>
        </w:trPr>
        <w:tc>
          <w:tcPr>
            <w:tcW w:w="1268" w:type="dxa"/>
          </w:tcPr>
          <w:p w14:paraId="1F193326"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lastRenderedPageBreak/>
              <w:t>أهم 10 إجراءات للتعديل (مرتّبة حسب الأولوية)</w:t>
            </w:r>
          </w:p>
        </w:tc>
        <w:tc>
          <w:tcPr>
            <w:tcW w:w="10155" w:type="dxa"/>
          </w:tcPr>
          <w:p w14:paraId="24CBF6EC"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1) حسم المصطلح: هل المتغير التابع «البراعة التنظيمية (Ambidexterity)» أم «الرشاقة التنظيمية (Agility)»؟ ثم توحيد التعريف والأبعاد والمراجع وفق القرار.</w:t>
            </w:r>
            <w:r w:rsidRPr="001A49AF">
              <w:rPr>
                <w:rFonts w:ascii="Simplified Arabic" w:hAnsi="Simplified Arabic" w:cs="Simplified Arabic"/>
              </w:rPr>
              <w:br/>
              <w:t>2) إعادة بناء الإطار النظري حول محور/محورين تفسيريين واضحين (مثل: القدرات الديناميكية + إدارة الموارد البشرية الاستراتيجية) وربطهما مباشرة بفرضيات/علاقات الدراسة.</w:t>
            </w:r>
            <w:r w:rsidRPr="001A49AF">
              <w:rPr>
                <w:rFonts w:ascii="Simplified Arabic" w:hAnsi="Simplified Arabic" w:cs="Simplified Arabic"/>
              </w:rPr>
              <w:br/>
              <w:t>3) تطوير «مصفوفة توليف» للدراسات السابقة ثم إعادة كتابتها وفق محاور (لا وفق تسلسل دراسات منفصلة).</w:t>
            </w:r>
            <w:r w:rsidRPr="001A49AF">
              <w:rPr>
                <w:rFonts w:ascii="Simplified Arabic" w:hAnsi="Simplified Arabic" w:cs="Simplified Arabic"/>
              </w:rPr>
              <w:br/>
              <w:t>4) إضافة فقرة تمهيدية في بداية الفصل تربط عنوان الدراسة/المشكلة/الأسئلة بخريطة الفصل.</w:t>
            </w:r>
            <w:r w:rsidRPr="001A49AF">
              <w:rPr>
                <w:rFonts w:ascii="Simplified Arabic" w:hAnsi="Simplified Arabic" w:cs="Simplified Arabic"/>
              </w:rPr>
              <w:br/>
              <w:t>5) إدراج تعريفات تشغيلية مبدئية للأبعاد مع مؤشرات قياس محتملة (تمهيدًا للفصل الثالث).</w:t>
            </w:r>
            <w:r w:rsidRPr="001A49AF">
              <w:rPr>
                <w:rFonts w:ascii="Simplified Arabic" w:hAnsi="Simplified Arabic" w:cs="Simplified Arabic"/>
              </w:rPr>
              <w:br/>
              <w:t>6) تعزيز أدبيات القطاع العام السعودي/الوزارات/التحول الرقمي الحكومي المرتبط برؤية 2030.</w:t>
            </w:r>
            <w:r w:rsidRPr="001A49AF">
              <w:rPr>
                <w:rFonts w:ascii="Simplified Arabic" w:hAnsi="Simplified Arabic" w:cs="Simplified Arabic"/>
              </w:rPr>
              <w:br/>
              <w:t>7) إبراز التناقضات في النتائج (لماذا تختلف؟ متى يظهر الأثر/يختفي؟) وربطها بشروط السياق.</w:t>
            </w:r>
            <w:r w:rsidRPr="001A49AF">
              <w:rPr>
                <w:rFonts w:ascii="Simplified Arabic" w:hAnsi="Simplified Arabic" w:cs="Simplified Arabic"/>
              </w:rPr>
              <w:br/>
              <w:t>8) مراجعة جودة المراجع: تقليل الرسائل غير المنشورة، وزيادة الدراسات المحكمة خلال آخر 5 سنوات.</w:t>
            </w:r>
            <w:r w:rsidRPr="001A49AF">
              <w:rPr>
                <w:rFonts w:ascii="Simplified Arabic" w:hAnsi="Simplified Arabic" w:cs="Simplified Arabic"/>
              </w:rPr>
              <w:br/>
              <w:t>9) تحسين الانتقالات وخواتيم الأقسام بصيغة «ماذا يعني ذلك لدراستي؟».</w:t>
            </w:r>
            <w:r w:rsidRPr="001A49AF">
              <w:rPr>
                <w:rFonts w:ascii="Simplified Arabic" w:hAnsi="Simplified Arabic" w:cs="Simplified Arabic"/>
              </w:rPr>
              <w:br/>
              <w:t>10) تدقيق لغوي وتوثيقي شامل (اتساق المصطلحات، الأقواس، الصياغة العربية، أسلوب APA في قائمة المراجع).</w:t>
            </w:r>
          </w:p>
        </w:tc>
      </w:tr>
    </w:tbl>
    <w:p w14:paraId="2428F5E2" w14:textId="77777777" w:rsidR="00276D90" w:rsidRPr="001A49AF" w:rsidRDefault="00276D90" w:rsidP="001A49AF">
      <w:pPr>
        <w:bidi/>
        <w:spacing w:after="0" w:line="240" w:lineRule="auto"/>
        <w:rPr>
          <w:rFonts w:ascii="Simplified Arabic" w:hAnsi="Simplified Arabic" w:cs="Simplified Arabic"/>
        </w:rPr>
      </w:pPr>
    </w:p>
    <w:p w14:paraId="526D95CC" w14:textId="77777777" w:rsidR="00276D90" w:rsidRPr="001A49AF" w:rsidRDefault="00655A16" w:rsidP="001A49AF">
      <w:pPr>
        <w:bidi/>
        <w:spacing w:after="0" w:line="240" w:lineRule="auto"/>
        <w:rPr>
          <w:rFonts w:ascii="Simplified Arabic" w:hAnsi="Simplified Arabic" w:cs="Simplified Arabic"/>
        </w:rPr>
      </w:pPr>
      <w:r w:rsidRPr="001A49AF">
        <w:rPr>
          <w:rFonts w:ascii="Simplified Arabic" w:hAnsi="Simplified Arabic" w:cs="Simplified Arabic"/>
          <w:b/>
        </w:rPr>
        <w:t>2) الهيكل والمنطق وتسلسل الأفكار</w:t>
      </w:r>
    </w:p>
    <w:tbl>
      <w:tblPr>
        <w:tblStyle w:val="TableGrid"/>
        <w:bidiVisual/>
        <w:tblW w:w="0" w:type="auto"/>
        <w:jc w:val="center"/>
        <w:tblLook w:val="04A0" w:firstRow="1" w:lastRow="0" w:firstColumn="1" w:lastColumn="0" w:noHBand="0" w:noVBand="1"/>
      </w:tblPr>
      <w:tblGrid>
        <w:gridCol w:w="1433"/>
        <w:gridCol w:w="10259"/>
      </w:tblGrid>
      <w:tr w:rsidR="00276D90" w:rsidRPr="001A49AF" w14:paraId="5AA23135" w14:textId="77777777" w:rsidTr="001A49AF">
        <w:trPr>
          <w:jc w:val="center"/>
        </w:trPr>
        <w:tc>
          <w:tcPr>
            <w:tcW w:w="1433" w:type="dxa"/>
          </w:tcPr>
          <w:p w14:paraId="5118A3E0" w14:textId="77777777" w:rsidR="00276D90" w:rsidRPr="001A49AF" w:rsidRDefault="00655A16" w:rsidP="001A49AF">
            <w:pPr>
              <w:bidi/>
              <w:rPr>
                <w:rFonts w:ascii="Simplified Arabic" w:hAnsi="Simplified Arabic" w:cs="Simplified Arabic"/>
              </w:rPr>
            </w:pPr>
            <w:proofErr w:type="spellStart"/>
            <w:r w:rsidRPr="001A49AF">
              <w:rPr>
                <w:rFonts w:ascii="Simplified Arabic" w:hAnsi="Simplified Arabic" w:cs="Simplified Arabic"/>
                <w:b/>
              </w:rPr>
              <w:t>البند</w:t>
            </w:r>
            <w:proofErr w:type="spellEnd"/>
          </w:p>
        </w:tc>
        <w:tc>
          <w:tcPr>
            <w:tcW w:w="10259" w:type="dxa"/>
          </w:tcPr>
          <w:p w14:paraId="3953B060"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b/>
              </w:rPr>
              <w:t>التقييم/التوصية</w:t>
            </w:r>
          </w:p>
        </w:tc>
      </w:tr>
      <w:tr w:rsidR="00276D90" w:rsidRPr="001A49AF" w14:paraId="02FEDF58" w14:textId="77777777" w:rsidTr="001A49AF">
        <w:trPr>
          <w:jc w:val="center"/>
        </w:trPr>
        <w:tc>
          <w:tcPr>
            <w:tcW w:w="1433" w:type="dxa"/>
          </w:tcPr>
          <w:p w14:paraId="1B46B265"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تقييم البنية الحالية: ما الذي يعمل جيداً؟ وما الذي لا يعمل؟</w:t>
            </w:r>
          </w:p>
        </w:tc>
        <w:tc>
          <w:tcPr>
            <w:tcW w:w="10259" w:type="dxa"/>
          </w:tcPr>
          <w:p w14:paraId="02369500"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يعمل جيداً: التقسيم إلى (إطار نظري/علاقة نظرية/دراسات سابقة) مع تفريعات (مبحث/مطلب) واضحة.</w:t>
            </w:r>
            <w:r w:rsidRPr="001A49AF">
              <w:rPr>
                <w:rFonts w:ascii="Simplified Arabic" w:hAnsi="Simplified Arabic" w:cs="Simplified Arabic"/>
              </w:rPr>
              <w:br/>
              <w:t>لا يعمل جيداً: عدم وجود مقدمة فصل تضع القارئ في «منطق الحجة»، وغياب خاتمات تركيبية تربط الأقسام بأسئلة الدراسة. كذلك، محور «البراعة التنظيمية» غير متسق مفاهيمياً مع أبعاده المختارة.</w:t>
            </w:r>
          </w:p>
        </w:tc>
      </w:tr>
      <w:tr w:rsidR="00276D90" w:rsidRPr="001A49AF" w14:paraId="356069B2" w14:textId="77777777" w:rsidTr="001A49AF">
        <w:trPr>
          <w:jc w:val="center"/>
        </w:trPr>
        <w:tc>
          <w:tcPr>
            <w:tcW w:w="1433" w:type="dxa"/>
          </w:tcPr>
          <w:p w14:paraId="06CAEB3F"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 xml:space="preserve">تقديم مخطط مقترح مُحسّن للفصل الثاني </w:t>
            </w:r>
            <w:r w:rsidRPr="001A49AF">
              <w:rPr>
                <w:rFonts w:ascii="Simplified Arabic" w:hAnsi="Simplified Arabic" w:cs="Simplified Arabic"/>
              </w:rPr>
              <w:lastRenderedPageBreak/>
              <w:t>(عناوين رئيسية + فرعية)</w:t>
            </w:r>
          </w:p>
        </w:tc>
        <w:tc>
          <w:tcPr>
            <w:tcW w:w="10259" w:type="dxa"/>
          </w:tcPr>
          <w:p w14:paraId="31AF83CF"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lastRenderedPageBreak/>
              <w:t>الفصل الثاني: الإطار النظري والدراسات السابقة</w:t>
            </w:r>
            <w:r w:rsidRPr="001A49AF">
              <w:rPr>
                <w:rFonts w:ascii="Simplified Arabic" w:hAnsi="Simplified Arabic" w:cs="Simplified Arabic"/>
              </w:rPr>
              <w:br/>
              <w:t>2-1 مقدمة الفصل وخريطة الحجة (عنوان الدراسة، المشكلة، أسئلة/أهداف، كيف سيخدم هذا الفصل الفصل الثالث)</w:t>
            </w:r>
            <w:r w:rsidRPr="001A49AF">
              <w:rPr>
                <w:rFonts w:ascii="Simplified Arabic" w:hAnsi="Simplified Arabic" w:cs="Simplified Arabic"/>
              </w:rPr>
              <w:br/>
              <w:t>2-2 المتغير المستقل: التخطيط الاستراتيجي للموارد البشرية</w:t>
            </w:r>
            <w:r w:rsidRPr="001A49AF">
              <w:rPr>
                <w:rFonts w:ascii="Simplified Arabic" w:hAnsi="Simplified Arabic" w:cs="Simplified Arabic"/>
              </w:rPr>
              <w:br/>
              <w:t xml:space="preserve">  2-2-1 تعريفات ومقاربات (Workforce planning vs. SHRM)</w:t>
            </w:r>
            <w:r w:rsidRPr="001A49AF">
              <w:rPr>
                <w:rFonts w:ascii="Simplified Arabic" w:hAnsi="Simplified Arabic" w:cs="Simplified Arabic"/>
              </w:rPr>
              <w:br/>
            </w:r>
            <w:r w:rsidRPr="001A49AF">
              <w:rPr>
                <w:rFonts w:ascii="Simplified Arabic" w:hAnsi="Simplified Arabic" w:cs="Simplified Arabic"/>
              </w:rPr>
              <w:lastRenderedPageBreak/>
              <w:t xml:space="preserve">  2-2-2 مرتكزات نظرية (رأس المال البشري/منظور الموارد/التوافق الاستراتيجي)</w:t>
            </w:r>
            <w:r w:rsidRPr="001A49AF">
              <w:rPr>
                <w:rFonts w:ascii="Simplified Arabic" w:hAnsi="Simplified Arabic" w:cs="Simplified Arabic"/>
              </w:rPr>
              <w:br/>
              <w:t xml:space="preserve">  2-2-3 أبعاد المتغير ومبررات اختيارها + تعريفات تشغيلية أولية</w:t>
            </w:r>
            <w:r w:rsidRPr="001A49AF">
              <w:rPr>
                <w:rFonts w:ascii="Simplified Arabic" w:hAnsi="Simplified Arabic" w:cs="Simplified Arabic"/>
              </w:rPr>
              <w:br/>
              <w:t>2-3 المتغير التابع (اختر أحد المسارين):</w:t>
            </w:r>
            <w:r w:rsidRPr="001A49AF">
              <w:rPr>
                <w:rFonts w:ascii="Simplified Arabic" w:hAnsi="Simplified Arabic" w:cs="Simplified Arabic"/>
              </w:rPr>
              <w:br/>
              <w:t xml:space="preserve">  (أ) البراعة التنظيمية Ambidexterity</w:t>
            </w:r>
            <w:r w:rsidRPr="001A49AF">
              <w:rPr>
                <w:rFonts w:ascii="Simplified Arabic" w:hAnsi="Simplified Arabic" w:cs="Simplified Arabic"/>
              </w:rPr>
              <w:br/>
              <w:t xml:space="preserve">     2-3-1 التطور النظري (March) وأنماط البراعة (هيكلية/سياقية)</w:t>
            </w:r>
            <w:r w:rsidRPr="001A49AF">
              <w:rPr>
                <w:rFonts w:ascii="Simplified Arabic" w:hAnsi="Simplified Arabic" w:cs="Simplified Arabic"/>
              </w:rPr>
              <w:br/>
              <w:t xml:space="preserve">     2-3-2 الأبعاد (Exploration/Exploitation أو مؤشرات معتمدة) + تعريفات تشغيلية</w:t>
            </w:r>
            <w:r w:rsidRPr="001A49AF">
              <w:rPr>
                <w:rFonts w:ascii="Simplified Arabic" w:hAnsi="Simplified Arabic" w:cs="Simplified Arabic"/>
              </w:rPr>
              <w:br/>
              <w:t xml:space="preserve">  (ب) الرشاقة التنظيمية Agility</w:t>
            </w:r>
            <w:r w:rsidRPr="001A49AF">
              <w:rPr>
                <w:rFonts w:ascii="Simplified Arabic" w:hAnsi="Simplified Arabic" w:cs="Simplified Arabic"/>
              </w:rPr>
              <w:br/>
              <w:t xml:space="preserve">     2-3-1 تعريفات ونماذج الرشاقة في القطاع العام</w:t>
            </w:r>
            <w:r w:rsidRPr="001A49AF">
              <w:rPr>
                <w:rFonts w:ascii="Simplified Arabic" w:hAnsi="Simplified Arabic" w:cs="Simplified Arabic"/>
              </w:rPr>
              <w:br/>
              <w:t xml:space="preserve">     2-3-2 الأبعاد (مرونة/استجابة/تكيف/ابتكار...) + تعريفات تشغيلية</w:t>
            </w:r>
            <w:r w:rsidRPr="001A49AF">
              <w:rPr>
                <w:rFonts w:ascii="Simplified Arabic" w:hAnsi="Simplified Arabic" w:cs="Simplified Arabic"/>
              </w:rPr>
              <w:br/>
              <w:t>2-4 منطق العلاقة النظرية بين المتغيرين وبناء الفرضيات/التوقعات</w:t>
            </w:r>
            <w:r w:rsidRPr="001A49AF">
              <w:rPr>
                <w:rFonts w:ascii="Simplified Arabic" w:hAnsi="Simplified Arabic" w:cs="Simplified Arabic"/>
              </w:rPr>
              <w:br/>
              <w:t xml:space="preserve">  2-4-1 آليات التأثير (Mechanisms) + شروط السياق (Boundary conditions)</w:t>
            </w:r>
            <w:r w:rsidRPr="001A49AF">
              <w:rPr>
                <w:rFonts w:ascii="Simplified Arabic" w:hAnsi="Simplified Arabic" w:cs="Simplified Arabic"/>
              </w:rPr>
              <w:br/>
              <w:t>2-5 الدراسات السابقة (توليف محوري)</w:t>
            </w:r>
            <w:r w:rsidRPr="001A49AF">
              <w:rPr>
                <w:rFonts w:ascii="Simplified Arabic" w:hAnsi="Simplified Arabic" w:cs="Simplified Arabic"/>
              </w:rPr>
              <w:br/>
              <w:t xml:space="preserve">  2-5-1 أدلة حول التخطيط الاستراتيجي للموارد البشرية</w:t>
            </w:r>
            <w:r w:rsidRPr="001A49AF">
              <w:rPr>
                <w:rFonts w:ascii="Simplified Arabic" w:hAnsi="Simplified Arabic" w:cs="Simplified Arabic"/>
              </w:rPr>
              <w:br/>
              <w:t xml:space="preserve">  2-5-2 أدلة حول البراعة/الرشاقة</w:t>
            </w:r>
            <w:r w:rsidRPr="001A49AF">
              <w:rPr>
                <w:rFonts w:ascii="Simplified Arabic" w:hAnsi="Simplified Arabic" w:cs="Simplified Arabic"/>
              </w:rPr>
              <w:br/>
              <w:t xml:space="preserve">  2-5-3 أدلة الربط بينهما (نماذج/نتائج متباينة)</w:t>
            </w:r>
            <w:r w:rsidRPr="001A49AF">
              <w:rPr>
                <w:rFonts w:ascii="Simplified Arabic" w:hAnsi="Simplified Arabic" w:cs="Simplified Arabic"/>
              </w:rPr>
              <w:br/>
              <w:t xml:space="preserve">  2-5-4 خلاصة توليفية: ما المتفق عليه/المختلف عليه/ما ينقص</w:t>
            </w:r>
            <w:r w:rsidRPr="001A49AF">
              <w:rPr>
                <w:rFonts w:ascii="Simplified Arabic" w:hAnsi="Simplified Arabic" w:cs="Simplified Arabic"/>
              </w:rPr>
              <w:br/>
              <w:t>2-6 فجوة البحث، الإضافة العلمية، وتمهيد للفصل الثالث</w:t>
            </w:r>
          </w:p>
        </w:tc>
      </w:tr>
      <w:tr w:rsidR="00276D90" w:rsidRPr="001A49AF" w14:paraId="649721EA" w14:textId="77777777" w:rsidTr="001A49AF">
        <w:trPr>
          <w:jc w:val="center"/>
        </w:trPr>
        <w:tc>
          <w:tcPr>
            <w:tcW w:w="1433" w:type="dxa"/>
          </w:tcPr>
          <w:p w14:paraId="4EC39C97"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lastRenderedPageBreak/>
              <w:t>ما الذي يجب نقله/دمجه/حذفه ولماذا (مع توضيح منطقي)</w:t>
            </w:r>
          </w:p>
        </w:tc>
        <w:tc>
          <w:tcPr>
            <w:tcW w:w="10259" w:type="dxa"/>
          </w:tcPr>
          <w:p w14:paraId="415B3F45"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 دمج «الأسس النظرية» مع «الأبعاد» لكل متغير بحيث يأتي كل بُعد مدعومًا بتفسير نظري ومؤشرات قياس (بدلاً من فصلٍ يخلق تكرارًا).</w:t>
            </w:r>
            <w:r w:rsidRPr="001A49AF">
              <w:rPr>
                <w:rFonts w:ascii="Simplified Arabic" w:hAnsi="Simplified Arabic" w:cs="Simplified Arabic"/>
              </w:rPr>
              <w:br/>
              <w:t>• نقل جزء من فقرة «العلاقة النظرية» ليصبح نهاية طبيعية لكل متغير (كيف يقود المتغير X إلى Y؟) ثم في 2-4 يتم تجميعها في نموذج واحد.</w:t>
            </w:r>
            <w:r w:rsidRPr="001A49AF">
              <w:rPr>
                <w:rFonts w:ascii="Simplified Arabic" w:hAnsi="Simplified Arabic" w:cs="Simplified Arabic"/>
              </w:rPr>
              <w:br/>
              <w:t>• حذف/تقليص التكرار في شرح القدرات الديناميكية (تكررت في أكثر من موضع) والاكتفاء بطرح واحد ثم الإحالة إليه.</w:t>
            </w:r>
            <w:r w:rsidRPr="001A49AF">
              <w:rPr>
                <w:rFonts w:ascii="Simplified Arabic" w:hAnsi="Simplified Arabic" w:cs="Simplified Arabic"/>
              </w:rPr>
              <w:br/>
              <w:t>• إعادة تسمية/تعديل محور «أبعاد البراعة» إذا تم اعتماد ambidexterity؛ أو تعديل التعريفات إذا تم اعتماد agility؛ لتجنب الخلط المفاهيمي.</w:t>
            </w:r>
          </w:p>
        </w:tc>
      </w:tr>
    </w:tbl>
    <w:p w14:paraId="14FD04C6" w14:textId="77777777" w:rsidR="00276D90" w:rsidRPr="001A49AF" w:rsidRDefault="00276D90" w:rsidP="001A49AF">
      <w:pPr>
        <w:bidi/>
        <w:spacing w:after="0" w:line="240" w:lineRule="auto"/>
        <w:rPr>
          <w:rFonts w:ascii="Simplified Arabic" w:hAnsi="Simplified Arabic" w:cs="Simplified Arabic"/>
        </w:rPr>
      </w:pPr>
    </w:p>
    <w:p w14:paraId="49ACCF95" w14:textId="77777777" w:rsidR="00276D90" w:rsidRPr="001A49AF" w:rsidRDefault="00655A16" w:rsidP="001A49AF">
      <w:pPr>
        <w:bidi/>
        <w:spacing w:after="0" w:line="240" w:lineRule="auto"/>
        <w:rPr>
          <w:rFonts w:ascii="Simplified Arabic" w:hAnsi="Simplified Arabic" w:cs="Simplified Arabic"/>
        </w:rPr>
      </w:pPr>
      <w:r w:rsidRPr="001A49AF">
        <w:rPr>
          <w:rFonts w:ascii="Simplified Arabic" w:hAnsi="Simplified Arabic" w:cs="Simplified Arabic"/>
          <w:b/>
        </w:rPr>
        <w:t>3) التغطية الموضوعية والعمق العلمي (مراجعة قسم-بقِسم)</w:t>
      </w:r>
    </w:p>
    <w:tbl>
      <w:tblPr>
        <w:tblStyle w:val="TableGrid"/>
        <w:bidiVisual/>
        <w:tblW w:w="0" w:type="auto"/>
        <w:jc w:val="center"/>
        <w:tblLook w:val="04A0" w:firstRow="1" w:lastRow="0" w:firstColumn="1" w:lastColumn="0" w:noHBand="0" w:noVBand="1"/>
      </w:tblPr>
      <w:tblGrid>
        <w:gridCol w:w="1440"/>
        <w:gridCol w:w="1599"/>
        <w:gridCol w:w="2984"/>
        <w:gridCol w:w="1814"/>
        <w:gridCol w:w="1970"/>
        <w:gridCol w:w="1693"/>
      </w:tblGrid>
      <w:tr w:rsidR="00276D90" w:rsidRPr="001A49AF" w14:paraId="223B29DC" w14:textId="77777777" w:rsidTr="00E64621">
        <w:trPr>
          <w:jc w:val="center"/>
        </w:trPr>
        <w:tc>
          <w:tcPr>
            <w:tcW w:w="1440" w:type="dxa"/>
          </w:tcPr>
          <w:p w14:paraId="05A4750D"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b/>
              </w:rPr>
              <w:lastRenderedPageBreak/>
              <w:t>القسم</w:t>
            </w:r>
          </w:p>
        </w:tc>
        <w:tc>
          <w:tcPr>
            <w:tcW w:w="1440" w:type="dxa"/>
          </w:tcPr>
          <w:p w14:paraId="112B391C"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b/>
              </w:rPr>
              <w:t>الهدف العلمي</w:t>
            </w:r>
          </w:p>
        </w:tc>
        <w:tc>
          <w:tcPr>
            <w:tcW w:w="1440" w:type="dxa"/>
          </w:tcPr>
          <w:p w14:paraId="423AA24A"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b/>
              </w:rPr>
              <w:t>ما الذي ينقصه؟</w:t>
            </w:r>
          </w:p>
        </w:tc>
        <w:tc>
          <w:tcPr>
            <w:tcW w:w="1440" w:type="dxa"/>
          </w:tcPr>
          <w:p w14:paraId="5E70D6C9"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b/>
              </w:rPr>
              <w:t>وصفي/مكرر؟</w:t>
            </w:r>
          </w:p>
        </w:tc>
        <w:tc>
          <w:tcPr>
            <w:tcW w:w="1440" w:type="dxa"/>
          </w:tcPr>
          <w:p w14:paraId="29ECB80F"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b/>
              </w:rPr>
              <w:t>أين يلزم تعزيز الأدلة؟</w:t>
            </w:r>
          </w:p>
        </w:tc>
        <w:tc>
          <w:tcPr>
            <w:tcW w:w="1440" w:type="dxa"/>
          </w:tcPr>
          <w:p w14:paraId="795DE585"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b/>
              </w:rPr>
              <w:t>تعليمات تحسين محددة</w:t>
            </w:r>
          </w:p>
        </w:tc>
      </w:tr>
      <w:tr w:rsidR="00276D90" w:rsidRPr="001A49AF" w14:paraId="6BD8160F" w14:textId="77777777" w:rsidTr="00E64621">
        <w:trPr>
          <w:jc w:val="center"/>
        </w:trPr>
        <w:tc>
          <w:tcPr>
            <w:tcW w:w="1440" w:type="dxa"/>
          </w:tcPr>
          <w:p w14:paraId="52C1B137"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المبحث الأول: التخطيط الاستراتيجي للموارد البشرية</w:t>
            </w:r>
          </w:p>
        </w:tc>
        <w:tc>
          <w:tcPr>
            <w:tcW w:w="1440" w:type="dxa"/>
          </w:tcPr>
          <w:p w14:paraId="6BB87214"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تأسيس المتغير المستقل: تعريفه، تطوره، أسسه النظرية، وأبعاده المعتمدة في الدراسة.</w:t>
            </w:r>
          </w:p>
        </w:tc>
        <w:tc>
          <w:tcPr>
            <w:tcW w:w="1440" w:type="dxa"/>
          </w:tcPr>
          <w:p w14:paraId="1DFD6713"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 تمييز أدق بين Strategic HR Planning وWorkforce Planning وSHRM.</w:t>
            </w:r>
            <w:r w:rsidRPr="001A49AF">
              <w:rPr>
                <w:rFonts w:ascii="Simplified Arabic" w:hAnsi="Simplified Arabic" w:cs="Simplified Arabic"/>
              </w:rPr>
              <w:br/>
              <w:t>• توضيح لماذا اقتُصرت الأبعاد على (تحليل وتنبؤ/تطوير/متابعة) مع دعم من أدبيات قياس.</w:t>
            </w:r>
            <w:r w:rsidRPr="001A49AF">
              <w:rPr>
                <w:rFonts w:ascii="Simplified Arabic" w:hAnsi="Simplified Arabic" w:cs="Simplified Arabic"/>
              </w:rPr>
              <w:br/>
              <w:t>• إدراج أدبيات القطاع العام (workforce planning في الوزارات) وربطها بالتحول الرقمي.</w:t>
            </w:r>
          </w:p>
        </w:tc>
        <w:tc>
          <w:tcPr>
            <w:tcW w:w="1440" w:type="dxa"/>
          </w:tcPr>
          <w:p w14:paraId="1D67F67B"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توجد فقرات تعريفية جيدة لكنها تميل للتقرير العام، مع تكرار القدرات الديناميكية والتوافق الاستراتيجي في أكثر من موضع.</w:t>
            </w:r>
          </w:p>
        </w:tc>
        <w:tc>
          <w:tcPr>
            <w:tcW w:w="1440" w:type="dxa"/>
          </w:tcPr>
          <w:p w14:paraId="38679776"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 عند ربط «السياق الحكومي السعودي» بالبعد، يلزم أدلة أكثر تخصصًا (دراسات حكومية/تقارير رسمية/أبحاث محكّمة).</w:t>
            </w:r>
          </w:p>
        </w:tc>
        <w:tc>
          <w:tcPr>
            <w:tcW w:w="1440" w:type="dxa"/>
          </w:tcPr>
          <w:p w14:paraId="792A6E58"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 افتتح المبحث بفقرة تُعرّف المتغير كما سيُقاس في الدراسة.</w:t>
            </w:r>
            <w:r w:rsidRPr="001A49AF">
              <w:rPr>
                <w:rFonts w:ascii="Simplified Arabic" w:hAnsi="Simplified Arabic" w:cs="Simplified Arabic"/>
              </w:rPr>
              <w:br/>
              <w:t>• بعد كل بُعد، اختم بفقرة قصيرة: كيف يقود هذا البعد إلى (Y)؟</w:t>
            </w:r>
            <w:r w:rsidRPr="001A49AF">
              <w:rPr>
                <w:rFonts w:ascii="Simplified Arabic" w:hAnsi="Simplified Arabic" w:cs="Simplified Arabic"/>
              </w:rPr>
              <w:br/>
              <w:t>• أضف جدول تعريف تشغيلي أولي للأبعاد ومؤشراتها (تمهيداً للفصل الثالث).</w:t>
            </w:r>
          </w:p>
        </w:tc>
      </w:tr>
      <w:tr w:rsidR="00276D90" w:rsidRPr="001A49AF" w14:paraId="46AEEB74" w14:textId="77777777" w:rsidTr="00E64621">
        <w:trPr>
          <w:jc w:val="center"/>
        </w:trPr>
        <w:tc>
          <w:tcPr>
            <w:tcW w:w="1440" w:type="dxa"/>
          </w:tcPr>
          <w:p w14:paraId="5BD33376"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المبحث الثاني: البراعة التنظيمية</w:t>
            </w:r>
          </w:p>
        </w:tc>
        <w:tc>
          <w:tcPr>
            <w:tcW w:w="1440" w:type="dxa"/>
          </w:tcPr>
          <w:p w14:paraId="506A1301"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تأسيس المتغير التابع: جذوره النظرية، نماذجه، وأبعاده التي ستُختبر في الدراسة.</w:t>
            </w:r>
          </w:p>
        </w:tc>
        <w:tc>
          <w:tcPr>
            <w:tcW w:w="1440" w:type="dxa"/>
          </w:tcPr>
          <w:p w14:paraId="1067DEBD"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 xml:space="preserve">• الحسم المفاهيمي: Ambidexterity </w:t>
            </w:r>
            <w:r w:rsidRPr="001A49AF">
              <w:rPr>
                <w:rFonts w:ascii="Cambria Math" w:hAnsi="Cambria Math" w:cs="Cambria Math"/>
              </w:rPr>
              <w:t>≠</w:t>
            </w:r>
            <w:r w:rsidRPr="001A49AF">
              <w:rPr>
                <w:rFonts w:ascii="Simplified Arabic" w:hAnsi="Simplified Arabic" w:cs="Simplified Arabic"/>
              </w:rPr>
              <w:t xml:space="preserve"> Agility.</w:t>
            </w:r>
            <w:r w:rsidRPr="001A49AF">
              <w:rPr>
                <w:rFonts w:ascii="Simplified Arabic" w:hAnsi="Simplified Arabic" w:cs="Simplified Arabic"/>
              </w:rPr>
              <w:br/>
              <w:t>• إذا كانت البراعة = ambidexterity: يلزم أدبيات exploration/exploitation وقياسها.</w:t>
            </w:r>
            <w:r w:rsidRPr="001A49AF">
              <w:rPr>
                <w:rFonts w:ascii="Simplified Arabic" w:hAnsi="Simplified Arabic" w:cs="Simplified Arabic"/>
              </w:rPr>
              <w:br/>
              <w:t>• إذا كانت الأبعاد (مرونة/تكيف/استجابة/ابتكار): يلزم إعادة تسمية إلى الرشاقة التنظيمية وتعديل التأصيل.</w:t>
            </w:r>
          </w:p>
        </w:tc>
        <w:tc>
          <w:tcPr>
            <w:tcW w:w="1440" w:type="dxa"/>
          </w:tcPr>
          <w:p w14:paraId="7BD8B62C"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القسم قوي في التأصيل الأولي عبر March وO’Reilly &amp; Tushman، لكنه ينحرف لاحقًا في الأبعاد نحو رشاقة/مرونة دون تبرير انتقال مفاهيمي.</w:t>
            </w:r>
          </w:p>
        </w:tc>
        <w:tc>
          <w:tcPr>
            <w:tcW w:w="1440" w:type="dxa"/>
          </w:tcPr>
          <w:p w14:paraId="43D1BB0F"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 فقرة «أبعاد البراعة» تحتاج مصادر قياس/نماذج تؤيد اختيار هذه الأبعاد تحديداً.</w:t>
            </w:r>
            <w:r w:rsidRPr="001A49AF">
              <w:rPr>
                <w:rFonts w:ascii="Simplified Arabic" w:hAnsi="Simplified Arabic" w:cs="Simplified Arabic"/>
              </w:rPr>
              <w:br/>
              <w:t>• تعزيز أدبيات القطاع العام حول ambidexterity/agility في الوزارات.</w:t>
            </w:r>
          </w:p>
        </w:tc>
        <w:tc>
          <w:tcPr>
            <w:tcW w:w="1440" w:type="dxa"/>
          </w:tcPr>
          <w:p w14:paraId="6001F8B4"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 اكتب فقرة انتقالية صريحة: لماذا سيتم اعتماد هذا التعريف وهذا النموذج وليس غيره.</w:t>
            </w:r>
            <w:r w:rsidRPr="001A49AF">
              <w:rPr>
                <w:rFonts w:ascii="Simplified Arabic" w:hAnsi="Simplified Arabic" w:cs="Simplified Arabic"/>
              </w:rPr>
              <w:br/>
              <w:t xml:space="preserve">• اختم القسم ببيان حدود المفهوم في دراستك (ماذا </w:t>
            </w:r>
            <w:r w:rsidRPr="001A49AF">
              <w:rPr>
                <w:rFonts w:ascii="Simplified Arabic" w:hAnsi="Simplified Arabic" w:cs="Simplified Arabic"/>
              </w:rPr>
              <w:lastRenderedPageBreak/>
              <w:t>ستقيس وما الذي لن تقيسه).</w:t>
            </w:r>
          </w:p>
        </w:tc>
      </w:tr>
      <w:tr w:rsidR="00276D90" w:rsidRPr="001A49AF" w14:paraId="15DC054C" w14:textId="77777777" w:rsidTr="00E64621">
        <w:trPr>
          <w:jc w:val="center"/>
        </w:trPr>
        <w:tc>
          <w:tcPr>
            <w:tcW w:w="1440" w:type="dxa"/>
          </w:tcPr>
          <w:p w14:paraId="3F8BA7B8"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lastRenderedPageBreak/>
              <w:t>المبحث الثالث: العلاقة النظرية بين المتغيرين</w:t>
            </w:r>
          </w:p>
        </w:tc>
        <w:tc>
          <w:tcPr>
            <w:tcW w:w="1440" w:type="dxa"/>
          </w:tcPr>
          <w:p w14:paraId="6BAE0ADE"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بناء آلية التأثير (Mechanisms) وصياغة منطق الفرضيات/العلاقات المتوقعة.</w:t>
            </w:r>
          </w:p>
        </w:tc>
        <w:tc>
          <w:tcPr>
            <w:tcW w:w="1440" w:type="dxa"/>
          </w:tcPr>
          <w:p w14:paraId="0EE3DC5D"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 توضيح مسارات سببية قابلة للاختبار: كيف تؤثر كل بُعد من HRSP على كل بُعد من (البراعة/الرشاقة).</w:t>
            </w:r>
            <w:r w:rsidRPr="001A49AF">
              <w:rPr>
                <w:rFonts w:ascii="Simplified Arabic" w:hAnsi="Simplified Arabic" w:cs="Simplified Arabic"/>
              </w:rPr>
              <w:br/>
              <w:t>• إدراج متغيرات سياقية قد تُعدّل العلاقة (هيكل الوزارة، درجة الرقمنة، القيادة...).</w:t>
            </w:r>
            <w:r w:rsidRPr="001A49AF">
              <w:rPr>
                <w:rFonts w:ascii="Simplified Arabic" w:hAnsi="Simplified Arabic" w:cs="Simplified Arabic"/>
              </w:rPr>
              <w:br/>
              <w:t>• تحويل «سرد» العلاقة إلى نموذج مفاهيمي واضح.</w:t>
            </w:r>
          </w:p>
        </w:tc>
        <w:tc>
          <w:tcPr>
            <w:tcW w:w="1440" w:type="dxa"/>
          </w:tcPr>
          <w:p w14:paraId="56899D0C"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السرد متماسك لكنه طويل ويحتاج تفكيك إلى فقرات آلية (مسار 1/2/3) مع أدلة لكل مسار.</w:t>
            </w:r>
          </w:p>
        </w:tc>
        <w:tc>
          <w:tcPr>
            <w:tcW w:w="1440" w:type="dxa"/>
          </w:tcPr>
          <w:p w14:paraId="785AB736"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 بعض الادعاءات عن «تحسين تدفق المعلومات/تحديد الصلاحيات» تحتاج دعمًا بمراجع متخصصة.</w:t>
            </w:r>
            <w:r w:rsidRPr="001A49AF">
              <w:rPr>
                <w:rFonts w:ascii="Simplified Arabic" w:hAnsi="Simplified Arabic" w:cs="Simplified Arabic"/>
              </w:rPr>
              <w:br/>
              <w:t>• عبارة «فجوة سياقية في وزارة حكومية ذات طابع إعلامي» تحتاج أدلة أو تبرير منهجي.</w:t>
            </w:r>
          </w:p>
        </w:tc>
        <w:tc>
          <w:tcPr>
            <w:tcW w:w="1440" w:type="dxa"/>
          </w:tcPr>
          <w:p w14:paraId="4B339B5C"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 xml:space="preserve">• نظّم القسم إلى: (تعريف العلاقة) </w:t>
            </w:r>
            <w:r w:rsidRPr="001A49AF">
              <w:rPr>
                <w:rFonts w:ascii="Times New Roman" w:hAnsi="Times New Roman" w:cs="Times New Roman"/>
              </w:rPr>
              <w:t>→</w:t>
            </w:r>
            <w:r w:rsidRPr="001A49AF">
              <w:rPr>
                <w:rFonts w:ascii="Simplified Arabic" w:hAnsi="Simplified Arabic" w:cs="Simplified Arabic"/>
              </w:rPr>
              <w:t xml:space="preserve"> (مسارات التأثير) </w:t>
            </w:r>
            <w:r w:rsidRPr="001A49AF">
              <w:rPr>
                <w:rFonts w:ascii="Times New Roman" w:hAnsi="Times New Roman" w:cs="Times New Roman"/>
              </w:rPr>
              <w:t>→</w:t>
            </w:r>
            <w:r w:rsidRPr="001A49AF">
              <w:rPr>
                <w:rFonts w:ascii="Simplified Arabic" w:hAnsi="Simplified Arabic" w:cs="Simplified Arabic"/>
              </w:rPr>
              <w:t xml:space="preserve"> (شروط السياق) </w:t>
            </w:r>
            <w:r w:rsidRPr="001A49AF">
              <w:rPr>
                <w:rFonts w:ascii="Times New Roman" w:hAnsi="Times New Roman" w:cs="Times New Roman"/>
              </w:rPr>
              <w:t>→</w:t>
            </w:r>
            <w:r w:rsidRPr="001A49AF">
              <w:rPr>
                <w:rFonts w:ascii="Simplified Arabic" w:hAnsi="Simplified Arabic" w:cs="Simplified Arabic"/>
              </w:rPr>
              <w:t xml:space="preserve"> (خلاصة تقود للفجوة/الفرضيات).</w:t>
            </w:r>
          </w:p>
        </w:tc>
      </w:tr>
      <w:tr w:rsidR="00276D90" w:rsidRPr="001A49AF" w14:paraId="5ACB4C5E" w14:textId="77777777" w:rsidTr="00E64621">
        <w:trPr>
          <w:jc w:val="center"/>
        </w:trPr>
        <w:tc>
          <w:tcPr>
            <w:tcW w:w="1440" w:type="dxa"/>
          </w:tcPr>
          <w:p w14:paraId="34C3E52A"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المحور الثاني: الدراسات السابقة</w:t>
            </w:r>
          </w:p>
        </w:tc>
        <w:tc>
          <w:tcPr>
            <w:tcW w:w="1440" w:type="dxa"/>
          </w:tcPr>
          <w:p w14:paraId="5A3B4AB5"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تلخيص الأدلة الموجودة، وإظهار ما اتفقت عليه الدراسات وما اختلفت فيه، ثم استخلاص فجوة يمكن الدفاع عنها.</w:t>
            </w:r>
          </w:p>
        </w:tc>
        <w:tc>
          <w:tcPr>
            <w:tcW w:w="1440" w:type="dxa"/>
          </w:tcPr>
          <w:p w14:paraId="2FADE26A"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 استبدال العرض التسلسلي بمراجعة موضوعية/محورية.</w:t>
            </w:r>
            <w:r w:rsidRPr="001A49AF">
              <w:rPr>
                <w:rFonts w:ascii="Simplified Arabic" w:hAnsi="Simplified Arabic" w:cs="Simplified Arabic"/>
              </w:rPr>
              <w:br/>
              <w:t>• مصفوفة توليف تشمل (السياق/المنهج/المتغيرات/النتائج/القيود).</w:t>
            </w:r>
            <w:r w:rsidRPr="001A49AF">
              <w:rPr>
                <w:rFonts w:ascii="Simplified Arabic" w:hAnsi="Simplified Arabic" w:cs="Simplified Arabic"/>
              </w:rPr>
              <w:br/>
              <w:t>• مراجع أحدث ومن مجلات رائدة، وتقليل الاعتماد على الرسائل غير المنشورة.</w:t>
            </w:r>
          </w:p>
        </w:tc>
        <w:tc>
          <w:tcPr>
            <w:tcW w:w="1440" w:type="dxa"/>
          </w:tcPr>
          <w:p w14:paraId="3CD3BC1F"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الترتيب الحالي مفيد للتصنيف (مستقل/تابع/ربط) لكنه ما يزال «دراسة-بدراسة» مع تكرار في صياغة (تتفق/تختلف/فجوة...).</w:t>
            </w:r>
          </w:p>
        </w:tc>
        <w:tc>
          <w:tcPr>
            <w:tcW w:w="1440" w:type="dxa"/>
          </w:tcPr>
          <w:p w14:paraId="21E4D345"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 عند تعميم النتائج على وزارة الإعلام، يلزم أدلة من القطاع العام أو مؤسسات مشابهة.</w:t>
            </w:r>
            <w:r w:rsidRPr="001A49AF">
              <w:rPr>
                <w:rFonts w:ascii="Simplified Arabic" w:hAnsi="Simplified Arabic" w:cs="Simplified Arabic"/>
              </w:rPr>
              <w:br/>
              <w:t>• بعض الدراسات تتناول agility وليس ambidexterity؛ يجب توحيد الإطار.</w:t>
            </w:r>
          </w:p>
        </w:tc>
        <w:tc>
          <w:tcPr>
            <w:tcW w:w="1440" w:type="dxa"/>
          </w:tcPr>
          <w:p w14:paraId="6289C805"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 اختم كل مجموعة بفقرة توليفية: (المتفق عليه/الاختلاف/سبب الاختلاف/ما الذي ينقص) ثم اربط مباشرة بسؤال/هدف الدراسة.</w:t>
            </w:r>
          </w:p>
        </w:tc>
      </w:tr>
    </w:tbl>
    <w:p w14:paraId="443DA936" w14:textId="77777777" w:rsidR="00276D90" w:rsidRPr="001A49AF" w:rsidRDefault="00276D90" w:rsidP="001A49AF">
      <w:pPr>
        <w:bidi/>
        <w:spacing w:after="0" w:line="240" w:lineRule="auto"/>
        <w:rPr>
          <w:rFonts w:ascii="Simplified Arabic" w:hAnsi="Simplified Arabic" w:cs="Simplified Arabic"/>
        </w:rPr>
      </w:pPr>
    </w:p>
    <w:p w14:paraId="0C914826" w14:textId="77777777" w:rsidR="00276D90" w:rsidRPr="001A49AF" w:rsidRDefault="00655A16" w:rsidP="001A49AF">
      <w:pPr>
        <w:bidi/>
        <w:spacing w:after="0" w:line="240" w:lineRule="auto"/>
        <w:rPr>
          <w:rFonts w:ascii="Simplified Arabic" w:hAnsi="Simplified Arabic" w:cs="Simplified Arabic"/>
        </w:rPr>
      </w:pPr>
      <w:r w:rsidRPr="001A49AF">
        <w:rPr>
          <w:rFonts w:ascii="Simplified Arabic" w:hAnsi="Simplified Arabic" w:cs="Simplified Arabic"/>
          <w:b/>
        </w:rPr>
        <w:t>4) التوليف النقدي (معيار الدكتوراه)</w:t>
      </w:r>
    </w:p>
    <w:tbl>
      <w:tblPr>
        <w:tblStyle w:val="TableGrid"/>
        <w:bidiVisual/>
        <w:tblW w:w="0" w:type="auto"/>
        <w:jc w:val="center"/>
        <w:tblLook w:val="04A0" w:firstRow="1" w:lastRow="0" w:firstColumn="1" w:lastColumn="0" w:noHBand="0" w:noVBand="1"/>
      </w:tblPr>
      <w:tblGrid>
        <w:gridCol w:w="3023"/>
        <w:gridCol w:w="9347"/>
      </w:tblGrid>
      <w:tr w:rsidR="00276D90" w:rsidRPr="001A49AF" w14:paraId="690E7D28" w14:textId="77777777" w:rsidTr="001A49AF">
        <w:trPr>
          <w:jc w:val="center"/>
        </w:trPr>
        <w:tc>
          <w:tcPr>
            <w:tcW w:w="3023" w:type="dxa"/>
          </w:tcPr>
          <w:p w14:paraId="3C8990E1" w14:textId="77777777" w:rsidR="00276D90" w:rsidRPr="001A49AF" w:rsidRDefault="00655A16" w:rsidP="001A49AF">
            <w:pPr>
              <w:bidi/>
              <w:rPr>
                <w:rFonts w:ascii="Simplified Arabic" w:hAnsi="Simplified Arabic" w:cs="Simplified Arabic"/>
              </w:rPr>
            </w:pPr>
            <w:proofErr w:type="spellStart"/>
            <w:r w:rsidRPr="001A49AF">
              <w:rPr>
                <w:rFonts w:ascii="Simplified Arabic" w:hAnsi="Simplified Arabic" w:cs="Simplified Arabic"/>
                <w:b/>
              </w:rPr>
              <w:t>البند</w:t>
            </w:r>
            <w:proofErr w:type="spellEnd"/>
          </w:p>
        </w:tc>
        <w:tc>
          <w:tcPr>
            <w:tcW w:w="9347" w:type="dxa"/>
          </w:tcPr>
          <w:p w14:paraId="0487CEA0"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b/>
              </w:rPr>
              <w:t>المحتوى</w:t>
            </w:r>
          </w:p>
        </w:tc>
      </w:tr>
      <w:tr w:rsidR="00276D90" w:rsidRPr="001A49AF" w14:paraId="4E912C3F" w14:textId="77777777" w:rsidTr="001A49AF">
        <w:trPr>
          <w:jc w:val="center"/>
        </w:trPr>
        <w:tc>
          <w:tcPr>
            <w:tcW w:w="3023" w:type="dxa"/>
          </w:tcPr>
          <w:p w14:paraId="6BE447BD"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lastRenderedPageBreak/>
              <w:t>تشخيص مستوى الكتابة: (سرد وصفي/تلخيص) مقابل (تحليل وتوليف)</w:t>
            </w:r>
          </w:p>
        </w:tc>
        <w:tc>
          <w:tcPr>
            <w:tcW w:w="9347" w:type="dxa"/>
          </w:tcPr>
          <w:p w14:paraId="2FA10031"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 xml:space="preserve">المستوى الحالي: يغلب عليه «تلخيص مُحكَم» أكثر من «توليف نقدي». توجد محاولات نقد (إلا أنها/ومن ثم </w:t>
            </w:r>
            <w:proofErr w:type="gramStart"/>
            <w:r w:rsidRPr="001A49AF">
              <w:rPr>
                <w:rFonts w:ascii="Simplified Arabic" w:hAnsi="Simplified Arabic" w:cs="Simplified Arabic"/>
              </w:rPr>
              <w:t>فجوة)،</w:t>
            </w:r>
            <w:proofErr w:type="gramEnd"/>
            <w:r w:rsidRPr="001A49AF">
              <w:rPr>
                <w:rFonts w:ascii="Simplified Arabic" w:hAnsi="Simplified Arabic" w:cs="Simplified Arabic"/>
              </w:rPr>
              <w:t xml:space="preserve"> لكنها متكررة بصيغة واحدة ولا تُظهر مقارنة منهجية أو تفسير اختلاف النتائج.</w:t>
            </w:r>
          </w:p>
        </w:tc>
      </w:tr>
      <w:tr w:rsidR="00276D90" w:rsidRPr="001A49AF" w14:paraId="7A80C533" w14:textId="77777777" w:rsidTr="001A49AF">
        <w:trPr>
          <w:jc w:val="center"/>
        </w:trPr>
        <w:tc>
          <w:tcPr>
            <w:tcW w:w="3023" w:type="dxa"/>
          </w:tcPr>
          <w:p w14:paraId="325B3B90"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نموذج “مصفوفة التوليف” التي يجب على الطالب تعبئتها</w:t>
            </w:r>
          </w:p>
        </w:tc>
        <w:tc>
          <w:tcPr>
            <w:tcW w:w="9347" w:type="dxa"/>
          </w:tcPr>
          <w:p w14:paraId="7108D282"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يرجى إنشاء جدول توليف (على الأقل 20–30 دراسة محكمة) وفق الأعمدة التالية، ثم بناء السرد على نتائجه:</w:t>
            </w:r>
            <w:r w:rsidRPr="001A49AF">
              <w:rPr>
                <w:rFonts w:ascii="Simplified Arabic" w:hAnsi="Simplified Arabic" w:cs="Simplified Arabic"/>
              </w:rPr>
              <w:br/>
              <w:t>المؤلف/السنة | النظرية/النموذج | السياق | المنهج/العينة | النتائج الرئيسة | القيود/الثغرات | الصلة بدراستي</w:t>
            </w:r>
          </w:p>
        </w:tc>
      </w:tr>
      <w:tr w:rsidR="00276D90" w:rsidRPr="001A49AF" w14:paraId="2CB6F603" w14:textId="77777777" w:rsidTr="001A49AF">
        <w:trPr>
          <w:jc w:val="center"/>
        </w:trPr>
        <w:tc>
          <w:tcPr>
            <w:tcW w:w="3023" w:type="dxa"/>
          </w:tcPr>
          <w:p w14:paraId="391A3F06"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إرشادات لصناعة الحجة العلمية</w:t>
            </w:r>
          </w:p>
        </w:tc>
        <w:tc>
          <w:tcPr>
            <w:tcW w:w="9347" w:type="dxa"/>
          </w:tcPr>
          <w:p w14:paraId="3EF088A5"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 المقارنة والموازنة: ضع الدراسات المتفقة في مجموعة، والمتعارضة في مجموعة، ثم فسّر لماذا (السياق/الأداة/العينة/القطاع).</w:t>
            </w:r>
            <w:r w:rsidRPr="001A49AF">
              <w:rPr>
                <w:rFonts w:ascii="Simplified Arabic" w:hAnsi="Simplified Arabic" w:cs="Simplified Arabic"/>
              </w:rPr>
              <w:br/>
              <w:t>• تفسير التناقضات: هل الاختلاف بسبب قياس المتغير؟ أم اختلاف القطاع (خاص/</w:t>
            </w:r>
            <w:proofErr w:type="gramStart"/>
            <w:r w:rsidRPr="001A49AF">
              <w:rPr>
                <w:rFonts w:ascii="Simplified Arabic" w:hAnsi="Simplified Arabic" w:cs="Simplified Arabic"/>
              </w:rPr>
              <w:t>عام)؟</w:t>
            </w:r>
            <w:proofErr w:type="gramEnd"/>
            <w:r w:rsidRPr="001A49AF">
              <w:rPr>
                <w:rFonts w:ascii="Simplified Arabic" w:hAnsi="Simplified Arabic" w:cs="Simplified Arabic"/>
              </w:rPr>
              <w:t xml:space="preserve"> أم اختلاف تعريف البراعة (Ambidexterity vs </w:t>
            </w:r>
            <w:proofErr w:type="gramStart"/>
            <w:r w:rsidRPr="001A49AF">
              <w:rPr>
                <w:rFonts w:ascii="Simplified Arabic" w:hAnsi="Simplified Arabic" w:cs="Simplified Arabic"/>
              </w:rPr>
              <w:t>Agility)؟</w:t>
            </w:r>
            <w:proofErr w:type="gramEnd"/>
            <w:r w:rsidRPr="001A49AF">
              <w:rPr>
                <w:rFonts w:ascii="Simplified Arabic" w:hAnsi="Simplified Arabic" w:cs="Simplified Arabic"/>
              </w:rPr>
              <w:br/>
              <w:t>• تحديد شروط السياق (Boundary conditions): متى يصبح التخطيط أكثر تأثيرًا (رقمنة أعلى، قيادة داعمة، مرونة تشريعية...)؟</w:t>
            </w:r>
            <w:r w:rsidRPr="001A49AF">
              <w:rPr>
                <w:rFonts w:ascii="Simplified Arabic" w:hAnsi="Simplified Arabic" w:cs="Simplified Arabic"/>
              </w:rPr>
              <w:br/>
              <w:t>• إنهاء كل محور بفقرة “ماذا يعني ذلك؟”: اربط النتائج مباشرة بمشكلة الدراسة (وزارة الإعلام) وبأسئلة/أهداف الدراسة، ثم مهد للفرضيات/النموذج.</w:t>
            </w:r>
          </w:p>
        </w:tc>
      </w:tr>
    </w:tbl>
    <w:p w14:paraId="0208A34A" w14:textId="77777777" w:rsidR="00276D90" w:rsidRPr="001A49AF" w:rsidRDefault="00276D90" w:rsidP="001A49AF">
      <w:pPr>
        <w:bidi/>
        <w:spacing w:after="0" w:line="240" w:lineRule="auto"/>
        <w:rPr>
          <w:rFonts w:ascii="Simplified Arabic" w:hAnsi="Simplified Arabic" w:cs="Simplified Arabic"/>
        </w:rPr>
      </w:pPr>
    </w:p>
    <w:p w14:paraId="206D0B54" w14:textId="77777777" w:rsidR="00276D90" w:rsidRPr="001A49AF" w:rsidRDefault="00655A16" w:rsidP="001A49AF">
      <w:pPr>
        <w:bidi/>
        <w:spacing w:after="0" w:line="240" w:lineRule="auto"/>
        <w:rPr>
          <w:rFonts w:ascii="Simplified Arabic" w:hAnsi="Simplified Arabic" w:cs="Simplified Arabic"/>
        </w:rPr>
      </w:pPr>
      <w:r w:rsidRPr="001A49AF">
        <w:rPr>
          <w:rFonts w:ascii="Simplified Arabic" w:hAnsi="Simplified Arabic" w:cs="Simplified Arabic"/>
          <w:b/>
        </w:rPr>
        <w:t>5) الأساس النظري والنموذج/الإطار المفاهيمي</w:t>
      </w:r>
    </w:p>
    <w:tbl>
      <w:tblPr>
        <w:tblStyle w:val="TableGrid"/>
        <w:bidiVisual/>
        <w:tblW w:w="0" w:type="auto"/>
        <w:jc w:val="center"/>
        <w:tblLook w:val="04A0" w:firstRow="1" w:lastRow="0" w:firstColumn="1" w:lastColumn="0" w:noHBand="0" w:noVBand="1"/>
      </w:tblPr>
      <w:tblGrid>
        <w:gridCol w:w="4320"/>
        <w:gridCol w:w="4320"/>
      </w:tblGrid>
      <w:tr w:rsidR="00276D90" w:rsidRPr="001A49AF" w14:paraId="4A4A45A9" w14:textId="77777777" w:rsidTr="00E64621">
        <w:trPr>
          <w:jc w:val="center"/>
        </w:trPr>
        <w:tc>
          <w:tcPr>
            <w:tcW w:w="4320" w:type="dxa"/>
          </w:tcPr>
          <w:p w14:paraId="125846E6"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b/>
              </w:rPr>
              <w:t>البند</w:t>
            </w:r>
          </w:p>
        </w:tc>
        <w:tc>
          <w:tcPr>
            <w:tcW w:w="4320" w:type="dxa"/>
          </w:tcPr>
          <w:p w14:paraId="5FA4A491"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b/>
              </w:rPr>
              <w:t>التقييم/الاقتراح</w:t>
            </w:r>
          </w:p>
        </w:tc>
      </w:tr>
      <w:tr w:rsidR="00276D90" w:rsidRPr="001A49AF" w14:paraId="5109050E" w14:textId="77777777" w:rsidTr="00E64621">
        <w:trPr>
          <w:jc w:val="center"/>
        </w:trPr>
        <w:tc>
          <w:tcPr>
            <w:tcW w:w="4320" w:type="dxa"/>
          </w:tcPr>
          <w:p w14:paraId="1E5F4F52"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تحديد النظريات/النماذج الأنسب للموضوع (استناداً إلى النص)</w:t>
            </w:r>
          </w:p>
        </w:tc>
        <w:tc>
          <w:tcPr>
            <w:tcW w:w="4320" w:type="dxa"/>
          </w:tcPr>
          <w:p w14:paraId="4972B7FB"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النص يستند إلى: نظرية رأس المال البشري، منظور الموارد والقدرات، القدرات الديناميكية، التوافق الاستراتيجي، ونظرية الاستكشاف/الاستثمار (March). هذا مناسب بشرط توحيد المتغير التابع (Ambidexterity أو Agility).</w:t>
            </w:r>
          </w:p>
        </w:tc>
      </w:tr>
      <w:tr w:rsidR="00276D90" w:rsidRPr="001A49AF" w14:paraId="71183938" w14:textId="77777777" w:rsidTr="00E64621">
        <w:trPr>
          <w:jc w:val="center"/>
        </w:trPr>
        <w:tc>
          <w:tcPr>
            <w:tcW w:w="4320" w:type="dxa"/>
          </w:tcPr>
          <w:p w14:paraId="6213C100"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تقييم صحة شرح النظرية وتبرير اختيارها</w:t>
            </w:r>
          </w:p>
        </w:tc>
        <w:tc>
          <w:tcPr>
            <w:tcW w:w="4320" w:type="dxa"/>
          </w:tcPr>
          <w:p w14:paraId="2AE011D1"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الشرح جيد إجمالاً لكنه يحتاج: (1) ربط كل نظرية مباشرة بمتغير/بعد محدد، (2) إزالة التكرار، (3) بيان لماذا تُعد هذه النظريات «أكثر تفسيراً» من بدائل محتملة (مثل المؤسسية Institutional theory في القطاع العام).</w:t>
            </w:r>
          </w:p>
        </w:tc>
      </w:tr>
      <w:tr w:rsidR="00276D90" w:rsidRPr="001A49AF" w14:paraId="7E0F11EE" w14:textId="77777777" w:rsidTr="00E64621">
        <w:trPr>
          <w:jc w:val="center"/>
        </w:trPr>
        <w:tc>
          <w:tcPr>
            <w:tcW w:w="4320" w:type="dxa"/>
          </w:tcPr>
          <w:p w14:paraId="4957FF52"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توضيح الربط بين النظرية والبناءات/المتغيرات والعلاقات المتوقعة</w:t>
            </w:r>
          </w:p>
        </w:tc>
        <w:tc>
          <w:tcPr>
            <w:tcW w:w="4320" w:type="dxa"/>
          </w:tcPr>
          <w:p w14:paraId="4FEACEDF"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يلزم تحويل الربط من مستوى عام إلى مستوى «علاقات قابلة للاختبار»:</w:t>
            </w:r>
            <w:r w:rsidRPr="001A49AF">
              <w:rPr>
                <w:rFonts w:ascii="Simplified Arabic" w:hAnsi="Simplified Arabic" w:cs="Simplified Arabic"/>
              </w:rPr>
              <w:br/>
            </w:r>
            <w:r w:rsidRPr="001A49AF">
              <w:rPr>
                <w:rFonts w:ascii="Simplified Arabic" w:hAnsi="Simplified Arabic" w:cs="Simplified Arabic"/>
              </w:rPr>
              <w:lastRenderedPageBreak/>
              <w:t xml:space="preserve">• التحليل والتنبؤ </w:t>
            </w:r>
            <w:r w:rsidRPr="001A49AF">
              <w:rPr>
                <w:rFonts w:ascii="Times New Roman" w:hAnsi="Times New Roman" w:cs="Times New Roman"/>
              </w:rPr>
              <w:t>→</w:t>
            </w:r>
            <w:r w:rsidRPr="001A49AF">
              <w:rPr>
                <w:rFonts w:ascii="Simplified Arabic" w:hAnsi="Simplified Arabic" w:cs="Simplified Arabic"/>
              </w:rPr>
              <w:t xml:space="preserve"> رفع الجاهزية/إعادة التخصيص </w:t>
            </w:r>
            <w:r w:rsidRPr="001A49AF">
              <w:rPr>
                <w:rFonts w:ascii="Times New Roman" w:hAnsi="Times New Roman" w:cs="Times New Roman"/>
              </w:rPr>
              <w:t>→</w:t>
            </w:r>
            <w:r w:rsidRPr="001A49AF">
              <w:rPr>
                <w:rFonts w:ascii="Simplified Arabic" w:hAnsi="Simplified Arabic" w:cs="Simplified Arabic"/>
              </w:rPr>
              <w:t xml:space="preserve"> (استجابة أسرع/استكشاف أفضل...)</w:t>
            </w:r>
            <w:r w:rsidRPr="001A49AF">
              <w:rPr>
                <w:rFonts w:ascii="Simplified Arabic" w:hAnsi="Simplified Arabic" w:cs="Simplified Arabic"/>
              </w:rPr>
              <w:br/>
              <w:t xml:space="preserve">• تطوير القدرات </w:t>
            </w:r>
            <w:r w:rsidRPr="001A49AF">
              <w:rPr>
                <w:rFonts w:ascii="Times New Roman" w:hAnsi="Times New Roman" w:cs="Times New Roman"/>
              </w:rPr>
              <w:t>→</w:t>
            </w:r>
            <w:r w:rsidRPr="001A49AF">
              <w:rPr>
                <w:rFonts w:ascii="Simplified Arabic" w:hAnsi="Simplified Arabic" w:cs="Simplified Arabic"/>
              </w:rPr>
              <w:t xml:space="preserve"> مهارات/تعلم </w:t>
            </w:r>
            <w:r w:rsidRPr="001A49AF">
              <w:rPr>
                <w:rFonts w:ascii="Times New Roman" w:hAnsi="Times New Roman" w:cs="Times New Roman"/>
              </w:rPr>
              <w:t>→</w:t>
            </w:r>
            <w:r w:rsidRPr="001A49AF">
              <w:rPr>
                <w:rFonts w:ascii="Simplified Arabic" w:hAnsi="Simplified Arabic" w:cs="Simplified Arabic"/>
              </w:rPr>
              <w:t xml:space="preserve"> (ابتكار/استكشاف)</w:t>
            </w:r>
            <w:r w:rsidRPr="001A49AF">
              <w:rPr>
                <w:rFonts w:ascii="Simplified Arabic" w:hAnsi="Simplified Arabic" w:cs="Simplified Arabic"/>
              </w:rPr>
              <w:br/>
              <w:t xml:space="preserve">• المتابعة والتقييم </w:t>
            </w:r>
            <w:r w:rsidRPr="001A49AF">
              <w:rPr>
                <w:rFonts w:ascii="Times New Roman" w:hAnsi="Times New Roman" w:cs="Times New Roman"/>
              </w:rPr>
              <w:t>→</w:t>
            </w:r>
            <w:r w:rsidRPr="001A49AF">
              <w:rPr>
                <w:rFonts w:ascii="Simplified Arabic" w:hAnsi="Simplified Arabic" w:cs="Simplified Arabic"/>
              </w:rPr>
              <w:t xml:space="preserve"> تعلم تنظيمي/تصحيح مسار </w:t>
            </w:r>
            <w:r w:rsidRPr="001A49AF">
              <w:rPr>
                <w:rFonts w:ascii="Times New Roman" w:hAnsi="Times New Roman" w:cs="Times New Roman"/>
              </w:rPr>
              <w:t>→</w:t>
            </w:r>
            <w:r w:rsidRPr="001A49AF">
              <w:rPr>
                <w:rFonts w:ascii="Simplified Arabic" w:hAnsi="Simplified Arabic" w:cs="Simplified Arabic"/>
              </w:rPr>
              <w:t xml:space="preserve"> (استغلال أكثر كفاءة/تحسين جودة القرار)</w:t>
            </w:r>
          </w:p>
        </w:tc>
      </w:tr>
      <w:tr w:rsidR="00276D90" w:rsidRPr="001A49AF" w14:paraId="6AAAA999" w14:textId="77777777" w:rsidTr="00E64621">
        <w:trPr>
          <w:jc w:val="center"/>
        </w:trPr>
        <w:tc>
          <w:tcPr>
            <w:tcW w:w="4320" w:type="dxa"/>
          </w:tcPr>
          <w:p w14:paraId="232FDE42"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lastRenderedPageBreak/>
              <w:t>اقتراح “سرد للإطار المفاهيمي” (فقرة واحدة)</w:t>
            </w:r>
          </w:p>
        </w:tc>
        <w:tc>
          <w:tcPr>
            <w:tcW w:w="4320" w:type="dxa"/>
          </w:tcPr>
          <w:p w14:paraId="7E6E5B1F"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 xml:space="preserve">تقترح الدراسة أن التخطيط الاستراتيجي للموارد البشرية يُمثل قدرة تنظيمية استباقية تُحسّن جاهزية الوزارة عبر (تحليل الاحتياجات والتنبؤ </w:t>
            </w:r>
            <w:proofErr w:type="gramStart"/>
            <w:r w:rsidRPr="001A49AF">
              <w:rPr>
                <w:rFonts w:ascii="Simplified Arabic" w:hAnsi="Simplified Arabic" w:cs="Simplified Arabic"/>
              </w:rPr>
              <w:t>بها)،</w:t>
            </w:r>
            <w:proofErr w:type="gramEnd"/>
            <w:r w:rsidRPr="001A49AF">
              <w:rPr>
                <w:rFonts w:ascii="Simplified Arabic" w:hAnsi="Simplified Arabic" w:cs="Simplified Arabic"/>
              </w:rPr>
              <w:t xml:space="preserve"> وبناء رأس مال بشري قابل لإعادة التوظيف عبر (تطوير القدرات)، وضبط التعلم التنظيمي عبر (المتابعة والتقييم). ووفق منظور القدرات الديناميكية والتوافق الاستراتيجي، تسهم هذه الممارسات في تمكين المؤسسة من إعادة تشكيل مواردها بسرعة وتوجيهها بين متطلبات الكفاءة الحالية ومتطلبات التجديد؛ بما ينعكس على مستوى (البراعة/الرشاقة التنظيمية) في الوزارة.</w:t>
            </w:r>
          </w:p>
        </w:tc>
      </w:tr>
      <w:tr w:rsidR="00276D90" w:rsidRPr="001A49AF" w14:paraId="18E8204F" w14:textId="77777777" w:rsidTr="00E64621">
        <w:trPr>
          <w:jc w:val="center"/>
        </w:trPr>
        <w:tc>
          <w:tcPr>
            <w:tcW w:w="4320" w:type="dxa"/>
          </w:tcPr>
          <w:p w14:paraId="30393DCE"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سلسلة منطقية بنقاط توضح العلاقات (نموذج مبدئي)</w:t>
            </w:r>
          </w:p>
        </w:tc>
        <w:tc>
          <w:tcPr>
            <w:tcW w:w="4320" w:type="dxa"/>
          </w:tcPr>
          <w:p w14:paraId="1F04DEE8"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 xml:space="preserve">• HRSP-1 (تحليل/تنبؤ) </w:t>
            </w:r>
            <w:r w:rsidRPr="001A49AF">
              <w:rPr>
                <w:rFonts w:ascii="Cambria Math" w:hAnsi="Cambria Math" w:cs="Cambria Math"/>
              </w:rPr>
              <w:t>⟶</w:t>
            </w:r>
            <w:r w:rsidRPr="001A49AF">
              <w:rPr>
                <w:rFonts w:ascii="Simplified Arabic" w:hAnsi="Simplified Arabic" w:cs="Simplified Arabic"/>
              </w:rPr>
              <w:t xml:space="preserve"> جاهزية معلوماتية </w:t>
            </w:r>
            <w:r w:rsidRPr="001A49AF">
              <w:rPr>
                <w:rFonts w:ascii="Cambria Math" w:hAnsi="Cambria Math" w:cs="Cambria Math"/>
              </w:rPr>
              <w:t>⟶</w:t>
            </w:r>
            <w:r w:rsidRPr="001A49AF">
              <w:rPr>
                <w:rFonts w:ascii="Simplified Arabic" w:hAnsi="Simplified Arabic" w:cs="Simplified Arabic"/>
              </w:rPr>
              <w:t xml:space="preserve"> زيادة سرعة الاستجابة.</w:t>
            </w:r>
            <w:r w:rsidRPr="001A49AF">
              <w:rPr>
                <w:rFonts w:ascii="Simplified Arabic" w:hAnsi="Simplified Arabic" w:cs="Simplified Arabic"/>
              </w:rPr>
              <w:br/>
              <w:t xml:space="preserve">• HRSP-2 (تطوير القدرات) </w:t>
            </w:r>
            <w:r w:rsidRPr="001A49AF">
              <w:rPr>
                <w:rFonts w:ascii="Cambria Math" w:hAnsi="Cambria Math" w:cs="Cambria Math"/>
              </w:rPr>
              <w:t>⟶</w:t>
            </w:r>
            <w:r w:rsidRPr="001A49AF">
              <w:rPr>
                <w:rFonts w:ascii="Simplified Arabic" w:hAnsi="Simplified Arabic" w:cs="Simplified Arabic"/>
              </w:rPr>
              <w:t xml:space="preserve"> تعلم/مهارات مستقبلية </w:t>
            </w:r>
            <w:r w:rsidRPr="001A49AF">
              <w:rPr>
                <w:rFonts w:ascii="Cambria Math" w:hAnsi="Cambria Math" w:cs="Cambria Math"/>
              </w:rPr>
              <w:t>⟶</w:t>
            </w:r>
            <w:r w:rsidRPr="001A49AF">
              <w:rPr>
                <w:rFonts w:ascii="Simplified Arabic" w:hAnsi="Simplified Arabic" w:cs="Simplified Arabic"/>
              </w:rPr>
              <w:t xml:space="preserve"> زيادة الابتكار/الاستكشاف.</w:t>
            </w:r>
            <w:r w:rsidRPr="001A49AF">
              <w:rPr>
                <w:rFonts w:ascii="Simplified Arabic" w:hAnsi="Simplified Arabic" w:cs="Simplified Arabic"/>
              </w:rPr>
              <w:br/>
              <w:t xml:space="preserve">• HRSP-3 (متابعة/تقييم) </w:t>
            </w:r>
            <w:r w:rsidRPr="001A49AF">
              <w:rPr>
                <w:rFonts w:ascii="Cambria Math" w:hAnsi="Cambria Math" w:cs="Cambria Math"/>
              </w:rPr>
              <w:t>⟶</w:t>
            </w:r>
            <w:r w:rsidRPr="001A49AF">
              <w:rPr>
                <w:rFonts w:ascii="Simplified Arabic" w:hAnsi="Simplified Arabic" w:cs="Simplified Arabic"/>
              </w:rPr>
              <w:t xml:space="preserve"> تغذية راجعة/تصحيح </w:t>
            </w:r>
            <w:r w:rsidRPr="001A49AF">
              <w:rPr>
                <w:rFonts w:ascii="Cambria Math" w:hAnsi="Cambria Math" w:cs="Cambria Math"/>
              </w:rPr>
              <w:t>⟶</w:t>
            </w:r>
            <w:r w:rsidRPr="001A49AF">
              <w:rPr>
                <w:rFonts w:ascii="Simplified Arabic" w:hAnsi="Simplified Arabic" w:cs="Simplified Arabic"/>
              </w:rPr>
              <w:t xml:space="preserve"> رفع كفاءة الاستغلال/تحسين التكيف.</w:t>
            </w:r>
            <w:r w:rsidRPr="001A49AF">
              <w:rPr>
                <w:rFonts w:ascii="Simplified Arabic" w:hAnsi="Simplified Arabic" w:cs="Simplified Arabic"/>
              </w:rPr>
              <w:br/>
              <w:t>ملاحظة حاسمة: أعِد تسمية المتغير التابع وأبعاده وفق الاختيار النهائي (Ambidexterity أو Agility) ثم عدّل الأسهم وفقه.</w:t>
            </w:r>
          </w:p>
        </w:tc>
      </w:tr>
    </w:tbl>
    <w:p w14:paraId="1C2C28C1" w14:textId="77777777" w:rsidR="00276D90" w:rsidRPr="001A49AF" w:rsidRDefault="00276D90" w:rsidP="001A49AF">
      <w:pPr>
        <w:bidi/>
        <w:spacing w:after="0" w:line="240" w:lineRule="auto"/>
        <w:rPr>
          <w:rFonts w:ascii="Simplified Arabic" w:hAnsi="Simplified Arabic" w:cs="Simplified Arabic"/>
        </w:rPr>
      </w:pPr>
    </w:p>
    <w:p w14:paraId="6524347A" w14:textId="77777777" w:rsidR="00276D90" w:rsidRPr="001A49AF" w:rsidRDefault="00655A16" w:rsidP="001A49AF">
      <w:pPr>
        <w:bidi/>
        <w:spacing w:after="0" w:line="240" w:lineRule="auto"/>
        <w:rPr>
          <w:rFonts w:ascii="Simplified Arabic" w:hAnsi="Simplified Arabic" w:cs="Simplified Arabic"/>
        </w:rPr>
      </w:pPr>
      <w:r w:rsidRPr="001A49AF">
        <w:rPr>
          <w:rFonts w:ascii="Simplified Arabic" w:hAnsi="Simplified Arabic" w:cs="Simplified Arabic"/>
          <w:b/>
        </w:rPr>
        <w:t>6) فجوة البحث والإضافة العلمية (لتكون قابلة للدفاع)</w:t>
      </w:r>
    </w:p>
    <w:tbl>
      <w:tblPr>
        <w:tblStyle w:val="TableGrid"/>
        <w:bidiVisual/>
        <w:tblW w:w="0" w:type="auto"/>
        <w:jc w:val="center"/>
        <w:tblLook w:val="04A0" w:firstRow="1" w:lastRow="0" w:firstColumn="1" w:lastColumn="0" w:noHBand="0" w:noVBand="1"/>
      </w:tblPr>
      <w:tblGrid>
        <w:gridCol w:w="4320"/>
        <w:gridCol w:w="4320"/>
      </w:tblGrid>
      <w:tr w:rsidR="00276D90" w:rsidRPr="001A49AF" w14:paraId="7B8ADC6C" w14:textId="77777777" w:rsidTr="00E64621">
        <w:trPr>
          <w:jc w:val="center"/>
        </w:trPr>
        <w:tc>
          <w:tcPr>
            <w:tcW w:w="4320" w:type="dxa"/>
          </w:tcPr>
          <w:p w14:paraId="38FE0749"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b/>
              </w:rPr>
              <w:t>البند</w:t>
            </w:r>
          </w:p>
        </w:tc>
        <w:tc>
          <w:tcPr>
            <w:tcW w:w="4320" w:type="dxa"/>
          </w:tcPr>
          <w:p w14:paraId="046A42A1"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b/>
              </w:rPr>
              <w:t>المحتوى المقترح</w:t>
            </w:r>
          </w:p>
        </w:tc>
      </w:tr>
      <w:tr w:rsidR="00276D90" w:rsidRPr="001A49AF" w14:paraId="03EC906F" w14:textId="77777777" w:rsidTr="00E64621">
        <w:trPr>
          <w:jc w:val="center"/>
        </w:trPr>
        <w:tc>
          <w:tcPr>
            <w:tcW w:w="4320" w:type="dxa"/>
          </w:tcPr>
          <w:p w14:paraId="19371572"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تقييم: هل يقود الفصل فعلاً إلى فجوة بحثية واضحة؟</w:t>
            </w:r>
          </w:p>
        </w:tc>
        <w:tc>
          <w:tcPr>
            <w:tcW w:w="4320" w:type="dxa"/>
          </w:tcPr>
          <w:p w14:paraId="713E73C7"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 xml:space="preserve">يوجد اتجاه صحيح لصياغة فجوة (خصوصًا فقرة التركيز على وزارة الإعلام ورؤية </w:t>
            </w:r>
            <w:proofErr w:type="gramStart"/>
            <w:r w:rsidRPr="001A49AF">
              <w:rPr>
                <w:rFonts w:ascii="Simplified Arabic" w:hAnsi="Simplified Arabic" w:cs="Simplified Arabic"/>
              </w:rPr>
              <w:t>2030)،</w:t>
            </w:r>
            <w:proofErr w:type="gramEnd"/>
            <w:r w:rsidRPr="001A49AF">
              <w:rPr>
                <w:rFonts w:ascii="Simplified Arabic" w:hAnsi="Simplified Arabic" w:cs="Simplified Arabic"/>
              </w:rPr>
              <w:t xml:space="preserve"> لكنه ما يزال بحاجة إلى «تحديد قابل للقياس»: ما الذي لم يُختبر؟ بأي أبعاد؟ وبأي منهج؟ وما المشكلة النظرية الناتجة عن ذلك؟</w:t>
            </w:r>
          </w:p>
        </w:tc>
      </w:tr>
      <w:tr w:rsidR="00276D90" w:rsidRPr="001A49AF" w14:paraId="06DF5E55" w14:textId="77777777" w:rsidTr="00E64621">
        <w:trPr>
          <w:jc w:val="center"/>
        </w:trPr>
        <w:tc>
          <w:tcPr>
            <w:tcW w:w="4320" w:type="dxa"/>
          </w:tcPr>
          <w:p w14:paraId="256D9E9C"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إعادة صياغة فجوة البحث بثلاث صيغ أقوى: أ) فجوة تجريبية/دليلية محددة</w:t>
            </w:r>
          </w:p>
        </w:tc>
        <w:tc>
          <w:tcPr>
            <w:tcW w:w="4320" w:type="dxa"/>
          </w:tcPr>
          <w:p w14:paraId="796A878E"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لا تزال الأدلة التطبيقية التي تختبر أثر أبعاد التخطيط الاستراتيجي للموارد البشرية (التحليل/التطوير/التقييم) على (أبعاد المتغير التابع المعتمدة في هذه الدراسة) داخل الوزارات السعودية محدودة/غير مباشرة؛ كما أن معظم الدراسات المتاحة إما قطاع خاص أو قطاعات خدمية غير مماثلة، ما يترك نقصًا تجريبيًا في اختبار العلاقة في وزارة الإعلام.</w:t>
            </w:r>
          </w:p>
        </w:tc>
      </w:tr>
      <w:tr w:rsidR="00276D90" w:rsidRPr="001A49AF" w14:paraId="0FE452AA" w14:textId="77777777" w:rsidTr="00E64621">
        <w:trPr>
          <w:jc w:val="center"/>
        </w:trPr>
        <w:tc>
          <w:tcPr>
            <w:tcW w:w="4320" w:type="dxa"/>
          </w:tcPr>
          <w:p w14:paraId="42328D37"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ب) فجوة نظرية/تفسيرية</w:t>
            </w:r>
          </w:p>
        </w:tc>
        <w:tc>
          <w:tcPr>
            <w:tcW w:w="4320" w:type="dxa"/>
          </w:tcPr>
          <w:p w14:paraId="28604283"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توجد فجوة تفسيرية في توضيح «كيف ولماذا» يؤثر التخطيط الاستراتيجي للموارد البشرية في (البراعة/الرشاقة): الأدبيات تشير إلى ارتباط عام، لكنها أقل وضوحاً في تحديد الآليات (Mechanisms) وشروط السياق (Boundary conditions) التي تُفعِّل هذا الأثر في القطاع العام.</w:t>
            </w:r>
          </w:p>
        </w:tc>
      </w:tr>
      <w:tr w:rsidR="00276D90" w:rsidRPr="001A49AF" w14:paraId="18BA18AB" w14:textId="77777777" w:rsidTr="00E64621">
        <w:trPr>
          <w:jc w:val="center"/>
        </w:trPr>
        <w:tc>
          <w:tcPr>
            <w:tcW w:w="4320" w:type="dxa"/>
          </w:tcPr>
          <w:p w14:paraId="45440AA4"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ج) فجوة سياقية/منهجية</w:t>
            </w:r>
          </w:p>
        </w:tc>
        <w:tc>
          <w:tcPr>
            <w:tcW w:w="4320" w:type="dxa"/>
          </w:tcPr>
          <w:p w14:paraId="5E5908F9"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 xml:space="preserve">سياق وزارة الإعلام السعودية يجمع بين (تحول رقمي/تغيرات تنظيمية/خدمة عامة ذات طابع </w:t>
            </w:r>
            <w:proofErr w:type="gramStart"/>
            <w:r w:rsidRPr="001A49AF">
              <w:rPr>
                <w:rFonts w:ascii="Simplified Arabic" w:hAnsi="Simplified Arabic" w:cs="Simplified Arabic"/>
              </w:rPr>
              <w:t>اتصالي)،</w:t>
            </w:r>
            <w:proofErr w:type="gramEnd"/>
            <w:r w:rsidRPr="001A49AF">
              <w:rPr>
                <w:rFonts w:ascii="Simplified Arabic" w:hAnsi="Simplified Arabic" w:cs="Simplified Arabic"/>
              </w:rPr>
              <w:t xml:space="preserve"> وهو سياق نادر التناول في أدبيات التخطيط الاستراتيجي </w:t>
            </w:r>
            <w:r w:rsidRPr="001A49AF">
              <w:rPr>
                <w:rFonts w:ascii="Simplified Arabic" w:hAnsi="Simplified Arabic" w:cs="Simplified Arabic"/>
              </w:rPr>
              <w:lastRenderedPageBreak/>
              <w:t>للموارد البشرية و(البراعة/الرشاقة). كما أن الحاجة قائمة لاختبار نموذج سببي (وليس ارتباطًا عامًا فقط) باستخدام أدوات قياس متكيفة مع البيئة الحكومية.</w:t>
            </w:r>
          </w:p>
        </w:tc>
      </w:tr>
      <w:tr w:rsidR="00276D90" w:rsidRPr="001A49AF" w14:paraId="6D159851" w14:textId="77777777" w:rsidTr="00E64621">
        <w:trPr>
          <w:jc w:val="center"/>
        </w:trPr>
        <w:tc>
          <w:tcPr>
            <w:tcW w:w="4320" w:type="dxa"/>
          </w:tcPr>
          <w:p w14:paraId="3651144A"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lastRenderedPageBreak/>
              <w:t>اقتراح 3–6 ادعاءات مساهمة/إضافة (نظرية، منهجية، تطبيقية/سياسات)</w:t>
            </w:r>
          </w:p>
        </w:tc>
        <w:tc>
          <w:tcPr>
            <w:tcW w:w="4320" w:type="dxa"/>
          </w:tcPr>
          <w:p w14:paraId="5F842F40"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1) مساهمة نظرية: تطوير نموذج يربط أبعاد HRSP بآليات (تعلم/جاهزية/إعادة تخصيص الموارد) لتفسير (البراعة/الرشاقة).</w:t>
            </w:r>
            <w:r w:rsidRPr="001A49AF">
              <w:rPr>
                <w:rFonts w:ascii="Simplified Arabic" w:hAnsi="Simplified Arabic" w:cs="Simplified Arabic"/>
              </w:rPr>
              <w:br/>
              <w:t>2) مساهمة سياقية: تقديم دليل من وزارة إعلام سعودية في ظل رؤية 2030.</w:t>
            </w:r>
            <w:r w:rsidRPr="001A49AF">
              <w:rPr>
                <w:rFonts w:ascii="Simplified Arabic" w:hAnsi="Simplified Arabic" w:cs="Simplified Arabic"/>
              </w:rPr>
              <w:br/>
              <w:t>3) مساهمة منهجية: تكييف/تحقق من صلاحية مقاييس المتغيرين في السياق الحكومي.</w:t>
            </w:r>
            <w:r w:rsidRPr="001A49AF">
              <w:rPr>
                <w:rFonts w:ascii="Simplified Arabic" w:hAnsi="Simplified Arabic" w:cs="Simplified Arabic"/>
              </w:rPr>
              <w:br/>
              <w:t>4) مساهمة تطبيقية: توصيات لتطوير ممارسات تخطيط القوى العاملة والمهارات الرقمية.</w:t>
            </w:r>
            <w:r w:rsidRPr="001A49AF">
              <w:rPr>
                <w:rFonts w:ascii="Simplified Arabic" w:hAnsi="Simplified Arabic" w:cs="Simplified Arabic"/>
              </w:rPr>
              <w:br/>
              <w:t>5) مساهمة سياسات: دعم قرارات التدريب/التعاقب الوظيفي/إعادة تصميم الوظائف المرتبطة بالتحول الرقمي.</w:t>
            </w:r>
            <w:r w:rsidRPr="001A49AF">
              <w:rPr>
                <w:rFonts w:ascii="Simplified Arabic" w:hAnsi="Simplified Arabic" w:cs="Simplified Arabic"/>
              </w:rPr>
              <w:br/>
              <w:t>6) (اختياري) مساهمة إدارية: تحديد أكثر الأبعاد تأثيرًا لتوجيه الموارد نحوها.</w:t>
            </w:r>
          </w:p>
        </w:tc>
      </w:tr>
    </w:tbl>
    <w:p w14:paraId="7081551B" w14:textId="77777777" w:rsidR="00276D90" w:rsidRPr="001A49AF" w:rsidRDefault="00276D90" w:rsidP="001A49AF">
      <w:pPr>
        <w:bidi/>
        <w:spacing w:after="0" w:line="240" w:lineRule="auto"/>
        <w:rPr>
          <w:rFonts w:ascii="Simplified Arabic" w:hAnsi="Simplified Arabic" w:cs="Simplified Arabic"/>
        </w:rPr>
      </w:pPr>
    </w:p>
    <w:p w14:paraId="2CAAEC6A" w14:textId="77777777" w:rsidR="00276D90" w:rsidRPr="001A49AF" w:rsidRDefault="00655A16" w:rsidP="001A49AF">
      <w:pPr>
        <w:bidi/>
        <w:spacing w:after="0" w:line="240" w:lineRule="auto"/>
        <w:rPr>
          <w:rFonts w:ascii="Simplified Arabic" w:hAnsi="Simplified Arabic" w:cs="Simplified Arabic"/>
        </w:rPr>
      </w:pPr>
      <w:r w:rsidRPr="001A49AF">
        <w:rPr>
          <w:rFonts w:ascii="Simplified Arabic" w:hAnsi="Simplified Arabic" w:cs="Simplified Arabic"/>
          <w:b/>
        </w:rPr>
        <w:t>7) جودة الأدلة والاستشهادات</w:t>
      </w:r>
    </w:p>
    <w:tbl>
      <w:tblPr>
        <w:tblStyle w:val="TableGrid"/>
        <w:bidiVisual/>
        <w:tblW w:w="0" w:type="auto"/>
        <w:jc w:val="center"/>
        <w:tblLook w:val="04A0" w:firstRow="1" w:lastRow="0" w:firstColumn="1" w:lastColumn="0" w:noHBand="0" w:noVBand="1"/>
      </w:tblPr>
      <w:tblGrid>
        <w:gridCol w:w="4320"/>
        <w:gridCol w:w="4320"/>
      </w:tblGrid>
      <w:tr w:rsidR="00276D90" w:rsidRPr="001A49AF" w14:paraId="100B1CEE" w14:textId="77777777" w:rsidTr="00E64621">
        <w:trPr>
          <w:jc w:val="center"/>
        </w:trPr>
        <w:tc>
          <w:tcPr>
            <w:tcW w:w="4320" w:type="dxa"/>
          </w:tcPr>
          <w:p w14:paraId="343C5EDF"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b/>
              </w:rPr>
              <w:t>البند</w:t>
            </w:r>
          </w:p>
        </w:tc>
        <w:tc>
          <w:tcPr>
            <w:tcW w:w="4320" w:type="dxa"/>
          </w:tcPr>
          <w:p w14:paraId="0B106BFA"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b/>
              </w:rPr>
              <w:t>الملاحظات/التوجيه</w:t>
            </w:r>
          </w:p>
        </w:tc>
      </w:tr>
      <w:tr w:rsidR="00276D90" w:rsidRPr="001A49AF" w14:paraId="5F65DF35" w14:textId="77777777" w:rsidTr="00E64621">
        <w:trPr>
          <w:jc w:val="center"/>
        </w:trPr>
        <w:tc>
          <w:tcPr>
            <w:tcW w:w="4320" w:type="dxa"/>
          </w:tcPr>
          <w:p w14:paraId="15619867"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تقييم جودة المصادر (محكّمة/</w:t>
            </w:r>
            <w:proofErr w:type="gramStart"/>
            <w:r w:rsidRPr="001A49AF">
              <w:rPr>
                <w:rFonts w:ascii="Simplified Arabic" w:hAnsi="Simplified Arabic" w:cs="Simplified Arabic"/>
              </w:rPr>
              <w:t>ضعيفة)،</w:t>
            </w:r>
            <w:proofErr w:type="gramEnd"/>
            <w:r w:rsidRPr="001A49AF">
              <w:rPr>
                <w:rFonts w:ascii="Simplified Arabic" w:hAnsi="Simplified Arabic" w:cs="Simplified Arabic"/>
              </w:rPr>
              <w:t xml:space="preserve"> وحداثتها، وملاءمتها</w:t>
            </w:r>
          </w:p>
        </w:tc>
        <w:tc>
          <w:tcPr>
            <w:tcW w:w="4320" w:type="dxa"/>
          </w:tcPr>
          <w:p w14:paraId="5C2054E6"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 xml:space="preserve">القائمة تتضمن مراجع تأسيسية قوية (Barney 1991؛ Becker 1964؛ March 1991؛ Teece 1997؛ Wright &amp; McMahan 1992) مع مراجع حديثة. في المقابل، هناك اعتماد ملحوظ على رسائل غير منشورة </w:t>
            </w:r>
            <w:r w:rsidRPr="001A49AF">
              <w:rPr>
                <w:rFonts w:ascii="Simplified Arabic" w:hAnsi="Simplified Arabic" w:cs="Simplified Arabic"/>
              </w:rPr>
              <w:lastRenderedPageBreak/>
              <w:t>ومجلات متفاوتة المستوى. كما تظهر مراجع كثيرة عن «organizational agility» بينما المتن يستخدم «ambidexterity»، ما يضعف الملاءمة المفاهيمية.</w:t>
            </w:r>
          </w:p>
        </w:tc>
      </w:tr>
      <w:tr w:rsidR="00276D90" w:rsidRPr="001A49AF" w14:paraId="102D5923" w14:textId="77777777" w:rsidTr="00E64621">
        <w:trPr>
          <w:jc w:val="center"/>
        </w:trPr>
        <w:tc>
          <w:tcPr>
            <w:tcW w:w="4320" w:type="dxa"/>
          </w:tcPr>
          <w:p w14:paraId="6230E46B"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lastRenderedPageBreak/>
              <w:t>تحديد مواضع: ادعاءات بلا مصدر، أو مبالغة، أو إفراط في الاستشهاد</w:t>
            </w:r>
          </w:p>
        </w:tc>
        <w:tc>
          <w:tcPr>
            <w:tcW w:w="4320" w:type="dxa"/>
          </w:tcPr>
          <w:p w14:paraId="08B7D9DB"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 بعض عبارات التعميم حول «القطاع الحكومي السعودي» و«وزارة الإعلام» تحتاج إسنادًا (يلزم إضافة استشهاد هنا: دراسات قطاع عام/تقارير رسمية).</w:t>
            </w:r>
            <w:r w:rsidRPr="001A49AF">
              <w:rPr>
                <w:rFonts w:ascii="Simplified Arabic" w:hAnsi="Simplified Arabic" w:cs="Simplified Arabic"/>
              </w:rPr>
              <w:br/>
              <w:t>• ادعاءات مثل «تحسين تدفق المعلومات وتحديد الصلاحيات» تحتاج مراجع تخصصية أو تحويلها إلى افتراض/توقع بحثي لا إلى حقيقة مثبتة.</w:t>
            </w:r>
          </w:p>
        </w:tc>
      </w:tr>
      <w:tr w:rsidR="00276D90" w:rsidRPr="001A49AF" w14:paraId="0F3E4359" w14:textId="77777777" w:rsidTr="00E64621">
        <w:trPr>
          <w:jc w:val="center"/>
        </w:trPr>
        <w:tc>
          <w:tcPr>
            <w:tcW w:w="4320" w:type="dxa"/>
          </w:tcPr>
          <w:p w14:paraId="36C15E7F"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تحديد ما يجب تعزيزه من أنواع الأدبيات</w:t>
            </w:r>
          </w:p>
        </w:tc>
        <w:tc>
          <w:tcPr>
            <w:tcW w:w="4320" w:type="dxa"/>
          </w:tcPr>
          <w:p w14:paraId="3352EC41"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 مراجعات منهجية/تحليلية حول: workforce planning في القطاع العام، وambidexterity/agility في المؤسسات الحكومية.</w:t>
            </w:r>
            <w:r w:rsidRPr="001A49AF">
              <w:rPr>
                <w:rFonts w:ascii="Simplified Arabic" w:hAnsi="Simplified Arabic" w:cs="Simplified Arabic"/>
              </w:rPr>
              <w:br/>
              <w:t>• أحدث 5 سنوات من مجلات رائدة في إدارة الموارد البشرية والإدارة العامة.</w:t>
            </w:r>
            <w:r w:rsidRPr="001A49AF">
              <w:rPr>
                <w:rFonts w:ascii="Simplified Arabic" w:hAnsi="Simplified Arabic" w:cs="Simplified Arabic"/>
              </w:rPr>
              <w:br/>
              <w:t>• أدبيات التحول الرقمي الحكومي والمهارات المستقبلية (Future skills) المرتبطة بالقوى العاملة.</w:t>
            </w:r>
          </w:p>
        </w:tc>
      </w:tr>
      <w:tr w:rsidR="00276D90" w:rsidRPr="001A49AF" w14:paraId="471C2145" w14:textId="77777777" w:rsidTr="00E64621">
        <w:trPr>
          <w:jc w:val="center"/>
        </w:trPr>
        <w:tc>
          <w:tcPr>
            <w:tcW w:w="4320" w:type="dxa"/>
          </w:tcPr>
          <w:p w14:paraId="62AA569E"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تنبيه منهجي (ممنوع اختلاق مراجع)</w:t>
            </w:r>
          </w:p>
        </w:tc>
        <w:tc>
          <w:tcPr>
            <w:tcW w:w="4320" w:type="dxa"/>
          </w:tcPr>
          <w:p w14:paraId="3BC9C876"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عند الحاجة لمصدر غير موجود في القائمة الحالية، استخدم داخل المتن عبارة: «يلزم إضافة استشهاد هنا» ثم ابحث عن مصدر محكّم مناسب وفق كلمات مفتاحية: (Strategic workforce planning in public sector / HR planning government / organizational ambidexterity public sector / organizational agility government digital transformation).</w:t>
            </w:r>
          </w:p>
        </w:tc>
      </w:tr>
    </w:tbl>
    <w:p w14:paraId="1D353C12" w14:textId="77777777" w:rsidR="00276D90" w:rsidRPr="001A49AF" w:rsidRDefault="00276D90" w:rsidP="001A49AF">
      <w:pPr>
        <w:bidi/>
        <w:spacing w:after="0" w:line="240" w:lineRule="auto"/>
        <w:rPr>
          <w:rFonts w:ascii="Simplified Arabic" w:hAnsi="Simplified Arabic" w:cs="Simplified Arabic"/>
        </w:rPr>
      </w:pPr>
    </w:p>
    <w:p w14:paraId="1E4E3683" w14:textId="77777777" w:rsidR="00276D90" w:rsidRPr="001A49AF" w:rsidRDefault="00655A16" w:rsidP="001A49AF">
      <w:pPr>
        <w:bidi/>
        <w:spacing w:after="0" w:line="240" w:lineRule="auto"/>
        <w:rPr>
          <w:rFonts w:ascii="Simplified Arabic" w:hAnsi="Simplified Arabic" w:cs="Simplified Arabic"/>
        </w:rPr>
      </w:pPr>
      <w:r w:rsidRPr="001A49AF">
        <w:rPr>
          <w:rFonts w:ascii="Simplified Arabic" w:hAnsi="Simplified Arabic" w:cs="Simplified Arabic"/>
          <w:b/>
        </w:rPr>
        <w:t>8) جودة الكتابة الأكاديمية والتماسك</w:t>
      </w:r>
    </w:p>
    <w:tbl>
      <w:tblPr>
        <w:tblStyle w:val="TableGrid"/>
        <w:bidiVisual/>
        <w:tblW w:w="0" w:type="auto"/>
        <w:jc w:val="center"/>
        <w:tblLook w:val="04A0" w:firstRow="1" w:lastRow="0" w:firstColumn="1" w:lastColumn="0" w:noHBand="0" w:noVBand="1"/>
      </w:tblPr>
      <w:tblGrid>
        <w:gridCol w:w="4320"/>
        <w:gridCol w:w="4320"/>
      </w:tblGrid>
      <w:tr w:rsidR="00276D90" w:rsidRPr="001A49AF" w14:paraId="33F621D8" w14:textId="77777777" w:rsidTr="00E64621">
        <w:trPr>
          <w:jc w:val="center"/>
        </w:trPr>
        <w:tc>
          <w:tcPr>
            <w:tcW w:w="4320" w:type="dxa"/>
          </w:tcPr>
          <w:p w14:paraId="398E0D5E"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b/>
              </w:rPr>
              <w:t>البند</w:t>
            </w:r>
          </w:p>
        </w:tc>
        <w:tc>
          <w:tcPr>
            <w:tcW w:w="4320" w:type="dxa"/>
          </w:tcPr>
          <w:p w14:paraId="19A39775"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b/>
              </w:rPr>
              <w:t>التفاصيل</w:t>
            </w:r>
          </w:p>
        </w:tc>
      </w:tr>
      <w:tr w:rsidR="00276D90" w:rsidRPr="001A49AF" w14:paraId="2F0A33E8" w14:textId="77777777" w:rsidTr="00E64621">
        <w:trPr>
          <w:jc w:val="center"/>
        </w:trPr>
        <w:tc>
          <w:tcPr>
            <w:tcW w:w="4320" w:type="dxa"/>
          </w:tcPr>
          <w:p w14:paraId="047D3A1B"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تحديد مشكلات: وضوح، ترابط، تكرار، طول الفقرات، مصطلحات غير ثابتة</w:t>
            </w:r>
          </w:p>
        </w:tc>
        <w:tc>
          <w:tcPr>
            <w:tcW w:w="4320" w:type="dxa"/>
          </w:tcPr>
          <w:p w14:paraId="532AE118"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 عدم اتساق المصطلحات: البراعة التنظيمية/الرشاقة التنظيمية/المرونة.</w:t>
            </w:r>
            <w:r w:rsidRPr="001A49AF">
              <w:rPr>
                <w:rFonts w:ascii="Simplified Arabic" w:hAnsi="Simplified Arabic" w:cs="Simplified Arabic"/>
              </w:rPr>
              <w:br/>
              <w:t>• تكرار بعض الأطر (القدرات الديناميكية) دون إضافة جديدة.</w:t>
            </w:r>
            <w:r w:rsidRPr="001A49AF">
              <w:rPr>
                <w:rFonts w:ascii="Simplified Arabic" w:hAnsi="Simplified Arabic" w:cs="Simplified Arabic"/>
              </w:rPr>
              <w:br/>
              <w:t>• فقرات طويلة تفتقد جملة موضوع (Topic sentence) وخاتمة ربط.</w:t>
            </w:r>
            <w:r w:rsidRPr="001A49AF">
              <w:rPr>
                <w:rFonts w:ascii="Simplified Arabic" w:hAnsi="Simplified Arabic" w:cs="Simplified Arabic"/>
              </w:rPr>
              <w:br/>
              <w:t>• أخطاء تحريرية (أقواس/همزات/تنوين) وتوحيد كتابة أسماء المؤلفين.</w:t>
            </w:r>
          </w:p>
        </w:tc>
      </w:tr>
      <w:tr w:rsidR="00276D90" w:rsidRPr="001A49AF" w14:paraId="5CAF0D27" w14:textId="77777777" w:rsidTr="00E64621">
        <w:trPr>
          <w:jc w:val="center"/>
        </w:trPr>
        <w:tc>
          <w:tcPr>
            <w:tcW w:w="4320" w:type="dxa"/>
          </w:tcPr>
          <w:p w14:paraId="35760B1F"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إعادة صياغة 8–12 جملة/افتتاح فقرة ضعيفة إلى صياغة أكاديمية عربية رصينة</w:t>
            </w:r>
          </w:p>
        </w:tc>
        <w:tc>
          <w:tcPr>
            <w:tcW w:w="4320" w:type="dxa"/>
          </w:tcPr>
          <w:p w14:paraId="0C9574D0"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1) الأصل: «طوّر Teece, Pisano, and Shuen 1997)) مفهوم القدرات الديناميكية…»</w:t>
            </w:r>
            <w:r w:rsidRPr="001A49AF">
              <w:rPr>
                <w:rFonts w:ascii="Simplified Arabic" w:hAnsi="Simplified Arabic" w:cs="Simplified Arabic"/>
              </w:rPr>
              <w:br/>
              <w:t xml:space="preserve">   المقترح: «قدّم تيـس وبيسانو وشوين (1997) مفهوم القدرات الديناميكية لتفسير قدرة المنظمات على إعادة تشكيل مواردها بما يلائم البيئات المتغيرة.»</w:t>
            </w:r>
            <w:r w:rsidRPr="001A49AF">
              <w:rPr>
                <w:rFonts w:ascii="Simplified Arabic" w:hAnsi="Simplified Arabic" w:cs="Simplified Arabic"/>
              </w:rPr>
              <w:br/>
              <w:t>2) الأصل: «من جانب اخر، تدعم نظرية الموارد…»</w:t>
            </w:r>
            <w:r w:rsidRPr="001A49AF">
              <w:rPr>
                <w:rFonts w:ascii="Simplified Arabic" w:hAnsi="Simplified Arabic" w:cs="Simplified Arabic"/>
              </w:rPr>
              <w:br/>
              <w:t xml:space="preserve">   المقترح: «ومن جانبٍ آخر، يدعم منظور الموارد والقدرات هذا الطرح…»</w:t>
            </w:r>
            <w:r w:rsidRPr="001A49AF">
              <w:rPr>
                <w:rFonts w:ascii="Simplified Arabic" w:hAnsi="Simplified Arabic" w:cs="Simplified Arabic"/>
              </w:rPr>
              <w:br/>
              <w:t>3) الأصل: «اما مسار المتابعة والتقييم…»</w:t>
            </w:r>
            <w:r w:rsidRPr="001A49AF">
              <w:rPr>
                <w:rFonts w:ascii="Simplified Arabic" w:hAnsi="Simplified Arabic" w:cs="Simplified Arabic"/>
              </w:rPr>
              <w:br/>
              <w:t xml:space="preserve">   المقترح: «أما مسار المتابعة والتقييم فيمثل الآلية التي تُحوِّل التخطيط من وثائق إلى نتائج قابلة للقياس…»</w:t>
            </w:r>
            <w:r w:rsidRPr="001A49AF">
              <w:rPr>
                <w:rFonts w:ascii="Simplified Arabic" w:hAnsi="Simplified Arabic" w:cs="Simplified Arabic"/>
              </w:rPr>
              <w:br/>
              <w:t xml:space="preserve">4) الأصل: «تقوم العلاقة… على منطق ان بناء </w:t>
            </w:r>
            <w:r w:rsidRPr="001A49AF">
              <w:rPr>
                <w:rFonts w:ascii="Simplified Arabic" w:hAnsi="Simplified Arabic" w:cs="Simplified Arabic"/>
              </w:rPr>
              <w:lastRenderedPageBreak/>
              <w:t>البراعة…»</w:t>
            </w:r>
            <w:r w:rsidRPr="001A49AF">
              <w:rPr>
                <w:rFonts w:ascii="Simplified Arabic" w:hAnsi="Simplified Arabic" w:cs="Simplified Arabic"/>
              </w:rPr>
              <w:br/>
              <w:t xml:space="preserve">   المقترح: «تقوم العلاقة بين التخطيط الاستراتيجي للموارد البشرية و(البراعة/الرشاقة التنظيمية) على افتراض أن بناء القدرات الديناميكية يتطلب تخطيطًا استباقيًا للقوى العاملة…»</w:t>
            </w:r>
            <w:r w:rsidRPr="001A49AF">
              <w:rPr>
                <w:rFonts w:ascii="Simplified Arabic" w:hAnsi="Simplified Arabic" w:cs="Simplified Arabic"/>
              </w:rPr>
              <w:br/>
              <w:t>5) الأصل: «توضح الادبيات ان التخطيط…»</w:t>
            </w:r>
            <w:r w:rsidRPr="001A49AF">
              <w:rPr>
                <w:rFonts w:ascii="Simplified Arabic" w:hAnsi="Simplified Arabic" w:cs="Simplified Arabic"/>
              </w:rPr>
              <w:br/>
              <w:t xml:space="preserve">   المقترح: «تشير الأدبيات إلى أن التخطيط الاستراتيجي للموارد البشرية يعزز (البراعة/الرشاقة) عبر مسارات استشرافية وبنائية وتعليمية-رقابية…»</w:t>
            </w:r>
            <w:r w:rsidRPr="001A49AF">
              <w:rPr>
                <w:rFonts w:ascii="Simplified Arabic" w:hAnsi="Simplified Arabic" w:cs="Simplified Arabic"/>
              </w:rPr>
              <w:br/>
              <w:t>6) الأصل: «كما تعزز المراجعات… الحاجة الى اختبارات…»</w:t>
            </w:r>
            <w:r w:rsidRPr="001A49AF">
              <w:rPr>
                <w:rFonts w:ascii="Simplified Arabic" w:hAnsi="Simplified Arabic" w:cs="Simplified Arabic"/>
              </w:rPr>
              <w:br/>
              <w:t xml:space="preserve">   المقترح: «وتؤكد مراجعات القطاع العام العربي الحاجة إلى اختبارات تطبيقية أكثر تفصيلاً لهذه العلاقة، ولا سيما في الوزارات ذات التحول الرقمي المتسارع.»</w:t>
            </w:r>
            <w:r w:rsidRPr="001A49AF">
              <w:rPr>
                <w:rFonts w:ascii="Simplified Arabic" w:hAnsi="Simplified Arabic" w:cs="Simplified Arabic"/>
              </w:rPr>
              <w:br/>
              <w:t>7) الأصل: «تتبلور العلاقة ايضا عند الانتقال…»</w:t>
            </w:r>
            <w:r w:rsidRPr="001A49AF">
              <w:rPr>
                <w:rFonts w:ascii="Simplified Arabic" w:hAnsi="Simplified Arabic" w:cs="Simplified Arabic"/>
              </w:rPr>
              <w:br/>
              <w:t xml:space="preserve">   المقترح: «وتتبلور العلاقة بصورة أوضح عند تحليلها على مستوى الأبعاد، إذ يمكن تتبع أثر كل ممارسة تخطيطية على بعد محدد من أبعاد (البراعة/الرشاقة)…»</w:t>
            </w:r>
            <w:r w:rsidRPr="001A49AF">
              <w:rPr>
                <w:rFonts w:ascii="Simplified Arabic" w:hAnsi="Simplified Arabic" w:cs="Simplified Arabic"/>
              </w:rPr>
              <w:br/>
              <w:t>8) الأصل: «لذلك، تظهر فجوة بحثية واضحة…»</w:t>
            </w:r>
            <w:r w:rsidRPr="001A49AF">
              <w:rPr>
                <w:rFonts w:ascii="Simplified Arabic" w:hAnsi="Simplified Arabic" w:cs="Simplified Arabic"/>
              </w:rPr>
              <w:br/>
              <w:t xml:space="preserve">   المقترح: «وعليه، تبرز فجوة بحثية تستدعي اختبارًا ميدانيًا في وزارة الإعلام السعودية لقياس أثر ممارسات التخطيط الاستراتيجي للموارد البشرية في تعزيز (البراعة/الرشاقة) ضمن متطلبات رؤية 2030.»</w:t>
            </w:r>
          </w:p>
        </w:tc>
      </w:tr>
      <w:tr w:rsidR="00276D90" w:rsidRPr="001A49AF" w14:paraId="1674662C" w14:textId="77777777" w:rsidTr="00E64621">
        <w:trPr>
          <w:jc w:val="center"/>
        </w:trPr>
        <w:tc>
          <w:tcPr>
            <w:tcW w:w="4320" w:type="dxa"/>
          </w:tcPr>
          <w:p w14:paraId="429876D9"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lastRenderedPageBreak/>
              <w:t xml:space="preserve">قواعد بناء الفقرة: (فكرة/ادعاء </w:t>
            </w:r>
            <w:r w:rsidRPr="001A49AF">
              <w:rPr>
                <w:rFonts w:ascii="Times New Roman" w:hAnsi="Times New Roman" w:cs="Times New Roman"/>
              </w:rPr>
              <w:t>→</w:t>
            </w:r>
            <w:r w:rsidRPr="001A49AF">
              <w:rPr>
                <w:rFonts w:ascii="Simplified Arabic" w:hAnsi="Simplified Arabic" w:cs="Simplified Arabic"/>
              </w:rPr>
              <w:t xml:space="preserve"> دليل </w:t>
            </w:r>
            <w:r w:rsidRPr="001A49AF">
              <w:rPr>
                <w:rFonts w:ascii="Times New Roman" w:hAnsi="Times New Roman" w:cs="Times New Roman"/>
              </w:rPr>
              <w:t>→</w:t>
            </w:r>
            <w:r w:rsidRPr="001A49AF">
              <w:rPr>
                <w:rFonts w:ascii="Simplified Arabic" w:hAnsi="Simplified Arabic" w:cs="Simplified Arabic"/>
              </w:rPr>
              <w:t xml:space="preserve"> توليف/تحليل </w:t>
            </w:r>
            <w:r w:rsidRPr="001A49AF">
              <w:rPr>
                <w:rFonts w:ascii="Times New Roman" w:hAnsi="Times New Roman" w:cs="Times New Roman"/>
              </w:rPr>
              <w:t>→</w:t>
            </w:r>
            <w:r w:rsidRPr="001A49AF">
              <w:rPr>
                <w:rFonts w:ascii="Simplified Arabic" w:hAnsi="Simplified Arabic" w:cs="Simplified Arabic"/>
              </w:rPr>
              <w:t xml:space="preserve"> ربط بسؤال الدراسة)</w:t>
            </w:r>
          </w:p>
        </w:tc>
        <w:tc>
          <w:tcPr>
            <w:tcW w:w="4320" w:type="dxa"/>
          </w:tcPr>
          <w:p w14:paraId="6E1428F6"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 xml:space="preserve">اجعل كل فقرة تسير هكذا: جملة ادعاء واضحة </w:t>
            </w:r>
            <w:r w:rsidRPr="001A49AF">
              <w:rPr>
                <w:rFonts w:ascii="Times New Roman" w:hAnsi="Times New Roman" w:cs="Times New Roman"/>
              </w:rPr>
              <w:t>→</w:t>
            </w:r>
            <w:r w:rsidRPr="001A49AF">
              <w:rPr>
                <w:rFonts w:ascii="Simplified Arabic" w:hAnsi="Simplified Arabic" w:cs="Simplified Arabic"/>
              </w:rPr>
              <w:t xml:space="preserve"> 1–2 دليل/دراسة محكمة </w:t>
            </w:r>
            <w:r w:rsidRPr="001A49AF">
              <w:rPr>
                <w:rFonts w:ascii="Times New Roman" w:hAnsi="Times New Roman" w:cs="Times New Roman"/>
              </w:rPr>
              <w:t>→</w:t>
            </w:r>
            <w:r w:rsidRPr="001A49AF">
              <w:rPr>
                <w:rFonts w:ascii="Simplified Arabic" w:hAnsi="Simplified Arabic" w:cs="Simplified Arabic"/>
              </w:rPr>
              <w:t xml:space="preserve"> تفسير لماذا يدعم/يناقض الادعاء </w:t>
            </w:r>
            <w:r w:rsidRPr="001A49AF">
              <w:rPr>
                <w:rFonts w:ascii="Times New Roman" w:hAnsi="Times New Roman" w:cs="Times New Roman"/>
              </w:rPr>
              <w:t>→</w:t>
            </w:r>
            <w:r w:rsidRPr="001A49AF">
              <w:rPr>
                <w:rFonts w:ascii="Simplified Arabic" w:hAnsi="Simplified Arabic" w:cs="Simplified Arabic"/>
              </w:rPr>
              <w:t xml:space="preserve"> جملة ربط مباشرة بسؤال/هدف الدراسة أو بالفقرة التالية.</w:t>
            </w:r>
          </w:p>
        </w:tc>
      </w:tr>
      <w:tr w:rsidR="00276D90" w:rsidRPr="001A49AF" w14:paraId="4DCC32F7" w14:textId="77777777" w:rsidTr="00E64621">
        <w:trPr>
          <w:jc w:val="center"/>
        </w:trPr>
        <w:tc>
          <w:tcPr>
            <w:tcW w:w="4320" w:type="dxa"/>
          </w:tcPr>
          <w:p w14:paraId="0A8062C1"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ملاحظة تحريرية مهمة</w:t>
            </w:r>
          </w:p>
        </w:tc>
        <w:tc>
          <w:tcPr>
            <w:tcW w:w="4320" w:type="dxa"/>
          </w:tcPr>
          <w:p w14:paraId="7A594580"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بعد حسم المصطلح، وحّد استخدامه في جميع العناوين والمتن وقائمة المراجع، وتأكد من تمييز «البراعة التنظيمية» عن «الرشاقة التنظيمية» في التعريفات العربية.</w:t>
            </w:r>
          </w:p>
        </w:tc>
      </w:tr>
    </w:tbl>
    <w:p w14:paraId="2DCC0420" w14:textId="77777777" w:rsidR="00276D90" w:rsidRPr="001A49AF" w:rsidRDefault="00276D90" w:rsidP="001A49AF">
      <w:pPr>
        <w:bidi/>
        <w:spacing w:after="0" w:line="240" w:lineRule="auto"/>
        <w:rPr>
          <w:rFonts w:ascii="Simplified Arabic" w:hAnsi="Simplified Arabic" w:cs="Simplified Arabic"/>
        </w:rPr>
      </w:pPr>
    </w:p>
    <w:p w14:paraId="06C703AA" w14:textId="77777777" w:rsidR="00276D90" w:rsidRPr="001A49AF" w:rsidRDefault="00655A16" w:rsidP="001A49AF">
      <w:pPr>
        <w:bidi/>
        <w:spacing w:after="0" w:line="240" w:lineRule="auto"/>
        <w:rPr>
          <w:rFonts w:ascii="Simplified Arabic" w:hAnsi="Simplified Arabic" w:cs="Simplified Arabic"/>
        </w:rPr>
      </w:pPr>
      <w:r w:rsidRPr="001A49AF">
        <w:rPr>
          <w:rFonts w:ascii="Simplified Arabic" w:hAnsi="Simplified Arabic" w:cs="Simplified Arabic"/>
          <w:b/>
        </w:rPr>
        <w:t>9) الجسر إلى الفصل الثالث (الجاهزية المنهجية)</w:t>
      </w:r>
    </w:p>
    <w:tbl>
      <w:tblPr>
        <w:tblStyle w:val="TableGrid"/>
        <w:bidiVisual/>
        <w:tblW w:w="0" w:type="auto"/>
        <w:jc w:val="center"/>
        <w:tblLook w:val="04A0" w:firstRow="1" w:lastRow="0" w:firstColumn="1" w:lastColumn="0" w:noHBand="0" w:noVBand="1"/>
      </w:tblPr>
      <w:tblGrid>
        <w:gridCol w:w="4320"/>
        <w:gridCol w:w="4320"/>
      </w:tblGrid>
      <w:tr w:rsidR="00276D90" w:rsidRPr="001A49AF" w14:paraId="554B87EB" w14:textId="77777777" w:rsidTr="00E64621">
        <w:trPr>
          <w:jc w:val="center"/>
        </w:trPr>
        <w:tc>
          <w:tcPr>
            <w:tcW w:w="4320" w:type="dxa"/>
          </w:tcPr>
          <w:p w14:paraId="1BE4418A"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b/>
              </w:rPr>
              <w:t>السؤال</w:t>
            </w:r>
          </w:p>
        </w:tc>
        <w:tc>
          <w:tcPr>
            <w:tcW w:w="4320" w:type="dxa"/>
          </w:tcPr>
          <w:p w14:paraId="1EB30820"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b/>
              </w:rPr>
              <w:t>ما يلزم إضافته/تعديله في الفصل الثاني</w:t>
            </w:r>
          </w:p>
        </w:tc>
      </w:tr>
      <w:tr w:rsidR="00276D90" w:rsidRPr="001A49AF" w14:paraId="4031C7EC" w14:textId="77777777" w:rsidTr="00E64621">
        <w:trPr>
          <w:jc w:val="center"/>
        </w:trPr>
        <w:tc>
          <w:tcPr>
            <w:tcW w:w="4320" w:type="dxa"/>
          </w:tcPr>
          <w:p w14:paraId="4DAA2979"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ما الأدبيات المطلوبة لتبرير المنهج (كمي/نوعي/</w:t>
            </w:r>
            <w:proofErr w:type="gramStart"/>
            <w:r w:rsidRPr="001A49AF">
              <w:rPr>
                <w:rFonts w:ascii="Simplified Arabic" w:hAnsi="Simplified Arabic" w:cs="Simplified Arabic"/>
              </w:rPr>
              <w:t>مختلط)؟</w:t>
            </w:r>
            <w:proofErr w:type="gramEnd"/>
          </w:p>
        </w:tc>
        <w:tc>
          <w:tcPr>
            <w:tcW w:w="4320" w:type="dxa"/>
          </w:tcPr>
          <w:p w14:paraId="1405DE67"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إذا كان التوجه كميًا (استبانة/</w:t>
            </w:r>
            <w:proofErr w:type="gramStart"/>
            <w:r w:rsidRPr="001A49AF">
              <w:rPr>
                <w:rFonts w:ascii="Simplified Arabic" w:hAnsi="Simplified Arabic" w:cs="Simplified Arabic"/>
              </w:rPr>
              <w:t>SEM)،</w:t>
            </w:r>
            <w:proofErr w:type="gramEnd"/>
            <w:r w:rsidRPr="001A49AF">
              <w:rPr>
                <w:rFonts w:ascii="Simplified Arabic" w:hAnsi="Simplified Arabic" w:cs="Simplified Arabic"/>
              </w:rPr>
              <w:t xml:space="preserve"> يلزم إضافة فقرة تُظهر أن الأدبيات اعتمدت مقاييس معيارية للأبعاد، وأن العلاقة قابلة للاختبار الكمي. وإذا كان مختلطًا، يلزم تبرير إضافة مقابلات لفهم آليات التأثير وشروط السياق في الوزارة.</w:t>
            </w:r>
          </w:p>
        </w:tc>
      </w:tr>
      <w:tr w:rsidR="00276D90" w:rsidRPr="001A49AF" w14:paraId="21F7FD70" w14:textId="77777777" w:rsidTr="00E64621">
        <w:trPr>
          <w:jc w:val="center"/>
        </w:trPr>
        <w:tc>
          <w:tcPr>
            <w:tcW w:w="4320" w:type="dxa"/>
          </w:tcPr>
          <w:p w14:paraId="50CF6C8B"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ما الذي يلزم لتعريف المتغيرات تشغيلياً وأدوات القياس؟</w:t>
            </w:r>
          </w:p>
        </w:tc>
        <w:tc>
          <w:tcPr>
            <w:tcW w:w="4320" w:type="dxa"/>
          </w:tcPr>
          <w:p w14:paraId="4083F919"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إضافة جدول «تعريفات تشغيلية» لكل متغير/بعد: (تعريف + مؤشرات/عبارات قياس محتملة + مصدر المقياس/الدراسة الأصلية + كيفية التكييف للسياق الحكومي). إن لم تتوفر مصادر مناسبة في قائمتك الحالية، ضع: «يلزم إضافة استشهاد هنا» ثم ابحث عن مقاييس محكّمة.</w:t>
            </w:r>
          </w:p>
        </w:tc>
      </w:tr>
      <w:tr w:rsidR="00276D90" w:rsidRPr="001A49AF" w14:paraId="7ED4F499" w14:textId="77777777" w:rsidTr="00E64621">
        <w:trPr>
          <w:jc w:val="center"/>
        </w:trPr>
        <w:tc>
          <w:tcPr>
            <w:tcW w:w="4320" w:type="dxa"/>
          </w:tcPr>
          <w:p w14:paraId="41C284DC"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ماذا يجب إضافته في الفصل الثاني ليُمهد منطقياً للفصل الثالث؟</w:t>
            </w:r>
          </w:p>
        </w:tc>
        <w:tc>
          <w:tcPr>
            <w:tcW w:w="4320" w:type="dxa"/>
          </w:tcPr>
          <w:p w14:paraId="5E6FB739"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 توحيد المصطلح (Ambidexterity أو Agility) ثم توضيح الأبعاد التي ستقاس فعلاً.</w:t>
            </w:r>
            <w:r w:rsidRPr="001A49AF">
              <w:rPr>
                <w:rFonts w:ascii="Simplified Arabic" w:hAnsi="Simplified Arabic" w:cs="Simplified Arabic"/>
              </w:rPr>
              <w:br/>
              <w:t xml:space="preserve">• عرض موجز لأساليب القياس الشائعة في الدراسات </w:t>
            </w:r>
            <w:r w:rsidRPr="001A49AF">
              <w:rPr>
                <w:rFonts w:ascii="Simplified Arabic" w:hAnsi="Simplified Arabic" w:cs="Simplified Arabic"/>
              </w:rPr>
              <w:lastRenderedPageBreak/>
              <w:t>السابقة (بدون تفصيل منهجي كامل).</w:t>
            </w:r>
            <w:r w:rsidRPr="001A49AF">
              <w:rPr>
                <w:rFonts w:ascii="Simplified Arabic" w:hAnsi="Simplified Arabic" w:cs="Simplified Arabic"/>
              </w:rPr>
              <w:br/>
              <w:t>• توضيح منطق اختيار وزارة الإعلام كوحدة تحليل، وما الذي يجعل النتائج قابلة للتعميم/النقل.</w:t>
            </w:r>
          </w:p>
        </w:tc>
      </w:tr>
    </w:tbl>
    <w:p w14:paraId="4AB88B31" w14:textId="77777777" w:rsidR="00276D90" w:rsidRPr="001A49AF" w:rsidRDefault="00276D90" w:rsidP="001A49AF">
      <w:pPr>
        <w:bidi/>
        <w:spacing w:after="0" w:line="240" w:lineRule="auto"/>
        <w:rPr>
          <w:rFonts w:ascii="Simplified Arabic" w:hAnsi="Simplified Arabic" w:cs="Simplified Arabic"/>
        </w:rPr>
      </w:pPr>
    </w:p>
    <w:p w14:paraId="457DE8B3" w14:textId="57A09939" w:rsidR="00276D90" w:rsidRPr="001A49AF" w:rsidRDefault="00655A16" w:rsidP="001A49AF">
      <w:pPr>
        <w:bidi/>
        <w:spacing w:after="0" w:line="240" w:lineRule="auto"/>
        <w:rPr>
          <w:rFonts w:ascii="Simplified Arabic" w:hAnsi="Simplified Arabic" w:cs="Simplified Arabic"/>
        </w:rPr>
      </w:pPr>
      <w:r w:rsidRPr="001A49AF">
        <w:rPr>
          <w:rFonts w:ascii="Simplified Arabic" w:hAnsi="Simplified Arabic" w:cs="Simplified Arabic"/>
          <w:b/>
        </w:rPr>
        <w:t xml:space="preserve">10)  </w:t>
      </w:r>
      <w:proofErr w:type="spellStart"/>
      <w:r w:rsidRPr="001A49AF">
        <w:rPr>
          <w:rFonts w:ascii="Simplified Arabic" w:hAnsi="Simplified Arabic" w:cs="Simplified Arabic"/>
          <w:b/>
        </w:rPr>
        <w:t>خطة</w:t>
      </w:r>
      <w:proofErr w:type="spellEnd"/>
      <w:r w:rsidRPr="001A49AF">
        <w:rPr>
          <w:rFonts w:ascii="Simplified Arabic" w:hAnsi="Simplified Arabic" w:cs="Simplified Arabic"/>
          <w:b/>
        </w:rPr>
        <w:t xml:space="preserve"> </w:t>
      </w:r>
      <w:proofErr w:type="spellStart"/>
      <w:r w:rsidRPr="001A49AF">
        <w:rPr>
          <w:rFonts w:ascii="Simplified Arabic" w:hAnsi="Simplified Arabic" w:cs="Simplified Arabic"/>
          <w:b/>
        </w:rPr>
        <w:t>تحسين</w:t>
      </w:r>
      <w:proofErr w:type="spellEnd"/>
      <w:r w:rsidRPr="001A49AF">
        <w:rPr>
          <w:rFonts w:ascii="Simplified Arabic" w:hAnsi="Simplified Arabic" w:cs="Simplified Arabic"/>
          <w:b/>
        </w:rPr>
        <w:t xml:space="preserve"> (Revision Plan)</w:t>
      </w:r>
    </w:p>
    <w:tbl>
      <w:tblPr>
        <w:tblStyle w:val="TableGrid"/>
        <w:bidiVisual/>
        <w:tblW w:w="0" w:type="auto"/>
        <w:jc w:val="center"/>
        <w:tblLook w:val="04A0" w:firstRow="1" w:lastRow="0" w:firstColumn="1" w:lastColumn="0" w:noHBand="0" w:noVBand="1"/>
      </w:tblPr>
      <w:tblGrid>
        <w:gridCol w:w="4320"/>
        <w:gridCol w:w="4320"/>
      </w:tblGrid>
      <w:tr w:rsidR="00276D90" w:rsidRPr="001A49AF" w14:paraId="588AFFAC" w14:textId="77777777" w:rsidTr="00E64621">
        <w:trPr>
          <w:jc w:val="center"/>
        </w:trPr>
        <w:tc>
          <w:tcPr>
            <w:tcW w:w="4320" w:type="dxa"/>
          </w:tcPr>
          <w:p w14:paraId="0A54EDAD"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b/>
              </w:rPr>
              <w:t>الخطوة</w:t>
            </w:r>
          </w:p>
        </w:tc>
        <w:tc>
          <w:tcPr>
            <w:tcW w:w="4320" w:type="dxa"/>
          </w:tcPr>
          <w:p w14:paraId="772EC6BC"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b/>
              </w:rPr>
              <w:t>مخرجات مطلوبة من الطالب في النسخة القادمة</w:t>
            </w:r>
          </w:p>
        </w:tc>
      </w:tr>
      <w:tr w:rsidR="00276D90" w:rsidRPr="001A49AF" w14:paraId="66A70166" w14:textId="77777777" w:rsidTr="00E64621">
        <w:trPr>
          <w:jc w:val="center"/>
        </w:trPr>
        <w:tc>
          <w:tcPr>
            <w:tcW w:w="4320" w:type="dxa"/>
          </w:tcPr>
          <w:p w14:paraId="677F608B"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1</w:t>
            </w:r>
          </w:p>
        </w:tc>
        <w:tc>
          <w:tcPr>
            <w:tcW w:w="4320" w:type="dxa"/>
          </w:tcPr>
          <w:p w14:paraId="1CA7A664"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حسم المفهوم للمتغير التابع (Ambidexterity أم Agility) وتحديث العناوين/التعريفات/الأبعاد والمراجع وفق القرار.</w:t>
            </w:r>
          </w:p>
        </w:tc>
      </w:tr>
      <w:tr w:rsidR="00276D90" w:rsidRPr="001A49AF" w14:paraId="44D22A5B" w14:textId="77777777" w:rsidTr="00E64621">
        <w:trPr>
          <w:jc w:val="center"/>
        </w:trPr>
        <w:tc>
          <w:tcPr>
            <w:tcW w:w="4320" w:type="dxa"/>
          </w:tcPr>
          <w:p w14:paraId="2FED934D"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2</w:t>
            </w:r>
          </w:p>
        </w:tc>
        <w:tc>
          <w:tcPr>
            <w:tcW w:w="4320" w:type="dxa"/>
          </w:tcPr>
          <w:p w14:paraId="4838C45E"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إعادة كتابة مقدمة الفصل وخريطة الحجة وربطها بعنوان الدراسة ومشكلتها وأسئلتها.</w:t>
            </w:r>
          </w:p>
        </w:tc>
      </w:tr>
      <w:tr w:rsidR="00276D90" w:rsidRPr="001A49AF" w14:paraId="784338C6" w14:textId="77777777" w:rsidTr="00E64621">
        <w:trPr>
          <w:jc w:val="center"/>
        </w:trPr>
        <w:tc>
          <w:tcPr>
            <w:tcW w:w="4320" w:type="dxa"/>
          </w:tcPr>
          <w:p w14:paraId="4DAFC797"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3</w:t>
            </w:r>
          </w:p>
        </w:tc>
        <w:tc>
          <w:tcPr>
            <w:tcW w:w="4320" w:type="dxa"/>
          </w:tcPr>
          <w:p w14:paraId="6B88C039"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بناء مصفوفة توليف للدراسات (20–30 دراسة محكمة على الأقل) ثم إعادة كتابة محور الدراسات السابقة وفق محاور موضوعية.</w:t>
            </w:r>
          </w:p>
        </w:tc>
      </w:tr>
      <w:tr w:rsidR="00276D90" w:rsidRPr="001A49AF" w14:paraId="3C3432D8" w14:textId="77777777" w:rsidTr="00E64621">
        <w:trPr>
          <w:jc w:val="center"/>
        </w:trPr>
        <w:tc>
          <w:tcPr>
            <w:tcW w:w="4320" w:type="dxa"/>
          </w:tcPr>
          <w:p w14:paraId="45E5FDB0"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4</w:t>
            </w:r>
          </w:p>
        </w:tc>
        <w:tc>
          <w:tcPr>
            <w:tcW w:w="4320" w:type="dxa"/>
          </w:tcPr>
          <w:p w14:paraId="23422939"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تطوير قسم الأساس النظري: ربط كل نظرية ببُعد محدد وتقليل التكرار وإضافة شروط السياق في القطاع العام.</w:t>
            </w:r>
          </w:p>
        </w:tc>
      </w:tr>
      <w:tr w:rsidR="00276D90" w:rsidRPr="001A49AF" w14:paraId="23B91DE6" w14:textId="77777777" w:rsidTr="00E64621">
        <w:trPr>
          <w:jc w:val="center"/>
        </w:trPr>
        <w:tc>
          <w:tcPr>
            <w:tcW w:w="4320" w:type="dxa"/>
          </w:tcPr>
          <w:p w14:paraId="398F58B8"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5</w:t>
            </w:r>
          </w:p>
        </w:tc>
        <w:tc>
          <w:tcPr>
            <w:tcW w:w="4320" w:type="dxa"/>
          </w:tcPr>
          <w:p w14:paraId="4B4B52ED"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إدراج جدول تعريفات تشغيلية أولية للأبعاد ومؤشرات قياسها + توضيح مصادر المقاييس (أو وضع «يلزم إضافة استشهاد هنا»).</w:t>
            </w:r>
          </w:p>
        </w:tc>
      </w:tr>
      <w:tr w:rsidR="00276D90" w:rsidRPr="001A49AF" w14:paraId="20DC881F" w14:textId="77777777" w:rsidTr="00E64621">
        <w:trPr>
          <w:jc w:val="center"/>
        </w:trPr>
        <w:tc>
          <w:tcPr>
            <w:tcW w:w="4320" w:type="dxa"/>
          </w:tcPr>
          <w:p w14:paraId="0FBCC531"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6</w:t>
            </w:r>
          </w:p>
        </w:tc>
        <w:tc>
          <w:tcPr>
            <w:tcW w:w="4320" w:type="dxa"/>
          </w:tcPr>
          <w:p w14:paraId="57E5AAF6"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إعادة صياغة قسم العلاقة النظرية إلى مسارات سببية واضحة، تمهيدًا للنموذج/الفرضيات.</w:t>
            </w:r>
          </w:p>
        </w:tc>
      </w:tr>
      <w:tr w:rsidR="00276D90" w:rsidRPr="001A49AF" w14:paraId="2C2E59FD" w14:textId="77777777" w:rsidTr="00E64621">
        <w:trPr>
          <w:jc w:val="center"/>
        </w:trPr>
        <w:tc>
          <w:tcPr>
            <w:tcW w:w="4320" w:type="dxa"/>
          </w:tcPr>
          <w:p w14:paraId="475EBE31"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7</w:t>
            </w:r>
          </w:p>
        </w:tc>
        <w:tc>
          <w:tcPr>
            <w:tcW w:w="4320" w:type="dxa"/>
          </w:tcPr>
          <w:p w14:paraId="18B328BB"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صياغة فجوة بحث مُحكمة بثلاث طبقات (تجريبية/نظرية/سياقية) وتحويلها إلى ادعاءات مساهمة قابلة للدفاع.</w:t>
            </w:r>
          </w:p>
        </w:tc>
      </w:tr>
      <w:tr w:rsidR="00276D90" w:rsidRPr="001A49AF" w14:paraId="65804D28" w14:textId="77777777" w:rsidTr="00E64621">
        <w:trPr>
          <w:jc w:val="center"/>
        </w:trPr>
        <w:tc>
          <w:tcPr>
            <w:tcW w:w="4320" w:type="dxa"/>
          </w:tcPr>
          <w:p w14:paraId="093F0067"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lastRenderedPageBreak/>
              <w:t>8</w:t>
            </w:r>
          </w:p>
        </w:tc>
        <w:tc>
          <w:tcPr>
            <w:tcW w:w="4320" w:type="dxa"/>
          </w:tcPr>
          <w:p w14:paraId="50FF1974"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تحسين الانتقالات وخواتيم الأقسام بصيغة «ماذا يعني ذلك لدراستي؟» وربطها بالسياق (وزارة الإعلام/رؤية 2030).</w:t>
            </w:r>
          </w:p>
        </w:tc>
      </w:tr>
      <w:tr w:rsidR="00276D90" w:rsidRPr="001A49AF" w14:paraId="6B9FEE29" w14:textId="77777777" w:rsidTr="00E64621">
        <w:trPr>
          <w:jc w:val="center"/>
        </w:trPr>
        <w:tc>
          <w:tcPr>
            <w:tcW w:w="4320" w:type="dxa"/>
          </w:tcPr>
          <w:p w14:paraId="061CE574"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9</w:t>
            </w:r>
          </w:p>
        </w:tc>
        <w:tc>
          <w:tcPr>
            <w:tcW w:w="4320" w:type="dxa"/>
          </w:tcPr>
          <w:p w14:paraId="1D9B5887" w14:textId="77777777" w:rsidR="00276D90" w:rsidRPr="001A49AF" w:rsidRDefault="00655A16" w:rsidP="001A49AF">
            <w:pPr>
              <w:bidi/>
              <w:rPr>
                <w:rFonts w:ascii="Simplified Arabic" w:hAnsi="Simplified Arabic" w:cs="Simplified Arabic"/>
              </w:rPr>
            </w:pPr>
            <w:r w:rsidRPr="001A49AF">
              <w:rPr>
                <w:rFonts w:ascii="Simplified Arabic" w:hAnsi="Simplified Arabic" w:cs="Simplified Arabic"/>
              </w:rPr>
              <w:t>تدقيق لغوي وتوثيقي شامل: أقواس، همزات، اتساق المصطلحات، ومطابقة المتن مع قائمة المراجع (APA).</w:t>
            </w:r>
          </w:p>
        </w:tc>
      </w:tr>
    </w:tbl>
    <w:p w14:paraId="718080CB" w14:textId="77777777" w:rsidR="00655A16" w:rsidRPr="001A49AF" w:rsidRDefault="00655A16" w:rsidP="001A49AF">
      <w:pPr>
        <w:bidi/>
        <w:spacing w:after="0" w:line="240" w:lineRule="auto"/>
        <w:rPr>
          <w:rFonts w:ascii="Simplified Arabic" w:hAnsi="Simplified Arabic" w:cs="Simplified Arabic"/>
        </w:rPr>
      </w:pPr>
    </w:p>
    <w:sectPr w:rsidR="00655A16" w:rsidRPr="001A49AF" w:rsidSect="001A49AF">
      <w:pgSz w:w="15840" w:h="12240" w:orient="landscape"/>
      <w:pgMar w:top="1800" w:right="1440" w:bottom="18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Dc1MjYytzQzNzIwMzBV0lEKTi0uzszPAykwrAUAIkfIMCwAAAA="/>
  </w:docVars>
  <w:rsids>
    <w:rsidRoot w:val="00B47730"/>
    <w:rsid w:val="00034616"/>
    <w:rsid w:val="0006063C"/>
    <w:rsid w:val="0015074B"/>
    <w:rsid w:val="001A49AF"/>
    <w:rsid w:val="00276D90"/>
    <w:rsid w:val="0029639D"/>
    <w:rsid w:val="00326F90"/>
    <w:rsid w:val="00655A16"/>
    <w:rsid w:val="00AA1D8D"/>
    <w:rsid w:val="00AC2C91"/>
    <w:rsid w:val="00B47730"/>
    <w:rsid w:val="00C0116B"/>
    <w:rsid w:val="00CB0664"/>
    <w:rsid w:val="00CF1960"/>
    <w:rsid w:val="00E6462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191C7C"/>
  <w14:defaultImageDpi w14:val="300"/>
  <w15:docId w15:val="{CCB5BBDE-17E4-4B90-94C7-BC8525382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2783</Words>
  <Characters>15869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18615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dc:description>generated by python-docx</dc:description>
  <cp:lastModifiedBy>Reem Ward</cp:lastModifiedBy>
  <cp:revision>2</cp:revision>
  <dcterms:created xsi:type="dcterms:W3CDTF">2026-03-09T09:57:00Z</dcterms:created>
  <dcterms:modified xsi:type="dcterms:W3CDTF">2026-03-09T09:57:00Z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1ff0925b-87b3-46b2-85db-253c52b0b26b</vt:lpwstr>
  </property>
</Properties>
</file>