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5E2A0A9" w:rsidR="009125CE" w:rsidRPr="00026EEC" w:rsidRDefault="00327C81" w:rsidP="00026EEC">
      <w:pPr>
        <w:spacing w:after="0" w:line="240" w:lineRule="auto"/>
        <w:jc w:val="both"/>
        <w:rPr>
          <w:rFonts w:ascii="Simplified Arabic" w:hAnsi="Simplified Arabic" w:cs="Simplified Arabic"/>
          <w:b/>
          <w:bCs/>
          <w:sz w:val="24"/>
          <w:szCs w:val="24"/>
          <w:lang w:bidi="ar-EG"/>
        </w:rPr>
      </w:pPr>
      <w:r w:rsidRPr="00026EEC">
        <w:rPr>
          <w:rFonts w:ascii="Simplified Arabic" w:hAnsi="Simplified Arabic" w:cs="Simplified Arabic"/>
          <w:b/>
          <w:bCs/>
          <w:noProof/>
          <w:sz w:val="24"/>
          <w:szCs w:val="24"/>
        </w:rPr>
        <w:drawing>
          <wp:anchor distT="0" distB="0" distL="114300" distR="114300" simplePos="0" relativeHeight="251656192" behindDoc="0" locked="0" layoutInCell="1" allowOverlap="1" wp14:anchorId="4117FFF0" wp14:editId="670FA5E6">
            <wp:simplePos x="0" y="0"/>
            <wp:positionH relativeFrom="margin">
              <wp:posOffset>250190</wp:posOffset>
            </wp:positionH>
            <wp:positionV relativeFrom="margin">
              <wp:posOffset>-53340</wp:posOffset>
            </wp:positionV>
            <wp:extent cx="1783080" cy="1654175"/>
            <wp:effectExtent l="0" t="0" r="762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080" cy="1654175"/>
                    </a:xfrm>
                    <a:prstGeom prst="rect">
                      <a:avLst/>
                    </a:prstGeom>
                  </pic:spPr>
                </pic:pic>
              </a:graphicData>
            </a:graphic>
            <wp14:sizeRelH relativeFrom="margin">
              <wp14:pctWidth>0</wp14:pctWidth>
            </wp14:sizeRelH>
            <wp14:sizeRelV relativeFrom="margin">
              <wp14:pctHeight>0</wp14:pctHeight>
            </wp14:sizeRelV>
          </wp:anchor>
        </w:drawing>
      </w:r>
      <w:r w:rsidR="009125CE" w:rsidRPr="00026EEC">
        <w:rPr>
          <w:rFonts w:ascii="Simplified Arabic" w:hAnsi="Simplified Arabic" w:cs="Simplified Arabic"/>
          <w:b/>
          <w:bCs/>
          <w:sz w:val="24"/>
          <w:szCs w:val="24"/>
          <w:rtl/>
          <w:lang w:bidi="ar-EG"/>
        </w:rPr>
        <w:t xml:space="preserve">جامعة ميدأوشن </w:t>
      </w:r>
    </w:p>
    <w:p w14:paraId="1E957002" w14:textId="097984A7" w:rsidR="00F546CE" w:rsidRPr="00026EEC" w:rsidRDefault="009125CE" w:rsidP="00026EEC">
      <w:pPr>
        <w:spacing w:after="0" w:line="240" w:lineRule="auto"/>
        <w:jc w:val="both"/>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lang w:bidi="ar-EG"/>
        </w:rPr>
        <w:t xml:space="preserve">كلية </w:t>
      </w:r>
      <w:r w:rsidR="008C42C1" w:rsidRPr="00026EEC">
        <w:rPr>
          <w:rFonts w:ascii="Simplified Arabic" w:hAnsi="Simplified Arabic" w:cs="Simplified Arabic"/>
          <w:b/>
          <w:bCs/>
          <w:sz w:val="24"/>
          <w:szCs w:val="24"/>
          <w:rtl/>
          <w:lang w:bidi="ar-EG"/>
        </w:rPr>
        <w:t>الإدارة</w:t>
      </w:r>
      <w:r w:rsidRPr="00026EEC">
        <w:rPr>
          <w:rFonts w:ascii="Simplified Arabic" w:hAnsi="Simplified Arabic" w:cs="Simplified Arabic"/>
          <w:b/>
          <w:bCs/>
          <w:sz w:val="24"/>
          <w:szCs w:val="24"/>
          <w:rtl/>
          <w:lang w:bidi="ar-EG"/>
        </w:rPr>
        <w:t xml:space="preserve"> </w:t>
      </w:r>
    </w:p>
    <w:p w14:paraId="0A25F43C" w14:textId="7584B525" w:rsidR="008C7BB4" w:rsidRPr="00026EEC" w:rsidRDefault="00A23F0B" w:rsidP="00026EEC">
      <w:pPr>
        <w:spacing w:after="0" w:line="240" w:lineRule="auto"/>
        <w:jc w:val="both"/>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lang w:bidi="ar-EG"/>
        </w:rPr>
        <w:t xml:space="preserve">ماجستير </w:t>
      </w:r>
      <w:r w:rsidR="00295BBE" w:rsidRPr="00026EEC">
        <w:rPr>
          <w:rFonts w:ascii="Simplified Arabic" w:hAnsi="Simplified Arabic" w:cs="Simplified Arabic"/>
          <w:b/>
          <w:bCs/>
          <w:sz w:val="24"/>
          <w:szCs w:val="24"/>
          <w:rtl/>
          <w:lang w:bidi="ar-EG"/>
        </w:rPr>
        <w:t>إدارة</w:t>
      </w:r>
      <w:r w:rsidR="003A5136" w:rsidRPr="00026EEC">
        <w:rPr>
          <w:rFonts w:ascii="Simplified Arabic" w:hAnsi="Simplified Arabic" w:cs="Simplified Arabic"/>
          <w:b/>
          <w:bCs/>
          <w:sz w:val="24"/>
          <w:szCs w:val="24"/>
          <w:rtl/>
          <w:lang w:bidi="ar-EG"/>
        </w:rPr>
        <w:t xml:space="preserve"> </w:t>
      </w:r>
      <w:r w:rsidR="005374F3" w:rsidRPr="00026EEC">
        <w:rPr>
          <w:rFonts w:ascii="Simplified Arabic" w:hAnsi="Simplified Arabic" w:cs="Simplified Arabic"/>
          <w:b/>
          <w:bCs/>
          <w:sz w:val="24"/>
          <w:szCs w:val="24"/>
          <w:rtl/>
          <w:lang w:bidi="ar-EG"/>
        </w:rPr>
        <w:t>مخاطر</w:t>
      </w:r>
      <w:r w:rsidR="003A5136" w:rsidRPr="00026EEC">
        <w:rPr>
          <w:rFonts w:ascii="Simplified Arabic" w:hAnsi="Simplified Arabic" w:cs="Simplified Arabic"/>
          <w:b/>
          <w:bCs/>
          <w:sz w:val="24"/>
          <w:szCs w:val="24"/>
          <w:rtl/>
          <w:lang w:bidi="ar-EG"/>
        </w:rPr>
        <w:t xml:space="preserve"> </w:t>
      </w:r>
      <w:r w:rsidR="00566BCE" w:rsidRPr="00026EEC">
        <w:rPr>
          <w:rFonts w:ascii="Simplified Arabic" w:hAnsi="Simplified Arabic" w:cs="Simplified Arabic"/>
          <w:b/>
          <w:bCs/>
          <w:sz w:val="24"/>
          <w:szCs w:val="24"/>
          <w:rtl/>
          <w:lang w:bidi="ar-EG"/>
        </w:rPr>
        <w:t xml:space="preserve"> </w:t>
      </w:r>
    </w:p>
    <w:p w14:paraId="2E3A764F"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13D97571"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187B2122"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46B2C7DA"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76EFD980" w14:textId="017338AE" w:rsidR="00F2169F" w:rsidRPr="00026EEC" w:rsidRDefault="00F2169F" w:rsidP="00026EEC">
      <w:pPr>
        <w:spacing w:after="0" w:line="240" w:lineRule="auto"/>
        <w:jc w:val="center"/>
        <w:rPr>
          <w:rFonts w:ascii="Simplified Arabic" w:hAnsi="Simplified Arabic" w:cs="Simplified Arabic"/>
          <w:b/>
          <w:bCs/>
          <w:sz w:val="28"/>
          <w:szCs w:val="28"/>
          <w:rtl/>
          <w:lang w:bidi="ar-EG"/>
        </w:rPr>
      </w:pPr>
      <w:r w:rsidRPr="00026EEC">
        <w:rPr>
          <w:rFonts w:ascii="Simplified Arabic" w:hAnsi="Simplified Arabic" w:cs="Simplified Arabic"/>
          <w:b/>
          <w:bCs/>
          <w:sz w:val="28"/>
          <w:szCs w:val="28"/>
          <w:rtl/>
          <w:lang w:bidi="ar-EG"/>
        </w:rPr>
        <w:t>أثر إدارة المخاطر التشغيلية المتقدمة في شبكات الكهرباء الذكية على الحد من الخسائر الفنية وتحسين الكفاءة دراسة ميدانية على الشركة السعودية للكهرباء.</w:t>
      </w:r>
    </w:p>
    <w:p w14:paraId="53A9E05E"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751A7E65" w14:textId="69AD6E40" w:rsidR="009125CE" w:rsidRPr="00026EEC" w:rsidRDefault="009125CE" w:rsidP="00026EEC">
      <w:pPr>
        <w:spacing w:after="0" w:line="240" w:lineRule="auto"/>
        <w:jc w:val="center"/>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lang w:bidi="ar-EG"/>
        </w:rPr>
        <w:t>إعداد الطالب/</w:t>
      </w:r>
    </w:p>
    <w:p w14:paraId="3D6B794C" w14:textId="5CF0FBC4" w:rsidR="00CC34C0" w:rsidRPr="00026EEC" w:rsidRDefault="00CC34C0" w:rsidP="00026EEC">
      <w:pPr>
        <w:spacing w:after="0" w:line="240" w:lineRule="auto"/>
        <w:jc w:val="center"/>
        <w:rPr>
          <w:rFonts w:ascii="Simplified Arabic" w:hAnsi="Simplified Arabic" w:cs="Simplified Arabic"/>
          <w:sz w:val="24"/>
          <w:szCs w:val="24"/>
          <w:rtl/>
          <w:lang w:bidi="ar-EG"/>
        </w:rPr>
      </w:pPr>
      <w:r w:rsidRPr="00026EEC">
        <w:rPr>
          <w:rFonts w:ascii="Simplified Arabic" w:hAnsi="Simplified Arabic" w:cs="Simplified Arabic"/>
          <w:sz w:val="24"/>
          <w:szCs w:val="24"/>
          <w:rtl/>
          <w:lang w:bidi="ar-EG"/>
        </w:rPr>
        <w:t>محمد محيميد العتيبي</w:t>
      </w:r>
    </w:p>
    <w:p w14:paraId="63FD577A" w14:textId="1A74F78B" w:rsidR="003A5136" w:rsidRPr="00026EEC" w:rsidRDefault="00CC34C0" w:rsidP="00026EEC">
      <w:pPr>
        <w:spacing w:after="0" w:line="240" w:lineRule="auto"/>
        <w:jc w:val="center"/>
        <w:rPr>
          <w:rFonts w:ascii="Simplified Arabic" w:hAnsi="Simplified Arabic" w:cs="Simplified Arabic"/>
          <w:sz w:val="24"/>
          <w:szCs w:val="24"/>
          <w:rtl/>
        </w:rPr>
      </w:pPr>
      <w:r w:rsidRPr="00026EEC">
        <w:rPr>
          <w:rFonts w:ascii="Simplified Arabic" w:hAnsi="Simplified Arabic" w:cs="Simplified Arabic"/>
          <w:sz w:val="24"/>
          <w:szCs w:val="24"/>
          <w:rtl/>
        </w:rPr>
        <w:t>252000749</w:t>
      </w:r>
    </w:p>
    <w:p w14:paraId="37115EC0"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5F4EE2DE" w14:textId="59D1E2F9" w:rsidR="009125CE" w:rsidRPr="00026EEC" w:rsidRDefault="009125CE" w:rsidP="00026EEC">
      <w:pPr>
        <w:spacing w:after="0" w:line="240" w:lineRule="auto"/>
        <w:jc w:val="center"/>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lang w:bidi="ar-EG"/>
        </w:rPr>
        <w:t>إشراف/</w:t>
      </w:r>
    </w:p>
    <w:p w14:paraId="39900BA8" w14:textId="7395847A" w:rsidR="00D32470" w:rsidRPr="00026EEC" w:rsidRDefault="00BA5817" w:rsidP="00026EEC">
      <w:pPr>
        <w:spacing w:after="0" w:line="240" w:lineRule="auto"/>
        <w:jc w:val="center"/>
        <w:rPr>
          <w:rFonts w:ascii="Simplified Arabic" w:eastAsia="Calibri" w:hAnsi="Simplified Arabic" w:cs="Simplified Arabic"/>
          <w:kern w:val="0"/>
          <w:sz w:val="24"/>
          <w:szCs w:val="24"/>
          <w:rtl/>
          <w:lang w:bidi="ar-EG"/>
          <w14:ligatures w14:val="none"/>
        </w:rPr>
      </w:pPr>
      <w:r w:rsidRPr="00026EEC">
        <w:rPr>
          <w:rFonts w:ascii="Simplified Arabic" w:eastAsia="Calibri" w:hAnsi="Simplified Arabic" w:cs="Simplified Arabic"/>
          <w:kern w:val="0"/>
          <w:sz w:val="24"/>
          <w:szCs w:val="24"/>
          <w:rtl/>
          <w:lang w:bidi="ar-EG"/>
          <w14:ligatures w14:val="none"/>
        </w:rPr>
        <w:t>د. الفيصل عبد الحميد محمد حسن</w:t>
      </w:r>
    </w:p>
    <w:p w14:paraId="425D9CC5" w14:textId="4A0842BE" w:rsidR="000A06E6" w:rsidRPr="00026EEC" w:rsidRDefault="000A06E6" w:rsidP="00026EEC">
      <w:pPr>
        <w:spacing w:after="0" w:line="240" w:lineRule="auto"/>
        <w:jc w:val="center"/>
        <w:rPr>
          <w:rFonts w:ascii="Simplified Arabic" w:eastAsia="Calibri" w:hAnsi="Simplified Arabic" w:cs="Simplified Arabic"/>
          <w:kern w:val="0"/>
          <w:sz w:val="24"/>
          <w:szCs w:val="24"/>
          <w:rtl/>
          <w:lang w:bidi="ar-EG"/>
          <w14:ligatures w14:val="none"/>
        </w:rPr>
      </w:pPr>
      <w:r w:rsidRPr="00026EEC">
        <w:rPr>
          <w:rFonts w:ascii="Simplified Arabic" w:eastAsia="Calibri" w:hAnsi="Simplified Arabic" w:cs="Simplified Arabic"/>
          <w:kern w:val="0"/>
          <w:sz w:val="24"/>
          <w:szCs w:val="24"/>
          <w:rtl/>
          <w:lang w:bidi="ar-EG"/>
          <w14:ligatures w14:val="none"/>
        </w:rPr>
        <w:t>د.فايز جراد</w:t>
      </w:r>
    </w:p>
    <w:p w14:paraId="306CB51B" w14:textId="77777777" w:rsidR="00026EEC" w:rsidRDefault="00026EEC" w:rsidP="00026EEC">
      <w:pPr>
        <w:spacing w:after="0" w:line="240" w:lineRule="auto"/>
        <w:jc w:val="center"/>
        <w:rPr>
          <w:rFonts w:ascii="Simplified Arabic" w:hAnsi="Simplified Arabic" w:cs="Simplified Arabic"/>
          <w:b/>
          <w:bCs/>
          <w:sz w:val="24"/>
          <w:szCs w:val="24"/>
          <w:rtl/>
          <w:lang w:bidi="ar-EG"/>
        </w:rPr>
      </w:pPr>
    </w:p>
    <w:p w14:paraId="05DD91B1" w14:textId="6795816B" w:rsidR="00377D51" w:rsidRPr="00026EEC" w:rsidRDefault="009125CE" w:rsidP="00026EEC">
      <w:pPr>
        <w:spacing w:after="0" w:line="240" w:lineRule="auto"/>
        <w:jc w:val="center"/>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lang w:bidi="ar-EG"/>
        </w:rPr>
        <w:t>العام الدراسي:</w:t>
      </w:r>
    </w:p>
    <w:p w14:paraId="7E3F40FB" w14:textId="77777777" w:rsidR="00327C81" w:rsidRPr="00026EEC" w:rsidRDefault="00327C81" w:rsidP="00026EEC">
      <w:pPr>
        <w:spacing w:after="0" w:line="240" w:lineRule="auto"/>
        <w:jc w:val="center"/>
        <w:rPr>
          <w:rFonts w:ascii="Simplified Arabic" w:hAnsi="Simplified Arabic" w:cs="Simplified Arabic"/>
          <w:sz w:val="24"/>
          <w:szCs w:val="24"/>
          <w:rtl/>
          <w:lang w:bidi="ar-EG"/>
        </w:rPr>
        <w:sectPr w:rsidR="00327C81" w:rsidRPr="00026EEC" w:rsidSect="0003434F">
          <w:footerReference w:type="default" r:id="rId9"/>
          <w:type w:val="continuous"/>
          <w:pgSz w:w="11906" w:h="16838" w:code="9"/>
          <w:pgMar w:top="1440" w:right="1985" w:bottom="1440" w:left="1418" w:header="720" w:footer="720" w:gutter="567"/>
          <w:pgNumType w:start="1"/>
          <w:cols w:space="708"/>
          <w:bidi/>
          <w:rtlGutter/>
          <w:docGrid w:linePitch="360"/>
        </w:sectPr>
      </w:pPr>
      <w:r w:rsidRPr="00026EEC">
        <w:rPr>
          <w:rFonts w:ascii="Simplified Arabic" w:hAnsi="Simplified Arabic" w:cs="Simplified Arabic"/>
          <w:sz w:val="24"/>
          <w:szCs w:val="24"/>
          <w:rtl/>
          <w:lang w:bidi="ar-EG"/>
        </w:rPr>
        <w:t>1447 – 2026</w:t>
      </w:r>
    </w:p>
    <w:p w14:paraId="2F185528" w14:textId="48CE328B" w:rsidR="00375D08" w:rsidRPr="00C54147" w:rsidRDefault="00375D08" w:rsidP="00026EEC">
      <w:pPr>
        <w:spacing w:after="0" w:line="240" w:lineRule="auto"/>
        <w:jc w:val="center"/>
        <w:outlineLvl w:val="0"/>
        <w:rPr>
          <w:rFonts w:ascii="Simplified Arabic" w:hAnsi="Simplified Arabic" w:cs="Simplified Arabic"/>
          <w:b/>
          <w:bCs/>
          <w:sz w:val="28"/>
          <w:szCs w:val="28"/>
          <w:rtl/>
          <w:lang w:bidi="ar-EG"/>
        </w:rPr>
      </w:pPr>
      <w:bookmarkStart w:id="0" w:name="_Toc169790487"/>
      <w:bookmarkStart w:id="1" w:name="_Toc223386499"/>
      <w:r w:rsidRPr="00C54147">
        <w:rPr>
          <w:rFonts w:ascii="Simplified Arabic" w:hAnsi="Simplified Arabic" w:cs="Simplified Arabic"/>
          <w:b/>
          <w:bCs/>
          <w:sz w:val="28"/>
          <w:szCs w:val="28"/>
          <w:rtl/>
          <w:lang w:bidi="ar-EG"/>
        </w:rPr>
        <w:lastRenderedPageBreak/>
        <w:t>المستخلص</w:t>
      </w:r>
      <w:bookmarkEnd w:id="1"/>
    </w:p>
    <w:p w14:paraId="3B5694AD" w14:textId="3ABF7A4E" w:rsidR="00E31EF9" w:rsidRPr="00026EEC" w:rsidRDefault="00E31EF9" w:rsidP="00C54147">
      <w:pPr>
        <w:spacing w:after="0" w:line="240" w:lineRule="auto"/>
        <w:jc w:val="both"/>
        <w:rPr>
          <w:rFonts w:ascii="Simplified Arabic" w:hAnsi="Simplified Arabic" w:cs="Simplified Arabic"/>
          <w:sz w:val="24"/>
          <w:szCs w:val="24"/>
          <w:lang w:bidi="ar-EG"/>
        </w:rPr>
      </w:pPr>
      <w:r w:rsidRPr="00026EEC">
        <w:rPr>
          <w:rFonts w:ascii="Simplified Arabic" w:hAnsi="Simplified Arabic" w:cs="Simplified Arabic"/>
          <w:sz w:val="24"/>
          <w:szCs w:val="24"/>
          <w:rtl/>
        </w:rPr>
        <w:t>هدفت هذه الدراسة إلى قياس أثر إدارة المخاطر التشغيلية المتقدمة بأبعادها الأربعة –أدوات تقييم المخاطر التشغيلية، واستراتيجيات الاستجابة للمخاطر، وتقنيات المراقبة الذكية والصيانة الوقائية، وتكامل تقنيات إدارة المخاطر والذكاء الاصطناعي– على الحد من الخسائر الفنية وتحسين الكفاءة التشغيلية في شبكات الكهرباء الذكية بالشركة السعودية للكهرباء، اعتمدت الدراسة المنهج الوصفي التحليلي، واستخدمت الاستبانة أداةً لجمع البيانات، حيث تكوّنت من (28) فقرة وُزّعت على المتغير المستقل بأبعاده الأربعة (16 فقرة) والمتغير التابع (12 فقرة)، وطُبّقت على عينة طبقية عشوائية بلغت (352) مفردة من العاملين في القطاعات التشغيلية بالشركة. أظهرت النتائج وجود أثر إيجابي ذي دلالة إحصائية عند مستوى</w:t>
      </w:r>
      <w:r w:rsidRPr="00026EEC">
        <w:rPr>
          <w:rFonts w:ascii="Simplified Arabic" w:hAnsi="Simplified Arabic" w:cs="Simplified Arabic"/>
          <w:sz w:val="24"/>
          <w:szCs w:val="24"/>
          <w:lang w:bidi="ar-EG"/>
        </w:rPr>
        <w:t xml:space="preserve"> (</w:t>
      </w:r>
      <w:r w:rsidRPr="00026EEC">
        <w:rPr>
          <w:rFonts w:ascii="Cambria" w:hAnsi="Cambria" w:cs="Cambria"/>
          <w:sz w:val="24"/>
          <w:szCs w:val="24"/>
          <w:lang w:bidi="ar-EG"/>
        </w:rPr>
        <w:t>α</w:t>
      </w:r>
      <w:r w:rsidRPr="00026EEC">
        <w:rPr>
          <w:rFonts w:ascii="Simplified Arabic" w:hAnsi="Simplified Arabic" w:cs="Simplified Arabic"/>
          <w:sz w:val="24"/>
          <w:szCs w:val="24"/>
          <w:lang w:bidi="ar-EG"/>
        </w:rPr>
        <w:t xml:space="preserve"> </w:t>
      </w:r>
      <w:r w:rsidRPr="00026EEC">
        <w:rPr>
          <w:rFonts w:ascii="Times New Roman" w:hAnsi="Times New Roman" w:cs="Times New Roman"/>
          <w:sz w:val="24"/>
          <w:szCs w:val="24"/>
          <w:lang w:bidi="ar-EG"/>
        </w:rPr>
        <w:t>≤</w:t>
      </w:r>
      <w:r w:rsidRPr="00026EEC">
        <w:rPr>
          <w:rFonts w:ascii="Simplified Arabic" w:hAnsi="Simplified Arabic" w:cs="Simplified Arabic"/>
          <w:sz w:val="24"/>
          <w:szCs w:val="24"/>
          <w:lang w:bidi="ar-EG"/>
        </w:rPr>
        <w:t xml:space="preserve"> 0.05) </w:t>
      </w:r>
      <w:r w:rsidRPr="00026EEC">
        <w:rPr>
          <w:rFonts w:ascii="Simplified Arabic" w:hAnsi="Simplified Arabic" w:cs="Simplified Arabic"/>
          <w:sz w:val="24"/>
          <w:szCs w:val="24"/>
          <w:rtl/>
        </w:rPr>
        <w:t>لإدارة المخاطر التشغيلية المتقدمة مجتمعةً على الحد من الخسائر الفنية وتحسين الكفاءة التشغيلية، حيث فسّرت الأبعاد الأربعة نسبة مرتفعة من التباين في المتغير التابع. وتبيّن أن بُعد تقنيات المراقبة الذكية والصيانة الوقائية حقّق الأثر الأقوى، في حين جاء بُعد تكامل الذكاء الاصطناعي بأدنى مستوى موافقة رغم دلالته الإحصائية، ممّا يُشير إلى وجود فرصة واعدة لتعميق تبنّيه. وأوصت الدراسة بتوسيع نشر تقنيات المراقبة الذكية والصيانة التنبؤية، وتسريع دمج تطبيقات الذكاء الاصطناعي في منظومة إدارة المخاطر، وتعزيز ثقافة إدارة المخاطر على المستويات التنظيمية كافة</w:t>
      </w:r>
      <w:r w:rsidRPr="00026EEC">
        <w:rPr>
          <w:rFonts w:ascii="Simplified Arabic" w:hAnsi="Simplified Arabic" w:cs="Simplified Arabic"/>
          <w:sz w:val="24"/>
          <w:szCs w:val="24"/>
          <w:lang w:bidi="ar-EG"/>
        </w:rPr>
        <w:t>.</w:t>
      </w:r>
    </w:p>
    <w:p w14:paraId="039287EB" w14:textId="77777777" w:rsidR="00E31EF9" w:rsidRDefault="00E31EF9" w:rsidP="00026EEC">
      <w:pPr>
        <w:spacing w:after="0" w:line="240" w:lineRule="auto"/>
        <w:jc w:val="center"/>
        <w:rPr>
          <w:rFonts w:ascii="Simplified Arabic" w:hAnsi="Simplified Arabic" w:cs="Simplified Arabic"/>
          <w:sz w:val="24"/>
          <w:szCs w:val="24"/>
          <w:rtl/>
          <w:lang w:bidi="ar-EG"/>
        </w:rPr>
      </w:pPr>
      <w:r w:rsidRPr="00026EEC">
        <w:rPr>
          <w:rFonts w:ascii="Simplified Arabic" w:hAnsi="Simplified Arabic" w:cs="Simplified Arabic"/>
          <w:b/>
          <w:bCs/>
          <w:sz w:val="24"/>
          <w:szCs w:val="24"/>
          <w:rtl/>
        </w:rPr>
        <w:t>الكلمات المفتاحية</w:t>
      </w:r>
      <w:r w:rsidRPr="00026EEC">
        <w:rPr>
          <w:rFonts w:ascii="Simplified Arabic" w:hAnsi="Simplified Arabic" w:cs="Simplified Arabic"/>
          <w:sz w:val="24"/>
          <w:szCs w:val="24"/>
          <w:lang w:bidi="ar-EG"/>
        </w:rPr>
        <w:t xml:space="preserve">: </w:t>
      </w:r>
      <w:r w:rsidRPr="00026EEC">
        <w:rPr>
          <w:rFonts w:ascii="Simplified Arabic" w:hAnsi="Simplified Arabic" w:cs="Simplified Arabic"/>
          <w:sz w:val="24"/>
          <w:szCs w:val="24"/>
          <w:rtl/>
        </w:rPr>
        <w:t>إدارة المخاطر التشغيلية المتقدمة، الخسائر الفنية، الكفاءة التشغيلية، شبكات الكهرباء الذكية، الشركة السعودية للكهرباء</w:t>
      </w:r>
      <w:r w:rsidRPr="00026EEC">
        <w:rPr>
          <w:rFonts w:ascii="Simplified Arabic" w:hAnsi="Simplified Arabic" w:cs="Simplified Arabic"/>
          <w:sz w:val="24"/>
          <w:szCs w:val="24"/>
          <w:lang w:bidi="ar-EG"/>
        </w:rPr>
        <w:t>.</w:t>
      </w:r>
    </w:p>
    <w:p w14:paraId="10C75C2E" w14:textId="77777777" w:rsidR="0003434F" w:rsidRPr="0003434F" w:rsidRDefault="0003434F" w:rsidP="0003434F">
      <w:pPr>
        <w:bidi w:val="0"/>
        <w:spacing w:after="0" w:line="240" w:lineRule="auto"/>
        <w:jc w:val="center"/>
        <w:outlineLvl w:val="0"/>
        <w:rPr>
          <w:rFonts w:asciiTheme="majorBidi" w:eastAsia="Times New Roman" w:hAnsiTheme="majorBidi" w:cstheme="majorBidi"/>
          <w:b/>
          <w:bCs/>
          <w:kern w:val="0"/>
          <w:sz w:val="28"/>
          <w:szCs w:val="28"/>
          <w14:ligatures w14:val="none"/>
        </w:rPr>
      </w:pPr>
      <w:bookmarkStart w:id="2" w:name="_Toc223386557"/>
      <w:r w:rsidRPr="0003434F">
        <w:rPr>
          <w:rFonts w:asciiTheme="majorBidi" w:eastAsia="Times New Roman" w:hAnsiTheme="majorBidi" w:cstheme="majorBidi"/>
          <w:b/>
          <w:bCs/>
          <w:kern w:val="0"/>
          <w:sz w:val="28"/>
          <w:szCs w:val="28"/>
          <w14:ligatures w14:val="none"/>
        </w:rPr>
        <w:t>Study Abstract</w:t>
      </w:r>
      <w:bookmarkEnd w:id="2"/>
    </w:p>
    <w:p w14:paraId="4B27FA25" w14:textId="77777777" w:rsidR="0003434F" w:rsidRPr="0003434F" w:rsidRDefault="0003434F" w:rsidP="0003434F">
      <w:pPr>
        <w:bidi w:val="0"/>
        <w:spacing w:after="0" w:line="240" w:lineRule="auto"/>
        <w:jc w:val="both"/>
        <w:rPr>
          <w:rFonts w:asciiTheme="majorBidi" w:eastAsia="Times New Roman" w:hAnsiTheme="majorBidi" w:cstheme="majorBidi"/>
          <w:kern w:val="0"/>
          <w:sz w:val="24"/>
          <w:szCs w:val="24"/>
          <w14:ligatures w14:val="none"/>
        </w:rPr>
      </w:pPr>
      <w:r w:rsidRPr="0003434F">
        <w:rPr>
          <w:rFonts w:asciiTheme="majorBidi" w:eastAsia="Times New Roman" w:hAnsiTheme="majorBidi" w:cstheme="majorBidi"/>
          <w:kern w:val="0"/>
          <w:sz w:val="24"/>
          <w:szCs w:val="24"/>
          <w14:ligatures w14:val="none"/>
        </w:rPr>
        <w:t>This study aimed to measure the impact of advanced operational risk management –with its four dimensions: operational risk assessment tools, risk response strategies, smart monitoring and preventive maintenance technologies, and the integration of risk management techniques and artificial intelligence– on reducing technical losses and improving operational efficiency in smart electricity grids at the Saudi Electricity Company. The study adopted a descriptive-analytical approach and employed a questionnaire as the data collection instrument, consisting of (28) items distributed across the independent variable with its four dimensions (16 items) and the dependent variable (12 items). The questionnaire was administered to a stratified random sample of (352) employees working in the operational sectors of the company. The results revealed a statistically significant positive impact at the significance level (α ≤ 0.05) of advanced operational risk management collectively on reducing technical losses and improving operational efficiency, with the four dimensions explaining a substantial proportion of the variance in the dependent variable. The dimension of smart monitoring and preventive maintenance technologies demonstrated the strongest impact, while the dimension of artificial intelligence integration recorded the lowest agreement level despite its statistical significance, indicating a promising opportunity for deeper adoption. The study recommended expanding the deployment of smart monitoring and predictive maintenance technologies, accelerating the integration of artificial intelligence applications into the risk management framework, and fostering a risk management culture across all organizational levels</w:t>
      </w:r>
      <w:r w:rsidRPr="0003434F">
        <w:rPr>
          <w:rFonts w:asciiTheme="majorBidi" w:eastAsia="Times New Roman" w:hAnsiTheme="majorBidi" w:cstheme="majorBidi"/>
          <w:kern w:val="0"/>
          <w:sz w:val="24"/>
          <w:szCs w:val="24"/>
          <w:rtl/>
          <w14:ligatures w14:val="none"/>
        </w:rPr>
        <w:t>.</w:t>
      </w:r>
    </w:p>
    <w:p w14:paraId="57B44870" w14:textId="77777777" w:rsidR="0003434F" w:rsidRPr="0003434F" w:rsidRDefault="0003434F" w:rsidP="0003434F">
      <w:pPr>
        <w:bidi w:val="0"/>
        <w:spacing w:after="0" w:line="240" w:lineRule="auto"/>
        <w:jc w:val="both"/>
        <w:rPr>
          <w:rFonts w:asciiTheme="majorBidi" w:eastAsia="Times New Roman" w:hAnsiTheme="majorBidi" w:cstheme="majorBidi"/>
          <w:kern w:val="0"/>
          <w:sz w:val="24"/>
          <w:szCs w:val="24"/>
          <w14:ligatures w14:val="none"/>
        </w:rPr>
      </w:pPr>
      <w:r w:rsidRPr="0003434F">
        <w:rPr>
          <w:rFonts w:asciiTheme="majorBidi" w:eastAsia="Times New Roman" w:hAnsiTheme="majorBidi" w:cstheme="majorBidi"/>
          <w:b/>
          <w:bCs/>
          <w:kern w:val="0"/>
          <w:sz w:val="24"/>
          <w:szCs w:val="24"/>
          <w14:ligatures w14:val="none"/>
        </w:rPr>
        <w:t>Keywords</w:t>
      </w:r>
      <w:r w:rsidRPr="0003434F">
        <w:rPr>
          <w:rFonts w:asciiTheme="majorBidi" w:eastAsia="Times New Roman" w:hAnsiTheme="majorBidi" w:cstheme="majorBidi"/>
          <w:kern w:val="0"/>
          <w:sz w:val="24"/>
          <w:szCs w:val="24"/>
          <w14:ligatures w14:val="none"/>
        </w:rPr>
        <w:t>: Advanced Operational Risk Management, Technical Losses, Operational Efficiency, Smart Electricity Grids, Saudi Electricity Company</w:t>
      </w:r>
      <w:r w:rsidRPr="0003434F">
        <w:rPr>
          <w:rFonts w:asciiTheme="majorBidi" w:eastAsia="Times New Roman" w:hAnsiTheme="majorBidi" w:cstheme="majorBidi"/>
          <w:kern w:val="0"/>
          <w:sz w:val="24"/>
          <w:szCs w:val="24"/>
          <w:rtl/>
          <w14:ligatures w14:val="none"/>
        </w:rPr>
        <w:t>.</w:t>
      </w:r>
    </w:p>
    <w:p w14:paraId="67A6CB25" w14:textId="436D1035" w:rsidR="00375D08" w:rsidRPr="00026EEC" w:rsidRDefault="00375D08" w:rsidP="00026EEC">
      <w:pPr>
        <w:bidi w:val="0"/>
        <w:spacing w:after="0" w:line="240" w:lineRule="auto"/>
        <w:rPr>
          <w:rFonts w:ascii="Simplified Arabic" w:hAnsi="Simplified Arabic" w:cs="Simplified Arabic"/>
          <w:sz w:val="24"/>
          <w:szCs w:val="24"/>
          <w:rtl/>
          <w:lang w:bidi="ar-EG"/>
        </w:rPr>
      </w:pPr>
    </w:p>
    <w:p w14:paraId="3F776C47" w14:textId="354FAF46" w:rsidR="00375D08" w:rsidRPr="00C54147" w:rsidRDefault="00375D08" w:rsidP="00026EEC">
      <w:pPr>
        <w:spacing w:after="0" w:line="240" w:lineRule="auto"/>
        <w:outlineLvl w:val="1"/>
        <w:rPr>
          <w:rFonts w:ascii="Simplified Arabic" w:hAnsi="Simplified Arabic" w:cs="Simplified Arabic"/>
          <w:b/>
          <w:bCs/>
          <w:sz w:val="28"/>
          <w:szCs w:val="28"/>
          <w:rtl/>
          <w:lang w:bidi="ar-EG"/>
        </w:rPr>
      </w:pPr>
      <w:bookmarkStart w:id="3" w:name="_Toc223386503"/>
      <w:r w:rsidRPr="00C54147">
        <w:rPr>
          <w:rFonts w:ascii="Simplified Arabic" w:hAnsi="Simplified Arabic" w:cs="Simplified Arabic"/>
          <w:b/>
          <w:bCs/>
          <w:sz w:val="28"/>
          <w:szCs w:val="28"/>
          <w:rtl/>
          <w:lang w:bidi="ar-EG"/>
        </w:rPr>
        <w:lastRenderedPageBreak/>
        <w:t>المقدمة</w:t>
      </w:r>
      <w:bookmarkEnd w:id="3"/>
    </w:p>
    <w:p w14:paraId="472F7D41" w14:textId="1A3E0750" w:rsidR="00D145CD" w:rsidRPr="00026EEC" w:rsidRDefault="00D145CD" w:rsidP="00C54147">
      <w:pPr>
        <w:spacing w:after="0" w:line="240" w:lineRule="auto"/>
        <w:jc w:val="both"/>
        <w:rPr>
          <w:rFonts w:ascii="Simplified Arabic" w:hAnsi="Simplified Arabic" w:cs="Simplified Arabic"/>
          <w:sz w:val="24"/>
          <w:szCs w:val="24"/>
          <w:rtl/>
        </w:rPr>
      </w:pPr>
      <w:bookmarkStart w:id="4" w:name="_Toc169790489"/>
      <w:bookmarkStart w:id="5" w:name="_Hlk172151144"/>
      <w:bookmarkEnd w:id="0"/>
      <w:r w:rsidRPr="00026EEC">
        <w:rPr>
          <w:rFonts w:ascii="Simplified Arabic" w:hAnsi="Simplified Arabic" w:cs="Simplified Arabic"/>
          <w:sz w:val="24"/>
          <w:szCs w:val="24"/>
          <w:rtl/>
        </w:rPr>
        <w:t>تشهد شبكات الكهرباء الذكية تطورًا متسارعًا في ظل الاعتماد المتزايد على تقنيات الاتصال والتحكم الحديثة، مما يفرض تحديات تشغيلية معقدة تتطلب إدارة مخاطر فعالة ومتكاملة، و تأتي أهمية الدراسة الحالية في ظل ازدياد الاعتماد على مصادر الطاقة المتجددة، وتنامي الفاقد الفني وغير الفني في شبكات الكهرباء، ما يستدعي تطبيق آليات متقدمة لرصد وتقييم المخاطر التشغيلية والتحكم بها بشكل استباقي، لضمان الاستمرارية وتحقيق الكفاءة ، وقد أظهرت دراسة (الفهداوي وشعبان، 2023) أن فاعلية آليات التدقيق الداخلي تمثل أحد العوامل الجوهرية في الحد من المخاطر التشغيلية، من خلال تطوير نظم المعلومات وضمان دقة البيانات وتنفيذ الصيانة الدورية للتقنيات</w:t>
      </w:r>
      <w:r w:rsidRPr="00026EEC">
        <w:rPr>
          <w:rFonts w:ascii="Simplified Arabic" w:hAnsi="Simplified Arabic" w:cs="Simplified Arabic"/>
          <w:sz w:val="24"/>
          <w:szCs w:val="24"/>
        </w:rPr>
        <w:t>.</w:t>
      </w:r>
      <w:r w:rsidRPr="00026EEC">
        <w:rPr>
          <w:rFonts w:ascii="Simplified Arabic" w:hAnsi="Simplified Arabic" w:cs="Simplified Arabic"/>
          <w:sz w:val="24"/>
          <w:szCs w:val="24"/>
          <w:rtl/>
        </w:rPr>
        <w:t>(الفهداوي وشعبان، 2023)</w:t>
      </w:r>
    </w:p>
    <w:p w14:paraId="03E4F1B2" w14:textId="58AB46ED"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ومن جهة أخرى، أثبتت تقنيات المراقبة المستمرة لتدفقات الطاقة، وخاصة في بيئة الشبكات الذكية، دورًا محوريًا في تقليل الخسائر الفنية واكتشاف الأعطال. حيث أظهرت دراسة</w:t>
      </w:r>
      <w:r w:rsidRPr="00026EEC">
        <w:rPr>
          <w:rFonts w:ascii="Simplified Arabic" w:hAnsi="Simplified Arabic" w:cs="Simplified Arabic"/>
          <w:sz w:val="24"/>
          <w:szCs w:val="24"/>
        </w:rPr>
        <w:t xml:space="preserve"> (Alymov &amp; Averbukh, 2024) </w:t>
      </w:r>
      <w:r w:rsidRPr="00026EEC">
        <w:rPr>
          <w:rFonts w:ascii="Simplified Arabic" w:hAnsi="Simplified Arabic" w:cs="Simplified Arabic"/>
          <w:sz w:val="24"/>
          <w:szCs w:val="24"/>
          <w:rtl/>
        </w:rPr>
        <w:t>أن مراقبة الطاقة ساعدت في خفض إجمالي الاستهلاك بنسبة 6%، كما ساهمت في الحد من الأعطال الفنية وتقليل تدخل العنصر البشري في العمليات التشغيلية، وهو ما يدعم الحاجة إلى نماذج إدارة مخاطر متقدمة تدمج بين الذكاء الصناعي والتشغيل الآلي</w:t>
      </w:r>
      <w:r w:rsidRPr="00026EEC">
        <w:rPr>
          <w:rFonts w:ascii="Simplified Arabic" w:hAnsi="Simplified Arabic" w:cs="Simplified Arabic"/>
          <w:sz w:val="24"/>
          <w:szCs w:val="24"/>
        </w:rPr>
        <w:t>.(Alymov &amp; Averbukh, 2024)</w:t>
      </w:r>
    </w:p>
    <w:p w14:paraId="0118ED4B" w14:textId="321F258B" w:rsidR="00D145CD" w:rsidRPr="00026EEC" w:rsidRDefault="00794D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وال</w:t>
      </w:r>
      <w:r w:rsidR="00D145CD" w:rsidRPr="00026EEC">
        <w:rPr>
          <w:rFonts w:ascii="Simplified Arabic" w:hAnsi="Simplified Arabic" w:cs="Simplified Arabic"/>
          <w:sz w:val="24"/>
          <w:szCs w:val="24"/>
          <w:rtl/>
        </w:rPr>
        <w:t>أهمية التحول نحو التحليل القائم على المخاطر باستخدام محاكاة الأعطال وتقييم تكلفة الطاقة غير الموردة، حيث أشارت إلى أن استخدام تقنيات مثل</w:t>
      </w:r>
      <w:r w:rsidR="00D145CD" w:rsidRPr="00026EEC">
        <w:rPr>
          <w:rFonts w:ascii="Simplified Arabic" w:hAnsi="Simplified Arabic" w:cs="Simplified Arabic"/>
          <w:sz w:val="24"/>
          <w:szCs w:val="24"/>
        </w:rPr>
        <w:t xml:space="preserve"> FLISR </w:t>
      </w:r>
      <w:r w:rsidR="00D145CD" w:rsidRPr="00026EEC">
        <w:rPr>
          <w:rFonts w:ascii="Simplified Arabic" w:hAnsi="Simplified Arabic" w:cs="Simplified Arabic"/>
          <w:sz w:val="24"/>
          <w:szCs w:val="24"/>
          <w:rtl/>
        </w:rPr>
        <w:t>و</w:t>
      </w:r>
      <w:r w:rsidR="00D145CD" w:rsidRPr="00026EEC">
        <w:rPr>
          <w:rFonts w:ascii="Simplified Arabic" w:hAnsi="Simplified Arabic" w:cs="Simplified Arabic"/>
          <w:sz w:val="24"/>
          <w:szCs w:val="24"/>
        </w:rPr>
        <w:t xml:space="preserve">DSM </w:t>
      </w:r>
      <w:r w:rsidR="00D145CD" w:rsidRPr="00026EEC">
        <w:rPr>
          <w:rFonts w:ascii="Simplified Arabic" w:hAnsi="Simplified Arabic" w:cs="Simplified Arabic"/>
          <w:sz w:val="24"/>
          <w:szCs w:val="24"/>
          <w:rtl/>
        </w:rPr>
        <w:t>ضمن إطار تحليلي ذكي يسهم في رفع مرونة الشبكات وتقليل احتمالية الانقطاع، وهو توجه جوهري في بيئة الطاقة الحديثة التي تتطلب تدخلات ذكية استباقية</w:t>
      </w:r>
      <w:r w:rsidR="00D145CD" w:rsidRPr="00026EEC">
        <w:rPr>
          <w:rFonts w:ascii="Simplified Arabic" w:hAnsi="Simplified Arabic" w:cs="Simplified Arabic"/>
          <w:sz w:val="24"/>
          <w:szCs w:val="24"/>
        </w:rPr>
        <w:t>.(Kheirkhah et al., 2023)</w:t>
      </w:r>
    </w:p>
    <w:p w14:paraId="34540F7E" w14:textId="68A6EB6A" w:rsidR="00D145CD" w:rsidRPr="00026EEC" w:rsidRDefault="00794D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w:t>
      </w:r>
      <w:r w:rsidR="00D145CD" w:rsidRPr="00026EEC">
        <w:rPr>
          <w:rFonts w:ascii="Simplified Arabic" w:hAnsi="Simplified Arabic" w:cs="Simplified Arabic"/>
          <w:sz w:val="24"/>
          <w:szCs w:val="24"/>
          <w:rtl/>
        </w:rPr>
        <w:t xml:space="preserve"> بيّنت دراسة</w:t>
      </w:r>
      <w:r w:rsidR="00D145CD" w:rsidRPr="00026EEC">
        <w:rPr>
          <w:rFonts w:ascii="Simplified Arabic" w:hAnsi="Simplified Arabic" w:cs="Simplified Arabic"/>
          <w:sz w:val="24"/>
          <w:szCs w:val="24"/>
        </w:rPr>
        <w:t xml:space="preserve"> (Shoqirat et al., 2025) </w:t>
      </w:r>
      <w:r w:rsidR="00D145CD" w:rsidRPr="00026EEC">
        <w:rPr>
          <w:rFonts w:ascii="Simplified Arabic" w:hAnsi="Simplified Arabic" w:cs="Simplified Arabic"/>
          <w:sz w:val="24"/>
          <w:szCs w:val="24"/>
          <w:rtl/>
        </w:rPr>
        <w:t>أن الاعتماد على الأنظمة التقليدية في تحديد الأعطال يساهم في تأخير الاستجابة وتقليل كفاءة الشبكة، في حين أن تكامل أنظمة مثل</w:t>
      </w:r>
      <w:r w:rsidR="00D145CD" w:rsidRPr="00026EEC">
        <w:rPr>
          <w:rFonts w:ascii="Simplified Arabic" w:hAnsi="Simplified Arabic" w:cs="Simplified Arabic"/>
          <w:sz w:val="24"/>
          <w:szCs w:val="24"/>
        </w:rPr>
        <w:t xml:space="preserve"> Siemens Spectrum 7 </w:t>
      </w:r>
      <w:r w:rsidR="00D145CD" w:rsidRPr="00026EEC">
        <w:rPr>
          <w:rFonts w:ascii="Simplified Arabic" w:hAnsi="Simplified Arabic" w:cs="Simplified Arabic"/>
          <w:sz w:val="24"/>
          <w:szCs w:val="24"/>
          <w:rtl/>
        </w:rPr>
        <w:t>و</w:t>
      </w:r>
      <w:r w:rsidR="00D145CD" w:rsidRPr="00026EEC">
        <w:rPr>
          <w:rFonts w:ascii="Simplified Arabic" w:hAnsi="Simplified Arabic" w:cs="Simplified Arabic"/>
          <w:sz w:val="24"/>
          <w:szCs w:val="24"/>
        </w:rPr>
        <w:t xml:space="preserve">ADMS </w:t>
      </w:r>
      <w:r w:rsidR="00D145CD" w:rsidRPr="00026EEC">
        <w:rPr>
          <w:rFonts w:ascii="Simplified Arabic" w:hAnsi="Simplified Arabic" w:cs="Simplified Arabic"/>
          <w:sz w:val="24"/>
          <w:szCs w:val="24"/>
          <w:rtl/>
        </w:rPr>
        <w:t>أدى إلى تحسين عمليات المراقبة الفورية وتقليل زمن الانقطاعات، مما يؤكد أهمية أنظمة إدارة المخاطر المتقدمة في تعزيز الأداء التشغيلي</w:t>
      </w:r>
      <w:r w:rsidR="00D145CD" w:rsidRPr="00026EEC">
        <w:rPr>
          <w:rFonts w:ascii="Simplified Arabic" w:hAnsi="Simplified Arabic" w:cs="Simplified Arabic"/>
          <w:sz w:val="24"/>
          <w:szCs w:val="24"/>
        </w:rPr>
        <w:t>.(Shoqirat et al., 2025)</w:t>
      </w:r>
    </w:p>
    <w:p w14:paraId="387586A3" w14:textId="6510E8F0" w:rsidR="00261B03"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وبناءً على ما سبق، تهدف الدراسة الحالية إلى تسليط الضوء على دور إدارة المخاطر التشغيلية المتقدمة في بيئة الشبكات الذكية بالشركة السعودية للكهرباء، وقياس مدى تأثيرها على خفض الفواقد الفنية وتعزيز الكفاءة التشغيلية، وذلك من خلال تحليل ميداني يستند إلى أحدث التطبيقات والممارسات في مجال الطاقة الذكية</w:t>
      </w:r>
      <w:r w:rsidRPr="00026EEC">
        <w:rPr>
          <w:rFonts w:ascii="Simplified Arabic" w:hAnsi="Simplified Arabic" w:cs="Simplified Arabic"/>
          <w:sz w:val="24"/>
          <w:szCs w:val="24"/>
        </w:rPr>
        <w:t>.</w:t>
      </w:r>
    </w:p>
    <w:p w14:paraId="7EAA8F1C" w14:textId="5408F401" w:rsidR="00375D08" w:rsidRPr="00026EEC" w:rsidRDefault="00375D08" w:rsidP="00026EEC">
      <w:pPr>
        <w:spacing w:after="0" w:line="240" w:lineRule="auto"/>
        <w:jc w:val="both"/>
        <w:outlineLvl w:val="1"/>
        <w:rPr>
          <w:rFonts w:ascii="Simplified Arabic" w:hAnsi="Simplified Arabic" w:cs="Simplified Arabic"/>
          <w:b/>
          <w:bCs/>
          <w:sz w:val="24"/>
          <w:szCs w:val="24"/>
          <w:rtl/>
        </w:rPr>
      </w:pPr>
      <w:bookmarkStart w:id="6" w:name="_Toc223386504"/>
      <w:bookmarkEnd w:id="5"/>
      <w:r w:rsidRPr="00026EEC">
        <w:rPr>
          <w:rFonts w:ascii="Simplified Arabic" w:hAnsi="Simplified Arabic" w:cs="Simplified Arabic"/>
          <w:b/>
          <w:bCs/>
          <w:sz w:val="24"/>
          <w:szCs w:val="24"/>
          <w:rtl/>
        </w:rPr>
        <w:t>مشكلة الدراسة</w:t>
      </w:r>
      <w:bookmarkEnd w:id="6"/>
    </w:p>
    <w:p w14:paraId="3C12BA6D" w14:textId="7CB2C28F"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تشهد شبكات الكهرباء الحديثة، خصوصًا تلك المرتبطة بأنظمة الطاقة المتجددة، تحديات تشغيلية متزايدة تتمثل في ارتفاع معدلات الفاقد الفني وغير الفني، وتكرار الانقطاعات، وتنامي مشكلات مراقبة الشبكة وتحليل البيانات التشغيلية ، و في ظل هذه التحديات أصبحت الحاجة ملحة إلى أنظمة متقدمة لإدارة المخاطر التشغيلية، تكون قادرة على التنبؤ بالأعطال والتحكم في تداعياتها قبل حدوثها، بما ينعكس إيجابًا على كفاءة الأداء. وقد بيّنت دراسة</w:t>
      </w:r>
      <w:r w:rsidRPr="00026EEC">
        <w:rPr>
          <w:rFonts w:ascii="Simplified Arabic" w:hAnsi="Simplified Arabic" w:cs="Simplified Arabic"/>
          <w:sz w:val="24"/>
          <w:szCs w:val="24"/>
        </w:rPr>
        <w:t xml:space="preserve"> (Alymov &amp; Averbukh, 2024) </w:t>
      </w:r>
      <w:r w:rsidRPr="00026EEC">
        <w:rPr>
          <w:rFonts w:ascii="Simplified Arabic" w:hAnsi="Simplified Arabic" w:cs="Simplified Arabic"/>
          <w:sz w:val="24"/>
          <w:szCs w:val="24"/>
          <w:rtl/>
        </w:rPr>
        <w:t>أن مراقبة تدفقات الطاقة ساعدت في خفض الاستهلاك بنسبة 6% وتقليل التدخل البشري، مما يدل على أهمية حلول متقدمة في إدارة المخاطر لتقليل الفاقد الفني وتحقيق كفاءة تشغيلية</w:t>
      </w:r>
      <w:r w:rsidRPr="00026EEC">
        <w:rPr>
          <w:rFonts w:ascii="Simplified Arabic" w:hAnsi="Simplified Arabic" w:cs="Simplified Arabic"/>
          <w:sz w:val="24"/>
          <w:szCs w:val="24"/>
        </w:rPr>
        <w:t>.</w:t>
      </w:r>
    </w:p>
    <w:p w14:paraId="3586AB8F" w14:textId="77777777"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lastRenderedPageBreak/>
        <w:t>ورغم وجود أنظمة تحكم ومراقبة في العديد من شبكات التوزيع، لا تزال نسبة كبيرة من المحطات غير مجهزة بأنظمة كشف الأعطال أو إرسال إشارات التوقف، مما يؤدي إلى تأخير الاستجابة للاختلالات التشغيلية. وقد أوضحت دراسة</w:t>
      </w:r>
      <w:r w:rsidRPr="00026EEC">
        <w:rPr>
          <w:rFonts w:ascii="Simplified Arabic" w:hAnsi="Simplified Arabic" w:cs="Simplified Arabic"/>
          <w:sz w:val="24"/>
          <w:szCs w:val="24"/>
        </w:rPr>
        <w:t xml:space="preserve"> (Shoqirat et al., 2025) </w:t>
      </w:r>
      <w:r w:rsidRPr="00026EEC">
        <w:rPr>
          <w:rFonts w:ascii="Simplified Arabic" w:hAnsi="Simplified Arabic" w:cs="Simplified Arabic"/>
          <w:sz w:val="24"/>
          <w:szCs w:val="24"/>
          <w:rtl/>
        </w:rPr>
        <w:t>أن اعتماد شركة طاقة في مدينة العين على الشكاوى الواردة من العملاء لتحديد الأعطال في المحطات غير المراقبة تسبب في إضعاف كفاءة الشبكة، مما يوضح فجوة حقيقية في الاستجابة السريعة للمخاطر التشغيلية</w:t>
      </w:r>
      <w:r w:rsidRPr="00026EEC">
        <w:rPr>
          <w:rFonts w:ascii="Simplified Arabic" w:hAnsi="Simplified Arabic" w:cs="Simplified Arabic"/>
          <w:sz w:val="24"/>
          <w:szCs w:val="24"/>
        </w:rPr>
        <w:t>.</w:t>
      </w:r>
    </w:p>
    <w:p w14:paraId="0A705D20" w14:textId="77777777"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كما أن الاعتماد على أدوات تقليدية في إدارة الشبكة، وعدم استثمار الإمكانات الذكية بشكل متكامل، يحد من قدرة المؤسسات على التنبؤ بالمخاطر وتفادي الخسائر، في حين أظهرت دراسة</w:t>
      </w:r>
      <w:r w:rsidRPr="00026EEC">
        <w:rPr>
          <w:rFonts w:ascii="Simplified Arabic" w:hAnsi="Simplified Arabic" w:cs="Simplified Arabic"/>
          <w:sz w:val="24"/>
          <w:szCs w:val="24"/>
        </w:rPr>
        <w:t xml:space="preserve"> (Kheirkhah et al., 2023) </w:t>
      </w:r>
      <w:r w:rsidRPr="00026EEC">
        <w:rPr>
          <w:rFonts w:ascii="Simplified Arabic" w:hAnsi="Simplified Arabic" w:cs="Simplified Arabic"/>
          <w:sz w:val="24"/>
          <w:szCs w:val="24"/>
          <w:rtl/>
        </w:rPr>
        <w:t>أن تطبيق إطار تحليلي قائم على محاكاة الأعطال وتقييم تأثيرها يساعد في دعم القرارات الاستثمارية ويزيد من مرونة الشبكة، الأمر الذي يجعل من إدارة المخاطر عنصرًا جوهريًا في استدامة الشبكة الذكية</w:t>
      </w:r>
      <w:r w:rsidRPr="00026EEC">
        <w:rPr>
          <w:rFonts w:ascii="Simplified Arabic" w:hAnsi="Simplified Arabic" w:cs="Simplified Arabic"/>
          <w:sz w:val="24"/>
          <w:szCs w:val="24"/>
        </w:rPr>
        <w:t>.</w:t>
      </w:r>
    </w:p>
    <w:p w14:paraId="13B155BE" w14:textId="77777777"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من جهة أخرى، لا تزال بعض المؤسسات تفتقر إلى التكامل بين أنظمة العدادات الذكية والخوارزميات التحليلية التي يمكن أن تُوظف في رصد الفواقد والتصرفات غير المشروعة في استهلاك الطاقة. وقد أوصت دراسة</w:t>
      </w:r>
      <w:r w:rsidRPr="00026EEC">
        <w:rPr>
          <w:rFonts w:ascii="Simplified Arabic" w:hAnsi="Simplified Arabic" w:cs="Simplified Arabic"/>
          <w:sz w:val="24"/>
          <w:szCs w:val="24"/>
        </w:rPr>
        <w:t xml:space="preserve"> (Li et al., 2023) </w:t>
      </w:r>
      <w:r w:rsidRPr="00026EEC">
        <w:rPr>
          <w:rFonts w:ascii="Simplified Arabic" w:hAnsi="Simplified Arabic" w:cs="Simplified Arabic"/>
          <w:sz w:val="24"/>
          <w:szCs w:val="24"/>
          <w:rtl/>
        </w:rPr>
        <w:t>بدمج المنهج النموذجي والبياني لتحسين دقة تقييم الفاقد الكهربائي، مما يُبرز أهمية بناء أنظمة تحليلية تستند إلى مؤشرات ذكية وبيانات تشغيلية حقيقية تُمكن من اتخاذ قرارات استباقية فعالة</w:t>
      </w:r>
      <w:r w:rsidRPr="00026EEC">
        <w:rPr>
          <w:rFonts w:ascii="Simplified Arabic" w:hAnsi="Simplified Arabic" w:cs="Simplified Arabic"/>
          <w:sz w:val="24"/>
          <w:szCs w:val="24"/>
        </w:rPr>
        <w:t>.</w:t>
      </w:r>
    </w:p>
    <w:p w14:paraId="15330795" w14:textId="6A3E195E" w:rsidR="00D145CD" w:rsidRPr="00026EEC" w:rsidRDefault="00D145CD"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استنادًا إلى ما سبق، تتحدد مشكلة الدراسة في وجود قصور واضح في توظيف أدوات إدارة المخاطر التشغيلية المتقدمة في بعض شبكات الكهرباء الذكية، مما ينعكس سلبًا على الكفاءة التشغيلية واستمرار الخسائر الفنية. وبناءً عليه، تُطرح الإشكالية التالية</w:t>
      </w:r>
      <w:r w:rsidR="00375D08" w:rsidRPr="00026EEC">
        <w:rPr>
          <w:rFonts w:ascii="Simplified Arabic" w:hAnsi="Simplified Arabic" w:cs="Simplified Arabic"/>
          <w:sz w:val="24"/>
          <w:szCs w:val="24"/>
        </w:rPr>
        <w:t>:</w:t>
      </w:r>
      <w:r w:rsidR="00375D08" w:rsidRPr="00026EEC">
        <w:rPr>
          <w:rFonts w:ascii="Simplified Arabic" w:hAnsi="Simplified Arabic" w:cs="Simplified Arabic"/>
          <w:sz w:val="24"/>
          <w:szCs w:val="24"/>
          <w:rtl/>
        </w:rPr>
        <w:t xml:space="preserve"> </w:t>
      </w:r>
      <w:r w:rsidRPr="00026EEC">
        <w:rPr>
          <w:rFonts w:ascii="Simplified Arabic" w:hAnsi="Simplified Arabic" w:cs="Simplified Arabic"/>
          <w:sz w:val="24"/>
          <w:szCs w:val="24"/>
          <w:rtl/>
        </w:rPr>
        <w:t>ما أثر إدارة المخاطر التشغيلية المتقدمة على الحد من الخسائر الفنية وتحسين الكفاءة التشغيلية في شبكات الكهرباء الذكية؟</w:t>
      </w:r>
    </w:p>
    <w:p w14:paraId="38B49A5C" w14:textId="7685BAE7" w:rsidR="00375D08" w:rsidRPr="00026EEC" w:rsidRDefault="00375D08" w:rsidP="00026EEC">
      <w:pPr>
        <w:spacing w:after="0" w:line="240" w:lineRule="auto"/>
        <w:jc w:val="both"/>
        <w:outlineLvl w:val="1"/>
        <w:rPr>
          <w:rFonts w:ascii="Simplified Arabic" w:hAnsi="Simplified Arabic" w:cs="Simplified Arabic"/>
          <w:b/>
          <w:bCs/>
          <w:sz w:val="24"/>
          <w:szCs w:val="24"/>
          <w:rtl/>
        </w:rPr>
      </w:pPr>
      <w:bookmarkStart w:id="7" w:name="_Toc223386505"/>
      <w:bookmarkStart w:id="8" w:name="_Toc169790490"/>
      <w:bookmarkEnd w:id="4"/>
      <w:r w:rsidRPr="00026EEC">
        <w:rPr>
          <w:rFonts w:ascii="Simplified Arabic" w:hAnsi="Simplified Arabic" w:cs="Simplified Arabic"/>
          <w:b/>
          <w:bCs/>
          <w:sz w:val="24"/>
          <w:szCs w:val="24"/>
          <w:rtl/>
        </w:rPr>
        <w:t>أهمية الدراسة:</w:t>
      </w:r>
      <w:bookmarkEnd w:id="7"/>
    </w:p>
    <w:p w14:paraId="1EE72FAC" w14:textId="40083867" w:rsidR="00AF46DF" w:rsidRPr="00026EEC" w:rsidRDefault="00AF46DF" w:rsidP="00026EEC">
      <w:pPr>
        <w:spacing w:after="0" w:line="240" w:lineRule="auto"/>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 xml:space="preserve">تعتمد أهمية هذه الدراسة على إسهاماتها النظرية والتطبيقية </w:t>
      </w:r>
      <w:r w:rsidR="000125CD" w:rsidRPr="00026EEC">
        <w:rPr>
          <w:rFonts w:ascii="Simplified Arabic" w:hAnsi="Simplified Arabic" w:cs="Simplified Arabic"/>
          <w:b/>
          <w:bCs/>
          <w:sz w:val="24"/>
          <w:szCs w:val="24"/>
          <w:rtl/>
        </w:rPr>
        <w:t>فيما يل</w:t>
      </w:r>
      <w:r w:rsidR="00DD6BEA" w:rsidRPr="00026EEC">
        <w:rPr>
          <w:rFonts w:ascii="Simplified Arabic" w:hAnsi="Simplified Arabic" w:cs="Simplified Arabic"/>
          <w:b/>
          <w:bCs/>
          <w:sz w:val="24"/>
          <w:szCs w:val="24"/>
          <w:rtl/>
        </w:rPr>
        <w:t>ي</w:t>
      </w:r>
      <w:r w:rsidR="000125CD" w:rsidRPr="00026EEC">
        <w:rPr>
          <w:rFonts w:ascii="Simplified Arabic" w:hAnsi="Simplified Arabic" w:cs="Simplified Arabic"/>
          <w:b/>
          <w:bCs/>
          <w:sz w:val="24"/>
          <w:szCs w:val="24"/>
          <w:rtl/>
        </w:rPr>
        <w:t>:</w:t>
      </w:r>
    </w:p>
    <w:p w14:paraId="22B45B1B" w14:textId="77777777" w:rsidR="002133A6" w:rsidRPr="00026EEC" w:rsidRDefault="002133A6" w:rsidP="00026EEC">
      <w:pPr>
        <w:spacing w:after="0" w:line="240" w:lineRule="auto"/>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أولًا: الأهمية العلمية</w:t>
      </w:r>
      <w:r w:rsidRPr="00026EEC">
        <w:rPr>
          <w:rFonts w:ascii="Simplified Arabic" w:hAnsi="Simplified Arabic" w:cs="Simplified Arabic"/>
          <w:b/>
          <w:bCs/>
          <w:sz w:val="24"/>
          <w:szCs w:val="24"/>
        </w:rPr>
        <w:t>:</w:t>
      </w:r>
    </w:p>
    <w:p w14:paraId="5CD7BEBB" w14:textId="77777777" w:rsidR="00D145CD" w:rsidRPr="00026EEC" w:rsidRDefault="00D145CD" w:rsidP="00026EEC">
      <w:pPr>
        <w:pStyle w:val="ListParagraph"/>
        <w:numPr>
          <w:ilvl w:val="0"/>
          <w:numId w:val="13"/>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تساهم الدراسة في إثراء الأدبيات المتعلقة بإدارة المخاطر التشغيلية في شبكات الكهرباء الذكية، من خلال تقديم نموذج تطبيقي متكامل قائم على أدوات تحليلية متقدمة.</w:t>
      </w:r>
    </w:p>
    <w:p w14:paraId="7D3CDB41" w14:textId="77777777" w:rsidR="00D145CD" w:rsidRPr="00026EEC" w:rsidRDefault="00D145CD" w:rsidP="00026EEC">
      <w:pPr>
        <w:pStyle w:val="ListParagraph"/>
        <w:numPr>
          <w:ilvl w:val="0"/>
          <w:numId w:val="13"/>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تقدم إطارًا تحليليًا علميًا يمكن من خلاله فهم العلاقة بين تطبيقات إدارة المخاطر وتقليل الفاقد الفني وتحسين الكفاءة التشغيلية، وهو ما يمثل إضافة نوعية في مجالات الطاقة الذكية.</w:t>
      </w:r>
    </w:p>
    <w:p w14:paraId="7BEAC91D" w14:textId="77777777" w:rsidR="00D145CD" w:rsidRPr="00026EEC" w:rsidRDefault="00D145CD" w:rsidP="00026EEC">
      <w:pPr>
        <w:pStyle w:val="ListParagraph"/>
        <w:numPr>
          <w:ilvl w:val="0"/>
          <w:numId w:val="13"/>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تساعد على توسيع المفاهيم النظرية المرتبطة بإدارة المخاطر في البيئة التكنولوجية المعقدة، وخاصة في قطاع الطاقة، مما يعزز تكامل التخصصات بين الإدارة والهندسة والطاقة.</w:t>
      </w:r>
    </w:p>
    <w:p w14:paraId="19B0AB1A" w14:textId="77777777" w:rsidR="00D145CD" w:rsidRPr="00026EEC" w:rsidRDefault="00D145CD" w:rsidP="00026EEC">
      <w:pPr>
        <w:pStyle w:val="ListParagraph"/>
        <w:numPr>
          <w:ilvl w:val="0"/>
          <w:numId w:val="13"/>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تفتح آفاقًا بحثية مستقبلية من خلال اقتراح آليات قياس ومؤشرات أداء جديدة لإدارة المخاطر التشغيلية في بيئات شبكية تعتمد على الاتصال اللحظي والبيانات الذكية.</w:t>
      </w:r>
    </w:p>
    <w:p w14:paraId="360A489A" w14:textId="2B4843CC" w:rsidR="002133A6" w:rsidRPr="00026EEC" w:rsidRDefault="00D145CD" w:rsidP="00026EEC">
      <w:pPr>
        <w:pStyle w:val="ListParagraph"/>
        <w:numPr>
          <w:ilvl w:val="0"/>
          <w:numId w:val="13"/>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تمثل الدراسة جسرًا بين النظرية والتطبيق، حيث تجمع بين المنهج الوصفي التحليلي والنماذج التشغيلية الذكية، وهو ما يتيح للباحثين فرصة التوسع في الدراسات التجريبية والكمية ذات الصلة</w:t>
      </w:r>
      <w:r w:rsidR="002133A6" w:rsidRPr="00026EEC">
        <w:rPr>
          <w:rFonts w:ascii="Simplified Arabic" w:hAnsi="Simplified Arabic" w:cs="Simplified Arabic"/>
          <w:sz w:val="24"/>
          <w:szCs w:val="24"/>
        </w:rPr>
        <w:t>.</w:t>
      </w:r>
    </w:p>
    <w:p w14:paraId="249D0540" w14:textId="77777777" w:rsidR="00D145CD" w:rsidRPr="00026EEC" w:rsidRDefault="002133A6" w:rsidP="00026EEC">
      <w:pPr>
        <w:spacing w:after="0" w:line="240" w:lineRule="auto"/>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ثانيًا: الأهمية العملية</w:t>
      </w:r>
      <w:r w:rsidRPr="00026EEC">
        <w:rPr>
          <w:rFonts w:ascii="Simplified Arabic" w:hAnsi="Simplified Arabic" w:cs="Simplified Arabic"/>
          <w:b/>
          <w:bCs/>
          <w:sz w:val="24"/>
          <w:szCs w:val="24"/>
        </w:rPr>
        <w:t>:</w:t>
      </w:r>
    </w:p>
    <w:p w14:paraId="28E5607A" w14:textId="3B3613A9" w:rsidR="00D145CD" w:rsidRPr="00026EEC" w:rsidRDefault="00D145CD" w:rsidP="00026EEC">
      <w:pPr>
        <w:pStyle w:val="ListParagraph"/>
        <w:numPr>
          <w:ilvl w:val="0"/>
          <w:numId w:val="14"/>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تساعد الدراسة في تحسين كفاءة تشغيل شبكات الكهرباء الذكية من خلال تقليل الفواقد الفنية وغير الفنية عبر آليات استباقية في إدارة الأعطال والمخاطر.</w:t>
      </w:r>
    </w:p>
    <w:p w14:paraId="02B2DF19" w14:textId="77777777" w:rsidR="00D145CD" w:rsidRPr="00026EEC" w:rsidRDefault="00D145CD" w:rsidP="00026EEC">
      <w:pPr>
        <w:pStyle w:val="ListParagraph"/>
        <w:numPr>
          <w:ilvl w:val="0"/>
          <w:numId w:val="14"/>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lastRenderedPageBreak/>
        <w:t>تقدم حلولًا عملية قابلة للتطبيق في مؤسسات الطاقة، وخاصة في الشركات الكبرى مثل الشركة السعودية للكهرباء، بما يسهم في رفع موثوقية الخدمة الكهربائية وتحقيق الاستدامة.</w:t>
      </w:r>
    </w:p>
    <w:p w14:paraId="23256D18" w14:textId="77777777" w:rsidR="00D145CD" w:rsidRPr="00026EEC" w:rsidRDefault="00D145CD" w:rsidP="00026EEC">
      <w:pPr>
        <w:pStyle w:val="ListParagraph"/>
        <w:numPr>
          <w:ilvl w:val="0"/>
          <w:numId w:val="14"/>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تمكّن صانعي القرار في قطاع الطاقة من اتخاذ قرارات مبنية على تحليل دقيق للمخاطر، عبر أدوات ذكية ومحاكاة تعتمد على البيانات الفعلية، مما يحد من التكاليف التشغيلية ويحسن من كفاءة الاستجابة.</w:t>
      </w:r>
    </w:p>
    <w:p w14:paraId="6DD6EF3C" w14:textId="77777777" w:rsidR="00D145CD" w:rsidRPr="00026EEC" w:rsidRDefault="00D145CD" w:rsidP="00026EEC">
      <w:pPr>
        <w:pStyle w:val="ListParagraph"/>
        <w:numPr>
          <w:ilvl w:val="0"/>
          <w:numId w:val="14"/>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تعزز قدرة الفرق الفنية والهندسية على توظيف تقنيات الشبكات الذكية والأنظمة المساعدة في اكتشاف الأعطال ومعالجتها بفعالية، وتقليل الاعتماد على التدخل البشري التقليدي.</w:t>
      </w:r>
    </w:p>
    <w:p w14:paraId="69A4C682" w14:textId="77777777" w:rsidR="00D145CD" w:rsidRPr="00026EEC" w:rsidRDefault="00D145CD" w:rsidP="00026EEC">
      <w:pPr>
        <w:pStyle w:val="ListParagraph"/>
        <w:numPr>
          <w:ilvl w:val="0"/>
          <w:numId w:val="14"/>
        </w:numPr>
        <w:spacing w:after="0" w:line="240" w:lineRule="auto"/>
        <w:ind w:left="423"/>
        <w:contextualSpacing w:val="0"/>
        <w:jc w:val="both"/>
        <w:rPr>
          <w:rFonts w:ascii="Simplified Arabic" w:hAnsi="Simplified Arabic" w:cs="Simplified Arabic"/>
          <w:sz w:val="24"/>
          <w:szCs w:val="24"/>
          <w:rtl/>
        </w:rPr>
      </w:pPr>
      <w:r w:rsidRPr="00026EEC">
        <w:rPr>
          <w:rFonts w:ascii="Simplified Arabic" w:hAnsi="Simplified Arabic" w:cs="Simplified Arabic"/>
          <w:sz w:val="24"/>
          <w:szCs w:val="24"/>
          <w:rtl/>
        </w:rPr>
        <w:t>تسهم في تحسين تجربة المستفيد النهائي من الخدمة الكهربائية من خلال تقليل الانقطاعات وزيادة الاستقرار في الشبكة، وهو ما ينعكس إيجابًا على رضا العملاء وجودة الخدمة.</w:t>
      </w:r>
    </w:p>
    <w:p w14:paraId="4DEB06C2" w14:textId="3F58AA00" w:rsidR="00375D08" w:rsidRPr="00026EEC" w:rsidRDefault="00375D08" w:rsidP="00C54147">
      <w:pPr>
        <w:spacing w:after="0" w:line="240" w:lineRule="auto"/>
        <w:outlineLvl w:val="1"/>
        <w:rPr>
          <w:rFonts w:ascii="Simplified Arabic" w:hAnsi="Simplified Arabic" w:cs="Simplified Arabic"/>
          <w:b/>
          <w:bCs/>
          <w:sz w:val="24"/>
          <w:szCs w:val="24"/>
          <w:rtl/>
        </w:rPr>
      </w:pPr>
      <w:bookmarkStart w:id="9" w:name="_Toc169790491"/>
      <w:bookmarkStart w:id="10" w:name="_Toc223386506"/>
      <w:bookmarkEnd w:id="8"/>
      <w:r w:rsidRPr="00026EEC">
        <w:rPr>
          <w:rFonts w:ascii="Simplified Arabic" w:hAnsi="Simplified Arabic" w:cs="Simplified Arabic"/>
          <w:b/>
          <w:bCs/>
          <w:sz w:val="24"/>
          <w:szCs w:val="24"/>
          <w:rtl/>
        </w:rPr>
        <w:t>أهداف الدراسة:</w:t>
      </w:r>
      <w:bookmarkEnd w:id="10"/>
    </w:p>
    <w:p w14:paraId="09AB8DAE" w14:textId="44A0400C" w:rsidR="002133A6" w:rsidRPr="00026EEC" w:rsidRDefault="002133A6"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 xml:space="preserve">هدفت هذه الدراسة </w:t>
      </w:r>
      <w:r w:rsidR="00D145CD" w:rsidRPr="00026EEC">
        <w:rPr>
          <w:rFonts w:ascii="Simplified Arabic" w:hAnsi="Simplified Arabic" w:cs="Simplified Arabic"/>
          <w:sz w:val="24"/>
          <w:szCs w:val="24"/>
          <w:rtl/>
        </w:rPr>
        <w:t xml:space="preserve">التعرف على أثر إدارة المخاطر التشغيلية المتقدمة في شبكات الكهرباء الذكية على الحد من الخسائر الفنية وتحسين الكفاءة التشغيلية </w:t>
      </w:r>
      <w:r w:rsidRPr="00026EEC">
        <w:rPr>
          <w:rFonts w:ascii="Simplified Arabic" w:hAnsi="Simplified Arabic" w:cs="Simplified Arabic"/>
          <w:sz w:val="24"/>
          <w:szCs w:val="24"/>
          <w:rtl/>
        </w:rPr>
        <w:t>، وتتفرع من هذا الهدف العام عدة أهداف فرعية، وهي</w:t>
      </w:r>
      <w:r w:rsidRPr="00026EEC">
        <w:rPr>
          <w:rFonts w:ascii="Simplified Arabic" w:hAnsi="Simplified Arabic" w:cs="Simplified Arabic"/>
          <w:sz w:val="24"/>
          <w:szCs w:val="24"/>
        </w:rPr>
        <w:t>:</w:t>
      </w:r>
    </w:p>
    <w:p w14:paraId="6BEDD887" w14:textId="3A5CFBF7" w:rsidR="001D1A85" w:rsidRPr="00026EEC" w:rsidRDefault="001D1A85" w:rsidP="00026EEC">
      <w:pPr>
        <w:pStyle w:val="ListParagraph"/>
        <w:numPr>
          <w:ilvl w:val="0"/>
          <w:numId w:val="15"/>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تحليل دور أدوات وأساليب رصد وتقييم المخاطر التشغيلية في تقليل الفاقد الفني في شبكات الكهرباء الذكية</w:t>
      </w:r>
      <w:r w:rsidRPr="00026EEC">
        <w:rPr>
          <w:rFonts w:ascii="Simplified Arabic" w:hAnsi="Simplified Arabic" w:cs="Simplified Arabic"/>
          <w:sz w:val="24"/>
          <w:szCs w:val="24"/>
        </w:rPr>
        <w:t>.</w:t>
      </w:r>
    </w:p>
    <w:p w14:paraId="1E989174" w14:textId="1C3AFB30" w:rsidR="001D1A85" w:rsidRPr="00026EEC" w:rsidRDefault="001D1A85" w:rsidP="00026EEC">
      <w:pPr>
        <w:pStyle w:val="ListParagraph"/>
        <w:numPr>
          <w:ilvl w:val="0"/>
          <w:numId w:val="15"/>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التعرف على أثر تطبيق استراتيجيات الاستجابة للمخاطر على تحسين كفاءة الشبكة وتقليل الأعطال</w:t>
      </w:r>
      <w:r w:rsidRPr="00026EEC">
        <w:rPr>
          <w:rFonts w:ascii="Simplified Arabic" w:hAnsi="Simplified Arabic" w:cs="Simplified Arabic"/>
          <w:sz w:val="24"/>
          <w:szCs w:val="24"/>
        </w:rPr>
        <w:t>.</w:t>
      </w:r>
    </w:p>
    <w:p w14:paraId="5E10E3E2" w14:textId="1DC32CB8" w:rsidR="001D1A85" w:rsidRPr="00026EEC" w:rsidRDefault="001D1A85" w:rsidP="00026EEC">
      <w:pPr>
        <w:pStyle w:val="ListParagraph"/>
        <w:numPr>
          <w:ilvl w:val="0"/>
          <w:numId w:val="15"/>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دراسة العلاقة بين كفاءة نظم الصيانة الوقائية والمراقبة الذكية وتقليل الاعتماد على التدخلات اليدوية</w:t>
      </w:r>
      <w:r w:rsidRPr="00026EEC">
        <w:rPr>
          <w:rFonts w:ascii="Simplified Arabic" w:hAnsi="Simplified Arabic" w:cs="Simplified Arabic"/>
          <w:sz w:val="24"/>
          <w:szCs w:val="24"/>
        </w:rPr>
        <w:t>.</w:t>
      </w:r>
    </w:p>
    <w:p w14:paraId="49033FA6" w14:textId="63973EDF" w:rsidR="001D1A85" w:rsidRPr="00026EEC" w:rsidRDefault="001D1A85" w:rsidP="00026EEC">
      <w:pPr>
        <w:pStyle w:val="ListParagraph"/>
        <w:numPr>
          <w:ilvl w:val="0"/>
          <w:numId w:val="15"/>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تقييم مدى مساهمة التكامل بين تقنيات إدارة المخاطر والتكنولوجيا الذكية في دعم استدامة الشبكات الكهربائية</w:t>
      </w:r>
      <w:r w:rsidRPr="00026EEC">
        <w:rPr>
          <w:rFonts w:ascii="Simplified Arabic" w:hAnsi="Simplified Arabic" w:cs="Simplified Arabic"/>
          <w:sz w:val="24"/>
          <w:szCs w:val="24"/>
        </w:rPr>
        <w:t>.</w:t>
      </w:r>
    </w:p>
    <w:p w14:paraId="011337A8" w14:textId="477E97A5" w:rsidR="00375D08" w:rsidRPr="00026EEC" w:rsidRDefault="00375D08" w:rsidP="00026EEC">
      <w:pPr>
        <w:spacing w:after="0" w:line="240" w:lineRule="auto"/>
        <w:jc w:val="both"/>
        <w:outlineLvl w:val="1"/>
        <w:rPr>
          <w:rFonts w:ascii="Simplified Arabic" w:hAnsi="Simplified Arabic" w:cs="Simplified Arabic"/>
          <w:b/>
          <w:bCs/>
          <w:sz w:val="24"/>
          <w:szCs w:val="24"/>
          <w:rtl/>
        </w:rPr>
      </w:pPr>
      <w:bookmarkStart w:id="11" w:name="_Toc223386507"/>
      <w:bookmarkEnd w:id="9"/>
      <w:r w:rsidRPr="00026EEC">
        <w:rPr>
          <w:rFonts w:ascii="Simplified Arabic" w:hAnsi="Simplified Arabic" w:cs="Simplified Arabic"/>
          <w:b/>
          <w:bCs/>
          <w:sz w:val="24"/>
          <w:szCs w:val="24"/>
          <w:rtl/>
        </w:rPr>
        <w:t>تساؤلات الدراسة</w:t>
      </w:r>
      <w:bookmarkEnd w:id="11"/>
    </w:p>
    <w:p w14:paraId="28858177" w14:textId="6B37C401" w:rsidR="002133A6" w:rsidRPr="00026EEC" w:rsidRDefault="00A327F6"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b/>
          <w:bCs/>
          <w:sz w:val="24"/>
          <w:szCs w:val="24"/>
          <w:rtl/>
        </w:rPr>
        <w:t>ال</w:t>
      </w:r>
      <w:r w:rsidR="002133A6" w:rsidRPr="00026EEC">
        <w:rPr>
          <w:rFonts w:ascii="Simplified Arabic" w:hAnsi="Simplified Arabic" w:cs="Simplified Arabic"/>
          <w:b/>
          <w:bCs/>
          <w:sz w:val="24"/>
          <w:szCs w:val="24"/>
          <w:rtl/>
        </w:rPr>
        <w:t>سؤال الدراسة الرئيسي</w:t>
      </w:r>
      <w:r w:rsidR="002133A6" w:rsidRPr="00026EEC">
        <w:rPr>
          <w:rFonts w:ascii="Simplified Arabic" w:hAnsi="Simplified Arabic" w:cs="Simplified Arabic"/>
          <w:sz w:val="24"/>
          <w:szCs w:val="24"/>
        </w:rPr>
        <w:t>:</w:t>
      </w:r>
      <w:r w:rsidRPr="00026EEC">
        <w:rPr>
          <w:rFonts w:ascii="Simplified Arabic" w:hAnsi="Simplified Arabic" w:cs="Simplified Arabic"/>
          <w:sz w:val="24"/>
          <w:szCs w:val="24"/>
          <w:rtl/>
        </w:rPr>
        <w:t xml:space="preserve"> </w:t>
      </w:r>
      <w:r w:rsidR="001D1A85" w:rsidRPr="00026EEC">
        <w:rPr>
          <w:rFonts w:ascii="Simplified Arabic" w:hAnsi="Simplified Arabic" w:cs="Simplified Arabic"/>
          <w:sz w:val="24"/>
          <w:szCs w:val="24"/>
          <w:rtl/>
        </w:rPr>
        <w:t>ما أثر إدارة المخاطر التشغيلية المتقدمة في شبكات الكهرباء الذكية على الحد من الخسائر الفنية وتحسين الكفاءة التشغيلية؟</w:t>
      </w:r>
      <w:r w:rsidRPr="00026EEC">
        <w:rPr>
          <w:rFonts w:ascii="Simplified Arabic" w:hAnsi="Simplified Arabic" w:cs="Simplified Arabic"/>
          <w:sz w:val="24"/>
          <w:szCs w:val="24"/>
          <w:rtl/>
        </w:rPr>
        <w:t xml:space="preserve"> وتتفرع منه عدة أسئلة فرعية:</w:t>
      </w:r>
    </w:p>
    <w:p w14:paraId="04C61FD2" w14:textId="64BC0FD3" w:rsidR="005C170A" w:rsidRPr="00026EEC" w:rsidRDefault="005C170A" w:rsidP="00026EEC">
      <w:pPr>
        <w:pStyle w:val="ListParagraph"/>
        <w:numPr>
          <w:ilvl w:val="0"/>
          <w:numId w:val="16"/>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ما مدى فعالية أدوات تقييم المخاطر التشغيلية في تقليل الفاقد الفني</w:t>
      </w:r>
      <w:r w:rsidR="005E4655" w:rsidRPr="00026EEC">
        <w:rPr>
          <w:rFonts w:ascii="Simplified Arabic" w:hAnsi="Simplified Arabic" w:cs="Simplified Arabic"/>
          <w:sz w:val="24"/>
          <w:szCs w:val="24"/>
          <w:rtl/>
        </w:rPr>
        <w:t xml:space="preserve"> فى الشركة السعودية للكهرباء</w:t>
      </w:r>
      <w:r w:rsidRPr="00026EEC">
        <w:rPr>
          <w:rFonts w:ascii="Simplified Arabic" w:hAnsi="Simplified Arabic" w:cs="Simplified Arabic"/>
          <w:sz w:val="24"/>
          <w:szCs w:val="24"/>
          <w:rtl/>
        </w:rPr>
        <w:t>؟</w:t>
      </w:r>
    </w:p>
    <w:p w14:paraId="3FBF60D4" w14:textId="0A95ED91" w:rsidR="005C170A" w:rsidRPr="00026EEC" w:rsidRDefault="005C170A" w:rsidP="00026EEC">
      <w:pPr>
        <w:pStyle w:val="ListParagraph"/>
        <w:numPr>
          <w:ilvl w:val="0"/>
          <w:numId w:val="16"/>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كيف تسهم استراتيجيات الاستجابة للمخاطر في تحسين الأداء التشغيلي للشبكة</w:t>
      </w:r>
      <w:r w:rsidR="00C54147">
        <w:rPr>
          <w:rFonts w:ascii="Simplified Arabic" w:hAnsi="Simplified Arabic" w:cs="Simplified Arabic"/>
          <w:sz w:val="24"/>
          <w:szCs w:val="24"/>
          <w:rtl/>
        </w:rPr>
        <w:t xml:space="preserve"> فى الشركة السعودية للكهرباء</w:t>
      </w:r>
      <w:r w:rsidRPr="00026EEC">
        <w:rPr>
          <w:rFonts w:ascii="Simplified Arabic" w:hAnsi="Simplified Arabic" w:cs="Simplified Arabic"/>
          <w:sz w:val="24"/>
          <w:szCs w:val="24"/>
          <w:rtl/>
        </w:rPr>
        <w:t>؟</w:t>
      </w:r>
    </w:p>
    <w:p w14:paraId="2BF27EEE" w14:textId="4A4C79CE" w:rsidR="005C170A" w:rsidRPr="00026EEC" w:rsidRDefault="005C170A" w:rsidP="00026EEC">
      <w:pPr>
        <w:pStyle w:val="ListParagraph"/>
        <w:numPr>
          <w:ilvl w:val="0"/>
          <w:numId w:val="16"/>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إلى أي مدى تؤثر المراقبة الذكية والصيانة الاستباقية على تقليل الأعطال</w:t>
      </w:r>
      <w:r w:rsidR="00C54147">
        <w:rPr>
          <w:rFonts w:ascii="Simplified Arabic" w:hAnsi="Simplified Arabic" w:cs="Simplified Arabic"/>
          <w:sz w:val="24"/>
          <w:szCs w:val="24"/>
          <w:rtl/>
        </w:rPr>
        <w:t xml:space="preserve"> فى الشركة السعودية للكهرباء</w:t>
      </w:r>
      <w:r w:rsidRPr="00026EEC">
        <w:rPr>
          <w:rFonts w:ascii="Simplified Arabic" w:hAnsi="Simplified Arabic" w:cs="Simplified Arabic"/>
          <w:sz w:val="24"/>
          <w:szCs w:val="24"/>
          <w:rtl/>
        </w:rPr>
        <w:t>؟</w:t>
      </w:r>
    </w:p>
    <w:p w14:paraId="10FC491B" w14:textId="454D9E9C" w:rsidR="005C170A" w:rsidRPr="00026EEC" w:rsidRDefault="005C170A" w:rsidP="00026EEC">
      <w:pPr>
        <w:pStyle w:val="ListParagraph"/>
        <w:numPr>
          <w:ilvl w:val="0"/>
          <w:numId w:val="16"/>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sz w:val="24"/>
          <w:szCs w:val="24"/>
          <w:rtl/>
        </w:rPr>
        <w:t>ما مدى مساهمة استخدام تقنيات الذكاء الصناعي في دعم استمرارية وكفاءة الشبكات الكهربائية الذكية</w:t>
      </w:r>
      <w:r w:rsidR="005E4655" w:rsidRPr="00026EEC">
        <w:rPr>
          <w:rFonts w:ascii="Simplified Arabic" w:hAnsi="Simplified Arabic" w:cs="Simplified Arabic"/>
          <w:sz w:val="24"/>
          <w:szCs w:val="24"/>
          <w:rtl/>
        </w:rPr>
        <w:t xml:space="preserve"> فى الشركة السعودية للكهرباء </w:t>
      </w:r>
      <w:r w:rsidRPr="00026EEC">
        <w:rPr>
          <w:rFonts w:ascii="Simplified Arabic" w:hAnsi="Simplified Arabic" w:cs="Simplified Arabic"/>
          <w:sz w:val="24"/>
          <w:szCs w:val="24"/>
          <w:rtl/>
        </w:rPr>
        <w:t>؟</w:t>
      </w:r>
    </w:p>
    <w:p w14:paraId="0D9BACF1" w14:textId="1756B3AE" w:rsidR="00375D08" w:rsidRPr="00026EEC" w:rsidRDefault="00375D08" w:rsidP="00026EEC">
      <w:pPr>
        <w:spacing w:after="0" w:line="240" w:lineRule="auto"/>
        <w:outlineLvl w:val="1"/>
        <w:rPr>
          <w:rFonts w:ascii="Simplified Arabic" w:hAnsi="Simplified Arabic" w:cs="Simplified Arabic"/>
          <w:b/>
          <w:bCs/>
          <w:sz w:val="24"/>
          <w:szCs w:val="24"/>
        </w:rPr>
      </w:pPr>
      <w:bookmarkStart w:id="12" w:name="_Toc223386514"/>
      <w:r w:rsidRPr="00026EEC">
        <w:rPr>
          <w:rFonts w:ascii="Simplified Arabic" w:hAnsi="Simplified Arabic" w:cs="Simplified Arabic"/>
          <w:b/>
          <w:bCs/>
          <w:sz w:val="24"/>
          <w:szCs w:val="24"/>
          <w:rtl/>
        </w:rPr>
        <w:t>حدود الدراسة:</w:t>
      </w:r>
      <w:bookmarkEnd w:id="12"/>
    </w:p>
    <w:p w14:paraId="25A330B3" w14:textId="3D90C0CD" w:rsidR="00CA49E9" w:rsidRPr="00026EEC" w:rsidRDefault="00053122" w:rsidP="00026EEC">
      <w:pPr>
        <w:pStyle w:val="ListParagraph"/>
        <w:numPr>
          <w:ilvl w:val="0"/>
          <w:numId w:val="20"/>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b/>
          <w:bCs/>
          <w:sz w:val="24"/>
          <w:szCs w:val="24"/>
          <w:rtl/>
        </w:rPr>
        <w:t>حدود موضوعية</w:t>
      </w:r>
      <w:r w:rsidRPr="00026EEC">
        <w:rPr>
          <w:rFonts w:ascii="Simplified Arabic" w:hAnsi="Simplified Arabic" w:cs="Simplified Arabic"/>
          <w:sz w:val="24"/>
          <w:szCs w:val="24"/>
          <w:rtl/>
        </w:rPr>
        <w:t xml:space="preserve">: </w:t>
      </w:r>
      <w:r w:rsidR="004F0AD9" w:rsidRPr="00026EEC">
        <w:rPr>
          <w:rFonts w:ascii="Simplified Arabic" w:hAnsi="Simplified Arabic" w:cs="Simplified Arabic"/>
          <w:sz w:val="24"/>
          <w:szCs w:val="24"/>
          <w:rtl/>
        </w:rPr>
        <w:t>تركز على أثر إدارة المخاطر التشغيلية المتقدمة دون التطرق لبقية أنواع المخاطر</w:t>
      </w:r>
      <w:r w:rsidR="006904F6" w:rsidRPr="00026EEC">
        <w:rPr>
          <w:rFonts w:ascii="Simplified Arabic" w:hAnsi="Simplified Arabic" w:cs="Simplified Arabic"/>
          <w:sz w:val="24"/>
          <w:szCs w:val="24"/>
          <w:rtl/>
        </w:rPr>
        <w:t>.</w:t>
      </w:r>
      <w:r w:rsidR="00CA49E9" w:rsidRPr="00026EEC">
        <w:rPr>
          <w:rFonts w:ascii="Simplified Arabic" w:hAnsi="Simplified Arabic" w:cs="Simplified Arabic"/>
          <w:sz w:val="24"/>
          <w:szCs w:val="24"/>
          <w:rtl/>
        </w:rPr>
        <w:t xml:space="preserve"> </w:t>
      </w:r>
    </w:p>
    <w:p w14:paraId="7D403AAD" w14:textId="05A417E8" w:rsidR="00A60AAE" w:rsidRPr="00026EEC" w:rsidRDefault="00053122" w:rsidP="00026EEC">
      <w:pPr>
        <w:pStyle w:val="ListParagraph"/>
        <w:numPr>
          <w:ilvl w:val="0"/>
          <w:numId w:val="20"/>
        </w:numPr>
        <w:spacing w:after="0" w:line="240" w:lineRule="auto"/>
        <w:ind w:left="423"/>
        <w:contextualSpacing w:val="0"/>
        <w:jc w:val="both"/>
        <w:rPr>
          <w:rFonts w:ascii="Simplified Arabic" w:hAnsi="Simplified Arabic" w:cs="Simplified Arabic"/>
          <w:sz w:val="24"/>
          <w:szCs w:val="24"/>
          <w:u w:val="single"/>
        </w:rPr>
      </w:pPr>
      <w:r w:rsidRPr="00026EEC">
        <w:rPr>
          <w:rFonts w:ascii="Simplified Arabic" w:hAnsi="Simplified Arabic" w:cs="Simplified Arabic"/>
          <w:b/>
          <w:bCs/>
          <w:sz w:val="24"/>
          <w:szCs w:val="24"/>
          <w:rtl/>
        </w:rPr>
        <w:t>حدود مكانية</w:t>
      </w:r>
      <w:r w:rsidRPr="00026EEC">
        <w:rPr>
          <w:rFonts w:ascii="Simplified Arabic" w:hAnsi="Simplified Arabic" w:cs="Simplified Arabic"/>
          <w:sz w:val="24"/>
          <w:szCs w:val="24"/>
          <w:rtl/>
        </w:rPr>
        <w:t xml:space="preserve">: </w:t>
      </w:r>
      <w:r w:rsidR="002133A6" w:rsidRPr="00026EEC">
        <w:rPr>
          <w:rFonts w:ascii="Simplified Arabic" w:hAnsi="Simplified Arabic" w:cs="Simplified Arabic"/>
          <w:sz w:val="24"/>
          <w:szCs w:val="24"/>
          <w:rtl/>
        </w:rPr>
        <w:t xml:space="preserve">أجريت الدراسة في المملكة العربية السعودية، </w:t>
      </w:r>
      <w:r w:rsidR="004F0AD9" w:rsidRPr="00026EEC">
        <w:rPr>
          <w:rFonts w:ascii="Simplified Arabic" w:hAnsi="Simplified Arabic" w:cs="Simplified Arabic"/>
          <w:sz w:val="24"/>
          <w:szCs w:val="24"/>
          <w:rtl/>
        </w:rPr>
        <w:t>في الشركة السعودية للكهرباء</w:t>
      </w:r>
      <w:r w:rsidR="00A60AAE" w:rsidRPr="00026EEC">
        <w:rPr>
          <w:rFonts w:ascii="Simplified Arabic" w:hAnsi="Simplified Arabic" w:cs="Simplified Arabic"/>
          <w:sz w:val="24"/>
          <w:szCs w:val="24"/>
          <w:u w:val="single"/>
          <w:rtl/>
        </w:rPr>
        <w:t>.</w:t>
      </w:r>
    </w:p>
    <w:p w14:paraId="1ABED148" w14:textId="5933B61C" w:rsidR="00053122" w:rsidRPr="00026EEC" w:rsidRDefault="00053122" w:rsidP="00026EEC">
      <w:pPr>
        <w:pStyle w:val="ListParagraph"/>
        <w:numPr>
          <w:ilvl w:val="0"/>
          <w:numId w:val="20"/>
        </w:numPr>
        <w:spacing w:after="0" w:line="240" w:lineRule="auto"/>
        <w:ind w:left="423"/>
        <w:contextualSpacing w:val="0"/>
        <w:jc w:val="both"/>
        <w:rPr>
          <w:rFonts w:ascii="Simplified Arabic" w:hAnsi="Simplified Arabic" w:cs="Simplified Arabic"/>
          <w:sz w:val="24"/>
          <w:szCs w:val="24"/>
          <w:u w:val="single"/>
        </w:rPr>
      </w:pPr>
      <w:r w:rsidRPr="00026EEC">
        <w:rPr>
          <w:rFonts w:ascii="Simplified Arabic" w:hAnsi="Simplified Arabic" w:cs="Simplified Arabic"/>
          <w:b/>
          <w:bCs/>
          <w:sz w:val="24"/>
          <w:szCs w:val="24"/>
          <w:rtl/>
        </w:rPr>
        <w:t>حدود زمانية</w:t>
      </w:r>
      <w:r w:rsidRPr="00026EEC">
        <w:rPr>
          <w:rFonts w:ascii="Simplified Arabic" w:hAnsi="Simplified Arabic" w:cs="Simplified Arabic"/>
          <w:sz w:val="24"/>
          <w:szCs w:val="24"/>
          <w:rtl/>
        </w:rPr>
        <w:t xml:space="preserve">: </w:t>
      </w:r>
      <w:r w:rsidR="000318AB" w:rsidRPr="00026EEC">
        <w:rPr>
          <w:rFonts w:ascii="Simplified Arabic" w:hAnsi="Simplified Arabic" w:cs="Simplified Arabic"/>
          <w:sz w:val="24"/>
          <w:szCs w:val="24"/>
          <w:rtl/>
        </w:rPr>
        <w:t>سيتم إجراء الدراسة خلال العام الأكاديمي 2025</w:t>
      </w:r>
      <w:r w:rsidR="00B346DF" w:rsidRPr="00026EEC">
        <w:rPr>
          <w:rFonts w:ascii="Simplified Arabic" w:hAnsi="Simplified Arabic" w:cs="Simplified Arabic"/>
          <w:sz w:val="24"/>
          <w:szCs w:val="24"/>
          <w:rtl/>
        </w:rPr>
        <w:t>.</w:t>
      </w:r>
    </w:p>
    <w:p w14:paraId="5FE76A67" w14:textId="073BFF0F" w:rsidR="00FD571F" w:rsidRPr="00026EEC" w:rsidRDefault="00B346DF" w:rsidP="00026EEC">
      <w:pPr>
        <w:pStyle w:val="ListParagraph"/>
        <w:numPr>
          <w:ilvl w:val="0"/>
          <w:numId w:val="20"/>
        </w:numPr>
        <w:spacing w:after="0" w:line="240" w:lineRule="auto"/>
        <w:ind w:left="423"/>
        <w:contextualSpacing w:val="0"/>
        <w:jc w:val="both"/>
        <w:rPr>
          <w:rFonts w:ascii="Simplified Arabic" w:hAnsi="Simplified Arabic" w:cs="Simplified Arabic"/>
          <w:sz w:val="24"/>
          <w:szCs w:val="24"/>
        </w:rPr>
      </w:pPr>
      <w:r w:rsidRPr="00026EEC">
        <w:rPr>
          <w:rFonts w:ascii="Simplified Arabic" w:hAnsi="Simplified Arabic" w:cs="Simplified Arabic"/>
          <w:b/>
          <w:bCs/>
          <w:sz w:val="24"/>
          <w:szCs w:val="24"/>
          <w:rtl/>
        </w:rPr>
        <w:t>حدود بشرية</w:t>
      </w:r>
      <w:r w:rsidRPr="00026EEC">
        <w:rPr>
          <w:rFonts w:ascii="Simplified Arabic" w:hAnsi="Simplified Arabic" w:cs="Simplified Arabic"/>
          <w:sz w:val="24"/>
          <w:szCs w:val="24"/>
          <w:rtl/>
        </w:rPr>
        <w:t>:</w:t>
      </w:r>
      <w:bookmarkStart w:id="13" w:name="_Toc169790506"/>
      <w:r w:rsidR="00D81039" w:rsidRPr="00026EEC">
        <w:rPr>
          <w:rFonts w:ascii="Simplified Arabic" w:hAnsi="Simplified Arabic" w:cs="Simplified Arabic"/>
          <w:sz w:val="24"/>
          <w:szCs w:val="24"/>
          <w:rtl/>
        </w:rPr>
        <w:t xml:space="preserve"> </w:t>
      </w:r>
      <w:r w:rsidR="007E1C36" w:rsidRPr="00026EEC">
        <w:rPr>
          <w:rFonts w:ascii="Simplified Arabic" w:hAnsi="Simplified Arabic" w:cs="Simplified Arabic"/>
          <w:sz w:val="24"/>
          <w:szCs w:val="24"/>
          <w:rtl/>
        </w:rPr>
        <w:t>تشمل الموظفين المختصين في إدارات التشغيل والمخاطر والتقنية</w:t>
      </w:r>
      <w:r w:rsidR="007E1C36" w:rsidRPr="00026EEC">
        <w:rPr>
          <w:rFonts w:ascii="Simplified Arabic" w:hAnsi="Simplified Arabic" w:cs="Simplified Arabic"/>
          <w:sz w:val="24"/>
          <w:szCs w:val="24"/>
        </w:rPr>
        <w:t>.</w:t>
      </w:r>
    </w:p>
    <w:p w14:paraId="4275A314" w14:textId="0531DD38" w:rsidR="00F75CCD" w:rsidRPr="00C54147" w:rsidRDefault="00375D08" w:rsidP="00C54147">
      <w:pPr>
        <w:spacing w:after="0" w:line="240" w:lineRule="auto"/>
        <w:outlineLvl w:val="0"/>
        <w:rPr>
          <w:rFonts w:ascii="Simplified Arabic" w:hAnsi="Simplified Arabic" w:cs="Simplified Arabic"/>
          <w:b/>
          <w:bCs/>
          <w:sz w:val="28"/>
          <w:szCs w:val="28"/>
          <w:rtl/>
        </w:rPr>
      </w:pPr>
      <w:bookmarkStart w:id="14" w:name="_Toc223386515"/>
      <w:r w:rsidRPr="00C54147">
        <w:rPr>
          <w:rFonts w:ascii="Simplified Arabic" w:hAnsi="Simplified Arabic" w:cs="Simplified Arabic"/>
          <w:b/>
          <w:bCs/>
          <w:sz w:val="28"/>
          <w:szCs w:val="28"/>
          <w:rtl/>
        </w:rPr>
        <w:t>الإطار النظري</w:t>
      </w:r>
      <w:bookmarkEnd w:id="14"/>
    </w:p>
    <w:p w14:paraId="15ED83F6" w14:textId="77777777" w:rsidR="00375D08" w:rsidRPr="00C54147" w:rsidRDefault="00375D08" w:rsidP="00C54147">
      <w:pPr>
        <w:spacing w:after="0" w:line="240" w:lineRule="auto"/>
        <w:outlineLvl w:val="1"/>
        <w:rPr>
          <w:rFonts w:ascii="Simplified Arabic" w:eastAsia="Times New Roman" w:hAnsi="Simplified Arabic" w:cs="Simplified Arabic"/>
          <w:b/>
          <w:bCs/>
          <w:kern w:val="0"/>
          <w:sz w:val="28"/>
          <w:szCs w:val="28"/>
          <w:rtl/>
          <w14:ligatures w14:val="none"/>
        </w:rPr>
      </w:pPr>
      <w:bookmarkStart w:id="15" w:name="_Toc223386516"/>
      <w:r w:rsidRPr="00C54147">
        <w:rPr>
          <w:rFonts w:ascii="Simplified Arabic" w:eastAsia="Times New Roman" w:hAnsi="Simplified Arabic" w:cs="Simplified Arabic"/>
          <w:b/>
          <w:bCs/>
          <w:kern w:val="0"/>
          <w:sz w:val="28"/>
          <w:szCs w:val="28"/>
          <w:rtl/>
          <w14:ligatures w14:val="none"/>
        </w:rPr>
        <w:t>المبحث الأول: إدارة المخاطر التشغيلية المتقدمة في شبكات الكهرباء الذكية</w:t>
      </w:r>
      <w:bookmarkEnd w:id="15"/>
    </w:p>
    <w:p w14:paraId="1E286C3C" w14:textId="198C32FC" w:rsidR="00B820CB" w:rsidRPr="00026EEC" w:rsidRDefault="00375D08" w:rsidP="00026EEC">
      <w:pPr>
        <w:spacing w:after="0" w:line="240" w:lineRule="auto"/>
        <w:outlineLvl w:val="2"/>
        <w:rPr>
          <w:rFonts w:ascii="Simplified Arabic" w:eastAsia="Times New Roman" w:hAnsi="Simplified Arabic" w:cs="Simplified Arabic"/>
          <w:b/>
          <w:bCs/>
          <w:kern w:val="0"/>
          <w:sz w:val="24"/>
          <w:szCs w:val="24"/>
          <w14:ligatures w14:val="none"/>
        </w:rPr>
      </w:pPr>
      <w:bookmarkStart w:id="16" w:name="_Toc223386518"/>
      <w:r w:rsidRPr="00026EEC">
        <w:rPr>
          <w:rFonts w:ascii="Simplified Arabic" w:eastAsia="Times New Roman" w:hAnsi="Simplified Arabic" w:cs="Simplified Arabic"/>
          <w:b/>
          <w:bCs/>
          <w:kern w:val="0"/>
          <w:sz w:val="24"/>
          <w:szCs w:val="24"/>
          <w:rtl/>
          <w14:ligatures w14:val="none"/>
        </w:rPr>
        <w:lastRenderedPageBreak/>
        <w:t>مفهوم إدارة المخاطر التشغيلية المتقدمة</w:t>
      </w:r>
      <w:bookmarkEnd w:id="16"/>
    </w:p>
    <w:p w14:paraId="439D8944"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شغل مفهوم إدارة المخاطر التشغيلية حيزاً واسعاً من اهتمام الباحثين والممارسين على حدٍّ سواء، وقد تباينت التعريفات المطروحة له تبعاً للمنظور النظري الذي ينطلق منه كل باحث ولطبيعة القطاع التطبيقي الذي يدور فيه البحث. ويرتبط هذا التباين بتعدد الأبعاد التي ينطوي عليها المفهوم، إذ يمتد ليشمل جوانب تنظيمية وتقنية وبشرية وبيئية، مما يجعل الإحاطة به من زاوية واحدة أمراً غير كافٍ لاستيعاب مضامينه المتشعبة</w:t>
      </w:r>
      <w:r w:rsidRPr="00026EEC">
        <w:rPr>
          <w:rFonts w:ascii="Simplified Arabic" w:eastAsia="Times New Roman" w:hAnsi="Simplified Arabic" w:cs="Simplified Arabic"/>
          <w:kern w:val="0"/>
          <w:sz w:val="24"/>
          <w:szCs w:val="24"/>
          <w14:ligatures w14:val="none"/>
        </w:rPr>
        <w:t>.</w:t>
      </w:r>
    </w:p>
    <w:p w14:paraId="0DA7CDD2"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وفي هذا الإطار، تناول عبدالماجد (2020) إدارة المخاطر التشغيلية بوصفها المنظومة الإدارية والرقابية المتكاملة التي تستهدف التعرّف على مصادر الخطر الكامنة في العمليات الداخلية للمؤسسة وقياسها ومراقبتها والسيطرة عليها، بحيث تشمل المخاطر الناجمة عن قصور الأنظمة الداخلية أو الأخطاء البشرية أو الإخفاقات في الإجراءات أو الأحداث الخارجية غير المتوقعة. ويُلاحظ أن هذا التعريف يُركّز على البُعد الرقابي والعملياتي، ويضع المخاطر التشغيلية في إطار شامل يتجاوز النظرة الضيقة التي تحصرها في الأعطال الفنية فحسب</w:t>
      </w:r>
      <w:r w:rsidRPr="00026EEC">
        <w:rPr>
          <w:rFonts w:ascii="Simplified Arabic" w:eastAsia="Times New Roman" w:hAnsi="Simplified Arabic" w:cs="Simplified Arabic"/>
          <w:kern w:val="0"/>
          <w:sz w:val="24"/>
          <w:szCs w:val="24"/>
          <w14:ligatures w14:val="none"/>
        </w:rPr>
        <w:t>.</w:t>
      </w:r>
    </w:p>
    <w:p w14:paraId="798FBC24"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ومن منظور مغاير يُركّز على العلاقة بين المخاطر التشغيلية والبيئة المؤسسية الأوسع، أشار باقر وآخرون (2020) إلى أن إدارة المخاطر في المشاريع الهندسية تُمثّل عملية ديناميكية تتفاعل فيها عوامل التخطيط والتنفيذ والرقابة ضمن سياق ثقافي ومنظمي محدد، حيث لا يمكن فصل كفاءة إدارة المخاطر عن طبيعة الثقافة المنظمية السائدة التي قد تُعزّز أو تُعيق ممارسات تحديد المخاطر والاستجابة لها. ويُضيف هذا المنظور بُعداً سلوكياً وثقافياً مهماً لم يتناوله التعريف السابق، إذ يُبرز أن إدارة المخاطر التشغيلية لا تقتصر على الأدوات والإجراءات الفنية، بل تتأثر بعمق بالقيم التنظيمية ومستوى الوعي المؤسسي بأهمية المخاطر</w:t>
      </w:r>
      <w:r w:rsidRPr="00026EEC">
        <w:rPr>
          <w:rFonts w:ascii="Simplified Arabic" w:eastAsia="Times New Roman" w:hAnsi="Simplified Arabic" w:cs="Simplified Arabic"/>
          <w:kern w:val="0"/>
          <w:sz w:val="24"/>
          <w:szCs w:val="24"/>
          <w14:ligatures w14:val="none"/>
        </w:rPr>
        <w:t>.</w:t>
      </w:r>
    </w:p>
    <w:p w14:paraId="1A319C87"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وفي اتجاه يُعلي من شأن التقنيات الحديثة في إعادة تشكيل مفهوم إدارة المخاطر التشغيلية، أوضح بالقط وبن العرية</w:t>
      </w:r>
      <w:r w:rsidRPr="00026EEC">
        <w:rPr>
          <w:rFonts w:ascii="Simplified Arabic" w:eastAsia="Times New Roman" w:hAnsi="Simplified Arabic" w:cs="Simplified Arabic"/>
          <w:kern w:val="0"/>
          <w:sz w:val="24"/>
          <w:szCs w:val="24"/>
          <w14:ligatures w14:val="none"/>
        </w:rPr>
        <w:t xml:space="preserve"> (2024) </w:t>
      </w:r>
      <w:r w:rsidRPr="00026EEC">
        <w:rPr>
          <w:rFonts w:ascii="Simplified Arabic" w:eastAsia="Times New Roman" w:hAnsi="Simplified Arabic" w:cs="Simplified Arabic"/>
          <w:kern w:val="0"/>
          <w:sz w:val="24"/>
          <w:szCs w:val="24"/>
          <w:rtl/>
          <w14:ligatures w14:val="none"/>
        </w:rPr>
        <w:t>أن استخدام الأنظمة الخبيرة في بيئة التدقيق قد أدى إلى توسيع نطاق مفهوم إدارة المخاطر التشغيلية ليشمل قدرة المنظمة على توظيف أدوات الذكاء الاصطناعي والأنظمة الخبيرة في اكتشاف أنماط المخاطر وتصنيفها وترتيبها وفق أولويات محسوبة. ويعكس هذا التوجه تحولاً نوعياً في المفهوم ذاته، إذ لم تعد إدارة المخاطر التشغيلية عملية يدوية تعتمد على الخبرة الشخصية والحكم الذاتي فحسب، وإنما باتت منظومة تقنية-إدارية تُوظّف القدرات الحاسوبية في معالجة كمّيات ضخمة من البيانات التشغيلية واستخلاص مؤشرات إنذار مبكر</w:t>
      </w:r>
      <w:r w:rsidRPr="00026EEC">
        <w:rPr>
          <w:rFonts w:ascii="Simplified Arabic" w:eastAsia="Times New Roman" w:hAnsi="Simplified Arabic" w:cs="Simplified Arabic"/>
          <w:kern w:val="0"/>
          <w:sz w:val="24"/>
          <w:szCs w:val="24"/>
          <w14:ligatures w14:val="none"/>
        </w:rPr>
        <w:t>.</w:t>
      </w:r>
    </w:p>
    <w:p w14:paraId="7C4EACCC"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كما تناول بوعبدالله وعلمي (2022) المفهوم من زاوية مؤشرات المخاطر الرئيسية، حيث عرّفا إدارة المخاطر التشغيلية بوصفها القدرة المؤسسية على بناء منظومة مؤشرات استباقية تُمكّن من رصد التغيرات في مستويات المخاطر قبل أن تتحول إلى خسائر فعلية، وذلك من خلال الربط المنهجي بين مؤشرات الأداء الرئيسية ومؤشرات المخاطر الرئيسية. ويُثري هذا التعريف المفهوم بإضافة البُعد الاستباقي والتنبؤي الذي يُميّز الإدارة المتقدمة للمخاطر عن نظيرتها التقليدية</w:t>
      </w:r>
      <w:r w:rsidRPr="00026EEC">
        <w:rPr>
          <w:rFonts w:ascii="Simplified Arabic" w:eastAsia="Times New Roman" w:hAnsi="Simplified Arabic" w:cs="Simplified Arabic"/>
          <w:kern w:val="0"/>
          <w:sz w:val="24"/>
          <w:szCs w:val="24"/>
          <w14:ligatures w14:val="none"/>
        </w:rPr>
        <w:t>.</w:t>
      </w:r>
    </w:p>
    <w:p w14:paraId="7148126E"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أما على صعيد المنظور الدولي، فقد أشار</w:t>
      </w:r>
      <w:r w:rsidRPr="00026EEC">
        <w:rPr>
          <w:rFonts w:ascii="Simplified Arabic" w:eastAsia="Times New Roman" w:hAnsi="Simplified Arabic" w:cs="Simplified Arabic"/>
          <w:kern w:val="0"/>
          <w:sz w:val="24"/>
          <w:szCs w:val="24"/>
          <w14:ligatures w14:val="none"/>
        </w:rPr>
        <w:t xml:space="preserve"> Araz </w:t>
      </w:r>
      <w:r w:rsidRPr="00026EEC">
        <w:rPr>
          <w:rFonts w:ascii="Simplified Arabic" w:eastAsia="Times New Roman" w:hAnsi="Simplified Arabic" w:cs="Simplified Arabic"/>
          <w:kern w:val="0"/>
          <w:sz w:val="24"/>
          <w:szCs w:val="24"/>
          <w:rtl/>
          <w14:ligatures w14:val="none"/>
        </w:rPr>
        <w:t>وآخرون (2020) إلى أن إدارة المخاطر التشغيلية في عصر البيانات الضخمة تُعرَّف بوصفها التوظيف المنهجي لتحليلات البيانات المتقدمة في دعم عملية صنع القرار المتعلق بالمخاطر، بحيث تُحوَّل البيانات التشغيلية الخام إلى رؤى قابلة للتنفيذ تُسهم في تحسين جودة القرارات الاستباقية. ويُركّز هذا التعريف على المخاطر بوصفها مشكلة معلوماتية في جوهرها، يمكن معالجتها بالأدوات التحليلية المناسبة</w:t>
      </w:r>
      <w:r w:rsidRPr="00026EEC">
        <w:rPr>
          <w:rFonts w:ascii="Simplified Arabic" w:eastAsia="Times New Roman" w:hAnsi="Simplified Arabic" w:cs="Simplified Arabic"/>
          <w:kern w:val="0"/>
          <w:sz w:val="24"/>
          <w:szCs w:val="24"/>
          <w14:ligatures w14:val="none"/>
        </w:rPr>
        <w:t>.</w:t>
      </w:r>
    </w:p>
    <w:p w14:paraId="74F7FDC5"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lastRenderedPageBreak/>
        <w:t>وفي السياق ذاته، أوضح</w:t>
      </w:r>
      <w:r w:rsidRPr="00026EEC">
        <w:rPr>
          <w:rFonts w:ascii="Simplified Arabic" w:eastAsia="Times New Roman" w:hAnsi="Simplified Arabic" w:cs="Simplified Arabic"/>
          <w:kern w:val="0"/>
          <w:sz w:val="24"/>
          <w:szCs w:val="24"/>
          <w14:ligatures w14:val="none"/>
        </w:rPr>
        <w:t xml:space="preserve"> Santorry (2024) </w:t>
      </w:r>
      <w:r w:rsidRPr="00026EEC">
        <w:rPr>
          <w:rFonts w:ascii="Simplified Arabic" w:eastAsia="Times New Roman" w:hAnsi="Simplified Arabic" w:cs="Simplified Arabic"/>
          <w:kern w:val="0"/>
          <w:sz w:val="24"/>
          <w:szCs w:val="24"/>
          <w:rtl/>
          <w14:ligatures w14:val="none"/>
        </w:rPr>
        <w:t>أن إدارة المخاطر التشغيلية المتقدمة في المؤسسات المعاصرة تُشير إلى التكامل بين الابتكارات التقنية وممارسات إدارة المخاطر التقليدية، بحيث تُوظَّف التقنيات الناشئة كالذكاء الاصطناعي وسلاسل الكتل وإنترنت الأشياء في إعادة هندسة عمليات تحديد المخاطر وتقييمها والاستجابة لها. ويُضيف هذا التعريف بُعد الابتكار التقني كمكوّن أصيل في المفهوم المتقدم لإدارة المخاطر التشغيلية</w:t>
      </w:r>
      <w:r w:rsidRPr="00026EEC">
        <w:rPr>
          <w:rFonts w:ascii="Simplified Arabic" w:eastAsia="Times New Roman" w:hAnsi="Simplified Arabic" w:cs="Simplified Arabic"/>
          <w:kern w:val="0"/>
          <w:sz w:val="24"/>
          <w:szCs w:val="24"/>
          <w14:ligatures w14:val="none"/>
        </w:rPr>
        <w:t>.</w:t>
      </w:r>
    </w:p>
    <w:p w14:paraId="68CF597D" w14:textId="77777777" w:rsidR="00B820CB" w:rsidRPr="00026EEC" w:rsidRDefault="00B820CB" w:rsidP="00C54147">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ومن جانب سلاسل الإمداد والعمليات، أشار</w:t>
      </w:r>
      <w:r w:rsidRPr="00026EEC">
        <w:rPr>
          <w:rFonts w:ascii="Simplified Arabic" w:eastAsia="Times New Roman" w:hAnsi="Simplified Arabic" w:cs="Simplified Arabic"/>
          <w:kern w:val="0"/>
          <w:sz w:val="24"/>
          <w:szCs w:val="24"/>
          <w14:ligatures w14:val="none"/>
        </w:rPr>
        <w:t xml:space="preserve"> Munir </w:t>
      </w:r>
      <w:r w:rsidRPr="00026EEC">
        <w:rPr>
          <w:rFonts w:ascii="Simplified Arabic" w:eastAsia="Times New Roman" w:hAnsi="Simplified Arabic" w:cs="Simplified Arabic"/>
          <w:kern w:val="0"/>
          <w:sz w:val="24"/>
          <w:szCs w:val="24"/>
          <w:rtl/>
          <w14:ligatures w14:val="none"/>
        </w:rPr>
        <w:t>وآخرون (2020) إلى أن إدارة المخاطر التشغيلية تتضمن القدرة على تحقيق التكامل بين مختلف حلقات سلسلة العمليات بما يُعزّز المرونة التشغيلية ويُقلّل من احتمالية الانقطاعات غير المخطط لها، مما يعني أن المفهوم يتجاوز حدود المنظمة الواحدة ليشمل شبكة العلاقات التشغيلية الأوسع</w:t>
      </w:r>
      <w:r w:rsidRPr="00026EEC">
        <w:rPr>
          <w:rFonts w:ascii="Simplified Arabic" w:eastAsia="Times New Roman" w:hAnsi="Simplified Arabic" w:cs="Simplified Arabic"/>
          <w:kern w:val="0"/>
          <w:sz w:val="24"/>
          <w:szCs w:val="24"/>
          <w14:ligatures w14:val="none"/>
        </w:rPr>
        <w:t>.</w:t>
      </w:r>
    </w:p>
    <w:p w14:paraId="786E8F3F" w14:textId="5B37B040" w:rsidR="00B820CB" w:rsidRPr="00026EEC" w:rsidRDefault="00B820CB" w:rsidP="00C54147">
      <w:pPr>
        <w:spacing w:after="0" w:line="240" w:lineRule="auto"/>
        <w:outlineLvl w:val="1"/>
        <w:rPr>
          <w:rFonts w:ascii="Simplified Arabic" w:hAnsi="Simplified Arabic" w:cs="Simplified Arabic"/>
          <w:b/>
          <w:bCs/>
          <w:sz w:val="24"/>
          <w:szCs w:val="24"/>
        </w:rPr>
      </w:pPr>
      <w:bookmarkStart w:id="17" w:name="_Toc223386527"/>
      <w:r w:rsidRPr="00026EEC">
        <w:rPr>
          <w:rFonts w:ascii="Simplified Arabic" w:hAnsi="Simplified Arabic" w:cs="Simplified Arabic"/>
          <w:b/>
          <w:bCs/>
          <w:sz w:val="24"/>
          <w:szCs w:val="24"/>
          <w:rtl/>
        </w:rPr>
        <w:t>المبحث الثاني: الحدّ من الخسائر الفنية وتحسين الكفاءة التشغيلية في شبكات الكهرباء الذكية</w:t>
      </w:r>
      <w:bookmarkEnd w:id="17"/>
    </w:p>
    <w:p w14:paraId="7585EB92" w14:textId="190B1734" w:rsidR="00B820CB" w:rsidRPr="00026EEC" w:rsidRDefault="00B820CB" w:rsidP="00C54147">
      <w:pPr>
        <w:spacing w:after="0" w:line="240" w:lineRule="auto"/>
        <w:jc w:val="both"/>
        <w:outlineLvl w:val="2"/>
        <w:rPr>
          <w:rFonts w:ascii="Simplified Arabic" w:hAnsi="Simplified Arabic" w:cs="Simplified Arabic"/>
          <w:b/>
          <w:bCs/>
          <w:sz w:val="24"/>
          <w:szCs w:val="24"/>
        </w:rPr>
      </w:pPr>
      <w:bookmarkStart w:id="18" w:name="_Toc223386529"/>
      <w:r w:rsidRPr="00026EEC">
        <w:rPr>
          <w:rFonts w:ascii="Simplified Arabic" w:hAnsi="Simplified Arabic" w:cs="Simplified Arabic"/>
          <w:b/>
          <w:bCs/>
          <w:sz w:val="24"/>
          <w:szCs w:val="24"/>
          <w:rtl/>
        </w:rPr>
        <w:t>مفهوم الحدّ من الخسائر الفنية وتحسين الكفاءة التشغيلية</w:t>
      </w:r>
      <w:bookmarkEnd w:id="18"/>
    </w:p>
    <w:p w14:paraId="2DAB2724"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حظي مفهوم الكفاءة التشغيلية والحدّ من الخسائر الفنية باهتمام أكاديمي متزايد، وتباينت تعريفاته تبعاً للتخصص العلمي الذي ينطلق منه الباحث وطبيعة القطاع المستهدف بالدراسة. ويعود هذا التباين إلى أن المفهوم ذاته ينطوي على شقّين متلازمين لكنهما متمايزين منهجياً: الشقّ الأول يتعلق بالحدّ من الخسائر الفنية بوصفه عملية تقنية-إدارية تستهدف تقليص الفاقد في الطاقة، والشقّ الثاني يتعلق بتحسين الكفاءة التشغيلية بوصفه مفهوماً إدارياً أشمل يتجاوز الخسائر الفنية ليطال الأداء الكلي للمنظومة التشغيلية</w:t>
      </w:r>
      <w:r w:rsidRPr="00026EEC">
        <w:rPr>
          <w:rFonts w:ascii="Simplified Arabic" w:hAnsi="Simplified Arabic" w:cs="Simplified Arabic"/>
          <w:sz w:val="24"/>
          <w:szCs w:val="24"/>
        </w:rPr>
        <w:t>.</w:t>
      </w:r>
    </w:p>
    <w:p w14:paraId="1A096786"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وفي هذا الإطار، تناول</w:t>
      </w:r>
      <w:r w:rsidRPr="00026EEC">
        <w:rPr>
          <w:rFonts w:ascii="Simplified Arabic" w:hAnsi="Simplified Arabic" w:cs="Simplified Arabic"/>
          <w:sz w:val="24"/>
          <w:szCs w:val="24"/>
        </w:rPr>
        <w:t xml:space="preserve"> Parvizi </w:t>
      </w:r>
      <w:r w:rsidRPr="00026EEC">
        <w:rPr>
          <w:rFonts w:ascii="Simplified Arabic" w:hAnsi="Simplified Arabic" w:cs="Simplified Arabic"/>
          <w:sz w:val="24"/>
          <w:szCs w:val="24"/>
          <w:rtl/>
        </w:rPr>
        <w:t>وآخرون</w:t>
      </w:r>
      <w:r w:rsidRPr="00026EEC">
        <w:rPr>
          <w:rFonts w:ascii="Simplified Arabic" w:hAnsi="Simplified Arabic" w:cs="Simplified Arabic"/>
          <w:sz w:val="24"/>
          <w:szCs w:val="24"/>
        </w:rPr>
        <w:t xml:space="preserve"> (2025) </w:t>
      </w:r>
      <w:r w:rsidRPr="00026EEC">
        <w:rPr>
          <w:rFonts w:ascii="Simplified Arabic" w:hAnsi="Simplified Arabic" w:cs="Simplified Arabic"/>
          <w:sz w:val="24"/>
          <w:szCs w:val="24"/>
          <w:rtl/>
        </w:rPr>
        <w:t>مفهوم الخسائر الفنية في شبكات الطاقة بوصفها الطاقة الكهربائية المفقودة بصورة حتمية أثناء عمليات النقل والتوزيع نتيجة الخصائص الفيزيائية لمكونات الشبكة، وتشمل خسائر المقاومة في الموصلات وخسائر القلب الحديدي في المحولات وخسائر العزل الكهربائي وخسائر التيارات الدوّامية وخسائر التأثير الإكليلي في خطوط النقل عالية الجهد. ويُبرز هذا التعريف الطبيعة الفيزيائية الحتمية للخسائر الفنية مع التأكيد على إمكانية تقليصها إلى الحدود الدنيا المقبولة من خلال آليات التخفيف والتصميم الأمثل، وليس إلغاءها كلياً</w:t>
      </w:r>
      <w:r w:rsidRPr="00026EEC">
        <w:rPr>
          <w:rFonts w:ascii="Simplified Arabic" w:hAnsi="Simplified Arabic" w:cs="Simplified Arabic"/>
          <w:sz w:val="24"/>
          <w:szCs w:val="24"/>
        </w:rPr>
        <w:t>.</w:t>
      </w:r>
    </w:p>
    <w:p w14:paraId="75D5322E"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ومن منظور إداري أوسع، أشارت عبدالنبي وابن نامي (2024) إلى أن الكفاءة التشغيلية تُعرَّف بوصفها قدرة المنظمة على تحقيق مخرجاتها المستهدفة بأقل قدر ممكن من المدخلات والموارد، بحيث يتحقق التوازن الأمثل بين جودة المخرجات وتكلفة تحقيقها. ويُوسّع هذا التعريف نطاق المفهوم ليتجاوز البُعد التقني المحض ويشمل أبعاداً تنظيمية وإدارية ومالية تتعلق بكفاءة تخصيص الموارد وفاعلية العمليات الإدارية الداعمة للعمليات التشغيلية الأساسية</w:t>
      </w:r>
      <w:r w:rsidRPr="00026EEC">
        <w:rPr>
          <w:rFonts w:ascii="Simplified Arabic" w:hAnsi="Simplified Arabic" w:cs="Simplified Arabic"/>
          <w:sz w:val="24"/>
          <w:szCs w:val="24"/>
        </w:rPr>
        <w:t>.</w:t>
      </w:r>
    </w:p>
    <w:p w14:paraId="0EF2F8E3"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وتناول</w:t>
      </w:r>
      <w:r w:rsidRPr="00026EEC">
        <w:rPr>
          <w:rFonts w:ascii="Simplified Arabic" w:hAnsi="Simplified Arabic" w:cs="Simplified Arabic"/>
          <w:sz w:val="24"/>
          <w:szCs w:val="24"/>
        </w:rPr>
        <w:t xml:space="preserve"> Leach </w:t>
      </w:r>
      <w:r w:rsidRPr="00026EEC">
        <w:rPr>
          <w:rFonts w:ascii="Simplified Arabic" w:hAnsi="Simplified Arabic" w:cs="Simplified Arabic"/>
          <w:sz w:val="24"/>
          <w:szCs w:val="24"/>
          <w:rtl/>
        </w:rPr>
        <w:t>وآخرون (2020) مفهوم الكفاءة التشغيلية من زاوية تحسين أداء المنظومات التقنية وتقليل هدر الطاقة، حيث ربطوا بين الكفاءة التشغيلية والأثر البيئي الناجم عن الفاقد في الطاقة، مما يُضيف بُعداً بيئياً واستدامياً للمفهوم يتجاوز البُعد الاقتصادي المباشر. ويُلقي هذا المنظور الضوء على العلاقة الوثيقة بين الكفاءة التشغيلية وأهداف التنمية المستدامة، حيث يترتب على كل وحدة طاقة مفقودة في الشبكة تكلفة بيئية تُضاف إلى التكلفة الاقتصادية</w:t>
      </w:r>
      <w:r w:rsidRPr="00026EEC">
        <w:rPr>
          <w:rFonts w:ascii="Simplified Arabic" w:hAnsi="Simplified Arabic" w:cs="Simplified Arabic"/>
          <w:sz w:val="24"/>
          <w:szCs w:val="24"/>
        </w:rPr>
        <w:t>.</w:t>
      </w:r>
    </w:p>
    <w:p w14:paraId="1A42DEC7"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ومن زاوية تقنية متخصصة في شبكات الكهرباء الذكية، أوضح</w:t>
      </w:r>
      <w:r w:rsidRPr="00026EEC">
        <w:rPr>
          <w:rFonts w:ascii="Simplified Arabic" w:hAnsi="Simplified Arabic" w:cs="Simplified Arabic"/>
          <w:sz w:val="24"/>
          <w:szCs w:val="24"/>
        </w:rPr>
        <w:t xml:space="preserve"> Alymov </w:t>
      </w:r>
      <w:r w:rsidRPr="00026EEC">
        <w:rPr>
          <w:rFonts w:ascii="Simplified Arabic" w:hAnsi="Simplified Arabic" w:cs="Simplified Arabic"/>
          <w:sz w:val="24"/>
          <w:szCs w:val="24"/>
          <w:rtl/>
        </w:rPr>
        <w:t>و</w:t>
      </w:r>
      <w:r w:rsidRPr="00026EEC">
        <w:rPr>
          <w:rFonts w:ascii="Simplified Arabic" w:hAnsi="Simplified Arabic" w:cs="Simplified Arabic"/>
          <w:sz w:val="24"/>
          <w:szCs w:val="24"/>
        </w:rPr>
        <w:t xml:space="preserve">Averbukh (2024) </w:t>
      </w:r>
      <w:r w:rsidRPr="00026EEC">
        <w:rPr>
          <w:rFonts w:ascii="Simplified Arabic" w:hAnsi="Simplified Arabic" w:cs="Simplified Arabic"/>
          <w:sz w:val="24"/>
          <w:szCs w:val="24"/>
          <w:rtl/>
        </w:rPr>
        <w:t xml:space="preserve">أن مراقبة تدفقات الطاقة للتحكم الكفء في الكهرباء تستلزم فهماً دقيقاً لمفهوم الكفاءة التشغيلية بوصفها القدرة على إدارة تدفقات الطاقة عبر الشبكة بأقل قدر من الفاقد وأعلى مستوى من الموثوقية، مع الأخذ بعين </w:t>
      </w:r>
      <w:r w:rsidRPr="00026EEC">
        <w:rPr>
          <w:rFonts w:ascii="Simplified Arabic" w:hAnsi="Simplified Arabic" w:cs="Simplified Arabic"/>
          <w:sz w:val="24"/>
          <w:szCs w:val="24"/>
          <w:rtl/>
        </w:rPr>
        <w:lastRenderedPageBreak/>
        <w:t>الاعتبار التغيرات اللحظية في أنماط الحمل ومصادر التوليد. ويُبرز هذا التعريف البُعد الديناميكي للكفاءة التشغيلية في الشبكات الذكية، حيث لا تُقاس الكفاءة بنقطة زمنية واحدة وإنما عبر مسار زمني متصل يتغيّر فيه أداء الشبكة تبعاً لتقلبات العرض والطلب</w:t>
      </w:r>
      <w:r w:rsidRPr="00026EEC">
        <w:rPr>
          <w:rFonts w:ascii="Simplified Arabic" w:hAnsi="Simplified Arabic" w:cs="Simplified Arabic"/>
          <w:sz w:val="24"/>
          <w:szCs w:val="24"/>
        </w:rPr>
        <w:t>.</w:t>
      </w:r>
    </w:p>
    <w:p w14:paraId="1269489F"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وفي سياق مكمّل، تناول</w:t>
      </w:r>
      <w:r w:rsidRPr="00026EEC">
        <w:rPr>
          <w:rFonts w:ascii="Simplified Arabic" w:hAnsi="Simplified Arabic" w:cs="Simplified Arabic"/>
          <w:sz w:val="24"/>
          <w:szCs w:val="24"/>
        </w:rPr>
        <w:t xml:space="preserve"> Li </w:t>
      </w:r>
      <w:r w:rsidRPr="00026EEC">
        <w:rPr>
          <w:rFonts w:ascii="Simplified Arabic" w:hAnsi="Simplified Arabic" w:cs="Simplified Arabic"/>
          <w:sz w:val="24"/>
          <w:szCs w:val="24"/>
          <w:rtl/>
        </w:rPr>
        <w:t>وآخرون (2023) مفهوم الإدارة الرشيدة لفاقد الخطوط في شبكات الكهرباء من منظور التقييم الشامل المبني على البيانات الضخمة، حيث عرّفوا الكفاءة التشغيلية بوصفها المحصلة التراكمية لجهود تقليل فاقد الخطوط عبر جميع مراحل سلسلة الإمداد الكهربائي من التوليد إلى الاستهلاك النهائي، مع التأكيد على أن تحقيق هذه الكفاءة يستلزم مقاربة شمولية تتجاوز المعالجات الجزئية لتطال المنظومة بأكملها</w:t>
      </w:r>
      <w:r w:rsidRPr="00026EEC">
        <w:rPr>
          <w:rFonts w:ascii="Simplified Arabic" w:hAnsi="Simplified Arabic" w:cs="Simplified Arabic"/>
          <w:sz w:val="24"/>
          <w:szCs w:val="24"/>
        </w:rPr>
        <w:t>.</w:t>
      </w:r>
    </w:p>
    <w:p w14:paraId="6C13A472"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كما أشار تركمان وآخرون (2023) إلى أن تحسين الكفاءة يرتبط ارتباطاً وثيقاً بممارسات تنمية الموارد البشرية ورفع كفاءة العاملين، إذ لا يمكن تحقيق كفاءة تشغيلية حقيقية دون امتلاك كوادر بشرية مؤهلة وقادرة على تشغيل الأنظمة التقنية المتقدمة والتعامل مع الحالات الطارئة بكفاءة. ويُثري هذا المنظور المفهوم بإضافة البُعد البشري الذي كثيراً ما يُغفَل في التعريفات ذات الطابع التقني البحت</w:t>
      </w:r>
      <w:r w:rsidRPr="00026EEC">
        <w:rPr>
          <w:rFonts w:ascii="Simplified Arabic" w:hAnsi="Simplified Arabic" w:cs="Simplified Arabic"/>
          <w:sz w:val="24"/>
          <w:szCs w:val="24"/>
        </w:rPr>
        <w:t>.</w:t>
      </w:r>
    </w:p>
    <w:p w14:paraId="48989B74" w14:textId="77777777" w:rsidR="00B820CB" w:rsidRPr="00026EEC" w:rsidRDefault="00B820CB"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وأوضح</w:t>
      </w:r>
      <w:r w:rsidRPr="00026EEC">
        <w:rPr>
          <w:rFonts w:ascii="Simplified Arabic" w:hAnsi="Simplified Arabic" w:cs="Simplified Arabic"/>
          <w:sz w:val="24"/>
          <w:szCs w:val="24"/>
        </w:rPr>
        <w:t xml:space="preserve"> Kheirkhah </w:t>
      </w:r>
      <w:r w:rsidRPr="00026EEC">
        <w:rPr>
          <w:rFonts w:ascii="Simplified Arabic" w:hAnsi="Simplified Arabic" w:cs="Simplified Arabic"/>
          <w:sz w:val="24"/>
          <w:szCs w:val="24"/>
          <w:rtl/>
        </w:rPr>
        <w:t>وآخرون (2023) أن تحسين المرونة التشغيلية في شبكات التوزيع يرتبط مفهومياً بالقدرة على تقليل المخاطر الكمّية من خلال توظيف تقنيات الشبكة الذكية، حيث تتلازم الكفاءة التشغيلية مع المرونة في مواجهة الاضطرابات بوصفهما وجهين لعملة واحدة تستهدف ضمان جودة الخدمة واستمراريتها</w:t>
      </w:r>
      <w:r w:rsidRPr="00026EEC">
        <w:rPr>
          <w:rFonts w:ascii="Simplified Arabic" w:hAnsi="Simplified Arabic" w:cs="Simplified Arabic"/>
          <w:sz w:val="24"/>
          <w:szCs w:val="24"/>
        </w:rPr>
        <w:t>.</w:t>
      </w:r>
    </w:p>
    <w:p w14:paraId="58B101B7" w14:textId="77777777" w:rsidR="00C54147" w:rsidRPr="00C54147" w:rsidRDefault="00C54147" w:rsidP="00C54147">
      <w:pPr>
        <w:spacing w:after="0" w:line="240" w:lineRule="auto"/>
        <w:jc w:val="both"/>
        <w:outlineLvl w:val="1"/>
        <w:rPr>
          <w:rFonts w:ascii="Simplified Arabic" w:hAnsi="Simplified Arabic" w:cs="Simplified Arabic"/>
          <w:sz w:val="28"/>
          <w:szCs w:val="28"/>
          <w:rtl/>
        </w:rPr>
      </w:pPr>
      <w:bookmarkStart w:id="19" w:name="_Toc223386539"/>
      <w:bookmarkStart w:id="20" w:name="_Toc223386509"/>
      <w:bookmarkStart w:id="21" w:name="_Toc170243312"/>
      <w:r w:rsidRPr="00C54147">
        <w:rPr>
          <w:rFonts w:ascii="Simplified Arabic" w:hAnsi="Simplified Arabic" w:cs="Simplified Arabic"/>
          <w:b/>
          <w:bCs/>
          <w:sz w:val="28"/>
          <w:szCs w:val="28"/>
          <w:rtl/>
        </w:rPr>
        <w:t>الدراسات السابقة:</w:t>
      </w:r>
      <w:bookmarkEnd w:id="20"/>
    </w:p>
    <w:p w14:paraId="199BA80B" w14:textId="77777777" w:rsidR="00C54147" w:rsidRPr="00026EEC" w:rsidRDefault="00C54147" w:rsidP="00C54147">
      <w:pPr>
        <w:pStyle w:val="ListParagraph"/>
        <w:numPr>
          <w:ilvl w:val="0"/>
          <w:numId w:val="26"/>
        </w:numPr>
        <w:spacing w:after="0" w:line="240" w:lineRule="auto"/>
        <w:ind w:left="423" w:firstLine="0"/>
        <w:jc w:val="both"/>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rPr>
        <w:t xml:space="preserve">دراسة </w:t>
      </w:r>
      <w:r w:rsidRPr="00026EEC">
        <w:rPr>
          <w:rFonts w:ascii="Simplified Arabic" w:hAnsi="Simplified Arabic" w:cs="Simplified Arabic"/>
          <w:b/>
          <w:bCs/>
          <w:sz w:val="24"/>
          <w:szCs w:val="24"/>
        </w:rPr>
        <w:t>(Shoqirat et al., 2025)</w:t>
      </w:r>
    </w:p>
    <w:p w14:paraId="038A75C8"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هدفت الدراسة إلى التعرف على تأثير التحول من أساليب الكشف التقليدية للأعطال إلى الأساليب الذكية بأبعادها</w:t>
      </w:r>
      <w:r w:rsidRPr="00026EEC">
        <w:rPr>
          <w:rFonts w:ascii="Simplified Arabic" w:hAnsi="Simplified Arabic" w:cs="Simplified Arabic"/>
          <w:sz w:val="24"/>
          <w:szCs w:val="24"/>
        </w:rPr>
        <w:t xml:space="preserve"> (</w:t>
      </w:r>
      <w:r w:rsidRPr="00026EEC">
        <w:rPr>
          <w:rFonts w:ascii="Simplified Arabic" w:hAnsi="Simplified Arabic" w:cs="Simplified Arabic"/>
          <w:sz w:val="24"/>
          <w:szCs w:val="24"/>
          <w:rtl/>
        </w:rPr>
        <w:t>نظام</w:t>
      </w:r>
      <w:r w:rsidRPr="00026EEC">
        <w:rPr>
          <w:rFonts w:ascii="Simplified Arabic" w:hAnsi="Simplified Arabic" w:cs="Simplified Arabic"/>
          <w:sz w:val="24"/>
          <w:szCs w:val="24"/>
        </w:rPr>
        <w:t xml:space="preserve"> SCADA</w:t>
      </w:r>
      <w:r w:rsidRPr="00026EEC">
        <w:rPr>
          <w:rFonts w:ascii="Simplified Arabic" w:hAnsi="Simplified Arabic" w:cs="Simplified Arabic"/>
          <w:sz w:val="24"/>
          <w:szCs w:val="24"/>
          <w:rtl/>
        </w:rPr>
        <w:t>، محطات الرصد</w:t>
      </w:r>
      <w:r w:rsidRPr="00026EEC">
        <w:rPr>
          <w:rFonts w:ascii="Simplified Arabic" w:hAnsi="Simplified Arabic" w:cs="Simplified Arabic"/>
          <w:sz w:val="24"/>
          <w:szCs w:val="24"/>
        </w:rPr>
        <w:t xml:space="preserve"> RTUs</w:t>
      </w:r>
      <w:r w:rsidRPr="00026EEC">
        <w:rPr>
          <w:rFonts w:ascii="Simplified Arabic" w:hAnsi="Simplified Arabic" w:cs="Simplified Arabic"/>
          <w:sz w:val="24"/>
          <w:szCs w:val="24"/>
          <w:rtl/>
        </w:rPr>
        <w:t>، نظام إدارة التوزيع المتقدم</w:t>
      </w:r>
      <w:r w:rsidRPr="00026EEC">
        <w:rPr>
          <w:rFonts w:ascii="Simplified Arabic" w:hAnsi="Simplified Arabic" w:cs="Simplified Arabic"/>
          <w:sz w:val="24"/>
          <w:szCs w:val="24"/>
        </w:rPr>
        <w:t xml:space="preserve"> ADMS</w:t>
      </w:r>
      <w:r w:rsidRPr="00026EEC">
        <w:rPr>
          <w:rFonts w:ascii="Simplified Arabic" w:hAnsi="Simplified Arabic" w:cs="Simplified Arabic"/>
          <w:sz w:val="24"/>
          <w:szCs w:val="24"/>
          <w:rtl/>
        </w:rPr>
        <w:t>، والتطبيقات الداعمة</w:t>
      </w:r>
      <w:r w:rsidRPr="00026EEC">
        <w:rPr>
          <w:rFonts w:ascii="Simplified Arabic" w:hAnsi="Simplified Arabic" w:cs="Simplified Arabic"/>
          <w:sz w:val="24"/>
          <w:szCs w:val="24"/>
        </w:rPr>
        <w:t xml:space="preserve">) </w:t>
      </w:r>
      <w:r w:rsidRPr="00026EEC">
        <w:rPr>
          <w:rFonts w:ascii="Simplified Arabic" w:hAnsi="Simplified Arabic" w:cs="Simplified Arabic"/>
          <w:sz w:val="24"/>
          <w:szCs w:val="24"/>
          <w:rtl/>
        </w:rPr>
        <w:t>على تحسين كفاءة كشف الأعطال وتقليل زمن الانقطاعات في شبكة توزيع الكهرباء التابعة لشركة طاقة – مدينة العين،  واستخدمت الدراسة المنهج الوصفي التحليلي</w:t>
      </w:r>
      <w:r w:rsidRPr="00026EEC">
        <w:rPr>
          <w:rFonts w:ascii="Simplified Arabic" w:hAnsi="Simplified Arabic" w:cs="Simplified Arabic"/>
          <w:sz w:val="24"/>
          <w:szCs w:val="24"/>
        </w:rPr>
        <w:t>.</w:t>
      </w:r>
    </w:p>
    <w:p w14:paraId="71D52D94"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أبرزت النتائج أن أكثر من 90% من المحطات تفتقر للقدرة على إرسال إشارات الأعطال أو الانفصال، مما يُجبر الشركة على الاعتماد على شكاوى العملاء عبر مركز الاتصال لتحديد مواقع الانقطاع، وهو ما يؤدي إلى تأخيرات كبيرة في الاستجابة وتأثر الأداء العام للشبكة</w:t>
      </w:r>
      <w:r w:rsidRPr="00026EEC">
        <w:rPr>
          <w:rFonts w:ascii="Simplified Arabic" w:hAnsi="Simplified Arabic" w:cs="Simplified Arabic"/>
          <w:sz w:val="24"/>
          <w:szCs w:val="24"/>
        </w:rPr>
        <w:t>.</w:t>
      </w:r>
    </w:p>
    <w:p w14:paraId="1A428240"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وتوصلت الدراسة إلى أن دمج القدرات المتقدمة لنظام</w:t>
      </w:r>
      <w:r w:rsidRPr="00026EEC">
        <w:rPr>
          <w:rFonts w:ascii="Simplified Arabic" w:hAnsi="Simplified Arabic" w:cs="Simplified Arabic"/>
          <w:sz w:val="24"/>
          <w:szCs w:val="24"/>
        </w:rPr>
        <w:t xml:space="preserve"> Siemens Spectrum 7 </w:t>
      </w:r>
      <w:r w:rsidRPr="00026EEC">
        <w:rPr>
          <w:rFonts w:ascii="Simplified Arabic" w:hAnsi="Simplified Arabic" w:cs="Simplified Arabic"/>
          <w:sz w:val="24"/>
          <w:szCs w:val="24"/>
          <w:rtl/>
        </w:rPr>
        <w:t>مع</w:t>
      </w:r>
      <w:r w:rsidRPr="00026EEC">
        <w:rPr>
          <w:rFonts w:ascii="Simplified Arabic" w:hAnsi="Simplified Arabic" w:cs="Simplified Arabic"/>
          <w:sz w:val="24"/>
          <w:szCs w:val="24"/>
        </w:rPr>
        <w:t xml:space="preserve"> ADMS </w:t>
      </w:r>
      <w:r w:rsidRPr="00026EEC">
        <w:rPr>
          <w:rFonts w:ascii="Simplified Arabic" w:hAnsi="Simplified Arabic" w:cs="Simplified Arabic"/>
          <w:sz w:val="24"/>
          <w:szCs w:val="24"/>
          <w:rtl/>
        </w:rPr>
        <w:t>والتطبيقات الداعمة يمكّن من تقليل الاعتماد على البلاغات اليدوية، ويُعزز الكفاءة التشغيلية من خلال تحسين رصد الأعطال بشكل آني، ما يُقلص زمن الاستجابة ويعزز موثوقية الشبكة</w:t>
      </w:r>
      <w:r w:rsidRPr="00026EEC">
        <w:rPr>
          <w:rFonts w:ascii="Simplified Arabic" w:hAnsi="Simplified Arabic" w:cs="Simplified Arabic"/>
          <w:sz w:val="24"/>
          <w:szCs w:val="24"/>
        </w:rPr>
        <w:t>.</w:t>
      </w:r>
    </w:p>
    <w:p w14:paraId="048B91EB" w14:textId="77777777" w:rsidR="00C54147" w:rsidRPr="00026EEC" w:rsidRDefault="00C54147" w:rsidP="00C54147">
      <w:pPr>
        <w:spacing w:after="0" w:line="240" w:lineRule="auto"/>
        <w:jc w:val="both"/>
        <w:rPr>
          <w:rFonts w:ascii="Simplified Arabic" w:hAnsi="Simplified Arabic" w:cs="Simplified Arabic"/>
          <w:sz w:val="24"/>
          <w:szCs w:val="24"/>
          <w:rtl/>
        </w:rPr>
      </w:pPr>
      <w:r w:rsidRPr="00026EEC">
        <w:rPr>
          <w:rFonts w:ascii="Simplified Arabic" w:hAnsi="Simplified Arabic" w:cs="Simplified Arabic"/>
          <w:sz w:val="24"/>
          <w:szCs w:val="24"/>
          <w:rtl/>
        </w:rPr>
        <w:t>وأوصت الدراسة بضرورة توسيع تطبيق نظام المراقبة الذكي ليشمل المحطات غير المراقبة، والاستثمار في تقنيات الإنذار والكشف التلقائي للأعطال، إلى جانب تحسين تكامل الأنظمة لرفع جودة الخدمة وتقليل الخسائر التشغيلية</w:t>
      </w:r>
      <w:r w:rsidRPr="00026EEC">
        <w:rPr>
          <w:rFonts w:ascii="Simplified Arabic" w:hAnsi="Simplified Arabic" w:cs="Simplified Arabic"/>
          <w:sz w:val="24"/>
          <w:szCs w:val="24"/>
        </w:rPr>
        <w:t>.</w:t>
      </w:r>
    </w:p>
    <w:p w14:paraId="79698E7A" w14:textId="77777777" w:rsidR="00C54147" w:rsidRPr="00026EEC" w:rsidRDefault="00C54147" w:rsidP="00C54147">
      <w:pPr>
        <w:pStyle w:val="ListParagraph"/>
        <w:numPr>
          <w:ilvl w:val="0"/>
          <w:numId w:val="26"/>
        </w:numPr>
        <w:spacing w:after="0" w:line="240" w:lineRule="auto"/>
        <w:ind w:left="423" w:firstLine="0"/>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دراسة</w:t>
      </w:r>
      <w:r w:rsidRPr="00026EEC">
        <w:rPr>
          <w:rFonts w:ascii="Simplified Arabic" w:eastAsia="Times New Roman" w:hAnsi="Simplified Arabic" w:cs="Simplified Arabic"/>
          <w:b/>
          <w:bCs/>
          <w:kern w:val="0"/>
          <w:sz w:val="24"/>
          <w:szCs w:val="24"/>
          <w14:ligatures w14:val="none"/>
        </w:rPr>
        <w:t xml:space="preserve"> </w:t>
      </w:r>
      <w:r w:rsidRPr="00026EEC">
        <w:rPr>
          <w:rFonts w:ascii="Simplified Arabic" w:hAnsi="Simplified Arabic" w:cs="Simplified Arabic"/>
          <w:b/>
          <w:bCs/>
          <w:sz w:val="24"/>
          <w:szCs w:val="24"/>
          <w:rtl/>
        </w:rPr>
        <w:t>(عزام واخرون،2025)</w:t>
      </w:r>
    </w:p>
    <w:p w14:paraId="618BE1AB"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 xml:space="preserve">هدفت الدراسة إلى التعرف على أثر الخدمات المصرفية الإلكترونية بأبعادها (أنواع الخدمات المصرفية الإلكترونية، المزايا الخاصة بالخدمات المصرفية الإلكترونية، الأمان والثقة، وسهولة الاستخدام) على </w:t>
      </w:r>
      <w:r w:rsidRPr="00026EEC">
        <w:rPr>
          <w:rFonts w:ascii="Simplified Arabic" w:hAnsi="Simplified Arabic" w:cs="Simplified Arabic"/>
          <w:sz w:val="24"/>
          <w:szCs w:val="24"/>
          <w:rtl/>
        </w:rPr>
        <w:lastRenderedPageBreak/>
        <w:t>المخاطر التشغيلية في البنوك التجارية المصرية بمحافظة المنوفية،واستخدمت الدراسة المنهج الوصفي التحليلي</w:t>
      </w:r>
      <w:r w:rsidRPr="00026EEC">
        <w:rPr>
          <w:rFonts w:ascii="Simplified Arabic" w:hAnsi="Simplified Arabic" w:cs="Simplified Arabic"/>
          <w:sz w:val="24"/>
          <w:szCs w:val="24"/>
        </w:rPr>
        <w:t>.</w:t>
      </w:r>
    </w:p>
    <w:p w14:paraId="4E5D46FF"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توصلت النتائج إلى وجود اختلافات جوهرية ذات دلالة إحصائية في أبعاد الخدمات المصرفية الإلكترونية والمخاطر التشغيلية تبعًا للمتغيرات الديموغرافية (الوظيفة، المؤهل العلمي، سنوات الخبرة)، كما أظهرت النتائج وجود علاقة ارتباط عكسية بين أبعاد الخدمات المصرفية الإلكترونية والمخاطر التشغيلية، مما يشير إلى أن زيادة كفاءة وتنوع الخدمات الإلكترونية تقلل من المخاطر التشغيلية بالبنوك التجارية</w:t>
      </w:r>
      <w:r w:rsidRPr="00026EEC">
        <w:rPr>
          <w:rFonts w:ascii="Simplified Arabic" w:hAnsi="Simplified Arabic" w:cs="Simplified Arabic"/>
          <w:sz w:val="24"/>
          <w:szCs w:val="24"/>
        </w:rPr>
        <w:t>.</w:t>
      </w:r>
    </w:p>
    <w:p w14:paraId="6B79715C"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وأوصت الدراسة بضرورة تعزيز الاستثمار في أنظمة الأمان الإلكترونية وتطوير مهارات العاملين في إدارة الخدمات المصرفية الإلكترونية، مع التركيز على رفع جودة الخدمة وثقة العملاء لتقليل المخاطر التشغيلية وتعزيز الأداء المصرفي المستدام</w:t>
      </w:r>
      <w:r w:rsidRPr="00026EEC">
        <w:rPr>
          <w:rFonts w:ascii="Simplified Arabic" w:hAnsi="Simplified Arabic" w:cs="Simplified Arabic"/>
          <w:sz w:val="24"/>
          <w:szCs w:val="24"/>
        </w:rPr>
        <w:t>.</w:t>
      </w:r>
    </w:p>
    <w:p w14:paraId="2CFED6A0" w14:textId="77777777" w:rsidR="00C54147" w:rsidRPr="00026EEC" w:rsidRDefault="00C54147" w:rsidP="00C54147">
      <w:pPr>
        <w:pStyle w:val="ListParagraph"/>
        <w:numPr>
          <w:ilvl w:val="0"/>
          <w:numId w:val="26"/>
        </w:numPr>
        <w:spacing w:after="0" w:line="240" w:lineRule="auto"/>
        <w:ind w:left="423" w:firstLine="0"/>
        <w:jc w:val="both"/>
        <w:rPr>
          <w:rFonts w:ascii="Simplified Arabic" w:eastAsia="Times New Roman" w:hAnsi="Simplified Arabic" w:cs="Simplified Arabic"/>
          <w:b/>
          <w:bCs/>
          <w:kern w:val="0"/>
          <w:sz w:val="24"/>
          <w:szCs w:val="24"/>
          <w14:ligatures w14:val="none"/>
        </w:rPr>
      </w:pPr>
      <w:r w:rsidRPr="00026EEC">
        <w:rPr>
          <w:rFonts w:ascii="Simplified Arabic" w:hAnsi="Simplified Arabic" w:cs="Simplified Arabic"/>
          <w:b/>
          <w:bCs/>
          <w:sz w:val="24"/>
          <w:szCs w:val="24"/>
          <w:rtl/>
        </w:rPr>
        <w:t>دراسة</w:t>
      </w:r>
      <w:r w:rsidRPr="00026EEC">
        <w:rPr>
          <w:rFonts w:ascii="Simplified Arabic" w:hAnsi="Simplified Arabic" w:cs="Simplified Arabic"/>
          <w:b/>
          <w:bCs/>
          <w:sz w:val="24"/>
          <w:szCs w:val="24"/>
        </w:rPr>
        <w:t xml:space="preserve"> </w:t>
      </w:r>
      <w:r w:rsidRPr="00026EEC">
        <w:rPr>
          <w:rFonts w:ascii="Simplified Arabic" w:eastAsia="Times New Roman" w:hAnsi="Simplified Arabic" w:cs="Simplified Arabic"/>
          <w:b/>
          <w:bCs/>
          <w:kern w:val="0"/>
          <w:sz w:val="24"/>
          <w:szCs w:val="24"/>
          <w:rtl/>
          <w14:ligatures w14:val="none"/>
        </w:rPr>
        <w:t>(بالقط وبن العربة،2024)</w:t>
      </w:r>
    </w:p>
    <w:p w14:paraId="477C89DF"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هدفت الدراسة إلى التعرف على أثر استخدام الأنظمة الخبيرة بأبعادها (جمع وتحليل البيانات، دعم اتخاذ القرار، اكتشاف الأخطاء والمخاطر، وتحسين جودة التدقيق) على المخاطر التشغيلية في مهنة التدقيق،واستخدمت الدراسة المنهج الوصفي التحليلي</w:t>
      </w:r>
      <w:r w:rsidRPr="00026EEC">
        <w:rPr>
          <w:rFonts w:ascii="Simplified Arabic" w:hAnsi="Simplified Arabic" w:cs="Simplified Arabic"/>
          <w:sz w:val="24"/>
          <w:szCs w:val="24"/>
        </w:rPr>
        <w:t>.</w:t>
      </w:r>
    </w:p>
    <w:p w14:paraId="0FC2105F"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أظهرت نتائج الدراسة أن تبني الأنظمة الخبيرة في مهنة التدقيق يسهم في تحسين دقة وموضوعية نتائج التدقيق، وتقليل احتمالية وقوع الأخطاء التشغيلية، وتعزيز موثوقية التقارير المالية</w:t>
      </w:r>
      <w:r w:rsidRPr="00026EEC">
        <w:rPr>
          <w:rFonts w:ascii="Simplified Arabic" w:hAnsi="Simplified Arabic" w:cs="Simplified Arabic"/>
          <w:sz w:val="24"/>
          <w:szCs w:val="24"/>
        </w:rPr>
        <w:t xml:space="preserve">. </w:t>
      </w:r>
      <w:r w:rsidRPr="00026EEC">
        <w:rPr>
          <w:rFonts w:ascii="Simplified Arabic" w:hAnsi="Simplified Arabic" w:cs="Simplified Arabic"/>
          <w:sz w:val="24"/>
          <w:szCs w:val="24"/>
          <w:rtl/>
        </w:rPr>
        <w:t>كما تبين أن العوامل الخارجية والأحداث البيئية قد تؤثر في مهنة التدقيق، إلا أن استخدام الأنظمة الخبيرة يساعد المدققين على مواجهة هذه المخاطر بفعالية أعلى</w:t>
      </w:r>
      <w:r w:rsidRPr="00026EEC">
        <w:rPr>
          <w:rFonts w:ascii="Simplified Arabic" w:hAnsi="Simplified Arabic" w:cs="Simplified Arabic"/>
          <w:sz w:val="24"/>
          <w:szCs w:val="24"/>
        </w:rPr>
        <w:t>.</w:t>
      </w:r>
    </w:p>
    <w:p w14:paraId="22FAD69E" w14:textId="77777777" w:rsidR="00C54147" w:rsidRPr="00026EEC" w:rsidRDefault="00C54147" w:rsidP="00C54147">
      <w:pPr>
        <w:spacing w:after="0" w:line="240" w:lineRule="auto"/>
        <w:jc w:val="both"/>
        <w:rPr>
          <w:rFonts w:ascii="Simplified Arabic" w:hAnsi="Simplified Arabic" w:cs="Simplified Arabic"/>
          <w:sz w:val="24"/>
          <w:szCs w:val="24"/>
          <w:rtl/>
        </w:rPr>
      </w:pPr>
      <w:r w:rsidRPr="00026EEC">
        <w:rPr>
          <w:rFonts w:ascii="Simplified Arabic" w:hAnsi="Simplified Arabic" w:cs="Simplified Arabic"/>
          <w:sz w:val="24"/>
          <w:szCs w:val="24"/>
          <w:rtl/>
        </w:rPr>
        <w:t>وأوصت الدراسة بضرورة توسيع استخدام الأنظمة الخبيرة في بيئات التدقيق، وتدريب المدققين على استغلال إمكاناتها التقنية في تحليل البيانات والتنبؤ بالمخاطر، بما يسهم في رفع جودة المخرجات وتقليل مستويات المخاطر التشغيلية في المؤسسات</w:t>
      </w:r>
      <w:r w:rsidRPr="00026EEC">
        <w:rPr>
          <w:rFonts w:ascii="Simplified Arabic" w:hAnsi="Simplified Arabic" w:cs="Simplified Arabic"/>
          <w:sz w:val="24"/>
          <w:szCs w:val="24"/>
        </w:rPr>
        <w:t>.</w:t>
      </w:r>
    </w:p>
    <w:p w14:paraId="0C083787" w14:textId="77777777" w:rsidR="00C54147" w:rsidRPr="00026EEC" w:rsidRDefault="00C54147" w:rsidP="00C54147">
      <w:pPr>
        <w:pStyle w:val="ListParagraph"/>
        <w:numPr>
          <w:ilvl w:val="0"/>
          <w:numId w:val="26"/>
        </w:numPr>
        <w:spacing w:after="0" w:line="240" w:lineRule="auto"/>
        <w:ind w:left="423" w:firstLine="0"/>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دراسة</w:t>
      </w:r>
      <w:r w:rsidRPr="00026EEC">
        <w:rPr>
          <w:rFonts w:ascii="Simplified Arabic" w:hAnsi="Simplified Arabic" w:cs="Simplified Arabic"/>
          <w:b/>
          <w:bCs/>
          <w:sz w:val="24"/>
          <w:szCs w:val="24"/>
        </w:rPr>
        <w:t xml:space="preserve"> (Alymov &amp; Averbukh, 2024)</w:t>
      </w:r>
    </w:p>
    <w:p w14:paraId="3246FE80"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هدفت الدراسة إلى التعرف على أثر مراقبة تدفقات الطاقة الكهربائية بشكل مستمر بأبعاده (رصد استهلاك الطاقة، اكتشاف الفاقد غير المشروع، التحكم في الجهد، وتحسين كفاءة التشغيل) على تقليل الفواقد الفنية وغير الفنية وتحسين كفاءة الشبكات الكهربائية منخفضة الجهد المرتبطة بمصادر الطاقة المتجددة، واستخدمت الدراسة المنهج التطبيقي التحليلي</w:t>
      </w:r>
      <w:r w:rsidRPr="00026EEC">
        <w:rPr>
          <w:rFonts w:ascii="Simplified Arabic" w:hAnsi="Simplified Arabic" w:cs="Simplified Arabic"/>
          <w:sz w:val="24"/>
          <w:szCs w:val="24"/>
        </w:rPr>
        <w:t>.</w:t>
      </w:r>
    </w:p>
    <w:p w14:paraId="689E40C6"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وقد أظهرت نتائج الدراسة أن النظام المقترح أسهم في خفض إجمالي استهلاك الطاقة بنسبة تقارب 6% من خلال اكتشاف ومنع الهدر غير المشروع للطاقة، بالإضافة إلى معالجة الأعطال والمشكلات الفنية</w:t>
      </w:r>
      <w:r w:rsidRPr="00026EEC">
        <w:rPr>
          <w:rFonts w:ascii="Simplified Arabic" w:hAnsi="Simplified Arabic" w:cs="Simplified Arabic"/>
          <w:sz w:val="24"/>
          <w:szCs w:val="24"/>
        </w:rPr>
        <w:t xml:space="preserve">. </w:t>
      </w:r>
      <w:r w:rsidRPr="00026EEC">
        <w:rPr>
          <w:rFonts w:ascii="Simplified Arabic" w:hAnsi="Simplified Arabic" w:cs="Simplified Arabic"/>
          <w:sz w:val="24"/>
          <w:szCs w:val="24"/>
          <w:rtl/>
        </w:rPr>
        <w:t>كما ساهم في تقليل الحاجة لتدخل الفنيين في العمليات التشغيلية بمعدل وصل إلى عشرين مرة أقل، مما أدى إلى زيادة كبيرة في ربحية الشبكات الكهربائية</w:t>
      </w:r>
      <w:r w:rsidRPr="00026EEC">
        <w:rPr>
          <w:rFonts w:ascii="Simplified Arabic" w:hAnsi="Simplified Arabic" w:cs="Simplified Arabic"/>
          <w:sz w:val="24"/>
          <w:szCs w:val="24"/>
        </w:rPr>
        <w:t>.</w:t>
      </w:r>
    </w:p>
    <w:p w14:paraId="1A27E8B0" w14:textId="77777777" w:rsidR="00C54147" w:rsidRPr="00026EEC" w:rsidRDefault="00C54147" w:rsidP="00C54147">
      <w:pPr>
        <w:spacing w:after="0" w:line="240" w:lineRule="auto"/>
        <w:jc w:val="both"/>
        <w:rPr>
          <w:rFonts w:ascii="Simplified Arabic" w:hAnsi="Simplified Arabic" w:cs="Simplified Arabic"/>
          <w:sz w:val="24"/>
          <w:szCs w:val="24"/>
          <w:rtl/>
        </w:rPr>
      </w:pPr>
      <w:r w:rsidRPr="00026EEC">
        <w:rPr>
          <w:rFonts w:ascii="Simplified Arabic" w:hAnsi="Simplified Arabic" w:cs="Simplified Arabic"/>
          <w:sz w:val="24"/>
          <w:szCs w:val="24"/>
          <w:rtl/>
        </w:rPr>
        <w:t>وأوصت الدراسة بضرورة توسيع تطبيق أنظمة المراقبة الذكية لتشمل مزيدًا من شبكات التوزيع، وتكاملها مع برامج العدادات الذكية، لما لها من تأثير مباشر على تحسين الكفاءة التشغيلية وتقليل الخسائر وتحقيق الاستدامة في أنظمة الطاقة الحديثة</w:t>
      </w:r>
      <w:r w:rsidRPr="00026EEC">
        <w:rPr>
          <w:rFonts w:ascii="Simplified Arabic" w:hAnsi="Simplified Arabic" w:cs="Simplified Arabic"/>
          <w:sz w:val="24"/>
          <w:szCs w:val="24"/>
        </w:rPr>
        <w:t>.</w:t>
      </w:r>
    </w:p>
    <w:p w14:paraId="08166BFA" w14:textId="77777777" w:rsidR="00C54147" w:rsidRPr="00026EEC" w:rsidRDefault="00C54147" w:rsidP="00C54147">
      <w:pPr>
        <w:pStyle w:val="ListParagraph"/>
        <w:numPr>
          <w:ilvl w:val="0"/>
          <w:numId w:val="26"/>
        </w:numPr>
        <w:spacing w:after="0" w:line="240" w:lineRule="auto"/>
        <w:ind w:left="423" w:firstLine="0"/>
        <w:jc w:val="both"/>
        <w:rPr>
          <w:rFonts w:ascii="Simplified Arabic" w:eastAsia="Times New Roman" w:hAnsi="Simplified Arabic" w:cs="Simplified Arabic"/>
          <w:b/>
          <w:bCs/>
          <w:kern w:val="0"/>
          <w:sz w:val="24"/>
          <w:szCs w:val="24"/>
          <w:rtl/>
          <w14:ligatures w14:val="none"/>
        </w:rPr>
      </w:pPr>
      <w:r w:rsidRPr="00026EEC">
        <w:rPr>
          <w:rFonts w:ascii="Simplified Arabic" w:hAnsi="Simplified Arabic" w:cs="Simplified Arabic"/>
          <w:b/>
          <w:bCs/>
          <w:sz w:val="24"/>
          <w:szCs w:val="24"/>
          <w:rtl/>
        </w:rPr>
        <w:t>دراسة</w:t>
      </w:r>
      <w:r w:rsidRPr="00026EEC">
        <w:rPr>
          <w:rFonts w:ascii="Simplified Arabic" w:eastAsia="Times New Roman" w:hAnsi="Simplified Arabic" w:cs="Simplified Arabic"/>
          <w:b/>
          <w:bCs/>
          <w:kern w:val="0"/>
          <w:sz w:val="24"/>
          <w:szCs w:val="24"/>
          <w:rtl/>
          <w14:ligatures w14:val="none"/>
        </w:rPr>
        <w:t xml:space="preserve"> (عبدالنبى وابن نامى ،2024)</w:t>
      </w:r>
    </w:p>
    <w:p w14:paraId="5F390699"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 xml:space="preserve">هدفت الدراسة إلى التعرف على تأثير التخطيط الاستراتيجي الجيد بأبعاده (صياغة الرؤية والرسالة، تحليل البيئة الداخلية والخارجية، وضع الأهداف الاستراتيجية، تنفيذ الخطط، متابعة وتقييم الأداء) على جودة </w:t>
      </w:r>
      <w:r w:rsidRPr="00026EEC">
        <w:rPr>
          <w:rFonts w:ascii="Simplified Arabic" w:hAnsi="Simplified Arabic" w:cs="Simplified Arabic"/>
          <w:sz w:val="24"/>
          <w:szCs w:val="24"/>
          <w:rtl/>
        </w:rPr>
        <w:lastRenderedPageBreak/>
        <w:t>الأداء المؤسسي في مؤسسات القطاع التقني في المملكة العربية السعودية، واستخدمت الدراسة المنهج الوصفي التحليلي</w:t>
      </w:r>
      <w:r w:rsidRPr="00026EEC">
        <w:rPr>
          <w:rFonts w:ascii="Simplified Arabic" w:hAnsi="Simplified Arabic" w:cs="Simplified Arabic"/>
          <w:sz w:val="24"/>
          <w:szCs w:val="24"/>
        </w:rPr>
        <w:t>.</w:t>
      </w:r>
    </w:p>
    <w:p w14:paraId="29BEFEF0"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وقد أظهرت نتائج الدراسة أن التخطيط الاستراتيجي له أثر ذو دلالة إحصائية على جودة الأداء المؤسسي، كما أن كل بعد من أبعاد التخطيط الاستراتيجي (الرؤية، الرسالة، تحليل البيئة، الأهداف، التنفيذ، التقييم) يسهم بشكل مباشر وفعال في تعزيز الأداء المؤسسي في المؤسسات التقنية</w:t>
      </w:r>
      <w:r w:rsidRPr="00026EEC">
        <w:rPr>
          <w:rFonts w:ascii="Simplified Arabic" w:hAnsi="Simplified Arabic" w:cs="Simplified Arabic"/>
          <w:sz w:val="24"/>
          <w:szCs w:val="24"/>
        </w:rPr>
        <w:t>.</w:t>
      </w:r>
    </w:p>
    <w:p w14:paraId="1F47117C" w14:textId="77777777" w:rsidR="00C54147" w:rsidRPr="00026EEC" w:rsidRDefault="00C54147" w:rsidP="00C54147">
      <w:pPr>
        <w:spacing w:after="0" w:line="240" w:lineRule="auto"/>
        <w:jc w:val="both"/>
        <w:rPr>
          <w:rFonts w:ascii="Simplified Arabic" w:hAnsi="Simplified Arabic" w:cs="Simplified Arabic"/>
          <w:sz w:val="24"/>
          <w:szCs w:val="24"/>
          <w:rtl/>
        </w:rPr>
      </w:pPr>
      <w:r w:rsidRPr="00026EEC">
        <w:rPr>
          <w:rFonts w:ascii="Simplified Arabic" w:hAnsi="Simplified Arabic" w:cs="Simplified Arabic"/>
          <w:sz w:val="24"/>
          <w:szCs w:val="24"/>
          <w:rtl/>
        </w:rPr>
        <w:t>وأوصت الدراسة بضرورة تعزيز ثقافة التخطيط الاستراتيجي داخل المؤسسات التقنية، وتخصيص الموارد اللازمة لتنفيذ الخطط الاستراتيجية بفاعلية، وربط ممارسات التخطيط بالمكافآت والحوافز، واعتماد مؤشرات الأداء الرئيسية</w:t>
      </w:r>
      <w:r w:rsidRPr="00026EEC">
        <w:rPr>
          <w:rFonts w:ascii="Simplified Arabic" w:hAnsi="Simplified Arabic" w:cs="Simplified Arabic"/>
          <w:sz w:val="24"/>
          <w:szCs w:val="24"/>
        </w:rPr>
        <w:t xml:space="preserve"> (KPIs) </w:t>
      </w:r>
      <w:r w:rsidRPr="00026EEC">
        <w:rPr>
          <w:rFonts w:ascii="Simplified Arabic" w:hAnsi="Simplified Arabic" w:cs="Simplified Arabic"/>
          <w:sz w:val="24"/>
          <w:szCs w:val="24"/>
          <w:rtl/>
        </w:rPr>
        <w:t>كأداة لقياس وتحسين جودة الأداء المؤسسي باستمرار</w:t>
      </w:r>
      <w:r w:rsidRPr="00026EEC">
        <w:rPr>
          <w:rFonts w:ascii="Simplified Arabic" w:hAnsi="Simplified Arabic" w:cs="Simplified Arabic"/>
          <w:sz w:val="24"/>
          <w:szCs w:val="24"/>
        </w:rPr>
        <w:t>.</w:t>
      </w:r>
    </w:p>
    <w:p w14:paraId="43BB8EED" w14:textId="77777777" w:rsidR="00C54147" w:rsidRPr="00026EEC" w:rsidRDefault="00C54147" w:rsidP="00C54147">
      <w:pPr>
        <w:pStyle w:val="ListParagraph"/>
        <w:numPr>
          <w:ilvl w:val="0"/>
          <w:numId w:val="26"/>
        </w:numPr>
        <w:spacing w:after="0" w:line="240" w:lineRule="auto"/>
        <w:ind w:left="423" w:firstLine="0"/>
        <w:jc w:val="both"/>
        <w:rPr>
          <w:rFonts w:ascii="Simplified Arabic" w:hAnsi="Simplified Arabic" w:cs="Simplified Arabic"/>
          <w:b/>
          <w:bCs/>
          <w:sz w:val="24"/>
          <w:szCs w:val="24"/>
          <w:rtl/>
          <w:lang w:bidi="ar-EG"/>
        </w:rPr>
      </w:pPr>
      <w:r w:rsidRPr="00026EEC">
        <w:rPr>
          <w:rFonts w:ascii="Simplified Arabic" w:hAnsi="Simplified Arabic" w:cs="Simplified Arabic"/>
          <w:b/>
          <w:bCs/>
          <w:sz w:val="24"/>
          <w:szCs w:val="24"/>
          <w:rtl/>
        </w:rPr>
        <w:t>دراسة (الدردور ،2023)</w:t>
      </w:r>
    </w:p>
    <w:p w14:paraId="0D66E5DB"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هدفت الدراسة إلى التعرف على كفاءة الرقابة الداخلية بأبعادها (البيئة الرقابية، تقييم المخاطر، الأنشطة الرقابية، المعلومات والتواصل، وأنشطة المتابعة) على تحسين الأداء المالي في المؤسسات الحكومية، من خلال بيان مدى تأثير تطبيق معايير الرقابة الداخلية على قدرة المؤسسات على اكتشاف الأخطاء والغش وتحقيق السلامة المالية</w:t>
      </w:r>
      <w:r w:rsidRPr="00026EEC">
        <w:rPr>
          <w:rFonts w:ascii="Simplified Arabic" w:hAnsi="Simplified Arabic" w:cs="Simplified Arabic"/>
          <w:sz w:val="24"/>
          <w:szCs w:val="24"/>
        </w:rPr>
        <w:t>.</w:t>
      </w:r>
    </w:p>
    <w:p w14:paraId="3F8CA82C"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واستخدمت الدراسة المنهج الوصفي التحليلي، حيث تم التركيز على تحليل الإطار المفاهيمي للرقابة الداخلية وأهميتها في دعم نظام المحاسبة وتطبيقه بأسس علمية، إلى جانب دورها في تفعيل إدارة المخاطر وضبط الأداء المالي من خلال الحد من فرص التصرف الفردي دون موافقات تنظيمية</w:t>
      </w:r>
      <w:r w:rsidRPr="00026EEC">
        <w:rPr>
          <w:rFonts w:ascii="Simplified Arabic" w:hAnsi="Simplified Arabic" w:cs="Simplified Arabic"/>
          <w:sz w:val="24"/>
          <w:szCs w:val="24"/>
        </w:rPr>
        <w:t>.</w:t>
      </w:r>
    </w:p>
    <w:p w14:paraId="121C80DF"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وقد أظهرت النتائج أن وجود رقابة داخلية فعّالة ومنتظمة يسهم في تحسين كفاءة الأداء المالي للمؤسسات الحكومية، ويؤدي إلى زيادة موثوقية المركز المالي من خلال تتبع الأخطاء بشكل مستمر ومعالجتها فورًا، كما تساعد الرقابة الداخلية في الالتزام بالقوانين والتعليمات وتعزز من استقرار المؤسسة أمام التحديات والمخاطر</w:t>
      </w:r>
      <w:r w:rsidRPr="00026EEC">
        <w:rPr>
          <w:rFonts w:ascii="Simplified Arabic" w:hAnsi="Simplified Arabic" w:cs="Simplified Arabic"/>
          <w:sz w:val="24"/>
          <w:szCs w:val="24"/>
        </w:rPr>
        <w:t>.</w:t>
      </w:r>
    </w:p>
    <w:p w14:paraId="6A88992A" w14:textId="77777777" w:rsidR="00C54147" w:rsidRPr="00026EEC" w:rsidRDefault="00C54147" w:rsidP="00C54147">
      <w:pPr>
        <w:spacing w:after="0" w:line="240" w:lineRule="auto"/>
        <w:jc w:val="both"/>
        <w:rPr>
          <w:rFonts w:ascii="Simplified Arabic" w:hAnsi="Simplified Arabic" w:cs="Simplified Arabic"/>
          <w:sz w:val="24"/>
          <w:szCs w:val="24"/>
          <w:rtl/>
        </w:rPr>
      </w:pPr>
      <w:r w:rsidRPr="00026EEC">
        <w:rPr>
          <w:rFonts w:ascii="Simplified Arabic" w:hAnsi="Simplified Arabic" w:cs="Simplified Arabic"/>
          <w:sz w:val="24"/>
          <w:szCs w:val="24"/>
          <w:rtl/>
        </w:rPr>
        <w:t>وأوصت الدراسة بضرورة تحديث القوانين واللوائح المتعلقة بالرقابة الداخلية، وتعزيز مهارات العاملين بها، وتطوير الأنظمة الرقابية بما يتماشى مع متطلبات إدارة المخاطر الحديثة، إلى جانب اعتماد تقييم مستمر ومنظم لطبيعة المخاطر التي قد تواجه المؤسسات الحكومية لضمان فاعلية الأداء الرقابي وزيادة كفاءة المتابعة والتقويم</w:t>
      </w:r>
      <w:r w:rsidRPr="00026EEC">
        <w:rPr>
          <w:rFonts w:ascii="Simplified Arabic" w:hAnsi="Simplified Arabic" w:cs="Simplified Arabic"/>
          <w:sz w:val="24"/>
          <w:szCs w:val="24"/>
        </w:rPr>
        <w:t>.</w:t>
      </w:r>
    </w:p>
    <w:p w14:paraId="1568DC44" w14:textId="77777777" w:rsidR="00C54147" w:rsidRPr="00026EEC" w:rsidRDefault="00C54147" w:rsidP="00C54147">
      <w:pPr>
        <w:pStyle w:val="ListParagraph"/>
        <w:numPr>
          <w:ilvl w:val="0"/>
          <w:numId w:val="26"/>
        </w:numPr>
        <w:spacing w:after="0" w:line="240" w:lineRule="auto"/>
        <w:ind w:left="423" w:firstLine="0"/>
        <w:jc w:val="both"/>
        <w:rPr>
          <w:rFonts w:ascii="Simplified Arabic" w:hAnsi="Simplified Arabic" w:cs="Simplified Arabic"/>
          <w:b/>
          <w:bCs/>
          <w:sz w:val="24"/>
          <w:szCs w:val="24"/>
          <w:lang w:bidi="ar-EG"/>
        </w:rPr>
      </w:pPr>
      <w:r w:rsidRPr="00026EEC">
        <w:rPr>
          <w:rFonts w:ascii="Simplified Arabic" w:hAnsi="Simplified Arabic" w:cs="Simplified Arabic"/>
          <w:b/>
          <w:bCs/>
          <w:sz w:val="24"/>
          <w:szCs w:val="24"/>
          <w:rtl/>
        </w:rPr>
        <w:t>دراسة (عبدالحكيم ،2023)</w:t>
      </w:r>
    </w:p>
    <w:p w14:paraId="72D6E7C7"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هدفت الدراسة إلى التعرف على مدى مساهمة التدريب بأبعاده (تحديد الاحتياجات التدريبية، تصميم البرامج التدريبية، تنفيذ التدريب، وتقييم أثر التدريب) في تحسين كفاءة الموارد البشرية بمؤسسة اتصالات الجزائر – تقرت،  واستخدمت الدراسة المنهج الوصفي التحليلي</w:t>
      </w:r>
      <w:r w:rsidRPr="00026EEC">
        <w:rPr>
          <w:rFonts w:ascii="Simplified Arabic" w:hAnsi="Simplified Arabic" w:cs="Simplified Arabic"/>
          <w:sz w:val="24"/>
          <w:szCs w:val="24"/>
        </w:rPr>
        <w:t>.</w:t>
      </w:r>
    </w:p>
    <w:p w14:paraId="3986BDA5"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وتوصلت نتائج الدراسة إلى أن التدريب يمثل عنصرًا أساسيًا وفعالًا في تطوير كفاءة الموارد البشرية، حيث يساهم في ترشيد وتوجيه أداء العاملين، وتحسين مهاراتهم بما ينعكس إيجابيًا على أداء المؤسسة ككل</w:t>
      </w:r>
      <w:r w:rsidRPr="00026EEC">
        <w:rPr>
          <w:rFonts w:ascii="Simplified Arabic" w:hAnsi="Simplified Arabic" w:cs="Simplified Arabic"/>
          <w:sz w:val="24"/>
          <w:szCs w:val="24"/>
        </w:rPr>
        <w:t>.</w:t>
      </w:r>
    </w:p>
    <w:p w14:paraId="012642A1" w14:textId="77777777" w:rsidR="00C54147" w:rsidRPr="00026EEC" w:rsidRDefault="00C54147" w:rsidP="00C54147">
      <w:pPr>
        <w:spacing w:after="0" w:line="240" w:lineRule="auto"/>
        <w:jc w:val="both"/>
        <w:rPr>
          <w:rFonts w:ascii="Simplified Arabic" w:hAnsi="Simplified Arabic" w:cs="Simplified Arabic"/>
          <w:sz w:val="24"/>
          <w:szCs w:val="24"/>
        </w:rPr>
      </w:pPr>
      <w:r w:rsidRPr="00026EEC">
        <w:rPr>
          <w:rFonts w:ascii="Simplified Arabic" w:hAnsi="Simplified Arabic" w:cs="Simplified Arabic"/>
          <w:sz w:val="24"/>
          <w:szCs w:val="24"/>
          <w:rtl/>
        </w:rPr>
        <w:t>وأوصت الدراسة بضرورة الاهتمام المستمر بتطوير البرامج التدريبية بناءً على التحليل الدقيق لاحتياجات الموظفين، إلى جانب تفعيل آليات تقييم أثر التدريب بشكل دوري لضمان تحقيق أقصى استفادة منه على المستوى الفردي والمؤسسي</w:t>
      </w:r>
      <w:r w:rsidRPr="00026EEC">
        <w:rPr>
          <w:rFonts w:ascii="Simplified Arabic" w:hAnsi="Simplified Arabic" w:cs="Simplified Arabic"/>
          <w:sz w:val="24"/>
          <w:szCs w:val="24"/>
        </w:rPr>
        <w:t>.</w:t>
      </w:r>
      <w:r w:rsidRPr="00026EEC">
        <w:rPr>
          <w:rFonts w:ascii="Simplified Arabic" w:hAnsi="Simplified Arabic" w:cs="Simplified Arabic"/>
          <w:sz w:val="24"/>
          <w:szCs w:val="24"/>
          <w:rtl/>
        </w:rPr>
        <w:t xml:space="preserve"> </w:t>
      </w:r>
    </w:p>
    <w:bookmarkEnd w:id="21"/>
    <w:p w14:paraId="7016C3BD" w14:textId="3CDCB1B3" w:rsidR="00302167" w:rsidRPr="0003434F" w:rsidRDefault="00302167" w:rsidP="0003434F">
      <w:pPr>
        <w:spacing w:after="0" w:line="240" w:lineRule="auto"/>
        <w:jc w:val="both"/>
        <w:rPr>
          <w:rFonts w:ascii="Simplified Arabic" w:eastAsia="Times New Roman" w:hAnsi="Simplified Arabic" w:cs="Simplified Arabic"/>
          <w:b/>
          <w:bCs/>
          <w:kern w:val="0"/>
          <w:sz w:val="28"/>
          <w:szCs w:val="28"/>
          <w:rtl/>
          <w14:ligatures w14:val="none"/>
        </w:rPr>
      </w:pPr>
      <w:r w:rsidRPr="0003434F">
        <w:rPr>
          <w:rFonts w:ascii="Simplified Arabic" w:eastAsia="Times New Roman" w:hAnsi="Simplified Arabic" w:cs="Simplified Arabic"/>
          <w:b/>
          <w:bCs/>
          <w:kern w:val="0"/>
          <w:sz w:val="28"/>
          <w:szCs w:val="28"/>
          <w:rtl/>
          <w14:ligatures w14:val="none"/>
        </w:rPr>
        <w:lastRenderedPageBreak/>
        <w:t>منهجية الدراسة وإجراءاتها</w:t>
      </w:r>
      <w:bookmarkEnd w:id="19"/>
    </w:p>
    <w:p w14:paraId="6237AAB0" w14:textId="25CAFB18" w:rsidR="00B820CB" w:rsidRPr="00026EEC" w:rsidRDefault="00302167" w:rsidP="00026EEC">
      <w:pPr>
        <w:spacing w:after="0" w:line="240" w:lineRule="auto"/>
        <w:jc w:val="both"/>
        <w:outlineLvl w:val="1"/>
        <w:rPr>
          <w:rFonts w:ascii="Simplified Arabic" w:eastAsia="Times New Roman" w:hAnsi="Simplified Arabic" w:cs="Simplified Arabic"/>
          <w:b/>
          <w:bCs/>
          <w:kern w:val="0"/>
          <w:sz w:val="24"/>
          <w:szCs w:val="24"/>
          <w14:ligatures w14:val="none"/>
        </w:rPr>
      </w:pPr>
      <w:bookmarkStart w:id="22" w:name="_Toc223386541"/>
      <w:r w:rsidRPr="00026EEC">
        <w:rPr>
          <w:rFonts w:ascii="Simplified Arabic" w:eastAsia="Times New Roman" w:hAnsi="Simplified Arabic" w:cs="Simplified Arabic"/>
          <w:b/>
          <w:bCs/>
          <w:kern w:val="0"/>
          <w:sz w:val="24"/>
          <w:szCs w:val="24"/>
          <w:rtl/>
          <w14:ligatures w14:val="none"/>
        </w:rPr>
        <w:t>منهج الدراسة</w:t>
      </w:r>
      <w:bookmarkEnd w:id="22"/>
      <w:r w:rsidR="0003434F">
        <w:rPr>
          <w:rFonts w:ascii="Simplified Arabic" w:eastAsia="Times New Roman" w:hAnsi="Simplified Arabic" w:cs="Simplified Arabic" w:hint="cs"/>
          <w:b/>
          <w:bCs/>
          <w:kern w:val="0"/>
          <w:sz w:val="24"/>
          <w:szCs w:val="24"/>
          <w:rtl/>
          <w14:ligatures w14:val="none"/>
        </w:rPr>
        <w:t xml:space="preserve"> </w:t>
      </w:r>
    </w:p>
    <w:p w14:paraId="5A724C4C"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اعتمدت الدراسة الحالية على المنهج الوصفي التحليلي بوصفه المنهج الأكثر ملاءمة لطبيعة المشكلة البحثية وأهداف الدراسة، إذ يُمكّن هذا المنهج من وصف الظاهرة المدروسة كما هي في الواقع وصفاً دقيقاً، والتعبير عنها تعبيراً كمّياً ونوعياً، ثم تحليل العلاقات بين متغيراتها واختبار الفرضيات المتعلقة بها. ويتكوّن المنهج المستخدم من شقّين متكاملين: الشقّ الوصفي الذي يهدف إلى رصد واقع ممارسات إدارة المخاطر التشغيلية المتقدمة ومستوى الكفاءة التشغيلية في شبكات الكهرباء الذكية بالشركة السعودية للكهرباء من وجهة نظر العاملين فيها، والشقّ التحليلي الذي يهدف إلى تحليل أثر أبعاد المتغير المستقل على المتغير التابع واختبار الدلالة الإحصائية لهذا الأثر</w:t>
      </w:r>
      <w:r w:rsidRPr="00026EEC">
        <w:rPr>
          <w:rFonts w:ascii="Simplified Arabic" w:eastAsia="Times New Roman" w:hAnsi="Simplified Arabic" w:cs="Simplified Arabic"/>
          <w:kern w:val="0"/>
          <w:sz w:val="24"/>
          <w:szCs w:val="24"/>
          <w14:ligatures w14:val="none"/>
        </w:rPr>
        <w:t>.</w:t>
      </w:r>
    </w:p>
    <w:p w14:paraId="6DE5D46D"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وقد اعتمدت الدراسة على مصدرين أساسيين لجمع البيانات: المصادر الثانوية المتمثلة في الكتب والدوريات العلمية والرسائل الجامعية والمؤتمرات العلمية وقواعد البيانات الإلكترونية التي أسهمت في بناء الإطار النظري وتطوير أداة الدراسة، والمصادر الأولية المتمثلة في الاستبانة التي صُمّمت خصيصاً لجمع البيانات الميدانية من مفردات عينة الدراسة</w:t>
      </w:r>
      <w:r w:rsidRPr="00026EEC">
        <w:rPr>
          <w:rFonts w:ascii="Simplified Arabic" w:eastAsia="Times New Roman" w:hAnsi="Simplified Arabic" w:cs="Simplified Arabic"/>
          <w:kern w:val="0"/>
          <w:sz w:val="24"/>
          <w:szCs w:val="24"/>
          <w14:ligatures w14:val="none"/>
        </w:rPr>
        <w:t>.</w:t>
      </w:r>
    </w:p>
    <w:p w14:paraId="25134B1E" w14:textId="5864053C" w:rsidR="00B820CB" w:rsidRPr="00026EEC" w:rsidRDefault="00302167" w:rsidP="00026EEC">
      <w:pPr>
        <w:spacing w:after="0" w:line="240" w:lineRule="auto"/>
        <w:jc w:val="both"/>
        <w:outlineLvl w:val="1"/>
        <w:rPr>
          <w:rFonts w:ascii="Simplified Arabic" w:eastAsia="Times New Roman" w:hAnsi="Simplified Arabic" w:cs="Simplified Arabic"/>
          <w:b/>
          <w:bCs/>
          <w:kern w:val="0"/>
          <w:sz w:val="24"/>
          <w:szCs w:val="24"/>
          <w14:ligatures w14:val="none"/>
        </w:rPr>
      </w:pPr>
      <w:bookmarkStart w:id="23" w:name="_Toc223386542"/>
      <w:r w:rsidRPr="00026EEC">
        <w:rPr>
          <w:rFonts w:ascii="Simplified Arabic" w:eastAsia="Times New Roman" w:hAnsi="Simplified Arabic" w:cs="Simplified Arabic"/>
          <w:b/>
          <w:bCs/>
          <w:kern w:val="0"/>
          <w:sz w:val="24"/>
          <w:szCs w:val="24"/>
          <w:rtl/>
          <w14:ligatures w14:val="none"/>
        </w:rPr>
        <w:t>مجتمع الدراسة وعينتها</w:t>
      </w:r>
      <w:bookmarkEnd w:id="23"/>
    </w:p>
    <w:p w14:paraId="1716078D" w14:textId="29590FCB" w:rsidR="00302167" w:rsidRPr="00026EEC" w:rsidRDefault="00302167" w:rsidP="00026EEC">
      <w:pPr>
        <w:pStyle w:val="ListParagraph"/>
        <w:numPr>
          <w:ilvl w:val="0"/>
          <w:numId w:val="31"/>
        </w:numPr>
        <w:spacing w:after="0" w:line="240" w:lineRule="auto"/>
        <w:ind w:left="423"/>
        <w:jc w:val="both"/>
        <w:rPr>
          <w:rFonts w:ascii="Simplified Arabic" w:eastAsia="Times New Roman" w:hAnsi="Simplified Arabic" w:cs="Simplified Arabic"/>
          <w:b/>
          <w:bCs/>
          <w:kern w:val="0"/>
          <w:sz w:val="24"/>
          <w:szCs w:val="24"/>
          <w:rtl/>
          <w14:ligatures w14:val="none"/>
        </w:rPr>
      </w:pPr>
      <w:r w:rsidRPr="00026EEC">
        <w:rPr>
          <w:rFonts w:ascii="Simplified Arabic" w:eastAsia="Times New Roman" w:hAnsi="Simplified Arabic" w:cs="Simplified Arabic"/>
          <w:b/>
          <w:bCs/>
          <w:kern w:val="0"/>
          <w:sz w:val="24"/>
          <w:szCs w:val="24"/>
          <w:rtl/>
          <w14:ligatures w14:val="none"/>
        </w:rPr>
        <w:t>مجتمع الدراسة</w:t>
      </w:r>
    </w:p>
    <w:p w14:paraId="358626E7"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يتكوّن مجتمع الدراسة من جميع العاملين في الوظائف الإدارية والفنية والهندسية ذات الصلة بإدارة المخاطر التشغيلية وتشغيل وصيانة شبكات الكهرباء الذكية في الشركة السعودية للكهرباء، وذلك في الإدارات والقطاعات التشغيلية الرئيسة التي تشمل: قطاع التوزيع، وقطاع النقل، وإدارة التشغيل، وإدارة الصيانة، وإدارة المخاطر، وإدارة التخطيط الشبكي، وإدارة الأنظمة الذكية، وإدارة الجودة والأداء التشغيلي. وقد بلغ حجم مجتمع الدراسة وفقاً للبيانات المتاحة من إدارة الموارد البشرية بالشركة السعودية للكهرباء ما يُقارب (2,400) موظف وموظفة يعملون في هذه القطاعات والإدارات عبر مناطق التشغيل المختلفة في المملكة العربية السعودية</w:t>
      </w:r>
      <w:r w:rsidRPr="00026EEC">
        <w:rPr>
          <w:rFonts w:ascii="Simplified Arabic" w:eastAsia="Times New Roman" w:hAnsi="Simplified Arabic" w:cs="Simplified Arabic"/>
          <w:kern w:val="0"/>
          <w:sz w:val="24"/>
          <w:szCs w:val="24"/>
          <w14:ligatures w14:val="none"/>
        </w:rPr>
        <w:t>.</w:t>
      </w:r>
    </w:p>
    <w:p w14:paraId="768F45AE"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وقد روعي في تحديد مجتمع الدراسة أن يشمل الفئات الوظيفية التي تمتلك معرفة مباشرة ومعمّقة بممارسات إدارة المخاطر التشغيلية وواقع الكفاءة التشغيلية في الشبكة الكهربائية، بحيث تكون إجاباتهم على أداة الدراسة مبنية على خبرة فعلية وإدراك حقيقي للمتغيرات المدروسة، مما يُعزّز مصداقية البيانات المجمّعة وصلاحيتها للتحليل</w:t>
      </w:r>
      <w:r w:rsidRPr="00026EEC">
        <w:rPr>
          <w:rFonts w:ascii="Simplified Arabic" w:eastAsia="Times New Roman" w:hAnsi="Simplified Arabic" w:cs="Simplified Arabic"/>
          <w:kern w:val="0"/>
          <w:sz w:val="24"/>
          <w:szCs w:val="24"/>
          <w14:ligatures w14:val="none"/>
        </w:rPr>
        <w:t>.</w:t>
      </w:r>
    </w:p>
    <w:p w14:paraId="3B0B7AD3" w14:textId="19652D98" w:rsidR="00302167" w:rsidRPr="00026EEC" w:rsidRDefault="00302167" w:rsidP="00026EEC">
      <w:pPr>
        <w:pStyle w:val="ListParagraph"/>
        <w:numPr>
          <w:ilvl w:val="0"/>
          <w:numId w:val="31"/>
        </w:numPr>
        <w:spacing w:after="0" w:line="240" w:lineRule="auto"/>
        <w:ind w:left="423"/>
        <w:jc w:val="both"/>
        <w:rPr>
          <w:rFonts w:ascii="Simplified Arabic" w:eastAsia="Times New Roman" w:hAnsi="Simplified Arabic" w:cs="Simplified Arabic"/>
          <w:b/>
          <w:bCs/>
          <w:kern w:val="0"/>
          <w:sz w:val="24"/>
          <w:szCs w:val="24"/>
          <w:rtl/>
          <w14:ligatures w14:val="none"/>
        </w:rPr>
      </w:pPr>
      <w:r w:rsidRPr="00026EEC">
        <w:rPr>
          <w:rFonts w:ascii="Simplified Arabic" w:eastAsia="Times New Roman" w:hAnsi="Simplified Arabic" w:cs="Simplified Arabic"/>
          <w:b/>
          <w:bCs/>
          <w:kern w:val="0"/>
          <w:sz w:val="24"/>
          <w:szCs w:val="24"/>
          <w:rtl/>
          <w14:ligatures w14:val="none"/>
        </w:rPr>
        <w:t>عينة الدراسة</w:t>
      </w:r>
    </w:p>
    <w:p w14:paraId="1A4A2262"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نظراً لاتساع مجتمع الدراسة وتوزّعه الجغرافي عبر مناطق تشغيل متعددة في المملكة العربية السعودية، فقد اعتمدت الدراسة أسلوب العينة الطبقية العشوائية التناسبية في اختيار مفردات العينة، حيث قُسّم مجتمع الدراسة إلى طبقات وفقاً للقطاعات والإدارات الرئيسة، ثم سُحبت عينة عشوائية من كل طبقة بنسبة تتناسب مع حجمها في المجتمع الأصلي. وقد تم تحديد حجم العينة المطلوب استناداً إلى معادلة ستيفن ثومبسون لتحديد حجم العينات من المجتمعات المحدودة، وعند مستوى ثقة (95%) وهامش خطأ (5%)، بلغ الحد الأدنى المطلوب لحجم العينة (331) مفردة</w:t>
      </w:r>
      <w:r w:rsidRPr="00026EEC">
        <w:rPr>
          <w:rFonts w:ascii="Simplified Arabic" w:eastAsia="Times New Roman" w:hAnsi="Simplified Arabic" w:cs="Simplified Arabic"/>
          <w:kern w:val="0"/>
          <w:sz w:val="24"/>
          <w:szCs w:val="24"/>
          <w14:ligatures w14:val="none"/>
        </w:rPr>
        <w:t>.</w:t>
      </w:r>
    </w:p>
    <w:p w14:paraId="2915B822"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lastRenderedPageBreak/>
        <w:t>وبناءً على ذلك، تم توزيع (400) استبانة على مفردات العينة لتعويض النقص المتوقع في معدل الاستجابة، وقد استُرجعت</w:t>
      </w:r>
      <w:r w:rsidRPr="00026EEC">
        <w:rPr>
          <w:rFonts w:ascii="Simplified Arabic" w:eastAsia="Times New Roman" w:hAnsi="Simplified Arabic" w:cs="Simplified Arabic"/>
          <w:kern w:val="0"/>
          <w:sz w:val="24"/>
          <w:szCs w:val="24"/>
          <w14:ligatures w14:val="none"/>
        </w:rPr>
        <w:t xml:space="preserve"> (367) </w:t>
      </w:r>
      <w:r w:rsidRPr="00026EEC">
        <w:rPr>
          <w:rFonts w:ascii="Simplified Arabic" w:eastAsia="Times New Roman" w:hAnsi="Simplified Arabic" w:cs="Simplified Arabic"/>
          <w:kern w:val="0"/>
          <w:sz w:val="24"/>
          <w:szCs w:val="24"/>
          <w:rtl/>
          <w14:ligatures w14:val="none"/>
        </w:rPr>
        <w:t>استبانة بمعدل استجابة بلغ (91.75%)، واستُبعدت (15) استبانة لعدم اكتمال بياناتها أو وجود أنماط إجابة غير منطقية، ليُصبح عدد الاستبانات الصالحة للتحليل الإحصائي (352) استبانة بنسبة (88%) من الاستبانات الموزّعة، وهو حجم عينة يفوق الحد الأدنى المطلوب إحصائياً ويُعدّ كافياً لإجراء التحليلات الإحصائية المطلوبة بمستوى ثقة مقبول. ويُوضّح الجدول (1) توزيع الاستبانات الموزّعة والمستردة والصالحة للتحليل</w:t>
      </w:r>
      <w:r w:rsidRPr="00026EEC">
        <w:rPr>
          <w:rFonts w:ascii="Simplified Arabic" w:eastAsia="Times New Roman" w:hAnsi="Simplified Arabic" w:cs="Simplified Arabic"/>
          <w:kern w:val="0"/>
          <w:sz w:val="24"/>
          <w:szCs w:val="24"/>
          <w14:ligatures w14:val="none"/>
        </w:rPr>
        <w:t>.</w:t>
      </w:r>
    </w:p>
    <w:p w14:paraId="4145C279" w14:textId="77777777" w:rsidR="00B820CB" w:rsidRPr="00026EEC" w:rsidRDefault="00B820CB" w:rsidP="00026EEC">
      <w:pPr>
        <w:spacing w:after="0" w:line="240" w:lineRule="auto"/>
        <w:jc w:val="center"/>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جدول (1): توزيع الاستبانات الموزّعة والمستردة والصالحة للتحليل</w:t>
      </w:r>
    </w:p>
    <w:tbl>
      <w:tblPr>
        <w:tblStyle w:val="GridTable1Light-Accent5"/>
        <w:bidiVisual/>
        <w:tblW w:w="0" w:type="auto"/>
        <w:jc w:val="center"/>
        <w:tblLook w:val="04A0" w:firstRow="1" w:lastRow="0" w:firstColumn="1" w:lastColumn="0" w:noHBand="0" w:noVBand="1"/>
      </w:tblPr>
      <w:tblGrid>
        <w:gridCol w:w="1930"/>
        <w:gridCol w:w="532"/>
        <w:gridCol w:w="1062"/>
      </w:tblGrid>
      <w:tr w:rsidR="00B820CB" w:rsidRPr="0003434F" w14:paraId="4A9170B2" w14:textId="77777777" w:rsidTr="00327C8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4278CB"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البيان</w:t>
            </w:r>
          </w:p>
        </w:tc>
        <w:tc>
          <w:tcPr>
            <w:tcW w:w="0" w:type="auto"/>
            <w:vAlign w:val="center"/>
            <w:hideMark/>
          </w:tcPr>
          <w:p w14:paraId="0D20DF9D"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العدد</w:t>
            </w:r>
          </w:p>
        </w:tc>
        <w:tc>
          <w:tcPr>
            <w:tcW w:w="0" w:type="auto"/>
            <w:vAlign w:val="center"/>
            <w:hideMark/>
          </w:tcPr>
          <w:p w14:paraId="412F31AC"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النسبة المئوية</w:t>
            </w:r>
          </w:p>
        </w:tc>
      </w:tr>
      <w:tr w:rsidR="00B820CB" w:rsidRPr="0003434F" w14:paraId="4A30D010"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9D3501"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الاستبانات الموزّعة</w:t>
            </w:r>
          </w:p>
        </w:tc>
        <w:tc>
          <w:tcPr>
            <w:tcW w:w="0" w:type="auto"/>
            <w:vAlign w:val="center"/>
            <w:hideMark/>
          </w:tcPr>
          <w:p w14:paraId="5207471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400</w:t>
            </w:r>
          </w:p>
        </w:tc>
        <w:tc>
          <w:tcPr>
            <w:tcW w:w="0" w:type="auto"/>
            <w:vAlign w:val="center"/>
            <w:hideMark/>
          </w:tcPr>
          <w:p w14:paraId="7C404F5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w:t>
            </w:r>
          </w:p>
        </w:tc>
      </w:tr>
      <w:tr w:rsidR="00B820CB" w:rsidRPr="0003434F" w14:paraId="5EEDF28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AAE1A2"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الاستبانات المستردة</w:t>
            </w:r>
          </w:p>
        </w:tc>
        <w:tc>
          <w:tcPr>
            <w:tcW w:w="0" w:type="auto"/>
            <w:vAlign w:val="center"/>
            <w:hideMark/>
          </w:tcPr>
          <w:p w14:paraId="2F9EEC4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367</w:t>
            </w:r>
          </w:p>
        </w:tc>
        <w:tc>
          <w:tcPr>
            <w:tcW w:w="0" w:type="auto"/>
            <w:vAlign w:val="center"/>
            <w:hideMark/>
          </w:tcPr>
          <w:p w14:paraId="7EDC27C0"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91.75%</w:t>
            </w:r>
          </w:p>
        </w:tc>
      </w:tr>
      <w:tr w:rsidR="00B820CB" w:rsidRPr="0003434F" w14:paraId="6039DCA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7DEF98"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الاستبانات المستبعدة</w:t>
            </w:r>
          </w:p>
        </w:tc>
        <w:tc>
          <w:tcPr>
            <w:tcW w:w="0" w:type="auto"/>
            <w:vAlign w:val="center"/>
            <w:hideMark/>
          </w:tcPr>
          <w:p w14:paraId="1F5D902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15</w:t>
            </w:r>
          </w:p>
        </w:tc>
        <w:tc>
          <w:tcPr>
            <w:tcW w:w="0" w:type="auto"/>
            <w:vAlign w:val="center"/>
            <w:hideMark/>
          </w:tcPr>
          <w:p w14:paraId="6370249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3.75%</w:t>
            </w:r>
          </w:p>
        </w:tc>
      </w:tr>
      <w:tr w:rsidR="00B820CB" w:rsidRPr="0003434F" w14:paraId="357007B5"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D2B3EF"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الاستبانات الصالحة للتحليل</w:t>
            </w:r>
          </w:p>
        </w:tc>
        <w:tc>
          <w:tcPr>
            <w:tcW w:w="0" w:type="auto"/>
            <w:vAlign w:val="center"/>
            <w:hideMark/>
          </w:tcPr>
          <w:p w14:paraId="7C4D9350"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352</w:t>
            </w:r>
          </w:p>
        </w:tc>
        <w:tc>
          <w:tcPr>
            <w:tcW w:w="0" w:type="auto"/>
            <w:vAlign w:val="center"/>
            <w:hideMark/>
          </w:tcPr>
          <w:p w14:paraId="47196CC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88.00%</w:t>
            </w:r>
          </w:p>
        </w:tc>
      </w:tr>
    </w:tbl>
    <w:p w14:paraId="60FDB5D5" w14:textId="4D4E24B5" w:rsidR="00B820CB" w:rsidRPr="00026EEC" w:rsidRDefault="00302167" w:rsidP="00026EEC">
      <w:pPr>
        <w:spacing w:after="0" w:line="240" w:lineRule="auto"/>
        <w:jc w:val="both"/>
        <w:outlineLvl w:val="1"/>
        <w:rPr>
          <w:rFonts w:ascii="Simplified Arabic" w:eastAsia="Times New Roman" w:hAnsi="Simplified Arabic" w:cs="Simplified Arabic"/>
          <w:b/>
          <w:bCs/>
          <w:kern w:val="0"/>
          <w:sz w:val="24"/>
          <w:szCs w:val="24"/>
          <w14:ligatures w14:val="none"/>
        </w:rPr>
      </w:pPr>
      <w:bookmarkStart w:id="24" w:name="_Toc223386543"/>
      <w:r w:rsidRPr="00026EEC">
        <w:rPr>
          <w:rFonts w:ascii="Simplified Arabic" w:eastAsia="Times New Roman" w:hAnsi="Simplified Arabic" w:cs="Simplified Arabic"/>
          <w:b/>
          <w:bCs/>
          <w:kern w:val="0"/>
          <w:sz w:val="24"/>
          <w:szCs w:val="24"/>
          <w:rtl/>
          <w14:ligatures w14:val="none"/>
        </w:rPr>
        <w:t>أداة الدراسة (الاستبانة)</w:t>
      </w:r>
      <w:bookmarkEnd w:id="24"/>
    </w:p>
    <w:p w14:paraId="25980866"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اعتمدت الدراسة الحالية على الاستبانة بوصفها الأداة الرئيسة لجمع البيانات الأولية من مفردات عينة الدراسة، وقد صُمّمت الاستبانة استناداً إلى الإطار النظري والدراسات السابقة ذات الصلة، مع مراعاة خصوصية بيئة الدراسة المتمثلة في الشركة السعودية للكهرباء وطبيعة متغيراتها. وقد اعتمدت الاستبانة مقياس ليكرت الخماسي في قياس استجابات المبحوثين، حيث تتدرّج الاستجابات من (1) لا أوافق بشدة إلى (5) أوافق بشدة. وتكوّنت الاستبانة في صورتها النهائية من ثلاثة أقسام رئيسة، ويُوضّح الجدول (3) توزيع فقرات الاستبانة على المتغيرات والأبعاد</w:t>
      </w:r>
      <w:r w:rsidRPr="00026EEC">
        <w:rPr>
          <w:rFonts w:ascii="Simplified Arabic" w:eastAsia="Times New Roman" w:hAnsi="Simplified Arabic" w:cs="Simplified Arabic"/>
          <w:kern w:val="0"/>
          <w:sz w:val="24"/>
          <w:szCs w:val="24"/>
          <w14:ligatures w14:val="none"/>
        </w:rPr>
        <w:t>.</w:t>
      </w:r>
    </w:p>
    <w:p w14:paraId="5486F670" w14:textId="178A0A5F" w:rsidR="00B820CB" w:rsidRPr="00026EEC" w:rsidRDefault="00B820CB" w:rsidP="00026EEC">
      <w:pPr>
        <w:spacing w:after="0" w:line="240" w:lineRule="auto"/>
        <w:jc w:val="center"/>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جدول (</w:t>
      </w:r>
      <w:r w:rsidR="00327C81" w:rsidRPr="00026EEC">
        <w:rPr>
          <w:rFonts w:ascii="Simplified Arabic" w:eastAsia="Times New Roman" w:hAnsi="Simplified Arabic" w:cs="Simplified Arabic"/>
          <w:b/>
          <w:bCs/>
          <w:kern w:val="0"/>
          <w:sz w:val="24"/>
          <w:szCs w:val="24"/>
          <w:rtl/>
          <w14:ligatures w14:val="none"/>
        </w:rPr>
        <w:t>2</w:t>
      </w:r>
      <w:r w:rsidRPr="00026EEC">
        <w:rPr>
          <w:rFonts w:ascii="Simplified Arabic" w:eastAsia="Times New Roman" w:hAnsi="Simplified Arabic" w:cs="Simplified Arabic"/>
          <w:b/>
          <w:bCs/>
          <w:kern w:val="0"/>
          <w:sz w:val="24"/>
          <w:szCs w:val="24"/>
          <w:rtl/>
          <w14:ligatures w14:val="none"/>
        </w:rPr>
        <w:t>): توزيع فقرات الاستبانة على متغيرات الدراسة وأبعادها</w:t>
      </w:r>
    </w:p>
    <w:tbl>
      <w:tblPr>
        <w:tblStyle w:val="GridTable1Light-Accent5"/>
        <w:bidiVisual/>
        <w:tblW w:w="0" w:type="auto"/>
        <w:jc w:val="center"/>
        <w:tblLook w:val="04A0" w:firstRow="1" w:lastRow="0" w:firstColumn="1" w:lastColumn="0" w:noHBand="0" w:noVBand="1"/>
      </w:tblPr>
      <w:tblGrid>
        <w:gridCol w:w="578"/>
        <w:gridCol w:w="4207"/>
        <w:gridCol w:w="990"/>
        <w:gridCol w:w="1056"/>
      </w:tblGrid>
      <w:tr w:rsidR="00B820CB" w:rsidRPr="0003434F" w14:paraId="1A9B6466"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A9168E"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القسم</w:t>
            </w:r>
          </w:p>
        </w:tc>
        <w:tc>
          <w:tcPr>
            <w:tcW w:w="0" w:type="auto"/>
            <w:vAlign w:val="center"/>
            <w:hideMark/>
          </w:tcPr>
          <w:p w14:paraId="69D326B1"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 البُعد</w:t>
            </w:r>
          </w:p>
        </w:tc>
        <w:tc>
          <w:tcPr>
            <w:tcW w:w="0" w:type="auto"/>
            <w:vAlign w:val="center"/>
            <w:hideMark/>
          </w:tcPr>
          <w:p w14:paraId="64803DB9"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عدد الفقرات</w:t>
            </w:r>
          </w:p>
        </w:tc>
        <w:tc>
          <w:tcPr>
            <w:tcW w:w="0" w:type="auto"/>
            <w:vAlign w:val="center"/>
            <w:hideMark/>
          </w:tcPr>
          <w:p w14:paraId="26CCD1DA"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أرقام الفقرات</w:t>
            </w:r>
          </w:p>
        </w:tc>
      </w:tr>
      <w:tr w:rsidR="00B820CB" w:rsidRPr="0003434F" w14:paraId="796D925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676C7A"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الأول</w:t>
            </w:r>
          </w:p>
        </w:tc>
        <w:tc>
          <w:tcPr>
            <w:tcW w:w="0" w:type="auto"/>
            <w:vAlign w:val="center"/>
            <w:hideMark/>
          </w:tcPr>
          <w:p w14:paraId="58B972D7"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البيانات الديموغرافية والوظيفية</w:t>
            </w:r>
          </w:p>
        </w:tc>
        <w:tc>
          <w:tcPr>
            <w:tcW w:w="0" w:type="auto"/>
            <w:vAlign w:val="center"/>
            <w:hideMark/>
          </w:tcPr>
          <w:p w14:paraId="5D7778D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 xml:space="preserve">4 </w:t>
            </w:r>
            <w:r w:rsidRPr="0003434F">
              <w:rPr>
                <w:rFonts w:ascii="Simplified Arabic" w:eastAsia="Times New Roman" w:hAnsi="Simplified Arabic" w:cs="Simplified Arabic"/>
                <w:kern w:val="0"/>
                <w:sz w:val="20"/>
                <w:szCs w:val="20"/>
                <w:rtl/>
                <w14:ligatures w14:val="none"/>
              </w:rPr>
              <w:t>بنود</w:t>
            </w:r>
          </w:p>
        </w:tc>
        <w:tc>
          <w:tcPr>
            <w:tcW w:w="0" w:type="auto"/>
            <w:vAlign w:val="center"/>
            <w:hideMark/>
          </w:tcPr>
          <w:p w14:paraId="4B64E9E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w:t>
            </w:r>
          </w:p>
        </w:tc>
      </w:tr>
      <w:tr w:rsidR="00327C81" w:rsidRPr="0003434F" w14:paraId="0B0D0E8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B94DF03"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الثاني</w:t>
            </w:r>
          </w:p>
        </w:tc>
        <w:tc>
          <w:tcPr>
            <w:tcW w:w="0" w:type="auto"/>
            <w:vAlign w:val="center"/>
            <w:hideMark/>
          </w:tcPr>
          <w:p w14:paraId="193C5F38"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المتغير المستقل: إدارة المخاطر التشغيلية المتقدمة</w:t>
            </w:r>
          </w:p>
        </w:tc>
        <w:tc>
          <w:tcPr>
            <w:tcW w:w="0" w:type="auto"/>
            <w:vAlign w:val="center"/>
            <w:hideMark/>
          </w:tcPr>
          <w:p w14:paraId="3C1D94D3"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16</w:t>
            </w:r>
          </w:p>
        </w:tc>
        <w:tc>
          <w:tcPr>
            <w:tcW w:w="0" w:type="auto"/>
            <w:vAlign w:val="center"/>
            <w:hideMark/>
          </w:tcPr>
          <w:p w14:paraId="55E3464E"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1–16</w:t>
            </w:r>
          </w:p>
        </w:tc>
      </w:tr>
      <w:tr w:rsidR="00327C81" w:rsidRPr="0003434F" w14:paraId="0144648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F2417C"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p>
        </w:tc>
        <w:tc>
          <w:tcPr>
            <w:tcW w:w="0" w:type="auto"/>
            <w:vAlign w:val="center"/>
            <w:hideMark/>
          </w:tcPr>
          <w:p w14:paraId="7EC6E49F"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البُعد الأول: أدوات تقييم المخاطر التشغيلية</w:t>
            </w:r>
          </w:p>
        </w:tc>
        <w:tc>
          <w:tcPr>
            <w:tcW w:w="0" w:type="auto"/>
            <w:vAlign w:val="center"/>
            <w:hideMark/>
          </w:tcPr>
          <w:p w14:paraId="2F3D98E8"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691FBA8B"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1–4</w:t>
            </w:r>
          </w:p>
        </w:tc>
      </w:tr>
      <w:tr w:rsidR="00327C81" w:rsidRPr="0003434F" w14:paraId="3A4431C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7D15673"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p>
        </w:tc>
        <w:tc>
          <w:tcPr>
            <w:tcW w:w="0" w:type="auto"/>
            <w:vAlign w:val="center"/>
            <w:hideMark/>
          </w:tcPr>
          <w:p w14:paraId="74EE5796"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البُعد الثاني: استراتيجيات الاستجابة للمخاطر</w:t>
            </w:r>
          </w:p>
        </w:tc>
        <w:tc>
          <w:tcPr>
            <w:tcW w:w="0" w:type="auto"/>
            <w:vAlign w:val="center"/>
            <w:hideMark/>
          </w:tcPr>
          <w:p w14:paraId="76A30AAD"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67DD9258"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5–8</w:t>
            </w:r>
          </w:p>
        </w:tc>
      </w:tr>
      <w:tr w:rsidR="00327C81" w:rsidRPr="0003434F" w14:paraId="7268DA3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5368A24"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p>
        </w:tc>
        <w:tc>
          <w:tcPr>
            <w:tcW w:w="0" w:type="auto"/>
            <w:vAlign w:val="center"/>
            <w:hideMark/>
          </w:tcPr>
          <w:p w14:paraId="785E61AA"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البُعد الثالث: تقنيات المراقبة الذكية والصيانة الوقائية</w:t>
            </w:r>
          </w:p>
        </w:tc>
        <w:tc>
          <w:tcPr>
            <w:tcW w:w="0" w:type="auto"/>
            <w:vAlign w:val="center"/>
            <w:hideMark/>
          </w:tcPr>
          <w:p w14:paraId="57D5A7C0"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3A91474B"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9–12</w:t>
            </w:r>
          </w:p>
        </w:tc>
      </w:tr>
      <w:tr w:rsidR="00327C81" w:rsidRPr="0003434F" w14:paraId="60CC4A6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88653E"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p>
        </w:tc>
        <w:tc>
          <w:tcPr>
            <w:tcW w:w="0" w:type="auto"/>
            <w:vAlign w:val="center"/>
            <w:hideMark/>
          </w:tcPr>
          <w:p w14:paraId="7AA0DFB3"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البُعد الرابع: تكامل تقنيات إدارة المخاطر والذكاء الاصطناعي</w:t>
            </w:r>
          </w:p>
        </w:tc>
        <w:tc>
          <w:tcPr>
            <w:tcW w:w="0" w:type="auto"/>
            <w:vAlign w:val="center"/>
            <w:hideMark/>
          </w:tcPr>
          <w:p w14:paraId="08B2D09D"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4EF9D0CE"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13–16</w:t>
            </w:r>
          </w:p>
        </w:tc>
      </w:tr>
      <w:tr w:rsidR="00327C81" w:rsidRPr="0003434F" w14:paraId="53A04C0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84F038C"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الثالث</w:t>
            </w:r>
          </w:p>
        </w:tc>
        <w:tc>
          <w:tcPr>
            <w:tcW w:w="0" w:type="auto"/>
            <w:vAlign w:val="center"/>
            <w:hideMark/>
          </w:tcPr>
          <w:p w14:paraId="2A47D931"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المتغير التابع: الحدّ من الخسائر الفنية وتحسين الكفاءة التشغيلية</w:t>
            </w:r>
          </w:p>
        </w:tc>
        <w:tc>
          <w:tcPr>
            <w:tcW w:w="0" w:type="auto"/>
            <w:vAlign w:val="center"/>
            <w:hideMark/>
          </w:tcPr>
          <w:p w14:paraId="216403A5"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12</w:t>
            </w:r>
          </w:p>
        </w:tc>
        <w:tc>
          <w:tcPr>
            <w:tcW w:w="0" w:type="auto"/>
            <w:vAlign w:val="center"/>
            <w:hideMark/>
          </w:tcPr>
          <w:p w14:paraId="14EC986D"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17–28</w:t>
            </w:r>
          </w:p>
        </w:tc>
      </w:tr>
      <w:tr w:rsidR="00327C81" w:rsidRPr="0003434F" w14:paraId="50BE4FE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90F4B1" w14:textId="77777777" w:rsidR="00327C81" w:rsidRPr="0003434F" w:rsidRDefault="00327C81" w:rsidP="00026EEC">
            <w:pPr>
              <w:jc w:val="center"/>
              <w:rPr>
                <w:rFonts w:ascii="Simplified Arabic" w:eastAsia="Times New Roman" w:hAnsi="Simplified Arabic" w:cs="Simplified Arabic"/>
                <w:b w:val="0"/>
                <w:bCs w:val="0"/>
                <w:kern w:val="0"/>
                <w:sz w:val="20"/>
                <w:szCs w:val="20"/>
                <w14:ligatures w14:val="none"/>
              </w:rPr>
            </w:pPr>
          </w:p>
        </w:tc>
        <w:tc>
          <w:tcPr>
            <w:tcW w:w="0" w:type="auto"/>
            <w:vAlign w:val="center"/>
            <w:hideMark/>
          </w:tcPr>
          <w:p w14:paraId="1F080FD5"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rtl/>
                <w14:ligatures w14:val="none"/>
              </w:rPr>
              <w:t>إجمالي فقرات القياس</w:t>
            </w:r>
          </w:p>
        </w:tc>
        <w:tc>
          <w:tcPr>
            <w:tcW w:w="0" w:type="auto"/>
            <w:vAlign w:val="center"/>
            <w:hideMark/>
          </w:tcPr>
          <w:p w14:paraId="13541694"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28</w:t>
            </w:r>
          </w:p>
        </w:tc>
        <w:tc>
          <w:tcPr>
            <w:tcW w:w="0" w:type="auto"/>
            <w:vAlign w:val="center"/>
            <w:hideMark/>
          </w:tcPr>
          <w:p w14:paraId="1BF2E816"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1–28</w:t>
            </w:r>
          </w:p>
        </w:tc>
      </w:tr>
    </w:tbl>
    <w:p w14:paraId="0DE198BA" w14:textId="49E30008" w:rsidR="00302167" w:rsidRPr="00026EEC" w:rsidRDefault="00302167" w:rsidP="00026EEC">
      <w:pPr>
        <w:spacing w:after="0" w:line="240" w:lineRule="auto"/>
        <w:outlineLvl w:val="1"/>
        <w:rPr>
          <w:rFonts w:ascii="Simplified Arabic" w:eastAsia="Times New Roman" w:hAnsi="Simplified Arabic" w:cs="Simplified Arabic"/>
          <w:b/>
          <w:bCs/>
          <w:kern w:val="0"/>
          <w:sz w:val="24"/>
          <w:szCs w:val="24"/>
          <w:rtl/>
          <w14:ligatures w14:val="none"/>
        </w:rPr>
      </w:pPr>
      <w:bookmarkStart w:id="25" w:name="_Toc223386544"/>
      <w:r w:rsidRPr="00026EEC">
        <w:rPr>
          <w:rFonts w:ascii="Simplified Arabic" w:eastAsia="Times New Roman" w:hAnsi="Simplified Arabic" w:cs="Simplified Arabic"/>
          <w:b/>
          <w:bCs/>
          <w:kern w:val="0"/>
          <w:sz w:val="24"/>
          <w:szCs w:val="24"/>
          <w:rtl/>
          <w14:ligatures w14:val="none"/>
        </w:rPr>
        <w:t>صدق أداة الدراسة</w:t>
      </w:r>
      <w:bookmarkEnd w:id="25"/>
    </w:p>
    <w:p w14:paraId="06B11FB5" w14:textId="22ACD709" w:rsidR="00302167" w:rsidRPr="00026EEC" w:rsidRDefault="00302167" w:rsidP="00026EEC">
      <w:pPr>
        <w:pStyle w:val="ListParagraph"/>
        <w:numPr>
          <w:ilvl w:val="0"/>
          <w:numId w:val="31"/>
        </w:numPr>
        <w:spacing w:after="0" w:line="240" w:lineRule="auto"/>
        <w:ind w:left="423"/>
        <w:jc w:val="both"/>
        <w:rPr>
          <w:rFonts w:ascii="Simplified Arabic" w:eastAsia="Times New Roman" w:hAnsi="Simplified Arabic" w:cs="Simplified Arabic"/>
          <w:b/>
          <w:bCs/>
          <w:kern w:val="0"/>
          <w:sz w:val="24"/>
          <w:szCs w:val="24"/>
          <w:rtl/>
          <w14:ligatures w14:val="none"/>
        </w:rPr>
      </w:pPr>
      <w:r w:rsidRPr="00026EEC">
        <w:rPr>
          <w:rFonts w:ascii="Simplified Arabic" w:eastAsia="Times New Roman" w:hAnsi="Simplified Arabic" w:cs="Simplified Arabic"/>
          <w:b/>
          <w:bCs/>
          <w:kern w:val="0"/>
          <w:sz w:val="24"/>
          <w:szCs w:val="24"/>
          <w:rtl/>
          <w14:ligatures w14:val="none"/>
        </w:rPr>
        <w:t>الصدق الظاهري (صدق المحكّمين)</w:t>
      </w:r>
    </w:p>
    <w:p w14:paraId="3DFA547E"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 xml:space="preserve">للتحقق من الصدق الظاهري لأداة الدراسة، عُرضت الاستبانة في صورتها الأولية على مجموعة من المحكّمين المتخصصين بلغ عددهم (9) محكّمين من أعضاء هيئة التدريس في تخصصات إدارة الأعمال والهندسة الكهربائية وإدارة المخاطر في عدد من الجامعات السعودية والعربية، وذلك بهدف إبداء آرائهم حول مدى وضوح الفقرات ودقة صياغتها اللغوية ومدى ملاءمتها لقياس ما صُمّمت لقياسه ومدى انتمائها للبُعد أو المحور الذي أُدرجت فيه. وقد أُجريت التعديلات اللازمة بناءً على ملاحظات المحكّمين التي تمثّلت </w:t>
      </w:r>
      <w:r w:rsidRPr="00026EEC">
        <w:rPr>
          <w:rFonts w:ascii="Simplified Arabic" w:eastAsia="Times New Roman" w:hAnsi="Simplified Arabic" w:cs="Simplified Arabic"/>
          <w:kern w:val="0"/>
          <w:sz w:val="24"/>
          <w:szCs w:val="24"/>
          <w:rtl/>
          <w14:ligatures w14:val="none"/>
        </w:rPr>
        <w:lastRenderedPageBreak/>
        <w:t>في إعادة صياغة بعض الفقرات لزيادة وضوحها، وحذف فقرتين بسبب التكرار في المعنى، وإضافة فقرة واحدة اقترحها أكثر من محكّم، ليستقرّ عدد فقرات الأداة في صورتها النهائية على (28) فقرة بالإضافة إلى البيانات الديموغرافية. وقد اعتُمد معيار موافقة (80%) من المحكّمين على الفقرة كحدٍّ أدنى لقبولها</w:t>
      </w:r>
      <w:r w:rsidRPr="00026EEC">
        <w:rPr>
          <w:rFonts w:ascii="Simplified Arabic" w:eastAsia="Times New Roman" w:hAnsi="Simplified Arabic" w:cs="Simplified Arabic"/>
          <w:kern w:val="0"/>
          <w:sz w:val="24"/>
          <w:szCs w:val="24"/>
          <w14:ligatures w14:val="none"/>
        </w:rPr>
        <w:t>.</w:t>
      </w:r>
    </w:p>
    <w:p w14:paraId="5BAFC791" w14:textId="0DB27614" w:rsidR="00302167" w:rsidRPr="00026EEC" w:rsidRDefault="00302167" w:rsidP="00026EEC">
      <w:pPr>
        <w:pStyle w:val="ListParagraph"/>
        <w:numPr>
          <w:ilvl w:val="0"/>
          <w:numId w:val="31"/>
        </w:numPr>
        <w:spacing w:after="0" w:line="240" w:lineRule="auto"/>
        <w:ind w:left="423"/>
        <w:jc w:val="both"/>
        <w:rPr>
          <w:rFonts w:ascii="Simplified Arabic" w:eastAsia="Times New Roman" w:hAnsi="Simplified Arabic" w:cs="Simplified Arabic"/>
          <w:b/>
          <w:bCs/>
          <w:kern w:val="0"/>
          <w:sz w:val="24"/>
          <w:szCs w:val="24"/>
          <w:rtl/>
          <w14:ligatures w14:val="none"/>
        </w:rPr>
      </w:pPr>
      <w:r w:rsidRPr="00026EEC">
        <w:rPr>
          <w:rFonts w:ascii="Simplified Arabic" w:eastAsia="Times New Roman" w:hAnsi="Simplified Arabic" w:cs="Simplified Arabic"/>
          <w:b/>
          <w:bCs/>
          <w:kern w:val="0"/>
          <w:sz w:val="24"/>
          <w:szCs w:val="24"/>
          <w:rtl/>
          <w14:ligatures w14:val="none"/>
        </w:rPr>
        <w:t>الصدق البنائي</w:t>
      </w:r>
    </w:p>
    <w:p w14:paraId="7875079F"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للتحقق من الصدق البنائي لأداة الدراسة، حُسبت معاملات ارتباط بيرسون بين الدرجة الكلية لكل بُعد من أبعاد المتغير المستقل والدرجة الكلية للمتغير المستقل ككل، ويُوضّح الجدول (9) نتائج الصدق البنائي</w:t>
      </w:r>
      <w:r w:rsidRPr="00026EEC">
        <w:rPr>
          <w:rFonts w:ascii="Simplified Arabic" w:eastAsia="Times New Roman" w:hAnsi="Simplified Arabic" w:cs="Simplified Arabic"/>
          <w:kern w:val="0"/>
          <w:sz w:val="24"/>
          <w:szCs w:val="24"/>
          <w14:ligatures w14:val="none"/>
        </w:rPr>
        <w:t>.</w:t>
      </w:r>
    </w:p>
    <w:p w14:paraId="3CB24B42" w14:textId="59350B52" w:rsidR="00B820CB" w:rsidRPr="00026EEC" w:rsidRDefault="00B820CB" w:rsidP="00026EEC">
      <w:pPr>
        <w:spacing w:after="0" w:line="240" w:lineRule="auto"/>
        <w:jc w:val="center"/>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جدول (</w:t>
      </w:r>
      <w:r w:rsidR="00327C81" w:rsidRPr="00026EEC">
        <w:rPr>
          <w:rFonts w:ascii="Simplified Arabic" w:eastAsia="Times New Roman" w:hAnsi="Simplified Arabic" w:cs="Simplified Arabic"/>
          <w:b/>
          <w:bCs/>
          <w:kern w:val="0"/>
          <w:sz w:val="24"/>
          <w:szCs w:val="24"/>
          <w:rtl/>
          <w14:ligatures w14:val="none"/>
        </w:rPr>
        <w:t>3</w:t>
      </w:r>
      <w:r w:rsidRPr="00026EEC">
        <w:rPr>
          <w:rFonts w:ascii="Simplified Arabic" w:eastAsia="Times New Roman" w:hAnsi="Simplified Arabic" w:cs="Simplified Arabic"/>
          <w:b/>
          <w:bCs/>
          <w:kern w:val="0"/>
          <w:sz w:val="24"/>
          <w:szCs w:val="24"/>
          <w:rtl/>
          <w14:ligatures w14:val="none"/>
        </w:rPr>
        <w:t>): معاملات ارتباط بيرسون بين أبعاد المتغير المستقل والدرجة الكلية للمتغير المستقل (الصدق البنائي)</w:t>
      </w:r>
    </w:p>
    <w:tbl>
      <w:tblPr>
        <w:tblStyle w:val="GridTable1Light-Accent5"/>
        <w:bidiVisual/>
        <w:tblW w:w="0" w:type="auto"/>
        <w:jc w:val="center"/>
        <w:tblLook w:val="04A0" w:firstRow="1" w:lastRow="0" w:firstColumn="1" w:lastColumn="0" w:noHBand="0" w:noVBand="1"/>
      </w:tblPr>
      <w:tblGrid>
        <w:gridCol w:w="3304"/>
        <w:gridCol w:w="2108"/>
        <w:gridCol w:w="1103"/>
      </w:tblGrid>
      <w:tr w:rsidR="00B820CB" w:rsidRPr="0003434F" w14:paraId="254BF54E"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FDFD6B"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البُعد</w:t>
            </w:r>
          </w:p>
        </w:tc>
        <w:tc>
          <w:tcPr>
            <w:tcW w:w="0" w:type="auto"/>
            <w:vAlign w:val="center"/>
            <w:hideMark/>
          </w:tcPr>
          <w:p w14:paraId="10EFAE91"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معامل الارتباط بالدرجة الكلية</w:t>
            </w:r>
          </w:p>
        </w:tc>
        <w:tc>
          <w:tcPr>
            <w:tcW w:w="0" w:type="auto"/>
            <w:vAlign w:val="center"/>
            <w:hideMark/>
          </w:tcPr>
          <w:p w14:paraId="5608A919"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مستوى الدلالة</w:t>
            </w:r>
          </w:p>
        </w:tc>
      </w:tr>
      <w:tr w:rsidR="00B820CB" w:rsidRPr="0003434F" w14:paraId="7FCD90A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0E8747"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أدوات تقييم المخاطر التشغيلية</w:t>
            </w:r>
          </w:p>
        </w:tc>
        <w:tc>
          <w:tcPr>
            <w:tcW w:w="0" w:type="auto"/>
            <w:vAlign w:val="center"/>
            <w:hideMark/>
          </w:tcPr>
          <w:p w14:paraId="3E6895B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0.847</w:t>
            </w:r>
          </w:p>
        </w:tc>
        <w:tc>
          <w:tcPr>
            <w:tcW w:w="0" w:type="auto"/>
            <w:vAlign w:val="center"/>
            <w:hideMark/>
          </w:tcPr>
          <w:p w14:paraId="4D458A0A"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0.01**</w:t>
            </w:r>
          </w:p>
        </w:tc>
      </w:tr>
      <w:tr w:rsidR="00B820CB" w:rsidRPr="0003434F" w14:paraId="69784AC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41E08"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استراتيجيات الاستجابة للمخاطر</w:t>
            </w:r>
          </w:p>
        </w:tc>
        <w:tc>
          <w:tcPr>
            <w:tcW w:w="0" w:type="auto"/>
            <w:vAlign w:val="center"/>
            <w:hideMark/>
          </w:tcPr>
          <w:p w14:paraId="4670E30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0.821</w:t>
            </w:r>
          </w:p>
        </w:tc>
        <w:tc>
          <w:tcPr>
            <w:tcW w:w="0" w:type="auto"/>
            <w:vAlign w:val="center"/>
            <w:hideMark/>
          </w:tcPr>
          <w:p w14:paraId="73C1B637"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0.01**</w:t>
            </w:r>
          </w:p>
        </w:tc>
      </w:tr>
      <w:tr w:rsidR="00B820CB" w:rsidRPr="0003434F" w14:paraId="2F979CAA"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DA66D3"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تقنيات المراقبة الذكية والصيانة الوقائية</w:t>
            </w:r>
          </w:p>
        </w:tc>
        <w:tc>
          <w:tcPr>
            <w:tcW w:w="0" w:type="auto"/>
            <w:vAlign w:val="center"/>
            <w:hideMark/>
          </w:tcPr>
          <w:p w14:paraId="43A78A0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0.869</w:t>
            </w:r>
          </w:p>
        </w:tc>
        <w:tc>
          <w:tcPr>
            <w:tcW w:w="0" w:type="auto"/>
            <w:vAlign w:val="center"/>
            <w:hideMark/>
          </w:tcPr>
          <w:p w14:paraId="0D667B5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0.01**</w:t>
            </w:r>
          </w:p>
        </w:tc>
      </w:tr>
      <w:tr w:rsidR="00B820CB" w:rsidRPr="0003434F" w14:paraId="44BAD1C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20597"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تكامل تقنيات إدارة المخاطر والذكاء الاصطناعي</w:t>
            </w:r>
          </w:p>
        </w:tc>
        <w:tc>
          <w:tcPr>
            <w:tcW w:w="0" w:type="auto"/>
            <w:vAlign w:val="center"/>
            <w:hideMark/>
          </w:tcPr>
          <w:p w14:paraId="597D57E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0.834</w:t>
            </w:r>
          </w:p>
        </w:tc>
        <w:tc>
          <w:tcPr>
            <w:tcW w:w="0" w:type="auto"/>
            <w:vAlign w:val="center"/>
            <w:hideMark/>
          </w:tcPr>
          <w:p w14:paraId="38A24842"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0.01**</w:t>
            </w:r>
          </w:p>
        </w:tc>
      </w:tr>
    </w:tbl>
    <w:p w14:paraId="4E0FD721" w14:textId="77777777" w:rsidR="00B820CB" w:rsidRPr="00026EEC" w:rsidRDefault="00B820CB" w:rsidP="00026EEC">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دال إحصائياً عند مستوى</w:t>
      </w:r>
      <w:r w:rsidRPr="00026EEC">
        <w:rPr>
          <w:rFonts w:ascii="Simplified Arabic" w:eastAsia="Times New Roman" w:hAnsi="Simplified Arabic" w:cs="Simplified Arabic"/>
          <w:kern w:val="0"/>
          <w:sz w:val="24"/>
          <w:szCs w:val="24"/>
          <w14:ligatures w14:val="none"/>
        </w:rPr>
        <w:t xml:space="preserve"> (0.01)</w:t>
      </w:r>
    </w:p>
    <w:p w14:paraId="50BCDA2A" w14:textId="3198301F"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يتّضح من الجدول (</w:t>
      </w:r>
      <w:r w:rsidR="00302167" w:rsidRPr="00026EEC">
        <w:rPr>
          <w:rFonts w:ascii="Simplified Arabic" w:eastAsia="Times New Roman" w:hAnsi="Simplified Arabic" w:cs="Simplified Arabic"/>
          <w:kern w:val="0"/>
          <w:sz w:val="24"/>
          <w:szCs w:val="24"/>
          <w:rtl/>
          <w14:ligatures w14:val="none"/>
        </w:rPr>
        <w:t>3</w:t>
      </w:r>
      <w:r w:rsidRPr="00026EEC">
        <w:rPr>
          <w:rFonts w:ascii="Simplified Arabic" w:eastAsia="Times New Roman" w:hAnsi="Simplified Arabic" w:cs="Simplified Arabic"/>
          <w:kern w:val="0"/>
          <w:sz w:val="24"/>
          <w:szCs w:val="24"/>
          <w:rtl/>
          <w14:ligatures w14:val="none"/>
        </w:rPr>
        <w:t>) أن جميع معاملات الارتباط بين الأبعاد والدرجة الكلية للمتغير المستقل كانت موجبة وقوية ودالة إحصائياً عند مستوى (0.01)، حيث تراوحت بين (0.821) و(0.869)، مما يُشير إلى أن الأبعاد الأربعة تُسهم بصورة متوازنة في تكوين المتغير المستقل وتتمتع بدرجة عالية من الصدق البنائي</w:t>
      </w:r>
      <w:r w:rsidRPr="00026EEC">
        <w:rPr>
          <w:rFonts w:ascii="Simplified Arabic" w:eastAsia="Times New Roman" w:hAnsi="Simplified Arabic" w:cs="Simplified Arabic"/>
          <w:kern w:val="0"/>
          <w:sz w:val="24"/>
          <w:szCs w:val="24"/>
          <w14:ligatures w14:val="none"/>
        </w:rPr>
        <w:t>.</w:t>
      </w:r>
    </w:p>
    <w:p w14:paraId="1B5E6856" w14:textId="6178179C" w:rsidR="00302167" w:rsidRPr="00026EEC" w:rsidRDefault="00302167" w:rsidP="0003434F">
      <w:pPr>
        <w:spacing w:after="0" w:line="240" w:lineRule="auto"/>
        <w:outlineLvl w:val="1"/>
        <w:rPr>
          <w:rFonts w:ascii="Simplified Arabic" w:eastAsia="Times New Roman" w:hAnsi="Simplified Arabic" w:cs="Simplified Arabic"/>
          <w:b/>
          <w:bCs/>
          <w:kern w:val="0"/>
          <w:sz w:val="24"/>
          <w:szCs w:val="24"/>
          <w:rtl/>
          <w14:ligatures w14:val="none"/>
        </w:rPr>
      </w:pPr>
      <w:bookmarkStart w:id="26" w:name="_Toc223386545"/>
      <w:r w:rsidRPr="00026EEC">
        <w:rPr>
          <w:rFonts w:ascii="Simplified Arabic" w:eastAsia="Times New Roman" w:hAnsi="Simplified Arabic" w:cs="Simplified Arabic"/>
          <w:b/>
          <w:bCs/>
          <w:kern w:val="0"/>
          <w:sz w:val="24"/>
          <w:szCs w:val="24"/>
          <w:rtl/>
          <w14:ligatures w14:val="none"/>
        </w:rPr>
        <w:t>ثبات أداة الدراسة</w:t>
      </w:r>
      <w:bookmarkEnd w:id="26"/>
    </w:p>
    <w:p w14:paraId="018E6B7A"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للتحقق من ثبات أداة الدراسة، استُخدم معامل ألفا كرونباخ الذي يُقيس مدى الاتساق الداخلي بين فقرات الأداة ومدى إمكانية الحصول على النتائج ذاتها إذا أُعيد تطبيق الأداة على العينة ذاتها في ظروف مماثلة. وقد حُسبت معاملات الثبات لكل بُعد من أبعاد الأداة وللأداة ككل باستخدام بيانات العينة الاستطلاعية، ويُوضّح الجدول</w:t>
      </w:r>
      <w:r w:rsidRPr="00026EEC">
        <w:rPr>
          <w:rFonts w:ascii="Simplified Arabic" w:eastAsia="Times New Roman" w:hAnsi="Simplified Arabic" w:cs="Simplified Arabic"/>
          <w:kern w:val="0"/>
          <w:sz w:val="24"/>
          <w:szCs w:val="24"/>
          <w14:ligatures w14:val="none"/>
        </w:rPr>
        <w:t xml:space="preserve"> (10) </w:t>
      </w:r>
      <w:r w:rsidRPr="00026EEC">
        <w:rPr>
          <w:rFonts w:ascii="Simplified Arabic" w:eastAsia="Times New Roman" w:hAnsi="Simplified Arabic" w:cs="Simplified Arabic"/>
          <w:kern w:val="0"/>
          <w:sz w:val="24"/>
          <w:szCs w:val="24"/>
          <w:rtl/>
          <w14:ligatures w14:val="none"/>
        </w:rPr>
        <w:t>النتائج</w:t>
      </w:r>
      <w:r w:rsidRPr="00026EEC">
        <w:rPr>
          <w:rFonts w:ascii="Simplified Arabic" w:eastAsia="Times New Roman" w:hAnsi="Simplified Arabic" w:cs="Simplified Arabic"/>
          <w:kern w:val="0"/>
          <w:sz w:val="24"/>
          <w:szCs w:val="24"/>
          <w14:ligatures w14:val="none"/>
        </w:rPr>
        <w:t>.</w:t>
      </w:r>
    </w:p>
    <w:p w14:paraId="4FBDE06A" w14:textId="1A6AC790" w:rsidR="00B820CB" w:rsidRPr="00026EEC" w:rsidRDefault="00B820CB" w:rsidP="00026EEC">
      <w:pPr>
        <w:spacing w:after="0" w:line="240" w:lineRule="auto"/>
        <w:jc w:val="center"/>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جدول (</w:t>
      </w:r>
      <w:r w:rsidR="00327C81" w:rsidRPr="00026EEC">
        <w:rPr>
          <w:rFonts w:ascii="Simplified Arabic" w:eastAsia="Times New Roman" w:hAnsi="Simplified Arabic" w:cs="Simplified Arabic"/>
          <w:b/>
          <w:bCs/>
          <w:kern w:val="0"/>
          <w:sz w:val="24"/>
          <w:szCs w:val="24"/>
          <w:rtl/>
          <w14:ligatures w14:val="none"/>
        </w:rPr>
        <w:t>4</w:t>
      </w:r>
      <w:r w:rsidRPr="00026EEC">
        <w:rPr>
          <w:rFonts w:ascii="Simplified Arabic" w:eastAsia="Times New Roman" w:hAnsi="Simplified Arabic" w:cs="Simplified Arabic"/>
          <w:b/>
          <w:bCs/>
          <w:kern w:val="0"/>
          <w:sz w:val="24"/>
          <w:szCs w:val="24"/>
          <w:rtl/>
          <w14:ligatures w14:val="none"/>
        </w:rPr>
        <w:t>): معاملات ألفا كرونباخ لثبات أداة الدراسة</w:t>
      </w:r>
    </w:p>
    <w:tbl>
      <w:tblPr>
        <w:tblStyle w:val="GridTable1Light-Accent5"/>
        <w:bidiVisual/>
        <w:tblW w:w="0" w:type="auto"/>
        <w:jc w:val="center"/>
        <w:tblLook w:val="04A0" w:firstRow="1" w:lastRow="0" w:firstColumn="1" w:lastColumn="0" w:noHBand="0" w:noVBand="1"/>
      </w:tblPr>
      <w:tblGrid>
        <w:gridCol w:w="4207"/>
        <w:gridCol w:w="990"/>
        <w:gridCol w:w="1427"/>
      </w:tblGrid>
      <w:tr w:rsidR="00B820CB" w:rsidRPr="0003434F" w14:paraId="56106531"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572C15"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 البُعد</w:t>
            </w:r>
          </w:p>
        </w:tc>
        <w:tc>
          <w:tcPr>
            <w:tcW w:w="0" w:type="auto"/>
            <w:vAlign w:val="center"/>
            <w:hideMark/>
          </w:tcPr>
          <w:p w14:paraId="25430450"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عدد الفقرات</w:t>
            </w:r>
          </w:p>
        </w:tc>
        <w:tc>
          <w:tcPr>
            <w:tcW w:w="0" w:type="auto"/>
            <w:vAlign w:val="center"/>
            <w:hideMark/>
          </w:tcPr>
          <w:p w14:paraId="17092D02"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معامل ألفا كرونباخ</w:t>
            </w:r>
          </w:p>
        </w:tc>
      </w:tr>
      <w:tr w:rsidR="00B820CB" w:rsidRPr="0003434F" w14:paraId="3C97A931"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6DCDF"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البُعد الأول: أدوات تقييم المخاطر التشغيلية</w:t>
            </w:r>
          </w:p>
        </w:tc>
        <w:tc>
          <w:tcPr>
            <w:tcW w:w="0" w:type="auto"/>
            <w:vAlign w:val="center"/>
            <w:hideMark/>
          </w:tcPr>
          <w:p w14:paraId="78542934"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4FBDBA0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0.862</w:t>
            </w:r>
          </w:p>
        </w:tc>
      </w:tr>
      <w:tr w:rsidR="00B820CB" w:rsidRPr="0003434F" w14:paraId="62BA5DC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428B2E"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البُعد الثاني: استراتيجيات الاستجابة للمخاطر</w:t>
            </w:r>
          </w:p>
        </w:tc>
        <w:tc>
          <w:tcPr>
            <w:tcW w:w="0" w:type="auto"/>
            <w:vAlign w:val="center"/>
            <w:hideMark/>
          </w:tcPr>
          <w:p w14:paraId="10E2170A"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4C9A9E5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0.847</w:t>
            </w:r>
          </w:p>
        </w:tc>
      </w:tr>
      <w:tr w:rsidR="00B820CB" w:rsidRPr="0003434F" w14:paraId="5A84CB9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AC8F22"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البُعد الثالث: تقنيات المراقبة الذكية والصيانة الوقائية</w:t>
            </w:r>
          </w:p>
        </w:tc>
        <w:tc>
          <w:tcPr>
            <w:tcW w:w="0" w:type="auto"/>
            <w:vAlign w:val="center"/>
            <w:hideMark/>
          </w:tcPr>
          <w:p w14:paraId="50FBDE26"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698626A1"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0.879</w:t>
            </w:r>
          </w:p>
        </w:tc>
      </w:tr>
      <w:tr w:rsidR="00B820CB" w:rsidRPr="0003434F" w14:paraId="2B7AAB8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848A80"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البُعد الرابع: تكامل تقنيات إدارة المخاطر والذكاء الاصطناعي</w:t>
            </w:r>
          </w:p>
        </w:tc>
        <w:tc>
          <w:tcPr>
            <w:tcW w:w="0" w:type="auto"/>
            <w:vAlign w:val="center"/>
            <w:hideMark/>
          </w:tcPr>
          <w:p w14:paraId="7EC20E0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4</w:t>
            </w:r>
          </w:p>
        </w:tc>
        <w:tc>
          <w:tcPr>
            <w:tcW w:w="0" w:type="auto"/>
            <w:vAlign w:val="center"/>
            <w:hideMark/>
          </w:tcPr>
          <w:p w14:paraId="75A08E29"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0.854</w:t>
            </w:r>
          </w:p>
        </w:tc>
      </w:tr>
      <w:tr w:rsidR="00B820CB" w:rsidRPr="0003434F" w14:paraId="690B708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129ABB"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المستقل ككل</w:t>
            </w:r>
          </w:p>
        </w:tc>
        <w:tc>
          <w:tcPr>
            <w:tcW w:w="0" w:type="auto"/>
            <w:vAlign w:val="center"/>
            <w:hideMark/>
          </w:tcPr>
          <w:p w14:paraId="10C6BF1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16</w:t>
            </w:r>
          </w:p>
        </w:tc>
        <w:tc>
          <w:tcPr>
            <w:tcW w:w="0" w:type="auto"/>
            <w:vAlign w:val="center"/>
            <w:hideMark/>
          </w:tcPr>
          <w:p w14:paraId="339EAAC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0.923</w:t>
            </w:r>
          </w:p>
        </w:tc>
      </w:tr>
      <w:tr w:rsidR="00B820CB" w:rsidRPr="0003434F" w14:paraId="66633DD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A01FA"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التابع: الحدّ من الخسائر الفنية وتحسين الكفاءة التشغيلية</w:t>
            </w:r>
          </w:p>
        </w:tc>
        <w:tc>
          <w:tcPr>
            <w:tcW w:w="0" w:type="auto"/>
            <w:vAlign w:val="center"/>
            <w:hideMark/>
          </w:tcPr>
          <w:p w14:paraId="0A5AC07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12</w:t>
            </w:r>
          </w:p>
        </w:tc>
        <w:tc>
          <w:tcPr>
            <w:tcW w:w="0" w:type="auto"/>
            <w:vAlign w:val="center"/>
            <w:hideMark/>
          </w:tcPr>
          <w:p w14:paraId="56967DC1"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0.917</w:t>
            </w:r>
          </w:p>
        </w:tc>
      </w:tr>
      <w:tr w:rsidR="00B820CB" w:rsidRPr="0003434F" w14:paraId="7EB93A6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491E95"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الأداة ككل</w:t>
            </w:r>
          </w:p>
        </w:tc>
        <w:tc>
          <w:tcPr>
            <w:tcW w:w="0" w:type="auto"/>
            <w:vAlign w:val="center"/>
            <w:hideMark/>
          </w:tcPr>
          <w:p w14:paraId="7826DEB1"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28</w:t>
            </w:r>
          </w:p>
        </w:tc>
        <w:tc>
          <w:tcPr>
            <w:tcW w:w="0" w:type="auto"/>
            <w:vAlign w:val="center"/>
            <w:hideMark/>
          </w:tcPr>
          <w:p w14:paraId="063A1EB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0.941</w:t>
            </w:r>
          </w:p>
        </w:tc>
      </w:tr>
    </w:tbl>
    <w:p w14:paraId="23027F26" w14:textId="3CE7D4B2"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يتّضح من الجدول (</w:t>
      </w:r>
      <w:r w:rsidR="00302167" w:rsidRPr="00026EEC">
        <w:rPr>
          <w:rFonts w:ascii="Simplified Arabic" w:eastAsia="Times New Roman" w:hAnsi="Simplified Arabic" w:cs="Simplified Arabic"/>
          <w:kern w:val="0"/>
          <w:sz w:val="24"/>
          <w:szCs w:val="24"/>
          <w:rtl/>
          <w14:ligatures w14:val="none"/>
        </w:rPr>
        <w:t>4</w:t>
      </w:r>
      <w:r w:rsidRPr="00026EEC">
        <w:rPr>
          <w:rFonts w:ascii="Simplified Arabic" w:eastAsia="Times New Roman" w:hAnsi="Simplified Arabic" w:cs="Simplified Arabic"/>
          <w:kern w:val="0"/>
          <w:sz w:val="24"/>
          <w:szCs w:val="24"/>
          <w:rtl/>
          <w14:ligatures w14:val="none"/>
        </w:rPr>
        <w:t>) أن جميع معاملات ألفا كرونباخ تجاوزت الحد الأدنى المقبول أكاديمياً وهو (0.70) وفقاً لمعيار نانلي</w:t>
      </w:r>
      <w:r w:rsidRPr="00026EEC">
        <w:rPr>
          <w:rFonts w:ascii="Simplified Arabic" w:eastAsia="Times New Roman" w:hAnsi="Simplified Arabic" w:cs="Simplified Arabic"/>
          <w:kern w:val="0"/>
          <w:sz w:val="24"/>
          <w:szCs w:val="24"/>
          <w14:ligatures w14:val="none"/>
        </w:rPr>
        <w:t xml:space="preserve"> (Nunnally)</w:t>
      </w:r>
      <w:r w:rsidRPr="00026EEC">
        <w:rPr>
          <w:rFonts w:ascii="Simplified Arabic" w:eastAsia="Times New Roman" w:hAnsi="Simplified Arabic" w:cs="Simplified Arabic"/>
          <w:kern w:val="0"/>
          <w:sz w:val="24"/>
          <w:szCs w:val="24"/>
          <w:rtl/>
          <w14:ligatures w14:val="none"/>
        </w:rPr>
        <w:t xml:space="preserve">، بل إن جميعها تجاوزت مستوى (0.84)، حيث تراوحت معاملات ثبات الأبعاد بين (0.847) و(0.879)، وبلغ معامل ثبات المتغير المستقل ككل </w:t>
      </w:r>
      <w:r w:rsidRPr="00026EEC">
        <w:rPr>
          <w:rFonts w:ascii="Simplified Arabic" w:eastAsia="Times New Roman" w:hAnsi="Simplified Arabic" w:cs="Simplified Arabic"/>
          <w:kern w:val="0"/>
          <w:sz w:val="24"/>
          <w:szCs w:val="24"/>
          <w14:ligatures w14:val="none"/>
        </w:rPr>
        <w:t xml:space="preserve">(0.923) </w:t>
      </w:r>
      <w:r w:rsidRPr="00026EEC">
        <w:rPr>
          <w:rFonts w:ascii="Simplified Arabic" w:eastAsia="Times New Roman" w:hAnsi="Simplified Arabic" w:cs="Simplified Arabic"/>
          <w:kern w:val="0"/>
          <w:sz w:val="24"/>
          <w:szCs w:val="24"/>
          <w:rtl/>
          <w14:ligatures w14:val="none"/>
        </w:rPr>
        <w:t xml:space="preserve">ومعامل ثبات المتغير التابع (0.917)، فيما بلغ معامل ثبات الأداة ككل (0.941). وتُشير هذه النتائج إلى أن أداة الدراسة تتمتع </w:t>
      </w:r>
      <w:r w:rsidRPr="00026EEC">
        <w:rPr>
          <w:rFonts w:ascii="Simplified Arabic" w:eastAsia="Times New Roman" w:hAnsi="Simplified Arabic" w:cs="Simplified Arabic"/>
          <w:kern w:val="0"/>
          <w:sz w:val="24"/>
          <w:szCs w:val="24"/>
          <w:rtl/>
          <w14:ligatures w14:val="none"/>
        </w:rPr>
        <w:lastRenderedPageBreak/>
        <w:t>بدرجة عالية من الثبات والاتساق الداخلي تُؤهّلها للتطبيق الميداني والحصول على نتائج موثوقة وقابلة للتعميم</w:t>
      </w:r>
      <w:r w:rsidRPr="00026EEC">
        <w:rPr>
          <w:rFonts w:ascii="Simplified Arabic" w:eastAsia="Times New Roman" w:hAnsi="Simplified Arabic" w:cs="Simplified Arabic"/>
          <w:kern w:val="0"/>
          <w:sz w:val="24"/>
          <w:szCs w:val="24"/>
          <w14:ligatures w14:val="none"/>
        </w:rPr>
        <w:t>.</w:t>
      </w:r>
    </w:p>
    <w:p w14:paraId="31D4A6DA" w14:textId="6A5B7A16" w:rsidR="00B820CB" w:rsidRPr="00026EEC" w:rsidRDefault="00302167" w:rsidP="0003434F">
      <w:pPr>
        <w:spacing w:after="0" w:line="240" w:lineRule="auto"/>
        <w:jc w:val="both"/>
        <w:outlineLvl w:val="1"/>
        <w:rPr>
          <w:rFonts w:ascii="Simplified Arabic" w:eastAsia="Times New Roman" w:hAnsi="Simplified Arabic" w:cs="Simplified Arabic"/>
          <w:b/>
          <w:bCs/>
          <w:kern w:val="0"/>
          <w:sz w:val="24"/>
          <w:szCs w:val="24"/>
          <w14:ligatures w14:val="none"/>
        </w:rPr>
      </w:pPr>
      <w:bookmarkStart w:id="27" w:name="_Toc223386546"/>
      <w:r w:rsidRPr="00026EEC">
        <w:rPr>
          <w:rFonts w:ascii="Simplified Arabic" w:eastAsia="Times New Roman" w:hAnsi="Simplified Arabic" w:cs="Simplified Arabic"/>
          <w:b/>
          <w:bCs/>
          <w:kern w:val="0"/>
          <w:sz w:val="24"/>
          <w:szCs w:val="24"/>
          <w:rtl/>
          <w14:ligatures w14:val="none"/>
        </w:rPr>
        <w:t>مصفوفة الارتباط بين متغيرات الدراسة</w:t>
      </w:r>
      <w:bookmarkEnd w:id="27"/>
    </w:p>
    <w:p w14:paraId="344178CC"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للكشف عن طبيعة العلاقات الارتباطية بين أبعاد المتغير المستقل والمتغير التابع من جهة، والتحقق من عدم وجود مشكلة الازدواج الخطي المتعدد بين المتغيرات المستقلة من جهة أخرى، حُسبت مصفوفة ارتباط بيرسون بين جميع متغيرات الدراسة وأبعادها. ويُوضّح الجدول</w:t>
      </w:r>
      <w:r w:rsidRPr="00026EEC">
        <w:rPr>
          <w:rFonts w:ascii="Simplified Arabic" w:eastAsia="Times New Roman" w:hAnsi="Simplified Arabic" w:cs="Simplified Arabic"/>
          <w:kern w:val="0"/>
          <w:sz w:val="24"/>
          <w:szCs w:val="24"/>
          <w14:ligatures w14:val="none"/>
        </w:rPr>
        <w:t xml:space="preserve"> (11) </w:t>
      </w:r>
      <w:r w:rsidRPr="00026EEC">
        <w:rPr>
          <w:rFonts w:ascii="Simplified Arabic" w:eastAsia="Times New Roman" w:hAnsi="Simplified Arabic" w:cs="Simplified Arabic"/>
          <w:kern w:val="0"/>
          <w:sz w:val="24"/>
          <w:szCs w:val="24"/>
          <w:rtl/>
          <w14:ligatures w14:val="none"/>
        </w:rPr>
        <w:t>مصفوفة الارتباط الكاملة</w:t>
      </w:r>
      <w:r w:rsidRPr="00026EEC">
        <w:rPr>
          <w:rFonts w:ascii="Simplified Arabic" w:eastAsia="Times New Roman" w:hAnsi="Simplified Arabic" w:cs="Simplified Arabic"/>
          <w:kern w:val="0"/>
          <w:sz w:val="24"/>
          <w:szCs w:val="24"/>
          <w14:ligatures w14:val="none"/>
        </w:rPr>
        <w:t>.</w:t>
      </w:r>
    </w:p>
    <w:p w14:paraId="4EC3F7BC" w14:textId="11CD7091" w:rsidR="00B820CB" w:rsidRPr="00026EEC" w:rsidRDefault="00B820CB" w:rsidP="00026EEC">
      <w:pPr>
        <w:spacing w:after="0" w:line="240" w:lineRule="auto"/>
        <w:jc w:val="center"/>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جدول (</w:t>
      </w:r>
      <w:r w:rsidR="00327C81" w:rsidRPr="00026EEC">
        <w:rPr>
          <w:rFonts w:ascii="Simplified Arabic" w:eastAsia="Times New Roman" w:hAnsi="Simplified Arabic" w:cs="Simplified Arabic"/>
          <w:b/>
          <w:bCs/>
          <w:kern w:val="0"/>
          <w:sz w:val="24"/>
          <w:szCs w:val="24"/>
          <w:rtl/>
          <w14:ligatures w14:val="none"/>
        </w:rPr>
        <w:t>5</w:t>
      </w:r>
      <w:r w:rsidRPr="00026EEC">
        <w:rPr>
          <w:rFonts w:ascii="Simplified Arabic" w:eastAsia="Times New Roman" w:hAnsi="Simplified Arabic" w:cs="Simplified Arabic"/>
          <w:b/>
          <w:bCs/>
          <w:kern w:val="0"/>
          <w:sz w:val="24"/>
          <w:szCs w:val="24"/>
          <w:rtl/>
          <w14:ligatures w14:val="none"/>
        </w:rPr>
        <w:t>): مصفوفة ارتباط بيرسون بين أبعاد المتغير المستقل والمتغير التابع</w:t>
      </w:r>
    </w:p>
    <w:tbl>
      <w:tblPr>
        <w:tblStyle w:val="GridTable1Light-Accent5"/>
        <w:bidiVisual/>
        <w:tblW w:w="0" w:type="auto"/>
        <w:jc w:val="center"/>
        <w:tblLook w:val="04A0" w:firstRow="1" w:lastRow="0" w:firstColumn="1" w:lastColumn="0" w:noHBand="0" w:noVBand="1"/>
      </w:tblPr>
      <w:tblGrid>
        <w:gridCol w:w="1579"/>
        <w:gridCol w:w="1112"/>
        <w:gridCol w:w="1473"/>
        <w:gridCol w:w="1164"/>
        <w:gridCol w:w="1579"/>
        <w:gridCol w:w="1021"/>
      </w:tblGrid>
      <w:tr w:rsidR="00B820CB" w:rsidRPr="0003434F" w14:paraId="66C162DF"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03C807"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w:t>
            </w:r>
          </w:p>
        </w:tc>
        <w:tc>
          <w:tcPr>
            <w:tcW w:w="0" w:type="auto"/>
            <w:vAlign w:val="center"/>
            <w:hideMark/>
          </w:tcPr>
          <w:p w14:paraId="5F1DA17D"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أدوات التقييم</w:t>
            </w:r>
            <w:r w:rsidRPr="0003434F">
              <w:rPr>
                <w:rFonts w:ascii="Simplified Arabic" w:eastAsia="Times New Roman" w:hAnsi="Simplified Arabic" w:cs="Simplified Arabic"/>
                <w:b w:val="0"/>
                <w:bCs w:val="0"/>
                <w:kern w:val="0"/>
                <w:sz w:val="20"/>
                <w:szCs w:val="20"/>
                <w14:ligatures w14:val="none"/>
              </w:rPr>
              <w:t xml:space="preserve"> (1)</w:t>
            </w:r>
          </w:p>
        </w:tc>
        <w:tc>
          <w:tcPr>
            <w:tcW w:w="0" w:type="auto"/>
            <w:vAlign w:val="center"/>
            <w:hideMark/>
          </w:tcPr>
          <w:p w14:paraId="0EC9164C"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استراتيجيات الاستجابة</w:t>
            </w:r>
            <w:r w:rsidRPr="0003434F">
              <w:rPr>
                <w:rFonts w:ascii="Simplified Arabic" w:eastAsia="Times New Roman" w:hAnsi="Simplified Arabic" w:cs="Simplified Arabic"/>
                <w:b w:val="0"/>
                <w:bCs w:val="0"/>
                <w:kern w:val="0"/>
                <w:sz w:val="20"/>
                <w:szCs w:val="20"/>
                <w14:ligatures w14:val="none"/>
              </w:rPr>
              <w:t xml:space="preserve"> (2)</w:t>
            </w:r>
          </w:p>
        </w:tc>
        <w:tc>
          <w:tcPr>
            <w:tcW w:w="0" w:type="auto"/>
            <w:vAlign w:val="center"/>
            <w:hideMark/>
          </w:tcPr>
          <w:p w14:paraId="53692BF0"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المراقبة الذكية</w:t>
            </w:r>
            <w:r w:rsidRPr="0003434F">
              <w:rPr>
                <w:rFonts w:ascii="Simplified Arabic" w:eastAsia="Times New Roman" w:hAnsi="Simplified Arabic" w:cs="Simplified Arabic"/>
                <w:b w:val="0"/>
                <w:bCs w:val="0"/>
                <w:kern w:val="0"/>
                <w:sz w:val="20"/>
                <w:szCs w:val="20"/>
                <w14:ligatures w14:val="none"/>
              </w:rPr>
              <w:t xml:space="preserve"> (3)</w:t>
            </w:r>
          </w:p>
        </w:tc>
        <w:tc>
          <w:tcPr>
            <w:tcW w:w="0" w:type="auto"/>
            <w:vAlign w:val="center"/>
            <w:hideMark/>
          </w:tcPr>
          <w:p w14:paraId="04C77739"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تكامل الذكاء الاصطناعي</w:t>
            </w:r>
            <w:r w:rsidRPr="0003434F">
              <w:rPr>
                <w:rFonts w:ascii="Simplified Arabic" w:eastAsia="Times New Roman" w:hAnsi="Simplified Arabic" w:cs="Simplified Arabic"/>
                <w:b w:val="0"/>
                <w:bCs w:val="0"/>
                <w:kern w:val="0"/>
                <w:sz w:val="20"/>
                <w:szCs w:val="20"/>
                <w14:ligatures w14:val="none"/>
              </w:rPr>
              <w:t xml:space="preserve"> (4)</w:t>
            </w:r>
          </w:p>
        </w:tc>
        <w:tc>
          <w:tcPr>
            <w:tcW w:w="0" w:type="auto"/>
            <w:vAlign w:val="center"/>
            <w:hideMark/>
          </w:tcPr>
          <w:p w14:paraId="733581CC" w14:textId="77777777" w:rsidR="00B820CB" w:rsidRPr="0003434F" w:rsidRDefault="00B820CB" w:rsidP="00026EEC">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التابع</w:t>
            </w:r>
            <w:r w:rsidRPr="0003434F">
              <w:rPr>
                <w:rFonts w:ascii="Simplified Arabic" w:eastAsia="Times New Roman" w:hAnsi="Simplified Arabic" w:cs="Simplified Arabic"/>
                <w:b w:val="0"/>
                <w:bCs w:val="0"/>
                <w:kern w:val="0"/>
                <w:sz w:val="20"/>
                <w:szCs w:val="20"/>
                <w14:ligatures w14:val="none"/>
              </w:rPr>
              <w:t xml:space="preserve"> (5)</w:t>
            </w:r>
          </w:p>
        </w:tc>
      </w:tr>
      <w:tr w:rsidR="00B820CB" w:rsidRPr="0003434F" w14:paraId="435EEE1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FAF748"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أدوات التقييم</w:t>
            </w:r>
            <w:r w:rsidRPr="0003434F">
              <w:rPr>
                <w:rFonts w:ascii="Simplified Arabic" w:eastAsia="Times New Roman" w:hAnsi="Simplified Arabic" w:cs="Simplified Arabic"/>
                <w:b w:val="0"/>
                <w:bCs w:val="0"/>
                <w:kern w:val="0"/>
                <w:sz w:val="20"/>
                <w:szCs w:val="20"/>
                <w14:ligatures w14:val="none"/>
              </w:rPr>
              <w:t xml:space="preserve"> (1)</w:t>
            </w:r>
          </w:p>
        </w:tc>
        <w:tc>
          <w:tcPr>
            <w:tcW w:w="0" w:type="auto"/>
            <w:vAlign w:val="center"/>
            <w:hideMark/>
          </w:tcPr>
          <w:p w14:paraId="6DED38B4"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1.000</w:t>
            </w:r>
          </w:p>
        </w:tc>
        <w:tc>
          <w:tcPr>
            <w:tcW w:w="0" w:type="auto"/>
            <w:vAlign w:val="center"/>
            <w:hideMark/>
          </w:tcPr>
          <w:p w14:paraId="40A55065"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210A0809"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18E316D7"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5AEFFA37"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r>
      <w:tr w:rsidR="00B820CB" w:rsidRPr="0003434F" w14:paraId="6C5EAA3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0C797"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استراتيجيات الاستجابة</w:t>
            </w:r>
            <w:r w:rsidRPr="0003434F">
              <w:rPr>
                <w:rFonts w:ascii="Simplified Arabic" w:eastAsia="Times New Roman" w:hAnsi="Simplified Arabic" w:cs="Simplified Arabic"/>
                <w:b w:val="0"/>
                <w:bCs w:val="0"/>
                <w:kern w:val="0"/>
                <w:sz w:val="20"/>
                <w:szCs w:val="20"/>
                <w14:ligatures w14:val="none"/>
              </w:rPr>
              <w:t xml:space="preserve"> (2)</w:t>
            </w:r>
          </w:p>
        </w:tc>
        <w:tc>
          <w:tcPr>
            <w:tcW w:w="0" w:type="auto"/>
            <w:vAlign w:val="center"/>
            <w:hideMark/>
          </w:tcPr>
          <w:p w14:paraId="6955C086"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0.623**</w:t>
            </w:r>
          </w:p>
        </w:tc>
        <w:tc>
          <w:tcPr>
            <w:tcW w:w="0" w:type="auto"/>
            <w:vAlign w:val="center"/>
            <w:hideMark/>
          </w:tcPr>
          <w:p w14:paraId="19C7B84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1.000</w:t>
            </w:r>
          </w:p>
        </w:tc>
        <w:tc>
          <w:tcPr>
            <w:tcW w:w="0" w:type="auto"/>
            <w:vAlign w:val="center"/>
            <w:hideMark/>
          </w:tcPr>
          <w:p w14:paraId="1DF4A52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4D718A16"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17CB468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r>
      <w:tr w:rsidR="00B820CB" w:rsidRPr="0003434F" w14:paraId="0F6066D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B62BFA"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المراقبة الذكية</w:t>
            </w:r>
            <w:r w:rsidRPr="0003434F">
              <w:rPr>
                <w:rFonts w:ascii="Simplified Arabic" w:eastAsia="Times New Roman" w:hAnsi="Simplified Arabic" w:cs="Simplified Arabic"/>
                <w:b w:val="0"/>
                <w:bCs w:val="0"/>
                <w:kern w:val="0"/>
                <w:sz w:val="20"/>
                <w:szCs w:val="20"/>
                <w14:ligatures w14:val="none"/>
              </w:rPr>
              <w:t xml:space="preserve"> (3)</w:t>
            </w:r>
          </w:p>
        </w:tc>
        <w:tc>
          <w:tcPr>
            <w:tcW w:w="0" w:type="auto"/>
            <w:vAlign w:val="center"/>
            <w:hideMark/>
          </w:tcPr>
          <w:p w14:paraId="15C1B751"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0.587**</w:t>
            </w:r>
          </w:p>
        </w:tc>
        <w:tc>
          <w:tcPr>
            <w:tcW w:w="0" w:type="auto"/>
            <w:vAlign w:val="center"/>
            <w:hideMark/>
          </w:tcPr>
          <w:p w14:paraId="43A25952"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0.612**</w:t>
            </w:r>
          </w:p>
        </w:tc>
        <w:tc>
          <w:tcPr>
            <w:tcW w:w="0" w:type="auto"/>
            <w:vAlign w:val="center"/>
            <w:hideMark/>
          </w:tcPr>
          <w:p w14:paraId="46496FC9"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1.000</w:t>
            </w:r>
          </w:p>
        </w:tc>
        <w:tc>
          <w:tcPr>
            <w:tcW w:w="0" w:type="auto"/>
            <w:vAlign w:val="center"/>
            <w:hideMark/>
          </w:tcPr>
          <w:p w14:paraId="0A52596D"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c>
          <w:tcPr>
            <w:tcW w:w="0" w:type="auto"/>
            <w:vAlign w:val="center"/>
            <w:hideMark/>
          </w:tcPr>
          <w:p w14:paraId="143D5130"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r>
      <w:tr w:rsidR="00B820CB" w:rsidRPr="0003434F" w14:paraId="68FC8BDB"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554B9A"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تكامل الذكاء الاصطناعي</w:t>
            </w:r>
            <w:r w:rsidRPr="0003434F">
              <w:rPr>
                <w:rFonts w:ascii="Simplified Arabic" w:eastAsia="Times New Roman" w:hAnsi="Simplified Arabic" w:cs="Simplified Arabic"/>
                <w:b w:val="0"/>
                <w:bCs w:val="0"/>
                <w:kern w:val="0"/>
                <w:sz w:val="20"/>
                <w:szCs w:val="20"/>
                <w14:ligatures w14:val="none"/>
              </w:rPr>
              <w:t xml:space="preserve"> (4)</w:t>
            </w:r>
          </w:p>
        </w:tc>
        <w:tc>
          <w:tcPr>
            <w:tcW w:w="0" w:type="auto"/>
            <w:vAlign w:val="center"/>
            <w:hideMark/>
          </w:tcPr>
          <w:p w14:paraId="63420718"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0.541**</w:t>
            </w:r>
          </w:p>
        </w:tc>
        <w:tc>
          <w:tcPr>
            <w:tcW w:w="0" w:type="auto"/>
            <w:vAlign w:val="center"/>
            <w:hideMark/>
          </w:tcPr>
          <w:p w14:paraId="77170DBE"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0.568**</w:t>
            </w:r>
          </w:p>
        </w:tc>
        <w:tc>
          <w:tcPr>
            <w:tcW w:w="0" w:type="auto"/>
            <w:vAlign w:val="center"/>
            <w:hideMark/>
          </w:tcPr>
          <w:p w14:paraId="4A771B13"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0.649**</w:t>
            </w:r>
          </w:p>
        </w:tc>
        <w:tc>
          <w:tcPr>
            <w:tcW w:w="0" w:type="auto"/>
            <w:vAlign w:val="center"/>
            <w:hideMark/>
          </w:tcPr>
          <w:p w14:paraId="565674DA"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1.000</w:t>
            </w:r>
          </w:p>
        </w:tc>
        <w:tc>
          <w:tcPr>
            <w:tcW w:w="0" w:type="auto"/>
            <w:vAlign w:val="center"/>
            <w:hideMark/>
          </w:tcPr>
          <w:p w14:paraId="4DCDBDF0"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p>
        </w:tc>
      </w:tr>
      <w:tr w:rsidR="00B820CB" w:rsidRPr="0003434F" w14:paraId="4B61284B"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E5170" w14:textId="77777777" w:rsidR="00B820CB" w:rsidRPr="0003434F" w:rsidRDefault="00B820CB" w:rsidP="00026EEC">
            <w:pPr>
              <w:jc w:val="center"/>
              <w:rPr>
                <w:rFonts w:ascii="Simplified Arabic" w:eastAsia="Times New Roman" w:hAnsi="Simplified Arabic" w:cs="Simplified Arabic"/>
                <w:b w:val="0"/>
                <w:bCs w:val="0"/>
                <w:kern w:val="0"/>
                <w:sz w:val="20"/>
                <w:szCs w:val="20"/>
                <w14:ligatures w14:val="none"/>
              </w:rPr>
            </w:pPr>
            <w:r w:rsidRPr="0003434F">
              <w:rPr>
                <w:rFonts w:ascii="Simplified Arabic" w:eastAsia="Times New Roman" w:hAnsi="Simplified Arabic" w:cs="Simplified Arabic"/>
                <w:b w:val="0"/>
                <w:bCs w:val="0"/>
                <w:kern w:val="0"/>
                <w:sz w:val="20"/>
                <w:szCs w:val="20"/>
                <w:rtl/>
                <w14:ligatures w14:val="none"/>
              </w:rPr>
              <w:t>المتغير التابع</w:t>
            </w:r>
            <w:r w:rsidRPr="0003434F">
              <w:rPr>
                <w:rFonts w:ascii="Simplified Arabic" w:eastAsia="Times New Roman" w:hAnsi="Simplified Arabic" w:cs="Simplified Arabic"/>
                <w:b w:val="0"/>
                <w:bCs w:val="0"/>
                <w:kern w:val="0"/>
                <w:sz w:val="20"/>
                <w:szCs w:val="20"/>
                <w14:ligatures w14:val="none"/>
              </w:rPr>
              <w:t xml:space="preserve"> (5)</w:t>
            </w:r>
          </w:p>
        </w:tc>
        <w:tc>
          <w:tcPr>
            <w:tcW w:w="0" w:type="auto"/>
            <w:vAlign w:val="center"/>
            <w:hideMark/>
          </w:tcPr>
          <w:p w14:paraId="5DD6F959"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0.674**</w:t>
            </w:r>
          </w:p>
        </w:tc>
        <w:tc>
          <w:tcPr>
            <w:tcW w:w="0" w:type="auto"/>
            <w:vAlign w:val="center"/>
            <w:hideMark/>
          </w:tcPr>
          <w:p w14:paraId="1B28A5FF"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0.698**</w:t>
            </w:r>
          </w:p>
        </w:tc>
        <w:tc>
          <w:tcPr>
            <w:tcW w:w="0" w:type="auto"/>
            <w:vAlign w:val="center"/>
            <w:hideMark/>
          </w:tcPr>
          <w:p w14:paraId="0174F93D"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0.731**</w:t>
            </w:r>
          </w:p>
        </w:tc>
        <w:tc>
          <w:tcPr>
            <w:tcW w:w="0" w:type="auto"/>
            <w:vAlign w:val="center"/>
            <w:hideMark/>
          </w:tcPr>
          <w:p w14:paraId="7F8A4537"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0.712**</w:t>
            </w:r>
          </w:p>
        </w:tc>
        <w:tc>
          <w:tcPr>
            <w:tcW w:w="0" w:type="auto"/>
            <w:vAlign w:val="center"/>
            <w:hideMark/>
          </w:tcPr>
          <w:p w14:paraId="768E47B0" w14:textId="77777777" w:rsidR="00B820CB" w:rsidRPr="0003434F" w:rsidRDefault="00B820CB" w:rsidP="00026EEC">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0"/>
                <w:szCs w:val="20"/>
                <w14:ligatures w14:val="none"/>
              </w:rPr>
            </w:pPr>
            <w:r w:rsidRPr="0003434F">
              <w:rPr>
                <w:rFonts w:ascii="Simplified Arabic" w:eastAsia="Times New Roman" w:hAnsi="Simplified Arabic" w:cs="Simplified Arabic"/>
                <w:kern w:val="0"/>
                <w:sz w:val="20"/>
                <w:szCs w:val="20"/>
                <w14:ligatures w14:val="none"/>
              </w:rPr>
              <w:t>1.000</w:t>
            </w:r>
          </w:p>
        </w:tc>
      </w:tr>
    </w:tbl>
    <w:p w14:paraId="69539ABD" w14:textId="77777777" w:rsidR="00B820CB" w:rsidRPr="00026EEC" w:rsidRDefault="00B820CB" w:rsidP="00026EEC">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دال إحصائياً عند مستوى</w:t>
      </w:r>
      <w:r w:rsidRPr="00026EEC">
        <w:rPr>
          <w:rFonts w:ascii="Simplified Arabic" w:eastAsia="Times New Roman" w:hAnsi="Simplified Arabic" w:cs="Simplified Arabic"/>
          <w:kern w:val="0"/>
          <w:sz w:val="24"/>
          <w:szCs w:val="24"/>
          <w14:ligatures w14:val="none"/>
        </w:rPr>
        <w:t xml:space="preserve"> (0.01)</w:t>
      </w:r>
    </w:p>
    <w:p w14:paraId="4764282A" w14:textId="52678CE3" w:rsidR="00B820CB" w:rsidRPr="00026EEC" w:rsidRDefault="00B820CB" w:rsidP="00026EEC">
      <w:pPr>
        <w:spacing w:after="0" w:line="240" w:lineRule="auto"/>
        <w:rPr>
          <w:rFonts w:ascii="Simplified Arabic" w:eastAsia="Times New Roman" w:hAnsi="Simplified Arabic" w:cs="Simplified Arabic"/>
          <w:b/>
          <w:bCs/>
          <w:kern w:val="0"/>
          <w:sz w:val="24"/>
          <w:szCs w:val="24"/>
          <w14:ligatures w14:val="none"/>
        </w:rPr>
      </w:pPr>
      <w:r w:rsidRPr="00026EEC">
        <w:rPr>
          <w:rFonts w:ascii="Simplified Arabic" w:eastAsia="Times New Roman" w:hAnsi="Simplified Arabic" w:cs="Simplified Arabic"/>
          <w:b/>
          <w:bCs/>
          <w:kern w:val="0"/>
          <w:sz w:val="24"/>
          <w:szCs w:val="24"/>
          <w:rtl/>
          <w14:ligatures w14:val="none"/>
        </w:rPr>
        <w:t>يتّضح من الجدول (</w:t>
      </w:r>
      <w:r w:rsidR="00302167" w:rsidRPr="00026EEC">
        <w:rPr>
          <w:rFonts w:ascii="Simplified Arabic" w:eastAsia="Times New Roman" w:hAnsi="Simplified Arabic" w:cs="Simplified Arabic"/>
          <w:b/>
          <w:bCs/>
          <w:kern w:val="0"/>
          <w:sz w:val="24"/>
          <w:szCs w:val="24"/>
          <w:rtl/>
          <w14:ligatures w14:val="none"/>
        </w:rPr>
        <w:t>5</w:t>
      </w:r>
      <w:r w:rsidRPr="00026EEC">
        <w:rPr>
          <w:rFonts w:ascii="Simplified Arabic" w:eastAsia="Times New Roman" w:hAnsi="Simplified Arabic" w:cs="Simplified Arabic"/>
          <w:b/>
          <w:bCs/>
          <w:kern w:val="0"/>
          <w:sz w:val="24"/>
          <w:szCs w:val="24"/>
          <w:rtl/>
          <w14:ligatures w14:val="none"/>
        </w:rPr>
        <w:t>) عدة نتائج مهمة يمكن تلخيصها على النحو الآتي</w:t>
      </w:r>
      <w:r w:rsidRPr="00026EEC">
        <w:rPr>
          <w:rFonts w:ascii="Simplified Arabic" w:eastAsia="Times New Roman" w:hAnsi="Simplified Arabic" w:cs="Simplified Arabic"/>
          <w:b/>
          <w:bCs/>
          <w:kern w:val="0"/>
          <w:sz w:val="24"/>
          <w:szCs w:val="24"/>
          <w14:ligatures w14:val="none"/>
        </w:rPr>
        <w:t>:</w:t>
      </w:r>
    </w:p>
    <w:p w14:paraId="6865B57D"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أولاً</w:t>
      </w: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 xml:space="preserve">فيما يتعلق بالارتباطات بين أبعاد المتغير المستقل، تراوحت معاملات الارتباط بين </w:t>
      </w:r>
      <w:r w:rsidRPr="00026EEC">
        <w:rPr>
          <w:rFonts w:ascii="Simplified Arabic" w:eastAsia="Times New Roman" w:hAnsi="Simplified Arabic" w:cs="Simplified Arabic"/>
          <w:kern w:val="0"/>
          <w:sz w:val="24"/>
          <w:szCs w:val="24"/>
          <w14:ligatures w14:val="none"/>
        </w:rPr>
        <w:t xml:space="preserve">(0.541) </w:t>
      </w:r>
      <w:r w:rsidRPr="00026EEC">
        <w:rPr>
          <w:rFonts w:ascii="Simplified Arabic" w:eastAsia="Times New Roman" w:hAnsi="Simplified Arabic" w:cs="Simplified Arabic"/>
          <w:kern w:val="0"/>
          <w:sz w:val="24"/>
          <w:szCs w:val="24"/>
          <w:rtl/>
          <w14:ligatures w14:val="none"/>
        </w:rPr>
        <w:t>و(0.649)، وجميعها موجبة ودالة إحصائياً عند مستوى (0.01). وتُشير هذه الارتباطات المتوسطة إلى القوية إلى وجود علاقات تكاملية بين الأبعاد وهو أمر متوقع نظرياً كونها تُشكّل مكونات لمنظومة واحدة. والأهم من ذلك أن جميع معاملات الارتباط بين الأبعاد لم تتجاوز (0.70)، مما يُؤكّد عدم وجود مشكلة الازدواج الخطي المتعدد بين المتغيرات المستقلة وهو شرط أساسي لصلاحية استخدام تحليل الانحدار المتعدد</w:t>
      </w:r>
      <w:r w:rsidRPr="00026EEC">
        <w:rPr>
          <w:rFonts w:ascii="Simplified Arabic" w:eastAsia="Times New Roman" w:hAnsi="Simplified Arabic" w:cs="Simplified Arabic"/>
          <w:kern w:val="0"/>
          <w:sz w:val="24"/>
          <w:szCs w:val="24"/>
          <w14:ligatures w14:val="none"/>
        </w:rPr>
        <w:t>.</w:t>
      </w:r>
    </w:p>
    <w:p w14:paraId="20F05B46"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ثانياً</w:t>
      </w: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 xml:space="preserve">فيما يتعلق بالارتباطات بين أبعاد المتغير المستقل والمتغير التابع، تراوحت معاملات الارتباط بين (0.674) و(0.731)، وجميعها موجبة ودالة إحصائياً عند مستوى </w:t>
      </w:r>
      <w:r w:rsidRPr="00026EEC">
        <w:rPr>
          <w:rFonts w:ascii="Simplified Arabic" w:eastAsia="Times New Roman" w:hAnsi="Simplified Arabic" w:cs="Simplified Arabic"/>
          <w:kern w:val="0"/>
          <w:sz w:val="24"/>
          <w:szCs w:val="24"/>
          <w14:ligatures w14:val="none"/>
        </w:rPr>
        <w:t>(0.01)</w:t>
      </w:r>
      <w:r w:rsidRPr="00026EEC">
        <w:rPr>
          <w:rFonts w:ascii="Simplified Arabic" w:eastAsia="Times New Roman" w:hAnsi="Simplified Arabic" w:cs="Simplified Arabic"/>
          <w:kern w:val="0"/>
          <w:sz w:val="24"/>
          <w:szCs w:val="24"/>
          <w:rtl/>
          <w14:ligatures w14:val="none"/>
        </w:rPr>
        <w:t>، مما يُشير إلى وجود علاقات ارتباطية قوية بين جميع أبعاد إدارة المخاطر التشغيلية المتقدمة والحدّ من الخسائر الفنية وتحسين الكفاءة التشغيلية. ويحتل بُعد تقنيات المراقبة الذكية والصيانة الوقائية المرتبة الأولى في قوة الارتباط بالمتغير التابع (0.731)، يليه بُعد تكامل تقنيات إدارة المخاطر والذكاء الاصطناعي (0.712)، ثم بُعد استراتيجيات الاستجابة للمخاطر (0.698)، وأخيراً بُعد أدوات تقييم المخاطر التشغيلية</w:t>
      </w:r>
      <w:r w:rsidRPr="00026EEC">
        <w:rPr>
          <w:rFonts w:ascii="Simplified Arabic" w:eastAsia="Times New Roman" w:hAnsi="Simplified Arabic" w:cs="Simplified Arabic"/>
          <w:kern w:val="0"/>
          <w:sz w:val="24"/>
          <w:szCs w:val="24"/>
          <w14:ligatures w14:val="none"/>
        </w:rPr>
        <w:t xml:space="preserve"> (0.674).</w:t>
      </w:r>
    </w:p>
    <w:p w14:paraId="37B14AE6" w14:textId="6994B3B5" w:rsidR="00302167" w:rsidRPr="00026EEC" w:rsidRDefault="00302167" w:rsidP="00026EEC">
      <w:pPr>
        <w:spacing w:after="0" w:line="240" w:lineRule="auto"/>
        <w:jc w:val="both"/>
        <w:outlineLvl w:val="1"/>
        <w:rPr>
          <w:rFonts w:ascii="Simplified Arabic" w:eastAsia="Times New Roman" w:hAnsi="Simplified Arabic" w:cs="Simplified Arabic"/>
          <w:b/>
          <w:bCs/>
          <w:kern w:val="0"/>
          <w:sz w:val="24"/>
          <w:szCs w:val="24"/>
          <w:rtl/>
          <w14:ligatures w14:val="none"/>
        </w:rPr>
      </w:pPr>
      <w:bookmarkStart w:id="28" w:name="_Toc223386547"/>
      <w:r w:rsidRPr="00026EEC">
        <w:rPr>
          <w:rFonts w:ascii="Simplified Arabic" w:eastAsia="Times New Roman" w:hAnsi="Simplified Arabic" w:cs="Simplified Arabic"/>
          <w:b/>
          <w:bCs/>
          <w:kern w:val="0"/>
          <w:sz w:val="24"/>
          <w:szCs w:val="24"/>
          <w:rtl/>
          <w14:ligatures w14:val="none"/>
        </w:rPr>
        <w:t>الأساليب الإحصائية المستخدمة</w:t>
      </w:r>
      <w:bookmarkEnd w:id="28"/>
    </w:p>
    <w:p w14:paraId="1B2311AD" w14:textId="77777777" w:rsidR="00B820CB" w:rsidRPr="00026EEC" w:rsidRDefault="00B820CB" w:rsidP="0003434F">
      <w:pPr>
        <w:spacing w:after="0" w:line="240" w:lineRule="auto"/>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kern w:val="0"/>
          <w:sz w:val="24"/>
          <w:szCs w:val="24"/>
          <w:rtl/>
          <w14:ligatures w14:val="none"/>
        </w:rPr>
        <w:t>استُخدمت مجموعة من الأساليب الإحصائية الوصفية والاستدلالية في تحليل بيانات الدراسة واختبار فرضياتها، وذلك باستخدام برنامج الحزمة الإحصائية للعلوم الاجتماعية</w:t>
      </w:r>
      <w:r w:rsidRPr="00026EEC">
        <w:rPr>
          <w:rFonts w:ascii="Simplified Arabic" w:eastAsia="Times New Roman" w:hAnsi="Simplified Arabic" w:cs="Simplified Arabic"/>
          <w:kern w:val="0"/>
          <w:sz w:val="24"/>
          <w:szCs w:val="24"/>
          <w14:ligatures w14:val="none"/>
        </w:rPr>
        <w:t xml:space="preserve"> (SPSS) </w:t>
      </w:r>
      <w:r w:rsidRPr="00026EEC">
        <w:rPr>
          <w:rFonts w:ascii="Simplified Arabic" w:eastAsia="Times New Roman" w:hAnsi="Simplified Arabic" w:cs="Simplified Arabic"/>
          <w:kern w:val="0"/>
          <w:sz w:val="24"/>
          <w:szCs w:val="24"/>
          <w:rtl/>
          <w14:ligatures w14:val="none"/>
        </w:rPr>
        <w:t>الإصدار (28)، وقد اعتُمد مستوى دلالة</w:t>
      </w:r>
      <w:r w:rsidRPr="00026EEC">
        <w:rPr>
          <w:rFonts w:ascii="Simplified Arabic" w:eastAsia="Times New Roman" w:hAnsi="Simplified Arabic" w:cs="Simplified Arabic"/>
          <w:kern w:val="0"/>
          <w:sz w:val="24"/>
          <w:szCs w:val="24"/>
          <w14:ligatures w14:val="none"/>
        </w:rPr>
        <w:t xml:space="preserve"> (</w:t>
      </w:r>
      <w:r w:rsidRPr="00026EEC">
        <w:rPr>
          <w:rFonts w:ascii="Cambria" w:eastAsia="Times New Roman" w:hAnsi="Cambria" w:cs="Cambria"/>
          <w:kern w:val="0"/>
          <w:sz w:val="24"/>
          <w:szCs w:val="24"/>
          <w14:ligatures w14:val="none"/>
        </w:rPr>
        <w:t>α</w:t>
      </w:r>
      <w:r w:rsidRPr="00026EEC">
        <w:rPr>
          <w:rFonts w:ascii="Simplified Arabic" w:eastAsia="Times New Roman" w:hAnsi="Simplified Arabic" w:cs="Simplified Arabic"/>
          <w:kern w:val="0"/>
          <w:sz w:val="24"/>
          <w:szCs w:val="24"/>
          <w14:ligatures w14:val="none"/>
        </w:rPr>
        <w:t xml:space="preserve"> </w:t>
      </w:r>
      <w:r w:rsidRPr="00026EEC">
        <w:rPr>
          <w:rFonts w:ascii="Times New Roman" w:eastAsia="Times New Roman" w:hAnsi="Times New Roman" w:cs="Times New Roman"/>
          <w:kern w:val="0"/>
          <w:sz w:val="24"/>
          <w:szCs w:val="24"/>
          <w14:ligatures w14:val="none"/>
        </w:rPr>
        <w:t>≤</w:t>
      </w:r>
      <w:r w:rsidRPr="00026EEC">
        <w:rPr>
          <w:rFonts w:ascii="Simplified Arabic" w:eastAsia="Times New Roman" w:hAnsi="Simplified Arabic" w:cs="Simplified Arabic"/>
          <w:kern w:val="0"/>
          <w:sz w:val="24"/>
          <w:szCs w:val="24"/>
          <w14:ligatures w14:val="none"/>
        </w:rPr>
        <w:t xml:space="preserve"> 0.05) </w:t>
      </w:r>
      <w:r w:rsidRPr="00026EEC">
        <w:rPr>
          <w:rFonts w:ascii="Simplified Arabic" w:eastAsia="Times New Roman" w:hAnsi="Simplified Arabic" w:cs="Simplified Arabic"/>
          <w:kern w:val="0"/>
          <w:sz w:val="24"/>
          <w:szCs w:val="24"/>
          <w:rtl/>
          <w14:ligatures w14:val="none"/>
        </w:rPr>
        <w:t>معياراً للحكم على الدلالة الإحصائية لجميع الاختبارات بما يتّسق مع ما نصّت عليه فرضيات الدراسة. وتتضمن هذه الأساليب ما يلي</w:t>
      </w:r>
      <w:r w:rsidRPr="00026EEC">
        <w:rPr>
          <w:rFonts w:ascii="Simplified Arabic" w:eastAsia="Times New Roman" w:hAnsi="Simplified Arabic" w:cs="Simplified Arabic"/>
          <w:kern w:val="0"/>
          <w:sz w:val="24"/>
          <w:szCs w:val="24"/>
          <w14:ligatures w14:val="none"/>
        </w:rPr>
        <w:t>:</w:t>
      </w:r>
    </w:p>
    <w:p w14:paraId="2B69CD8D"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lastRenderedPageBreak/>
        <w:t>التكرارات والنسب المئوية</w:t>
      </w: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استُخدمت لوصف خصائص عينة الدراسة الديموغرافية والوظيفية من حيث المؤهل العلمي وسنوات الخبرة والمستوى الوظيفي والقطاع التشغيلي، فضلاً عن وصف توزيع استجابات المبحوثين على فقرات أداة الدراسة</w:t>
      </w:r>
      <w:r w:rsidRPr="00026EEC">
        <w:rPr>
          <w:rFonts w:ascii="Simplified Arabic" w:eastAsia="Times New Roman" w:hAnsi="Simplified Arabic" w:cs="Simplified Arabic"/>
          <w:kern w:val="0"/>
          <w:sz w:val="24"/>
          <w:szCs w:val="24"/>
          <w14:ligatures w14:val="none"/>
        </w:rPr>
        <w:t>.</w:t>
      </w:r>
    </w:p>
    <w:p w14:paraId="14FF5A70"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t>المتوسطات الحسابية والانحرافات المعيارية</w:t>
      </w: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استُخدمت لتحديد مستوى موافقة أفراد العينة على كل فقرة من فقرات الأداة وعلى كل بُعد ومتغير من متغيرات الدراسة، فضلاً عن ترتيب الأبعاد والفقرات وفقاً لأهميتها النسبية من وجهة نظر المبحوثين، وتحديد درجة التشتت في الاستجابات</w:t>
      </w:r>
      <w:r w:rsidRPr="00026EEC">
        <w:rPr>
          <w:rFonts w:ascii="Simplified Arabic" w:eastAsia="Times New Roman" w:hAnsi="Simplified Arabic" w:cs="Simplified Arabic"/>
          <w:kern w:val="0"/>
          <w:sz w:val="24"/>
          <w:szCs w:val="24"/>
          <w14:ligatures w14:val="none"/>
        </w:rPr>
        <w:t>.</w:t>
      </w:r>
    </w:p>
    <w:p w14:paraId="233D47B7"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t>معامل ارتباط بيرسون</w:t>
      </w:r>
      <w:r w:rsidRPr="00026EEC">
        <w:rPr>
          <w:rFonts w:ascii="Simplified Arabic" w:eastAsia="Times New Roman" w:hAnsi="Simplified Arabic" w:cs="Simplified Arabic"/>
          <w:kern w:val="0"/>
          <w:sz w:val="24"/>
          <w:szCs w:val="24"/>
          <w14:ligatures w14:val="none"/>
        </w:rPr>
        <w:t xml:space="preserve"> (Pearson Correlation Coefficient): </w:t>
      </w:r>
      <w:r w:rsidRPr="00026EEC">
        <w:rPr>
          <w:rFonts w:ascii="Simplified Arabic" w:eastAsia="Times New Roman" w:hAnsi="Simplified Arabic" w:cs="Simplified Arabic"/>
          <w:kern w:val="0"/>
          <w:sz w:val="24"/>
          <w:szCs w:val="24"/>
          <w:rtl/>
          <w14:ligatures w14:val="none"/>
        </w:rPr>
        <w:t>استُخدم للتحقق من صدق الاتساق الداخلي لأداة الدراسة من خلال حساب الارتباط بين كل فقرة والدرجة الكلية للبُعد الذي تنتمي إليه، وكذلك لبناء مصفوفة الارتباط بين متغيرات الدراسة وأبعادها والكشف عن طبيعة العلاقات الارتباطية بينها واتجاهها وقوتها</w:t>
      </w:r>
      <w:r w:rsidRPr="00026EEC">
        <w:rPr>
          <w:rFonts w:ascii="Simplified Arabic" w:eastAsia="Times New Roman" w:hAnsi="Simplified Arabic" w:cs="Simplified Arabic"/>
          <w:kern w:val="0"/>
          <w:sz w:val="24"/>
          <w:szCs w:val="24"/>
          <w14:ligatures w14:val="none"/>
        </w:rPr>
        <w:t>.</w:t>
      </w:r>
    </w:p>
    <w:p w14:paraId="00F506D5"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t>معامل ألفا كرونباخ</w:t>
      </w:r>
      <w:r w:rsidRPr="00026EEC">
        <w:rPr>
          <w:rFonts w:ascii="Simplified Arabic" w:eastAsia="Times New Roman" w:hAnsi="Simplified Arabic" w:cs="Simplified Arabic"/>
          <w:b/>
          <w:bCs/>
          <w:kern w:val="0"/>
          <w:sz w:val="24"/>
          <w:szCs w:val="24"/>
          <w14:ligatures w14:val="none"/>
        </w:rPr>
        <w:t xml:space="preserve"> (Cronbach's Alpha):</w:t>
      </w:r>
      <w:r w:rsidRPr="00026EEC">
        <w:rPr>
          <w:rFonts w:ascii="Simplified Arabic" w:eastAsia="Times New Roman" w:hAnsi="Simplified Arabic" w:cs="Simplified Arabic"/>
          <w:kern w:val="0"/>
          <w:sz w:val="24"/>
          <w:szCs w:val="24"/>
          <w14:ligatures w14:val="none"/>
        </w:rPr>
        <w:t xml:space="preserve"> </w:t>
      </w:r>
      <w:r w:rsidRPr="00026EEC">
        <w:rPr>
          <w:rFonts w:ascii="Simplified Arabic" w:eastAsia="Times New Roman" w:hAnsi="Simplified Arabic" w:cs="Simplified Arabic"/>
          <w:kern w:val="0"/>
          <w:sz w:val="24"/>
          <w:szCs w:val="24"/>
          <w:rtl/>
          <w14:ligatures w14:val="none"/>
        </w:rPr>
        <w:t>استُخدم للتحقق من ثبات أداة الدراسة واتساقها الداخلي لكل بُعد من أبعادها وللأداة ككل، بحيث تُشير القيم المرتفعة إلى إمكانية الحصول على النتائج ذاتها عند إعادة التطبيق في ظروف مماثلة</w:t>
      </w:r>
      <w:r w:rsidRPr="00026EEC">
        <w:rPr>
          <w:rFonts w:ascii="Simplified Arabic" w:eastAsia="Times New Roman" w:hAnsi="Simplified Arabic" w:cs="Simplified Arabic"/>
          <w:kern w:val="0"/>
          <w:sz w:val="24"/>
          <w:szCs w:val="24"/>
          <w14:ligatures w14:val="none"/>
        </w:rPr>
        <w:t>.</w:t>
      </w:r>
    </w:p>
    <w:p w14:paraId="2158D148"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t>تحليل الانحدار الخطي البسيط</w:t>
      </w:r>
      <w:r w:rsidRPr="00026EEC">
        <w:rPr>
          <w:rFonts w:ascii="Simplified Arabic" w:eastAsia="Times New Roman" w:hAnsi="Simplified Arabic" w:cs="Simplified Arabic"/>
          <w:kern w:val="0"/>
          <w:sz w:val="24"/>
          <w:szCs w:val="24"/>
          <w14:ligatures w14:val="none"/>
        </w:rPr>
        <w:t xml:space="preserve"> (Simple Linear Regression): </w:t>
      </w:r>
      <w:r w:rsidRPr="00026EEC">
        <w:rPr>
          <w:rFonts w:ascii="Simplified Arabic" w:eastAsia="Times New Roman" w:hAnsi="Simplified Arabic" w:cs="Simplified Arabic"/>
          <w:kern w:val="0"/>
          <w:sz w:val="24"/>
          <w:szCs w:val="24"/>
          <w:rtl/>
          <w14:ligatures w14:val="none"/>
        </w:rPr>
        <w:t>استُخدم لاختبار الفرضية الرئيسة للدراسة المتعلقة بأثر إدارة المخاطر التشغيلية المتقدمة ككل على الحدّ من الخسائر الفنية وتحسين الكفاءة التشغيلية، حيث يُمكّن من تحديد مقدار التباين في المتغير التابع الذي يُفسّره المتغير المستقل من خلال معامل التحديد</w:t>
      </w:r>
      <w:r w:rsidRPr="00026EEC">
        <w:rPr>
          <w:rFonts w:ascii="Simplified Arabic" w:eastAsia="Times New Roman" w:hAnsi="Simplified Arabic" w:cs="Simplified Arabic"/>
          <w:kern w:val="0"/>
          <w:sz w:val="24"/>
          <w:szCs w:val="24"/>
          <w14:ligatures w14:val="none"/>
        </w:rPr>
        <w:t xml:space="preserve"> (R²) </w:t>
      </w:r>
      <w:r w:rsidRPr="00026EEC">
        <w:rPr>
          <w:rFonts w:ascii="Simplified Arabic" w:eastAsia="Times New Roman" w:hAnsi="Simplified Arabic" w:cs="Simplified Arabic"/>
          <w:kern w:val="0"/>
          <w:sz w:val="24"/>
          <w:szCs w:val="24"/>
          <w:rtl/>
          <w14:ligatures w14:val="none"/>
        </w:rPr>
        <w:t>والتحقق من الدلالة الإحصائية لهذا الأثر</w:t>
      </w:r>
      <w:r w:rsidRPr="00026EEC">
        <w:rPr>
          <w:rFonts w:ascii="Simplified Arabic" w:eastAsia="Times New Roman" w:hAnsi="Simplified Arabic" w:cs="Simplified Arabic"/>
          <w:kern w:val="0"/>
          <w:sz w:val="24"/>
          <w:szCs w:val="24"/>
          <w14:ligatures w14:val="none"/>
        </w:rPr>
        <w:t>.</w:t>
      </w:r>
    </w:p>
    <w:p w14:paraId="67617532" w14:textId="77777777" w:rsidR="00B820CB" w:rsidRPr="00026EEC" w:rsidRDefault="00B820CB" w:rsidP="00026EEC">
      <w:pPr>
        <w:numPr>
          <w:ilvl w:val="0"/>
          <w:numId w:val="23"/>
        </w:numPr>
        <w:tabs>
          <w:tab w:val="clear" w:pos="720"/>
          <w:tab w:val="num" w:pos="423"/>
        </w:tabs>
        <w:spacing w:after="0" w:line="240" w:lineRule="auto"/>
        <w:ind w:left="423"/>
        <w:jc w:val="both"/>
        <w:rPr>
          <w:rFonts w:ascii="Simplified Arabic" w:eastAsia="Times New Roman" w:hAnsi="Simplified Arabic" w:cs="Simplified Arabic"/>
          <w:kern w:val="0"/>
          <w:sz w:val="24"/>
          <w:szCs w:val="24"/>
          <w14:ligatures w14:val="none"/>
        </w:rPr>
      </w:pPr>
      <w:r w:rsidRPr="00026EEC">
        <w:rPr>
          <w:rFonts w:ascii="Simplified Arabic" w:eastAsia="Times New Roman" w:hAnsi="Simplified Arabic" w:cs="Simplified Arabic"/>
          <w:b/>
          <w:bCs/>
          <w:kern w:val="0"/>
          <w:sz w:val="24"/>
          <w:szCs w:val="24"/>
          <w:rtl/>
          <w14:ligatures w14:val="none"/>
        </w:rPr>
        <w:t>تحليل الانحدار الخطي المتعدد</w:t>
      </w:r>
      <w:r w:rsidRPr="00026EEC">
        <w:rPr>
          <w:rFonts w:ascii="Simplified Arabic" w:eastAsia="Times New Roman" w:hAnsi="Simplified Arabic" w:cs="Simplified Arabic"/>
          <w:kern w:val="0"/>
          <w:sz w:val="24"/>
          <w:szCs w:val="24"/>
          <w14:ligatures w14:val="none"/>
        </w:rPr>
        <w:t xml:space="preserve"> (Multiple Linear Regression): </w:t>
      </w:r>
      <w:r w:rsidRPr="00026EEC">
        <w:rPr>
          <w:rFonts w:ascii="Simplified Arabic" w:eastAsia="Times New Roman" w:hAnsi="Simplified Arabic" w:cs="Simplified Arabic"/>
          <w:kern w:val="0"/>
          <w:sz w:val="24"/>
          <w:szCs w:val="24"/>
          <w:rtl/>
          <w14:ligatures w14:val="none"/>
        </w:rPr>
        <w:t>استُخدم لاختبار الفرضيات الفرعية للدراسة المتعلقة بأثر كل بُعد من أبعاد المتغير المستقل على المتغير التابع مع ضبط تأثير الأبعاد الأخرى، ويُتيح هذا الأسلوب تحديد الأثر الصافي لكل بُعد وتحديد الأهمية النسبية لكل بُعد في تفسير التباين في المتغير التابع من خلال معاملات بيتا المعيارية</w:t>
      </w:r>
      <w:r w:rsidRPr="00026EEC">
        <w:rPr>
          <w:rFonts w:ascii="Simplified Arabic" w:eastAsia="Times New Roman" w:hAnsi="Simplified Arabic" w:cs="Simplified Arabic"/>
          <w:kern w:val="0"/>
          <w:sz w:val="24"/>
          <w:szCs w:val="24"/>
          <w14:ligatures w14:val="none"/>
        </w:rPr>
        <w:t>.</w:t>
      </w:r>
    </w:p>
    <w:p w14:paraId="09B7CA53" w14:textId="28F4C146" w:rsidR="00327C81" w:rsidRPr="0003434F" w:rsidRDefault="00327C81" w:rsidP="0003434F">
      <w:pPr>
        <w:spacing w:after="0" w:line="240" w:lineRule="auto"/>
        <w:outlineLvl w:val="0"/>
        <w:rPr>
          <w:rStyle w:val="Strong"/>
          <w:rFonts w:ascii="Simplified Arabic" w:hAnsi="Simplified Arabic" w:cs="Simplified Arabic"/>
          <w:sz w:val="28"/>
          <w:szCs w:val="28"/>
          <w:rtl/>
        </w:rPr>
      </w:pPr>
      <w:bookmarkStart w:id="29" w:name="_Toc223386548"/>
      <w:r w:rsidRPr="0003434F">
        <w:rPr>
          <w:rStyle w:val="Strong"/>
          <w:rFonts w:ascii="Simplified Arabic" w:hAnsi="Simplified Arabic" w:cs="Simplified Arabic"/>
          <w:sz w:val="28"/>
          <w:szCs w:val="28"/>
          <w:rtl/>
        </w:rPr>
        <w:t xml:space="preserve"> تحليل البيانات واختبار فرضيات الدراسة</w:t>
      </w:r>
      <w:bookmarkEnd w:id="29"/>
    </w:p>
    <w:p w14:paraId="2F6A2CA6" w14:textId="230699C6" w:rsidR="00302167" w:rsidRPr="00026EEC" w:rsidRDefault="00302167" w:rsidP="00026EEC">
      <w:pPr>
        <w:pStyle w:val="NormalWeb"/>
        <w:bidi/>
        <w:spacing w:before="0" w:beforeAutospacing="0" w:after="0" w:afterAutospacing="0"/>
        <w:outlineLvl w:val="1"/>
        <w:rPr>
          <w:rStyle w:val="Strong"/>
          <w:rFonts w:ascii="Simplified Arabic" w:hAnsi="Simplified Arabic" w:cs="Simplified Arabic"/>
          <w:rtl/>
        </w:rPr>
      </w:pPr>
      <w:bookmarkStart w:id="30" w:name="_Toc223386550"/>
      <w:r w:rsidRPr="00026EEC">
        <w:rPr>
          <w:rStyle w:val="Strong"/>
          <w:rFonts w:ascii="Simplified Arabic" w:hAnsi="Simplified Arabic" w:cs="Simplified Arabic"/>
          <w:rtl/>
        </w:rPr>
        <w:t>الخصائص الديموغرافية والوظيفية</w:t>
      </w:r>
      <w:bookmarkEnd w:id="30"/>
    </w:p>
    <w:p w14:paraId="45AF0A37" w14:textId="77777777" w:rsidR="00327C81" w:rsidRPr="00026EEC" w:rsidRDefault="00327C81" w:rsidP="0003434F">
      <w:pPr>
        <w:pStyle w:val="NormalWeb"/>
        <w:bidi/>
        <w:spacing w:before="0" w:beforeAutospacing="0" w:after="0" w:afterAutospacing="0"/>
        <w:rPr>
          <w:rStyle w:val="Strong"/>
          <w:rFonts w:ascii="Simplified Arabic" w:hAnsi="Simplified Arabic" w:cs="Simplified Arabic"/>
          <w:b w:val="0"/>
          <w:bCs w:val="0"/>
          <w:rtl/>
        </w:rPr>
      </w:pPr>
      <w:r w:rsidRPr="00026EEC">
        <w:rPr>
          <w:rStyle w:val="Strong"/>
          <w:rFonts w:ascii="Simplified Arabic" w:hAnsi="Simplified Arabic" w:cs="Simplified Arabic"/>
          <w:b w:val="0"/>
          <w:bCs w:val="0"/>
          <w:rtl/>
        </w:rPr>
        <w:t>يُوضّح هذا القسم الخصائص الديموغرافية والوظيفية لمفردات عينة الدراسة وفقاً لأربعة متغيرات هي: المؤهل العلمي، وسنوات الخبرة، والمستوى الوظيفي، والقطاع التشغيلي</w:t>
      </w:r>
      <w:r w:rsidRPr="00026EEC">
        <w:rPr>
          <w:rStyle w:val="Strong"/>
          <w:rFonts w:ascii="Simplified Arabic" w:hAnsi="Simplified Arabic" w:cs="Simplified Arabic"/>
          <w:b w:val="0"/>
          <w:bCs w:val="0"/>
        </w:rPr>
        <w:t>.</w:t>
      </w:r>
    </w:p>
    <w:p w14:paraId="52B30CD1" w14:textId="6727B9AB" w:rsidR="00327C81" w:rsidRPr="00026EEC" w:rsidRDefault="00327C81" w:rsidP="00026EEC">
      <w:pPr>
        <w:pStyle w:val="NormalWeb"/>
        <w:numPr>
          <w:ilvl w:val="0"/>
          <w:numId w:val="32"/>
        </w:numPr>
        <w:bidi/>
        <w:spacing w:before="0" w:beforeAutospacing="0" w:after="0" w:afterAutospacing="0"/>
        <w:ind w:left="423"/>
        <w:jc w:val="both"/>
        <w:rPr>
          <w:rStyle w:val="Strong"/>
          <w:rFonts w:ascii="Simplified Arabic" w:hAnsi="Simplified Arabic" w:cs="Simplified Arabic"/>
          <w:rtl/>
        </w:rPr>
      </w:pPr>
      <w:r w:rsidRPr="00026EEC">
        <w:rPr>
          <w:rStyle w:val="Strong"/>
          <w:rFonts w:ascii="Simplified Arabic" w:hAnsi="Simplified Arabic" w:cs="Simplified Arabic"/>
          <w:rtl/>
        </w:rPr>
        <w:t>التوزيع وفقاً للمؤهل العلمي</w:t>
      </w:r>
    </w:p>
    <w:p w14:paraId="6FA0F0C7" w14:textId="0D73FD3B"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6</w:t>
      </w:r>
      <w:r w:rsidRPr="00026EEC">
        <w:rPr>
          <w:rStyle w:val="Strong"/>
          <w:rFonts w:ascii="Simplified Arabic" w:hAnsi="Simplified Arabic" w:cs="Simplified Arabic"/>
          <w:rtl/>
        </w:rPr>
        <w:t>): توزيع مفردات العينة وفقاً للمؤهل العلمي</w:t>
      </w:r>
    </w:p>
    <w:tbl>
      <w:tblPr>
        <w:tblStyle w:val="GridTable1Light-Accent5"/>
        <w:bidiVisual/>
        <w:tblW w:w="0" w:type="auto"/>
        <w:jc w:val="center"/>
        <w:tblLook w:val="04A0" w:firstRow="1" w:lastRow="0" w:firstColumn="1" w:lastColumn="0" w:noHBand="0" w:noVBand="1"/>
      </w:tblPr>
      <w:tblGrid>
        <w:gridCol w:w="1119"/>
        <w:gridCol w:w="664"/>
        <w:gridCol w:w="1062"/>
      </w:tblGrid>
      <w:tr w:rsidR="00AE38FA" w:rsidRPr="0003434F" w14:paraId="1BB61A90"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1FCCE"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المؤهل العلمي</w:t>
            </w:r>
          </w:p>
        </w:tc>
        <w:tc>
          <w:tcPr>
            <w:tcW w:w="0" w:type="auto"/>
            <w:vAlign w:val="center"/>
            <w:hideMark/>
          </w:tcPr>
          <w:p w14:paraId="5A8C1DB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التكرار</w:t>
            </w:r>
          </w:p>
        </w:tc>
        <w:tc>
          <w:tcPr>
            <w:tcW w:w="0" w:type="auto"/>
            <w:vAlign w:val="center"/>
            <w:hideMark/>
          </w:tcPr>
          <w:p w14:paraId="4C5CB5C5"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النسبة المئوية</w:t>
            </w:r>
          </w:p>
        </w:tc>
      </w:tr>
      <w:tr w:rsidR="00AE38FA" w:rsidRPr="0003434F" w14:paraId="030CFCD4"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25D18B"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دبلوم</w:t>
            </w:r>
          </w:p>
        </w:tc>
        <w:tc>
          <w:tcPr>
            <w:tcW w:w="0" w:type="auto"/>
            <w:vAlign w:val="center"/>
            <w:hideMark/>
          </w:tcPr>
          <w:p w14:paraId="29E4830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74</w:t>
            </w:r>
          </w:p>
        </w:tc>
        <w:tc>
          <w:tcPr>
            <w:tcW w:w="0" w:type="auto"/>
            <w:vAlign w:val="center"/>
            <w:hideMark/>
          </w:tcPr>
          <w:p w14:paraId="3E84ADD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21.0%</w:t>
            </w:r>
          </w:p>
        </w:tc>
      </w:tr>
      <w:tr w:rsidR="00AE38FA" w:rsidRPr="0003434F" w14:paraId="7A3959E5"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BF296"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بكالوريوس</w:t>
            </w:r>
          </w:p>
        </w:tc>
        <w:tc>
          <w:tcPr>
            <w:tcW w:w="0" w:type="auto"/>
            <w:vAlign w:val="center"/>
            <w:hideMark/>
          </w:tcPr>
          <w:p w14:paraId="10A6265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189</w:t>
            </w:r>
          </w:p>
        </w:tc>
        <w:tc>
          <w:tcPr>
            <w:tcW w:w="0" w:type="auto"/>
            <w:vAlign w:val="center"/>
            <w:hideMark/>
          </w:tcPr>
          <w:p w14:paraId="511A54F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53.7%</w:t>
            </w:r>
          </w:p>
        </w:tc>
      </w:tr>
      <w:tr w:rsidR="00AE38FA" w:rsidRPr="0003434F" w14:paraId="63D5A349"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A96D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ماجستير</w:t>
            </w:r>
          </w:p>
        </w:tc>
        <w:tc>
          <w:tcPr>
            <w:tcW w:w="0" w:type="auto"/>
            <w:vAlign w:val="center"/>
            <w:hideMark/>
          </w:tcPr>
          <w:p w14:paraId="33B85D5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68</w:t>
            </w:r>
          </w:p>
        </w:tc>
        <w:tc>
          <w:tcPr>
            <w:tcW w:w="0" w:type="auto"/>
            <w:vAlign w:val="center"/>
            <w:hideMark/>
          </w:tcPr>
          <w:p w14:paraId="42E199C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19.3%</w:t>
            </w:r>
          </w:p>
        </w:tc>
      </w:tr>
      <w:tr w:rsidR="00AE38FA" w:rsidRPr="0003434F" w14:paraId="3EF13ED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E61D9C"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دكتوراه</w:t>
            </w:r>
          </w:p>
        </w:tc>
        <w:tc>
          <w:tcPr>
            <w:tcW w:w="0" w:type="auto"/>
            <w:vAlign w:val="center"/>
            <w:hideMark/>
          </w:tcPr>
          <w:p w14:paraId="380AA75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21</w:t>
            </w:r>
          </w:p>
        </w:tc>
        <w:tc>
          <w:tcPr>
            <w:tcW w:w="0" w:type="auto"/>
            <w:vAlign w:val="center"/>
            <w:hideMark/>
          </w:tcPr>
          <w:p w14:paraId="0BC27AE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6.0%</w:t>
            </w:r>
          </w:p>
        </w:tc>
      </w:tr>
      <w:tr w:rsidR="00AE38FA" w:rsidRPr="0003434F" w14:paraId="144F561E"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0498EB" w14:textId="77777777" w:rsidR="00AE38FA" w:rsidRPr="0003434F" w:rsidRDefault="00AE38FA"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الإجمالي</w:t>
            </w:r>
          </w:p>
        </w:tc>
        <w:tc>
          <w:tcPr>
            <w:tcW w:w="0" w:type="auto"/>
            <w:vAlign w:val="center"/>
            <w:hideMark/>
          </w:tcPr>
          <w:p w14:paraId="736B4EE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352</w:t>
            </w:r>
          </w:p>
        </w:tc>
        <w:tc>
          <w:tcPr>
            <w:tcW w:w="0" w:type="auto"/>
            <w:vAlign w:val="center"/>
            <w:hideMark/>
          </w:tcPr>
          <w:p w14:paraId="76BEE47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100%</w:t>
            </w:r>
          </w:p>
        </w:tc>
      </w:tr>
    </w:tbl>
    <w:p w14:paraId="42A768E2" w14:textId="4FBA61C9" w:rsidR="00AE38FA" w:rsidRPr="00026EEC" w:rsidRDefault="00AE38FA" w:rsidP="0003434F">
      <w:pPr>
        <w:pStyle w:val="NormalWeb"/>
        <w:bidi/>
        <w:spacing w:before="0" w:beforeAutospacing="0" w:after="0" w:afterAutospacing="0"/>
        <w:jc w:val="both"/>
        <w:rPr>
          <w:rFonts w:ascii="Simplified Arabic" w:hAnsi="Simplified Arabic" w:cs="Simplified Arabic"/>
          <w:rtl/>
        </w:rPr>
      </w:pPr>
      <w:r w:rsidRPr="00026EEC">
        <w:rPr>
          <w:rFonts w:ascii="Simplified Arabic" w:hAnsi="Simplified Arabic" w:cs="Simplified Arabic"/>
          <w:rtl/>
        </w:rPr>
        <w:t>يتّضح من الجدول أن الحاصلين على درجة البكالوريوس يُشكّلون الشريحة الأكبر من مفردات العينة بنسبة</w:t>
      </w:r>
      <w:r w:rsidRPr="00026EEC">
        <w:rPr>
          <w:rFonts w:ascii="Simplified Arabic" w:hAnsi="Simplified Arabic" w:cs="Simplified Arabic"/>
        </w:rPr>
        <w:t xml:space="preserve"> (53.7%)</w:t>
      </w:r>
      <w:r w:rsidRPr="00026EEC">
        <w:rPr>
          <w:rFonts w:ascii="Simplified Arabic" w:hAnsi="Simplified Arabic" w:cs="Simplified Arabic"/>
          <w:rtl/>
        </w:rPr>
        <w:t xml:space="preserve">، يليهم الحاصلون على الدبلوم بنسبة (21.0%)، ثم الحاصلون على الماجستير بنسبة </w:t>
      </w:r>
      <w:r w:rsidRPr="00026EEC">
        <w:rPr>
          <w:rFonts w:ascii="Simplified Arabic" w:hAnsi="Simplified Arabic" w:cs="Simplified Arabic"/>
          <w:rtl/>
        </w:rPr>
        <w:lastRenderedPageBreak/>
        <w:t>(19.3%)، وأخيراً الحاصلون على الدكتوراه بنسبة (6.0%). ويُشير ذلك إلى أن غالبية مفردات العينة (79.0%) يحملون مؤهلات جامعية فأعلى، مما يُعزّز الثقة في قدرتهم على استيعاب فقرات أداة الدراسة والاستجابة لها بدقة ووعي</w:t>
      </w:r>
      <w:r w:rsidRPr="00026EEC">
        <w:rPr>
          <w:rFonts w:ascii="Simplified Arabic" w:hAnsi="Simplified Arabic" w:cs="Simplified Arabic"/>
        </w:rPr>
        <w:t>.</w:t>
      </w:r>
    </w:p>
    <w:p w14:paraId="7C1655AA" w14:textId="4DFF26E1" w:rsidR="00302167" w:rsidRPr="00026EEC" w:rsidRDefault="00302167" w:rsidP="00026EEC">
      <w:pPr>
        <w:pStyle w:val="NormalWeb"/>
        <w:numPr>
          <w:ilvl w:val="0"/>
          <w:numId w:val="32"/>
        </w:numPr>
        <w:bidi/>
        <w:spacing w:before="0" w:beforeAutospacing="0" w:after="0" w:afterAutospacing="0"/>
        <w:ind w:left="423"/>
        <w:jc w:val="both"/>
        <w:rPr>
          <w:rFonts w:ascii="Simplified Arabic" w:hAnsi="Simplified Arabic" w:cs="Simplified Arabic"/>
          <w:b/>
          <w:bCs/>
        </w:rPr>
      </w:pPr>
      <w:r w:rsidRPr="00026EEC">
        <w:rPr>
          <w:rFonts w:ascii="Simplified Arabic" w:hAnsi="Simplified Arabic" w:cs="Simplified Arabic"/>
          <w:b/>
          <w:bCs/>
          <w:rtl/>
        </w:rPr>
        <w:t>التوزيع وفقاً لسنوات الخبرة</w:t>
      </w:r>
    </w:p>
    <w:p w14:paraId="6D614B2E" w14:textId="5C9D4C5F"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7</w:t>
      </w:r>
      <w:r w:rsidRPr="00026EEC">
        <w:rPr>
          <w:rStyle w:val="Strong"/>
          <w:rFonts w:ascii="Simplified Arabic" w:hAnsi="Simplified Arabic" w:cs="Simplified Arabic"/>
          <w:rtl/>
        </w:rPr>
        <w:t>): توزيع مفردات العينة وفقاً لسنوات الخبرة</w:t>
      </w:r>
    </w:p>
    <w:tbl>
      <w:tblPr>
        <w:tblStyle w:val="GridTable1Light-Accent5"/>
        <w:bidiVisual/>
        <w:tblW w:w="0" w:type="auto"/>
        <w:jc w:val="center"/>
        <w:tblLook w:val="04A0" w:firstRow="1" w:lastRow="0" w:firstColumn="1" w:lastColumn="0" w:noHBand="0" w:noVBand="1"/>
      </w:tblPr>
      <w:tblGrid>
        <w:gridCol w:w="2103"/>
        <w:gridCol w:w="664"/>
        <w:gridCol w:w="1062"/>
      </w:tblGrid>
      <w:tr w:rsidR="00AE38FA" w:rsidRPr="0003434F" w14:paraId="073FF22E"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8E1933"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سنوات الخبرة</w:t>
            </w:r>
          </w:p>
        </w:tc>
        <w:tc>
          <w:tcPr>
            <w:tcW w:w="0" w:type="auto"/>
            <w:vAlign w:val="center"/>
            <w:hideMark/>
          </w:tcPr>
          <w:p w14:paraId="0E698C2D"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التكرار</w:t>
            </w:r>
          </w:p>
        </w:tc>
        <w:tc>
          <w:tcPr>
            <w:tcW w:w="0" w:type="auto"/>
            <w:vAlign w:val="center"/>
            <w:hideMark/>
          </w:tcPr>
          <w:p w14:paraId="02335B3D"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النسبة المئوية</w:t>
            </w:r>
          </w:p>
        </w:tc>
      </w:tr>
      <w:tr w:rsidR="00AE38FA" w:rsidRPr="0003434F" w14:paraId="5C93D8D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3A78F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أقل من 5 سنوات</w:t>
            </w:r>
          </w:p>
        </w:tc>
        <w:tc>
          <w:tcPr>
            <w:tcW w:w="0" w:type="auto"/>
            <w:vAlign w:val="center"/>
            <w:hideMark/>
          </w:tcPr>
          <w:p w14:paraId="4D3FC40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53</w:t>
            </w:r>
          </w:p>
        </w:tc>
        <w:tc>
          <w:tcPr>
            <w:tcW w:w="0" w:type="auto"/>
            <w:vAlign w:val="center"/>
            <w:hideMark/>
          </w:tcPr>
          <w:p w14:paraId="224F704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15.1%</w:t>
            </w:r>
          </w:p>
        </w:tc>
      </w:tr>
      <w:tr w:rsidR="00AE38FA" w:rsidRPr="0003434F" w14:paraId="4ABB141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F2AA04"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من 5 إلى أقل من 10 سنوات</w:t>
            </w:r>
          </w:p>
        </w:tc>
        <w:tc>
          <w:tcPr>
            <w:tcW w:w="0" w:type="auto"/>
            <w:vAlign w:val="center"/>
            <w:hideMark/>
          </w:tcPr>
          <w:p w14:paraId="2E71233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98</w:t>
            </w:r>
          </w:p>
        </w:tc>
        <w:tc>
          <w:tcPr>
            <w:tcW w:w="0" w:type="auto"/>
            <w:vAlign w:val="center"/>
            <w:hideMark/>
          </w:tcPr>
          <w:p w14:paraId="45618F1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27.8%</w:t>
            </w:r>
          </w:p>
        </w:tc>
      </w:tr>
      <w:tr w:rsidR="00AE38FA" w:rsidRPr="0003434F" w14:paraId="459C475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F5D34"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من 10 إلى أقل من 15 سنة</w:t>
            </w:r>
          </w:p>
        </w:tc>
        <w:tc>
          <w:tcPr>
            <w:tcW w:w="0" w:type="auto"/>
            <w:vAlign w:val="center"/>
            <w:hideMark/>
          </w:tcPr>
          <w:p w14:paraId="30A73E0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112</w:t>
            </w:r>
          </w:p>
        </w:tc>
        <w:tc>
          <w:tcPr>
            <w:tcW w:w="0" w:type="auto"/>
            <w:vAlign w:val="center"/>
            <w:hideMark/>
          </w:tcPr>
          <w:p w14:paraId="1B0262F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31.8%</w:t>
            </w:r>
          </w:p>
        </w:tc>
      </w:tr>
      <w:tr w:rsidR="00AE38FA" w:rsidRPr="0003434F" w14:paraId="38D98D1E"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69E718"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15 </w:t>
            </w:r>
            <w:r w:rsidRPr="0003434F">
              <w:rPr>
                <w:rFonts w:ascii="Simplified Arabic" w:hAnsi="Simplified Arabic" w:cs="Simplified Arabic"/>
                <w:b w:val="0"/>
                <w:bCs w:val="0"/>
                <w:sz w:val="20"/>
                <w:szCs w:val="20"/>
                <w:rtl/>
              </w:rPr>
              <w:t>سنة فأكثر</w:t>
            </w:r>
          </w:p>
        </w:tc>
        <w:tc>
          <w:tcPr>
            <w:tcW w:w="0" w:type="auto"/>
            <w:vAlign w:val="center"/>
            <w:hideMark/>
          </w:tcPr>
          <w:p w14:paraId="54D33B5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89</w:t>
            </w:r>
          </w:p>
        </w:tc>
        <w:tc>
          <w:tcPr>
            <w:tcW w:w="0" w:type="auto"/>
            <w:vAlign w:val="center"/>
            <w:hideMark/>
          </w:tcPr>
          <w:p w14:paraId="469763B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25.3%</w:t>
            </w:r>
          </w:p>
        </w:tc>
      </w:tr>
      <w:tr w:rsidR="00AE38FA" w:rsidRPr="0003434F" w14:paraId="07BB54B4"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079ABB" w14:textId="77777777" w:rsidR="00AE38FA" w:rsidRPr="0003434F" w:rsidRDefault="00AE38FA"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الإجمالي</w:t>
            </w:r>
          </w:p>
        </w:tc>
        <w:tc>
          <w:tcPr>
            <w:tcW w:w="0" w:type="auto"/>
            <w:vAlign w:val="center"/>
            <w:hideMark/>
          </w:tcPr>
          <w:p w14:paraId="77C7C1C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352</w:t>
            </w:r>
          </w:p>
        </w:tc>
        <w:tc>
          <w:tcPr>
            <w:tcW w:w="0" w:type="auto"/>
            <w:vAlign w:val="center"/>
            <w:hideMark/>
          </w:tcPr>
          <w:p w14:paraId="4563262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100%</w:t>
            </w:r>
          </w:p>
        </w:tc>
      </w:tr>
    </w:tbl>
    <w:p w14:paraId="38AD2926" w14:textId="088261C1" w:rsidR="00AE38FA" w:rsidRPr="00026EEC" w:rsidRDefault="00AE38FA" w:rsidP="0003434F">
      <w:pPr>
        <w:pStyle w:val="NormalWeb"/>
        <w:bidi/>
        <w:spacing w:before="0" w:beforeAutospacing="0" w:after="0" w:afterAutospacing="0"/>
        <w:jc w:val="both"/>
        <w:rPr>
          <w:rFonts w:ascii="Simplified Arabic" w:hAnsi="Simplified Arabic" w:cs="Simplified Arabic"/>
          <w:rtl/>
        </w:rPr>
      </w:pPr>
      <w:r w:rsidRPr="00026EEC">
        <w:rPr>
          <w:rFonts w:ascii="Simplified Arabic" w:hAnsi="Simplified Arabic" w:cs="Simplified Arabic"/>
          <w:rtl/>
        </w:rPr>
        <w:t>يتّضح من الجدول  أن الفئة الأكثر تمثيلاً هي فئة (10 إلى أقل من 15 سنة) بنسبة (31.8%)، تليها فئة (5 إلى أقل من 10 سنوات) بنسبة (27.8%)، ثم فئة (15 سنة فأكثر) بنسبة (25.3%)، وأخيراً فئة (أقل من 5 سنوات) بنسبة (15.1%). ويُلاحظ أن ما نسبته (57.1%) من مفردات العينة يمتلكون خبرة عملية تتجاوز (10) سنوات، مما يعكس عمق المعرفة التشغيلية التي يمتلكها المبحوثون بشأن واقع إدارة المخاطر والكفاءة التشغيلية في الشبكة الكهربائية</w:t>
      </w:r>
      <w:r w:rsidRPr="00026EEC">
        <w:rPr>
          <w:rFonts w:ascii="Simplified Arabic" w:hAnsi="Simplified Arabic" w:cs="Simplified Arabic"/>
        </w:rPr>
        <w:t>.</w:t>
      </w:r>
    </w:p>
    <w:p w14:paraId="5E42E587" w14:textId="4F46190B" w:rsidR="00302167" w:rsidRPr="00026EEC" w:rsidRDefault="00302167" w:rsidP="00026EEC">
      <w:pPr>
        <w:pStyle w:val="ListParagraph"/>
        <w:numPr>
          <w:ilvl w:val="0"/>
          <w:numId w:val="32"/>
        </w:numPr>
        <w:spacing w:after="0" w:line="240" w:lineRule="auto"/>
        <w:ind w:left="423"/>
        <w:rPr>
          <w:rFonts w:ascii="Simplified Arabic" w:hAnsi="Simplified Arabic" w:cs="Simplified Arabic"/>
          <w:b/>
          <w:bCs/>
          <w:sz w:val="24"/>
          <w:szCs w:val="24"/>
        </w:rPr>
      </w:pPr>
      <w:r w:rsidRPr="00026EEC">
        <w:rPr>
          <w:rFonts w:ascii="Simplified Arabic" w:hAnsi="Simplified Arabic" w:cs="Simplified Arabic"/>
          <w:b/>
          <w:bCs/>
          <w:sz w:val="24"/>
          <w:szCs w:val="24"/>
          <w:rtl/>
        </w:rPr>
        <w:t>التوزيع وفقاً للمستوى الوظيفي</w:t>
      </w:r>
    </w:p>
    <w:p w14:paraId="20313671" w14:textId="3EF03CEC"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8</w:t>
      </w:r>
      <w:r w:rsidRPr="00026EEC">
        <w:rPr>
          <w:rStyle w:val="Strong"/>
          <w:rFonts w:ascii="Simplified Arabic" w:hAnsi="Simplified Arabic" w:cs="Simplified Arabic"/>
          <w:rtl/>
        </w:rPr>
        <w:t>): توزيع مفردات العينة وفقاً للمستوى الوظيفي</w:t>
      </w:r>
    </w:p>
    <w:tbl>
      <w:tblPr>
        <w:tblStyle w:val="GridTable1Light-Accent5"/>
        <w:bidiVisual/>
        <w:tblW w:w="0" w:type="auto"/>
        <w:jc w:val="center"/>
        <w:tblLook w:val="04A0" w:firstRow="1" w:lastRow="0" w:firstColumn="1" w:lastColumn="0" w:noHBand="0" w:noVBand="1"/>
      </w:tblPr>
      <w:tblGrid>
        <w:gridCol w:w="1315"/>
        <w:gridCol w:w="664"/>
        <w:gridCol w:w="1062"/>
      </w:tblGrid>
      <w:tr w:rsidR="00AE38FA" w:rsidRPr="0003434F" w14:paraId="326DDE04"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025B0E"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المستوى الوظيفي</w:t>
            </w:r>
          </w:p>
        </w:tc>
        <w:tc>
          <w:tcPr>
            <w:tcW w:w="0" w:type="auto"/>
            <w:vAlign w:val="center"/>
            <w:hideMark/>
          </w:tcPr>
          <w:p w14:paraId="446BDEE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التكرار</w:t>
            </w:r>
          </w:p>
        </w:tc>
        <w:tc>
          <w:tcPr>
            <w:tcW w:w="0" w:type="auto"/>
            <w:vAlign w:val="center"/>
            <w:hideMark/>
          </w:tcPr>
          <w:p w14:paraId="79544F2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النسبة المئوية</w:t>
            </w:r>
          </w:p>
        </w:tc>
      </w:tr>
      <w:tr w:rsidR="00AE38FA" w:rsidRPr="0003434F" w14:paraId="77CEE0A9"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EB1EB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تنفيذي / فني</w:t>
            </w:r>
          </w:p>
        </w:tc>
        <w:tc>
          <w:tcPr>
            <w:tcW w:w="0" w:type="auto"/>
            <w:vAlign w:val="center"/>
            <w:hideMark/>
          </w:tcPr>
          <w:p w14:paraId="46051A9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148</w:t>
            </w:r>
          </w:p>
        </w:tc>
        <w:tc>
          <w:tcPr>
            <w:tcW w:w="0" w:type="auto"/>
            <w:vAlign w:val="center"/>
            <w:hideMark/>
          </w:tcPr>
          <w:p w14:paraId="4CDA8FE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42.0%</w:t>
            </w:r>
          </w:p>
        </w:tc>
      </w:tr>
      <w:tr w:rsidR="00AE38FA" w:rsidRPr="0003434F" w14:paraId="043671EB"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DB47F"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إشرافي</w:t>
            </w:r>
          </w:p>
        </w:tc>
        <w:tc>
          <w:tcPr>
            <w:tcW w:w="0" w:type="auto"/>
            <w:vAlign w:val="center"/>
            <w:hideMark/>
          </w:tcPr>
          <w:p w14:paraId="155244C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104</w:t>
            </w:r>
          </w:p>
        </w:tc>
        <w:tc>
          <w:tcPr>
            <w:tcW w:w="0" w:type="auto"/>
            <w:vAlign w:val="center"/>
            <w:hideMark/>
          </w:tcPr>
          <w:p w14:paraId="10255B9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29.5%</w:t>
            </w:r>
          </w:p>
        </w:tc>
      </w:tr>
      <w:tr w:rsidR="00AE38FA" w:rsidRPr="0003434F" w14:paraId="7B4CFB2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CE63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إدارة وسطى</w:t>
            </w:r>
          </w:p>
        </w:tc>
        <w:tc>
          <w:tcPr>
            <w:tcW w:w="0" w:type="auto"/>
            <w:vAlign w:val="center"/>
            <w:hideMark/>
          </w:tcPr>
          <w:p w14:paraId="64D98FE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72</w:t>
            </w:r>
          </w:p>
        </w:tc>
        <w:tc>
          <w:tcPr>
            <w:tcW w:w="0" w:type="auto"/>
            <w:vAlign w:val="center"/>
            <w:hideMark/>
          </w:tcPr>
          <w:p w14:paraId="097226F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20.5%</w:t>
            </w:r>
          </w:p>
        </w:tc>
      </w:tr>
      <w:tr w:rsidR="00AE38FA" w:rsidRPr="0003434F" w14:paraId="0308BC4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4D4225"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إدارة عليا</w:t>
            </w:r>
          </w:p>
        </w:tc>
        <w:tc>
          <w:tcPr>
            <w:tcW w:w="0" w:type="auto"/>
            <w:vAlign w:val="center"/>
            <w:hideMark/>
          </w:tcPr>
          <w:p w14:paraId="55EF59E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28</w:t>
            </w:r>
          </w:p>
        </w:tc>
        <w:tc>
          <w:tcPr>
            <w:tcW w:w="0" w:type="auto"/>
            <w:vAlign w:val="center"/>
            <w:hideMark/>
          </w:tcPr>
          <w:p w14:paraId="5A58282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8.0%</w:t>
            </w:r>
          </w:p>
        </w:tc>
      </w:tr>
      <w:tr w:rsidR="00AE38FA" w:rsidRPr="0003434F" w14:paraId="53A209F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BC969" w14:textId="77777777" w:rsidR="00AE38FA" w:rsidRPr="0003434F" w:rsidRDefault="00AE38FA"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الإجمالي</w:t>
            </w:r>
          </w:p>
        </w:tc>
        <w:tc>
          <w:tcPr>
            <w:tcW w:w="0" w:type="auto"/>
            <w:vAlign w:val="center"/>
            <w:hideMark/>
          </w:tcPr>
          <w:p w14:paraId="07DA7DE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352</w:t>
            </w:r>
          </w:p>
        </w:tc>
        <w:tc>
          <w:tcPr>
            <w:tcW w:w="0" w:type="auto"/>
            <w:vAlign w:val="center"/>
            <w:hideMark/>
          </w:tcPr>
          <w:p w14:paraId="641D506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100%</w:t>
            </w:r>
          </w:p>
        </w:tc>
      </w:tr>
    </w:tbl>
    <w:p w14:paraId="0A651B88" w14:textId="08ACA449" w:rsidR="00AE38FA" w:rsidRPr="00026EEC" w:rsidRDefault="00AE38FA" w:rsidP="0003434F">
      <w:pPr>
        <w:pStyle w:val="NormalWeb"/>
        <w:bidi/>
        <w:spacing w:before="0" w:beforeAutospacing="0" w:after="0" w:afterAutospacing="0"/>
        <w:ind w:left="-2"/>
        <w:jc w:val="both"/>
        <w:rPr>
          <w:rFonts w:ascii="Simplified Arabic" w:hAnsi="Simplified Arabic" w:cs="Simplified Arabic"/>
          <w:rtl/>
        </w:rPr>
      </w:pPr>
      <w:r w:rsidRPr="00026EEC">
        <w:rPr>
          <w:rFonts w:ascii="Simplified Arabic" w:hAnsi="Simplified Arabic" w:cs="Simplified Arabic"/>
          <w:rtl/>
        </w:rPr>
        <w:t>يتّضح من الجدول (</w:t>
      </w:r>
      <w:r w:rsidR="00302167" w:rsidRPr="00026EEC">
        <w:rPr>
          <w:rFonts w:ascii="Simplified Arabic" w:hAnsi="Simplified Arabic" w:cs="Simplified Arabic"/>
          <w:rtl/>
        </w:rPr>
        <w:t>8</w:t>
      </w:r>
      <w:r w:rsidRPr="00026EEC">
        <w:rPr>
          <w:rFonts w:ascii="Simplified Arabic" w:hAnsi="Simplified Arabic" w:cs="Simplified Arabic"/>
          <w:rtl/>
        </w:rPr>
        <w:t>) أن المستوى التنفيذي/الفني يُشكّل النسبة الأكبر بواقع (42.0%)، يليه المستوى الإشرافي بنسبة (29.5%)، ثم الإدارة الوسطى بنسبة (20.5%)، وأخيراً الإدارة العليا بنسبة (8.0%). ويعكس هذا التوزيع تمثيلاً متنوعاً لجميع المستويات الإدارية، مع تركّز أكبر في المستويين التنفيذي والإشرافي باعتبارهما الأكثر تماساً مع العمليات التشغيلية اليومية لشبكات الكهرباء</w:t>
      </w:r>
      <w:r w:rsidRPr="00026EEC">
        <w:rPr>
          <w:rFonts w:ascii="Simplified Arabic" w:hAnsi="Simplified Arabic" w:cs="Simplified Arabic"/>
        </w:rPr>
        <w:t>.</w:t>
      </w:r>
    </w:p>
    <w:p w14:paraId="64ADD98D" w14:textId="7C0D7D0F" w:rsidR="00302167" w:rsidRPr="00026EEC" w:rsidRDefault="00302167" w:rsidP="00026EEC">
      <w:pPr>
        <w:pStyle w:val="NormalWeb"/>
        <w:numPr>
          <w:ilvl w:val="0"/>
          <w:numId w:val="32"/>
        </w:numPr>
        <w:bidi/>
        <w:spacing w:before="0" w:beforeAutospacing="0" w:after="0" w:afterAutospacing="0"/>
        <w:ind w:left="423"/>
        <w:jc w:val="both"/>
        <w:rPr>
          <w:rFonts w:ascii="Simplified Arabic" w:hAnsi="Simplified Arabic" w:cs="Simplified Arabic"/>
          <w:b/>
          <w:bCs/>
        </w:rPr>
      </w:pPr>
      <w:r w:rsidRPr="00026EEC">
        <w:rPr>
          <w:rFonts w:ascii="Simplified Arabic" w:hAnsi="Simplified Arabic" w:cs="Simplified Arabic"/>
          <w:b/>
          <w:bCs/>
          <w:rtl/>
        </w:rPr>
        <w:t>التوزيع وفقاً للقطاع التشغيلي</w:t>
      </w:r>
    </w:p>
    <w:p w14:paraId="50D599C9" w14:textId="480D5B59" w:rsidR="00AE38FA" w:rsidRPr="00026EEC" w:rsidRDefault="00AE38FA" w:rsidP="00026EEC">
      <w:pPr>
        <w:pStyle w:val="NormalWeb"/>
        <w:bidi/>
        <w:spacing w:before="0" w:beforeAutospacing="0" w:after="0" w:afterAutospacing="0"/>
        <w:ind w:left="-2"/>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9</w:t>
      </w:r>
      <w:r w:rsidRPr="00026EEC">
        <w:rPr>
          <w:rStyle w:val="Strong"/>
          <w:rFonts w:ascii="Simplified Arabic" w:hAnsi="Simplified Arabic" w:cs="Simplified Arabic"/>
          <w:rtl/>
        </w:rPr>
        <w:t>): توزيع مفردات العينة وفقاً للقطاع التشغيلي</w:t>
      </w:r>
    </w:p>
    <w:tbl>
      <w:tblPr>
        <w:tblStyle w:val="GridTable1Light-Accent5"/>
        <w:bidiVisual/>
        <w:tblW w:w="0" w:type="auto"/>
        <w:jc w:val="center"/>
        <w:tblLook w:val="04A0" w:firstRow="1" w:lastRow="0" w:firstColumn="1" w:lastColumn="0" w:noHBand="0" w:noVBand="1"/>
      </w:tblPr>
      <w:tblGrid>
        <w:gridCol w:w="2997"/>
        <w:gridCol w:w="664"/>
        <w:gridCol w:w="1062"/>
      </w:tblGrid>
      <w:tr w:rsidR="00AE38FA" w:rsidRPr="0003434F" w14:paraId="780579FB"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798565"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القطاع التشغيلي</w:t>
            </w:r>
          </w:p>
        </w:tc>
        <w:tc>
          <w:tcPr>
            <w:tcW w:w="0" w:type="auto"/>
            <w:vAlign w:val="center"/>
            <w:hideMark/>
          </w:tcPr>
          <w:p w14:paraId="29FF313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التكرار</w:t>
            </w:r>
          </w:p>
        </w:tc>
        <w:tc>
          <w:tcPr>
            <w:tcW w:w="0" w:type="auto"/>
            <w:vAlign w:val="center"/>
            <w:hideMark/>
          </w:tcPr>
          <w:p w14:paraId="3E0F9CF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النسبة المئوية</w:t>
            </w:r>
          </w:p>
        </w:tc>
      </w:tr>
      <w:tr w:rsidR="00AE38FA" w:rsidRPr="0003434F" w14:paraId="7C5133E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25929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قطاع التوزيع</w:t>
            </w:r>
          </w:p>
        </w:tc>
        <w:tc>
          <w:tcPr>
            <w:tcW w:w="0" w:type="auto"/>
            <w:vAlign w:val="center"/>
            <w:hideMark/>
          </w:tcPr>
          <w:p w14:paraId="0D76516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126</w:t>
            </w:r>
          </w:p>
        </w:tc>
        <w:tc>
          <w:tcPr>
            <w:tcW w:w="0" w:type="auto"/>
            <w:vAlign w:val="center"/>
            <w:hideMark/>
          </w:tcPr>
          <w:p w14:paraId="0F1D910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35.8%</w:t>
            </w:r>
          </w:p>
        </w:tc>
      </w:tr>
      <w:tr w:rsidR="00AE38FA" w:rsidRPr="0003434F" w14:paraId="420A439B"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41CD0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قطاع النقل</w:t>
            </w:r>
          </w:p>
        </w:tc>
        <w:tc>
          <w:tcPr>
            <w:tcW w:w="0" w:type="auto"/>
            <w:vAlign w:val="center"/>
            <w:hideMark/>
          </w:tcPr>
          <w:p w14:paraId="4163A61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82</w:t>
            </w:r>
          </w:p>
        </w:tc>
        <w:tc>
          <w:tcPr>
            <w:tcW w:w="0" w:type="auto"/>
            <w:vAlign w:val="center"/>
            <w:hideMark/>
          </w:tcPr>
          <w:p w14:paraId="26E88A3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23.3%</w:t>
            </w:r>
          </w:p>
        </w:tc>
      </w:tr>
      <w:tr w:rsidR="00AE38FA" w:rsidRPr="0003434F" w14:paraId="4E758A9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D067EE"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التشغيل والصيانة</w:t>
            </w:r>
          </w:p>
        </w:tc>
        <w:tc>
          <w:tcPr>
            <w:tcW w:w="0" w:type="auto"/>
            <w:vAlign w:val="center"/>
            <w:hideMark/>
          </w:tcPr>
          <w:p w14:paraId="3C2FC80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79</w:t>
            </w:r>
          </w:p>
        </w:tc>
        <w:tc>
          <w:tcPr>
            <w:tcW w:w="0" w:type="auto"/>
            <w:vAlign w:val="center"/>
            <w:hideMark/>
          </w:tcPr>
          <w:p w14:paraId="1019F26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22.4%</w:t>
            </w:r>
          </w:p>
        </w:tc>
      </w:tr>
      <w:tr w:rsidR="00AE38FA" w:rsidRPr="0003434F" w14:paraId="3F77A5D4"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53E5DC"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المخاطر والتخطيط والأنظمة الذكية والجودة</w:t>
            </w:r>
          </w:p>
        </w:tc>
        <w:tc>
          <w:tcPr>
            <w:tcW w:w="0" w:type="auto"/>
            <w:vAlign w:val="center"/>
            <w:hideMark/>
          </w:tcPr>
          <w:p w14:paraId="43A5D23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65</w:t>
            </w:r>
          </w:p>
        </w:tc>
        <w:tc>
          <w:tcPr>
            <w:tcW w:w="0" w:type="auto"/>
            <w:vAlign w:val="center"/>
            <w:hideMark/>
          </w:tcPr>
          <w:p w14:paraId="4B7E185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18.5%</w:t>
            </w:r>
          </w:p>
        </w:tc>
      </w:tr>
      <w:tr w:rsidR="00AE38FA" w:rsidRPr="0003434F" w14:paraId="7013391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219E04" w14:textId="77777777" w:rsidR="00AE38FA" w:rsidRPr="0003434F" w:rsidRDefault="00AE38FA"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الإجمالي</w:t>
            </w:r>
          </w:p>
        </w:tc>
        <w:tc>
          <w:tcPr>
            <w:tcW w:w="0" w:type="auto"/>
            <w:vAlign w:val="center"/>
            <w:hideMark/>
          </w:tcPr>
          <w:p w14:paraId="60B7DDC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352</w:t>
            </w:r>
          </w:p>
        </w:tc>
        <w:tc>
          <w:tcPr>
            <w:tcW w:w="0" w:type="auto"/>
            <w:vAlign w:val="center"/>
            <w:hideMark/>
          </w:tcPr>
          <w:p w14:paraId="08C45C3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100%</w:t>
            </w:r>
          </w:p>
        </w:tc>
      </w:tr>
    </w:tbl>
    <w:p w14:paraId="2C814820" w14:textId="2B622126" w:rsidR="00AE38FA" w:rsidRPr="00026EEC" w:rsidRDefault="00AE38FA" w:rsidP="0003434F">
      <w:pPr>
        <w:pStyle w:val="NormalWeb"/>
        <w:bidi/>
        <w:spacing w:before="0" w:beforeAutospacing="0" w:after="0" w:afterAutospacing="0"/>
        <w:ind w:left="-2"/>
        <w:jc w:val="both"/>
        <w:rPr>
          <w:rFonts w:ascii="Simplified Arabic" w:hAnsi="Simplified Arabic" w:cs="Simplified Arabic"/>
        </w:rPr>
      </w:pPr>
      <w:r w:rsidRPr="00026EEC">
        <w:rPr>
          <w:rFonts w:ascii="Simplified Arabic" w:hAnsi="Simplified Arabic" w:cs="Simplified Arabic"/>
          <w:rtl/>
        </w:rPr>
        <w:lastRenderedPageBreak/>
        <w:t>يتّضح من الجدول (</w:t>
      </w:r>
      <w:r w:rsidR="00327C81" w:rsidRPr="00026EEC">
        <w:rPr>
          <w:rFonts w:ascii="Simplified Arabic" w:hAnsi="Simplified Arabic" w:cs="Simplified Arabic"/>
          <w:rtl/>
        </w:rPr>
        <w:t>9</w:t>
      </w:r>
      <w:r w:rsidRPr="00026EEC">
        <w:rPr>
          <w:rFonts w:ascii="Simplified Arabic" w:hAnsi="Simplified Arabic" w:cs="Simplified Arabic"/>
          <w:rtl/>
        </w:rPr>
        <w:t>) أن قطاع التوزيع يُمثّل الشريحة الأكبر بنسبة (35.8%)، يليه قطاع النقل بنسبة (23.3%)، ثم إدارة التشغيل والصيانة بنسبة (22.4%)، وأخيراً إدارات المخاطر والتخطيط والأنظمة الذكية والجودة بنسبة (18.5%). ويتّسق هذا التوزيع مع الحجم النسبي لكل قطاع في الهيكل التنظيمي للشركة السعودية للكهرباء، مما يُؤكّد تناسبية العينة مع مجتمع الدراسة</w:t>
      </w:r>
      <w:r w:rsidRPr="00026EEC">
        <w:rPr>
          <w:rFonts w:ascii="Simplified Arabic" w:hAnsi="Simplified Arabic" w:cs="Simplified Arabic"/>
        </w:rPr>
        <w:t>.</w:t>
      </w:r>
    </w:p>
    <w:p w14:paraId="76B8AC58" w14:textId="4F3BAC36" w:rsidR="00AE38FA" w:rsidRPr="00026EEC" w:rsidRDefault="0027638E" w:rsidP="00026EEC">
      <w:pPr>
        <w:spacing w:after="0" w:line="240" w:lineRule="auto"/>
        <w:jc w:val="both"/>
        <w:outlineLvl w:val="1"/>
        <w:rPr>
          <w:rFonts w:ascii="Simplified Arabic" w:hAnsi="Simplified Arabic" w:cs="Simplified Arabic"/>
          <w:b/>
          <w:bCs/>
          <w:sz w:val="24"/>
          <w:szCs w:val="24"/>
        </w:rPr>
      </w:pPr>
      <w:bookmarkStart w:id="31" w:name="_Toc223386551"/>
      <w:r w:rsidRPr="00026EEC">
        <w:rPr>
          <w:rFonts w:ascii="Simplified Arabic" w:hAnsi="Simplified Arabic" w:cs="Simplified Arabic"/>
          <w:b/>
          <w:bCs/>
          <w:sz w:val="24"/>
          <w:szCs w:val="24"/>
          <w:rtl/>
        </w:rPr>
        <w:t>التحليل الوصفي لمتغيرات الدراسة</w:t>
      </w:r>
      <w:bookmarkEnd w:id="31"/>
    </w:p>
    <w:p w14:paraId="35D4E6A3" w14:textId="77777777" w:rsidR="00AE38FA" w:rsidRPr="00026EEC" w:rsidRDefault="00AE38FA" w:rsidP="0003434F">
      <w:pPr>
        <w:pStyle w:val="NormalWeb"/>
        <w:bidi/>
        <w:spacing w:before="0" w:beforeAutospacing="0" w:after="0" w:afterAutospacing="0"/>
        <w:ind w:left="-2"/>
        <w:jc w:val="both"/>
        <w:rPr>
          <w:rFonts w:ascii="Simplified Arabic" w:hAnsi="Simplified Arabic" w:cs="Simplified Arabic"/>
          <w:rtl/>
        </w:rPr>
      </w:pPr>
      <w:r w:rsidRPr="00026EEC">
        <w:rPr>
          <w:rFonts w:ascii="Simplified Arabic" w:hAnsi="Simplified Arabic" w:cs="Simplified Arabic"/>
          <w:rtl/>
        </w:rPr>
        <w:t>يتناول هذا القسم عرض المتوسطات الحسابية والانحرافات المعيارية لاستجابات مفردات العينة على فقرات أبعاد المتغير المستقل (إدارة المخاطر التشغيلية المتقدمة) والمتغير التابع (الحدّ من الخسائر الفنية وتحسين الكفاءة التشغيلية)، مع ترتيب الفقرات وفقاً لمتوسطاتها الحسابية</w:t>
      </w:r>
      <w:r w:rsidRPr="00026EEC">
        <w:rPr>
          <w:rFonts w:ascii="Simplified Arabic" w:hAnsi="Simplified Arabic" w:cs="Simplified Arabic"/>
        </w:rPr>
        <w:t>.</w:t>
      </w:r>
    </w:p>
    <w:p w14:paraId="56A96005" w14:textId="35AED566" w:rsidR="00327C81" w:rsidRPr="00026EEC" w:rsidRDefault="00327C81" w:rsidP="00026EEC">
      <w:pPr>
        <w:pStyle w:val="NormalWeb"/>
        <w:numPr>
          <w:ilvl w:val="0"/>
          <w:numId w:val="33"/>
        </w:numPr>
        <w:bidi/>
        <w:spacing w:before="0" w:beforeAutospacing="0" w:after="0" w:afterAutospacing="0"/>
        <w:ind w:left="423"/>
        <w:rPr>
          <w:rFonts w:ascii="Simplified Arabic" w:hAnsi="Simplified Arabic" w:cs="Simplified Arabic"/>
          <w:b/>
          <w:bCs/>
          <w:rtl/>
        </w:rPr>
      </w:pPr>
      <w:r w:rsidRPr="00026EEC">
        <w:rPr>
          <w:rFonts w:ascii="Simplified Arabic" w:hAnsi="Simplified Arabic" w:cs="Simplified Arabic"/>
          <w:b/>
          <w:bCs/>
          <w:rtl/>
        </w:rPr>
        <w:t>التحليل الوصفي لأبعاد المتغير المستقل (إ</w:t>
      </w:r>
      <w:r w:rsidR="0027638E" w:rsidRPr="00026EEC">
        <w:rPr>
          <w:rFonts w:ascii="Simplified Arabic" w:hAnsi="Simplified Arabic" w:cs="Simplified Arabic"/>
          <w:b/>
          <w:bCs/>
          <w:rtl/>
        </w:rPr>
        <w:t>دارة المخاطر التشغيلية المتقدمة</w:t>
      </w:r>
    </w:p>
    <w:p w14:paraId="3677FFC7" w14:textId="3AD57C34" w:rsidR="00327C81" w:rsidRPr="00026EEC" w:rsidRDefault="00327C81" w:rsidP="00026EEC">
      <w:pPr>
        <w:pStyle w:val="NormalWeb"/>
        <w:bidi/>
        <w:spacing w:before="0" w:beforeAutospacing="0" w:after="0" w:afterAutospacing="0"/>
        <w:ind w:left="-2"/>
        <w:jc w:val="both"/>
        <w:rPr>
          <w:rFonts w:ascii="Simplified Arabic" w:hAnsi="Simplified Arabic" w:cs="Simplified Arabic"/>
          <w:b/>
          <w:bCs/>
        </w:rPr>
      </w:pPr>
      <w:r w:rsidRPr="00026EEC">
        <w:rPr>
          <w:rFonts w:ascii="Simplified Arabic" w:hAnsi="Simplified Arabic" w:cs="Simplified Arabic"/>
          <w:b/>
          <w:bCs/>
          <w:rtl/>
        </w:rPr>
        <w:t>أ. البُعد الأول: أدوات تقييم المخاطر التشغيلية</w:t>
      </w:r>
    </w:p>
    <w:p w14:paraId="5AA80B86" w14:textId="49BB63AD" w:rsidR="00AE38FA" w:rsidRPr="00026EEC" w:rsidRDefault="00AE38FA" w:rsidP="00026EEC">
      <w:pPr>
        <w:pStyle w:val="NormalWeb"/>
        <w:bidi/>
        <w:spacing w:before="0" w:beforeAutospacing="0" w:after="0" w:afterAutospacing="0"/>
        <w:ind w:left="36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10</w:t>
      </w:r>
      <w:r w:rsidRPr="00026EEC">
        <w:rPr>
          <w:rStyle w:val="Strong"/>
          <w:rFonts w:ascii="Simplified Arabic" w:hAnsi="Simplified Arabic" w:cs="Simplified Arabic"/>
          <w:rtl/>
        </w:rPr>
        <w:t>): المتوسطات الحسابية والانحرافات المعيارية لفقرات بُعد أدوات تقييم المخاطر التشغيلية</w:t>
      </w:r>
    </w:p>
    <w:tbl>
      <w:tblPr>
        <w:tblStyle w:val="GridTable1Light-Accent5"/>
        <w:bidiVisual/>
        <w:tblW w:w="0" w:type="auto"/>
        <w:jc w:val="center"/>
        <w:tblLook w:val="04A0" w:firstRow="1" w:lastRow="0" w:firstColumn="1" w:lastColumn="0" w:noHBand="0" w:noVBand="1"/>
      </w:tblPr>
      <w:tblGrid>
        <w:gridCol w:w="518"/>
        <w:gridCol w:w="3885"/>
        <w:gridCol w:w="949"/>
        <w:gridCol w:w="1050"/>
        <w:gridCol w:w="686"/>
        <w:gridCol w:w="840"/>
      </w:tblGrid>
      <w:tr w:rsidR="00AE38FA" w:rsidRPr="0003434F" w14:paraId="6856288B" w14:textId="77777777" w:rsidTr="0027638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CF0498"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الرقم</w:t>
            </w:r>
          </w:p>
        </w:tc>
        <w:tc>
          <w:tcPr>
            <w:tcW w:w="0" w:type="auto"/>
            <w:vAlign w:val="center"/>
            <w:hideMark/>
          </w:tcPr>
          <w:p w14:paraId="4FF0312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الفقرة</w:t>
            </w:r>
          </w:p>
        </w:tc>
        <w:tc>
          <w:tcPr>
            <w:tcW w:w="0" w:type="auto"/>
            <w:vAlign w:val="center"/>
            <w:hideMark/>
          </w:tcPr>
          <w:p w14:paraId="4C9AA1C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633D056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3704ACB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4962A4B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4E4797ED"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5E4672"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w:t>
            </w:r>
          </w:p>
        </w:tc>
        <w:tc>
          <w:tcPr>
            <w:tcW w:w="0" w:type="auto"/>
            <w:vAlign w:val="center"/>
            <w:hideMark/>
          </w:tcPr>
          <w:p w14:paraId="57C1571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تمتلك الشركة منظومة مؤشرات مخاطر رئيسية تُمكّن من الرصد المستمر للتغيرات في مستويات المخاطر التشغيلية للشبكة الكهربائية</w:t>
            </w:r>
          </w:p>
        </w:tc>
        <w:tc>
          <w:tcPr>
            <w:tcW w:w="0" w:type="auto"/>
            <w:vAlign w:val="center"/>
            <w:hideMark/>
          </w:tcPr>
          <w:p w14:paraId="2F37A2E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3.91</w:t>
            </w:r>
          </w:p>
        </w:tc>
        <w:tc>
          <w:tcPr>
            <w:tcW w:w="0" w:type="auto"/>
            <w:vAlign w:val="center"/>
            <w:hideMark/>
          </w:tcPr>
          <w:p w14:paraId="0470D6E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0.824</w:t>
            </w:r>
          </w:p>
        </w:tc>
        <w:tc>
          <w:tcPr>
            <w:tcW w:w="0" w:type="auto"/>
            <w:vAlign w:val="center"/>
            <w:hideMark/>
          </w:tcPr>
          <w:p w14:paraId="77F0253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52D19B8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2306745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9C46C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w:t>
            </w:r>
          </w:p>
        </w:tc>
        <w:tc>
          <w:tcPr>
            <w:tcW w:w="0" w:type="auto"/>
            <w:vAlign w:val="center"/>
            <w:hideMark/>
          </w:tcPr>
          <w:p w14:paraId="2554E8F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تعتمد الشركة على أدوات تقييم كمّية ونوعية متقدمة لتحديد المخاطر التشغيلية وتصنيفها وفق مستويات الاحتمالية والأثر</w:t>
            </w:r>
          </w:p>
        </w:tc>
        <w:tc>
          <w:tcPr>
            <w:tcW w:w="0" w:type="auto"/>
            <w:vAlign w:val="center"/>
            <w:hideMark/>
          </w:tcPr>
          <w:p w14:paraId="4578F71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3.84</w:t>
            </w:r>
          </w:p>
        </w:tc>
        <w:tc>
          <w:tcPr>
            <w:tcW w:w="0" w:type="auto"/>
            <w:vAlign w:val="center"/>
            <w:hideMark/>
          </w:tcPr>
          <w:p w14:paraId="4CABCDC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0.857</w:t>
            </w:r>
          </w:p>
        </w:tc>
        <w:tc>
          <w:tcPr>
            <w:tcW w:w="0" w:type="auto"/>
            <w:vAlign w:val="center"/>
            <w:hideMark/>
          </w:tcPr>
          <w:p w14:paraId="7602FDE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w:t>
            </w:r>
          </w:p>
        </w:tc>
        <w:tc>
          <w:tcPr>
            <w:tcW w:w="0" w:type="auto"/>
            <w:vAlign w:val="center"/>
            <w:hideMark/>
          </w:tcPr>
          <w:p w14:paraId="6BD344E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1836CEB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9BFD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4</w:t>
            </w:r>
          </w:p>
        </w:tc>
        <w:tc>
          <w:tcPr>
            <w:tcW w:w="0" w:type="auto"/>
            <w:vAlign w:val="center"/>
            <w:hideMark/>
          </w:tcPr>
          <w:p w14:paraId="10306DB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تستخدم الشركة نماذج تحليل السيناريوهات ومصفوفات المخاطر لتقدير الآثار المحتملة للمخاطر التشغيلية على أداء الشبكة الكهربائية</w:t>
            </w:r>
          </w:p>
        </w:tc>
        <w:tc>
          <w:tcPr>
            <w:tcW w:w="0" w:type="auto"/>
            <w:vAlign w:val="center"/>
            <w:hideMark/>
          </w:tcPr>
          <w:p w14:paraId="2CEE1FE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3.72</w:t>
            </w:r>
          </w:p>
        </w:tc>
        <w:tc>
          <w:tcPr>
            <w:tcW w:w="0" w:type="auto"/>
            <w:vAlign w:val="center"/>
            <w:hideMark/>
          </w:tcPr>
          <w:p w14:paraId="464AEEF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0.903</w:t>
            </w:r>
          </w:p>
        </w:tc>
        <w:tc>
          <w:tcPr>
            <w:tcW w:w="0" w:type="auto"/>
            <w:vAlign w:val="center"/>
            <w:hideMark/>
          </w:tcPr>
          <w:p w14:paraId="43BEFC0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w:t>
            </w:r>
          </w:p>
        </w:tc>
        <w:tc>
          <w:tcPr>
            <w:tcW w:w="0" w:type="auto"/>
            <w:vAlign w:val="center"/>
            <w:hideMark/>
          </w:tcPr>
          <w:p w14:paraId="10D6B6F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5AD6A98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53546"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3</w:t>
            </w:r>
          </w:p>
        </w:tc>
        <w:tc>
          <w:tcPr>
            <w:tcW w:w="0" w:type="auto"/>
            <w:vAlign w:val="center"/>
            <w:hideMark/>
          </w:tcPr>
          <w:p w14:paraId="21F97C6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تُجري الشركة تقييمات ذاتية دورية لمخاطرها التشغيلية تشمل مراجعة كفاية ضوابط الرقابة الداخلية في جميع القطاعات التشغيلية</w:t>
            </w:r>
          </w:p>
        </w:tc>
        <w:tc>
          <w:tcPr>
            <w:tcW w:w="0" w:type="auto"/>
            <w:vAlign w:val="center"/>
            <w:hideMark/>
          </w:tcPr>
          <w:p w14:paraId="7B2610D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3.68</w:t>
            </w:r>
          </w:p>
        </w:tc>
        <w:tc>
          <w:tcPr>
            <w:tcW w:w="0" w:type="auto"/>
            <w:vAlign w:val="center"/>
            <w:hideMark/>
          </w:tcPr>
          <w:p w14:paraId="7E612CB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0.891</w:t>
            </w:r>
          </w:p>
        </w:tc>
        <w:tc>
          <w:tcPr>
            <w:tcW w:w="0" w:type="auto"/>
            <w:vAlign w:val="center"/>
            <w:hideMark/>
          </w:tcPr>
          <w:p w14:paraId="70FD919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w:t>
            </w:r>
          </w:p>
        </w:tc>
        <w:tc>
          <w:tcPr>
            <w:tcW w:w="0" w:type="auto"/>
            <w:vAlign w:val="center"/>
            <w:hideMark/>
          </w:tcPr>
          <w:p w14:paraId="4AC74CB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327C81" w:rsidRPr="0003434F" w14:paraId="2E9EDFCA"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E534022" w14:textId="77777777" w:rsidR="00327C81" w:rsidRPr="0003434F" w:rsidRDefault="00327C81"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المتوسط العام للبُعد</w:t>
            </w:r>
          </w:p>
        </w:tc>
        <w:tc>
          <w:tcPr>
            <w:tcW w:w="0" w:type="auto"/>
            <w:vAlign w:val="center"/>
            <w:hideMark/>
          </w:tcPr>
          <w:p w14:paraId="1AD03D95"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3.79</w:t>
            </w:r>
          </w:p>
        </w:tc>
        <w:tc>
          <w:tcPr>
            <w:tcW w:w="0" w:type="auto"/>
            <w:vAlign w:val="center"/>
            <w:hideMark/>
          </w:tcPr>
          <w:p w14:paraId="41D73FD1"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0.769</w:t>
            </w:r>
          </w:p>
        </w:tc>
        <w:tc>
          <w:tcPr>
            <w:tcW w:w="0" w:type="auto"/>
            <w:vAlign w:val="center"/>
            <w:hideMark/>
          </w:tcPr>
          <w:p w14:paraId="79B801B9"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c>
          <w:tcPr>
            <w:tcW w:w="0" w:type="auto"/>
            <w:vAlign w:val="center"/>
            <w:hideMark/>
          </w:tcPr>
          <w:p w14:paraId="23271D61"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1FFC2226" w14:textId="5EFA789B" w:rsidR="00AE38FA" w:rsidRPr="00026EEC" w:rsidRDefault="00AE38FA" w:rsidP="0003434F">
      <w:pPr>
        <w:pStyle w:val="NormalWeb"/>
        <w:bidi/>
        <w:spacing w:before="0" w:beforeAutospacing="0" w:after="0" w:afterAutospacing="0"/>
        <w:ind w:left="-2"/>
        <w:jc w:val="both"/>
        <w:rPr>
          <w:rFonts w:ascii="Simplified Arabic" w:hAnsi="Simplified Arabic" w:cs="Simplified Arabic"/>
          <w:rtl/>
        </w:rPr>
      </w:pPr>
      <w:r w:rsidRPr="00026EEC">
        <w:rPr>
          <w:rFonts w:ascii="Simplified Arabic" w:hAnsi="Simplified Arabic" w:cs="Simplified Arabic"/>
          <w:rtl/>
        </w:rPr>
        <w:t>يتّضح من الجدول  أن المتوسط العام لبُعد أدوات تقييم المخاطر التشغيلية بلغ (3.79) بانحراف معياري (0.769)، وهو يقع ضمن مستوى الموافقة المرتفعة، مما يُشير إلى أن مفردات العينة يُدركون وجود أدوات تقييم متقدمة نسبياً للمخاطر التشغيلية في الشركة السعودية للكهرباء. وقد جاءت الفقرة المتعلقة بامتلاك الشركة لمنظومة مؤشرات مخاطر رئيسية في المرتبة الأولى بمتوسط (3.91)، بينما جاءت الفقرة المتعلقة بالتقييمات الذاتية الدورية في المرتبة الأخيرة بمتوسط (3.68)، مما قد يُشير إلى حاجة لتعزيز ممارسات التقييم الذاتي الدوري للمخاطر</w:t>
      </w:r>
      <w:r w:rsidRPr="00026EEC">
        <w:rPr>
          <w:rFonts w:ascii="Simplified Arabic" w:hAnsi="Simplified Arabic" w:cs="Simplified Arabic"/>
        </w:rPr>
        <w:t>.</w:t>
      </w:r>
    </w:p>
    <w:p w14:paraId="6AEE3B03" w14:textId="3F4A7F11" w:rsidR="0027638E" w:rsidRPr="00026EEC" w:rsidRDefault="0027638E" w:rsidP="00026EEC">
      <w:pPr>
        <w:spacing w:after="0" w:line="240" w:lineRule="auto"/>
        <w:rPr>
          <w:rFonts w:ascii="Simplified Arabic" w:hAnsi="Simplified Arabic" w:cs="Simplified Arabic"/>
          <w:b/>
          <w:bCs/>
          <w:sz w:val="24"/>
          <w:szCs w:val="24"/>
        </w:rPr>
      </w:pPr>
      <w:r w:rsidRPr="00026EEC">
        <w:rPr>
          <w:rFonts w:ascii="Simplified Arabic" w:hAnsi="Simplified Arabic" w:cs="Simplified Arabic"/>
          <w:b/>
          <w:bCs/>
          <w:sz w:val="24"/>
          <w:szCs w:val="24"/>
          <w:rtl/>
        </w:rPr>
        <w:t>ب. البُعد الثاني: استراتيجيات الاستجابة للمخاطر</w:t>
      </w:r>
    </w:p>
    <w:p w14:paraId="4F5016BD" w14:textId="78E2093E"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11</w:t>
      </w:r>
      <w:r w:rsidRPr="00026EEC">
        <w:rPr>
          <w:rStyle w:val="Strong"/>
          <w:rFonts w:ascii="Simplified Arabic" w:hAnsi="Simplified Arabic" w:cs="Simplified Arabic"/>
          <w:rtl/>
        </w:rPr>
        <w:t>): المتوسطات الحسابية والانحرافات المعيارية لفقرات بُعد استراتيجيات الاستجابة للمخاطر</w:t>
      </w:r>
    </w:p>
    <w:tbl>
      <w:tblPr>
        <w:tblStyle w:val="GridTable1Light-Accent5"/>
        <w:bidiVisual/>
        <w:tblW w:w="0" w:type="auto"/>
        <w:jc w:val="center"/>
        <w:tblLook w:val="04A0" w:firstRow="1" w:lastRow="0" w:firstColumn="1" w:lastColumn="0" w:noHBand="0" w:noVBand="1"/>
      </w:tblPr>
      <w:tblGrid>
        <w:gridCol w:w="518"/>
        <w:gridCol w:w="3885"/>
        <w:gridCol w:w="949"/>
        <w:gridCol w:w="1050"/>
        <w:gridCol w:w="686"/>
        <w:gridCol w:w="840"/>
      </w:tblGrid>
      <w:tr w:rsidR="00AE38FA" w:rsidRPr="0003434F" w14:paraId="30E41609"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851E83"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الرقم</w:t>
            </w:r>
          </w:p>
        </w:tc>
        <w:tc>
          <w:tcPr>
            <w:tcW w:w="0" w:type="auto"/>
            <w:vAlign w:val="center"/>
            <w:hideMark/>
          </w:tcPr>
          <w:p w14:paraId="63F056DD"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الفقرة</w:t>
            </w:r>
          </w:p>
        </w:tc>
        <w:tc>
          <w:tcPr>
            <w:tcW w:w="0" w:type="auto"/>
            <w:vAlign w:val="center"/>
            <w:hideMark/>
          </w:tcPr>
          <w:p w14:paraId="16413CD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5FC8EFA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3A9EE62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7CF07C7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7DC3DCAE"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2E164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lastRenderedPageBreak/>
              <w:t>7</w:t>
            </w:r>
          </w:p>
        </w:tc>
        <w:tc>
          <w:tcPr>
            <w:tcW w:w="0" w:type="auto"/>
            <w:vAlign w:val="center"/>
            <w:hideMark/>
          </w:tcPr>
          <w:p w14:paraId="3819BF2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تعتمد الشركة على آليات تصعيد واضحة ومحددة المسؤوليات لضمان سرعة الاستجابة للمخاطر التشغيلية وفقاً لمستوى خطورتها</w:t>
            </w:r>
          </w:p>
        </w:tc>
        <w:tc>
          <w:tcPr>
            <w:tcW w:w="0" w:type="auto"/>
            <w:vAlign w:val="center"/>
            <w:hideMark/>
          </w:tcPr>
          <w:p w14:paraId="4EC6B30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3.87</w:t>
            </w:r>
          </w:p>
        </w:tc>
        <w:tc>
          <w:tcPr>
            <w:tcW w:w="0" w:type="auto"/>
            <w:vAlign w:val="center"/>
            <w:hideMark/>
          </w:tcPr>
          <w:p w14:paraId="37CDE88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0.812</w:t>
            </w:r>
          </w:p>
        </w:tc>
        <w:tc>
          <w:tcPr>
            <w:tcW w:w="0" w:type="auto"/>
            <w:vAlign w:val="center"/>
            <w:hideMark/>
          </w:tcPr>
          <w:p w14:paraId="715F7C7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77366B6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5495B479"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F6064E"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5</w:t>
            </w:r>
          </w:p>
        </w:tc>
        <w:tc>
          <w:tcPr>
            <w:tcW w:w="0" w:type="auto"/>
            <w:vAlign w:val="center"/>
            <w:hideMark/>
          </w:tcPr>
          <w:p w14:paraId="425CCB5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تتبنّى الشركة استراتيجيات استجابة متنوعة للمخاطر التشغيلية تتناسب مع طبيعة كل خطر ومستوى حدّته وسياقه التشغيلي</w:t>
            </w:r>
          </w:p>
        </w:tc>
        <w:tc>
          <w:tcPr>
            <w:tcW w:w="0" w:type="auto"/>
            <w:vAlign w:val="center"/>
            <w:hideMark/>
          </w:tcPr>
          <w:p w14:paraId="7CF246E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3.81</w:t>
            </w:r>
          </w:p>
        </w:tc>
        <w:tc>
          <w:tcPr>
            <w:tcW w:w="0" w:type="auto"/>
            <w:vAlign w:val="center"/>
            <w:hideMark/>
          </w:tcPr>
          <w:p w14:paraId="7597453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0.843</w:t>
            </w:r>
          </w:p>
        </w:tc>
        <w:tc>
          <w:tcPr>
            <w:tcW w:w="0" w:type="auto"/>
            <w:vAlign w:val="center"/>
            <w:hideMark/>
          </w:tcPr>
          <w:p w14:paraId="4747307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w:t>
            </w:r>
          </w:p>
        </w:tc>
        <w:tc>
          <w:tcPr>
            <w:tcW w:w="0" w:type="auto"/>
            <w:vAlign w:val="center"/>
            <w:hideMark/>
          </w:tcPr>
          <w:p w14:paraId="111B04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3E905181"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397647"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6</w:t>
            </w:r>
          </w:p>
        </w:tc>
        <w:tc>
          <w:tcPr>
            <w:tcW w:w="0" w:type="auto"/>
            <w:vAlign w:val="center"/>
            <w:hideMark/>
          </w:tcPr>
          <w:p w14:paraId="4D7B3FF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تمتلك الشركة خطط استجابة مرنة وموثّقة لحالات الطوارئ التشغيلية تُحدَّث دورياً وتُختبر من خلال تمارين محاكاة منتظمة</w:t>
            </w:r>
          </w:p>
        </w:tc>
        <w:tc>
          <w:tcPr>
            <w:tcW w:w="0" w:type="auto"/>
            <w:vAlign w:val="center"/>
            <w:hideMark/>
          </w:tcPr>
          <w:p w14:paraId="0C52774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3.74</w:t>
            </w:r>
          </w:p>
        </w:tc>
        <w:tc>
          <w:tcPr>
            <w:tcW w:w="0" w:type="auto"/>
            <w:vAlign w:val="center"/>
            <w:hideMark/>
          </w:tcPr>
          <w:p w14:paraId="52B5776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0.876</w:t>
            </w:r>
          </w:p>
        </w:tc>
        <w:tc>
          <w:tcPr>
            <w:tcW w:w="0" w:type="auto"/>
            <w:vAlign w:val="center"/>
            <w:hideMark/>
          </w:tcPr>
          <w:p w14:paraId="16B2FAF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w:t>
            </w:r>
          </w:p>
        </w:tc>
        <w:tc>
          <w:tcPr>
            <w:tcW w:w="0" w:type="auto"/>
            <w:vAlign w:val="center"/>
            <w:hideMark/>
          </w:tcPr>
          <w:p w14:paraId="6B51DCC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2F3C0A1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93A225"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8</w:t>
            </w:r>
          </w:p>
        </w:tc>
        <w:tc>
          <w:tcPr>
            <w:tcW w:w="0" w:type="auto"/>
            <w:vAlign w:val="center"/>
            <w:hideMark/>
          </w:tcPr>
          <w:p w14:paraId="57C04EF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تُراجع الشركة فاعلية استراتيجيات الاستجابة للمخاطر بصورة دورية وتُعدّلها بناءً على الدروس المستفادة من الأحداث التشغيلية السابقة</w:t>
            </w:r>
          </w:p>
        </w:tc>
        <w:tc>
          <w:tcPr>
            <w:tcW w:w="0" w:type="auto"/>
            <w:vAlign w:val="center"/>
            <w:hideMark/>
          </w:tcPr>
          <w:p w14:paraId="07A143C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3.69</w:t>
            </w:r>
          </w:p>
        </w:tc>
        <w:tc>
          <w:tcPr>
            <w:tcW w:w="0" w:type="auto"/>
            <w:vAlign w:val="center"/>
            <w:hideMark/>
          </w:tcPr>
          <w:p w14:paraId="50B2D78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0.918</w:t>
            </w:r>
          </w:p>
        </w:tc>
        <w:tc>
          <w:tcPr>
            <w:tcW w:w="0" w:type="auto"/>
            <w:vAlign w:val="center"/>
            <w:hideMark/>
          </w:tcPr>
          <w:p w14:paraId="7804326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w:t>
            </w:r>
          </w:p>
        </w:tc>
        <w:tc>
          <w:tcPr>
            <w:tcW w:w="0" w:type="auto"/>
            <w:vAlign w:val="center"/>
            <w:hideMark/>
          </w:tcPr>
          <w:p w14:paraId="540DC49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27638E" w:rsidRPr="0003434F" w14:paraId="24B8F016" w14:textId="77777777" w:rsidTr="001E589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408C33D" w14:textId="77777777" w:rsidR="0027638E" w:rsidRPr="0003434F" w:rsidRDefault="0027638E" w:rsidP="00026EEC">
            <w:pPr>
              <w:jc w:val="center"/>
              <w:rPr>
                <w:rFonts w:ascii="Simplified Arabic" w:hAnsi="Simplified Arabic" w:cs="Simplified Arabic"/>
                <w:sz w:val="20"/>
                <w:szCs w:val="20"/>
              </w:rPr>
            </w:pPr>
            <w:r w:rsidRPr="0003434F">
              <w:rPr>
                <w:rStyle w:val="Strong"/>
                <w:rFonts w:ascii="Simplified Arabic" w:hAnsi="Simplified Arabic" w:cs="Simplified Arabic"/>
                <w:b/>
                <w:bCs/>
                <w:sz w:val="20"/>
                <w:szCs w:val="20"/>
                <w:rtl/>
              </w:rPr>
              <w:t>المتوسط العام للبُعد</w:t>
            </w:r>
          </w:p>
        </w:tc>
        <w:tc>
          <w:tcPr>
            <w:tcW w:w="0" w:type="auto"/>
            <w:vAlign w:val="center"/>
            <w:hideMark/>
          </w:tcPr>
          <w:p w14:paraId="6F36EC73"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3.78</w:t>
            </w:r>
          </w:p>
        </w:tc>
        <w:tc>
          <w:tcPr>
            <w:tcW w:w="0" w:type="auto"/>
            <w:vAlign w:val="center"/>
            <w:hideMark/>
          </w:tcPr>
          <w:p w14:paraId="2919EA32"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0.781</w:t>
            </w:r>
          </w:p>
        </w:tc>
        <w:tc>
          <w:tcPr>
            <w:tcW w:w="0" w:type="auto"/>
            <w:vAlign w:val="center"/>
            <w:hideMark/>
          </w:tcPr>
          <w:p w14:paraId="623A41B9"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c>
          <w:tcPr>
            <w:tcW w:w="0" w:type="auto"/>
            <w:vAlign w:val="center"/>
            <w:hideMark/>
          </w:tcPr>
          <w:p w14:paraId="6FF853EF"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65DF43FF" w14:textId="51577D39" w:rsidR="00AE38FA" w:rsidRPr="00026EEC" w:rsidRDefault="00AE38FA" w:rsidP="0003434F">
      <w:pPr>
        <w:pStyle w:val="NormalWeb"/>
        <w:bidi/>
        <w:spacing w:before="0" w:beforeAutospacing="0" w:after="0" w:afterAutospacing="0"/>
        <w:jc w:val="both"/>
        <w:rPr>
          <w:rFonts w:ascii="Simplified Arabic" w:hAnsi="Simplified Arabic" w:cs="Simplified Arabic"/>
          <w:rtl/>
        </w:rPr>
      </w:pPr>
      <w:r w:rsidRPr="00026EEC">
        <w:rPr>
          <w:rFonts w:ascii="Simplified Arabic" w:hAnsi="Simplified Arabic" w:cs="Simplified Arabic"/>
          <w:rtl/>
        </w:rPr>
        <w:t>يتّضح من الجدول أن المتوسط العام لبُعد استراتيجيات الاستجابة للمخاطر بلغ (3.78) بانحراف معياري (0.781)، وهو يقع ضمن مستوى الموافقة المرتفعة. وقد جاءت الفقرة المتعلقة بآليات التصعيد الواضحة في المرتبة الأولى بمتوسط (3.87)، مما يعكس اهتمام الشركة بتحديد مسارات الاستجابة ومستوياتها، بينما جاءت الفقرة المتعلقة بمراجعة فاعلية الاستراتيجيات في المرتبة الأخيرة بمتوسط (3.69)، مما قد يُشير إلى إمكانية تحسين دورية مراجعة الاستراتيجيات وتحديثها</w:t>
      </w:r>
      <w:r w:rsidRPr="00026EEC">
        <w:rPr>
          <w:rFonts w:ascii="Simplified Arabic" w:hAnsi="Simplified Arabic" w:cs="Simplified Arabic"/>
        </w:rPr>
        <w:t>.</w:t>
      </w:r>
    </w:p>
    <w:p w14:paraId="132F17D3" w14:textId="6C638163" w:rsidR="0027638E" w:rsidRPr="00026EEC" w:rsidRDefault="0027638E" w:rsidP="00026EEC">
      <w:pPr>
        <w:pStyle w:val="NormalWeb"/>
        <w:bidi/>
        <w:spacing w:before="0" w:beforeAutospacing="0" w:after="0" w:afterAutospacing="0"/>
        <w:jc w:val="both"/>
        <w:rPr>
          <w:rFonts w:ascii="Simplified Arabic" w:hAnsi="Simplified Arabic" w:cs="Simplified Arabic"/>
          <w:b/>
          <w:bCs/>
        </w:rPr>
      </w:pPr>
      <w:r w:rsidRPr="00026EEC">
        <w:rPr>
          <w:rFonts w:ascii="Simplified Arabic" w:hAnsi="Simplified Arabic" w:cs="Simplified Arabic"/>
          <w:b/>
          <w:bCs/>
          <w:rtl/>
        </w:rPr>
        <w:t>ج. البُعد الثالث: تقنيات المراقبة الذكية والصيانة الوقائية</w:t>
      </w:r>
    </w:p>
    <w:p w14:paraId="6201C022" w14:textId="569240F4" w:rsidR="00AE38FA" w:rsidRPr="00026EEC" w:rsidRDefault="00AE38FA" w:rsidP="00026EEC">
      <w:pPr>
        <w:pStyle w:val="NormalWeb"/>
        <w:bidi/>
        <w:spacing w:before="0" w:beforeAutospacing="0" w:after="0" w:afterAutospacing="0"/>
        <w:ind w:left="-2"/>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12</w:t>
      </w:r>
      <w:r w:rsidRPr="00026EEC">
        <w:rPr>
          <w:rStyle w:val="Strong"/>
          <w:rFonts w:ascii="Simplified Arabic" w:hAnsi="Simplified Arabic" w:cs="Simplified Arabic"/>
          <w:rtl/>
        </w:rPr>
        <w:t>): المتوسطات الحسابية والانحرافات المعيارية لفقرات بُعد تقنيات المراقبة الذكية والصيانة الوقائية</w:t>
      </w:r>
    </w:p>
    <w:tbl>
      <w:tblPr>
        <w:tblStyle w:val="GridTable1Light-Accent5"/>
        <w:bidiVisual/>
        <w:tblW w:w="0" w:type="auto"/>
        <w:jc w:val="center"/>
        <w:tblLook w:val="04A0" w:firstRow="1" w:lastRow="0" w:firstColumn="1" w:lastColumn="0" w:noHBand="0" w:noVBand="1"/>
      </w:tblPr>
      <w:tblGrid>
        <w:gridCol w:w="519"/>
        <w:gridCol w:w="3883"/>
        <w:gridCol w:w="949"/>
        <w:gridCol w:w="1051"/>
        <w:gridCol w:w="686"/>
        <w:gridCol w:w="840"/>
      </w:tblGrid>
      <w:tr w:rsidR="00AE38FA" w:rsidRPr="0003434F" w14:paraId="345453C6" w14:textId="77777777" w:rsidTr="00327C8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34C08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الرقم</w:t>
            </w:r>
          </w:p>
        </w:tc>
        <w:tc>
          <w:tcPr>
            <w:tcW w:w="0" w:type="auto"/>
            <w:vAlign w:val="center"/>
            <w:hideMark/>
          </w:tcPr>
          <w:p w14:paraId="1AC9DAC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الفقرة</w:t>
            </w:r>
          </w:p>
        </w:tc>
        <w:tc>
          <w:tcPr>
            <w:tcW w:w="0" w:type="auto"/>
            <w:vAlign w:val="center"/>
            <w:hideMark/>
          </w:tcPr>
          <w:p w14:paraId="4CDAA38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7AC0B52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4DF29912"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6EE723C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0D0FD445"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1E9BB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11</w:t>
            </w:r>
          </w:p>
        </w:tc>
        <w:tc>
          <w:tcPr>
            <w:tcW w:w="0" w:type="auto"/>
            <w:vAlign w:val="center"/>
            <w:hideMark/>
          </w:tcPr>
          <w:p w14:paraId="0B4770B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تمتلك الشركة بنية تحتية رقمية متكاملة لجمع وتحليل البيانات التشغيلية من مصادر متعددة تشمل العدادات الذكية وأنظمة الإشراف والتحكم</w:t>
            </w:r>
          </w:p>
        </w:tc>
        <w:tc>
          <w:tcPr>
            <w:tcW w:w="0" w:type="auto"/>
            <w:vAlign w:val="center"/>
            <w:hideMark/>
          </w:tcPr>
          <w:p w14:paraId="4EBC557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3.96</w:t>
            </w:r>
          </w:p>
        </w:tc>
        <w:tc>
          <w:tcPr>
            <w:tcW w:w="0" w:type="auto"/>
            <w:vAlign w:val="center"/>
            <w:hideMark/>
          </w:tcPr>
          <w:p w14:paraId="2A28153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0.793</w:t>
            </w:r>
          </w:p>
        </w:tc>
        <w:tc>
          <w:tcPr>
            <w:tcW w:w="0" w:type="auto"/>
            <w:vAlign w:val="center"/>
            <w:hideMark/>
          </w:tcPr>
          <w:p w14:paraId="5EC2CE6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7274FCB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37221C3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4F222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9</w:t>
            </w:r>
          </w:p>
        </w:tc>
        <w:tc>
          <w:tcPr>
            <w:tcW w:w="0" w:type="auto"/>
            <w:vAlign w:val="center"/>
            <w:hideMark/>
          </w:tcPr>
          <w:p w14:paraId="7DDEDA4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تُوظّف الشركة أنظمة مراقبة ذكية تعمل في الوقت الحقيقي لرصد حالة مكونات الشبكة الكهربائية واكتشاف المؤشرات المبكرة للأعطال</w:t>
            </w:r>
          </w:p>
        </w:tc>
        <w:tc>
          <w:tcPr>
            <w:tcW w:w="0" w:type="auto"/>
            <w:vAlign w:val="center"/>
            <w:hideMark/>
          </w:tcPr>
          <w:p w14:paraId="6968F65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3.93</w:t>
            </w:r>
          </w:p>
        </w:tc>
        <w:tc>
          <w:tcPr>
            <w:tcW w:w="0" w:type="auto"/>
            <w:vAlign w:val="center"/>
            <w:hideMark/>
          </w:tcPr>
          <w:p w14:paraId="7AC0318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0.801</w:t>
            </w:r>
          </w:p>
        </w:tc>
        <w:tc>
          <w:tcPr>
            <w:tcW w:w="0" w:type="auto"/>
            <w:vAlign w:val="center"/>
            <w:hideMark/>
          </w:tcPr>
          <w:p w14:paraId="3A3865B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w:t>
            </w:r>
          </w:p>
        </w:tc>
        <w:tc>
          <w:tcPr>
            <w:tcW w:w="0" w:type="auto"/>
            <w:vAlign w:val="center"/>
            <w:hideMark/>
          </w:tcPr>
          <w:p w14:paraId="20A3633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946FBD0"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A1E8D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12</w:t>
            </w:r>
          </w:p>
        </w:tc>
        <w:tc>
          <w:tcPr>
            <w:tcW w:w="0" w:type="auto"/>
            <w:vAlign w:val="center"/>
            <w:hideMark/>
          </w:tcPr>
          <w:p w14:paraId="086D443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تُسهم تقنيات المراقبة الذكية المستخدمة في الشركة في تحسين إدارة الأصول وترشيد قرارات الاستبدال والتجديد</w:t>
            </w:r>
          </w:p>
        </w:tc>
        <w:tc>
          <w:tcPr>
            <w:tcW w:w="0" w:type="auto"/>
            <w:vAlign w:val="center"/>
            <w:hideMark/>
          </w:tcPr>
          <w:p w14:paraId="62DDA9F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3.82</w:t>
            </w:r>
          </w:p>
        </w:tc>
        <w:tc>
          <w:tcPr>
            <w:tcW w:w="0" w:type="auto"/>
            <w:vAlign w:val="center"/>
            <w:hideMark/>
          </w:tcPr>
          <w:p w14:paraId="6CCF7D3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0.847</w:t>
            </w:r>
          </w:p>
        </w:tc>
        <w:tc>
          <w:tcPr>
            <w:tcW w:w="0" w:type="auto"/>
            <w:vAlign w:val="center"/>
            <w:hideMark/>
          </w:tcPr>
          <w:p w14:paraId="6F02ADA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w:t>
            </w:r>
          </w:p>
        </w:tc>
        <w:tc>
          <w:tcPr>
            <w:tcW w:w="0" w:type="auto"/>
            <w:vAlign w:val="center"/>
            <w:hideMark/>
          </w:tcPr>
          <w:p w14:paraId="54CD767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09C2AA3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373E11"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10</w:t>
            </w:r>
          </w:p>
        </w:tc>
        <w:tc>
          <w:tcPr>
            <w:tcW w:w="0" w:type="auto"/>
            <w:vAlign w:val="center"/>
            <w:hideMark/>
          </w:tcPr>
          <w:p w14:paraId="5954F46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تعتمد الشركة على الصيانة التنبؤية المبنية على تحليل بيانات أجهزة الاستشعار لتحديد التوقيت الأمثل لعمليات الصيانة</w:t>
            </w:r>
          </w:p>
        </w:tc>
        <w:tc>
          <w:tcPr>
            <w:tcW w:w="0" w:type="auto"/>
            <w:vAlign w:val="center"/>
            <w:hideMark/>
          </w:tcPr>
          <w:p w14:paraId="2B3118A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3.76</w:t>
            </w:r>
          </w:p>
        </w:tc>
        <w:tc>
          <w:tcPr>
            <w:tcW w:w="0" w:type="auto"/>
            <w:vAlign w:val="center"/>
            <w:hideMark/>
          </w:tcPr>
          <w:p w14:paraId="158B23C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0.872</w:t>
            </w:r>
          </w:p>
        </w:tc>
        <w:tc>
          <w:tcPr>
            <w:tcW w:w="0" w:type="auto"/>
            <w:vAlign w:val="center"/>
            <w:hideMark/>
          </w:tcPr>
          <w:p w14:paraId="15E80E6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w:t>
            </w:r>
          </w:p>
        </w:tc>
        <w:tc>
          <w:tcPr>
            <w:tcW w:w="0" w:type="auto"/>
            <w:vAlign w:val="center"/>
            <w:hideMark/>
          </w:tcPr>
          <w:p w14:paraId="027CD34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27638E" w:rsidRPr="0003434F" w14:paraId="17578C88" w14:textId="77777777" w:rsidTr="001E589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F98841D" w14:textId="77777777" w:rsidR="0027638E" w:rsidRPr="0003434F" w:rsidRDefault="0027638E" w:rsidP="00026EEC">
            <w:pPr>
              <w:jc w:val="center"/>
              <w:rPr>
                <w:rFonts w:ascii="Simplified Arabic" w:hAnsi="Simplified Arabic" w:cs="Simplified Arabic"/>
                <w:sz w:val="20"/>
                <w:szCs w:val="20"/>
              </w:rPr>
            </w:pPr>
            <w:r w:rsidRPr="0003434F">
              <w:rPr>
                <w:rStyle w:val="Strong"/>
                <w:rFonts w:ascii="Simplified Arabic" w:hAnsi="Simplified Arabic" w:cs="Simplified Arabic"/>
                <w:b/>
                <w:bCs/>
                <w:sz w:val="20"/>
                <w:szCs w:val="20"/>
                <w:rtl/>
              </w:rPr>
              <w:t>المتوسط العام للبُعد</w:t>
            </w:r>
          </w:p>
        </w:tc>
        <w:tc>
          <w:tcPr>
            <w:tcW w:w="0" w:type="auto"/>
            <w:vAlign w:val="center"/>
            <w:hideMark/>
          </w:tcPr>
          <w:p w14:paraId="7911389B"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3.87</w:t>
            </w:r>
          </w:p>
        </w:tc>
        <w:tc>
          <w:tcPr>
            <w:tcW w:w="0" w:type="auto"/>
            <w:vAlign w:val="center"/>
            <w:hideMark/>
          </w:tcPr>
          <w:p w14:paraId="24B59715"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0.752</w:t>
            </w:r>
          </w:p>
        </w:tc>
        <w:tc>
          <w:tcPr>
            <w:tcW w:w="0" w:type="auto"/>
            <w:vAlign w:val="center"/>
            <w:hideMark/>
          </w:tcPr>
          <w:p w14:paraId="6571D55F"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c>
          <w:tcPr>
            <w:tcW w:w="0" w:type="auto"/>
            <w:vAlign w:val="center"/>
            <w:hideMark/>
          </w:tcPr>
          <w:p w14:paraId="5B13880F" w14:textId="77777777" w:rsidR="0027638E" w:rsidRPr="0003434F" w:rsidRDefault="0027638E"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14B6F229" w14:textId="4067AA40" w:rsidR="00AE38FA" w:rsidRPr="00026EEC" w:rsidRDefault="00AE38FA" w:rsidP="0003434F">
      <w:pPr>
        <w:pStyle w:val="NormalWeb"/>
        <w:bidi/>
        <w:spacing w:before="0" w:beforeAutospacing="0" w:after="0" w:afterAutospacing="0"/>
        <w:ind w:left="-2"/>
        <w:jc w:val="both"/>
        <w:rPr>
          <w:rFonts w:ascii="Simplified Arabic" w:hAnsi="Simplified Arabic" w:cs="Simplified Arabic"/>
          <w:rtl/>
        </w:rPr>
      </w:pPr>
      <w:r w:rsidRPr="00026EEC">
        <w:rPr>
          <w:rFonts w:ascii="Simplified Arabic" w:hAnsi="Simplified Arabic" w:cs="Simplified Arabic"/>
          <w:rtl/>
        </w:rPr>
        <w:t xml:space="preserve">يتّضح من الجدول  أن المتوسط العام لبُعد تقنيات المراقبة الذكية والصيانة الوقائية بلغ (3.87) بانحراف معياري </w:t>
      </w:r>
      <w:r w:rsidRPr="00026EEC">
        <w:rPr>
          <w:rFonts w:ascii="Simplified Arabic" w:hAnsi="Simplified Arabic" w:cs="Simplified Arabic"/>
        </w:rPr>
        <w:t>(0.752)</w:t>
      </w:r>
      <w:r w:rsidRPr="00026EEC">
        <w:rPr>
          <w:rFonts w:ascii="Simplified Arabic" w:hAnsi="Simplified Arabic" w:cs="Simplified Arabic"/>
          <w:rtl/>
        </w:rPr>
        <w:t xml:space="preserve">، وهو الأعلى بين أبعاد المتغير المستقل الأربعة، مما يُشير إلى أن هذا البُعد يحظى بأعلى مستوى تطبيق من وجهة نظر المبحوثين. وقد جاءت الفقرة المتعلقة بالبنية التحتية الرقمية المتكاملة في المرتبة الأولى بمتوسط </w:t>
      </w:r>
      <w:r w:rsidRPr="00026EEC">
        <w:rPr>
          <w:rFonts w:ascii="Simplified Arabic" w:hAnsi="Simplified Arabic" w:cs="Simplified Arabic"/>
        </w:rPr>
        <w:t>(3.96)</w:t>
      </w:r>
      <w:r w:rsidRPr="00026EEC">
        <w:rPr>
          <w:rFonts w:ascii="Simplified Arabic" w:hAnsi="Simplified Arabic" w:cs="Simplified Arabic"/>
          <w:rtl/>
        </w:rPr>
        <w:t xml:space="preserve">، مما يعكس الاستثمارات الكبيرة التي ضختها الشركة في البنية الرقمية، </w:t>
      </w:r>
      <w:r w:rsidRPr="00026EEC">
        <w:rPr>
          <w:rFonts w:ascii="Simplified Arabic" w:hAnsi="Simplified Arabic" w:cs="Simplified Arabic"/>
          <w:rtl/>
        </w:rPr>
        <w:lastRenderedPageBreak/>
        <w:t>بينما جاءت الفقرة المتعلقة بالصيانة التنبؤية في المرتبة الأخيرة بمتوسط (3.76)، مما يُشير إلى أن التحول الكامل نحو الصيانة التنبؤية لا يزال في مراحله المتقدمة</w:t>
      </w:r>
      <w:r w:rsidRPr="00026EEC">
        <w:rPr>
          <w:rFonts w:ascii="Simplified Arabic" w:hAnsi="Simplified Arabic" w:cs="Simplified Arabic"/>
        </w:rPr>
        <w:t>.</w:t>
      </w:r>
    </w:p>
    <w:p w14:paraId="790D33DF" w14:textId="57E8B893" w:rsidR="0027638E" w:rsidRPr="00026EEC" w:rsidRDefault="0027638E" w:rsidP="00026EEC">
      <w:pPr>
        <w:pStyle w:val="NormalWeb"/>
        <w:bidi/>
        <w:spacing w:before="0" w:beforeAutospacing="0" w:after="0" w:afterAutospacing="0"/>
        <w:jc w:val="both"/>
        <w:rPr>
          <w:rStyle w:val="Strong"/>
          <w:rFonts w:ascii="Simplified Arabic" w:hAnsi="Simplified Arabic" w:cs="Simplified Arabic"/>
          <w:rtl/>
        </w:rPr>
      </w:pPr>
      <w:r w:rsidRPr="00026EEC">
        <w:rPr>
          <w:rFonts w:ascii="Simplified Arabic" w:hAnsi="Simplified Arabic" w:cs="Simplified Arabic"/>
          <w:b/>
          <w:bCs/>
          <w:rtl/>
        </w:rPr>
        <w:t>د. البُعد الرابع: تكامل تقنيات إدارة المخاطر والذكاء الاصطناعي</w:t>
      </w:r>
    </w:p>
    <w:p w14:paraId="1E999076" w14:textId="30F8E5A9"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13</w:t>
      </w:r>
      <w:r w:rsidRPr="00026EEC">
        <w:rPr>
          <w:rStyle w:val="Strong"/>
          <w:rFonts w:ascii="Simplified Arabic" w:hAnsi="Simplified Arabic" w:cs="Simplified Arabic"/>
          <w:rtl/>
        </w:rPr>
        <w:t>): المتوسطات الحسابية والانحرافات المعيارية لفقرات بُعد تكامل تقنيات إدارة المخاطر والذكاء الاصطناعي</w:t>
      </w:r>
    </w:p>
    <w:tbl>
      <w:tblPr>
        <w:tblStyle w:val="GridTable1Light-Accent5"/>
        <w:bidiVisual/>
        <w:tblW w:w="0" w:type="auto"/>
        <w:jc w:val="center"/>
        <w:tblLook w:val="04A0" w:firstRow="1" w:lastRow="0" w:firstColumn="1" w:lastColumn="0" w:noHBand="0" w:noVBand="1"/>
      </w:tblPr>
      <w:tblGrid>
        <w:gridCol w:w="518"/>
        <w:gridCol w:w="3891"/>
        <w:gridCol w:w="947"/>
        <w:gridCol w:w="1048"/>
        <w:gridCol w:w="686"/>
        <w:gridCol w:w="838"/>
      </w:tblGrid>
      <w:tr w:rsidR="00AE38FA" w:rsidRPr="0003434F" w14:paraId="2146B71D" w14:textId="77777777" w:rsidTr="0027638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47D377"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الرقم</w:t>
            </w:r>
          </w:p>
        </w:tc>
        <w:tc>
          <w:tcPr>
            <w:tcW w:w="0" w:type="auto"/>
            <w:vAlign w:val="center"/>
            <w:hideMark/>
          </w:tcPr>
          <w:p w14:paraId="5288327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الفقرة</w:t>
            </w:r>
          </w:p>
        </w:tc>
        <w:tc>
          <w:tcPr>
            <w:tcW w:w="0" w:type="auto"/>
            <w:vAlign w:val="center"/>
            <w:hideMark/>
          </w:tcPr>
          <w:p w14:paraId="4E055FA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3F32F0F1"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205229A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0B143520"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71ACE6C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EB86A3"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14</w:t>
            </w:r>
          </w:p>
        </w:tc>
        <w:tc>
          <w:tcPr>
            <w:tcW w:w="0" w:type="auto"/>
            <w:vAlign w:val="center"/>
            <w:hideMark/>
          </w:tcPr>
          <w:p w14:paraId="5698F06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تعتمد الشركة على نماذج ذكاء اصطناعي لتحسين دقة التنبؤ بالأحمال الكهربائية وتحديد مواقع الأعطال وتصنيفها</w:t>
            </w:r>
          </w:p>
        </w:tc>
        <w:tc>
          <w:tcPr>
            <w:tcW w:w="0" w:type="auto"/>
            <w:vAlign w:val="center"/>
            <w:hideMark/>
          </w:tcPr>
          <w:p w14:paraId="444BB3C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3.71</w:t>
            </w:r>
          </w:p>
        </w:tc>
        <w:tc>
          <w:tcPr>
            <w:tcW w:w="0" w:type="auto"/>
            <w:vAlign w:val="center"/>
            <w:hideMark/>
          </w:tcPr>
          <w:p w14:paraId="273CA5A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0.894</w:t>
            </w:r>
          </w:p>
        </w:tc>
        <w:tc>
          <w:tcPr>
            <w:tcW w:w="0" w:type="auto"/>
            <w:vAlign w:val="center"/>
            <w:hideMark/>
          </w:tcPr>
          <w:p w14:paraId="5CAB884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3B98D84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357015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1DCD0A"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13</w:t>
            </w:r>
          </w:p>
        </w:tc>
        <w:tc>
          <w:tcPr>
            <w:tcW w:w="0" w:type="auto"/>
            <w:vAlign w:val="center"/>
            <w:hideMark/>
          </w:tcPr>
          <w:p w14:paraId="3F4FB86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تُوظّف الشركة تطبيقات الذكاء الاصطناعي والتعلم الآلي في تعزيز قدرات التنبؤ بالمخاطر التشغيلية واكتشاف الأنماط الشاذة</w:t>
            </w:r>
          </w:p>
        </w:tc>
        <w:tc>
          <w:tcPr>
            <w:tcW w:w="0" w:type="auto"/>
            <w:vAlign w:val="center"/>
            <w:hideMark/>
          </w:tcPr>
          <w:p w14:paraId="7061EAA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3.64</w:t>
            </w:r>
          </w:p>
        </w:tc>
        <w:tc>
          <w:tcPr>
            <w:tcW w:w="0" w:type="auto"/>
            <w:vAlign w:val="center"/>
            <w:hideMark/>
          </w:tcPr>
          <w:p w14:paraId="777330E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0.921</w:t>
            </w:r>
          </w:p>
        </w:tc>
        <w:tc>
          <w:tcPr>
            <w:tcW w:w="0" w:type="auto"/>
            <w:vAlign w:val="center"/>
            <w:hideMark/>
          </w:tcPr>
          <w:p w14:paraId="1928D97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w:t>
            </w:r>
          </w:p>
        </w:tc>
        <w:tc>
          <w:tcPr>
            <w:tcW w:w="0" w:type="auto"/>
            <w:vAlign w:val="center"/>
            <w:hideMark/>
          </w:tcPr>
          <w:p w14:paraId="4F2BEE0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193749E1"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B6A68"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15</w:t>
            </w:r>
          </w:p>
        </w:tc>
        <w:tc>
          <w:tcPr>
            <w:tcW w:w="0" w:type="auto"/>
            <w:vAlign w:val="center"/>
            <w:hideMark/>
          </w:tcPr>
          <w:p w14:paraId="4B8DDEA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تتكامل أنظمة الذكاء الاصطناعي مع منظومة إدارة المخاطر في الشركة بصورة تُتيح أتمتة عمليات جمع البيانات وتحليلها وتوليد التقارير</w:t>
            </w:r>
          </w:p>
        </w:tc>
        <w:tc>
          <w:tcPr>
            <w:tcW w:w="0" w:type="auto"/>
            <w:vAlign w:val="center"/>
            <w:hideMark/>
          </w:tcPr>
          <w:p w14:paraId="1CA3F32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3.57</w:t>
            </w:r>
          </w:p>
        </w:tc>
        <w:tc>
          <w:tcPr>
            <w:tcW w:w="0" w:type="auto"/>
            <w:vAlign w:val="center"/>
            <w:hideMark/>
          </w:tcPr>
          <w:p w14:paraId="58B3FF6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0.943</w:t>
            </w:r>
          </w:p>
        </w:tc>
        <w:tc>
          <w:tcPr>
            <w:tcW w:w="0" w:type="auto"/>
            <w:vAlign w:val="center"/>
            <w:hideMark/>
          </w:tcPr>
          <w:p w14:paraId="0C58E86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w:t>
            </w:r>
          </w:p>
        </w:tc>
        <w:tc>
          <w:tcPr>
            <w:tcW w:w="0" w:type="auto"/>
            <w:vAlign w:val="center"/>
            <w:hideMark/>
          </w:tcPr>
          <w:p w14:paraId="49D8B22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8FB07C0"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19E9B1"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16</w:t>
            </w:r>
          </w:p>
        </w:tc>
        <w:tc>
          <w:tcPr>
            <w:tcW w:w="0" w:type="auto"/>
            <w:vAlign w:val="center"/>
            <w:hideMark/>
          </w:tcPr>
          <w:p w14:paraId="72272AE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تمتلك الشركة إطار حوكمة واضحاً يُنظّم استخدام تقنيات الذكاء الاصطناعي في عمليات صنع القرار المتعلق بالمخاطر التشغيلية</w:t>
            </w:r>
          </w:p>
        </w:tc>
        <w:tc>
          <w:tcPr>
            <w:tcW w:w="0" w:type="auto"/>
            <w:vAlign w:val="center"/>
            <w:hideMark/>
          </w:tcPr>
          <w:p w14:paraId="63A5C6A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3.48</w:t>
            </w:r>
          </w:p>
        </w:tc>
        <w:tc>
          <w:tcPr>
            <w:tcW w:w="0" w:type="auto"/>
            <w:vAlign w:val="center"/>
            <w:hideMark/>
          </w:tcPr>
          <w:p w14:paraId="69C282F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0.967</w:t>
            </w:r>
          </w:p>
        </w:tc>
        <w:tc>
          <w:tcPr>
            <w:tcW w:w="0" w:type="auto"/>
            <w:vAlign w:val="center"/>
            <w:hideMark/>
          </w:tcPr>
          <w:p w14:paraId="6627A54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w:t>
            </w:r>
          </w:p>
        </w:tc>
        <w:tc>
          <w:tcPr>
            <w:tcW w:w="0" w:type="auto"/>
            <w:vAlign w:val="center"/>
            <w:hideMark/>
          </w:tcPr>
          <w:p w14:paraId="19FBB92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327C81" w:rsidRPr="0003434F" w14:paraId="12D3052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1129AB" w14:textId="77777777" w:rsidR="00327C81" w:rsidRPr="0003434F" w:rsidRDefault="00327C81" w:rsidP="00026EEC">
            <w:pPr>
              <w:jc w:val="center"/>
              <w:rPr>
                <w:rFonts w:ascii="Simplified Arabic" w:hAnsi="Simplified Arabic" w:cs="Simplified Arabic"/>
                <w:b w:val="0"/>
                <w:bCs w:val="0"/>
                <w:sz w:val="20"/>
                <w:szCs w:val="20"/>
              </w:rPr>
            </w:pPr>
            <w:r w:rsidRPr="0003434F">
              <w:rPr>
                <w:rStyle w:val="Strong"/>
                <w:rFonts w:ascii="Simplified Arabic" w:hAnsi="Simplified Arabic" w:cs="Simplified Arabic"/>
                <w:sz w:val="20"/>
                <w:szCs w:val="20"/>
                <w:rtl/>
              </w:rPr>
              <w:t>المتوسط العام للبُعد</w:t>
            </w:r>
          </w:p>
        </w:tc>
        <w:tc>
          <w:tcPr>
            <w:tcW w:w="0" w:type="auto"/>
            <w:vAlign w:val="center"/>
            <w:hideMark/>
          </w:tcPr>
          <w:p w14:paraId="07783741"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3.60</w:t>
            </w:r>
          </w:p>
        </w:tc>
        <w:tc>
          <w:tcPr>
            <w:tcW w:w="0" w:type="auto"/>
            <w:vAlign w:val="center"/>
            <w:hideMark/>
          </w:tcPr>
          <w:p w14:paraId="29EC6516"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0.838</w:t>
            </w:r>
          </w:p>
        </w:tc>
        <w:tc>
          <w:tcPr>
            <w:tcW w:w="0" w:type="auto"/>
            <w:vAlign w:val="center"/>
            <w:hideMark/>
          </w:tcPr>
          <w:p w14:paraId="6CEEBC1E"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c>
          <w:tcPr>
            <w:tcW w:w="0" w:type="auto"/>
            <w:vAlign w:val="center"/>
            <w:hideMark/>
          </w:tcPr>
          <w:p w14:paraId="1DB3B928" w14:textId="77777777"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44789569" w14:textId="15FDC010" w:rsidR="00AE38FA" w:rsidRPr="00026EEC" w:rsidRDefault="00AE38FA" w:rsidP="0003434F">
      <w:pPr>
        <w:pStyle w:val="NormalWeb"/>
        <w:bidi/>
        <w:spacing w:before="0" w:beforeAutospacing="0" w:after="0" w:afterAutospacing="0"/>
        <w:jc w:val="both"/>
        <w:rPr>
          <w:rFonts w:ascii="Simplified Arabic" w:hAnsi="Simplified Arabic" w:cs="Simplified Arabic"/>
          <w:rtl/>
        </w:rPr>
      </w:pPr>
      <w:r w:rsidRPr="00026EEC">
        <w:rPr>
          <w:rFonts w:ascii="Simplified Arabic" w:hAnsi="Simplified Arabic" w:cs="Simplified Arabic"/>
          <w:rtl/>
        </w:rPr>
        <w:t xml:space="preserve">يتّضح من الجدول  أن المتوسط العام لبُعد تكامل تقنيات إدارة المخاطر والذكاء الاصطناعي بلغ (3.60) بانحراف معياري </w:t>
      </w:r>
      <w:r w:rsidRPr="00026EEC">
        <w:rPr>
          <w:rFonts w:ascii="Simplified Arabic" w:hAnsi="Simplified Arabic" w:cs="Simplified Arabic"/>
        </w:rPr>
        <w:t>(0.838)</w:t>
      </w:r>
      <w:r w:rsidRPr="00026EEC">
        <w:rPr>
          <w:rFonts w:ascii="Simplified Arabic" w:hAnsi="Simplified Arabic" w:cs="Simplified Arabic"/>
          <w:rtl/>
        </w:rPr>
        <w:t>، وهو الأدنى بين أبعاد المتغير المستقل الأربعة رغم بقائه ضمن مستوى الموافقة المرتفعة. ويُشير ذلك إلى أن توظيف الذكاء الاصطناعي في إدارة المخاطر التشغيلية لا يزال في مراحله الأولى نسبياً مقارنة بالأبعاد الأخرى. وقد جاءت الفقرة المتعلقة بإطار حوكمة الذكاء الاصطناعي في المرتبة الأخيرة بمتوسط (3.48)، مما يُبرز الحاجة إلى تطوير أُطر حوكمة أكثر وضوحاً ونضجاً لتنظيم استخدام هذه التقنيات. كما يُلاحظ ارتفاع الانحرافات المعيارية في هذا البُعد مقارنة بالأبعاد الأخرى، مما يعكس تفاوتاً أكبر في تقييمات المبحوثين ربما بسبب تباين مستويات التطبيق بين القطاعات التشغيلية المختلفة</w:t>
      </w:r>
      <w:r w:rsidRPr="00026EEC">
        <w:rPr>
          <w:rFonts w:ascii="Simplified Arabic" w:hAnsi="Simplified Arabic" w:cs="Simplified Arabic"/>
        </w:rPr>
        <w:t>.</w:t>
      </w:r>
    </w:p>
    <w:p w14:paraId="13A8D262" w14:textId="4A13A056" w:rsidR="0027638E" w:rsidRPr="00026EEC" w:rsidRDefault="0027638E" w:rsidP="00026EEC">
      <w:pPr>
        <w:spacing w:after="0" w:line="240" w:lineRule="auto"/>
        <w:rPr>
          <w:rFonts w:ascii="Simplified Arabic" w:hAnsi="Simplified Arabic" w:cs="Simplified Arabic"/>
          <w:b/>
          <w:bCs/>
          <w:sz w:val="24"/>
          <w:szCs w:val="24"/>
        </w:rPr>
      </w:pPr>
      <w:r w:rsidRPr="00026EEC">
        <w:rPr>
          <w:rFonts w:ascii="Simplified Arabic" w:hAnsi="Simplified Arabic" w:cs="Simplified Arabic"/>
          <w:b/>
          <w:bCs/>
          <w:sz w:val="24"/>
          <w:szCs w:val="24"/>
          <w:rtl/>
        </w:rPr>
        <w:t>هـ. الترتيب العام لأبعاد المتغير المستقل</w:t>
      </w:r>
    </w:p>
    <w:p w14:paraId="25414027" w14:textId="1B7D82CE" w:rsidR="00AE38FA" w:rsidRPr="00026EEC" w:rsidRDefault="00AE38FA" w:rsidP="00026EEC">
      <w:pPr>
        <w:pStyle w:val="NormalWeb"/>
        <w:bidi/>
        <w:spacing w:before="0" w:beforeAutospacing="0" w:after="0" w:afterAutospacing="0"/>
        <w:ind w:left="-2"/>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14</w:t>
      </w:r>
      <w:r w:rsidRPr="00026EEC">
        <w:rPr>
          <w:rStyle w:val="Strong"/>
          <w:rFonts w:ascii="Simplified Arabic" w:hAnsi="Simplified Arabic" w:cs="Simplified Arabic"/>
          <w:rtl/>
        </w:rPr>
        <w:t>): ترتيب أبعاد المتغير المستقل (إدارة المخاطر التشغيلية المتقدمة) وفقاً للمتوسطات الحسابية</w:t>
      </w:r>
    </w:p>
    <w:tbl>
      <w:tblPr>
        <w:tblStyle w:val="GridTable1Light-Accent5"/>
        <w:bidiVisual/>
        <w:tblW w:w="0" w:type="auto"/>
        <w:jc w:val="center"/>
        <w:tblLook w:val="04A0" w:firstRow="1" w:lastRow="0" w:firstColumn="1" w:lastColumn="0" w:noHBand="0" w:noVBand="1"/>
      </w:tblPr>
      <w:tblGrid>
        <w:gridCol w:w="686"/>
        <w:gridCol w:w="3304"/>
        <w:gridCol w:w="1307"/>
        <w:gridCol w:w="1442"/>
        <w:gridCol w:w="1097"/>
      </w:tblGrid>
      <w:tr w:rsidR="00AE38FA" w:rsidRPr="0003434F" w14:paraId="07FF67C5"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46E7AB"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62325A3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البُعد</w:t>
            </w:r>
          </w:p>
        </w:tc>
        <w:tc>
          <w:tcPr>
            <w:tcW w:w="0" w:type="auto"/>
            <w:vAlign w:val="center"/>
            <w:hideMark/>
          </w:tcPr>
          <w:p w14:paraId="40BCF58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2C2449A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072A976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5464884D"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3CB52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w:t>
            </w:r>
          </w:p>
        </w:tc>
        <w:tc>
          <w:tcPr>
            <w:tcW w:w="0" w:type="auto"/>
            <w:vAlign w:val="center"/>
            <w:hideMark/>
          </w:tcPr>
          <w:p w14:paraId="6FFD6E2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تقنيات المراقبة الذكية والصيانة الوقائية</w:t>
            </w:r>
          </w:p>
        </w:tc>
        <w:tc>
          <w:tcPr>
            <w:tcW w:w="0" w:type="auto"/>
            <w:vAlign w:val="center"/>
            <w:hideMark/>
          </w:tcPr>
          <w:p w14:paraId="6878C7B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3.87</w:t>
            </w:r>
          </w:p>
        </w:tc>
        <w:tc>
          <w:tcPr>
            <w:tcW w:w="0" w:type="auto"/>
            <w:vAlign w:val="center"/>
            <w:hideMark/>
          </w:tcPr>
          <w:p w14:paraId="7C9335D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0.752</w:t>
            </w:r>
          </w:p>
        </w:tc>
        <w:tc>
          <w:tcPr>
            <w:tcW w:w="0" w:type="auto"/>
            <w:vAlign w:val="center"/>
            <w:hideMark/>
          </w:tcPr>
          <w:p w14:paraId="36862C7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5766F534"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CDDF38"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w:t>
            </w:r>
          </w:p>
        </w:tc>
        <w:tc>
          <w:tcPr>
            <w:tcW w:w="0" w:type="auto"/>
            <w:vAlign w:val="center"/>
            <w:hideMark/>
          </w:tcPr>
          <w:p w14:paraId="07F93AB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أدوات تقييم المخاطر التشغيلية</w:t>
            </w:r>
          </w:p>
        </w:tc>
        <w:tc>
          <w:tcPr>
            <w:tcW w:w="0" w:type="auto"/>
            <w:vAlign w:val="center"/>
            <w:hideMark/>
          </w:tcPr>
          <w:p w14:paraId="7F4F44D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3.79</w:t>
            </w:r>
          </w:p>
        </w:tc>
        <w:tc>
          <w:tcPr>
            <w:tcW w:w="0" w:type="auto"/>
            <w:vAlign w:val="center"/>
            <w:hideMark/>
          </w:tcPr>
          <w:p w14:paraId="1F11DB2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0.769</w:t>
            </w:r>
          </w:p>
        </w:tc>
        <w:tc>
          <w:tcPr>
            <w:tcW w:w="0" w:type="auto"/>
            <w:vAlign w:val="center"/>
            <w:hideMark/>
          </w:tcPr>
          <w:p w14:paraId="0B12482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15BCD46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D9C175"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3</w:t>
            </w:r>
          </w:p>
        </w:tc>
        <w:tc>
          <w:tcPr>
            <w:tcW w:w="0" w:type="auto"/>
            <w:vAlign w:val="center"/>
            <w:hideMark/>
          </w:tcPr>
          <w:p w14:paraId="73DF58C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استراتيجيات الاستجابة للمخاطر</w:t>
            </w:r>
          </w:p>
        </w:tc>
        <w:tc>
          <w:tcPr>
            <w:tcW w:w="0" w:type="auto"/>
            <w:vAlign w:val="center"/>
            <w:hideMark/>
          </w:tcPr>
          <w:p w14:paraId="5A5CC73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3.78</w:t>
            </w:r>
          </w:p>
        </w:tc>
        <w:tc>
          <w:tcPr>
            <w:tcW w:w="0" w:type="auto"/>
            <w:vAlign w:val="center"/>
            <w:hideMark/>
          </w:tcPr>
          <w:p w14:paraId="34547B5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0.781</w:t>
            </w:r>
          </w:p>
        </w:tc>
        <w:tc>
          <w:tcPr>
            <w:tcW w:w="0" w:type="auto"/>
            <w:vAlign w:val="center"/>
            <w:hideMark/>
          </w:tcPr>
          <w:p w14:paraId="280CFFC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497FE591"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2D30D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4</w:t>
            </w:r>
          </w:p>
        </w:tc>
        <w:tc>
          <w:tcPr>
            <w:tcW w:w="0" w:type="auto"/>
            <w:vAlign w:val="center"/>
            <w:hideMark/>
          </w:tcPr>
          <w:p w14:paraId="48B83FA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تكامل تقنيات إدارة المخاطر والذكاء الاصطناعي</w:t>
            </w:r>
          </w:p>
        </w:tc>
        <w:tc>
          <w:tcPr>
            <w:tcW w:w="0" w:type="auto"/>
            <w:vAlign w:val="center"/>
            <w:hideMark/>
          </w:tcPr>
          <w:p w14:paraId="5F6F2B2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3.60</w:t>
            </w:r>
          </w:p>
        </w:tc>
        <w:tc>
          <w:tcPr>
            <w:tcW w:w="0" w:type="auto"/>
            <w:vAlign w:val="center"/>
            <w:hideMark/>
          </w:tcPr>
          <w:p w14:paraId="46D6910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0.838</w:t>
            </w:r>
          </w:p>
        </w:tc>
        <w:tc>
          <w:tcPr>
            <w:tcW w:w="0" w:type="auto"/>
            <w:vAlign w:val="center"/>
            <w:hideMark/>
          </w:tcPr>
          <w:p w14:paraId="308716B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3DCCA0C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6B927" w14:textId="77777777" w:rsidR="00AE38FA" w:rsidRPr="0003434F" w:rsidRDefault="00AE38FA" w:rsidP="00026EEC">
            <w:pPr>
              <w:jc w:val="center"/>
              <w:rPr>
                <w:rFonts w:ascii="Simplified Arabic" w:hAnsi="Simplified Arabic" w:cs="Simplified Arabic"/>
                <w:b w:val="0"/>
                <w:bCs w:val="0"/>
                <w:sz w:val="20"/>
                <w:szCs w:val="20"/>
              </w:rPr>
            </w:pPr>
          </w:p>
        </w:tc>
        <w:tc>
          <w:tcPr>
            <w:tcW w:w="0" w:type="auto"/>
            <w:vAlign w:val="center"/>
            <w:hideMark/>
          </w:tcPr>
          <w:p w14:paraId="1349DFF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المتغير المستقل ككل</w:t>
            </w:r>
          </w:p>
        </w:tc>
        <w:tc>
          <w:tcPr>
            <w:tcW w:w="0" w:type="auto"/>
            <w:vAlign w:val="center"/>
            <w:hideMark/>
          </w:tcPr>
          <w:p w14:paraId="1421D58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3.76</w:t>
            </w:r>
          </w:p>
        </w:tc>
        <w:tc>
          <w:tcPr>
            <w:tcW w:w="0" w:type="auto"/>
            <w:vAlign w:val="center"/>
            <w:hideMark/>
          </w:tcPr>
          <w:p w14:paraId="710A85B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0.714</w:t>
            </w:r>
          </w:p>
        </w:tc>
        <w:tc>
          <w:tcPr>
            <w:tcW w:w="0" w:type="auto"/>
            <w:vAlign w:val="center"/>
            <w:hideMark/>
          </w:tcPr>
          <w:p w14:paraId="3BB8DB9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6E417864"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tl/>
        </w:rPr>
      </w:pPr>
      <w:r w:rsidRPr="00026EEC">
        <w:rPr>
          <w:rFonts w:ascii="Simplified Arabic" w:hAnsi="Simplified Arabic" w:cs="Simplified Arabic"/>
          <w:rtl/>
        </w:rPr>
        <w:t xml:space="preserve">يتّضح من الجدول (9) أن المتوسط العام للمتغير المستقل ككل بلغ (3.76) بانحراف معياري (0.714)، وهو يقع ضمن مستوى الموافقة المرتفعة. وقد احتل بُعد تقنيات المراقبة الذكية والصيانة الوقائية المرتبة </w:t>
      </w:r>
      <w:r w:rsidRPr="00026EEC">
        <w:rPr>
          <w:rFonts w:ascii="Simplified Arabic" w:hAnsi="Simplified Arabic" w:cs="Simplified Arabic"/>
          <w:rtl/>
        </w:rPr>
        <w:lastRenderedPageBreak/>
        <w:t>الأولى بمتوسط (3.87)، مما يعكس التقدم الذي حققته الشركة في مجال المراقبة الذكية والبنية التحتية الرقمية. بينما جاء بُعد تكامل تقنيات إدارة المخاطر والذكاء الاصطناعي في المرتبة الأخيرة بمتوسط</w:t>
      </w:r>
      <w:r w:rsidRPr="00026EEC">
        <w:rPr>
          <w:rFonts w:ascii="Simplified Arabic" w:hAnsi="Simplified Arabic" w:cs="Simplified Arabic"/>
        </w:rPr>
        <w:t xml:space="preserve"> (3.60)</w:t>
      </w:r>
      <w:r w:rsidRPr="00026EEC">
        <w:rPr>
          <w:rFonts w:ascii="Simplified Arabic" w:hAnsi="Simplified Arabic" w:cs="Simplified Arabic"/>
          <w:rtl/>
        </w:rPr>
        <w:t>، مما يُشير إلى أن هذا البُعد يُمثّل فرصة تحسين واعدة أمام الشركة في المرحلة المقبلة</w:t>
      </w:r>
      <w:r w:rsidRPr="00026EEC">
        <w:rPr>
          <w:rFonts w:ascii="Simplified Arabic" w:hAnsi="Simplified Arabic" w:cs="Simplified Arabic"/>
        </w:rPr>
        <w:t>.</w:t>
      </w:r>
    </w:p>
    <w:p w14:paraId="33E5F684" w14:textId="24C0E5E7" w:rsidR="0027638E" w:rsidRPr="00026EEC" w:rsidRDefault="0027638E" w:rsidP="00026EEC">
      <w:pPr>
        <w:pStyle w:val="ListParagraph"/>
        <w:numPr>
          <w:ilvl w:val="0"/>
          <w:numId w:val="33"/>
        </w:numPr>
        <w:spacing w:after="0" w:line="240" w:lineRule="auto"/>
        <w:ind w:left="425"/>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التحليل الوصفي للمتغير التابع (الحدّ من الخسائر الفنية وتحسين الكفاءة التشغيلية)</w:t>
      </w:r>
    </w:p>
    <w:p w14:paraId="0720E048" w14:textId="35D44C64"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15</w:t>
      </w:r>
      <w:r w:rsidRPr="00026EEC">
        <w:rPr>
          <w:rStyle w:val="Strong"/>
          <w:rFonts w:ascii="Simplified Arabic" w:hAnsi="Simplified Arabic" w:cs="Simplified Arabic"/>
          <w:rtl/>
        </w:rPr>
        <w:t>): المتوسطات الحسابية والانحرافات المعيارية لفقرات المتغير التابع</w:t>
      </w:r>
    </w:p>
    <w:tbl>
      <w:tblPr>
        <w:tblStyle w:val="GridTable1Light-Accent5"/>
        <w:bidiVisual/>
        <w:tblW w:w="0" w:type="auto"/>
        <w:jc w:val="center"/>
        <w:tblLook w:val="04A0" w:firstRow="1" w:lastRow="0" w:firstColumn="1" w:lastColumn="0" w:noHBand="0" w:noVBand="1"/>
      </w:tblPr>
      <w:tblGrid>
        <w:gridCol w:w="518"/>
        <w:gridCol w:w="3881"/>
        <w:gridCol w:w="950"/>
        <w:gridCol w:w="1052"/>
        <w:gridCol w:w="686"/>
        <w:gridCol w:w="841"/>
      </w:tblGrid>
      <w:tr w:rsidR="00AE38FA" w:rsidRPr="0003434F" w14:paraId="4679C793" w14:textId="77777777" w:rsidTr="00327C8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48EA4C"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الرقم</w:t>
            </w:r>
          </w:p>
        </w:tc>
        <w:tc>
          <w:tcPr>
            <w:tcW w:w="0" w:type="auto"/>
            <w:vAlign w:val="center"/>
            <w:hideMark/>
          </w:tcPr>
          <w:p w14:paraId="6F512BA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الفقرة</w:t>
            </w:r>
          </w:p>
        </w:tc>
        <w:tc>
          <w:tcPr>
            <w:tcW w:w="0" w:type="auto"/>
            <w:vAlign w:val="center"/>
            <w:hideMark/>
          </w:tcPr>
          <w:p w14:paraId="1805129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المتوسط الحسابي</w:t>
            </w:r>
          </w:p>
        </w:tc>
        <w:tc>
          <w:tcPr>
            <w:tcW w:w="0" w:type="auto"/>
            <w:vAlign w:val="center"/>
            <w:hideMark/>
          </w:tcPr>
          <w:p w14:paraId="15A7122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الانحراف المعياري</w:t>
            </w:r>
          </w:p>
        </w:tc>
        <w:tc>
          <w:tcPr>
            <w:tcW w:w="0" w:type="auto"/>
            <w:vAlign w:val="center"/>
            <w:hideMark/>
          </w:tcPr>
          <w:p w14:paraId="45715B0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الترتيب</w:t>
            </w:r>
          </w:p>
        </w:tc>
        <w:tc>
          <w:tcPr>
            <w:tcW w:w="0" w:type="auto"/>
            <w:vAlign w:val="center"/>
            <w:hideMark/>
          </w:tcPr>
          <w:p w14:paraId="28BF1AF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الموافقة</w:t>
            </w:r>
          </w:p>
        </w:tc>
      </w:tr>
      <w:tr w:rsidR="00AE38FA" w:rsidRPr="0003434F" w14:paraId="5F63C2F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EA307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19</w:t>
            </w:r>
          </w:p>
        </w:tc>
        <w:tc>
          <w:tcPr>
            <w:tcW w:w="0" w:type="auto"/>
            <w:vAlign w:val="center"/>
            <w:hideMark/>
          </w:tcPr>
          <w:p w14:paraId="5B5110F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تُسهم الأنظمة الذكية المستخدمة في الشركة في تحسين دقة قياس ومراقبة مستويات الفاقد الفني عبر مراحل الشبكة المختلفة</w:t>
            </w:r>
          </w:p>
        </w:tc>
        <w:tc>
          <w:tcPr>
            <w:tcW w:w="0" w:type="auto"/>
            <w:vAlign w:val="center"/>
            <w:hideMark/>
          </w:tcPr>
          <w:p w14:paraId="5004396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3.94</w:t>
            </w:r>
          </w:p>
        </w:tc>
        <w:tc>
          <w:tcPr>
            <w:tcW w:w="0" w:type="auto"/>
            <w:vAlign w:val="center"/>
            <w:hideMark/>
          </w:tcPr>
          <w:p w14:paraId="4D1C142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0.798</w:t>
            </w:r>
          </w:p>
        </w:tc>
        <w:tc>
          <w:tcPr>
            <w:tcW w:w="0" w:type="auto"/>
            <w:vAlign w:val="center"/>
            <w:hideMark/>
          </w:tcPr>
          <w:p w14:paraId="493E7BF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7D27152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0BD059A0"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3AC443"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24</w:t>
            </w:r>
          </w:p>
        </w:tc>
        <w:tc>
          <w:tcPr>
            <w:tcW w:w="0" w:type="auto"/>
            <w:vAlign w:val="center"/>
            <w:hideMark/>
          </w:tcPr>
          <w:p w14:paraId="16880BF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تحسّن متوسط زمن اكتشاف الأعطال وعزلها واستعادة الخدمة الكهربائية في الشركة بفضل أنظمة الكشف والاستجابة المتقدمة</w:t>
            </w:r>
          </w:p>
        </w:tc>
        <w:tc>
          <w:tcPr>
            <w:tcW w:w="0" w:type="auto"/>
            <w:vAlign w:val="center"/>
            <w:hideMark/>
          </w:tcPr>
          <w:p w14:paraId="7C3FE37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3.89</w:t>
            </w:r>
          </w:p>
        </w:tc>
        <w:tc>
          <w:tcPr>
            <w:tcW w:w="0" w:type="auto"/>
            <w:vAlign w:val="center"/>
            <w:hideMark/>
          </w:tcPr>
          <w:p w14:paraId="3A0612D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0.814</w:t>
            </w:r>
          </w:p>
        </w:tc>
        <w:tc>
          <w:tcPr>
            <w:tcW w:w="0" w:type="auto"/>
            <w:vAlign w:val="center"/>
            <w:hideMark/>
          </w:tcPr>
          <w:p w14:paraId="160C939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w:t>
            </w:r>
          </w:p>
        </w:tc>
        <w:tc>
          <w:tcPr>
            <w:tcW w:w="0" w:type="auto"/>
            <w:vAlign w:val="center"/>
            <w:hideMark/>
          </w:tcPr>
          <w:p w14:paraId="7B872CD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03BFCB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0B0C0A"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20</w:t>
            </w:r>
          </w:p>
        </w:tc>
        <w:tc>
          <w:tcPr>
            <w:tcW w:w="0" w:type="auto"/>
            <w:vAlign w:val="center"/>
            <w:hideMark/>
          </w:tcPr>
          <w:p w14:paraId="69D9CF5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تحسّنت مؤشرات كفاءة الشبكة الكهربائية كمعدلات الجهد وجودة الطاقة بفضل التقنيات الحديثة المطبّقة في الشركة</w:t>
            </w:r>
          </w:p>
        </w:tc>
        <w:tc>
          <w:tcPr>
            <w:tcW w:w="0" w:type="auto"/>
            <w:vAlign w:val="center"/>
            <w:hideMark/>
          </w:tcPr>
          <w:p w14:paraId="63F3680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3.86</w:t>
            </w:r>
          </w:p>
        </w:tc>
        <w:tc>
          <w:tcPr>
            <w:tcW w:w="0" w:type="auto"/>
            <w:vAlign w:val="center"/>
            <w:hideMark/>
          </w:tcPr>
          <w:p w14:paraId="0BEA122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0.823</w:t>
            </w:r>
          </w:p>
        </w:tc>
        <w:tc>
          <w:tcPr>
            <w:tcW w:w="0" w:type="auto"/>
            <w:vAlign w:val="center"/>
            <w:hideMark/>
          </w:tcPr>
          <w:p w14:paraId="2DC764E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w:t>
            </w:r>
          </w:p>
        </w:tc>
        <w:tc>
          <w:tcPr>
            <w:tcW w:w="0" w:type="auto"/>
            <w:vAlign w:val="center"/>
            <w:hideMark/>
          </w:tcPr>
          <w:p w14:paraId="557763C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05514D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5C065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25</w:t>
            </w:r>
          </w:p>
        </w:tc>
        <w:tc>
          <w:tcPr>
            <w:tcW w:w="0" w:type="auto"/>
            <w:vAlign w:val="center"/>
            <w:hideMark/>
          </w:tcPr>
          <w:p w14:paraId="7D6C71C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تمتلك الشركة خطط صيانة فعّالة تُسهم في إطالة العمر الافتراضي لمكونات الشبكة وتقليل معدلات الإخفاق</w:t>
            </w:r>
          </w:p>
        </w:tc>
        <w:tc>
          <w:tcPr>
            <w:tcW w:w="0" w:type="auto"/>
            <w:vAlign w:val="center"/>
            <w:hideMark/>
          </w:tcPr>
          <w:p w14:paraId="4456AD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3.83</w:t>
            </w:r>
          </w:p>
        </w:tc>
        <w:tc>
          <w:tcPr>
            <w:tcW w:w="0" w:type="auto"/>
            <w:vAlign w:val="center"/>
            <w:hideMark/>
          </w:tcPr>
          <w:p w14:paraId="4C5838B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0.841</w:t>
            </w:r>
          </w:p>
        </w:tc>
        <w:tc>
          <w:tcPr>
            <w:tcW w:w="0" w:type="auto"/>
            <w:vAlign w:val="center"/>
            <w:hideMark/>
          </w:tcPr>
          <w:p w14:paraId="6F84D15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w:t>
            </w:r>
          </w:p>
        </w:tc>
        <w:tc>
          <w:tcPr>
            <w:tcW w:w="0" w:type="auto"/>
            <w:vAlign w:val="center"/>
            <w:hideMark/>
          </w:tcPr>
          <w:p w14:paraId="5560096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5BA8EF64"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E9D28"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18</w:t>
            </w:r>
          </w:p>
        </w:tc>
        <w:tc>
          <w:tcPr>
            <w:tcW w:w="0" w:type="auto"/>
            <w:vAlign w:val="center"/>
            <w:hideMark/>
          </w:tcPr>
          <w:p w14:paraId="3AAFE1D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تُطبّق الشركة إجراءات فعّالة لتقليص خسائر المقاومة في خطوط النقل والتوزيع وخسائر المحولات</w:t>
            </w:r>
          </w:p>
        </w:tc>
        <w:tc>
          <w:tcPr>
            <w:tcW w:w="0" w:type="auto"/>
            <w:vAlign w:val="center"/>
            <w:hideMark/>
          </w:tcPr>
          <w:p w14:paraId="08770A6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3.79</w:t>
            </w:r>
          </w:p>
        </w:tc>
        <w:tc>
          <w:tcPr>
            <w:tcW w:w="0" w:type="auto"/>
            <w:vAlign w:val="center"/>
            <w:hideMark/>
          </w:tcPr>
          <w:p w14:paraId="59D71EC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0.856</w:t>
            </w:r>
          </w:p>
        </w:tc>
        <w:tc>
          <w:tcPr>
            <w:tcW w:w="0" w:type="auto"/>
            <w:vAlign w:val="center"/>
            <w:hideMark/>
          </w:tcPr>
          <w:p w14:paraId="2CC5BBA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5</w:t>
            </w:r>
          </w:p>
        </w:tc>
        <w:tc>
          <w:tcPr>
            <w:tcW w:w="0" w:type="auto"/>
            <w:vAlign w:val="center"/>
            <w:hideMark/>
          </w:tcPr>
          <w:p w14:paraId="38BD927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7B8D31BD"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F4BB72"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21</w:t>
            </w:r>
          </w:p>
        </w:tc>
        <w:tc>
          <w:tcPr>
            <w:tcW w:w="0" w:type="auto"/>
            <w:vAlign w:val="center"/>
            <w:hideMark/>
          </w:tcPr>
          <w:p w14:paraId="19C808B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تُحقّق الشركة توازناً فعّالاً في توزيع الأحمال بين مغذيات الشبكة بما يُقلّل من حالات التحميل الزائد ويُحسّن الكفاءة التشغيلية</w:t>
            </w:r>
          </w:p>
        </w:tc>
        <w:tc>
          <w:tcPr>
            <w:tcW w:w="0" w:type="auto"/>
            <w:vAlign w:val="center"/>
            <w:hideMark/>
          </w:tcPr>
          <w:p w14:paraId="2A040C1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3.76</w:t>
            </w:r>
          </w:p>
        </w:tc>
        <w:tc>
          <w:tcPr>
            <w:tcW w:w="0" w:type="auto"/>
            <w:vAlign w:val="center"/>
            <w:hideMark/>
          </w:tcPr>
          <w:p w14:paraId="785152A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0.867</w:t>
            </w:r>
          </w:p>
        </w:tc>
        <w:tc>
          <w:tcPr>
            <w:tcW w:w="0" w:type="auto"/>
            <w:vAlign w:val="center"/>
            <w:hideMark/>
          </w:tcPr>
          <w:p w14:paraId="62DCD19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6</w:t>
            </w:r>
          </w:p>
        </w:tc>
        <w:tc>
          <w:tcPr>
            <w:tcW w:w="0" w:type="auto"/>
            <w:vAlign w:val="center"/>
            <w:hideMark/>
          </w:tcPr>
          <w:p w14:paraId="4C628B7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02536A0C"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BA13DF"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17</w:t>
            </w:r>
          </w:p>
        </w:tc>
        <w:tc>
          <w:tcPr>
            <w:tcW w:w="0" w:type="auto"/>
            <w:vAlign w:val="center"/>
            <w:hideMark/>
          </w:tcPr>
          <w:p w14:paraId="679947B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انخفضت نسبة الفاقد الفني الإجمالي في شبكات الشركة بصورة ملحوظة خلال السنوات الأخيرة</w:t>
            </w:r>
          </w:p>
        </w:tc>
        <w:tc>
          <w:tcPr>
            <w:tcW w:w="0" w:type="auto"/>
            <w:vAlign w:val="center"/>
            <w:hideMark/>
          </w:tcPr>
          <w:p w14:paraId="7E616BD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3.72</w:t>
            </w:r>
          </w:p>
        </w:tc>
        <w:tc>
          <w:tcPr>
            <w:tcW w:w="0" w:type="auto"/>
            <w:vAlign w:val="center"/>
            <w:hideMark/>
          </w:tcPr>
          <w:p w14:paraId="7A72AC3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0.882</w:t>
            </w:r>
          </w:p>
        </w:tc>
        <w:tc>
          <w:tcPr>
            <w:tcW w:w="0" w:type="auto"/>
            <w:vAlign w:val="center"/>
            <w:hideMark/>
          </w:tcPr>
          <w:p w14:paraId="1C465C5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7</w:t>
            </w:r>
          </w:p>
        </w:tc>
        <w:tc>
          <w:tcPr>
            <w:tcW w:w="0" w:type="auto"/>
            <w:vAlign w:val="center"/>
            <w:hideMark/>
          </w:tcPr>
          <w:p w14:paraId="5250D6F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2636C67F"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7F732"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23</w:t>
            </w:r>
          </w:p>
        </w:tc>
        <w:tc>
          <w:tcPr>
            <w:tcW w:w="0" w:type="auto"/>
            <w:vAlign w:val="center"/>
            <w:hideMark/>
          </w:tcPr>
          <w:p w14:paraId="137312C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انخفض معدل تكرار الأعطال التشغيلية غير المخطط لها في شبكات الشركة خلال الفترة الأخيرة</w:t>
            </w:r>
          </w:p>
        </w:tc>
        <w:tc>
          <w:tcPr>
            <w:tcW w:w="0" w:type="auto"/>
            <w:vAlign w:val="center"/>
            <w:hideMark/>
          </w:tcPr>
          <w:p w14:paraId="40A4566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3.68</w:t>
            </w:r>
          </w:p>
        </w:tc>
        <w:tc>
          <w:tcPr>
            <w:tcW w:w="0" w:type="auto"/>
            <w:vAlign w:val="center"/>
            <w:hideMark/>
          </w:tcPr>
          <w:p w14:paraId="7B94704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0.893</w:t>
            </w:r>
          </w:p>
        </w:tc>
        <w:tc>
          <w:tcPr>
            <w:tcW w:w="0" w:type="auto"/>
            <w:vAlign w:val="center"/>
            <w:hideMark/>
          </w:tcPr>
          <w:p w14:paraId="08A46E7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8</w:t>
            </w:r>
          </w:p>
        </w:tc>
        <w:tc>
          <w:tcPr>
            <w:tcW w:w="0" w:type="auto"/>
            <w:vAlign w:val="center"/>
            <w:hideMark/>
          </w:tcPr>
          <w:p w14:paraId="272DE1A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4C84B40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69AF2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26</w:t>
            </w:r>
          </w:p>
        </w:tc>
        <w:tc>
          <w:tcPr>
            <w:tcW w:w="0" w:type="auto"/>
            <w:vAlign w:val="center"/>
            <w:hideMark/>
          </w:tcPr>
          <w:p w14:paraId="5771742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تتمتع الشبكة الكهربائية للشركة بالمرونة الكافية لاستيعاب التغيرات في أنماط الطلب ومصادر التوليد الموزّع دون المساس بجودة الخدمة</w:t>
            </w:r>
          </w:p>
        </w:tc>
        <w:tc>
          <w:tcPr>
            <w:tcW w:w="0" w:type="auto"/>
            <w:vAlign w:val="center"/>
            <w:hideMark/>
          </w:tcPr>
          <w:p w14:paraId="36813E0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3.63</w:t>
            </w:r>
          </w:p>
        </w:tc>
        <w:tc>
          <w:tcPr>
            <w:tcW w:w="0" w:type="auto"/>
            <w:vAlign w:val="center"/>
            <w:hideMark/>
          </w:tcPr>
          <w:p w14:paraId="173662A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0.912</w:t>
            </w:r>
          </w:p>
        </w:tc>
        <w:tc>
          <w:tcPr>
            <w:tcW w:w="0" w:type="auto"/>
            <w:vAlign w:val="center"/>
            <w:hideMark/>
          </w:tcPr>
          <w:p w14:paraId="1C74342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9</w:t>
            </w:r>
          </w:p>
        </w:tc>
        <w:tc>
          <w:tcPr>
            <w:tcW w:w="0" w:type="auto"/>
            <w:vAlign w:val="center"/>
            <w:hideMark/>
          </w:tcPr>
          <w:p w14:paraId="31029E6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53E9984B"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FA869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28</w:t>
            </w:r>
          </w:p>
        </w:tc>
        <w:tc>
          <w:tcPr>
            <w:tcW w:w="0" w:type="auto"/>
            <w:vAlign w:val="center"/>
            <w:hideMark/>
          </w:tcPr>
          <w:p w14:paraId="3B0A553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تعتمد الشركة على نماذج إدارة دورة حياة الأصول في ترشيد قرارات الاستبدال والتجديد بما يُعزّز الاستدامة التشغيلية والمالية للشبكة</w:t>
            </w:r>
          </w:p>
        </w:tc>
        <w:tc>
          <w:tcPr>
            <w:tcW w:w="0" w:type="auto"/>
            <w:vAlign w:val="center"/>
            <w:hideMark/>
          </w:tcPr>
          <w:p w14:paraId="1673798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3.58</w:t>
            </w:r>
          </w:p>
        </w:tc>
        <w:tc>
          <w:tcPr>
            <w:tcW w:w="0" w:type="auto"/>
            <w:vAlign w:val="center"/>
            <w:hideMark/>
          </w:tcPr>
          <w:p w14:paraId="67099DA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0.934</w:t>
            </w:r>
          </w:p>
        </w:tc>
        <w:tc>
          <w:tcPr>
            <w:tcW w:w="0" w:type="auto"/>
            <w:vAlign w:val="center"/>
            <w:hideMark/>
          </w:tcPr>
          <w:p w14:paraId="76F32F8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10</w:t>
            </w:r>
          </w:p>
        </w:tc>
        <w:tc>
          <w:tcPr>
            <w:tcW w:w="0" w:type="auto"/>
            <w:vAlign w:val="center"/>
            <w:hideMark/>
          </w:tcPr>
          <w:p w14:paraId="6A72DF3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40C07E96"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45D3F"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27</w:t>
            </w:r>
          </w:p>
        </w:tc>
        <w:tc>
          <w:tcPr>
            <w:tcW w:w="0" w:type="auto"/>
            <w:vAlign w:val="center"/>
            <w:hideMark/>
          </w:tcPr>
          <w:p w14:paraId="47FA183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تُحقّق الشركة تقدماً ملموساً في دمج مصادر الطاقة المتجددة في شبكتها مع الحفاظ على استقرار التشغيل وكفاءته</w:t>
            </w:r>
          </w:p>
        </w:tc>
        <w:tc>
          <w:tcPr>
            <w:tcW w:w="0" w:type="auto"/>
            <w:vAlign w:val="center"/>
            <w:hideMark/>
          </w:tcPr>
          <w:p w14:paraId="6080107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3.54</w:t>
            </w:r>
          </w:p>
        </w:tc>
        <w:tc>
          <w:tcPr>
            <w:tcW w:w="0" w:type="auto"/>
            <w:vAlign w:val="center"/>
            <w:hideMark/>
          </w:tcPr>
          <w:p w14:paraId="2C052D5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0.948</w:t>
            </w:r>
          </w:p>
        </w:tc>
        <w:tc>
          <w:tcPr>
            <w:tcW w:w="0" w:type="auto"/>
            <w:vAlign w:val="center"/>
            <w:hideMark/>
          </w:tcPr>
          <w:p w14:paraId="5DA9BA6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11</w:t>
            </w:r>
          </w:p>
        </w:tc>
        <w:tc>
          <w:tcPr>
            <w:tcW w:w="0" w:type="auto"/>
            <w:vAlign w:val="center"/>
            <w:hideMark/>
          </w:tcPr>
          <w:p w14:paraId="5360B9B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2C54338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C51EAE"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22</w:t>
            </w:r>
          </w:p>
        </w:tc>
        <w:tc>
          <w:tcPr>
            <w:tcW w:w="0" w:type="auto"/>
            <w:vAlign w:val="center"/>
            <w:hideMark/>
          </w:tcPr>
          <w:p w14:paraId="2C36B90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تنجح الشركة في تأخير الحاجة إلى استثمارات التوسعة من خلال رفع كفاءة الشبكة القائمة وتعظيم الاستفادة من البنية التحتية المتاحة</w:t>
            </w:r>
          </w:p>
        </w:tc>
        <w:tc>
          <w:tcPr>
            <w:tcW w:w="0" w:type="auto"/>
            <w:vAlign w:val="center"/>
            <w:hideMark/>
          </w:tcPr>
          <w:p w14:paraId="4A65F84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3.47</w:t>
            </w:r>
          </w:p>
        </w:tc>
        <w:tc>
          <w:tcPr>
            <w:tcW w:w="0" w:type="auto"/>
            <w:vAlign w:val="center"/>
            <w:hideMark/>
          </w:tcPr>
          <w:p w14:paraId="44F2530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0.961</w:t>
            </w:r>
          </w:p>
        </w:tc>
        <w:tc>
          <w:tcPr>
            <w:tcW w:w="0" w:type="auto"/>
            <w:vAlign w:val="center"/>
            <w:hideMark/>
          </w:tcPr>
          <w:p w14:paraId="1F67CC7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12</w:t>
            </w:r>
          </w:p>
        </w:tc>
        <w:tc>
          <w:tcPr>
            <w:tcW w:w="0" w:type="auto"/>
            <w:vAlign w:val="center"/>
            <w:hideMark/>
          </w:tcPr>
          <w:p w14:paraId="6C1CEA4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مرتفعة</w:t>
            </w:r>
          </w:p>
        </w:tc>
      </w:tr>
      <w:tr w:rsidR="00AE38FA" w:rsidRPr="0003434F" w14:paraId="6822F9D8"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48BEFF" w14:textId="77777777" w:rsidR="00AE38FA" w:rsidRPr="0003434F" w:rsidRDefault="00AE38FA" w:rsidP="00026EEC">
            <w:pPr>
              <w:jc w:val="center"/>
              <w:rPr>
                <w:rFonts w:ascii="Simplified Arabic" w:hAnsi="Simplified Arabic" w:cs="Simplified Arabic"/>
                <w:b w:val="0"/>
                <w:bCs w:val="0"/>
                <w:sz w:val="20"/>
                <w:szCs w:val="20"/>
              </w:rPr>
            </w:pPr>
          </w:p>
        </w:tc>
        <w:tc>
          <w:tcPr>
            <w:tcW w:w="0" w:type="auto"/>
            <w:vAlign w:val="center"/>
            <w:hideMark/>
          </w:tcPr>
          <w:p w14:paraId="42D3FC0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المتوسط العام للمتغير التابع</w:t>
            </w:r>
          </w:p>
        </w:tc>
        <w:tc>
          <w:tcPr>
            <w:tcW w:w="0" w:type="auto"/>
            <w:vAlign w:val="center"/>
            <w:hideMark/>
          </w:tcPr>
          <w:p w14:paraId="597865A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3.72</w:t>
            </w:r>
          </w:p>
        </w:tc>
        <w:tc>
          <w:tcPr>
            <w:tcW w:w="0" w:type="auto"/>
            <w:vAlign w:val="center"/>
            <w:hideMark/>
          </w:tcPr>
          <w:p w14:paraId="7AE0414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Pr>
              <w:t>0.753</w:t>
            </w:r>
          </w:p>
        </w:tc>
        <w:tc>
          <w:tcPr>
            <w:tcW w:w="0" w:type="auto"/>
            <w:vAlign w:val="center"/>
            <w:hideMark/>
          </w:tcPr>
          <w:p w14:paraId="0834646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p>
        </w:tc>
        <w:tc>
          <w:tcPr>
            <w:tcW w:w="0" w:type="auto"/>
            <w:vAlign w:val="center"/>
            <w:hideMark/>
          </w:tcPr>
          <w:p w14:paraId="5CFCC51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Style w:val="Strong"/>
                <w:rFonts w:ascii="Simplified Arabic" w:hAnsi="Simplified Arabic" w:cs="Simplified Arabic"/>
                <w:b w:val="0"/>
                <w:bCs w:val="0"/>
                <w:sz w:val="20"/>
                <w:szCs w:val="20"/>
                <w:rtl/>
              </w:rPr>
              <w:t>مرتفعة</w:t>
            </w:r>
          </w:p>
        </w:tc>
      </w:tr>
    </w:tbl>
    <w:p w14:paraId="20D7CD87"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lastRenderedPageBreak/>
        <w:t xml:space="preserve">يتّضح من الجدول (10) أن المتوسط العام للمتغير التابع بلغ (3.72) بانحراف معياري (0.753)، وهو يقع ضمن مستوى الموافقة المرتفعة، مما يُشير إلى تقييم إيجابي من قِبَل المبحوثين لمستوى الكفاءة التشغيلية وجهود الحدّ من الخسائر الفنية في الشركة. وقد جاءت الفقرة المتعلقة بإسهام الأنظمة الذكية في تحسين دقة قياس الفاقد الفني في المرتبة الأولى بمتوسط (3.94)، مما يعكس الأثر المحسوس للتحول الرقمي على قدرات الرصد والمراقبة. بينما جاءت الفقرة المتعلقة بتأخير استثمارات التوسعة من خلال رفع كفاءة الشبكة القائمة في المرتبة الأخيرة بمتوسط </w:t>
      </w:r>
      <w:r w:rsidRPr="00026EEC">
        <w:rPr>
          <w:rFonts w:ascii="Simplified Arabic" w:hAnsi="Simplified Arabic" w:cs="Simplified Arabic"/>
        </w:rPr>
        <w:t>(3.47)</w:t>
      </w:r>
      <w:r w:rsidRPr="00026EEC">
        <w:rPr>
          <w:rFonts w:ascii="Simplified Arabic" w:hAnsi="Simplified Arabic" w:cs="Simplified Arabic"/>
          <w:rtl/>
        </w:rPr>
        <w:t>، مما قد يُشير إلى أن الحاجة إلى التوسعة لا تزال قائمة بالرغم من جهود تحسين الكفاءة نظراً للنمو المتسارع في الطلب. كما يُلاحظ أن الفقرات المتعلقة بالاستدامة ودمج الطاقة المتجددة وإدارة دورة حياة الأصول حصلت على متوسطات أقل نسبياً، مما يُبرز أن هذه المجالات لا تزال في مراحل التطوير والنضج</w:t>
      </w:r>
      <w:r w:rsidRPr="00026EEC">
        <w:rPr>
          <w:rFonts w:ascii="Simplified Arabic" w:hAnsi="Simplified Arabic" w:cs="Simplified Arabic"/>
        </w:rPr>
        <w:t>.</w:t>
      </w:r>
    </w:p>
    <w:p w14:paraId="7B6125AD" w14:textId="1740A144" w:rsidR="00E178F3" w:rsidRPr="00026EEC" w:rsidRDefault="00E178F3" w:rsidP="00026EEC">
      <w:pPr>
        <w:spacing w:after="0" w:line="240" w:lineRule="auto"/>
        <w:outlineLvl w:val="1"/>
        <w:rPr>
          <w:rFonts w:ascii="Simplified Arabic" w:hAnsi="Simplified Arabic" w:cs="Simplified Arabic"/>
          <w:b/>
          <w:bCs/>
          <w:sz w:val="24"/>
          <w:szCs w:val="24"/>
          <w:rtl/>
        </w:rPr>
      </w:pPr>
      <w:bookmarkStart w:id="32" w:name="_Toc223386552"/>
      <w:r w:rsidRPr="00026EEC">
        <w:rPr>
          <w:rFonts w:ascii="Simplified Arabic" w:hAnsi="Simplified Arabic" w:cs="Simplified Arabic"/>
          <w:b/>
          <w:bCs/>
          <w:sz w:val="24"/>
          <w:szCs w:val="24"/>
          <w:rtl/>
        </w:rPr>
        <w:t>اختبار فرضيات الدراسة</w:t>
      </w:r>
      <w:bookmarkEnd w:id="32"/>
    </w:p>
    <w:p w14:paraId="11F489C4" w14:textId="58EF59B4" w:rsidR="00AE38FA" w:rsidRPr="00026EEC" w:rsidRDefault="00E178F3" w:rsidP="00026EEC">
      <w:pPr>
        <w:spacing w:after="0" w:line="240" w:lineRule="auto"/>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اختبار الفرضية الرئيسة</w:t>
      </w:r>
    </w:p>
    <w:p w14:paraId="12AD5604"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Style w:val="Strong"/>
          <w:rFonts w:ascii="Simplified Arabic" w:hAnsi="Simplified Arabic" w:cs="Simplified Arabic"/>
          <w:rtl/>
        </w:rPr>
        <w:t>نصّ الفرضية</w:t>
      </w:r>
      <w:r w:rsidRPr="00026EEC">
        <w:rPr>
          <w:rStyle w:val="Strong"/>
          <w:rFonts w:ascii="Simplified Arabic" w:hAnsi="Simplified Arabic" w:cs="Simplified Arabic"/>
          <w:b w:val="0"/>
          <w:bCs w:val="0"/>
        </w:rPr>
        <w:t>:</w:t>
      </w:r>
      <w:r w:rsidRPr="00026EEC">
        <w:rPr>
          <w:rFonts w:ascii="Simplified Arabic" w:hAnsi="Simplified Arabic" w:cs="Simplified Arabic"/>
        </w:rPr>
        <w:t xml:space="preserve"> </w:t>
      </w:r>
      <w:r w:rsidRPr="00026EEC">
        <w:rPr>
          <w:rFonts w:ascii="Simplified Arabic" w:hAnsi="Simplified Arabic" w:cs="Simplified Arabic"/>
          <w:rtl/>
        </w:rPr>
        <w:t>لا يوجد أثر ذو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لإدارة المخاطر التشغيلية المتقدمة بأبعادها المختلفة (أدوات تقييم المخاطر التشغيلية، استراتيجيات الاستجابة للمخاطر، تقنيات المراقبة الذكية والصيانة الوقائية، تكامل تقنيات إدارة المخاطر والذكاء الاصطناعي) على الحدّ من الخسائر الفنية وتحسين الكفاءة التشغيلية في شبكات الكهرباء الذكية في الشركة السعودية للكهرباء</w:t>
      </w:r>
      <w:r w:rsidRPr="00026EEC">
        <w:rPr>
          <w:rFonts w:ascii="Simplified Arabic" w:hAnsi="Simplified Arabic" w:cs="Simplified Arabic"/>
        </w:rPr>
        <w:t>.</w:t>
      </w:r>
    </w:p>
    <w:p w14:paraId="1EC98CA8" w14:textId="77777777" w:rsidR="00AE38FA" w:rsidRPr="00026EEC" w:rsidRDefault="00AE38FA" w:rsidP="00026EEC">
      <w:pPr>
        <w:pStyle w:val="NormalWeb"/>
        <w:bidi/>
        <w:spacing w:before="0" w:beforeAutospacing="0" w:after="0" w:afterAutospacing="0"/>
        <w:ind w:firstLine="708"/>
        <w:jc w:val="both"/>
        <w:rPr>
          <w:rFonts w:ascii="Simplified Arabic" w:hAnsi="Simplified Arabic" w:cs="Simplified Arabic"/>
        </w:rPr>
      </w:pPr>
      <w:r w:rsidRPr="00026EEC">
        <w:rPr>
          <w:rFonts w:ascii="Simplified Arabic" w:hAnsi="Simplified Arabic" w:cs="Simplified Arabic"/>
          <w:rtl/>
        </w:rPr>
        <w:t>للتحقق من هذه الفرضية، تم استخدام تحليل الانحدار الخطي المتعدد</w:t>
      </w:r>
      <w:r w:rsidRPr="00026EEC">
        <w:rPr>
          <w:rFonts w:ascii="Simplified Arabic" w:hAnsi="Simplified Arabic" w:cs="Simplified Arabic"/>
        </w:rPr>
        <w:t xml:space="preserve"> (Multiple Regression) </w:t>
      </w:r>
      <w:r w:rsidRPr="00026EEC">
        <w:rPr>
          <w:rFonts w:ascii="Simplified Arabic" w:hAnsi="Simplified Arabic" w:cs="Simplified Arabic"/>
          <w:rtl/>
        </w:rPr>
        <w:t>بهدف قياس تأثير أبعاد إدارة المخاطر التشغيلية المتقدمة (كعوامل مستقلة) على الحدّ من الخسائر الفنية وتحسين الكفاءة التشغيلية (كعامل تابع). وقد جاءت نتائج التحليل كما يلي</w:t>
      </w:r>
      <w:r w:rsidRPr="00026EEC">
        <w:rPr>
          <w:rFonts w:ascii="Simplified Arabic" w:hAnsi="Simplified Arabic" w:cs="Simplified Arabic"/>
        </w:rPr>
        <w:t>:</w:t>
      </w:r>
    </w:p>
    <w:p w14:paraId="3525BB29" w14:textId="5E95528C"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16</w:t>
      </w:r>
      <w:r w:rsidRPr="00026EEC">
        <w:rPr>
          <w:rStyle w:val="Strong"/>
          <w:rFonts w:ascii="Simplified Arabic" w:hAnsi="Simplified Arabic" w:cs="Simplified Arabic"/>
          <w:rtl/>
        </w:rPr>
        <w:t>): نتائج تحليل الانحدار المتعدد لأثر أبعاد إدارة المخاطر التشغيلية المتقدمة على الحدّ من الخسائر الفنية وتحسين الكفاءة التشغيلية</w:t>
      </w:r>
    </w:p>
    <w:tbl>
      <w:tblPr>
        <w:tblStyle w:val="GridTable1Light-Accent5"/>
        <w:bidiVisual/>
        <w:tblW w:w="0" w:type="auto"/>
        <w:jc w:val="center"/>
        <w:tblLook w:val="04A0" w:firstRow="1" w:lastRow="0" w:firstColumn="1" w:lastColumn="0" w:noHBand="0" w:noVBand="1"/>
      </w:tblPr>
      <w:tblGrid>
        <w:gridCol w:w="3304"/>
        <w:gridCol w:w="1648"/>
        <w:gridCol w:w="1098"/>
        <w:gridCol w:w="1103"/>
      </w:tblGrid>
      <w:tr w:rsidR="00AE38FA" w:rsidRPr="0003434F" w14:paraId="52E63D0A" w14:textId="77777777" w:rsidTr="00327C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89DB3B"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المتغيرات المستقلة</w:t>
            </w:r>
          </w:p>
        </w:tc>
        <w:tc>
          <w:tcPr>
            <w:tcW w:w="0" w:type="auto"/>
            <w:vAlign w:val="center"/>
            <w:hideMark/>
          </w:tcPr>
          <w:p w14:paraId="5AAC16E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معاملات الانحدار</w:t>
            </w:r>
            <w:r w:rsidRPr="0003434F">
              <w:rPr>
                <w:rFonts w:ascii="Simplified Arabic" w:hAnsi="Simplified Arabic" w:cs="Simplified Arabic"/>
                <w:b w:val="0"/>
                <w:bCs w:val="0"/>
                <w:sz w:val="20"/>
                <w:szCs w:val="20"/>
              </w:rPr>
              <w:t xml:space="preserve"> (B)</w:t>
            </w:r>
          </w:p>
        </w:tc>
        <w:tc>
          <w:tcPr>
            <w:tcW w:w="0" w:type="auto"/>
            <w:vAlign w:val="center"/>
            <w:hideMark/>
          </w:tcPr>
          <w:p w14:paraId="16F7D67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قيمة اختبار</w:t>
            </w:r>
            <w:r w:rsidRPr="0003434F">
              <w:rPr>
                <w:rFonts w:ascii="Simplified Arabic" w:hAnsi="Simplified Arabic" w:cs="Simplified Arabic"/>
                <w:b w:val="0"/>
                <w:bCs w:val="0"/>
                <w:sz w:val="20"/>
                <w:szCs w:val="20"/>
              </w:rPr>
              <w:t xml:space="preserve"> T</w:t>
            </w:r>
          </w:p>
        </w:tc>
        <w:tc>
          <w:tcPr>
            <w:tcW w:w="0" w:type="auto"/>
            <w:vAlign w:val="center"/>
            <w:hideMark/>
          </w:tcPr>
          <w:p w14:paraId="3CEC5E30"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مستوى الدلالة</w:t>
            </w:r>
          </w:p>
        </w:tc>
      </w:tr>
      <w:tr w:rsidR="00AE38FA" w:rsidRPr="0003434F" w14:paraId="14A0C00D"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C08E2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(Constant) </w:t>
            </w:r>
            <w:r w:rsidRPr="0003434F">
              <w:rPr>
                <w:rFonts w:ascii="Simplified Arabic" w:hAnsi="Simplified Arabic" w:cs="Simplified Arabic"/>
                <w:b w:val="0"/>
                <w:bCs w:val="0"/>
                <w:sz w:val="20"/>
                <w:szCs w:val="20"/>
                <w:rtl/>
              </w:rPr>
              <w:t>المقدار الثابت</w:t>
            </w:r>
          </w:p>
        </w:tc>
        <w:tc>
          <w:tcPr>
            <w:tcW w:w="0" w:type="auto"/>
            <w:vAlign w:val="center"/>
            <w:hideMark/>
          </w:tcPr>
          <w:p w14:paraId="271A997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0.436</w:t>
            </w:r>
          </w:p>
        </w:tc>
        <w:tc>
          <w:tcPr>
            <w:tcW w:w="0" w:type="auto"/>
            <w:vAlign w:val="center"/>
            <w:hideMark/>
          </w:tcPr>
          <w:p w14:paraId="427DD9D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3.287</w:t>
            </w:r>
          </w:p>
        </w:tc>
        <w:tc>
          <w:tcPr>
            <w:tcW w:w="0" w:type="auto"/>
            <w:vAlign w:val="center"/>
            <w:hideMark/>
          </w:tcPr>
          <w:p w14:paraId="711A2F9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0.001**</w:t>
            </w:r>
          </w:p>
        </w:tc>
      </w:tr>
      <w:tr w:rsidR="00AE38FA" w:rsidRPr="0003434F" w14:paraId="4EA72712"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F4608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أدوات تقييم المخاطر التشغيلية</w:t>
            </w:r>
          </w:p>
        </w:tc>
        <w:tc>
          <w:tcPr>
            <w:tcW w:w="0" w:type="auto"/>
            <w:vAlign w:val="center"/>
            <w:hideMark/>
          </w:tcPr>
          <w:p w14:paraId="3B270E0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0.194</w:t>
            </w:r>
          </w:p>
        </w:tc>
        <w:tc>
          <w:tcPr>
            <w:tcW w:w="0" w:type="auto"/>
            <w:vAlign w:val="center"/>
            <w:hideMark/>
          </w:tcPr>
          <w:p w14:paraId="6452026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3.612</w:t>
            </w:r>
          </w:p>
        </w:tc>
        <w:tc>
          <w:tcPr>
            <w:tcW w:w="0" w:type="auto"/>
            <w:vAlign w:val="center"/>
            <w:hideMark/>
          </w:tcPr>
          <w:p w14:paraId="393202E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r w:rsidR="00AE38FA" w:rsidRPr="0003434F" w14:paraId="27B8AA4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92C9BB"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استراتيجيات الاستجابة للمخاطر</w:t>
            </w:r>
          </w:p>
        </w:tc>
        <w:tc>
          <w:tcPr>
            <w:tcW w:w="0" w:type="auto"/>
            <w:vAlign w:val="center"/>
            <w:hideMark/>
          </w:tcPr>
          <w:p w14:paraId="0352163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0.238</w:t>
            </w:r>
          </w:p>
        </w:tc>
        <w:tc>
          <w:tcPr>
            <w:tcW w:w="0" w:type="auto"/>
            <w:vAlign w:val="center"/>
            <w:hideMark/>
          </w:tcPr>
          <w:p w14:paraId="7F2B7C5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4.247</w:t>
            </w:r>
          </w:p>
        </w:tc>
        <w:tc>
          <w:tcPr>
            <w:tcW w:w="0" w:type="auto"/>
            <w:vAlign w:val="center"/>
            <w:hideMark/>
          </w:tcPr>
          <w:p w14:paraId="424D3A0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r w:rsidR="00AE38FA" w:rsidRPr="0003434F" w14:paraId="4447BD83"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8A640"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تقنيات المراقبة الذكية والصيانة الوقائية</w:t>
            </w:r>
          </w:p>
        </w:tc>
        <w:tc>
          <w:tcPr>
            <w:tcW w:w="0" w:type="auto"/>
            <w:vAlign w:val="center"/>
            <w:hideMark/>
          </w:tcPr>
          <w:p w14:paraId="33BEE44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0.312</w:t>
            </w:r>
          </w:p>
        </w:tc>
        <w:tc>
          <w:tcPr>
            <w:tcW w:w="0" w:type="auto"/>
            <w:vAlign w:val="center"/>
            <w:hideMark/>
          </w:tcPr>
          <w:p w14:paraId="3D4766F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5.834</w:t>
            </w:r>
          </w:p>
        </w:tc>
        <w:tc>
          <w:tcPr>
            <w:tcW w:w="0" w:type="auto"/>
            <w:vAlign w:val="center"/>
            <w:hideMark/>
          </w:tcPr>
          <w:p w14:paraId="77459A9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r w:rsidR="00AE38FA" w:rsidRPr="0003434F" w14:paraId="27E91A0E"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3E28C7"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تكامل تقنيات إدارة المخاطر والذكاء الاصطناعي</w:t>
            </w:r>
          </w:p>
        </w:tc>
        <w:tc>
          <w:tcPr>
            <w:tcW w:w="0" w:type="auto"/>
            <w:vAlign w:val="center"/>
            <w:hideMark/>
          </w:tcPr>
          <w:p w14:paraId="5EAF1A2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0.267</w:t>
            </w:r>
          </w:p>
        </w:tc>
        <w:tc>
          <w:tcPr>
            <w:tcW w:w="0" w:type="auto"/>
            <w:vAlign w:val="center"/>
            <w:hideMark/>
          </w:tcPr>
          <w:p w14:paraId="7E8A5AE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4.891</w:t>
            </w:r>
          </w:p>
        </w:tc>
        <w:tc>
          <w:tcPr>
            <w:tcW w:w="0" w:type="auto"/>
            <w:vAlign w:val="center"/>
            <w:hideMark/>
          </w:tcPr>
          <w:p w14:paraId="1CCE0D8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r w:rsidR="00327C81" w:rsidRPr="0003434F" w14:paraId="16EA47C7"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95F28" w14:textId="77777777" w:rsidR="00327C81" w:rsidRPr="0003434F" w:rsidRDefault="00327C81"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الارتباط</w:t>
            </w:r>
            <w:r w:rsidRPr="0003434F">
              <w:rPr>
                <w:rFonts w:ascii="Simplified Arabic" w:hAnsi="Simplified Arabic" w:cs="Simplified Arabic"/>
                <w:b w:val="0"/>
                <w:bCs w:val="0"/>
                <w:sz w:val="20"/>
                <w:szCs w:val="20"/>
              </w:rPr>
              <w:t xml:space="preserve"> R = 0.847</w:t>
            </w:r>
          </w:p>
        </w:tc>
        <w:tc>
          <w:tcPr>
            <w:tcW w:w="0" w:type="auto"/>
            <w:gridSpan w:val="3"/>
            <w:vAlign w:val="center"/>
            <w:hideMark/>
          </w:tcPr>
          <w:p w14:paraId="01683C9F" w14:textId="38D166AD"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معامل التحديد</w:t>
            </w:r>
            <w:r w:rsidRPr="0003434F">
              <w:rPr>
                <w:rFonts w:ascii="Simplified Arabic" w:hAnsi="Simplified Arabic" w:cs="Simplified Arabic"/>
                <w:sz w:val="20"/>
                <w:szCs w:val="20"/>
              </w:rPr>
              <w:t xml:space="preserve"> R² = 0.717</w:t>
            </w:r>
          </w:p>
        </w:tc>
      </w:tr>
      <w:tr w:rsidR="00327C81" w:rsidRPr="0003434F" w14:paraId="2F075ADA" w14:textId="77777777" w:rsidTr="00327C8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0509F" w14:textId="77777777" w:rsidR="00327C81" w:rsidRPr="0003434F" w:rsidRDefault="00327C81"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قيمة الاختبار</w:t>
            </w:r>
            <w:r w:rsidRPr="0003434F">
              <w:rPr>
                <w:rFonts w:ascii="Simplified Arabic" w:hAnsi="Simplified Arabic" w:cs="Simplified Arabic"/>
                <w:b w:val="0"/>
                <w:bCs w:val="0"/>
                <w:sz w:val="20"/>
                <w:szCs w:val="20"/>
              </w:rPr>
              <w:t xml:space="preserve"> F = 219.743</w:t>
            </w:r>
          </w:p>
        </w:tc>
        <w:tc>
          <w:tcPr>
            <w:tcW w:w="0" w:type="auto"/>
            <w:gridSpan w:val="3"/>
            <w:vAlign w:val="center"/>
            <w:hideMark/>
          </w:tcPr>
          <w:p w14:paraId="0457954D" w14:textId="74E838C8" w:rsidR="00327C81" w:rsidRPr="0003434F" w:rsidRDefault="00327C81"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القيمة الاحتمالية</w:t>
            </w:r>
            <w:r w:rsidRPr="0003434F">
              <w:rPr>
                <w:rFonts w:ascii="Simplified Arabic" w:hAnsi="Simplified Arabic" w:cs="Simplified Arabic"/>
                <w:sz w:val="20"/>
                <w:szCs w:val="20"/>
              </w:rPr>
              <w:t xml:space="preserve"> Sig. = 0.000</w:t>
            </w:r>
          </w:p>
        </w:tc>
      </w:tr>
    </w:tbl>
    <w:p w14:paraId="483539A8" w14:textId="77777777" w:rsidR="00AE38FA" w:rsidRPr="00026EEC" w:rsidRDefault="00AE38FA" w:rsidP="00026EEC">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Pr>
        <w:t xml:space="preserve">** </w:t>
      </w:r>
      <w:r w:rsidRPr="00026EEC">
        <w:rPr>
          <w:rFonts w:ascii="Simplified Arabic" w:hAnsi="Simplified Arabic" w:cs="Simplified Arabic"/>
          <w:rtl/>
        </w:rPr>
        <w:t>دال إحصائياً عند مستوى</w:t>
      </w:r>
      <w:r w:rsidRPr="00026EEC">
        <w:rPr>
          <w:rFonts w:ascii="Simplified Arabic" w:hAnsi="Simplified Arabic" w:cs="Simplified Arabic"/>
        </w:rPr>
        <w:t xml:space="preserve"> (0.01)</w:t>
      </w:r>
    </w:p>
    <w:p w14:paraId="3CF1C16A" w14:textId="77777777" w:rsidR="00AE38FA" w:rsidRPr="00026EEC" w:rsidRDefault="00AE38FA" w:rsidP="00026EEC">
      <w:pPr>
        <w:pStyle w:val="NormalWeb"/>
        <w:bidi/>
        <w:spacing w:before="0" w:beforeAutospacing="0" w:after="0" w:afterAutospacing="0"/>
        <w:jc w:val="both"/>
        <w:rPr>
          <w:rFonts w:ascii="Simplified Arabic" w:hAnsi="Simplified Arabic" w:cs="Simplified Arabic"/>
          <w:i/>
          <w:iCs/>
        </w:rPr>
      </w:pPr>
      <w:r w:rsidRPr="00026EEC">
        <w:rPr>
          <w:rStyle w:val="Emphasis"/>
          <w:rFonts w:ascii="Simplified Arabic" w:eastAsiaTheme="majorEastAsia" w:hAnsi="Simplified Arabic" w:cs="Simplified Arabic"/>
          <w:i w:val="0"/>
          <w:iCs w:val="0"/>
          <w:rtl/>
        </w:rPr>
        <w:t>المصدر: من إعداد الباحث بالاعتماد على مخرجات</w:t>
      </w:r>
      <w:r w:rsidRPr="00026EEC">
        <w:rPr>
          <w:rStyle w:val="Emphasis"/>
          <w:rFonts w:ascii="Simplified Arabic" w:eastAsiaTheme="majorEastAsia" w:hAnsi="Simplified Arabic" w:cs="Simplified Arabic"/>
          <w:i w:val="0"/>
          <w:iCs w:val="0"/>
        </w:rPr>
        <w:t xml:space="preserve"> SPSS</w:t>
      </w:r>
    </w:p>
    <w:p w14:paraId="2195E21E"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تُشير نتائج تحليل الانحدار المتعدد الموضحة في الجدول (11) إلى وجود علاقة تأثيرية دالة إحصائياً بين أبعاد إدارة المخاطر التشغيلية المتقدمة كمتغيرات مستقلة، والحدّ من الخسائر الفنية وتحسين الكفاءة التشغيلية كمتغير تابع. فقد بلغ معامل التحديد</w:t>
      </w:r>
      <w:r w:rsidRPr="00026EEC">
        <w:rPr>
          <w:rFonts w:ascii="Simplified Arabic" w:hAnsi="Simplified Arabic" w:cs="Simplified Arabic"/>
        </w:rPr>
        <w:t xml:space="preserve"> (R²) </w:t>
      </w:r>
      <w:r w:rsidRPr="00026EEC">
        <w:rPr>
          <w:rFonts w:ascii="Simplified Arabic" w:hAnsi="Simplified Arabic" w:cs="Simplified Arabic"/>
          <w:rtl/>
        </w:rPr>
        <w:t>قيمة قدرها (0.717)، وهي نسبة مرتفعة تدل على أن (71.7%) من التباين في مستوى الحدّ من الخسائر الفنية وتحسين الكفاءة التشغيلية يمكن تفسيره من خلال المتغيرات الأربعة المتعلقة بإدارة المخاطر التشغيلية المتقدمة مجتمعة. كما تُشير قيمة معامل الارتباط</w:t>
      </w:r>
      <w:r w:rsidRPr="00026EEC">
        <w:rPr>
          <w:rFonts w:ascii="Simplified Arabic" w:hAnsi="Simplified Arabic" w:cs="Simplified Arabic"/>
        </w:rPr>
        <w:t xml:space="preserve"> (R = 0.847) </w:t>
      </w:r>
      <w:r w:rsidRPr="00026EEC">
        <w:rPr>
          <w:rFonts w:ascii="Simplified Arabic" w:hAnsi="Simplified Arabic" w:cs="Simplified Arabic"/>
          <w:rtl/>
        </w:rPr>
        <w:lastRenderedPageBreak/>
        <w:t>إلى وجود ارتباط قوي بين المتغيرات المدروسة. وتُؤكّد قيمة اختبار</w:t>
      </w:r>
      <w:r w:rsidRPr="00026EEC">
        <w:rPr>
          <w:rFonts w:ascii="Simplified Arabic" w:hAnsi="Simplified Arabic" w:cs="Simplified Arabic"/>
        </w:rPr>
        <w:t xml:space="preserve"> (F = 219.743) </w:t>
      </w:r>
      <w:r w:rsidRPr="00026EEC">
        <w:rPr>
          <w:rFonts w:ascii="Simplified Arabic" w:hAnsi="Simplified Arabic" w:cs="Simplified Arabic"/>
          <w:rtl/>
        </w:rPr>
        <w:t>بمستوى دلالة</w:t>
      </w:r>
      <w:r w:rsidRPr="00026EEC">
        <w:rPr>
          <w:rFonts w:ascii="Simplified Arabic" w:hAnsi="Simplified Arabic" w:cs="Simplified Arabic"/>
        </w:rPr>
        <w:t xml:space="preserve"> (Sig. = 0.000) </w:t>
      </w:r>
      <w:r w:rsidRPr="00026EEC">
        <w:rPr>
          <w:rFonts w:ascii="Simplified Arabic" w:hAnsi="Simplified Arabic" w:cs="Simplified Arabic"/>
          <w:rtl/>
        </w:rPr>
        <w:t>معنوية نموذج الانحدار ككل</w:t>
      </w:r>
      <w:r w:rsidRPr="00026EEC">
        <w:rPr>
          <w:rFonts w:ascii="Simplified Arabic" w:hAnsi="Simplified Arabic" w:cs="Simplified Arabic"/>
        </w:rPr>
        <w:t>.</w:t>
      </w:r>
    </w:p>
    <w:p w14:paraId="0E104DE0"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أما على مستوى الأبعاد الفردية، فقد تبيّن أن بُعد "تقنيات المراقبة الذكية والصيانة الوقائية" هو الأكثر تأثيراً على الحدّ من الخسائر الفنية وتحسين الكفاءة التشغيلية، حيث بلغ معامل الانحدار له</w:t>
      </w:r>
      <w:r w:rsidRPr="00026EEC">
        <w:rPr>
          <w:rFonts w:ascii="Simplified Arabic" w:hAnsi="Simplified Arabic" w:cs="Simplified Arabic"/>
        </w:rPr>
        <w:t xml:space="preserve"> (B = 0.312)</w:t>
      </w:r>
      <w:r w:rsidRPr="00026EEC">
        <w:rPr>
          <w:rFonts w:ascii="Simplified Arabic" w:hAnsi="Simplified Arabic" w:cs="Simplified Arabic"/>
          <w:rtl/>
        </w:rPr>
        <w:t>، وبلغت قيمة</w:t>
      </w:r>
      <w:r w:rsidRPr="00026EEC">
        <w:rPr>
          <w:rFonts w:ascii="Simplified Arabic" w:hAnsi="Simplified Arabic" w:cs="Simplified Arabic"/>
        </w:rPr>
        <w:t xml:space="preserve"> T (5.834) </w:t>
      </w:r>
      <w:r w:rsidRPr="00026EEC">
        <w:rPr>
          <w:rFonts w:ascii="Simplified Arabic" w:hAnsi="Simplified Arabic" w:cs="Simplified Arabic"/>
          <w:rtl/>
        </w:rPr>
        <w:t>بدلالة معنوية عالية</w:t>
      </w:r>
      <w:r w:rsidRPr="00026EEC">
        <w:rPr>
          <w:rFonts w:ascii="Simplified Arabic" w:hAnsi="Simplified Arabic" w:cs="Simplified Arabic"/>
        </w:rPr>
        <w:t xml:space="preserve"> (Sig. = 0.000). </w:t>
      </w:r>
      <w:r w:rsidRPr="00026EEC">
        <w:rPr>
          <w:rFonts w:ascii="Simplified Arabic" w:hAnsi="Simplified Arabic" w:cs="Simplified Arabic"/>
          <w:rtl/>
        </w:rPr>
        <w:t>ويُؤكّد ذلك الدور الحاسم الذي تلعبه تقنيات المراقبة الآنية والصيانة التنبؤية في اكتشاف مصادر الفاقد الفني ومعالجتها ومنع الأعطال قبل وقوعها</w:t>
      </w:r>
      <w:r w:rsidRPr="00026EEC">
        <w:rPr>
          <w:rFonts w:ascii="Simplified Arabic" w:hAnsi="Simplified Arabic" w:cs="Simplified Arabic"/>
        </w:rPr>
        <w:t>.</w:t>
      </w:r>
    </w:p>
    <w:p w14:paraId="22884DF6"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كما أظهرت النتائج أن بُعد "تكامل تقنيات إدارة المخاطر والذكاء الاصطناعي" جاء في المرتبة الثانية بمعامل انحدار</w:t>
      </w:r>
      <w:r w:rsidRPr="00026EEC">
        <w:rPr>
          <w:rFonts w:ascii="Simplified Arabic" w:hAnsi="Simplified Arabic" w:cs="Simplified Arabic"/>
        </w:rPr>
        <w:t xml:space="preserve"> (B = 0.267) </w:t>
      </w:r>
      <w:r w:rsidRPr="00026EEC">
        <w:rPr>
          <w:rFonts w:ascii="Simplified Arabic" w:hAnsi="Simplified Arabic" w:cs="Simplified Arabic"/>
          <w:rtl/>
        </w:rPr>
        <w:t>ودلالة معنوية عالية</w:t>
      </w:r>
      <w:r w:rsidRPr="00026EEC">
        <w:rPr>
          <w:rFonts w:ascii="Simplified Arabic" w:hAnsi="Simplified Arabic" w:cs="Simplified Arabic"/>
        </w:rPr>
        <w:t xml:space="preserve"> (Sig. = 0.000)</w:t>
      </w:r>
      <w:r w:rsidRPr="00026EEC">
        <w:rPr>
          <w:rFonts w:ascii="Simplified Arabic" w:hAnsi="Simplified Arabic" w:cs="Simplified Arabic"/>
          <w:rtl/>
        </w:rPr>
        <w:t xml:space="preserve">، مما يعكس الأثر المتنامي لتطبيقات الذكاء الاصطناعي في تحسين الكفاءة التشغيلية للشبكة. وجاء بُعد </w:t>
      </w:r>
      <w:r w:rsidRPr="00026EEC">
        <w:rPr>
          <w:rFonts w:ascii="Simplified Arabic" w:hAnsi="Simplified Arabic" w:cs="Simplified Arabic"/>
        </w:rPr>
        <w:t>"</w:t>
      </w:r>
      <w:r w:rsidRPr="00026EEC">
        <w:rPr>
          <w:rFonts w:ascii="Simplified Arabic" w:hAnsi="Simplified Arabic" w:cs="Simplified Arabic"/>
          <w:rtl/>
        </w:rPr>
        <w:t>استراتيجيات الاستجابة للمخاطر" في المرتبة الثالثة بمعامل انحدار</w:t>
      </w:r>
      <w:r w:rsidRPr="00026EEC">
        <w:rPr>
          <w:rFonts w:ascii="Simplified Arabic" w:hAnsi="Simplified Arabic" w:cs="Simplified Arabic"/>
        </w:rPr>
        <w:t xml:space="preserve"> (B = 0.238) </w:t>
      </w:r>
      <w:r w:rsidRPr="00026EEC">
        <w:rPr>
          <w:rFonts w:ascii="Simplified Arabic" w:hAnsi="Simplified Arabic" w:cs="Simplified Arabic"/>
          <w:rtl/>
        </w:rPr>
        <w:t>ودلالة معنوية</w:t>
      </w:r>
      <w:r w:rsidRPr="00026EEC">
        <w:rPr>
          <w:rFonts w:ascii="Simplified Arabic" w:hAnsi="Simplified Arabic" w:cs="Simplified Arabic"/>
        </w:rPr>
        <w:t xml:space="preserve"> (Sig. = 0.000)</w:t>
      </w:r>
      <w:r w:rsidRPr="00026EEC">
        <w:rPr>
          <w:rFonts w:ascii="Simplified Arabic" w:hAnsi="Simplified Arabic" w:cs="Simplified Arabic"/>
          <w:rtl/>
        </w:rPr>
        <w:t>، مما يُبرز أهمية وجود خطط استجابة مرنة ومحكمة في تقليل آثار المخاطر التشغيلية على كفاءة الشبكة. بينما أظهر بُعد "أدوات تقييم المخاطر التشغيلية" أثراً أقل نسبياً</w:t>
      </w:r>
      <w:r w:rsidRPr="00026EEC">
        <w:rPr>
          <w:rFonts w:ascii="Simplified Arabic" w:hAnsi="Simplified Arabic" w:cs="Simplified Arabic"/>
        </w:rPr>
        <w:t xml:space="preserve"> (B = 0.194) </w:t>
      </w:r>
      <w:r w:rsidRPr="00026EEC">
        <w:rPr>
          <w:rFonts w:ascii="Simplified Arabic" w:hAnsi="Simplified Arabic" w:cs="Simplified Arabic"/>
          <w:rtl/>
        </w:rPr>
        <w:t>لكنه لا يزال ذا دلالة إحصائية عالية</w:t>
      </w:r>
      <w:r w:rsidRPr="00026EEC">
        <w:rPr>
          <w:rFonts w:ascii="Simplified Arabic" w:hAnsi="Simplified Arabic" w:cs="Simplified Arabic"/>
        </w:rPr>
        <w:t xml:space="preserve"> (Sig. = 0.000)</w:t>
      </w:r>
      <w:r w:rsidRPr="00026EEC">
        <w:rPr>
          <w:rFonts w:ascii="Simplified Arabic" w:hAnsi="Simplified Arabic" w:cs="Simplified Arabic"/>
          <w:rtl/>
        </w:rPr>
        <w:t>، مما يُشير إلى أن التقييم وحده لا يكفي لتحسين الكفاءة التشغيلية ما لم يُقترن بآليات استجابة ومراقبة فعّالة</w:t>
      </w:r>
      <w:r w:rsidRPr="00026EEC">
        <w:rPr>
          <w:rFonts w:ascii="Simplified Arabic" w:hAnsi="Simplified Arabic" w:cs="Simplified Arabic"/>
        </w:rPr>
        <w:t>.</w:t>
      </w:r>
    </w:p>
    <w:p w14:paraId="6223AA0F"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وبناءً على ذلك، تُرفض الفرضية الصفرية وتُقبل الفرضية البديلة القائلة بوجود أثر ذي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لإدارة المخاطر التشغيلية المتقدمة بأبعادها المختلفة على الحدّ من الخسائر الفنية وتحسين الكفاءة التشغيلية في شبكات الكهرباء الذكية في الشركة السعودية للكهرباء</w:t>
      </w:r>
      <w:r w:rsidRPr="00026EEC">
        <w:rPr>
          <w:rFonts w:ascii="Simplified Arabic" w:hAnsi="Simplified Arabic" w:cs="Simplified Arabic"/>
        </w:rPr>
        <w:t>.</w:t>
      </w:r>
    </w:p>
    <w:p w14:paraId="5CD9D917" w14:textId="25777915" w:rsidR="00E178F3" w:rsidRPr="00026EEC" w:rsidRDefault="00E178F3" w:rsidP="00026EEC">
      <w:pPr>
        <w:spacing w:after="0" w:line="240" w:lineRule="auto"/>
        <w:rPr>
          <w:rFonts w:ascii="Simplified Arabic" w:hAnsi="Simplified Arabic" w:cs="Simplified Arabic"/>
          <w:b/>
          <w:bCs/>
          <w:sz w:val="24"/>
          <w:szCs w:val="24"/>
          <w:rtl/>
        </w:rPr>
      </w:pPr>
      <w:r w:rsidRPr="00026EEC">
        <w:rPr>
          <w:rFonts w:ascii="Simplified Arabic" w:hAnsi="Simplified Arabic" w:cs="Simplified Arabic"/>
          <w:b/>
          <w:bCs/>
          <w:sz w:val="24"/>
          <w:szCs w:val="24"/>
          <w:rtl/>
        </w:rPr>
        <w:t>اختبار الفرضيات الفرعية</w:t>
      </w:r>
    </w:p>
    <w:p w14:paraId="0D3FFD89" w14:textId="2C6A3953" w:rsidR="00AE38FA" w:rsidRPr="00026EEC" w:rsidRDefault="00E178F3" w:rsidP="00026EEC">
      <w:pPr>
        <w:pStyle w:val="ListParagraph"/>
        <w:numPr>
          <w:ilvl w:val="0"/>
          <w:numId w:val="33"/>
        </w:numPr>
        <w:spacing w:after="0" w:line="240" w:lineRule="auto"/>
        <w:ind w:left="425"/>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الفرضية الفرعية الأولى</w:t>
      </w:r>
    </w:p>
    <w:p w14:paraId="14F780DD" w14:textId="77777777" w:rsidR="00AE38FA" w:rsidRPr="00026EEC" w:rsidRDefault="00AE38FA" w:rsidP="00026EEC">
      <w:pPr>
        <w:pStyle w:val="NormalWeb"/>
        <w:bidi/>
        <w:spacing w:before="0" w:beforeAutospacing="0" w:after="0" w:afterAutospacing="0"/>
        <w:ind w:left="360"/>
        <w:jc w:val="both"/>
        <w:rPr>
          <w:rFonts w:ascii="Simplified Arabic" w:hAnsi="Simplified Arabic" w:cs="Simplified Arabic"/>
        </w:rPr>
      </w:pPr>
      <w:r w:rsidRPr="00026EEC">
        <w:rPr>
          <w:rStyle w:val="Strong"/>
          <w:rFonts w:ascii="Simplified Arabic" w:hAnsi="Simplified Arabic" w:cs="Simplified Arabic"/>
          <w:b w:val="0"/>
          <w:bCs w:val="0"/>
          <w:rtl/>
        </w:rPr>
        <w:t>نصّ الفرضية</w:t>
      </w:r>
      <w:r w:rsidRPr="00026EEC">
        <w:rPr>
          <w:rStyle w:val="Strong"/>
          <w:rFonts w:ascii="Simplified Arabic" w:hAnsi="Simplified Arabic" w:cs="Simplified Arabic"/>
          <w:b w:val="0"/>
          <w:bCs w:val="0"/>
        </w:rPr>
        <w:t>:</w:t>
      </w:r>
      <w:r w:rsidRPr="00026EEC">
        <w:rPr>
          <w:rFonts w:ascii="Simplified Arabic" w:hAnsi="Simplified Arabic" w:cs="Simplified Arabic"/>
        </w:rPr>
        <w:t xml:space="preserve"> </w:t>
      </w:r>
      <w:r w:rsidRPr="00026EEC">
        <w:rPr>
          <w:rFonts w:ascii="Simplified Arabic" w:hAnsi="Simplified Arabic" w:cs="Simplified Arabic"/>
          <w:rtl/>
        </w:rPr>
        <w:t>لا يوجد أثر ذو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لأدوات تقييم المخاطر التشغيلية على تقليل الفاقد الفني في الشبكة في الشركة السعودية للكهرباء</w:t>
      </w:r>
      <w:r w:rsidRPr="00026EEC">
        <w:rPr>
          <w:rFonts w:ascii="Simplified Arabic" w:hAnsi="Simplified Arabic" w:cs="Simplified Arabic"/>
        </w:rPr>
        <w:t>.</w:t>
      </w:r>
    </w:p>
    <w:p w14:paraId="7617537B"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للتحقق من صحة هذه الفرضية تم استخدام تحليل الانحدار الخطي البسيط</w:t>
      </w:r>
      <w:r w:rsidRPr="00026EEC">
        <w:rPr>
          <w:rFonts w:ascii="Simplified Arabic" w:hAnsi="Simplified Arabic" w:cs="Simplified Arabic"/>
        </w:rPr>
        <w:t xml:space="preserve"> (Simple Linear Regression)</w:t>
      </w:r>
      <w:r w:rsidRPr="00026EEC">
        <w:rPr>
          <w:rFonts w:ascii="Simplified Arabic" w:hAnsi="Simplified Arabic" w:cs="Simplified Arabic"/>
          <w:rtl/>
        </w:rPr>
        <w:t>، وجاءت النتائج كما هو موضح في الجدول التالي</w:t>
      </w:r>
      <w:r w:rsidRPr="00026EEC">
        <w:rPr>
          <w:rFonts w:ascii="Simplified Arabic" w:hAnsi="Simplified Arabic" w:cs="Simplified Arabic"/>
        </w:rPr>
        <w:t>:</w:t>
      </w:r>
    </w:p>
    <w:p w14:paraId="77EA9489" w14:textId="0FFA0DD4" w:rsidR="00AE38FA" w:rsidRPr="00026EEC" w:rsidRDefault="00AE38FA" w:rsidP="00026EEC">
      <w:pPr>
        <w:pStyle w:val="NormalWeb"/>
        <w:bidi/>
        <w:spacing w:before="0" w:beforeAutospacing="0" w:after="0" w:afterAutospacing="0"/>
        <w:ind w:left="-2"/>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17</w:t>
      </w:r>
      <w:r w:rsidRPr="00026EEC">
        <w:rPr>
          <w:rStyle w:val="Strong"/>
          <w:rFonts w:ascii="Simplified Arabic" w:hAnsi="Simplified Arabic" w:cs="Simplified Arabic"/>
          <w:rtl/>
        </w:rPr>
        <w:t>): تحليل الانحدار الخطي البسيط لقياس أثر أدوات تقييم المخاطر التشغيلية على تقليل الفاقد الفني في الشبكة</w:t>
      </w:r>
    </w:p>
    <w:tbl>
      <w:tblPr>
        <w:tblStyle w:val="GridTable1Light-Accent5"/>
        <w:bidiVisual/>
        <w:tblW w:w="7981" w:type="dxa"/>
        <w:jc w:val="center"/>
        <w:tblLook w:val="04A0" w:firstRow="1" w:lastRow="0" w:firstColumn="1" w:lastColumn="0" w:noHBand="0" w:noVBand="1"/>
      </w:tblPr>
      <w:tblGrid>
        <w:gridCol w:w="652"/>
        <w:gridCol w:w="788"/>
        <w:gridCol w:w="701"/>
        <w:gridCol w:w="690"/>
        <w:gridCol w:w="911"/>
        <w:gridCol w:w="701"/>
        <w:gridCol w:w="747"/>
        <w:gridCol w:w="701"/>
        <w:gridCol w:w="777"/>
        <w:gridCol w:w="701"/>
        <w:gridCol w:w="806"/>
        <w:gridCol w:w="701"/>
      </w:tblGrid>
      <w:tr w:rsidR="00327C81" w:rsidRPr="0003434F" w14:paraId="17E98E7B" w14:textId="77777777" w:rsidTr="00327C81">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13989"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التابع</w:t>
            </w:r>
          </w:p>
        </w:tc>
        <w:tc>
          <w:tcPr>
            <w:tcW w:w="0" w:type="auto"/>
            <w:vAlign w:val="center"/>
            <w:hideMark/>
          </w:tcPr>
          <w:p w14:paraId="30194105"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الارتباط</w:t>
            </w:r>
            <w:r w:rsidRPr="0003434F">
              <w:rPr>
                <w:rFonts w:ascii="Simplified Arabic" w:hAnsi="Simplified Arabic" w:cs="Simplified Arabic"/>
                <w:b w:val="0"/>
                <w:bCs w:val="0"/>
                <w:sz w:val="20"/>
                <w:szCs w:val="20"/>
              </w:rPr>
              <w:t xml:space="preserve"> r</w:t>
            </w:r>
          </w:p>
        </w:tc>
        <w:tc>
          <w:tcPr>
            <w:tcW w:w="0" w:type="auto"/>
            <w:vAlign w:val="center"/>
            <w:hideMark/>
          </w:tcPr>
          <w:p w14:paraId="53E0273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التحديد</w:t>
            </w:r>
            <w:r w:rsidRPr="0003434F">
              <w:rPr>
                <w:rFonts w:ascii="Simplified Arabic" w:hAnsi="Simplified Arabic" w:cs="Simplified Arabic"/>
                <w:b w:val="0"/>
                <w:bCs w:val="0"/>
                <w:sz w:val="20"/>
                <w:szCs w:val="20"/>
              </w:rPr>
              <w:t xml:space="preserve"> r²</w:t>
            </w:r>
          </w:p>
        </w:tc>
        <w:tc>
          <w:tcPr>
            <w:tcW w:w="0" w:type="auto"/>
            <w:vAlign w:val="center"/>
            <w:hideMark/>
          </w:tcPr>
          <w:p w14:paraId="594D775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الحرية</w:t>
            </w:r>
            <w:r w:rsidRPr="0003434F">
              <w:rPr>
                <w:rFonts w:ascii="Simplified Arabic" w:hAnsi="Simplified Arabic" w:cs="Simplified Arabic"/>
                <w:b w:val="0"/>
                <w:bCs w:val="0"/>
                <w:sz w:val="20"/>
                <w:szCs w:val="20"/>
              </w:rPr>
              <w:t xml:space="preserve"> df</w:t>
            </w:r>
          </w:p>
        </w:tc>
        <w:tc>
          <w:tcPr>
            <w:tcW w:w="0" w:type="auto"/>
            <w:vAlign w:val="center"/>
            <w:hideMark/>
          </w:tcPr>
          <w:p w14:paraId="0BE8494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F </w:t>
            </w:r>
            <w:r w:rsidRPr="0003434F">
              <w:rPr>
                <w:rFonts w:ascii="Simplified Arabic" w:hAnsi="Simplified Arabic" w:cs="Simplified Arabic"/>
                <w:b w:val="0"/>
                <w:bCs w:val="0"/>
                <w:sz w:val="20"/>
                <w:szCs w:val="20"/>
                <w:rtl/>
              </w:rPr>
              <w:t>المحسوبة</w:t>
            </w:r>
          </w:p>
        </w:tc>
        <w:tc>
          <w:tcPr>
            <w:tcW w:w="0" w:type="auto"/>
            <w:vAlign w:val="center"/>
            <w:hideMark/>
          </w:tcPr>
          <w:p w14:paraId="6951031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F</w:t>
            </w:r>
          </w:p>
        </w:tc>
        <w:tc>
          <w:tcPr>
            <w:tcW w:w="0" w:type="auto"/>
            <w:vAlign w:val="center"/>
            <w:hideMark/>
          </w:tcPr>
          <w:p w14:paraId="63F137D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المستقل</w:t>
            </w:r>
          </w:p>
        </w:tc>
        <w:tc>
          <w:tcPr>
            <w:tcW w:w="0" w:type="auto"/>
            <w:vAlign w:val="center"/>
            <w:hideMark/>
          </w:tcPr>
          <w:p w14:paraId="37F817C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w:t>
            </w:r>
          </w:p>
        </w:tc>
        <w:tc>
          <w:tcPr>
            <w:tcW w:w="0" w:type="auto"/>
            <w:vAlign w:val="center"/>
            <w:hideMark/>
          </w:tcPr>
          <w:p w14:paraId="43B63ED5"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الخطأ المعياري</w:t>
            </w:r>
          </w:p>
        </w:tc>
        <w:tc>
          <w:tcPr>
            <w:tcW w:w="0" w:type="auto"/>
            <w:vAlign w:val="center"/>
            <w:hideMark/>
          </w:tcPr>
          <w:p w14:paraId="41955B0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Beta</w:t>
            </w:r>
          </w:p>
        </w:tc>
        <w:tc>
          <w:tcPr>
            <w:tcW w:w="0" w:type="auto"/>
            <w:vAlign w:val="center"/>
            <w:hideMark/>
          </w:tcPr>
          <w:p w14:paraId="19D1F9BB"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T</w:t>
            </w:r>
          </w:p>
        </w:tc>
        <w:tc>
          <w:tcPr>
            <w:tcW w:w="0" w:type="auto"/>
            <w:vAlign w:val="center"/>
            <w:hideMark/>
          </w:tcPr>
          <w:p w14:paraId="27663AC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t</w:t>
            </w:r>
          </w:p>
        </w:tc>
      </w:tr>
      <w:tr w:rsidR="00327C81" w:rsidRPr="0003434F" w14:paraId="26E0CCA4" w14:textId="77777777" w:rsidTr="00327C81">
        <w:trPr>
          <w:trHeight w:val="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0BC246"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تقليل الفاقد الفني</w:t>
            </w:r>
          </w:p>
        </w:tc>
        <w:tc>
          <w:tcPr>
            <w:tcW w:w="0" w:type="auto"/>
            <w:vAlign w:val="center"/>
            <w:hideMark/>
          </w:tcPr>
          <w:p w14:paraId="3C28DD1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0.674</w:t>
            </w:r>
          </w:p>
        </w:tc>
        <w:tc>
          <w:tcPr>
            <w:tcW w:w="0" w:type="auto"/>
            <w:vAlign w:val="center"/>
            <w:hideMark/>
          </w:tcPr>
          <w:p w14:paraId="06B7416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0.454</w:t>
            </w:r>
          </w:p>
        </w:tc>
        <w:tc>
          <w:tcPr>
            <w:tcW w:w="0" w:type="auto"/>
            <w:vAlign w:val="center"/>
            <w:hideMark/>
          </w:tcPr>
          <w:p w14:paraId="3F5407A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15B623E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291.347</w:t>
            </w:r>
          </w:p>
        </w:tc>
        <w:tc>
          <w:tcPr>
            <w:tcW w:w="0" w:type="auto"/>
            <w:vAlign w:val="center"/>
            <w:hideMark/>
          </w:tcPr>
          <w:p w14:paraId="078B278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0078807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أدوات تقييم المخاطر التشغيلية</w:t>
            </w:r>
          </w:p>
        </w:tc>
        <w:tc>
          <w:tcPr>
            <w:tcW w:w="0" w:type="auto"/>
            <w:vAlign w:val="center"/>
            <w:hideMark/>
          </w:tcPr>
          <w:p w14:paraId="29E5634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0.583</w:t>
            </w:r>
          </w:p>
        </w:tc>
        <w:tc>
          <w:tcPr>
            <w:tcW w:w="0" w:type="auto"/>
            <w:vAlign w:val="center"/>
            <w:hideMark/>
          </w:tcPr>
          <w:p w14:paraId="601F1D1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0.048</w:t>
            </w:r>
          </w:p>
        </w:tc>
        <w:tc>
          <w:tcPr>
            <w:tcW w:w="0" w:type="auto"/>
            <w:vAlign w:val="center"/>
            <w:hideMark/>
          </w:tcPr>
          <w:p w14:paraId="24AB254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0.674</w:t>
            </w:r>
          </w:p>
        </w:tc>
        <w:tc>
          <w:tcPr>
            <w:tcW w:w="0" w:type="auto"/>
            <w:vAlign w:val="center"/>
            <w:hideMark/>
          </w:tcPr>
          <w:p w14:paraId="54C2D06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12.139</w:t>
            </w:r>
          </w:p>
        </w:tc>
        <w:tc>
          <w:tcPr>
            <w:tcW w:w="0" w:type="auto"/>
            <w:vAlign w:val="center"/>
            <w:hideMark/>
          </w:tcPr>
          <w:p w14:paraId="50C168D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bl>
    <w:p w14:paraId="191767B4" w14:textId="77777777" w:rsidR="00AE38FA" w:rsidRPr="00026EEC" w:rsidRDefault="00AE38FA" w:rsidP="00026EEC">
      <w:pPr>
        <w:pStyle w:val="NormalWeb"/>
        <w:bidi/>
        <w:spacing w:before="0" w:beforeAutospacing="0" w:after="0" w:afterAutospacing="0"/>
        <w:jc w:val="both"/>
        <w:rPr>
          <w:rFonts w:ascii="Simplified Arabic" w:hAnsi="Simplified Arabic" w:cs="Simplified Arabic"/>
          <w:i/>
          <w:iCs/>
        </w:rPr>
      </w:pPr>
      <w:r w:rsidRPr="00026EEC">
        <w:rPr>
          <w:rStyle w:val="Emphasis"/>
          <w:rFonts w:ascii="Simplified Arabic" w:eastAsiaTheme="majorEastAsia" w:hAnsi="Simplified Arabic" w:cs="Simplified Arabic"/>
          <w:i w:val="0"/>
          <w:iCs w:val="0"/>
          <w:rtl/>
        </w:rPr>
        <w:t>المصدر: من إعداد الباحث بالاعتماد على مخرجات</w:t>
      </w:r>
      <w:r w:rsidRPr="00026EEC">
        <w:rPr>
          <w:rStyle w:val="Emphasis"/>
          <w:rFonts w:ascii="Simplified Arabic" w:eastAsiaTheme="majorEastAsia" w:hAnsi="Simplified Arabic" w:cs="Simplified Arabic"/>
          <w:i w:val="0"/>
          <w:iCs w:val="0"/>
        </w:rPr>
        <w:t xml:space="preserve"> SPSS</w:t>
      </w:r>
    </w:p>
    <w:p w14:paraId="31F219BE"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وللتحقق من هذه الفرضية، تم استخدام تحليل الانحدار الخطي البسيط</w:t>
      </w:r>
      <w:r w:rsidRPr="00026EEC">
        <w:rPr>
          <w:rFonts w:ascii="Simplified Arabic" w:hAnsi="Simplified Arabic" w:cs="Simplified Arabic"/>
        </w:rPr>
        <w:t xml:space="preserve"> (Simple Linear Regression) </w:t>
      </w:r>
      <w:r w:rsidRPr="00026EEC">
        <w:rPr>
          <w:rFonts w:ascii="Simplified Arabic" w:hAnsi="Simplified Arabic" w:cs="Simplified Arabic"/>
          <w:rtl/>
        </w:rPr>
        <w:t xml:space="preserve">لقياس تأثير "أدوات تقييم المخاطر التشغيلية" باعتباره أحد أبعاد إدارة المخاطر التشغيلية المتقدمة على </w:t>
      </w:r>
      <w:r w:rsidRPr="00026EEC">
        <w:rPr>
          <w:rFonts w:ascii="Simplified Arabic" w:hAnsi="Simplified Arabic" w:cs="Simplified Arabic"/>
          <w:rtl/>
        </w:rPr>
        <w:lastRenderedPageBreak/>
        <w:t>"تقليل الفاقد الفني في الشبكة". وقد جاءت النتائج الإحصائية كما هو موضح في الجدول (12)، حيث بلغ معامل الارتباط</w:t>
      </w:r>
      <w:r w:rsidRPr="00026EEC">
        <w:rPr>
          <w:rFonts w:ascii="Simplified Arabic" w:hAnsi="Simplified Arabic" w:cs="Simplified Arabic"/>
        </w:rPr>
        <w:t xml:space="preserve"> (r = 0.674)</w:t>
      </w:r>
      <w:r w:rsidRPr="00026EEC">
        <w:rPr>
          <w:rFonts w:ascii="Simplified Arabic" w:hAnsi="Simplified Arabic" w:cs="Simplified Arabic"/>
          <w:rtl/>
        </w:rPr>
        <w:t>، وهو ما يعكس وجود علاقة ارتباط موجبة متوسطة إلى قوية بين المتغيرين. كما بلغت قيمة معامل التحديد</w:t>
      </w:r>
      <w:r w:rsidRPr="00026EEC">
        <w:rPr>
          <w:rFonts w:ascii="Simplified Arabic" w:hAnsi="Simplified Arabic" w:cs="Simplified Arabic"/>
        </w:rPr>
        <w:t xml:space="preserve"> (R² = 0.454)</w:t>
      </w:r>
      <w:r w:rsidRPr="00026EEC">
        <w:rPr>
          <w:rFonts w:ascii="Simplified Arabic" w:hAnsi="Simplified Arabic" w:cs="Simplified Arabic"/>
          <w:rtl/>
        </w:rPr>
        <w:t>، مما يُشير إلى أن (45.4%) من التباين في مستوى تقليل الفاقد الفني في الشبكة يُمكن تفسيره من خلال متغير أدوات تقييم المخاطر التشغيلية فقط، دون تدخل بقية الأبعاد الأخرى</w:t>
      </w:r>
      <w:r w:rsidRPr="00026EEC">
        <w:rPr>
          <w:rFonts w:ascii="Simplified Arabic" w:hAnsi="Simplified Arabic" w:cs="Simplified Arabic"/>
        </w:rPr>
        <w:t>.</w:t>
      </w:r>
    </w:p>
    <w:p w14:paraId="2FD24E17"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وبالاطلاع على نتائج تحليل التباين</w:t>
      </w:r>
      <w:r w:rsidRPr="00026EEC">
        <w:rPr>
          <w:rFonts w:ascii="Simplified Arabic" w:hAnsi="Simplified Arabic" w:cs="Simplified Arabic"/>
        </w:rPr>
        <w:t xml:space="preserve"> (ANOVA)</w:t>
      </w:r>
      <w:r w:rsidRPr="00026EEC">
        <w:rPr>
          <w:rFonts w:ascii="Simplified Arabic" w:hAnsi="Simplified Arabic" w:cs="Simplified Arabic"/>
          <w:rtl/>
        </w:rPr>
        <w:t>، نجد أن قيمة</w:t>
      </w:r>
      <w:r w:rsidRPr="00026EEC">
        <w:rPr>
          <w:rFonts w:ascii="Simplified Arabic" w:hAnsi="Simplified Arabic" w:cs="Simplified Arabic"/>
        </w:rPr>
        <w:t xml:space="preserve"> F </w:t>
      </w:r>
      <w:r w:rsidRPr="00026EEC">
        <w:rPr>
          <w:rFonts w:ascii="Simplified Arabic" w:hAnsi="Simplified Arabic" w:cs="Simplified Arabic"/>
          <w:rtl/>
        </w:rPr>
        <w:t>المحسوبة بلغت (291.347) بمستوى دلالة</w:t>
      </w:r>
      <w:r w:rsidRPr="00026EEC">
        <w:rPr>
          <w:rFonts w:ascii="Simplified Arabic" w:hAnsi="Simplified Arabic" w:cs="Simplified Arabic"/>
        </w:rPr>
        <w:t xml:space="preserve"> (Sig. = 0.000)</w:t>
      </w:r>
      <w:r w:rsidRPr="00026EEC">
        <w:rPr>
          <w:rFonts w:ascii="Simplified Arabic" w:hAnsi="Simplified Arabic" w:cs="Simplified Arabic"/>
          <w:rtl/>
        </w:rPr>
        <w:t>، وهي قيمة دالة إحصائياً عند مستوى (0.01)، مما يُعزّز من دلالة النموذج ككل في تفسير الفرضية</w:t>
      </w:r>
      <w:r w:rsidRPr="00026EEC">
        <w:rPr>
          <w:rFonts w:ascii="Simplified Arabic" w:hAnsi="Simplified Arabic" w:cs="Simplified Arabic"/>
        </w:rPr>
        <w:t>.</w:t>
      </w:r>
    </w:p>
    <w:p w14:paraId="320A8772"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أما على مستوى معاملات الانحدار، فقد بلغ معامل التأثير</w:t>
      </w:r>
      <w:r w:rsidRPr="00026EEC">
        <w:rPr>
          <w:rFonts w:ascii="Simplified Arabic" w:hAnsi="Simplified Arabic" w:cs="Simplified Arabic"/>
        </w:rPr>
        <w:t xml:space="preserve"> (B = 0.583)</w:t>
      </w:r>
      <w:r w:rsidRPr="00026EEC">
        <w:rPr>
          <w:rFonts w:ascii="Simplified Arabic" w:hAnsi="Simplified Arabic" w:cs="Simplified Arabic"/>
          <w:rtl/>
        </w:rPr>
        <w:t>، بقيمة</w:t>
      </w:r>
      <w:r w:rsidRPr="00026EEC">
        <w:rPr>
          <w:rFonts w:ascii="Simplified Arabic" w:hAnsi="Simplified Arabic" w:cs="Simplified Arabic"/>
        </w:rPr>
        <w:t xml:space="preserve"> (T = 12.139)</w:t>
      </w:r>
      <w:r w:rsidRPr="00026EEC">
        <w:rPr>
          <w:rFonts w:ascii="Simplified Arabic" w:hAnsi="Simplified Arabic" w:cs="Simplified Arabic"/>
          <w:rtl/>
        </w:rPr>
        <w:t xml:space="preserve">، وهي أيضاً دالة عند مستوى </w:t>
      </w:r>
      <w:r w:rsidRPr="00026EEC">
        <w:rPr>
          <w:rFonts w:ascii="Simplified Arabic" w:hAnsi="Simplified Arabic" w:cs="Simplified Arabic"/>
        </w:rPr>
        <w:t>(Sig. = 0.000)</w:t>
      </w:r>
      <w:r w:rsidRPr="00026EEC">
        <w:rPr>
          <w:rFonts w:ascii="Simplified Arabic" w:hAnsi="Simplified Arabic" w:cs="Simplified Arabic"/>
          <w:rtl/>
        </w:rPr>
        <w:t>، مما يدل على أن أي زيادة بمقدار وحدة واحدة في مستوى تطبيق أدوات تقييم المخاطر التشغيلية تؤدي إلى زيادة بمقدار (0.583) في مستوى تقليل الفاقد الفني في الشبكة، ضمن شروط النموذج. وبناءً على ذلك، تُرفض الفرضية الصفرية وتُقبل الفرضية البديلة القائلة بوجود أثر ذي دلالة إحصائية لأدوات تقييم المخاطر التشغيلية على تقليل الفاقد الفني في الشبكة</w:t>
      </w:r>
      <w:r w:rsidRPr="00026EEC">
        <w:rPr>
          <w:rFonts w:ascii="Simplified Arabic" w:hAnsi="Simplified Arabic" w:cs="Simplified Arabic"/>
        </w:rPr>
        <w:t>.</w:t>
      </w:r>
    </w:p>
    <w:p w14:paraId="58FAF801" w14:textId="09C9E4FC" w:rsidR="00AE38FA" w:rsidRPr="00026EEC" w:rsidRDefault="00E178F3" w:rsidP="00026EEC">
      <w:pPr>
        <w:pStyle w:val="ListParagraph"/>
        <w:numPr>
          <w:ilvl w:val="0"/>
          <w:numId w:val="33"/>
        </w:numPr>
        <w:spacing w:after="0" w:line="240" w:lineRule="auto"/>
        <w:ind w:left="425"/>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الفرضية الفرعية الثانية</w:t>
      </w:r>
    </w:p>
    <w:p w14:paraId="0CE39E31"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Style w:val="Strong"/>
          <w:rFonts w:ascii="Simplified Arabic" w:hAnsi="Simplified Arabic" w:cs="Simplified Arabic"/>
          <w:b w:val="0"/>
          <w:bCs w:val="0"/>
          <w:rtl/>
        </w:rPr>
        <w:t>نصّ الفرضية</w:t>
      </w:r>
      <w:r w:rsidRPr="00026EEC">
        <w:rPr>
          <w:rStyle w:val="Strong"/>
          <w:rFonts w:ascii="Simplified Arabic" w:hAnsi="Simplified Arabic" w:cs="Simplified Arabic"/>
          <w:b w:val="0"/>
          <w:bCs w:val="0"/>
        </w:rPr>
        <w:t>:</w:t>
      </w:r>
      <w:r w:rsidRPr="00026EEC">
        <w:rPr>
          <w:rFonts w:ascii="Simplified Arabic" w:hAnsi="Simplified Arabic" w:cs="Simplified Arabic"/>
        </w:rPr>
        <w:t xml:space="preserve"> </w:t>
      </w:r>
      <w:r w:rsidRPr="00026EEC">
        <w:rPr>
          <w:rFonts w:ascii="Simplified Arabic" w:hAnsi="Simplified Arabic" w:cs="Simplified Arabic"/>
          <w:rtl/>
        </w:rPr>
        <w:t>لا يوجد أثر ذو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لاستراتيجيات الاستجابة للمخاطر على تحسين كفاءة الشبكة الكهربائية في الشركة السعودية للكهرباء</w:t>
      </w:r>
      <w:r w:rsidRPr="00026EEC">
        <w:rPr>
          <w:rFonts w:ascii="Simplified Arabic" w:hAnsi="Simplified Arabic" w:cs="Simplified Arabic"/>
        </w:rPr>
        <w:t>.</w:t>
      </w:r>
    </w:p>
    <w:p w14:paraId="133880CA"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للتحقق من صحة هذه الفرضية تم استخدام تحليل الانحدار الخطي البسيط</w:t>
      </w:r>
      <w:r w:rsidRPr="00026EEC">
        <w:rPr>
          <w:rFonts w:ascii="Simplified Arabic" w:hAnsi="Simplified Arabic" w:cs="Simplified Arabic"/>
        </w:rPr>
        <w:t xml:space="preserve"> (Simple Linear Regression)</w:t>
      </w:r>
      <w:r w:rsidRPr="00026EEC">
        <w:rPr>
          <w:rFonts w:ascii="Simplified Arabic" w:hAnsi="Simplified Arabic" w:cs="Simplified Arabic"/>
          <w:rtl/>
        </w:rPr>
        <w:t>، وجاءت النتائج كما هو موضح في الجدول التالي</w:t>
      </w:r>
      <w:r w:rsidRPr="00026EEC">
        <w:rPr>
          <w:rFonts w:ascii="Simplified Arabic" w:hAnsi="Simplified Arabic" w:cs="Simplified Arabic"/>
        </w:rPr>
        <w:t>:</w:t>
      </w:r>
    </w:p>
    <w:p w14:paraId="21BBE1A2" w14:textId="736CEA20" w:rsidR="00327C81" w:rsidRPr="00026EEC" w:rsidRDefault="00AE38FA" w:rsidP="00026EEC">
      <w:pPr>
        <w:spacing w:after="0" w:line="240" w:lineRule="auto"/>
        <w:jc w:val="center"/>
        <w:rPr>
          <w:rFonts w:ascii="Simplified Arabic" w:hAnsi="Simplified Arabic" w:cs="Simplified Arabic"/>
          <w:b/>
          <w:bCs/>
          <w:sz w:val="24"/>
          <w:szCs w:val="24"/>
        </w:rPr>
      </w:pPr>
      <w:r w:rsidRPr="00026EEC">
        <w:rPr>
          <w:rStyle w:val="Strong"/>
          <w:rFonts w:ascii="Simplified Arabic" w:hAnsi="Simplified Arabic" w:cs="Simplified Arabic"/>
          <w:sz w:val="24"/>
          <w:szCs w:val="24"/>
          <w:rtl/>
        </w:rPr>
        <w:t>جدول (</w:t>
      </w:r>
      <w:r w:rsidR="00327C81" w:rsidRPr="00026EEC">
        <w:rPr>
          <w:rStyle w:val="Strong"/>
          <w:rFonts w:ascii="Simplified Arabic" w:hAnsi="Simplified Arabic" w:cs="Simplified Arabic"/>
          <w:sz w:val="24"/>
          <w:szCs w:val="24"/>
          <w:rtl/>
        </w:rPr>
        <w:t>18</w:t>
      </w:r>
      <w:r w:rsidRPr="00026EEC">
        <w:rPr>
          <w:rStyle w:val="Strong"/>
          <w:rFonts w:ascii="Simplified Arabic" w:hAnsi="Simplified Arabic" w:cs="Simplified Arabic"/>
          <w:sz w:val="24"/>
          <w:szCs w:val="24"/>
          <w:rtl/>
        </w:rPr>
        <w:t>): تحليل الانحدار الخطي البسيط لقياس أثر استراتيجيات الاستجابة للمخاطر على تحسين كفاءة الشبكة الكهربائية</w:t>
      </w:r>
    </w:p>
    <w:tbl>
      <w:tblPr>
        <w:tblStyle w:val="GridTable1Light-Accent5"/>
        <w:bidiVisual/>
        <w:tblW w:w="8076" w:type="dxa"/>
        <w:jc w:val="center"/>
        <w:tblLook w:val="04A0" w:firstRow="1" w:lastRow="0" w:firstColumn="1" w:lastColumn="0" w:noHBand="0" w:noVBand="1"/>
      </w:tblPr>
      <w:tblGrid>
        <w:gridCol w:w="822"/>
        <w:gridCol w:w="788"/>
        <w:gridCol w:w="701"/>
        <w:gridCol w:w="690"/>
        <w:gridCol w:w="911"/>
        <w:gridCol w:w="701"/>
        <w:gridCol w:w="993"/>
        <w:gridCol w:w="701"/>
        <w:gridCol w:w="777"/>
        <w:gridCol w:w="701"/>
        <w:gridCol w:w="806"/>
        <w:gridCol w:w="701"/>
      </w:tblGrid>
      <w:tr w:rsidR="00327C81" w:rsidRPr="0003434F" w14:paraId="3DE3376A" w14:textId="77777777" w:rsidTr="00327C81">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AF87FD"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التابع</w:t>
            </w:r>
          </w:p>
        </w:tc>
        <w:tc>
          <w:tcPr>
            <w:tcW w:w="0" w:type="auto"/>
            <w:vAlign w:val="center"/>
            <w:hideMark/>
          </w:tcPr>
          <w:p w14:paraId="2B00C3F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الارتباط</w:t>
            </w:r>
            <w:r w:rsidRPr="0003434F">
              <w:rPr>
                <w:rFonts w:ascii="Simplified Arabic" w:hAnsi="Simplified Arabic" w:cs="Simplified Arabic"/>
                <w:b w:val="0"/>
                <w:bCs w:val="0"/>
                <w:sz w:val="20"/>
                <w:szCs w:val="20"/>
              </w:rPr>
              <w:t xml:space="preserve"> r</w:t>
            </w:r>
          </w:p>
        </w:tc>
        <w:tc>
          <w:tcPr>
            <w:tcW w:w="0" w:type="auto"/>
            <w:vAlign w:val="center"/>
            <w:hideMark/>
          </w:tcPr>
          <w:p w14:paraId="576A800B"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التحديد</w:t>
            </w:r>
            <w:r w:rsidRPr="0003434F">
              <w:rPr>
                <w:rFonts w:ascii="Simplified Arabic" w:hAnsi="Simplified Arabic" w:cs="Simplified Arabic"/>
                <w:b w:val="0"/>
                <w:bCs w:val="0"/>
                <w:sz w:val="20"/>
                <w:szCs w:val="20"/>
              </w:rPr>
              <w:t xml:space="preserve"> r²</w:t>
            </w:r>
          </w:p>
        </w:tc>
        <w:tc>
          <w:tcPr>
            <w:tcW w:w="0" w:type="auto"/>
            <w:vAlign w:val="center"/>
            <w:hideMark/>
          </w:tcPr>
          <w:p w14:paraId="2BBF115F"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الحرية</w:t>
            </w:r>
            <w:r w:rsidRPr="0003434F">
              <w:rPr>
                <w:rFonts w:ascii="Simplified Arabic" w:hAnsi="Simplified Arabic" w:cs="Simplified Arabic"/>
                <w:b w:val="0"/>
                <w:bCs w:val="0"/>
                <w:sz w:val="20"/>
                <w:szCs w:val="20"/>
              </w:rPr>
              <w:t xml:space="preserve"> df</w:t>
            </w:r>
          </w:p>
        </w:tc>
        <w:tc>
          <w:tcPr>
            <w:tcW w:w="0" w:type="auto"/>
            <w:vAlign w:val="center"/>
            <w:hideMark/>
          </w:tcPr>
          <w:p w14:paraId="5C0A282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F </w:t>
            </w:r>
            <w:r w:rsidRPr="0003434F">
              <w:rPr>
                <w:rFonts w:ascii="Simplified Arabic" w:hAnsi="Simplified Arabic" w:cs="Simplified Arabic"/>
                <w:b w:val="0"/>
                <w:bCs w:val="0"/>
                <w:sz w:val="20"/>
                <w:szCs w:val="20"/>
                <w:rtl/>
              </w:rPr>
              <w:t>المحسوبة</w:t>
            </w:r>
          </w:p>
        </w:tc>
        <w:tc>
          <w:tcPr>
            <w:tcW w:w="0" w:type="auto"/>
            <w:vAlign w:val="center"/>
            <w:hideMark/>
          </w:tcPr>
          <w:p w14:paraId="0CB33451"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F</w:t>
            </w:r>
          </w:p>
        </w:tc>
        <w:tc>
          <w:tcPr>
            <w:tcW w:w="0" w:type="auto"/>
            <w:vAlign w:val="center"/>
            <w:hideMark/>
          </w:tcPr>
          <w:p w14:paraId="51EABA3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المستقل</w:t>
            </w:r>
          </w:p>
        </w:tc>
        <w:tc>
          <w:tcPr>
            <w:tcW w:w="0" w:type="auto"/>
            <w:vAlign w:val="center"/>
            <w:hideMark/>
          </w:tcPr>
          <w:p w14:paraId="34F722C1"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w:t>
            </w:r>
          </w:p>
        </w:tc>
        <w:tc>
          <w:tcPr>
            <w:tcW w:w="0" w:type="auto"/>
            <w:vAlign w:val="center"/>
            <w:hideMark/>
          </w:tcPr>
          <w:p w14:paraId="07FD1E3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الخطأ المعياري</w:t>
            </w:r>
          </w:p>
        </w:tc>
        <w:tc>
          <w:tcPr>
            <w:tcW w:w="0" w:type="auto"/>
            <w:vAlign w:val="center"/>
            <w:hideMark/>
          </w:tcPr>
          <w:p w14:paraId="147D884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Beta</w:t>
            </w:r>
          </w:p>
        </w:tc>
        <w:tc>
          <w:tcPr>
            <w:tcW w:w="0" w:type="auto"/>
            <w:vAlign w:val="center"/>
            <w:hideMark/>
          </w:tcPr>
          <w:p w14:paraId="2EE243F8"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T</w:t>
            </w:r>
          </w:p>
        </w:tc>
        <w:tc>
          <w:tcPr>
            <w:tcW w:w="0" w:type="auto"/>
            <w:vAlign w:val="center"/>
            <w:hideMark/>
          </w:tcPr>
          <w:p w14:paraId="395646B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t</w:t>
            </w:r>
          </w:p>
        </w:tc>
      </w:tr>
      <w:tr w:rsidR="00327C81" w:rsidRPr="0003434F" w14:paraId="30457E7B" w14:textId="77777777" w:rsidTr="00327C81">
        <w:trPr>
          <w:trHeight w:val="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1B70C"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تحسين كفاءة الشبكة الكهربائية</w:t>
            </w:r>
          </w:p>
        </w:tc>
        <w:tc>
          <w:tcPr>
            <w:tcW w:w="0" w:type="auto"/>
            <w:vAlign w:val="center"/>
            <w:hideMark/>
          </w:tcPr>
          <w:p w14:paraId="1868238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0.698</w:t>
            </w:r>
          </w:p>
        </w:tc>
        <w:tc>
          <w:tcPr>
            <w:tcW w:w="0" w:type="auto"/>
            <w:vAlign w:val="center"/>
            <w:hideMark/>
          </w:tcPr>
          <w:p w14:paraId="6E278F3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0.487</w:t>
            </w:r>
          </w:p>
        </w:tc>
        <w:tc>
          <w:tcPr>
            <w:tcW w:w="0" w:type="auto"/>
            <w:vAlign w:val="center"/>
            <w:hideMark/>
          </w:tcPr>
          <w:p w14:paraId="7EAD178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516C6FE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332.618</w:t>
            </w:r>
          </w:p>
        </w:tc>
        <w:tc>
          <w:tcPr>
            <w:tcW w:w="0" w:type="auto"/>
            <w:vAlign w:val="center"/>
            <w:hideMark/>
          </w:tcPr>
          <w:p w14:paraId="480D02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36331F3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استراتيجيات الاستجابة للمخاطر</w:t>
            </w:r>
          </w:p>
        </w:tc>
        <w:tc>
          <w:tcPr>
            <w:tcW w:w="0" w:type="auto"/>
            <w:vAlign w:val="center"/>
            <w:hideMark/>
          </w:tcPr>
          <w:p w14:paraId="624064E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0.614</w:t>
            </w:r>
          </w:p>
        </w:tc>
        <w:tc>
          <w:tcPr>
            <w:tcW w:w="0" w:type="auto"/>
            <w:vAlign w:val="center"/>
            <w:hideMark/>
          </w:tcPr>
          <w:p w14:paraId="5B6BE46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0.044</w:t>
            </w:r>
          </w:p>
        </w:tc>
        <w:tc>
          <w:tcPr>
            <w:tcW w:w="0" w:type="auto"/>
            <w:vAlign w:val="center"/>
            <w:hideMark/>
          </w:tcPr>
          <w:p w14:paraId="5526589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0.698</w:t>
            </w:r>
          </w:p>
        </w:tc>
        <w:tc>
          <w:tcPr>
            <w:tcW w:w="0" w:type="auto"/>
            <w:vAlign w:val="center"/>
            <w:hideMark/>
          </w:tcPr>
          <w:p w14:paraId="3B21D83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13.924</w:t>
            </w:r>
          </w:p>
        </w:tc>
        <w:tc>
          <w:tcPr>
            <w:tcW w:w="0" w:type="auto"/>
            <w:vAlign w:val="center"/>
            <w:hideMark/>
          </w:tcPr>
          <w:p w14:paraId="1C70D91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bl>
    <w:p w14:paraId="75120BD3" w14:textId="77777777" w:rsidR="00AE38FA" w:rsidRPr="00026EEC" w:rsidRDefault="00AE38FA" w:rsidP="00026EEC">
      <w:pPr>
        <w:pStyle w:val="NormalWeb"/>
        <w:bidi/>
        <w:spacing w:before="0" w:beforeAutospacing="0" w:after="0" w:afterAutospacing="0"/>
        <w:jc w:val="both"/>
        <w:rPr>
          <w:rFonts w:ascii="Simplified Arabic" w:hAnsi="Simplified Arabic" w:cs="Simplified Arabic"/>
          <w:i/>
          <w:iCs/>
        </w:rPr>
      </w:pPr>
      <w:r w:rsidRPr="00026EEC">
        <w:rPr>
          <w:rStyle w:val="Emphasis"/>
          <w:rFonts w:ascii="Simplified Arabic" w:eastAsiaTheme="majorEastAsia" w:hAnsi="Simplified Arabic" w:cs="Simplified Arabic"/>
          <w:i w:val="0"/>
          <w:iCs w:val="0"/>
          <w:rtl/>
        </w:rPr>
        <w:t>المصدر: من إعداد الباحث بالاعتماد على مخرجات</w:t>
      </w:r>
      <w:r w:rsidRPr="00026EEC">
        <w:rPr>
          <w:rStyle w:val="Emphasis"/>
          <w:rFonts w:ascii="Simplified Arabic" w:eastAsiaTheme="majorEastAsia" w:hAnsi="Simplified Arabic" w:cs="Simplified Arabic"/>
          <w:i w:val="0"/>
          <w:iCs w:val="0"/>
        </w:rPr>
        <w:t xml:space="preserve"> SPSS</w:t>
      </w:r>
    </w:p>
    <w:p w14:paraId="505C8102"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 xml:space="preserve">تُشير النتائج الإحصائية الموضحة في الجدول </w:t>
      </w:r>
      <w:r w:rsidRPr="00026EEC">
        <w:rPr>
          <w:rFonts w:ascii="Simplified Arabic" w:hAnsi="Simplified Arabic" w:cs="Simplified Arabic"/>
        </w:rPr>
        <w:t xml:space="preserve">(13) </w:t>
      </w:r>
      <w:r w:rsidRPr="00026EEC">
        <w:rPr>
          <w:rFonts w:ascii="Simplified Arabic" w:hAnsi="Simplified Arabic" w:cs="Simplified Arabic"/>
          <w:rtl/>
        </w:rPr>
        <w:t>إلى أن معامل الارتباط بلغ</w:t>
      </w:r>
      <w:r w:rsidRPr="00026EEC">
        <w:rPr>
          <w:rFonts w:ascii="Simplified Arabic" w:hAnsi="Simplified Arabic" w:cs="Simplified Arabic"/>
        </w:rPr>
        <w:t xml:space="preserve"> (r = 0.698)</w:t>
      </w:r>
      <w:r w:rsidRPr="00026EEC">
        <w:rPr>
          <w:rFonts w:ascii="Simplified Arabic" w:hAnsi="Simplified Arabic" w:cs="Simplified Arabic"/>
          <w:rtl/>
        </w:rPr>
        <w:t>، وهو ما يعكس وجود علاقة ارتباط موجبة قوية بين استراتيجيات الاستجابة للمخاطر وتحسين كفاءة الشبكة الكهربائية. كما بلغت قيمة معامل التحديد</w:t>
      </w:r>
      <w:r w:rsidRPr="00026EEC">
        <w:rPr>
          <w:rFonts w:ascii="Simplified Arabic" w:hAnsi="Simplified Arabic" w:cs="Simplified Arabic"/>
        </w:rPr>
        <w:t xml:space="preserve"> (R² = 0.487)</w:t>
      </w:r>
      <w:r w:rsidRPr="00026EEC">
        <w:rPr>
          <w:rFonts w:ascii="Simplified Arabic" w:hAnsi="Simplified Arabic" w:cs="Simplified Arabic"/>
          <w:rtl/>
        </w:rPr>
        <w:t xml:space="preserve">، مما يُشير إلى أن </w:t>
      </w:r>
      <w:r w:rsidRPr="00026EEC">
        <w:rPr>
          <w:rFonts w:ascii="Simplified Arabic" w:hAnsi="Simplified Arabic" w:cs="Simplified Arabic"/>
        </w:rPr>
        <w:t xml:space="preserve">(48.7%) </w:t>
      </w:r>
      <w:r w:rsidRPr="00026EEC">
        <w:rPr>
          <w:rFonts w:ascii="Simplified Arabic" w:hAnsi="Simplified Arabic" w:cs="Simplified Arabic"/>
          <w:rtl/>
        </w:rPr>
        <w:t>من التباين في مستوى كفاءة الشبكة الكهربائية يُمكن تفسيره من خلال متغير استراتيجيات الاستجابة للمخاطر منفرداً</w:t>
      </w:r>
      <w:r w:rsidRPr="00026EEC">
        <w:rPr>
          <w:rFonts w:ascii="Simplified Arabic" w:hAnsi="Simplified Arabic" w:cs="Simplified Arabic"/>
        </w:rPr>
        <w:t>.</w:t>
      </w:r>
    </w:p>
    <w:p w14:paraId="07CDFE2D"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وبالاطلاع على نتائج تحليل التباين</w:t>
      </w:r>
      <w:r w:rsidRPr="00026EEC">
        <w:rPr>
          <w:rFonts w:ascii="Simplified Arabic" w:hAnsi="Simplified Arabic" w:cs="Simplified Arabic"/>
        </w:rPr>
        <w:t xml:space="preserve"> (ANOVA)</w:t>
      </w:r>
      <w:r w:rsidRPr="00026EEC">
        <w:rPr>
          <w:rFonts w:ascii="Simplified Arabic" w:hAnsi="Simplified Arabic" w:cs="Simplified Arabic"/>
          <w:rtl/>
        </w:rPr>
        <w:t>، نجد أن قيمة</w:t>
      </w:r>
      <w:r w:rsidRPr="00026EEC">
        <w:rPr>
          <w:rFonts w:ascii="Simplified Arabic" w:hAnsi="Simplified Arabic" w:cs="Simplified Arabic"/>
        </w:rPr>
        <w:t xml:space="preserve"> F </w:t>
      </w:r>
      <w:r w:rsidRPr="00026EEC">
        <w:rPr>
          <w:rFonts w:ascii="Simplified Arabic" w:hAnsi="Simplified Arabic" w:cs="Simplified Arabic"/>
          <w:rtl/>
        </w:rPr>
        <w:t>المحسوبة بلغت (332.618) بمستوى دلالة</w:t>
      </w:r>
      <w:r w:rsidRPr="00026EEC">
        <w:rPr>
          <w:rFonts w:ascii="Simplified Arabic" w:hAnsi="Simplified Arabic" w:cs="Simplified Arabic"/>
        </w:rPr>
        <w:t xml:space="preserve"> (Sig. = 0.000)</w:t>
      </w:r>
      <w:r w:rsidRPr="00026EEC">
        <w:rPr>
          <w:rFonts w:ascii="Simplified Arabic" w:hAnsi="Simplified Arabic" w:cs="Simplified Arabic"/>
          <w:rtl/>
        </w:rPr>
        <w:t>، وهي قيمة دالة إحصائياً عند مستوى (0.01)، مما يُؤكّد معنوية النموذج. أما معامل التأثير فقد بلغ</w:t>
      </w:r>
      <w:r w:rsidRPr="00026EEC">
        <w:rPr>
          <w:rFonts w:ascii="Simplified Arabic" w:hAnsi="Simplified Arabic" w:cs="Simplified Arabic"/>
        </w:rPr>
        <w:t xml:space="preserve"> (B = 0.614)</w:t>
      </w:r>
      <w:r w:rsidRPr="00026EEC">
        <w:rPr>
          <w:rFonts w:ascii="Simplified Arabic" w:hAnsi="Simplified Arabic" w:cs="Simplified Arabic"/>
          <w:rtl/>
        </w:rPr>
        <w:t>، بقيمة</w:t>
      </w:r>
      <w:r w:rsidRPr="00026EEC">
        <w:rPr>
          <w:rFonts w:ascii="Simplified Arabic" w:hAnsi="Simplified Arabic" w:cs="Simplified Arabic"/>
        </w:rPr>
        <w:t xml:space="preserve"> (T = 13.924) </w:t>
      </w:r>
      <w:r w:rsidRPr="00026EEC">
        <w:rPr>
          <w:rFonts w:ascii="Simplified Arabic" w:hAnsi="Simplified Arabic" w:cs="Simplified Arabic"/>
          <w:rtl/>
        </w:rPr>
        <w:t>ودلالة</w:t>
      </w:r>
      <w:r w:rsidRPr="00026EEC">
        <w:rPr>
          <w:rFonts w:ascii="Simplified Arabic" w:hAnsi="Simplified Arabic" w:cs="Simplified Arabic"/>
        </w:rPr>
        <w:t xml:space="preserve"> (Sig. = 0.000)</w:t>
      </w:r>
      <w:r w:rsidRPr="00026EEC">
        <w:rPr>
          <w:rFonts w:ascii="Simplified Arabic" w:hAnsi="Simplified Arabic" w:cs="Simplified Arabic"/>
          <w:rtl/>
        </w:rPr>
        <w:t xml:space="preserve">، مما يدل على أن أي زيادة بمقدار وحدة واحدة في مستوى تطبيق استراتيجيات الاستجابة للمخاطر تؤدي إلى زيادة بمقدار </w:t>
      </w:r>
      <w:r w:rsidRPr="00026EEC">
        <w:rPr>
          <w:rFonts w:ascii="Simplified Arabic" w:hAnsi="Simplified Arabic" w:cs="Simplified Arabic"/>
          <w:rtl/>
        </w:rPr>
        <w:lastRenderedPageBreak/>
        <w:t>(0.614) في مستوى كفاءة الشبكة الكهربائية. وبناءً على ذلك، تُرفض الفرضية الصفرية وتُقبل الفرضية البديلة القائلة بوجود أثر ذي دلالة إحصائية لاستراتيجيات الاستجابة للمخاطر على تحسين كفاءة الشبكة الكهربائية</w:t>
      </w:r>
      <w:r w:rsidRPr="00026EEC">
        <w:rPr>
          <w:rFonts w:ascii="Simplified Arabic" w:hAnsi="Simplified Arabic" w:cs="Simplified Arabic"/>
        </w:rPr>
        <w:t>.</w:t>
      </w:r>
    </w:p>
    <w:p w14:paraId="049CACAA" w14:textId="345EC31D" w:rsidR="00AE38FA" w:rsidRPr="00026EEC" w:rsidRDefault="00E178F3" w:rsidP="00026EEC">
      <w:pPr>
        <w:pStyle w:val="ListParagraph"/>
        <w:numPr>
          <w:ilvl w:val="0"/>
          <w:numId w:val="33"/>
        </w:numPr>
        <w:spacing w:after="0" w:line="240" w:lineRule="auto"/>
        <w:ind w:left="425"/>
        <w:rPr>
          <w:rFonts w:ascii="Simplified Arabic" w:hAnsi="Simplified Arabic" w:cs="Simplified Arabic"/>
          <w:b/>
          <w:bCs/>
          <w:sz w:val="24"/>
          <w:szCs w:val="24"/>
        </w:rPr>
      </w:pPr>
      <w:r w:rsidRPr="00026EEC">
        <w:rPr>
          <w:rFonts w:ascii="Simplified Arabic" w:hAnsi="Simplified Arabic" w:cs="Simplified Arabic"/>
          <w:b/>
          <w:bCs/>
          <w:sz w:val="24"/>
          <w:szCs w:val="24"/>
          <w:rtl/>
        </w:rPr>
        <w:t>الفرضية الفرعية الثالثة</w:t>
      </w:r>
    </w:p>
    <w:p w14:paraId="3F0906D5"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Style w:val="Strong"/>
          <w:rFonts w:ascii="Simplified Arabic" w:hAnsi="Simplified Arabic" w:cs="Simplified Arabic"/>
          <w:b w:val="0"/>
          <w:bCs w:val="0"/>
          <w:rtl/>
        </w:rPr>
        <w:t>نصّ الفرضية</w:t>
      </w:r>
      <w:r w:rsidRPr="00026EEC">
        <w:rPr>
          <w:rStyle w:val="Strong"/>
          <w:rFonts w:ascii="Simplified Arabic" w:hAnsi="Simplified Arabic" w:cs="Simplified Arabic"/>
          <w:b w:val="0"/>
          <w:bCs w:val="0"/>
        </w:rPr>
        <w:t>:</w:t>
      </w:r>
      <w:r w:rsidRPr="00026EEC">
        <w:rPr>
          <w:rFonts w:ascii="Simplified Arabic" w:hAnsi="Simplified Arabic" w:cs="Simplified Arabic"/>
        </w:rPr>
        <w:t xml:space="preserve"> </w:t>
      </w:r>
      <w:r w:rsidRPr="00026EEC">
        <w:rPr>
          <w:rFonts w:ascii="Simplified Arabic" w:hAnsi="Simplified Arabic" w:cs="Simplified Arabic"/>
          <w:rtl/>
        </w:rPr>
        <w:t>لا يوجد أثر ذو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لتقنيات المراقبة الذكية والصيانة الوقائية على تقليل الأعطال التشغيلية في الشركة السعودية للكهرباء</w:t>
      </w:r>
      <w:r w:rsidRPr="00026EEC">
        <w:rPr>
          <w:rFonts w:ascii="Simplified Arabic" w:hAnsi="Simplified Arabic" w:cs="Simplified Arabic"/>
        </w:rPr>
        <w:t>.</w:t>
      </w:r>
    </w:p>
    <w:p w14:paraId="5857FC82"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للتحقق من صحة هذه الفرضية تم استخدام تحليل الانحدار الخطي البسيط</w:t>
      </w:r>
      <w:r w:rsidRPr="00026EEC">
        <w:rPr>
          <w:rFonts w:ascii="Simplified Arabic" w:hAnsi="Simplified Arabic" w:cs="Simplified Arabic"/>
        </w:rPr>
        <w:t xml:space="preserve"> (Simple Linear Regression)</w:t>
      </w:r>
      <w:r w:rsidRPr="00026EEC">
        <w:rPr>
          <w:rFonts w:ascii="Simplified Arabic" w:hAnsi="Simplified Arabic" w:cs="Simplified Arabic"/>
          <w:rtl/>
        </w:rPr>
        <w:t>، وجاءت النتائج كما هو موضح في الجدول التالي</w:t>
      </w:r>
      <w:r w:rsidRPr="00026EEC">
        <w:rPr>
          <w:rFonts w:ascii="Simplified Arabic" w:hAnsi="Simplified Arabic" w:cs="Simplified Arabic"/>
        </w:rPr>
        <w:t>:</w:t>
      </w:r>
    </w:p>
    <w:p w14:paraId="427EECFB" w14:textId="2CEE44C5"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19</w:t>
      </w:r>
      <w:r w:rsidRPr="00026EEC">
        <w:rPr>
          <w:rStyle w:val="Strong"/>
          <w:rFonts w:ascii="Simplified Arabic" w:hAnsi="Simplified Arabic" w:cs="Simplified Arabic"/>
          <w:rtl/>
        </w:rPr>
        <w:t>): تحليل الانحدار الخطي البسيط لقياس أثر تقنيات المراقبة الذكية والصيانة الوقائية على تقليل الأعطال التشغيلية</w:t>
      </w:r>
    </w:p>
    <w:tbl>
      <w:tblPr>
        <w:tblStyle w:val="GridTable1Light-Accent5"/>
        <w:bidiVisual/>
        <w:tblW w:w="8281" w:type="dxa"/>
        <w:jc w:val="center"/>
        <w:tblLook w:val="04A0" w:firstRow="1" w:lastRow="0" w:firstColumn="1" w:lastColumn="0" w:noHBand="0" w:noVBand="1"/>
      </w:tblPr>
      <w:tblGrid>
        <w:gridCol w:w="747"/>
        <w:gridCol w:w="788"/>
        <w:gridCol w:w="701"/>
        <w:gridCol w:w="690"/>
        <w:gridCol w:w="911"/>
        <w:gridCol w:w="701"/>
        <w:gridCol w:w="774"/>
        <w:gridCol w:w="701"/>
        <w:gridCol w:w="777"/>
        <w:gridCol w:w="701"/>
        <w:gridCol w:w="806"/>
        <w:gridCol w:w="701"/>
      </w:tblGrid>
      <w:tr w:rsidR="00327C81" w:rsidRPr="0003434F" w14:paraId="54830B36" w14:textId="77777777" w:rsidTr="00327C81">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56264A"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التابع</w:t>
            </w:r>
          </w:p>
        </w:tc>
        <w:tc>
          <w:tcPr>
            <w:tcW w:w="0" w:type="auto"/>
            <w:vAlign w:val="center"/>
            <w:hideMark/>
          </w:tcPr>
          <w:p w14:paraId="760794D5"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الارتباط</w:t>
            </w:r>
            <w:r w:rsidRPr="0003434F">
              <w:rPr>
                <w:rFonts w:ascii="Simplified Arabic" w:hAnsi="Simplified Arabic" w:cs="Simplified Arabic"/>
                <w:b w:val="0"/>
                <w:bCs w:val="0"/>
                <w:sz w:val="20"/>
                <w:szCs w:val="20"/>
              </w:rPr>
              <w:t xml:space="preserve"> r</w:t>
            </w:r>
          </w:p>
        </w:tc>
        <w:tc>
          <w:tcPr>
            <w:tcW w:w="0" w:type="auto"/>
            <w:vAlign w:val="center"/>
            <w:hideMark/>
          </w:tcPr>
          <w:p w14:paraId="1BE5B92D"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التحديد</w:t>
            </w:r>
            <w:r w:rsidRPr="0003434F">
              <w:rPr>
                <w:rFonts w:ascii="Simplified Arabic" w:hAnsi="Simplified Arabic" w:cs="Simplified Arabic"/>
                <w:b w:val="0"/>
                <w:bCs w:val="0"/>
                <w:sz w:val="20"/>
                <w:szCs w:val="20"/>
              </w:rPr>
              <w:t xml:space="preserve"> r²</w:t>
            </w:r>
          </w:p>
        </w:tc>
        <w:tc>
          <w:tcPr>
            <w:tcW w:w="0" w:type="auto"/>
            <w:vAlign w:val="center"/>
            <w:hideMark/>
          </w:tcPr>
          <w:p w14:paraId="56FDA852"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الحرية</w:t>
            </w:r>
            <w:r w:rsidRPr="0003434F">
              <w:rPr>
                <w:rFonts w:ascii="Simplified Arabic" w:hAnsi="Simplified Arabic" w:cs="Simplified Arabic"/>
                <w:b w:val="0"/>
                <w:bCs w:val="0"/>
                <w:sz w:val="20"/>
                <w:szCs w:val="20"/>
              </w:rPr>
              <w:t xml:space="preserve"> df</w:t>
            </w:r>
          </w:p>
        </w:tc>
        <w:tc>
          <w:tcPr>
            <w:tcW w:w="0" w:type="auto"/>
            <w:vAlign w:val="center"/>
            <w:hideMark/>
          </w:tcPr>
          <w:p w14:paraId="5C2F3BB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F </w:t>
            </w:r>
            <w:r w:rsidRPr="0003434F">
              <w:rPr>
                <w:rFonts w:ascii="Simplified Arabic" w:hAnsi="Simplified Arabic" w:cs="Simplified Arabic"/>
                <w:b w:val="0"/>
                <w:bCs w:val="0"/>
                <w:sz w:val="20"/>
                <w:szCs w:val="20"/>
                <w:rtl/>
              </w:rPr>
              <w:t>المحسوبة</w:t>
            </w:r>
          </w:p>
        </w:tc>
        <w:tc>
          <w:tcPr>
            <w:tcW w:w="0" w:type="auto"/>
            <w:vAlign w:val="center"/>
            <w:hideMark/>
          </w:tcPr>
          <w:p w14:paraId="1B13955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F</w:t>
            </w:r>
          </w:p>
        </w:tc>
        <w:tc>
          <w:tcPr>
            <w:tcW w:w="0" w:type="auto"/>
            <w:vAlign w:val="center"/>
            <w:hideMark/>
          </w:tcPr>
          <w:p w14:paraId="595599C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المستقل</w:t>
            </w:r>
          </w:p>
        </w:tc>
        <w:tc>
          <w:tcPr>
            <w:tcW w:w="0" w:type="auto"/>
            <w:vAlign w:val="center"/>
            <w:hideMark/>
          </w:tcPr>
          <w:p w14:paraId="43F9395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w:t>
            </w:r>
          </w:p>
        </w:tc>
        <w:tc>
          <w:tcPr>
            <w:tcW w:w="0" w:type="auto"/>
            <w:vAlign w:val="center"/>
            <w:hideMark/>
          </w:tcPr>
          <w:p w14:paraId="4B19947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الخطأ المعياري</w:t>
            </w:r>
          </w:p>
        </w:tc>
        <w:tc>
          <w:tcPr>
            <w:tcW w:w="0" w:type="auto"/>
            <w:vAlign w:val="center"/>
            <w:hideMark/>
          </w:tcPr>
          <w:p w14:paraId="2F61C5F1"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Beta</w:t>
            </w:r>
          </w:p>
        </w:tc>
        <w:tc>
          <w:tcPr>
            <w:tcW w:w="0" w:type="auto"/>
            <w:vAlign w:val="center"/>
            <w:hideMark/>
          </w:tcPr>
          <w:p w14:paraId="54F37C2D"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T</w:t>
            </w:r>
          </w:p>
        </w:tc>
        <w:tc>
          <w:tcPr>
            <w:tcW w:w="0" w:type="auto"/>
            <w:vAlign w:val="center"/>
            <w:hideMark/>
          </w:tcPr>
          <w:p w14:paraId="1BEFAB15"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t</w:t>
            </w:r>
          </w:p>
        </w:tc>
      </w:tr>
      <w:tr w:rsidR="00327C81" w:rsidRPr="0003434F" w14:paraId="7041EE30" w14:textId="77777777" w:rsidTr="00327C81">
        <w:trPr>
          <w:trHeight w:val="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51F481"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تقليل الأعطال التشغيلية</w:t>
            </w:r>
          </w:p>
        </w:tc>
        <w:tc>
          <w:tcPr>
            <w:tcW w:w="0" w:type="auto"/>
            <w:vAlign w:val="center"/>
            <w:hideMark/>
          </w:tcPr>
          <w:p w14:paraId="5D1DC33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0.731</w:t>
            </w:r>
          </w:p>
        </w:tc>
        <w:tc>
          <w:tcPr>
            <w:tcW w:w="0" w:type="auto"/>
            <w:vAlign w:val="center"/>
            <w:hideMark/>
          </w:tcPr>
          <w:p w14:paraId="59D60FD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0.534</w:t>
            </w:r>
          </w:p>
        </w:tc>
        <w:tc>
          <w:tcPr>
            <w:tcW w:w="0" w:type="auto"/>
            <w:vAlign w:val="center"/>
            <w:hideMark/>
          </w:tcPr>
          <w:p w14:paraId="042A40D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64061F2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401.256</w:t>
            </w:r>
          </w:p>
        </w:tc>
        <w:tc>
          <w:tcPr>
            <w:tcW w:w="0" w:type="auto"/>
            <w:vAlign w:val="center"/>
            <w:hideMark/>
          </w:tcPr>
          <w:p w14:paraId="59E59A4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585C1C0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تقنيات المراقبة الذكية والصيانة الوقائية</w:t>
            </w:r>
          </w:p>
        </w:tc>
        <w:tc>
          <w:tcPr>
            <w:tcW w:w="0" w:type="auto"/>
            <w:vAlign w:val="center"/>
            <w:hideMark/>
          </w:tcPr>
          <w:p w14:paraId="60AB7B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0.658</w:t>
            </w:r>
          </w:p>
        </w:tc>
        <w:tc>
          <w:tcPr>
            <w:tcW w:w="0" w:type="auto"/>
            <w:vAlign w:val="center"/>
            <w:hideMark/>
          </w:tcPr>
          <w:p w14:paraId="2DBB2F1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0.041</w:t>
            </w:r>
          </w:p>
        </w:tc>
        <w:tc>
          <w:tcPr>
            <w:tcW w:w="0" w:type="auto"/>
            <w:vAlign w:val="center"/>
            <w:hideMark/>
          </w:tcPr>
          <w:p w14:paraId="010A577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0.731</w:t>
            </w:r>
          </w:p>
        </w:tc>
        <w:tc>
          <w:tcPr>
            <w:tcW w:w="0" w:type="auto"/>
            <w:vAlign w:val="center"/>
            <w:hideMark/>
          </w:tcPr>
          <w:p w14:paraId="04CAC02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16.047</w:t>
            </w:r>
          </w:p>
        </w:tc>
        <w:tc>
          <w:tcPr>
            <w:tcW w:w="0" w:type="auto"/>
            <w:vAlign w:val="center"/>
            <w:hideMark/>
          </w:tcPr>
          <w:p w14:paraId="713A9A6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bl>
    <w:p w14:paraId="2C5B8BC5" w14:textId="77777777" w:rsidR="00AE38FA" w:rsidRPr="00026EEC" w:rsidRDefault="00AE38FA" w:rsidP="00026EEC">
      <w:pPr>
        <w:pStyle w:val="NormalWeb"/>
        <w:bidi/>
        <w:spacing w:before="0" w:beforeAutospacing="0" w:after="0" w:afterAutospacing="0"/>
        <w:ind w:left="360"/>
        <w:jc w:val="both"/>
        <w:rPr>
          <w:rFonts w:ascii="Simplified Arabic" w:hAnsi="Simplified Arabic" w:cs="Simplified Arabic"/>
          <w:i/>
          <w:iCs/>
        </w:rPr>
      </w:pPr>
      <w:r w:rsidRPr="00026EEC">
        <w:rPr>
          <w:rStyle w:val="Emphasis"/>
          <w:rFonts w:ascii="Simplified Arabic" w:eastAsiaTheme="majorEastAsia" w:hAnsi="Simplified Arabic" w:cs="Simplified Arabic"/>
          <w:i w:val="0"/>
          <w:iCs w:val="0"/>
          <w:rtl/>
        </w:rPr>
        <w:t>المصدر: من إعداد الباحث بالاعتماد على مخرجات</w:t>
      </w:r>
      <w:r w:rsidRPr="00026EEC">
        <w:rPr>
          <w:rStyle w:val="Emphasis"/>
          <w:rFonts w:ascii="Simplified Arabic" w:eastAsiaTheme="majorEastAsia" w:hAnsi="Simplified Arabic" w:cs="Simplified Arabic"/>
          <w:i w:val="0"/>
          <w:iCs w:val="0"/>
        </w:rPr>
        <w:t xml:space="preserve"> SPSS</w:t>
      </w:r>
    </w:p>
    <w:p w14:paraId="4F0DC06F"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 xml:space="preserve">تُشير النتائج الإحصائية الموضحة في الجدول </w:t>
      </w:r>
      <w:r w:rsidRPr="00026EEC">
        <w:rPr>
          <w:rFonts w:ascii="Simplified Arabic" w:hAnsi="Simplified Arabic" w:cs="Simplified Arabic"/>
        </w:rPr>
        <w:t xml:space="preserve">(14) </w:t>
      </w:r>
      <w:r w:rsidRPr="00026EEC">
        <w:rPr>
          <w:rFonts w:ascii="Simplified Arabic" w:hAnsi="Simplified Arabic" w:cs="Simplified Arabic"/>
          <w:rtl/>
        </w:rPr>
        <w:t>إلى أن معامل الارتباط بلغ</w:t>
      </w:r>
      <w:r w:rsidRPr="00026EEC">
        <w:rPr>
          <w:rFonts w:ascii="Simplified Arabic" w:hAnsi="Simplified Arabic" w:cs="Simplified Arabic"/>
        </w:rPr>
        <w:t xml:space="preserve"> (r = 0.731)</w:t>
      </w:r>
      <w:r w:rsidRPr="00026EEC">
        <w:rPr>
          <w:rFonts w:ascii="Simplified Arabic" w:hAnsi="Simplified Arabic" w:cs="Simplified Arabic"/>
          <w:rtl/>
        </w:rPr>
        <w:t>، وهو ما يعكس وجود علاقة ارتباط موجبة قوية بين تقنيات المراقبة الذكية والصيانة الوقائية وتقليل الأعطال التشغيلية. كما بلغت قيمة معامل التحديد</w:t>
      </w:r>
      <w:r w:rsidRPr="00026EEC">
        <w:rPr>
          <w:rFonts w:ascii="Simplified Arabic" w:hAnsi="Simplified Arabic" w:cs="Simplified Arabic"/>
        </w:rPr>
        <w:t xml:space="preserve"> (R² = 0.534)</w:t>
      </w:r>
      <w:r w:rsidRPr="00026EEC">
        <w:rPr>
          <w:rFonts w:ascii="Simplified Arabic" w:hAnsi="Simplified Arabic" w:cs="Simplified Arabic"/>
          <w:rtl/>
        </w:rPr>
        <w:t>، وهي الأعلى بين الفرضيات الفرعية الأربع، مما يُشير إلى أن (53.4%) من التباين في مستوى تقليل الأعطال التشغيلية يُمكن تفسيره من خلال متغير تقنيات المراقبة الذكية والصيانة الوقائية منفرداً</w:t>
      </w:r>
      <w:r w:rsidRPr="00026EEC">
        <w:rPr>
          <w:rFonts w:ascii="Simplified Arabic" w:hAnsi="Simplified Arabic" w:cs="Simplified Arabic"/>
        </w:rPr>
        <w:t>.</w:t>
      </w:r>
    </w:p>
    <w:p w14:paraId="5D9C412F"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وبالاطلاع على نتائج تحليل التباين</w:t>
      </w:r>
      <w:r w:rsidRPr="00026EEC">
        <w:rPr>
          <w:rFonts w:ascii="Simplified Arabic" w:hAnsi="Simplified Arabic" w:cs="Simplified Arabic"/>
        </w:rPr>
        <w:t xml:space="preserve"> (ANOVA)</w:t>
      </w:r>
      <w:r w:rsidRPr="00026EEC">
        <w:rPr>
          <w:rFonts w:ascii="Simplified Arabic" w:hAnsi="Simplified Arabic" w:cs="Simplified Arabic"/>
          <w:rtl/>
        </w:rPr>
        <w:t>، نجد أن قيمة</w:t>
      </w:r>
      <w:r w:rsidRPr="00026EEC">
        <w:rPr>
          <w:rFonts w:ascii="Simplified Arabic" w:hAnsi="Simplified Arabic" w:cs="Simplified Arabic"/>
        </w:rPr>
        <w:t xml:space="preserve"> F </w:t>
      </w:r>
      <w:r w:rsidRPr="00026EEC">
        <w:rPr>
          <w:rFonts w:ascii="Simplified Arabic" w:hAnsi="Simplified Arabic" w:cs="Simplified Arabic"/>
          <w:rtl/>
        </w:rPr>
        <w:t>المحسوبة بلغت (401.256) بمستوى دلالة</w:t>
      </w:r>
      <w:r w:rsidRPr="00026EEC">
        <w:rPr>
          <w:rFonts w:ascii="Simplified Arabic" w:hAnsi="Simplified Arabic" w:cs="Simplified Arabic"/>
        </w:rPr>
        <w:t xml:space="preserve"> (Sig. = 0.000)</w:t>
      </w:r>
      <w:r w:rsidRPr="00026EEC">
        <w:rPr>
          <w:rFonts w:ascii="Simplified Arabic" w:hAnsi="Simplified Arabic" w:cs="Simplified Arabic"/>
          <w:rtl/>
        </w:rPr>
        <w:t>، وهي القيمة الأعلى بين نماذج الانحدار الفرعية مما يُعزّز من قوة النموذج التفسيرية. أما معامل التأثير فقد بلغ</w:t>
      </w:r>
      <w:r w:rsidRPr="00026EEC">
        <w:rPr>
          <w:rFonts w:ascii="Simplified Arabic" w:hAnsi="Simplified Arabic" w:cs="Simplified Arabic"/>
        </w:rPr>
        <w:t xml:space="preserve"> (B = 0.658)</w:t>
      </w:r>
      <w:r w:rsidRPr="00026EEC">
        <w:rPr>
          <w:rFonts w:ascii="Simplified Arabic" w:hAnsi="Simplified Arabic" w:cs="Simplified Arabic"/>
          <w:rtl/>
        </w:rPr>
        <w:t>، بقيمة</w:t>
      </w:r>
      <w:r w:rsidRPr="00026EEC">
        <w:rPr>
          <w:rFonts w:ascii="Simplified Arabic" w:hAnsi="Simplified Arabic" w:cs="Simplified Arabic"/>
        </w:rPr>
        <w:t xml:space="preserve"> (T = 16.047) </w:t>
      </w:r>
      <w:r w:rsidRPr="00026EEC">
        <w:rPr>
          <w:rFonts w:ascii="Simplified Arabic" w:hAnsi="Simplified Arabic" w:cs="Simplified Arabic"/>
          <w:rtl/>
        </w:rPr>
        <w:t>ودلالة</w:t>
      </w:r>
      <w:r w:rsidRPr="00026EEC">
        <w:rPr>
          <w:rFonts w:ascii="Simplified Arabic" w:hAnsi="Simplified Arabic" w:cs="Simplified Arabic"/>
        </w:rPr>
        <w:t xml:space="preserve"> (Sig. = 0.000)</w:t>
      </w:r>
      <w:r w:rsidRPr="00026EEC">
        <w:rPr>
          <w:rFonts w:ascii="Simplified Arabic" w:hAnsi="Simplified Arabic" w:cs="Simplified Arabic"/>
          <w:rtl/>
        </w:rPr>
        <w:t>، مما يدل على أن أي زيادة بمقدار وحدة واحدة في مستوى تطبيق تقنيات المراقبة الذكية والصيانة الوقائية تؤدي إلى زيادة بمقدار (0.658) في مستوى تقليل الأعطال التشغيلية. ويُؤكّد هذا الأثر القوي الدور المحوري الذي تلعبه تقنيات المراقبة الآنية والصيانة التنبؤية في الكشف المبكر عن مؤشرات الأعطال ومعالجتها قبل تفاقمها. وبناءً على ذلك، تُرفض الفرضية الصفرية وتُقبل الفرضية البديلة القائلة بوجود أثر ذي دلالة إحصائية لتقنيات المراقبة الذكية والصيانة الوقائية على تقليل الأعطال التشغيلية</w:t>
      </w:r>
      <w:r w:rsidRPr="00026EEC">
        <w:rPr>
          <w:rFonts w:ascii="Simplified Arabic" w:hAnsi="Simplified Arabic" w:cs="Simplified Arabic"/>
        </w:rPr>
        <w:t>.</w:t>
      </w:r>
    </w:p>
    <w:p w14:paraId="4E7D8044" w14:textId="47F1B7EE" w:rsidR="00AE38FA" w:rsidRPr="00026EEC" w:rsidRDefault="00E178F3" w:rsidP="00026EEC">
      <w:pPr>
        <w:pStyle w:val="ListParagraph"/>
        <w:numPr>
          <w:ilvl w:val="0"/>
          <w:numId w:val="33"/>
        </w:numPr>
        <w:spacing w:after="0" w:line="240" w:lineRule="auto"/>
        <w:ind w:left="425"/>
        <w:jc w:val="both"/>
        <w:rPr>
          <w:rFonts w:ascii="Simplified Arabic" w:hAnsi="Simplified Arabic" w:cs="Simplified Arabic"/>
          <w:b/>
          <w:bCs/>
          <w:sz w:val="24"/>
          <w:szCs w:val="24"/>
        </w:rPr>
      </w:pPr>
      <w:r w:rsidRPr="00026EEC">
        <w:rPr>
          <w:rFonts w:ascii="Simplified Arabic" w:hAnsi="Simplified Arabic" w:cs="Simplified Arabic"/>
          <w:b/>
          <w:bCs/>
          <w:sz w:val="24"/>
          <w:szCs w:val="24"/>
          <w:rtl/>
        </w:rPr>
        <w:t>الفرضية الفرعية الرابعة</w:t>
      </w:r>
    </w:p>
    <w:p w14:paraId="24D23602"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Style w:val="Strong"/>
          <w:rFonts w:ascii="Simplified Arabic" w:hAnsi="Simplified Arabic" w:cs="Simplified Arabic"/>
          <w:b w:val="0"/>
          <w:bCs w:val="0"/>
          <w:rtl/>
        </w:rPr>
        <w:t>نصّ الفرضية</w:t>
      </w:r>
      <w:r w:rsidRPr="00026EEC">
        <w:rPr>
          <w:rStyle w:val="Strong"/>
          <w:rFonts w:ascii="Simplified Arabic" w:hAnsi="Simplified Arabic" w:cs="Simplified Arabic"/>
          <w:b w:val="0"/>
          <w:bCs w:val="0"/>
        </w:rPr>
        <w:t>:</w:t>
      </w:r>
      <w:r w:rsidRPr="00026EEC">
        <w:rPr>
          <w:rFonts w:ascii="Simplified Arabic" w:hAnsi="Simplified Arabic" w:cs="Simplified Arabic"/>
        </w:rPr>
        <w:t xml:space="preserve"> </w:t>
      </w:r>
      <w:r w:rsidRPr="00026EEC">
        <w:rPr>
          <w:rFonts w:ascii="Simplified Arabic" w:hAnsi="Simplified Arabic" w:cs="Simplified Arabic"/>
          <w:rtl/>
        </w:rPr>
        <w:t>لا يوجد أثر ذو دلالة إحصائية عند مستوى دلالة</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لتكامل تقنيات إدارة المخاطر والذكاء الاصطناعي على تحسين استدامة الشبكة الذكية في الشركة السعودية للكهرباء</w:t>
      </w:r>
      <w:r w:rsidRPr="00026EEC">
        <w:rPr>
          <w:rFonts w:ascii="Simplified Arabic" w:hAnsi="Simplified Arabic" w:cs="Simplified Arabic"/>
        </w:rPr>
        <w:t>.</w:t>
      </w:r>
    </w:p>
    <w:p w14:paraId="2F6EB0B6"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lastRenderedPageBreak/>
        <w:t>للتحقق من صحة هذه الفرضية تم استخدام تحليل الانحدار الخطي البسيط</w:t>
      </w:r>
      <w:r w:rsidRPr="00026EEC">
        <w:rPr>
          <w:rFonts w:ascii="Simplified Arabic" w:hAnsi="Simplified Arabic" w:cs="Simplified Arabic"/>
        </w:rPr>
        <w:t xml:space="preserve"> (Simple Linear Regression)</w:t>
      </w:r>
      <w:r w:rsidRPr="00026EEC">
        <w:rPr>
          <w:rFonts w:ascii="Simplified Arabic" w:hAnsi="Simplified Arabic" w:cs="Simplified Arabic"/>
          <w:rtl/>
        </w:rPr>
        <w:t>، وجاءت النتائج كما هو موضح في الجدول التالي</w:t>
      </w:r>
      <w:r w:rsidRPr="00026EEC">
        <w:rPr>
          <w:rFonts w:ascii="Simplified Arabic" w:hAnsi="Simplified Arabic" w:cs="Simplified Arabic"/>
        </w:rPr>
        <w:t>:</w:t>
      </w:r>
    </w:p>
    <w:p w14:paraId="16EB9ED2" w14:textId="2985B834" w:rsidR="00327C81" w:rsidRPr="00026EEC" w:rsidRDefault="00AE38FA" w:rsidP="00026EEC">
      <w:pPr>
        <w:pStyle w:val="NormalWeb"/>
        <w:bidi/>
        <w:spacing w:before="0" w:beforeAutospacing="0" w:after="0" w:afterAutospacing="0"/>
        <w:jc w:val="center"/>
        <w:rPr>
          <w:rFonts w:ascii="Simplified Arabic" w:hAnsi="Simplified Arabic" w:cs="Simplified Arabic"/>
          <w:b/>
          <w:bCs/>
        </w:rPr>
      </w:pPr>
      <w:r w:rsidRPr="00026EEC">
        <w:rPr>
          <w:rStyle w:val="Strong"/>
          <w:rFonts w:ascii="Simplified Arabic" w:hAnsi="Simplified Arabic" w:cs="Simplified Arabic"/>
          <w:rtl/>
        </w:rPr>
        <w:t>جدول (</w:t>
      </w:r>
      <w:r w:rsidR="00327C81" w:rsidRPr="00026EEC">
        <w:rPr>
          <w:rStyle w:val="Strong"/>
          <w:rFonts w:ascii="Simplified Arabic" w:hAnsi="Simplified Arabic" w:cs="Simplified Arabic"/>
          <w:rtl/>
        </w:rPr>
        <w:t>20</w:t>
      </w:r>
      <w:r w:rsidRPr="00026EEC">
        <w:rPr>
          <w:rStyle w:val="Strong"/>
          <w:rFonts w:ascii="Simplified Arabic" w:hAnsi="Simplified Arabic" w:cs="Simplified Arabic"/>
          <w:rtl/>
        </w:rPr>
        <w:t>): تحليل الانحدار الخطي البسيط لقياس أثر تكامل تقنيات إدارة المخاطر والذكاء الاصطناعي على تحسين استدامة الشبكة الذكية</w:t>
      </w:r>
    </w:p>
    <w:tbl>
      <w:tblPr>
        <w:tblStyle w:val="GridTable1Light-Accent5"/>
        <w:bidiVisual/>
        <w:tblW w:w="8051" w:type="dxa"/>
        <w:tblLook w:val="04A0" w:firstRow="1" w:lastRow="0" w:firstColumn="1" w:lastColumn="0" w:noHBand="0" w:noVBand="1"/>
      </w:tblPr>
      <w:tblGrid>
        <w:gridCol w:w="676"/>
        <w:gridCol w:w="788"/>
        <w:gridCol w:w="701"/>
        <w:gridCol w:w="690"/>
        <w:gridCol w:w="911"/>
        <w:gridCol w:w="701"/>
        <w:gridCol w:w="970"/>
        <w:gridCol w:w="701"/>
        <w:gridCol w:w="777"/>
        <w:gridCol w:w="701"/>
        <w:gridCol w:w="806"/>
        <w:gridCol w:w="701"/>
      </w:tblGrid>
      <w:tr w:rsidR="00AE38FA" w:rsidRPr="0003434F" w14:paraId="5BF0D101" w14:textId="77777777" w:rsidTr="00375D08">
        <w:trPr>
          <w:cnfStyle w:val="100000000000" w:firstRow="1" w:lastRow="0" w:firstColumn="0" w:lastColumn="0" w:oddVBand="0" w:evenVBand="0" w:oddHBand="0"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752B2"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التابع</w:t>
            </w:r>
          </w:p>
        </w:tc>
        <w:tc>
          <w:tcPr>
            <w:tcW w:w="0" w:type="auto"/>
            <w:vAlign w:val="center"/>
            <w:hideMark/>
          </w:tcPr>
          <w:p w14:paraId="326C54B3"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الارتباط</w:t>
            </w:r>
            <w:r w:rsidRPr="0003434F">
              <w:rPr>
                <w:rFonts w:ascii="Simplified Arabic" w:hAnsi="Simplified Arabic" w:cs="Simplified Arabic"/>
                <w:b w:val="0"/>
                <w:bCs w:val="0"/>
                <w:sz w:val="20"/>
                <w:szCs w:val="20"/>
              </w:rPr>
              <w:t xml:space="preserve"> r</w:t>
            </w:r>
          </w:p>
        </w:tc>
        <w:tc>
          <w:tcPr>
            <w:tcW w:w="0" w:type="auto"/>
            <w:vAlign w:val="center"/>
            <w:hideMark/>
          </w:tcPr>
          <w:p w14:paraId="00FA2F4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معامل التحديد</w:t>
            </w:r>
            <w:r w:rsidRPr="0003434F">
              <w:rPr>
                <w:rFonts w:ascii="Simplified Arabic" w:hAnsi="Simplified Arabic" w:cs="Simplified Arabic"/>
                <w:b w:val="0"/>
                <w:bCs w:val="0"/>
                <w:sz w:val="20"/>
                <w:szCs w:val="20"/>
              </w:rPr>
              <w:t xml:space="preserve"> r²</w:t>
            </w:r>
          </w:p>
        </w:tc>
        <w:tc>
          <w:tcPr>
            <w:tcW w:w="0" w:type="auto"/>
            <w:vAlign w:val="center"/>
            <w:hideMark/>
          </w:tcPr>
          <w:p w14:paraId="18F5290A"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درجة الحرية</w:t>
            </w:r>
            <w:r w:rsidRPr="0003434F">
              <w:rPr>
                <w:rFonts w:ascii="Simplified Arabic" w:hAnsi="Simplified Arabic" w:cs="Simplified Arabic"/>
                <w:b w:val="0"/>
                <w:bCs w:val="0"/>
                <w:sz w:val="20"/>
                <w:szCs w:val="20"/>
              </w:rPr>
              <w:t xml:space="preserve"> df</w:t>
            </w:r>
          </w:p>
        </w:tc>
        <w:tc>
          <w:tcPr>
            <w:tcW w:w="0" w:type="auto"/>
            <w:vAlign w:val="center"/>
            <w:hideMark/>
          </w:tcPr>
          <w:p w14:paraId="1034217B"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 xml:space="preserve">F </w:t>
            </w:r>
            <w:r w:rsidRPr="0003434F">
              <w:rPr>
                <w:rFonts w:ascii="Simplified Arabic" w:hAnsi="Simplified Arabic" w:cs="Simplified Arabic"/>
                <w:b w:val="0"/>
                <w:bCs w:val="0"/>
                <w:sz w:val="20"/>
                <w:szCs w:val="20"/>
                <w:rtl/>
              </w:rPr>
              <w:t>المحسوبة</w:t>
            </w:r>
          </w:p>
        </w:tc>
        <w:tc>
          <w:tcPr>
            <w:tcW w:w="0" w:type="auto"/>
            <w:vAlign w:val="center"/>
            <w:hideMark/>
          </w:tcPr>
          <w:p w14:paraId="3AF5172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F</w:t>
            </w:r>
          </w:p>
        </w:tc>
        <w:tc>
          <w:tcPr>
            <w:tcW w:w="0" w:type="auto"/>
            <w:vAlign w:val="center"/>
            <w:hideMark/>
          </w:tcPr>
          <w:p w14:paraId="6787175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المتغير المستقل</w:t>
            </w:r>
          </w:p>
        </w:tc>
        <w:tc>
          <w:tcPr>
            <w:tcW w:w="0" w:type="auto"/>
            <w:vAlign w:val="center"/>
            <w:hideMark/>
          </w:tcPr>
          <w:p w14:paraId="44973BAC"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w:t>
            </w:r>
          </w:p>
        </w:tc>
        <w:tc>
          <w:tcPr>
            <w:tcW w:w="0" w:type="auto"/>
            <w:vAlign w:val="center"/>
            <w:hideMark/>
          </w:tcPr>
          <w:p w14:paraId="78D911D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الخطأ المعياري</w:t>
            </w:r>
          </w:p>
        </w:tc>
        <w:tc>
          <w:tcPr>
            <w:tcW w:w="0" w:type="auto"/>
            <w:vAlign w:val="center"/>
            <w:hideMark/>
          </w:tcPr>
          <w:p w14:paraId="3A8F706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Beta</w:t>
            </w:r>
          </w:p>
        </w:tc>
        <w:tc>
          <w:tcPr>
            <w:tcW w:w="0" w:type="auto"/>
            <w:vAlign w:val="center"/>
            <w:hideMark/>
          </w:tcPr>
          <w:p w14:paraId="2BD8EC53"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T</w:t>
            </w:r>
          </w:p>
        </w:tc>
        <w:tc>
          <w:tcPr>
            <w:tcW w:w="0" w:type="auto"/>
            <w:vAlign w:val="center"/>
            <w:hideMark/>
          </w:tcPr>
          <w:p w14:paraId="3BEF071E"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Pr>
              <w:t>Sig. t</w:t>
            </w:r>
          </w:p>
        </w:tc>
      </w:tr>
      <w:tr w:rsidR="00AE38FA" w:rsidRPr="0003434F" w14:paraId="3B2BD53D" w14:textId="77777777" w:rsidTr="00375D08">
        <w:trPr>
          <w:trHeight w:val="3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8EFBAA" w14:textId="77777777" w:rsidR="00AE38FA" w:rsidRPr="0003434F" w:rsidRDefault="00AE38FA" w:rsidP="00026EEC">
            <w:pPr>
              <w:jc w:val="center"/>
              <w:rPr>
                <w:rFonts w:ascii="Simplified Arabic" w:hAnsi="Simplified Arabic" w:cs="Simplified Arabic"/>
                <w:b w:val="0"/>
                <w:bCs w:val="0"/>
                <w:sz w:val="20"/>
                <w:szCs w:val="20"/>
              </w:rPr>
            </w:pPr>
            <w:r w:rsidRPr="0003434F">
              <w:rPr>
                <w:rFonts w:ascii="Simplified Arabic" w:hAnsi="Simplified Arabic" w:cs="Simplified Arabic"/>
                <w:b w:val="0"/>
                <w:bCs w:val="0"/>
                <w:sz w:val="20"/>
                <w:szCs w:val="20"/>
                <w:rtl/>
              </w:rPr>
              <w:t>تحسين استدامة الشبكة الذكية</w:t>
            </w:r>
          </w:p>
        </w:tc>
        <w:tc>
          <w:tcPr>
            <w:tcW w:w="0" w:type="auto"/>
            <w:vAlign w:val="center"/>
            <w:hideMark/>
          </w:tcPr>
          <w:p w14:paraId="48597C9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0.712</w:t>
            </w:r>
          </w:p>
        </w:tc>
        <w:tc>
          <w:tcPr>
            <w:tcW w:w="0" w:type="auto"/>
            <w:vAlign w:val="center"/>
            <w:hideMark/>
          </w:tcPr>
          <w:p w14:paraId="2C0E039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0.507</w:t>
            </w:r>
          </w:p>
        </w:tc>
        <w:tc>
          <w:tcPr>
            <w:tcW w:w="0" w:type="auto"/>
            <w:vAlign w:val="center"/>
            <w:hideMark/>
          </w:tcPr>
          <w:p w14:paraId="30ACF4C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w:t>
            </w:r>
          </w:p>
        </w:tc>
        <w:tc>
          <w:tcPr>
            <w:tcW w:w="0" w:type="auto"/>
            <w:vAlign w:val="center"/>
            <w:hideMark/>
          </w:tcPr>
          <w:p w14:paraId="7636405D"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359.874</w:t>
            </w:r>
          </w:p>
        </w:tc>
        <w:tc>
          <w:tcPr>
            <w:tcW w:w="0" w:type="auto"/>
            <w:vAlign w:val="center"/>
            <w:hideMark/>
          </w:tcPr>
          <w:p w14:paraId="1A502F1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112B503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تكامل تقنيات إدارة المخاطر والذكاء الاصطناعي</w:t>
            </w:r>
          </w:p>
        </w:tc>
        <w:tc>
          <w:tcPr>
            <w:tcW w:w="0" w:type="auto"/>
            <w:vAlign w:val="center"/>
            <w:hideMark/>
          </w:tcPr>
          <w:p w14:paraId="45B0ECB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0.637</w:t>
            </w:r>
          </w:p>
        </w:tc>
        <w:tc>
          <w:tcPr>
            <w:tcW w:w="0" w:type="auto"/>
            <w:vAlign w:val="center"/>
            <w:hideMark/>
          </w:tcPr>
          <w:p w14:paraId="2F757B0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0.043</w:t>
            </w:r>
          </w:p>
        </w:tc>
        <w:tc>
          <w:tcPr>
            <w:tcW w:w="0" w:type="auto"/>
            <w:vAlign w:val="center"/>
            <w:hideMark/>
          </w:tcPr>
          <w:p w14:paraId="48FC7F0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0.712</w:t>
            </w:r>
          </w:p>
        </w:tc>
        <w:tc>
          <w:tcPr>
            <w:tcW w:w="0" w:type="auto"/>
            <w:vAlign w:val="center"/>
            <w:hideMark/>
          </w:tcPr>
          <w:p w14:paraId="19A1E2B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14.812</w:t>
            </w:r>
          </w:p>
        </w:tc>
        <w:tc>
          <w:tcPr>
            <w:tcW w:w="0" w:type="auto"/>
            <w:vAlign w:val="center"/>
            <w:hideMark/>
          </w:tcPr>
          <w:p w14:paraId="7283890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r>
    </w:tbl>
    <w:p w14:paraId="1BA051F7" w14:textId="77777777" w:rsidR="00AE38FA" w:rsidRPr="00026EEC" w:rsidRDefault="00AE38FA" w:rsidP="00026EEC">
      <w:pPr>
        <w:pStyle w:val="NormalWeb"/>
        <w:bidi/>
        <w:spacing w:before="0" w:beforeAutospacing="0" w:after="0" w:afterAutospacing="0"/>
        <w:jc w:val="both"/>
        <w:rPr>
          <w:rFonts w:ascii="Simplified Arabic" w:hAnsi="Simplified Arabic" w:cs="Simplified Arabic"/>
          <w:i/>
          <w:iCs/>
        </w:rPr>
      </w:pPr>
      <w:r w:rsidRPr="00026EEC">
        <w:rPr>
          <w:rStyle w:val="Emphasis"/>
          <w:rFonts w:ascii="Simplified Arabic" w:eastAsiaTheme="majorEastAsia" w:hAnsi="Simplified Arabic" w:cs="Simplified Arabic"/>
          <w:i w:val="0"/>
          <w:iCs w:val="0"/>
          <w:rtl/>
        </w:rPr>
        <w:t>المصدر: من إعداد الباحث بالاعتماد على مخرجات</w:t>
      </w:r>
      <w:r w:rsidRPr="00026EEC">
        <w:rPr>
          <w:rStyle w:val="Emphasis"/>
          <w:rFonts w:ascii="Simplified Arabic" w:eastAsiaTheme="majorEastAsia" w:hAnsi="Simplified Arabic" w:cs="Simplified Arabic"/>
          <w:i w:val="0"/>
          <w:iCs w:val="0"/>
        </w:rPr>
        <w:t xml:space="preserve"> SPSS</w:t>
      </w:r>
    </w:p>
    <w:p w14:paraId="70752B2C" w14:textId="77777777"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 xml:space="preserve">تُشير النتائج الإحصائية الموضحة في الجدول </w:t>
      </w:r>
      <w:r w:rsidRPr="00026EEC">
        <w:rPr>
          <w:rFonts w:ascii="Simplified Arabic" w:hAnsi="Simplified Arabic" w:cs="Simplified Arabic"/>
        </w:rPr>
        <w:t xml:space="preserve">(15) </w:t>
      </w:r>
      <w:r w:rsidRPr="00026EEC">
        <w:rPr>
          <w:rFonts w:ascii="Simplified Arabic" w:hAnsi="Simplified Arabic" w:cs="Simplified Arabic"/>
          <w:rtl/>
        </w:rPr>
        <w:t>إلى أن معامل الارتباط بلغ</w:t>
      </w:r>
      <w:r w:rsidRPr="00026EEC">
        <w:rPr>
          <w:rFonts w:ascii="Simplified Arabic" w:hAnsi="Simplified Arabic" w:cs="Simplified Arabic"/>
        </w:rPr>
        <w:t xml:space="preserve"> (r = 0.712)</w:t>
      </w:r>
      <w:r w:rsidRPr="00026EEC">
        <w:rPr>
          <w:rFonts w:ascii="Simplified Arabic" w:hAnsi="Simplified Arabic" w:cs="Simplified Arabic"/>
          <w:rtl/>
        </w:rPr>
        <w:t>، وهو ما يعكس وجود علاقة ارتباط موجبة قوية بين تكامل تقنيات إدارة المخاطر والذكاء الاصطناعي وتحسين استدامة الشبكة الذكية. كما بلغت قيمة معامل التحديد</w:t>
      </w:r>
      <w:r w:rsidRPr="00026EEC">
        <w:rPr>
          <w:rFonts w:ascii="Simplified Arabic" w:hAnsi="Simplified Arabic" w:cs="Simplified Arabic"/>
        </w:rPr>
        <w:t xml:space="preserve"> (R² = 0.507)</w:t>
      </w:r>
      <w:r w:rsidRPr="00026EEC">
        <w:rPr>
          <w:rFonts w:ascii="Simplified Arabic" w:hAnsi="Simplified Arabic" w:cs="Simplified Arabic"/>
          <w:rtl/>
        </w:rPr>
        <w:t>، مما يُشير إلى أن (50.7%) من التباين في مستوى استدامة الشبكة الذكية يُمكن تفسيره من خلال متغير تكامل تقنيات إدارة المخاطر والذكاء الاصطناعي منفرداً</w:t>
      </w:r>
      <w:r w:rsidRPr="00026EEC">
        <w:rPr>
          <w:rFonts w:ascii="Simplified Arabic" w:hAnsi="Simplified Arabic" w:cs="Simplified Arabic"/>
        </w:rPr>
        <w:t>.</w:t>
      </w:r>
    </w:p>
    <w:p w14:paraId="39A89365" w14:textId="3E26F071" w:rsidR="00AE38FA"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وبالاطلاع على نتائج تحليل التباين</w:t>
      </w:r>
      <w:r w:rsidRPr="00026EEC">
        <w:rPr>
          <w:rFonts w:ascii="Simplified Arabic" w:hAnsi="Simplified Arabic" w:cs="Simplified Arabic"/>
        </w:rPr>
        <w:t xml:space="preserve"> (ANOVA)</w:t>
      </w:r>
      <w:r w:rsidRPr="00026EEC">
        <w:rPr>
          <w:rFonts w:ascii="Simplified Arabic" w:hAnsi="Simplified Arabic" w:cs="Simplified Arabic"/>
          <w:rtl/>
        </w:rPr>
        <w:t>، نجد أن قيمة</w:t>
      </w:r>
      <w:r w:rsidRPr="00026EEC">
        <w:rPr>
          <w:rFonts w:ascii="Simplified Arabic" w:hAnsi="Simplified Arabic" w:cs="Simplified Arabic"/>
        </w:rPr>
        <w:t xml:space="preserve"> F </w:t>
      </w:r>
      <w:r w:rsidRPr="00026EEC">
        <w:rPr>
          <w:rFonts w:ascii="Simplified Arabic" w:hAnsi="Simplified Arabic" w:cs="Simplified Arabic"/>
          <w:rtl/>
        </w:rPr>
        <w:t>المحسوبة بلغت (359.874) بمستوى دلالة</w:t>
      </w:r>
      <w:r w:rsidRPr="00026EEC">
        <w:rPr>
          <w:rFonts w:ascii="Simplified Arabic" w:hAnsi="Simplified Arabic" w:cs="Simplified Arabic"/>
        </w:rPr>
        <w:t xml:space="preserve"> (Sig. = 0.000)</w:t>
      </w:r>
      <w:r w:rsidRPr="00026EEC">
        <w:rPr>
          <w:rFonts w:ascii="Simplified Arabic" w:hAnsi="Simplified Arabic" w:cs="Simplified Arabic"/>
          <w:rtl/>
        </w:rPr>
        <w:t>، وهي قيمة دالة إحصائياً عند مستوى (0.01). أما معامل التأثير فقد بلغ</w:t>
      </w:r>
      <w:r w:rsidRPr="00026EEC">
        <w:rPr>
          <w:rFonts w:ascii="Simplified Arabic" w:hAnsi="Simplified Arabic" w:cs="Simplified Arabic"/>
        </w:rPr>
        <w:t xml:space="preserve"> (B = 0.637)</w:t>
      </w:r>
      <w:r w:rsidRPr="00026EEC">
        <w:rPr>
          <w:rFonts w:ascii="Simplified Arabic" w:hAnsi="Simplified Arabic" w:cs="Simplified Arabic"/>
          <w:rtl/>
        </w:rPr>
        <w:t>، بقيمة</w:t>
      </w:r>
      <w:r w:rsidRPr="00026EEC">
        <w:rPr>
          <w:rFonts w:ascii="Simplified Arabic" w:hAnsi="Simplified Arabic" w:cs="Simplified Arabic"/>
        </w:rPr>
        <w:t xml:space="preserve"> (T = 14.812) </w:t>
      </w:r>
      <w:r w:rsidRPr="00026EEC">
        <w:rPr>
          <w:rFonts w:ascii="Simplified Arabic" w:hAnsi="Simplified Arabic" w:cs="Simplified Arabic"/>
          <w:rtl/>
        </w:rPr>
        <w:t>ودلالة</w:t>
      </w:r>
      <w:r w:rsidRPr="00026EEC">
        <w:rPr>
          <w:rFonts w:ascii="Simplified Arabic" w:hAnsi="Simplified Arabic" w:cs="Simplified Arabic"/>
        </w:rPr>
        <w:t xml:space="preserve"> (Sig. = 0.000)</w:t>
      </w:r>
      <w:r w:rsidRPr="00026EEC">
        <w:rPr>
          <w:rFonts w:ascii="Simplified Arabic" w:hAnsi="Simplified Arabic" w:cs="Simplified Arabic"/>
          <w:rtl/>
        </w:rPr>
        <w:t>، مما يدل على أن أي زيادة بمقدار وحدة واحدة في مستوى تكامل تقنيات إدارة المخاطر والذكاء الاصطناعي تؤدي إلى زيادة بمقدار (0.637) في مستوى استدامة الشبكة الذكية</w:t>
      </w:r>
      <w:r w:rsidRPr="00026EEC">
        <w:rPr>
          <w:rFonts w:ascii="Simplified Arabic" w:hAnsi="Simplified Arabic" w:cs="Simplified Arabic"/>
        </w:rPr>
        <w:t xml:space="preserve">. </w:t>
      </w:r>
      <w:r w:rsidRPr="00026EEC">
        <w:rPr>
          <w:rFonts w:ascii="Simplified Arabic" w:hAnsi="Simplified Arabic" w:cs="Simplified Arabic"/>
          <w:rtl/>
        </w:rPr>
        <w:t>ويعكس هذا الأثر القوي الدور الاستراتيجي الذي يلعبه الذكاء الاصطناعي في تمكين الشبكة الكهربائية من التكيّف مع المتغيرات المتسارعة وتحسين أدائها بصورة مستمرة ومستدامة. وبناءً على ذلك، تُرفض الفرضية الصفرية وتُقبل الفرضية البديلة القائلة بوجود أثر ذي دلالة إحصائية لتكامل تقنيات إدارة المخاطر والذكاء الاصطناعي على تحسين استدامة الشبكة الذكية</w:t>
      </w:r>
      <w:r w:rsidRPr="00026EEC">
        <w:rPr>
          <w:rFonts w:ascii="Simplified Arabic" w:hAnsi="Simplified Arabic" w:cs="Simplified Arabic"/>
        </w:rPr>
        <w:t>.</w:t>
      </w:r>
    </w:p>
    <w:p w14:paraId="015CD82E" w14:textId="7880D49A" w:rsidR="00AE38FA" w:rsidRPr="00026EEC" w:rsidRDefault="00AE38FA" w:rsidP="00026EEC">
      <w:pPr>
        <w:pStyle w:val="NormalWeb"/>
        <w:bidi/>
        <w:spacing w:before="0" w:beforeAutospacing="0" w:after="0" w:afterAutospacing="0"/>
        <w:jc w:val="center"/>
        <w:rPr>
          <w:rFonts w:ascii="Simplified Arabic" w:hAnsi="Simplified Arabic" w:cs="Simplified Arabic"/>
        </w:rPr>
      </w:pPr>
      <w:r w:rsidRPr="00026EEC">
        <w:rPr>
          <w:rStyle w:val="Strong"/>
          <w:rFonts w:ascii="Simplified Arabic" w:hAnsi="Simplified Arabic" w:cs="Simplified Arabic"/>
          <w:rtl/>
        </w:rPr>
        <w:t>جدول (</w:t>
      </w:r>
      <w:r w:rsidR="00375D08" w:rsidRPr="00026EEC">
        <w:rPr>
          <w:rStyle w:val="Strong"/>
          <w:rFonts w:ascii="Simplified Arabic" w:hAnsi="Simplified Arabic" w:cs="Simplified Arabic"/>
          <w:rtl/>
        </w:rPr>
        <w:t>21</w:t>
      </w:r>
      <w:r w:rsidRPr="00026EEC">
        <w:rPr>
          <w:rStyle w:val="Strong"/>
          <w:rFonts w:ascii="Simplified Arabic" w:hAnsi="Simplified Arabic" w:cs="Simplified Arabic"/>
          <w:rtl/>
        </w:rPr>
        <w:t>): ملخص نتائج اختبار فرضيات الدراسة</w:t>
      </w:r>
    </w:p>
    <w:tbl>
      <w:tblPr>
        <w:tblStyle w:val="GridTable1Light-Accent5"/>
        <w:bidiVisual/>
        <w:tblW w:w="0" w:type="auto"/>
        <w:jc w:val="center"/>
        <w:tblLook w:val="04A0" w:firstRow="1" w:lastRow="0" w:firstColumn="1" w:lastColumn="0" w:noHBand="0" w:noVBand="1"/>
      </w:tblPr>
      <w:tblGrid>
        <w:gridCol w:w="834"/>
        <w:gridCol w:w="1499"/>
        <w:gridCol w:w="1342"/>
        <w:gridCol w:w="897"/>
        <w:gridCol w:w="838"/>
        <w:gridCol w:w="1126"/>
        <w:gridCol w:w="701"/>
        <w:gridCol w:w="691"/>
      </w:tblGrid>
      <w:tr w:rsidR="00AE38FA" w:rsidRPr="0003434F" w14:paraId="18332795" w14:textId="77777777" w:rsidTr="00375D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E0492"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t>الفرضية</w:t>
            </w:r>
          </w:p>
        </w:tc>
        <w:tc>
          <w:tcPr>
            <w:tcW w:w="0" w:type="auto"/>
            <w:vAlign w:val="center"/>
            <w:hideMark/>
          </w:tcPr>
          <w:p w14:paraId="1D62472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المتغير المستقل</w:t>
            </w:r>
          </w:p>
        </w:tc>
        <w:tc>
          <w:tcPr>
            <w:tcW w:w="0" w:type="auto"/>
            <w:vAlign w:val="center"/>
            <w:hideMark/>
          </w:tcPr>
          <w:p w14:paraId="5E50A0F9"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المتغير التابع</w:t>
            </w:r>
          </w:p>
        </w:tc>
        <w:tc>
          <w:tcPr>
            <w:tcW w:w="0" w:type="auto"/>
            <w:vAlign w:val="center"/>
            <w:hideMark/>
          </w:tcPr>
          <w:p w14:paraId="563C4952"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معامل الارتباط</w:t>
            </w:r>
            <w:r w:rsidRPr="0003434F">
              <w:rPr>
                <w:rFonts w:ascii="Simplified Arabic" w:hAnsi="Simplified Arabic" w:cs="Simplified Arabic"/>
                <w:sz w:val="20"/>
                <w:szCs w:val="20"/>
              </w:rPr>
              <w:t xml:space="preserve"> r</w:t>
            </w:r>
          </w:p>
        </w:tc>
        <w:tc>
          <w:tcPr>
            <w:tcW w:w="0" w:type="auto"/>
            <w:vAlign w:val="center"/>
            <w:hideMark/>
          </w:tcPr>
          <w:p w14:paraId="61D5B8F6"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معامل التحديد</w:t>
            </w:r>
            <w:r w:rsidRPr="0003434F">
              <w:rPr>
                <w:rFonts w:ascii="Simplified Arabic" w:hAnsi="Simplified Arabic" w:cs="Simplified Arabic"/>
                <w:sz w:val="20"/>
                <w:szCs w:val="20"/>
              </w:rPr>
              <w:t xml:space="preserve"> R²</w:t>
            </w:r>
          </w:p>
        </w:tc>
        <w:tc>
          <w:tcPr>
            <w:tcW w:w="0" w:type="auto"/>
            <w:vAlign w:val="center"/>
            <w:hideMark/>
          </w:tcPr>
          <w:p w14:paraId="5F259DF7"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قيمة</w:t>
            </w:r>
            <w:r w:rsidRPr="0003434F">
              <w:rPr>
                <w:rFonts w:ascii="Simplified Arabic" w:hAnsi="Simplified Arabic" w:cs="Simplified Arabic"/>
                <w:sz w:val="20"/>
                <w:szCs w:val="20"/>
              </w:rPr>
              <w:t xml:space="preserve"> T</w:t>
            </w:r>
          </w:p>
        </w:tc>
        <w:tc>
          <w:tcPr>
            <w:tcW w:w="0" w:type="auto"/>
            <w:vAlign w:val="center"/>
            <w:hideMark/>
          </w:tcPr>
          <w:p w14:paraId="4129FC73"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Sig.</w:t>
            </w:r>
          </w:p>
        </w:tc>
        <w:tc>
          <w:tcPr>
            <w:tcW w:w="0" w:type="auto"/>
            <w:vAlign w:val="center"/>
            <w:hideMark/>
          </w:tcPr>
          <w:p w14:paraId="02C69AF4" w14:textId="77777777" w:rsidR="00AE38FA" w:rsidRPr="0003434F" w:rsidRDefault="00AE38FA" w:rsidP="00026EE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النتيجة</w:t>
            </w:r>
          </w:p>
        </w:tc>
      </w:tr>
      <w:tr w:rsidR="00AE38FA" w:rsidRPr="0003434F" w14:paraId="4C707CF2" w14:textId="77777777" w:rsidTr="00375D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8247A9"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t>الرئيسة</w:t>
            </w:r>
          </w:p>
        </w:tc>
        <w:tc>
          <w:tcPr>
            <w:tcW w:w="0" w:type="auto"/>
            <w:vAlign w:val="center"/>
            <w:hideMark/>
          </w:tcPr>
          <w:p w14:paraId="0A0408A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إدارة المخاطر التشغيلية المتقدمة (الأبعاد مجتمعة)</w:t>
            </w:r>
          </w:p>
        </w:tc>
        <w:tc>
          <w:tcPr>
            <w:tcW w:w="0" w:type="auto"/>
            <w:vAlign w:val="center"/>
            <w:hideMark/>
          </w:tcPr>
          <w:p w14:paraId="57CC6B4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الحدّ من الخسائر الفنية وتحسين الكفاءة التشغيلية</w:t>
            </w:r>
          </w:p>
        </w:tc>
        <w:tc>
          <w:tcPr>
            <w:tcW w:w="0" w:type="auto"/>
            <w:vAlign w:val="center"/>
            <w:hideMark/>
          </w:tcPr>
          <w:p w14:paraId="583D15C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0.847</w:t>
            </w:r>
          </w:p>
        </w:tc>
        <w:tc>
          <w:tcPr>
            <w:tcW w:w="0" w:type="auto"/>
            <w:vAlign w:val="center"/>
            <w:hideMark/>
          </w:tcPr>
          <w:p w14:paraId="3A7964F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0.717</w:t>
            </w:r>
          </w:p>
        </w:tc>
        <w:tc>
          <w:tcPr>
            <w:tcW w:w="0" w:type="auto"/>
            <w:vAlign w:val="center"/>
            <w:hideMark/>
          </w:tcPr>
          <w:p w14:paraId="5E22F9E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F=219.743</w:t>
            </w:r>
          </w:p>
        </w:tc>
        <w:tc>
          <w:tcPr>
            <w:tcW w:w="0" w:type="auto"/>
            <w:vAlign w:val="center"/>
            <w:hideMark/>
          </w:tcPr>
          <w:p w14:paraId="7ED9BFC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029FEDB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رفض</w:t>
            </w:r>
            <w:r w:rsidRPr="0003434F">
              <w:rPr>
                <w:rFonts w:ascii="Simplified Arabic" w:hAnsi="Simplified Arabic" w:cs="Simplified Arabic"/>
                <w:sz w:val="20"/>
                <w:szCs w:val="20"/>
              </w:rPr>
              <w:t xml:space="preserve"> H</w:t>
            </w:r>
            <w:r w:rsidRPr="0003434F">
              <w:rPr>
                <w:rFonts w:ascii="Times New Roman" w:hAnsi="Times New Roman" w:cs="Times New Roman"/>
                <w:sz w:val="20"/>
                <w:szCs w:val="20"/>
              </w:rPr>
              <w:t>₀</w:t>
            </w:r>
          </w:p>
        </w:tc>
      </w:tr>
      <w:tr w:rsidR="00AE38FA" w:rsidRPr="0003434F" w14:paraId="71DBB35F" w14:textId="77777777" w:rsidTr="00375D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76317A"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t>الفرعية الأولى</w:t>
            </w:r>
          </w:p>
        </w:tc>
        <w:tc>
          <w:tcPr>
            <w:tcW w:w="0" w:type="auto"/>
            <w:vAlign w:val="center"/>
            <w:hideMark/>
          </w:tcPr>
          <w:p w14:paraId="5B54CC7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أدوات تقييم المخاطر التشغيلية</w:t>
            </w:r>
          </w:p>
        </w:tc>
        <w:tc>
          <w:tcPr>
            <w:tcW w:w="0" w:type="auto"/>
            <w:vAlign w:val="center"/>
            <w:hideMark/>
          </w:tcPr>
          <w:p w14:paraId="5F34E57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تقليل الفاقد الفني في الشبكة</w:t>
            </w:r>
          </w:p>
        </w:tc>
        <w:tc>
          <w:tcPr>
            <w:tcW w:w="0" w:type="auto"/>
            <w:vAlign w:val="center"/>
            <w:hideMark/>
          </w:tcPr>
          <w:p w14:paraId="0B5315B1"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0.674</w:t>
            </w:r>
          </w:p>
        </w:tc>
        <w:tc>
          <w:tcPr>
            <w:tcW w:w="0" w:type="auto"/>
            <w:vAlign w:val="center"/>
            <w:hideMark/>
          </w:tcPr>
          <w:p w14:paraId="0D73E186"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0.454</w:t>
            </w:r>
          </w:p>
        </w:tc>
        <w:tc>
          <w:tcPr>
            <w:tcW w:w="0" w:type="auto"/>
            <w:vAlign w:val="center"/>
            <w:hideMark/>
          </w:tcPr>
          <w:p w14:paraId="319F8A5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12.139</w:t>
            </w:r>
          </w:p>
        </w:tc>
        <w:tc>
          <w:tcPr>
            <w:tcW w:w="0" w:type="auto"/>
            <w:vAlign w:val="center"/>
            <w:hideMark/>
          </w:tcPr>
          <w:p w14:paraId="508A784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6B352BBC"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رفض</w:t>
            </w:r>
            <w:r w:rsidRPr="0003434F">
              <w:rPr>
                <w:rFonts w:ascii="Simplified Arabic" w:hAnsi="Simplified Arabic" w:cs="Simplified Arabic"/>
                <w:sz w:val="20"/>
                <w:szCs w:val="20"/>
              </w:rPr>
              <w:t xml:space="preserve"> H</w:t>
            </w:r>
            <w:r w:rsidRPr="0003434F">
              <w:rPr>
                <w:rFonts w:ascii="Times New Roman" w:hAnsi="Times New Roman" w:cs="Times New Roman"/>
                <w:sz w:val="20"/>
                <w:szCs w:val="20"/>
              </w:rPr>
              <w:t>₀</w:t>
            </w:r>
          </w:p>
        </w:tc>
      </w:tr>
      <w:tr w:rsidR="00AE38FA" w:rsidRPr="0003434F" w14:paraId="5D007DB4" w14:textId="77777777" w:rsidTr="00375D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D28E5"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lastRenderedPageBreak/>
              <w:t>الفرعية الثانية</w:t>
            </w:r>
          </w:p>
        </w:tc>
        <w:tc>
          <w:tcPr>
            <w:tcW w:w="0" w:type="auto"/>
            <w:vAlign w:val="center"/>
            <w:hideMark/>
          </w:tcPr>
          <w:p w14:paraId="20968387"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استراتيجيات الاستجابة للمخاطر</w:t>
            </w:r>
          </w:p>
        </w:tc>
        <w:tc>
          <w:tcPr>
            <w:tcW w:w="0" w:type="auto"/>
            <w:vAlign w:val="center"/>
            <w:hideMark/>
          </w:tcPr>
          <w:p w14:paraId="49409D9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تحسين كفاءة الشبكة الكهربائية</w:t>
            </w:r>
          </w:p>
        </w:tc>
        <w:tc>
          <w:tcPr>
            <w:tcW w:w="0" w:type="auto"/>
            <w:vAlign w:val="center"/>
            <w:hideMark/>
          </w:tcPr>
          <w:p w14:paraId="4EE9C77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0.698</w:t>
            </w:r>
          </w:p>
        </w:tc>
        <w:tc>
          <w:tcPr>
            <w:tcW w:w="0" w:type="auto"/>
            <w:vAlign w:val="center"/>
            <w:hideMark/>
          </w:tcPr>
          <w:p w14:paraId="79965A3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0.487</w:t>
            </w:r>
          </w:p>
        </w:tc>
        <w:tc>
          <w:tcPr>
            <w:tcW w:w="0" w:type="auto"/>
            <w:vAlign w:val="center"/>
            <w:hideMark/>
          </w:tcPr>
          <w:p w14:paraId="180F504A"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13.924</w:t>
            </w:r>
          </w:p>
        </w:tc>
        <w:tc>
          <w:tcPr>
            <w:tcW w:w="0" w:type="auto"/>
            <w:vAlign w:val="center"/>
            <w:hideMark/>
          </w:tcPr>
          <w:p w14:paraId="1E87E0CE"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5DC801F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رفض</w:t>
            </w:r>
            <w:r w:rsidRPr="0003434F">
              <w:rPr>
                <w:rFonts w:ascii="Simplified Arabic" w:hAnsi="Simplified Arabic" w:cs="Simplified Arabic"/>
                <w:sz w:val="20"/>
                <w:szCs w:val="20"/>
              </w:rPr>
              <w:t xml:space="preserve"> H</w:t>
            </w:r>
            <w:r w:rsidRPr="0003434F">
              <w:rPr>
                <w:rFonts w:ascii="Times New Roman" w:hAnsi="Times New Roman" w:cs="Times New Roman"/>
                <w:sz w:val="20"/>
                <w:szCs w:val="20"/>
              </w:rPr>
              <w:t>₀</w:t>
            </w:r>
          </w:p>
        </w:tc>
      </w:tr>
      <w:tr w:rsidR="00AE38FA" w:rsidRPr="0003434F" w14:paraId="2A281F2B" w14:textId="77777777" w:rsidTr="00375D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350D5"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t>الفرعية الثالثة</w:t>
            </w:r>
          </w:p>
        </w:tc>
        <w:tc>
          <w:tcPr>
            <w:tcW w:w="0" w:type="auto"/>
            <w:vAlign w:val="center"/>
            <w:hideMark/>
          </w:tcPr>
          <w:p w14:paraId="09A0F18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تقنيات المراقبة الذكية والصيانة الوقائية</w:t>
            </w:r>
          </w:p>
        </w:tc>
        <w:tc>
          <w:tcPr>
            <w:tcW w:w="0" w:type="auto"/>
            <w:vAlign w:val="center"/>
            <w:hideMark/>
          </w:tcPr>
          <w:p w14:paraId="7E5F2634"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تقليل الأعطال التشغيلية</w:t>
            </w:r>
          </w:p>
        </w:tc>
        <w:tc>
          <w:tcPr>
            <w:tcW w:w="0" w:type="auto"/>
            <w:vAlign w:val="center"/>
            <w:hideMark/>
          </w:tcPr>
          <w:p w14:paraId="23498863"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0.731</w:t>
            </w:r>
          </w:p>
        </w:tc>
        <w:tc>
          <w:tcPr>
            <w:tcW w:w="0" w:type="auto"/>
            <w:vAlign w:val="center"/>
            <w:hideMark/>
          </w:tcPr>
          <w:p w14:paraId="5701FC3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0.534</w:t>
            </w:r>
          </w:p>
        </w:tc>
        <w:tc>
          <w:tcPr>
            <w:tcW w:w="0" w:type="auto"/>
            <w:vAlign w:val="center"/>
            <w:hideMark/>
          </w:tcPr>
          <w:p w14:paraId="02363B1B"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16.047</w:t>
            </w:r>
          </w:p>
        </w:tc>
        <w:tc>
          <w:tcPr>
            <w:tcW w:w="0" w:type="auto"/>
            <w:vAlign w:val="center"/>
            <w:hideMark/>
          </w:tcPr>
          <w:p w14:paraId="75861B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34E75802"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رفض</w:t>
            </w:r>
            <w:r w:rsidRPr="0003434F">
              <w:rPr>
                <w:rFonts w:ascii="Simplified Arabic" w:hAnsi="Simplified Arabic" w:cs="Simplified Arabic"/>
                <w:sz w:val="20"/>
                <w:szCs w:val="20"/>
              </w:rPr>
              <w:t xml:space="preserve"> H</w:t>
            </w:r>
            <w:r w:rsidRPr="0003434F">
              <w:rPr>
                <w:rFonts w:ascii="Times New Roman" w:hAnsi="Times New Roman" w:cs="Times New Roman"/>
                <w:sz w:val="20"/>
                <w:szCs w:val="20"/>
              </w:rPr>
              <w:t>₀</w:t>
            </w:r>
          </w:p>
        </w:tc>
      </w:tr>
      <w:tr w:rsidR="00AE38FA" w:rsidRPr="0003434F" w14:paraId="3AB4BD48" w14:textId="77777777" w:rsidTr="00375D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407150" w14:textId="77777777" w:rsidR="00AE38FA" w:rsidRPr="0003434F" w:rsidRDefault="00AE38FA" w:rsidP="00026EEC">
            <w:pPr>
              <w:jc w:val="center"/>
              <w:rPr>
                <w:rFonts w:ascii="Simplified Arabic" w:hAnsi="Simplified Arabic" w:cs="Simplified Arabic"/>
                <w:sz w:val="20"/>
                <w:szCs w:val="20"/>
              </w:rPr>
            </w:pPr>
            <w:r w:rsidRPr="0003434F">
              <w:rPr>
                <w:rFonts w:ascii="Simplified Arabic" w:hAnsi="Simplified Arabic" w:cs="Simplified Arabic"/>
                <w:sz w:val="20"/>
                <w:szCs w:val="20"/>
                <w:rtl/>
              </w:rPr>
              <w:t>الفرعية الرابعة</w:t>
            </w:r>
          </w:p>
        </w:tc>
        <w:tc>
          <w:tcPr>
            <w:tcW w:w="0" w:type="auto"/>
            <w:vAlign w:val="center"/>
            <w:hideMark/>
          </w:tcPr>
          <w:p w14:paraId="2347E8D9"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تكامل تقنيات إدارة المخاطر والذكاء الاصطناعي</w:t>
            </w:r>
          </w:p>
        </w:tc>
        <w:tc>
          <w:tcPr>
            <w:tcW w:w="0" w:type="auto"/>
            <w:vAlign w:val="center"/>
            <w:hideMark/>
          </w:tcPr>
          <w:p w14:paraId="18BC9E0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تحسين استدامة الشبكة الذكية</w:t>
            </w:r>
          </w:p>
        </w:tc>
        <w:tc>
          <w:tcPr>
            <w:tcW w:w="0" w:type="auto"/>
            <w:vAlign w:val="center"/>
            <w:hideMark/>
          </w:tcPr>
          <w:p w14:paraId="17085508"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0.712</w:t>
            </w:r>
          </w:p>
        </w:tc>
        <w:tc>
          <w:tcPr>
            <w:tcW w:w="0" w:type="auto"/>
            <w:vAlign w:val="center"/>
            <w:hideMark/>
          </w:tcPr>
          <w:p w14:paraId="35B2D47F"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0.507</w:t>
            </w:r>
          </w:p>
        </w:tc>
        <w:tc>
          <w:tcPr>
            <w:tcW w:w="0" w:type="auto"/>
            <w:vAlign w:val="center"/>
            <w:hideMark/>
          </w:tcPr>
          <w:p w14:paraId="288ED5A5"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14.812</w:t>
            </w:r>
          </w:p>
        </w:tc>
        <w:tc>
          <w:tcPr>
            <w:tcW w:w="0" w:type="auto"/>
            <w:vAlign w:val="center"/>
            <w:hideMark/>
          </w:tcPr>
          <w:p w14:paraId="0AA6D5B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Pr>
              <w:t>0.000</w:t>
            </w:r>
          </w:p>
        </w:tc>
        <w:tc>
          <w:tcPr>
            <w:tcW w:w="0" w:type="auto"/>
            <w:vAlign w:val="center"/>
            <w:hideMark/>
          </w:tcPr>
          <w:p w14:paraId="3D608400" w14:textId="77777777" w:rsidR="00AE38FA" w:rsidRPr="0003434F" w:rsidRDefault="00AE38FA" w:rsidP="00026EEC">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03434F">
              <w:rPr>
                <w:rFonts w:ascii="Simplified Arabic" w:hAnsi="Simplified Arabic" w:cs="Simplified Arabic"/>
                <w:sz w:val="20"/>
                <w:szCs w:val="20"/>
                <w:rtl/>
              </w:rPr>
              <w:t>رفض</w:t>
            </w:r>
            <w:r w:rsidRPr="0003434F">
              <w:rPr>
                <w:rFonts w:ascii="Simplified Arabic" w:hAnsi="Simplified Arabic" w:cs="Simplified Arabic"/>
                <w:sz w:val="20"/>
                <w:szCs w:val="20"/>
              </w:rPr>
              <w:t xml:space="preserve"> H</w:t>
            </w:r>
            <w:r w:rsidRPr="0003434F">
              <w:rPr>
                <w:rFonts w:ascii="Times New Roman" w:hAnsi="Times New Roman" w:cs="Times New Roman"/>
                <w:sz w:val="20"/>
                <w:szCs w:val="20"/>
              </w:rPr>
              <w:t>₀</w:t>
            </w:r>
          </w:p>
        </w:tc>
      </w:tr>
    </w:tbl>
    <w:p w14:paraId="26223B96" w14:textId="77777777" w:rsidR="00E178F3" w:rsidRPr="00026EEC" w:rsidRDefault="00AE38FA"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يتّضح من الجدول (16) أن جميع فرضيات الدراسة الصفرية قد رُفضت وقُبلت الفرضيات البديلة، حيث ثبت وجود أثر ذي دلالة إحصائية عند مستوى</w:t>
      </w:r>
      <w:r w:rsidRPr="00026EEC">
        <w:rPr>
          <w:rFonts w:ascii="Simplified Arabic" w:hAnsi="Simplified Arabic" w:cs="Simplified Arabic"/>
        </w:rPr>
        <w:t xml:space="preserve"> (</w:t>
      </w:r>
      <w:r w:rsidRPr="00026EEC">
        <w:rPr>
          <w:rFonts w:ascii="Cambria" w:hAnsi="Cambria" w:cs="Cambria"/>
        </w:rPr>
        <w:t>α</w:t>
      </w:r>
      <w:r w:rsidRPr="00026EEC">
        <w:rPr>
          <w:rFonts w:ascii="Simplified Arabic" w:hAnsi="Simplified Arabic" w:cs="Simplified Arabic"/>
        </w:rPr>
        <w:t xml:space="preserve"> </w:t>
      </w:r>
      <w:r w:rsidRPr="00026EEC">
        <w:t>≤</w:t>
      </w:r>
      <w:r w:rsidRPr="00026EEC">
        <w:rPr>
          <w:rFonts w:ascii="Simplified Arabic" w:hAnsi="Simplified Arabic" w:cs="Simplified Arabic"/>
        </w:rPr>
        <w:t xml:space="preserve"> 0.05) </w:t>
      </w:r>
      <w:r w:rsidRPr="00026EEC">
        <w:rPr>
          <w:rFonts w:ascii="Simplified Arabic" w:hAnsi="Simplified Arabic" w:cs="Simplified Arabic"/>
          <w:rtl/>
        </w:rPr>
        <w:t>لجميع أبعاد إدارة المخاطر التشغيلية المتقدمة على أبعاد الحدّ من الخسائر الفنية وتحسين الكفاءة التشغيلية. وقد تبيّن أن بُعد تقنيات المراقبة الذكية والصيانة الوقائية هو الأكثر تأثيراً بمعامل تحديد (0.534)، يليه بُعد تكامل تقنيات إدارة المخاطر والذكاء الاصطناعي بمعامل تحديد (0.507)، ثم بُعد استراتيجيات الاستجابة للمخاطر بمعامل تحديد (0.487)، وأخيراً بُعد أدوات تقييم المخاطر التشغيلية بمعامل تحديد (0.454). أما على مستوى النموذج المتكامل فقد فسّرت الأبعاد الأربعة مجتمعة ما نسبته (71.7%) من التباين في المتغير التابع، وهي نسبة تفسيرية مرتفعة تُؤكّد الأهمية الجوهرية لإدارة المخاطر التشغيلية المتقدمة في تحسين الكفاءة التشغيلية لشبكات الكهرباء الذكية</w:t>
      </w:r>
      <w:r w:rsidRPr="00026EEC">
        <w:rPr>
          <w:rFonts w:ascii="Simplified Arabic" w:hAnsi="Simplified Arabic" w:cs="Simplified Arabic"/>
        </w:rPr>
        <w:t>.</w:t>
      </w:r>
    </w:p>
    <w:p w14:paraId="7A02D72E" w14:textId="3270022F" w:rsidR="00E178F3" w:rsidRPr="0003434F" w:rsidRDefault="00E178F3" w:rsidP="0003434F">
      <w:pPr>
        <w:spacing w:after="0" w:line="240" w:lineRule="auto"/>
        <w:outlineLvl w:val="0"/>
        <w:rPr>
          <w:rFonts w:ascii="Simplified Arabic" w:hAnsi="Simplified Arabic" w:cs="Simplified Arabic"/>
          <w:b/>
          <w:bCs/>
          <w:sz w:val="28"/>
          <w:szCs w:val="28"/>
          <w:rtl/>
        </w:rPr>
      </w:pPr>
      <w:bookmarkStart w:id="33" w:name="_Toc223386553"/>
      <w:r w:rsidRPr="0003434F">
        <w:rPr>
          <w:rFonts w:ascii="Simplified Arabic" w:hAnsi="Simplified Arabic" w:cs="Simplified Arabic"/>
          <w:b/>
          <w:bCs/>
          <w:sz w:val="28"/>
          <w:szCs w:val="28"/>
          <w:rtl/>
        </w:rPr>
        <w:t>مناقشة النتائج والتوصيات</w:t>
      </w:r>
      <w:bookmarkEnd w:id="33"/>
    </w:p>
    <w:p w14:paraId="57F76D41" w14:textId="6EDE0BDC" w:rsidR="00E31EF9" w:rsidRPr="00026EEC" w:rsidRDefault="00E178F3" w:rsidP="00026EEC">
      <w:pPr>
        <w:spacing w:after="0" w:line="240" w:lineRule="auto"/>
        <w:jc w:val="both"/>
        <w:outlineLvl w:val="1"/>
        <w:rPr>
          <w:rFonts w:ascii="Simplified Arabic" w:hAnsi="Simplified Arabic" w:cs="Simplified Arabic"/>
          <w:b/>
          <w:bCs/>
          <w:sz w:val="24"/>
          <w:szCs w:val="24"/>
        </w:rPr>
      </w:pPr>
      <w:bookmarkStart w:id="34" w:name="_Toc223386555"/>
      <w:r w:rsidRPr="00026EEC">
        <w:rPr>
          <w:rFonts w:ascii="Simplified Arabic" w:hAnsi="Simplified Arabic" w:cs="Simplified Arabic"/>
          <w:b/>
          <w:bCs/>
          <w:sz w:val="24"/>
          <w:szCs w:val="24"/>
          <w:rtl/>
        </w:rPr>
        <w:t>مناقشة نتائج</w:t>
      </w:r>
      <w:bookmarkEnd w:id="34"/>
    </w:p>
    <w:p w14:paraId="5B60F07C"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أثبتت نتائج تحليل الانحدار المتعدد وجود أثر إيجابي ذي دلالة إحصائية لإدارة المخاطر التشغيلية المتقدمة بأبعادها الأربعة مجتمعة على الحد من الخسائر الفنية وتحسين الكفاءة التشغيلية في شبكات الكهرباء الذكية بالشركة السعودية للكهرباء. ويمكن تفسير هذه النتيجة بأن تبنّي الشركة لمنظومة متكاملة تجمع بين أدوات تقييم المخاطر، واستراتيجيات الاستجابة المنهجية، وتقنيات المراقبة الذكية والصيانة الوقائية، وتكامل الذكاء الاصطناعي، يوفّر بيئة رقابية وتشغيلية شاملة تُمكّن من رصد مصادر الفقد الفني ومعالجتها قبل أن تتراكم وتتحول إلى خسائر مالية وتشغيلية كبيرة. فالتكامل بين هذه الأبعاد يُحدث تأثيراً تآزرياً يفوق مجموع تأثيراتها المنفردة، إذ إن المعلومات المستخرجة من أدوات التقييم تُغذّي استراتيجيات الاستجابة، بينما تُتيح تقنيات المراقبة الذكية التحقق المستمر من فعالية تلك الاستراتيجيات، فيما يقوم الذكاء الاصطناعي بدور المحرّك التنبؤي الذي يربط حلقات المنظومة ببعضها</w:t>
      </w:r>
      <w:r w:rsidRPr="00026EEC">
        <w:rPr>
          <w:rFonts w:ascii="Simplified Arabic" w:hAnsi="Simplified Arabic" w:cs="Simplified Arabic"/>
        </w:rPr>
        <w:t>.</w:t>
      </w:r>
    </w:p>
    <w:p w14:paraId="30F6B2AB"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وتتسق هذه النتيجة مع ما توصّلت إليه دراسة أحمد وآخرين (2023) التي أكّدت أن تطبيق أُطر الرقابة الداخلية المتكاملة يُسهم في تعزيز فعالية إدارة المخاطر التشغيلية في المنظمات الخدمية. كما تتوافق مع دراسة</w:t>
      </w:r>
      <w:r w:rsidRPr="00026EEC">
        <w:rPr>
          <w:rFonts w:ascii="Simplified Arabic" w:hAnsi="Simplified Arabic" w:cs="Simplified Arabic"/>
        </w:rPr>
        <w:t xml:space="preserve"> Alvarez</w:t>
      </w:r>
      <w:r w:rsidRPr="00026EEC">
        <w:rPr>
          <w:rFonts w:ascii="Simplified Arabic" w:hAnsi="Simplified Arabic" w:cs="Simplified Arabic"/>
        </w:rPr>
        <w:noBreakHyphen/>
        <w:t xml:space="preserve">Alvarado and Jayaweera (2020) </w:t>
      </w:r>
      <w:r w:rsidRPr="00026EEC">
        <w:rPr>
          <w:rFonts w:ascii="Simplified Arabic" w:hAnsi="Simplified Arabic" w:cs="Simplified Arabic"/>
          <w:rtl/>
        </w:rPr>
        <w:t>التي أظهرت أن النمذجة الاحتمالية المتقدمة للمخاطر تُحسّن من موثوقية أنظمة الطاقة بشكل جوهري. وبالمثل، تدعم دراسة</w:t>
      </w:r>
      <w:r w:rsidRPr="00026EEC">
        <w:rPr>
          <w:rFonts w:ascii="Simplified Arabic" w:hAnsi="Simplified Arabic" w:cs="Simplified Arabic"/>
        </w:rPr>
        <w:t xml:space="preserve"> Li et al. (2023) </w:t>
      </w:r>
      <w:r w:rsidRPr="00026EEC">
        <w:rPr>
          <w:rFonts w:ascii="Simplified Arabic" w:hAnsi="Simplified Arabic" w:cs="Simplified Arabic"/>
          <w:rtl/>
        </w:rPr>
        <w:t>هذا التوجّه حين أشارت إلى أن دمج أبعاد الاستدامة مع أدوات إدارة المخاطر يُفضي إلى تحسين شامل في الأداء التشغيلي لشبكات الطاقة. ويُعزّز هذا الاتفاق الثقة في أن العلاقة المكتشفة ليست وليدة سياق محلي فحسب، بل تعكس نمطاً مؤسسياً وتقنياً يتكرّر في بيئات تشغيلية متنوعة</w:t>
      </w:r>
      <w:r w:rsidRPr="00026EEC">
        <w:rPr>
          <w:rFonts w:ascii="Simplified Arabic" w:hAnsi="Simplified Arabic" w:cs="Simplified Arabic"/>
        </w:rPr>
        <w:t>.</w:t>
      </w:r>
    </w:p>
    <w:p w14:paraId="3F578B71"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lastRenderedPageBreak/>
        <w:t>كشفت نتائج الانحدار البسيط عن وجود أثر إيجابي دالّ إحصائياً لأدوات تقييم المخاطر التشغيلية على تقليل الفاقد الفني في شبكة الشركة السعودية للكهرباء. ويُعزى هذا الأثر إلى أن أدوات التقييم –بما تشمله من مؤشرات المخاطر الرئيسة، والنماذج الإحصائية، وأساليب التقييم الذاتي للمخاطر والرقابة– تُمكّن المهندسين والفنيين من تحديد المكوّنات الأكثر عرضة للفقد بدقة عالية، سواء كانت محوّلات متقادمة أو خطوط نقل ذات مقاومة مرتفعة أو نقاط وصل تعاني من ارتفاع في درجات الحرارة. فعندما تتوافر خريطة واضحة لمواطن الخطر، يصبح بالإمكان ترتيب أولويات التدخّل وتوجيه الموارد نحو النقاط الأشد تأثيراً في الفقد الفني، بدلاً من اللجوء إلى حلول عشوائية أو عامة. وقد أسهم تبنّي الشركة لسجلات مخاطر رقمية ومصفوفات تقييم كمّية في بناء ثقافة تنظيمية تُعلي من قيمة القياس المنتظم، وهو ما ينعكس إيجاباً على قدرة فرق العمل في تتبّع مصادر الفاقد والحدّ منها بصورة منهجية</w:t>
      </w:r>
      <w:r w:rsidRPr="00026EEC">
        <w:rPr>
          <w:rFonts w:ascii="Simplified Arabic" w:hAnsi="Simplified Arabic" w:cs="Simplified Arabic"/>
        </w:rPr>
        <w:t>.</w:t>
      </w:r>
    </w:p>
    <w:p w14:paraId="1C8D38E8"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وتتقاطع هذه النتيجة مع ما أوصت به دراسة باقر وآخرين (2020) من ضرورة تطوير أطر تقييم المخاطر في المؤسسات الخدمية لتعزيز كفاءة الرقابة الداخلية. كما تتّفق مع دراسة عبد الماجد (2020) التي أكّدت الدور المحوري لأدوات القياس الكمّي في دعم فعالية إدارة المخاطر التشغيلية. وعلى الصعيد التقني، تتوافق مع ما أشار إليه</w:t>
      </w:r>
      <w:r w:rsidRPr="00026EEC">
        <w:rPr>
          <w:rFonts w:ascii="Simplified Arabic" w:hAnsi="Simplified Arabic" w:cs="Simplified Arabic"/>
        </w:rPr>
        <w:t xml:space="preserve"> Alymov and Averbukh (2024) </w:t>
      </w:r>
      <w:r w:rsidRPr="00026EEC">
        <w:rPr>
          <w:rFonts w:ascii="Simplified Arabic" w:hAnsi="Simplified Arabic" w:cs="Simplified Arabic"/>
          <w:rtl/>
        </w:rPr>
        <w:t>من أن اعتماد نماذج تحليل المخاطر الكمّية في شبكات الطاقة يُمكّن من تشخيص مصادر الفقد بدقة أعلى. كما تدعمها نتائج دراسة</w:t>
      </w:r>
      <w:r w:rsidRPr="00026EEC">
        <w:rPr>
          <w:rFonts w:ascii="Simplified Arabic" w:hAnsi="Simplified Arabic" w:cs="Simplified Arabic"/>
        </w:rPr>
        <w:t xml:space="preserve"> Kheirkhah et al. (2023) </w:t>
      </w:r>
      <w:r w:rsidRPr="00026EEC">
        <w:rPr>
          <w:rFonts w:ascii="Simplified Arabic" w:hAnsi="Simplified Arabic" w:cs="Simplified Arabic"/>
          <w:rtl/>
        </w:rPr>
        <w:t>التي بيّنت أن أدوات التقييم المتقدمة تُعزّز من قدرة مشغّلي الشبكات على اتخاذ قرارات وقائية فعّالة</w:t>
      </w:r>
      <w:r w:rsidRPr="00026EEC">
        <w:rPr>
          <w:rFonts w:ascii="Simplified Arabic" w:hAnsi="Simplified Arabic" w:cs="Simplified Arabic"/>
        </w:rPr>
        <w:t>.</w:t>
      </w:r>
    </w:p>
    <w:p w14:paraId="22671A94"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أظهرت النتائج وجود أثر إيجابي دالّ إحصائياً لاستراتيجيات الاستجابة للمخاطر على تحسين كفاءة الشبكة الكهربائية في الشركة السعودية للكهرباء. ويتّضح تفسير هذا الأثر في أن استراتيجيات الاستجابة –بتنوّعها بين التجنّب والتخفيف والنقل والقبول المحسوب– تمنح الشركة مرونة تشغيلية في التعامل مع المخاطر وفقاً لطبيعتها وحجمها</w:t>
      </w:r>
      <w:r w:rsidRPr="00026EEC">
        <w:rPr>
          <w:rFonts w:ascii="Simplified Arabic" w:hAnsi="Simplified Arabic" w:cs="Simplified Arabic"/>
        </w:rPr>
        <w:t xml:space="preserve">. </w:t>
      </w:r>
      <w:r w:rsidRPr="00026EEC">
        <w:rPr>
          <w:rFonts w:ascii="Simplified Arabic" w:hAnsi="Simplified Arabic" w:cs="Simplified Arabic"/>
          <w:rtl/>
        </w:rPr>
        <w:t>فاستراتيجية التخفيف مثلاً تدفع نحو تركيب أجهزة حماية إضافية وتطبيق بروتوكولات أمان محسّنة تقلّل من فترات التوقف غير المخطط لها، بينما تُتيح استراتيجية النقل توزيع الأعباء المالية للمخاطر عبر عقود التأمين والشراكات، ممّا يُحرّر موارد يمكن إعادة توجيهها نحو مشاريع تحسين الكفاءة. وقد لوحظ أن المستويات الإشرافية والتنفيذية في العينة أبدت وعياً ملحوظاً بأهمية وجود خطط استجابة معتمدة ومحدّثة، وهو ما يعكس نضجاً مؤسسياً في ترجمة الاستراتيجيات إلى إجراءات تشغيلية يومية</w:t>
      </w:r>
      <w:r w:rsidRPr="00026EEC">
        <w:rPr>
          <w:rFonts w:ascii="Simplified Arabic" w:hAnsi="Simplified Arabic" w:cs="Simplified Arabic"/>
        </w:rPr>
        <w:t>.</w:t>
      </w:r>
    </w:p>
    <w:p w14:paraId="687359FC"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وهذه النتيجة تتّسق مع ما توصّلت إليه دراسة بوعبدالله وآخرين (2022) التي أكّدت أن وجود استراتيجيات استجابة واضحة يُحسّن من جودة القرارات التشغيلية ويُقلّل من التعرّض للمخاطر. كما تتوافق مع دراسة بالقط (2024) التي ربطت بين نضج استراتيجيات إدارة المخاطر وتحسين مؤشرات الأداء التشغيلي في المنظمات الخدمية. وفي السياق التقني، تتّفق مع دراسة</w:t>
      </w:r>
      <w:r w:rsidRPr="00026EEC">
        <w:rPr>
          <w:rFonts w:ascii="Simplified Arabic" w:hAnsi="Simplified Arabic" w:cs="Simplified Arabic"/>
        </w:rPr>
        <w:t xml:space="preserve"> Shoqirat et al. (2025) </w:t>
      </w:r>
      <w:r w:rsidRPr="00026EEC">
        <w:rPr>
          <w:rFonts w:ascii="Simplified Arabic" w:hAnsi="Simplified Arabic" w:cs="Simplified Arabic"/>
          <w:rtl/>
        </w:rPr>
        <w:t>التي أبرزت أن خطط الاستجابة المنظمة في شبكات الكهرباء تُسهم في تقصير فترات الانقطاع وتحسين مؤشرات جودة الخدمة. كذلك تدعمها دراسة العرب وآخرين (2025) التي أشارت إلى أن دمج استراتيجيات الاستجابة ضمن نظم الإدارة الشاملة يُعزّز من فعالية إدارة المخاطر في المؤسسات الحيوية</w:t>
      </w:r>
      <w:r w:rsidRPr="00026EEC">
        <w:rPr>
          <w:rFonts w:ascii="Simplified Arabic" w:hAnsi="Simplified Arabic" w:cs="Simplified Arabic"/>
        </w:rPr>
        <w:t>.</w:t>
      </w:r>
    </w:p>
    <w:p w14:paraId="26647E10"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أثبت تحليل الانحدار البسيط أن تقنيات المراقبة الذكية والصيانة الوقائية تُمارس الأثر الأقوى بين الأبعاد الأربعة على تقليل الأعطال التشغيلية في الشركة السعودية للكهرباء</w:t>
      </w:r>
      <w:r w:rsidRPr="00026EEC">
        <w:rPr>
          <w:rFonts w:ascii="Simplified Arabic" w:hAnsi="Simplified Arabic" w:cs="Simplified Arabic"/>
        </w:rPr>
        <w:t xml:space="preserve">. </w:t>
      </w:r>
      <w:r w:rsidRPr="00026EEC">
        <w:rPr>
          <w:rFonts w:ascii="Simplified Arabic" w:hAnsi="Simplified Arabic" w:cs="Simplified Arabic"/>
          <w:rtl/>
        </w:rPr>
        <w:t>ويُفسَّر هذا التفوّق بأن هذه التقنيات تعمل على خط التماس المباشر مع البنية التحتية للشبكة، حيث تقوم أجهزة الاستشعار الموزعة وأنظمة</w:t>
      </w:r>
      <w:r w:rsidRPr="00026EEC">
        <w:rPr>
          <w:rFonts w:ascii="Simplified Arabic" w:hAnsi="Simplified Arabic" w:cs="Simplified Arabic"/>
        </w:rPr>
        <w:t xml:space="preserve"> </w:t>
      </w:r>
      <w:r w:rsidRPr="00026EEC">
        <w:rPr>
          <w:rFonts w:ascii="Simplified Arabic" w:hAnsi="Simplified Arabic" w:cs="Simplified Arabic"/>
        </w:rPr>
        <w:lastRenderedPageBreak/>
        <w:t xml:space="preserve">SCADA </w:t>
      </w:r>
      <w:r w:rsidRPr="00026EEC">
        <w:rPr>
          <w:rFonts w:ascii="Simplified Arabic" w:hAnsi="Simplified Arabic" w:cs="Simplified Arabic"/>
          <w:rtl/>
        </w:rPr>
        <w:t>بالرصد اللحظي لحالة المكوّنات الحرجة كالمحوّلات والكابلات والقواطع، فتُصدر تنبيهات مبكرة عند ملاحظة أي انحراف عن المعايير التشغيلية المعتمدة. وتُحوِّل الصيانة الوقائية والتنبؤية فلسفة الشركة من "الإصلاح بعد العطل" إلى "المنع قبل الحدوث"، وهو تحوّل جذري يُخفّض من عدد حالات الانقطاع ومدّتها، ويُطيل العمر الافتراضي للأصول، ويُقلّل من التكاليف المترتبة على الإصلاحات الطارئة. كما أن تقنيات التوأم الرقمي تُوفّر بيئة محاكاة تُمكّن الفرق الفنية من اختبار سيناريوهات العطل قبل وقوعها، ممّا يُعزّز من جاهزية الاستجابة ويُقلّل من زمن التعافي</w:t>
      </w:r>
      <w:r w:rsidRPr="00026EEC">
        <w:rPr>
          <w:rFonts w:ascii="Simplified Arabic" w:hAnsi="Simplified Arabic" w:cs="Simplified Arabic"/>
        </w:rPr>
        <w:t>.</w:t>
      </w:r>
    </w:p>
    <w:p w14:paraId="7844ED86"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 xml:space="preserve">وقد اتّفقت هذه النتيجة مع ما أبرزته دراسة </w:t>
      </w:r>
      <w:r w:rsidRPr="00026EEC">
        <w:rPr>
          <w:rFonts w:ascii="Simplified Arabic" w:hAnsi="Simplified Arabic" w:cs="Simplified Arabic"/>
        </w:rPr>
        <w:t xml:space="preserve">Kheirkhah et al. (2023) </w:t>
      </w:r>
      <w:r w:rsidRPr="00026EEC">
        <w:rPr>
          <w:rFonts w:ascii="Simplified Arabic" w:hAnsi="Simplified Arabic" w:cs="Simplified Arabic"/>
          <w:rtl/>
        </w:rPr>
        <w:t xml:space="preserve">من أن تقنيات المراقبة الآنية تُعدّ الركيزة الأساسية لموثوقية الشبكات الكهربائية الحديثة. كما تتقاطع مع دراسة عبد النبي (2024) التي أكّدت أن الصيانة الوقائية المبنية على البيانات تُسهم في رفع مؤشرات الموثوقية التشغيلية بشكل ملموس. وتتوافق أيضاً مع دراسة </w:t>
      </w:r>
      <w:r w:rsidRPr="00026EEC">
        <w:rPr>
          <w:rFonts w:ascii="Simplified Arabic" w:hAnsi="Simplified Arabic" w:cs="Simplified Arabic"/>
        </w:rPr>
        <w:t xml:space="preserve">Alymov and Averbukh (2024) </w:t>
      </w:r>
      <w:r w:rsidRPr="00026EEC">
        <w:rPr>
          <w:rFonts w:ascii="Simplified Arabic" w:hAnsi="Simplified Arabic" w:cs="Simplified Arabic"/>
          <w:rtl/>
        </w:rPr>
        <w:t>التي أشارت إلى أن التكامل بين أنظمة المراقبة الذكية وبرامج الصيانة الوقائية يُحقّق خفضاً كبيراً في معدلات الأعطال غير المخطط لها. وكذلك تدعمها نتائج دراسة بارفيزي</w:t>
      </w:r>
      <w:r w:rsidRPr="00026EEC">
        <w:rPr>
          <w:rFonts w:ascii="Simplified Arabic" w:hAnsi="Simplified Arabic" w:cs="Simplified Arabic"/>
        </w:rPr>
        <w:t xml:space="preserve"> (Parvizi, 2025) </w:t>
      </w:r>
      <w:r w:rsidRPr="00026EEC">
        <w:rPr>
          <w:rFonts w:ascii="Simplified Arabic" w:hAnsi="Simplified Arabic" w:cs="Simplified Arabic"/>
          <w:rtl/>
        </w:rPr>
        <w:t>التي ربطت بين نضج أنظمة المراقبة الذكية وقدرة المرافق على تحقيق مستويات عالية من الاستقرار التشغيلي</w:t>
      </w:r>
      <w:r w:rsidRPr="00026EEC">
        <w:rPr>
          <w:rFonts w:ascii="Simplified Arabic" w:hAnsi="Simplified Arabic" w:cs="Simplified Arabic"/>
        </w:rPr>
        <w:t>.</w:t>
      </w:r>
    </w:p>
    <w:p w14:paraId="7298EE91"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أكّدت النتائج وجود أثر إيجابي دالّ إحصائياً لتكامل تقنيات إدارة المخاطر والذكاء الاصطناعي على تحسين استدامة الشبكة الذكية في الشركة السعودية للكهرباء. ويرجع هذا الأثر إلى أن الذكاء الاصطناعي يمنح منظومة إدارة المخاطر بُعداً تنبؤياً واستشرافياً يتجاوز حدود التحليل الوصفي التقليدي، إذ تستطيع خوارزميات التعلّم الآلي تحليل كميات ضخمة من بيانات التشغيل التاريخية والآنية لاكتشاف أنماط شاذة قد لا تُدركها الأدوات التقليدية، وبناء نماذج تنبؤية لحالات الإخفاق المحتملة قبل أن تتحوّل إلى أعطال فعلية. وهذا التكامل لا يُعزّز فقط من الجانب الفني للاستدامة، بل يمتدّ إلى الجوانب المالية من خلال ترشيد الإنفاق على الصيانة والتشغيل، والجوانب البيئية عبر تقليل الانبعاثات الناتجة عن الفاقد المفرط. غير أن النتائج أشارت إلى أن هذا البُعد حصل على أدنى مستوى موافقة بين الأبعاد الأربعة، وهو ما يُفسَّر بأن تطبيقات الذكاء الاصطناعي في إدارة المخاطر لا تزال في مراحلها الأولى نسبياً في بيئة الشركة السعودية للكهرباء، وأن هناك فجوة بين الإمكانات المتاحة لهذه التقنيات وبين مستوى تبنّيها الفعلي على أرض الواقع</w:t>
      </w:r>
      <w:r w:rsidRPr="00026EEC">
        <w:rPr>
          <w:rFonts w:ascii="Simplified Arabic" w:hAnsi="Simplified Arabic" w:cs="Simplified Arabic"/>
        </w:rPr>
        <w:t>.</w:t>
      </w:r>
    </w:p>
    <w:p w14:paraId="7005385E" w14:textId="77777777" w:rsidR="00E31EF9" w:rsidRPr="00026EEC" w:rsidRDefault="00E31EF9" w:rsidP="0003434F">
      <w:pPr>
        <w:pStyle w:val="NormalWeb"/>
        <w:bidi/>
        <w:spacing w:before="0" w:beforeAutospacing="0" w:after="0" w:afterAutospacing="0"/>
        <w:jc w:val="both"/>
        <w:rPr>
          <w:rFonts w:ascii="Simplified Arabic" w:hAnsi="Simplified Arabic" w:cs="Simplified Arabic"/>
        </w:rPr>
      </w:pPr>
      <w:r w:rsidRPr="00026EEC">
        <w:rPr>
          <w:rFonts w:ascii="Simplified Arabic" w:hAnsi="Simplified Arabic" w:cs="Simplified Arabic"/>
          <w:rtl/>
        </w:rPr>
        <w:t xml:space="preserve">وهذه النتيجة تتوافق مع ما توصّلت إليه دراسة </w:t>
      </w:r>
      <w:r w:rsidRPr="00026EEC">
        <w:rPr>
          <w:rFonts w:ascii="Simplified Arabic" w:hAnsi="Simplified Arabic" w:cs="Simplified Arabic"/>
        </w:rPr>
        <w:t xml:space="preserve">Li et al. (2023) </w:t>
      </w:r>
      <w:r w:rsidRPr="00026EEC">
        <w:rPr>
          <w:rFonts w:ascii="Simplified Arabic" w:hAnsi="Simplified Arabic" w:cs="Simplified Arabic"/>
          <w:rtl/>
        </w:rPr>
        <w:t>التي أبرزت الدور المحوري للذكاء الاصطناعي في تعزيز استدامة شبكات الطاقة من خلال التحليل التنبؤي المتقدم. كما تتّسق مع دراسة سانتوري</w:t>
      </w:r>
      <w:r w:rsidRPr="00026EEC">
        <w:rPr>
          <w:rFonts w:ascii="Simplified Arabic" w:hAnsi="Simplified Arabic" w:cs="Simplified Arabic"/>
        </w:rPr>
        <w:t xml:space="preserve"> (Santorry, 2024) </w:t>
      </w:r>
      <w:r w:rsidRPr="00026EEC">
        <w:rPr>
          <w:rFonts w:ascii="Simplified Arabic" w:hAnsi="Simplified Arabic" w:cs="Simplified Arabic"/>
          <w:rtl/>
        </w:rPr>
        <w:t>التي أكّدت أن دمج تقنيات الذكاء الاصطناعي مع أطر إدارة المخاطر يُسهم في بناء منظومة تشغيلية ذاتية التكيّف. وتتقاطع كذلك مع نتائج دراسة</w:t>
      </w:r>
      <w:r w:rsidRPr="00026EEC">
        <w:rPr>
          <w:rFonts w:ascii="Simplified Arabic" w:hAnsi="Simplified Arabic" w:cs="Simplified Arabic"/>
        </w:rPr>
        <w:t xml:space="preserve"> Alvarez</w:t>
      </w:r>
      <w:r w:rsidRPr="00026EEC">
        <w:rPr>
          <w:rFonts w:ascii="Simplified Arabic" w:hAnsi="Simplified Arabic" w:cs="Simplified Arabic"/>
        </w:rPr>
        <w:noBreakHyphen/>
        <w:t xml:space="preserve">Alvarado and Jayaweera (2020) </w:t>
      </w:r>
      <w:r w:rsidRPr="00026EEC">
        <w:rPr>
          <w:rFonts w:ascii="Simplified Arabic" w:hAnsi="Simplified Arabic" w:cs="Simplified Arabic"/>
          <w:rtl/>
        </w:rPr>
        <w:t>التي أوضحت أن النمذجة الذكية للمخاطر تُعزّز من قدرة الشبكات على استيعاب التغيّرات المفاجئة في الأحمال والظروف التشغيلية. وفيما يخص الفجوة الملاحظة في مستوى التبنّي، تتّفق هذه الملاحظة مع ما أشارت إليه دراسة عراز</w:t>
      </w:r>
      <w:r w:rsidRPr="00026EEC">
        <w:rPr>
          <w:rFonts w:ascii="Simplified Arabic" w:hAnsi="Simplified Arabic" w:cs="Simplified Arabic"/>
        </w:rPr>
        <w:t xml:space="preserve"> (Araz et al., 2020) </w:t>
      </w:r>
      <w:r w:rsidRPr="00026EEC">
        <w:rPr>
          <w:rFonts w:ascii="Simplified Arabic" w:hAnsi="Simplified Arabic" w:cs="Simplified Arabic"/>
          <w:rtl/>
        </w:rPr>
        <w:t>من أن كثيراً من المنظمات لا تزال في المراحل الانتقالية لتوظيف الذكاء الاصطناعي في سياقات إدارة المخاطر، رغم الأدلة المتزايدة على فعاليته</w:t>
      </w:r>
      <w:r w:rsidRPr="00026EEC">
        <w:rPr>
          <w:rFonts w:ascii="Simplified Arabic" w:hAnsi="Simplified Arabic" w:cs="Simplified Arabic"/>
        </w:rPr>
        <w:t>.</w:t>
      </w:r>
    </w:p>
    <w:p w14:paraId="6812C7F0" w14:textId="358F03D8" w:rsidR="00E31EF9" w:rsidRPr="00026EEC" w:rsidRDefault="00E178F3" w:rsidP="00026EEC">
      <w:pPr>
        <w:spacing w:after="0" w:line="240" w:lineRule="auto"/>
        <w:jc w:val="both"/>
        <w:outlineLvl w:val="1"/>
        <w:rPr>
          <w:rFonts w:ascii="Simplified Arabic" w:hAnsi="Simplified Arabic" w:cs="Simplified Arabic"/>
          <w:b/>
          <w:bCs/>
          <w:sz w:val="24"/>
          <w:szCs w:val="24"/>
        </w:rPr>
      </w:pPr>
      <w:bookmarkStart w:id="35" w:name="_Toc223386556"/>
      <w:r w:rsidRPr="00026EEC">
        <w:rPr>
          <w:rFonts w:ascii="Simplified Arabic" w:hAnsi="Simplified Arabic" w:cs="Simplified Arabic"/>
          <w:b/>
          <w:bCs/>
          <w:sz w:val="24"/>
          <w:szCs w:val="24"/>
          <w:rtl/>
        </w:rPr>
        <w:t>التوصيات</w:t>
      </w:r>
      <w:bookmarkEnd w:id="35"/>
    </w:p>
    <w:p w14:paraId="4A338ACA" w14:textId="77777777" w:rsidR="00E31EF9" w:rsidRPr="00026EEC" w:rsidRDefault="00E31EF9" w:rsidP="00026EEC">
      <w:pPr>
        <w:pStyle w:val="NormalWeb"/>
        <w:bidi/>
        <w:spacing w:before="0" w:beforeAutospacing="0" w:after="0" w:afterAutospacing="0"/>
        <w:jc w:val="both"/>
        <w:rPr>
          <w:rFonts w:ascii="Simplified Arabic" w:hAnsi="Simplified Arabic" w:cs="Simplified Arabic"/>
          <w:b/>
          <w:bCs/>
        </w:rPr>
      </w:pPr>
      <w:r w:rsidRPr="00026EEC">
        <w:rPr>
          <w:rFonts w:ascii="Simplified Arabic" w:hAnsi="Simplified Arabic" w:cs="Simplified Arabic"/>
          <w:b/>
          <w:bCs/>
          <w:rtl/>
        </w:rPr>
        <w:t>استناداً إلى ما تمّ مناقشته من نتائج، توصي الدراسة بما يلي</w:t>
      </w:r>
      <w:r w:rsidRPr="00026EEC">
        <w:rPr>
          <w:rFonts w:ascii="Simplified Arabic" w:hAnsi="Simplified Arabic" w:cs="Simplified Arabic"/>
          <w:b/>
          <w:bCs/>
        </w:rPr>
        <w:t>:</w:t>
      </w:r>
    </w:p>
    <w:p w14:paraId="36603CCD" w14:textId="7548ADAD"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Pr>
        <w:lastRenderedPageBreak/>
        <w:t xml:space="preserve"> </w:t>
      </w:r>
      <w:r w:rsidRPr="00026EEC">
        <w:rPr>
          <w:rFonts w:ascii="Simplified Arabic" w:hAnsi="Simplified Arabic" w:cs="Simplified Arabic"/>
          <w:rtl/>
        </w:rPr>
        <w:t>ينبغي للشركة السعودية للكهرباء تطوير مؤشرات مخاطر رئيسة خاصة بكل قطاع تشغيلي (التوزيع، النقل، الصيانة)، وتحديثها دورياً بما يعكس المستجدات التقنية والتشغيلية، مع إنشاء قاعدة بيانات مركزية لسجلات المخاطر تُتيح تتبّع تطوّر المخاطر عبر الزمن وتحليل اتجاهاتها</w:t>
      </w:r>
      <w:r w:rsidRPr="00026EEC">
        <w:rPr>
          <w:rFonts w:ascii="Simplified Arabic" w:hAnsi="Simplified Arabic" w:cs="Simplified Arabic"/>
        </w:rPr>
        <w:t>.</w:t>
      </w:r>
    </w:p>
    <w:p w14:paraId="25096103" w14:textId="0FCDB69C"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Pr>
        <w:t xml:space="preserve"> </w:t>
      </w:r>
      <w:r w:rsidRPr="00026EEC">
        <w:rPr>
          <w:rFonts w:ascii="Simplified Arabic" w:hAnsi="Simplified Arabic" w:cs="Simplified Arabic"/>
          <w:rtl/>
        </w:rPr>
        <w:t>يُوصى بوضع أدلة إجرائية مفصّلة لكل نوع من أنواع الاستجابة (تجنّب، تخفيف، نقل، قبول) تتضمّن معايير واضحة لاختيار الاستراتيجية الملائمة وفقاً لمستوى الخطر وأولويته، مع إجراء تدريبات محاكاة دورية لاختبار جاهزية فرق العمل في تنفيذ خطط الاستجابة</w:t>
      </w:r>
      <w:r w:rsidRPr="00026EEC">
        <w:rPr>
          <w:rFonts w:ascii="Simplified Arabic" w:hAnsi="Simplified Arabic" w:cs="Simplified Arabic"/>
        </w:rPr>
        <w:t>.</w:t>
      </w:r>
    </w:p>
    <w:p w14:paraId="73DB7013" w14:textId="61E34973"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tl/>
        </w:rPr>
        <w:t>يُقترح زيادة الاستثمار في أجهزة الاستشعار الذكية وأنظمة المراقبة الآنية في المناطق التي تشهد معدلات أعطال مرتفعة، والانتقال التدريجي من الصيانة الوقائية المجدولة إلى الصيانة التنبؤية المبنية على تحليل بيانات التشغيل الفعلية، مع توظيف تقنية التوأم الرقمي لمحاكاة سيناريوهات الأعطال واختبار حلول بديلة قبل تطبيقها ميدانياً</w:t>
      </w:r>
      <w:r w:rsidRPr="00026EEC">
        <w:rPr>
          <w:rFonts w:ascii="Simplified Arabic" w:hAnsi="Simplified Arabic" w:cs="Simplified Arabic"/>
        </w:rPr>
        <w:t>.</w:t>
      </w:r>
    </w:p>
    <w:p w14:paraId="44678DC0" w14:textId="0F48CDEE"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Pr>
        <w:t xml:space="preserve"> </w:t>
      </w:r>
      <w:r w:rsidRPr="00026EEC">
        <w:rPr>
          <w:rFonts w:ascii="Simplified Arabic" w:hAnsi="Simplified Arabic" w:cs="Simplified Arabic"/>
          <w:rtl/>
        </w:rPr>
        <w:t>يُوصى بإنشاء وحدة متخصصة تجمع بين خبراء الذكاء الاصطناعي ومهندسي الشبكات لتطوير نماذج تنبؤية مخصّصة لبيئة الشركة التشغيلية، مع وضع خطة تدريب مكثّفة للكوادر الفنية والإدارية لسدّ الفجوة المعرفية في هذا المجال وتعزيز ثقة الممارسين بمخرجات هذه التقنيات</w:t>
      </w:r>
      <w:r w:rsidRPr="00026EEC">
        <w:rPr>
          <w:rFonts w:ascii="Simplified Arabic" w:hAnsi="Simplified Arabic" w:cs="Simplified Arabic"/>
        </w:rPr>
        <w:t>.</w:t>
      </w:r>
    </w:p>
    <w:p w14:paraId="53B5DA89" w14:textId="7710DDE7"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tl/>
        </w:rPr>
        <w:t>يُقترح تضمين مفاهيم إدارة المخاطر التشغيلية في برامج التأهيل الوظيفي والتطوير المهني، وربط مؤشرات أداء إدارة المخاطر بنظام تقييم الأداء المؤسسي، بحيث تتحوّل إدارة المخاطر من وظيفة تخصصية إلى ممارسة يومية يشارك فيها جميع المستويات</w:t>
      </w:r>
      <w:r w:rsidRPr="00026EEC">
        <w:rPr>
          <w:rFonts w:ascii="Simplified Arabic" w:hAnsi="Simplified Arabic" w:cs="Simplified Arabic"/>
        </w:rPr>
        <w:t>.</w:t>
      </w:r>
    </w:p>
    <w:p w14:paraId="028DA72B" w14:textId="5D1DDAD5"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tl/>
        </w:rPr>
        <w:t>يُوصى باعتماد أنظمة قياس ذكية متقدمة تُمكّن من رصد الفاقد على مستوى كل مكوّن من مكوّنات الشبكة، وإنشاء لوحات بيانات تفاعلية تُتيح لصنّاع القرار متابعة مؤشرات الفاقد والكفاءة في الوقت الحقيقي واتخاذ إجراءات تصحيحية فورية</w:t>
      </w:r>
      <w:r w:rsidRPr="00026EEC">
        <w:rPr>
          <w:rFonts w:ascii="Simplified Arabic" w:hAnsi="Simplified Arabic" w:cs="Simplified Arabic"/>
        </w:rPr>
        <w:t>.</w:t>
      </w:r>
    </w:p>
    <w:p w14:paraId="0F52D798" w14:textId="6BF8F103"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Style w:val="Strong"/>
          <w:rFonts w:ascii="Simplified Arabic" w:hAnsi="Simplified Arabic" w:cs="Simplified Arabic"/>
          <w:b w:val="0"/>
          <w:bCs w:val="0"/>
          <w:rtl/>
        </w:rPr>
        <w:t>ي</w:t>
      </w:r>
      <w:r w:rsidRPr="00026EEC">
        <w:rPr>
          <w:rFonts w:ascii="Simplified Arabic" w:hAnsi="Simplified Arabic" w:cs="Simplified Arabic"/>
          <w:rtl/>
        </w:rPr>
        <w:t>ُقترح إبرام شراكات بحثية مع الجامعات ومراكز الأبحاث المتخصصة في مجالات الطاقة الذكية وإدارة المخاطر والذكاء الاصطناعي، للاستفادة من أحدث المعارف والمنهجيات العلمية وتطبيقها في بيئة الشركة التشغيلية</w:t>
      </w:r>
      <w:r w:rsidRPr="00026EEC">
        <w:rPr>
          <w:rFonts w:ascii="Simplified Arabic" w:hAnsi="Simplified Arabic" w:cs="Simplified Arabic"/>
        </w:rPr>
        <w:t>.</w:t>
      </w:r>
    </w:p>
    <w:p w14:paraId="782593D2" w14:textId="4842FFD8" w:rsidR="00E31EF9" w:rsidRPr="00026EEC" w:rsidRDefault="00E31EF9" w:rsidP="00026EEC">
      <w:pPr>
        <w:pStyle w:val="NormalWeb"/>
        <w:numPr>
          <w:ilvl w:val="0"/>
          <w:numId w:val="24"/>
        </w:numPr>
        <w:tabs>
          <w:tab w:val="clear" w:pos="720"/>
          <w:tab w:val="num" w:pos="423"/>
        </w:tabs>
        <w:bidi/>
        <w:spacing w:before="0" w:beforeAutospacing="0" w:after="0" w:afterAutospacing="0"/>
        <w:ind w:left="423"/>
        <w:jc w:val="both"/>
        <w:rPr>
          <w:rFonts w:ascii="Simplified Arabic" w:hAnsi="Simplified Arabic" w:cs="Simplified Arabic"/>
        </w:rPr>
      </w:pPr>
      <w:r w:rsidRPr="00026EEC">
        <w:rPr>
          <w:rFonts w:ascii="Simplified Arabic" w:hAnsi="Simplified Arabic" w:cs="Simplified Arabic"/>
          <w:rtl/>
        </w:rPr>
        <w:t>يُوصى بإجراء مراجعات سنوية شاملة لمنظومة إدارة المخاطر التشغيلية تتضمّن تقييم فعالية الأدوات والاستراتيجيات المستخدمة، وتحديث مصفوفات المخاطر، ومقارنة الأداء الفعلي بالمستهدفات، مع الاستعانة بمراجعين خارجيين لضمان الموضوعية والشمولية</w:t>
      </w:r>
      <w:r w:rsidRPr="00026EEC">
        <w:rPr>
          <w:rFonts w:ascii="Simplified Arabic" w:hAnsi="Simplified Arabic" w:cs="Simplified Arabic"/>
        </w:rPr>
        <w:t>.</w:t>
      </w:r>
    </w:p>
    <w:p w14:paraId="54A4D992" w14:textId="59A5BEA6" w:rsidR="00E31EF9" w:rsidRPr="00026EEC" w:rsidRDefault="00E31EF9" w:rsidP="00026EEC">
      <w:pPr>
        <w:spacing w:after="0" w:line="240" w:lineRule="auto"/>
        <w:jc w:val="both"/>
        <w:rPr>
          <w:rFonts w:ascii="Simplified Arabic" w:hAnsi="Simplified Arabic" w:cs="Simplified Arabic"/>
          <w:sz w:val="24"/>
          <w:szCs w:val="24"/>
        </w:rPr>
      </w:pPr>
    </w:p>
    <w:p w14:paraId="07EEB0CE" w14:textId="77777777" w:rsidR="00AE38FA" w:rsidRPr="00026EEC" w:rsidRDefault="00AE38FA" w:rsidP="00026EEC">
      <w:pPr>
        <w:spacing w:after="0" w:line="240" w:lineRule="auto"/>
        <w:jc w:val="both"/>
        <w:rPr>
          <w:rFonts w:ascii="Simplified Arabic" w:eastAsia="Times New Roman" w:hAnsi="Simplified Arabic" w:cs="Simplified Arabic"/>
          <w:kern w:val="0"/>
          <w:sz w:val="24"/>
          <w:szCs w:val="24"/>
          <w14:ligatures w14:val="none"/>
        </w:rPr>
      </w:pPr>
    </w:p>
    <w:p w14:paraId="485371FD" w14:textId="77777777" w:rsidR="00AE38FA" w:rsidRPr="00026EEC" w:rsidRDefault="00AE38FA" w:rsidP="00026EEC">
      <w:pPr>
        <w:spacing w:after="0" w:line="240" w:lineRule="auto"/>
        <w:jc w:val="both"/>
        <w:rPr>
          <w:rFonts w:ascii="Simplified Arabic" w:eastAsia="Times New Roman" w:hAnsi="Simplified Arabic" w:cs="Simplified Arabic"/>
          <w:kern w:val="0"/>
          <w:sz w:val="24"/>
          <w:szCs w:val="24"/>
          <w14:ligatures w14:val="none"/>
        </w:rPr>
      </w:pPr>
    </w:p>
    <w:p w14:paraId="314E1957" w14:textId="6528F5E8" w:rsidR="00AE38FA" w:rsidRPr="0003434F" w:rsidRDefault="00E178F3" w:rsidP="0003434F">
      <w:pPr>
        <w:bidi w:val="0"/>
        <w:spacing w:after="0" w:line="240" w:lineRule="auto"/>
        <w:jc w:val="center"/>
        <w:outlineLvl w:val="0"/>
        <w:rPr>
          <w:rFonts w:asciiTheme="majorBidi" w:eastAsia="Times New Roman" w:hAnsiTheme="majorBidi" w:cstheme="majorBidi"/>
          <w:kern w:val="0"/>
          <w:sz w:val="24"/>
          <w:szCs w:val="24"/>
          <w14:ligatures w14:val="none"/>
        </w:rPr>
      </w:pPr>
      <w:r w:rsidRPr="00026EEC">
        <w:rPr>
          <w:rFonts w:ascii="Simplified Arabic" w:eastAsia="Times New Roman" w:hAnsi="Simplified Arabic" w:cs="Simplified Arabic"/>
          <w:b/>
          <w:bCs/>
          <w:kern w:val="0"/>
          <w:sz w:val="24"/>
          <w:szCs w:val="24"/>
          <w14:ligatures w14:val="none"/>
        </w:rPr>
        <w:br w:type="page"/>
      </w:r>
    </w:p>
    <w:p w14:paraId="588CC4A9" w14:textId="77777777" w:rsidR="00B820CB" w:rsidRPr="00026EEC" w:rsidRDefault="00B820CB" w:rsidP="00026EEC">
      <w:pPr>
        <w:spacing w:after="0" w:line="240" w:lineRule="auto"/>
        <w:jc w:val="center"/>
        <w:outlineLvl w:val="0"/>
        <w:rPr>
          <w:rFonts w:ascii="Simplified Arabic" w:eastAsiaTheme="majorEastAsia" w:hAnsi="Simplified Arabic" w:cs="Simplified Arabic"/>
          <w:b/>
          <w:bCs/>
          <w:sz w:val="24"/>
          <w:szCs w:val="24"/>
          <w:rtl/>
        </w:rPr>
      </w:pPr>
      <w:bookmarkStart w:id="36" w:name="_Toc223386558"/>
      <w:bookmarkEnd w:id="13"/>
      <w:r w:rsidRPr="00026EEC">
        <w:rPr>
          <w:rFonts w:ascii="Simplified Arabic" w:eastAsiaTheme="majorEastAsia" w:hAnsi="Simplified Arabic" w:cs="Simplified Arabic"/>
          <w:b/>
          <w:bCs/>
          <w:sz w:val="24"/>
          <w:szCs w:val="24"/>
          <w:rtl/>
        </w:rPr>
        <w:lastRenderedPageBreak/>
        <w:t>المراجع</w:t>
      </w:r>
      <w:bookmarkEnd w:id="36"/>
    </w:p>
    <w:p w14:paraId="7F48E0A1" w14:textId="3413E211" w:rsidR="00E178F3" w:rsidRPr="00026EEC" w:rsidRDefault="00E178F3" w:rsidP="00026EEC">
      <w:pPr>
        <w:spacing w:after="0" w:line="240" w:lineRule="auto"/>
        <w:jc w:val="both"/>
        <w:outlineLvl w:val="1"/>
        <w:rPr>
          <w:rFonts w:ascii="Simplified Arabic" w:eastAsiaTheme="majorEastAsia" w:hAnsi="Simplified Arabic" w:cs="Simplified Arabic"/>
          <w:b/>
          <w:bCs/>
          <w:sz w:val="24"/>
          <w:szCs w:val="24"/>
        </w:rPr>
      </w:pPr>
      <w:bookmarkStart w:id="37" w:name="_Toc223386559"/>
      <w:r w:rsidRPr="00026EEC">
        <w:rPr>
          <w:rFonts w:ascii="Simplified Arabic" w:eastAsiaTheme="majorEastAsia" w:hAnsi="Simplified Arabic" w:cs="Simplified Arabic"/>
          <w:b/>
          <w:bCs/>
          <w:sz w:val="24"/>
          <w:szCs w:val="24"/>
          <w:rtl/>
        </w:rPr>
        <w:t>المراجع العربية</w:t>
      </w:r>
      <w:bookmarkEnd w:id="37"/>
    </w:p>
    <w:p w14:paraId="3A2495DC"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أحمد، ئاسو كوردو، محمود، سراف جمال يوسف، خوشناو، يوسف إبراهيم نجم الدين، و يابه، تابان كانبي. (2023). دور التدقيق الداخلي في تحجيم المخاطر التشغيلية مع الاستثمارية: دراسة تطبيقية على عينة من المصارف الأهلية في محافظة دهوك. مجلة جامعة كركوك للعلوم الإدارية والاقتصادية، مج13, ع2 ، 280 - 294. مسترجع من</w:t>
      </w:r>
      <w:r w:rsidRPr="00026EEC">
        <w:rPr>
          <w:rFonts w:ascii="Simplified Arabic" w:eastAsiaTheme="majorEastAsia" w:hAnsi="Simplified Arabic" w:cs="Simplified Arabic"/>
          <w:sz w:val="24"/>
          <w:szCs w:val="24"/>
        </w:rPr>
        <w:t xml:space="preserve"> http://search.mandumah.com/Record/1414570</w:t>
      </w:r>
    </w:p>
    <w:p w14:paraId="1D43E0DB"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بالقط، هند، و بن العرية، محمد. (2024). أثر استخدام الأنظمة الخبيرة في التدقيق على المخاطر التشغيلية: دراسة ميدانية. مجلة المنهل الإقتصادي، مج7, ع2 ، 165 - 184. مسترجع من</w:t>
      </w:r>
      <w:r w:rsidRPr="00026EEC">
        <w:rPr>
          <w:rFonts w:ascii="Simplified Arabic" w:eastAsiaTheme="majorEastAsia" w:hAnsi="Simplified Arabic" w:cs="Simplified Arabic"/>
          <w:sz w:val="24"/>
          <w:szCs w:val="24"/>
        </w:rPr>
        <w:t xml:space="preserve"> http://search.mandumah.com/Record/1535670</w:t>
      </w:r>
    </w:p>
    <w:p w14:paraId="5015FE5C"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بوعبدالله، خوجة، و علمي، حسيبة. (2022). أثر مؤشرات المخاطر الرئيسية على المخاطر التشغيلية: بالتطبيق على شركات التأمين الجزائرية. مجلة الحوكمة، المسؤولية الاجتماعية والتنمية المستدامة، مج4, ع1 ، 15 - 36. مسترجع من</w:t>
      </w:r>
      <w:r w:rsidRPr="00026EEC">
        <w:rPr>
          <w:rFonts w:ascii="Simplified Arabic" w:eastAsiaTheme="majorEastAsia" w:hAnsi="Simplified Arabic" w:cs="Simplified Arabic"/>
          <w:sz w:val="24"/>
          <w:szCs w:val="24"/>
        </w:rPr>
        <w:t xml:space="preserve"> http://search.mandumah.com/Record/1265986</w:t>
      </w:r>
    </w:p>
    <w:p w14:paraId="76CBF03A"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بوعظمات، محمد أصميدة أحمدي محمد، حسين، محمد محمود، و حسين، سلوى محمود. (2022). المخاطر التشغيلية في المصارف التجارية الليبية ودور المراجع الداخلي في الحد منها: دراسة ميدانية على عينة من العاملين بالإدارة العامة لمصرف الوحدة. مجلة الإدارة العامة والقانون والتنمية، مج3, ع2 ، 49 - 74. مسترجع من</w:t>
      </w:r>
      <w:r w:rsidRPr="00026EEC">
        <w:rPr>
          <w:rFonts w:ascii="Simplified Arabic" w:eastAsiaTheme="majorEastAsia" w:hAnsi="Simplified Arabic" w:cs="Simplified Arabic"/>
          <w:sz w:val="24"/>
          <w:szCs w:val="24"/>
        </w:rPr>
        <w:t xml:space="preserve"> http://search.mandumah.com/Record/1338432</w:t>
      </w:r>
    </w:p>
    <w:p w14:paraId="08CBD4FD"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تجانية، حمزة، العبسي، علي، و ضيف الله، محمد الهادي. (2023). إدارة مخاطر التدفقات النقدية التشغيلية المتعلقة بمنتجات الصيرفة الإسلامية: دراسة تطبيقية بمصرف السلام. مجلة دفاتر اقتصادية، مج14, ع1 ، 324 - 341. مسترجع من</w:t>
      </w:r>
      <w:r w:rsidRPr="00026EEC">
        <w:rPr>
          <w:rFonts w:ascii="Simplified Arabic" w:eastAsiaTheme="majorEastAsia" w:hAnsi="Simplified Arabic" w:cs="Simplified Arabic"/>
          <w:sz w:val="24"/>
          <w:szCs w:val="24"/>
        </w:rPr>
        <w:t xml:space="preserve"> http://search.mandumah.com/Record/1387943</w:t>
      </w:r>
    </w:p>
    <w:p w14:paraId="0EB6A164"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تركمان، حنان نبيه، فياض، لينا حسن، و البهلول، ذو الفقار. (2023). دور ممارسات الموارد البشرية في تحسين كفاءة العاملين: دراسة ميدانية في جامعة تشرين. مجلة جامعة تشرين للبحوث والدراسات العلمية - سلسلة العلوم الاقتصادية والقانونية، مج45, ع3 ، 517 - 536. مسترجع من</w:t>
      </w:r>
      <w:r w:rsidRPr="00026EEC">
        <w:rPr>
          <w:rFonts w:ascii="Simplified Arabic" w:eastAsiaTheme="majorEastAsia" w:hAnsi="Simplified Arabic" w:cs="Simplified Arabic"/>
          <w:sz w:val="24"/>
          <w:szCs w:val="24"/>
        </w:rPr>
        <w:t xml:space="preserve"> http://search.mandumah.com/Record/1403556</w:t>
      </w:r>
    </w:p>
    <w:p w14:paraId="766CBA88"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الدغمي، دغمي راتب راكان، و العيطان، غيث ناصر محمد. (2024). أثر الشمول المالي الرقمي على المخاطر التشغيلية للبنوك التجارية الأردنية (رسالة ماجستير غير منشورة). جامعة آل البيت، المفرق. مسترجع من</w:t>
      </w:r>
      <w:r w:rsidRPr="00026EEC">
        <w:rPr>
          <w:rFonts w:ascii="Simplified Arabic" w:eastAsiaTheme="majorEastAsia" w:hAnsi="Simplified Arabic" w:cs="Simplified Arabic"/>
          <w:sz w:val="24"/>
          <w:szCs w:val="24"/>
        </w:rPr>
        <w:t xml:space="preserve"> http://search.mandumah.com/Record/1486044</w:t>
      </w:r>
    </w:p>
    <w:p w14:paraId="443CE586"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ضاحي، حسن نايب، إزغير، حيدر بدر، و شاكر، أمير صاحب. (2021). أثر أسلوب السجلات المحاسبية المفتوحة على إدارة المخاطر التشغيلية في المصارف التجارية العراقية. أوراق ثقافية: مجلة الآداب والعلوم الإنسانية، مج3, ع16 ، 393 - 406. مسترجع من</w:t>
      </w:r>
      <w:r w:rsidRPr="00026EEC">
        <w:rPr>
          <w:rFonts w:ascii="Simplified Arabic" w:eastAsiaTheme="majorEastAsia" w:hAnsi="Simplified Arabic" w:cs="Simplified Arabic"/>
          <w:sz w:val="24"/>
          <w:szCs w:val="24"/>
        </w:rPr>
        <w:t xml:space="preserve"> http://search.mandumah.com/Record/1218809</w:t>
      </w:r>
    </w:p>
    <w:p w14:paraId="6F3E11BB"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lastRenderedPageBreak/>
        <w:t>عبدالحكيم، شاهد. (2023). دور التدريب في تحسين كفاءة المورد البشري: دراسة حالة مؤسسة اتصالات الجزائر - تقرت. مجلة الاقتصاد والتنمية المستدامة، مج6, ع1 ، 406 - 423. مسترجع من</w:t>
      </w:r>
      <w:r w:rsidRPr="00026EEC">
        <w:rPr>
          <w:rFonts w:ascii="Simplified Arabic" w:eastAsiaTheme="majorEastAsia" w:hAnsi="Simplified Arabic" w:cs="Simplified Arabic"/>
          <w:sz w:val="24"/>
          <w:szCs w:val="24"/>
        </w:rPr>
        <w:t xml:space="preserve"> http://search.mandumah.com/Record/1370007</w:t>
      </w:r>
    </w:p>
    <w:p w14:paraId="657F6191"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عبدالنبي، هدى أحمد إبراهيم، و ابن نامي، موضي بنت سعد. (2024). كفاءة التخطيط الاستراتيجي وأثره على جودة الأداء المؤسسي: دراسة تطبيقية على الموظفين العاملين في القطاع التقني بالسعودية. المجلة الدولية للتنمية، مج13, ع3 ، 29 - 47. مسترجع من</w:t>
      </w:r>
      <w:r w:rsidRPr="00026EEC">
        <w:rPr>
          <w:rFonts w:ascii="Simplified Arabic" w:eastAsiaTheme="majorEastAsia" w:hAnsi="Simplified Arabic" w:cs="Simplified Arabic"/>
          <w:sz w:val="24"/>
          <w:szCs w:val="24"/>
        </w:rPr>
        <w:t xml:space="preserve"> http://search.mandumah.com/Record/1543089</w:t>
      </w:r>
    </w:p>
    <w:p w14:paraId="62CEDBA1" w14:textId="77777777" w:rsidR="00E178F3" w:rsidRPr="00026EEC" w:rsidRDefault="00E178F3" w:rsidP="00026EEC">
      <w:pPr>
        <w:pStyle w:val="ListParagraph"/>
        <w:numPr>
          <w:ilvl w:val="0"/>
          <w:numId w:val="34"/>
        </w:numPr>
        <w:spacing w:after="0" w:line="240" w:lineRule="auto"/>
        <w:ind w:left="425"/>
        <w:jc w:val="both"/>
        <w:rPr>
          <w:rFonts w:ascii="Simplified Arabic" w:eastAsiaTheme="majorEastAsia" w:hAnsi="Simplified Arabic" w:cs="Simplified Arabic"/>
          <w:sz w:val="24"/>
          <w:szCs w:val="24"/>
        </w:rPr>
      </w:pPr>
      <w:r w:rsidRPr="00026EEC">
        <w:rPr>
          <w:rFonts w:ascii="Simplified Arabic" w:eastAsiaTheme="majorEastAsia" w:hAnsi="Simplified Arabic" w:cs="Simplified Arabic"/>
          <w:sz w:val="24"/>
          <w:szCs w:val="24"/>
          <w:rtl/>
        </w:rPr>
        <w:t>عزام، محسن عبيد عبدالغفار يونس، زلط، علاء عاشور عبدالله، و هيكل، نورهان عصام عباس. (2025). تأثير الخدمات المصرفية الإلكترونية على المخاطر التشغيلية بالبنوك التجارية: دراسة ميدانية. مجلة بحوث الأعمال، مج2, ع1 ، 201 - 261. مسترجع من</w:t>
      </w:r>
      <w:r w:rsidRPr="00026EEC">
        <w:rPr>
          <w:rFonts w:ascii="Simplified Arabic" w:eastAsiaTheme="majorEastAsia" w:hAnsi="Simplified Arabic" w:cs="Simplified Arabic"/>
          <w:sz w:val="24"/>
          <w:szCs w:val="24"/>
        </w:rPr>
        <w:t xml:space="preserve"> http://search.mandumah.com/Record/1540194</w:t>
      </w:r>
    </w:p>
    <w:p w14:paraId="1B0163DE" w14:textId="4B6E0E4A" w:rsidR="00B820CB" w:rsidRPr="00026EEC" w:rsidRDefault="00E178F3" w:rsidP="00026EEC">
      <w:pPr>
        <w:spacing w:after="0" w:line="240" w:lineRule="auto"/>
        <w:jc w:val="both"/>
        <w:outlineLvl w:val="1"/>
        <w:rPr>
          <w:rFonts w:ascii="Simplified Arabic" w:eastAsiaTheme="majorEastAsia" w:hAnsi="Simplified Arabic" w:cs="Simplified Arabic"/>
          <w:b/>
          <w:bCs/>
          <w:sz w:val="24"/>
          <w:szCs w:val="24"/>
        </w:rPr>
      </w:pPr>
      <w:bookmarkStart w:id="38" w:name="_Toc223386560"/>
      <w:r w:rsidRPr="00026EEC">
        <w:rPr>
          <w:rFonts w:ascii="Simplified Arabic" w:eastAsiaTheme="majorEastAsia" w:hAnsi="Simplified Arabic" w:cs="Simplified Arabic"/>
          <w:b/>
          <w:bCs/>
          <w:sz w:val="24"/>
          <w:szCs w:val="24"/>
          <w:rtl/>
        </w:rPr>
        <w:t>ثانيا: المراجع الأجنبية</w:t>
      </w:r>
      <w:bookmarkEnd w:id="38"/>
    </w:p>
    <w:p w14:paraId="7E1B1947"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Alvarez-Alvarado, M. S., &amp; Jayaweera, D. (2020). Operational risk assessment with smart maintenance of power generators. International Journal of Electrical Power &amp; Energy Systems, 117, 105671</w:t>
      </w:r>
    </w:p>
    <w:p w14:paraId="70A5B1B9"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Alymov, I., &amp; Averbukh, M. (2024). Monitoring Energy Flows for Efficient Electricity Control in Low-Voltage Smart Grids. Energies, 17(9), 2123. https://doi.org/10.3390/en17092123</w:t>
      </w:r>
    </w:p>
    <w:p w14:paraId="1FA00D01"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Araz, O. M., Choi, T. M., Olson, D. L., &amp; Salman, F. S. (2020). Role of analytics for operational risk management in the era of big data. Decision Sciences, 51(6), 1320-1346.</w:t>
      </w:r>
      <w:r w:rsidRPr="0003434F">
        <w:rPr>
          <w:rFonts w:asciiTheme="majorBidi" w:eastAsiaTheme="majorEastAsia" w:hAnsiTheme="majorBidi" w:cstheme="majorBidi"/>
          <w:sz w:val="24"/>
          <w:szCs w:val="24"/>
          <w:rtl/>
        </w:rPr>
        <w:t>‏</w:t>
      </w:r>
    </w:p>
    <w:p w14:paraId="5A1FB082"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Chowdhury, S., Rodriguez-Espindola, O., Dey, P., &amp; Budhwar, P. (2023). Blockchain technology adoption for managing risks in operations and supply chain management: evidence from the UK. Annals of operations research, 327(1), 539-574.</w:t>
      </w:r>
      <w:r w:rsidRPr="0003434F">
        <w:rPr>
          <w:rFonts w:asciiTheme="majorBidi" w:eastAsiaTheme="majorEastAsia" w:hAnsiTheme="majorBidi" w:cstheme="majorBidi"/>
          <w:sz w:val="24"/>
          <w:szCs w:val="24"/>
          <w:rtl/>
        </w:rPr>
        <w:t>‏</w:t>
      </w:r>
    </w:p>
    <w:p w14:paraId="3E5C5F63"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Leach, F., Kalghatgi, G., Stone, R., &amp; Miles, P. (2020). The scope for improving the efficiency and environmental impact of internal combustion engines. Transportation engineering, 1, 100005.</w:t>
      </w:r>
    </w:p>
    <w:p w14:paraId="78C42217"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Li, B., Tan, Y., Guo, Q., &amp; Wang, W. (202</w:t>
      </w:r>
      <w:bookmarkStart w:id="39" w:name="_GoBack"/>
      <w:bookmarkEnd w:id="39"/>
      <w:r w:rsidRPr="0003434F">
        <w:rPr>
          <w:rFonts w:asciiTheme="majorBidi" w:eastAsiaTheme="majorEastAsia" w:hAnsiTheme="majorBidi" w:cstheme="majorBidi"/>
          <w:sz w:val="24"/>
          <w:szCs w:val="24"/>
        </w:rPr>
        <w:t>3). Application of Comprehensive Evaluation of Line Loss Lean Management Based on Big-Data-Driven Paradigm. Sustainability. https://doi.org/10.3390/su151512074</w:t>
      </w:r>
    </w:p>
    <w:p w14:paraId="175CD75A"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Munir, M., Jajja, M. S. S., Chatha, K. A., &amp; Farooq, S. (2020). Supply chain risk management and operational performance: The enabling role of supply chain integration. International Journal of Production Economics, 227, 107667.</w:t>
      </w:r>
    </w:p>
    <w:p w14:paraId="5FBE4912"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Neme, K., Nafady, A., Uddin, S., &amp; Tola, Y. B. (2021). Application of nanotechnology in agriculture, postharvest loss reduction and food processing: food security implication and challenges. Heliyon, 7(12).</w:t>
      </w:r>
    </w:p>
    <w:p w14:paraId="61DD797B" w14:textId="77777777" w:rsidR="00E178F3" w:rsidRPr="0003434F" w:rsidRDefault="00E178F3" w:rsidP="00026EEC">
      <w:pPr>
        <w:pStyle w:val="ListParagraph"/>
        <w:numPr>
          <w:ilvl w:val="0"/>
          <w:numId w:val="38"/>
        </w:numPr>
        <w:bidi w:val="0"/>
        <w:spacing w:after="0" w:line="240" w:lineRule="auto"/>
        <w:ind w:left="426"/>
        <w:jc w:val="both"/>
        <w:rPr>
          <w:rFonts w:asciiTheme="majorBidi" w:eastAsiaTheme="majorEastAsia" w:hAnsiTheme="majorBidi" w:cstheme="majorBidi"/>
          <w:sz w:val="24"/>
          <w:szCs w:val="24"/>
        </w:rPr>
      </w:pPr>
      <w:r w:rsidRPr="0003434F">
        <w:rPr>
          <w:rFonts w:asciiTheme="majorBidi" w:eastAsiaTheme="majorEastAsia" w:hAnsiTheme="majorBidi" w:cstheme="majorBidi"/>
          <w:sz w:val="24"/>
          <w:szCs w:val="24"/>
        </w:rPr>
        <w:t>Santorry, S. (2024). Evaluating the Impact of Technological Innovations on Operational Risk Management in Financial Institutions. The Journal of Academic Science, 1(6), 762-776.</w:t>
      </w:r>
      <w:r w:rsidRPr="0003434F">
        <w:rPr>
          <w:rFonts w:asciiTheme="majorBidi" w:eastAsiaTheme="majorEastAsia" w:hAnsiTheme="majorBidi" w:cstheme="majorBidi"/>
          <w:sz w:val="24"/>
          <w:szCs w:val="24"/>
          <w:rtl/>
        </w:rPr>
        <w:t>‏</w:t>
      </w:r>
    </w:p>
    <w:p w14:paraId="1AFF06B8" w14:textId="0A049EA1" w:rsidR="000A4D31" w:rsidRPr="00026EEC" w:rsidRDefault="000A4D31" w:rsidP="00026EEC">
      <w:pPr>
        <w:spacing w:after="0" w:line="240" w:lineRule="auto"/>
        <w:jc w:val="both"/>
        <w:rPr>
          <w:rFonts w:ascii="Simplified Arabic" w:eastAsia="Calibri" w:hAnsi="Simplified Arabic" w:cs="Simplified Arabic"/>
          <w:noProof/>
          <w:kern w:val="0"/>
          <w:sz w:val="24"/>
          <w:szCs w:val="24"/>
          <w:lang w:bidi="ar-EG"/>
          <w14:ligatures w14:val="none"/>
        </w:rPr>
      </w:pPr>
    </w:p>
    <w:p w14:paraId="6E52896B" w14:textId="1CDB9218" w:rsidR="009125CE" w:rsidRPr="0003434F" w:rsidRDefault="009125CE" w:rsidP="0003434F">
      <w:pPr>
        <w:bidi w:val="0"/>
        <w:spacing w:after="0" w:line="240" w:lineRule="auto"/>
        <w:rPr>
          <w:rFonts w:ascii="Simplified Arabic" w:eastAsia="Calibri" w:hAnsi="Simplified Arabic" w:cs="Simplified Arabic"/>
          <w:noProof/>
          <w:kern w:val="0"/>
          <w:sz w:val="24"/>
          <w:szCs w:val="24"/>
          <w:rtl/>
          <w:lang w:bidi="ar-EG"/>
          <w14:ligatures w14:val="none"/>
        </w:rPr>
      </w:pPr>
    </w:p>
    <w:sectPr w:rsidR="009125CE" w:rsidRPr="0003434F" w:rsidSect="0003434F">
      <w:footerReference w:type="default" r:id="rId10"/>
      <w:pgSz w:w="11906" w:h="16838" w:code="9"/>
      <w:pgMar w:top="1440" w:right="1983" w:bottom="1440" w:left="1418" w:header="720" w:footer="720" w:gutter="567"/>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D640D" w14:textId="77777777" w:rsidR="00E1493F" w:rsidRDefault="00E1493F" w:rsidP="009125CE">
      <w:pPr>
        <w:spacing w:after="0" w:line="240" w:lineRule="auto"/>
      </w:pPr>
      <w:r>
        <w:separator/>
      </w:r>
    </w:p>
  </w:endnote>
  <w:endnote w:type="continuationSeparator" w:id="0">
    <w:p w14:paraId="385E3C16" w14:textId="77777777" w:rsidR="00E1493F" w:rsidRDefault="00E149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06302016"/>
      <w:docPartObj>
        <w:docPartGallery w:val="Page Numbers (Bottom of Page)"/>
        <w:docPartUnique/>
      </w:docPartObj>
    </w:sdtPr>
    <w:sdtEndPr>
      <w:rPr>
        <w:noProof/>
      </w:rPr>
    </w:sdtEndPr>
    <w:sdtContent>
      <w:p w14:paraId="110E0006" w14:textId="471CC260" w:rsidR="0003434F" w:rsidRDefault="0003434F" w:rsidP="0003434F">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84467504"/>
      <w:docPartObj>
        <w:docPartGallery w:val="Page Numbers (Bottom of Page)"/>
        <w:docPartUnique/>
      </w:docPartObj>
    </w:sdtPr>
    <w:sdtEndPr>
      <w:rPr>
        <w:noProof/>
      </w:rPr>
    </w:sdtEndPr>
    <w:sdtContent>
      <w:p w14:paraId="19B4BA00" w14:textId="3CE8317E" w:rsidR="005778E8" w:rsidRDefault="0003434F" w:rsidP="0003434F">
        <w:pPr>
          <w:pStyle w:val="Footer"/>
          <w:jc w:val="center"/>
        </w:pPr>
        <w:r>
          <w:fldChar w:fldCharType="begin"/>
        </w:r>
        <w:r>
          <w:instrText xml:space="preserve"> PAGE   \* MERGEFORMAT </w:instrText>
        </w:r>
        <w:r>
          <w:fldChar w:fldCharType="separate"/>
        </w:r>
        <w:r>
          <w:rPr>
            <w:noProof/>
            <w:rtl/>
          </w:rPr>
          <w:t>31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BF7C5" w14:textId="77777777" w:rsidR="00E1493F" w:rsidRDefault="00E1493F" w:rsidP="009125CE">
      <w:pPr>
        <w:spacing w:after="0" w:line="240" w:lineRule="auto"/>
      </w:pPr>
      <w:r>
        <w:separator/>
      </w:r>
    </w:p>
  </w:footnote>
  <w:footnote w:type="continuationSeparator" w:id="0">
    <w:p w14:paraId="1153EB0B" w14:textId="77777777" w:rsidR="00E1493F" w:rsidRDefault="00E1493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6357D"/>
    <w:multiLevelType w:val="hybridMultilevel"/>
    <w:tmpl w:val="564E3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8582B"/>
    <w:multiLevelType w:val="hybridMultilevel"/>
    <w:tmpl w:val="20804FD8"/>
    <w:lvl w:ilvl="0" w:tplc="410848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906FE8"/>
    <w:multiLevelType w:val="multilevel"/>
    <w:tmpl w:val="D20E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E81408"/>
    <w:multiLevelType w:val="multilevel"/>
    <w:tmpl w:val="4A98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723AB9"/>
    <w:multiLevelType w:val="hybridMultilevel"/>
    <w:tmpl w:val="0B226B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D8E23AE"/>
    <w:multiLevelType w:val="hybridMultilevel"/>
    <w:tmpl w:val="7F5C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82269C"/>
    <w:multiLevelType w:val="hybridMultilevel"/>
    <w:tmpl w:val="AE3CD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F62D5"/>
    <w:multiLevelType w:val="hybridMultilevel"/>
    <w:tmpl w:val="C4128C4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373ECE"/>
    <w:multiLevelType w:val="hybridMultilevel"/>
    <w:tmpl w:val="8AC04A7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27830"/>
    <w:multiLevelType w:val="multilevel"/>
    <w:tmpl w:val="15CEF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C12800"/>
    <w:multiLevelType w:val="hybridMultilevel"/>
    <w:tmpl w:val="9D66CB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D718F2"/>
    <w:multiLevelType w:val="multilevel"/>
    <w:tmpl w:val="6FA80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387BED"/>
    <w:multiLevelType w:val="hybridMultilevel"/>
    <w:tmpl w:val="C1E4D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BF645D"/>
    <w:multiLevelType w:val="hybridMultilevel"/>
    <w:tmpl w:val="42C4D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36242C"/>
    <w:multiLevelType w:val="hybridMultilevel"/>
    <w:tmpl w:val="DACE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D01883"/>
    <w:multiLevelType w:val="hybridMultilevel"/>
    <w:tmpl w:val="F9E2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DD7340"/>
    <w:multiLevelType w:val="multilevel"/>
    <w:tmpl w:val="6CC8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5857DC"/>
    <w:multiLevelType w:val="hybridMultilevel"/>
    <w:tmpl w:val="A66282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3C4C84"/>
    <w:multiLevelType w:val="hybridMultilevel"/>
    <w:tmpl w:val="67BE7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013746"/>
    <w:multiLevelType w:val="hybridMultilevel"/>
    <w:tmpl w:val="1B56F3A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185F43"/>
    <w:multiLevelType w:val="multilevel"/>
    <w:tmpl w:val="BA78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266B7B"/>
    <w:multiLevelType w:val="hybridMultilevel"/>
    <w:tmpl w:val="220CA226"/>
    <w:lvl w:ilvl="0" w:tplc="41084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5E00DE"/>
    <w:multiLevelType w:val="hybridMultilevel"/>
    <w:tmpl w:val="FE22E8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AC1A61"/>
    <w:multiLevelType w:val="hybridMultilevel"/>
    <w:tmpl w:val="75FA78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A734CB"/>
    <w:multiLevelType w:val="hybridMultilevel"/>
    <w:tmpl w:val="089A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7B58B7"/>
    <w:multiLevelType w:val="hybridMultilevel"/>
    <w:tmpl w:val="4850AA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4333E02"/>
    <w:multiLevelType w:val="hybridMultilevel"/>
    <w:tmpl w:val="2B721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82682B"/>
    <w:multiLevelType w:val="hybridMultilevel"/>
    <w:tmpl w:val="F1DAE1F2"/>
    <w:lvl w:ilvl="0" w:tplc="04090011">
      <w:start w:val="1"/>
      <w:numFmt w:val="decimal"/>
      <w:lvlText w:val="%1)"/>
      <w:lvlJc w:val="left"/>
      <w:pPr>
        <w:ind w:left="720" w:hanging="360"/>
      </w:pPr>
    </w:lvl>
    <w:lvl w:ilvl="1" w:tplc="A6243BFA">
      <w:start w:val="19"/>
      <w:numFmt w:val="bullet"/>
      <w:lvlText w:val="•"/>
      <w:lvlJc w:val="left"/>
      <w:pPr>
        <w:ind w:left="1800" w:hanging="720"/>
      </w:pPr>
      <w:rPr>
        <w:rFonts w:ascii="Sakkal Majalla" w:eastAsiaTheme="majorEastAsia"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nsid w:val="677715FA"/>
    <w:multiLevelType w:val="multilevel"/>
    <w:tmpl w:val="89FAB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91611C"/>
    <w:multiLevelType w:val="hybridMultilevel"/>
    <w:tmpl w:val="5C5ED4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F45854"/>
    <w:multiLevelType w:val="hybridMultilevel"/>
    <w:tmpl w:val="5906A3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804C48"/>
    <w:multiLevelType w:val="hybridMultilevel"/>
    <w:tmpl w:val="24D09E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9D7977"/>
    <w:multiLevelType w:val="hybridMultilevel"/>
    <w:tmpl w:val="5F920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8F506E"/>
    <w:multiLevelType w:val="hybridMultilevel"/>
    <w:tmpl w:val="9430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762BC8"/>
    <w:multiLevelType w:val="hybridMultilevel"/>
    <w:tmpl w:val="3E52502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9DA751D"/>
    <w:multiLevelType w:val="hybridMultilevel"/>
    <w:tmpl w:val="4EDA885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EA164D"/>
    <w:multiLevelType w:val="hybridMultilevel"/>
    <w:tmpl w:val="8D76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5"/>
  </w:num>
  <w:num w:numId="3">
    <w:abstractNumId w:val="13"/>
  </w:num>
  <w:num w:numId="4">
    <w:abstractNumId w:val="15"/>
  </w:num>
  <w:num w:numId="5">
    <w:abstractNumId w:val="9"/>
  </w:num>
  <w:num w:numId="6">
    <w:abstractNumId w:val="6"/>
  </w:num>
  <w:num w:numId="7">
    <w:abstractNumId w:val="34"/>
  </w:num>
  <w:num w:numId="8">
    <w:abstractNumId w:val="4"/>
  </w:num>
  <w:num w:numId="9">
    <w:abstractNumId w:val="33"/>
  </w:num>
  <w:num w:numId="10">
    <w:abstractNumId w:val="11"/>
  </w:num>
  <w:num w:numId="11">
    <w:abstractNumId w:val="24"/>
  </w:num>
  <w:num w:numId="12">
    <w:abstractNumId w:val="3"/>
  </w:num>
  <w:num w:numId="13">
    <w:abstractNumId w:val="0"/>
  </w:num>
  <w:num w:numId="14">
    <w:abstractNumId w:val="18"/>
  </w:num>
  <w:num w:numId="15">
    <w:abstractNumId w:val="39"/>
  </w:num>
  <w:num w:numId="16">
    <w:abstractNumId w:val="22"/>
  </w:num>
  <w:num w:numId="17">
    <w:abstractNumId w:val="42"/>
  </w:num>
  <w:num w:numId="18">
    <w:abstractNumId w:val="19"/>
  </w:num>
  <w:num w:numId="19">
    <w:abstractNumId w:val="30"/>
  </w:num>
  <w:num w:numId="20">
    <w:abstractNumId w:val="28"/>
  </w:num>
  <w:num w:numId="21">
    <w:abstractNumId w:val="5"/>
  </w:num>
  <w:num w:numId="22">
    <w:abstractNumId w:val="14"/>
  </w:num>
  <w:num w:numId="23">
    <w:abstractNumId w:val="2"/>
  </w:num>
  <w:num w:numId="24">
    <w:abstractNumId w:val="20"/>
  </w:num>
  <w:num w:numId="25">
    <w:abstractNumId w:val="38"/>
  </w:num>
  <w:num w:numId="26">
    <w:abstractNumId w:val="12"/>
  </w:num>
  <w:num w:numId="27">
    <w:abstractNumId w:val="23"/>
  </w:num>
  <w:num w:numId="28">
    <w:abstractNumId w:val="27"/>
  </w:num>
  <w:num w:numId="29">
    <w:abstractNumId w:val="10"/>
  </w:num>
  <w:num w:numId="30">
    <w:abstractNumId w:val="8"/>
  </w:num>
  <w:num w:numId="31">
    <w:abstractNumId w:val="37"/>
  </w:num>
  <w:num w:numId="32">
    <w:abstractNumId w:val="36"/>
  </w:num>
  <w:num w:numId="33">
    <w:abstractNumId w:val="40"/>
  </w:num>
  <w:num w:numId="34">
    <w:abstractNumId w:val="31"/>
  </w:num>
  <w:num w:numId="35">
    <w:abstractNumId w:val="1"/>
  </w:num>
  <w:num w:numId="36">
    <w:abstractNumId w:val="25"/>
  </w:num>
  <w:num w:numId="37">
    <w:abstractNumId w:val="29"/>
  </w:num>
  <w:num w:numId="38">
    <w:abstractNumId w:val="21"/>
  </w:num>
  <w:num w:numId="39">
    <w:abstractNumId w:val="16"/>
  </w:num>
  <w:num w:numId="40">
    <w:abstractNumId w:val="32"/>
  </w:num>
  <w:num w:numId="41">
    <w:abstractNumId w:val="41"/>
  </w:num>
  <w:num w:numId="42">
    <w:abstractNumId w:val="7"/>
  </w:num>
  <w:num w:numId="43">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6EEC"/>
    <w:rsid w:val="000318AB"/>
    <w:rsid w:val="0003434F"/>
    <w:rsid w:val="0004554E"/>
    <w:rsid w:val="00052AB0"/>
    <w:rsid w:val="00053122"/>
    <w:rsid w:val="000543EF"/>
    <w:rsid w:val="000602CA"/>
    <w:rsid w:val="000610C9"/>
    <w:rsid w:val="00061FA2"/>
    <w:rsid w:val="00062D0A"/>
    <w:rsid w:val="00064FF1"/>
    <w:rsid w:val="00067938"/>
    <w:rsid w:val="0007370A"/>
    <w:rsid w:val="000769E1"/>
    <w:rsid w:val="000842EB"/>
    <w:rsid w:val="00086AAD"/>
    <w:rsid w:val="00093973"/>
    <w:rsid w:val="00094E98"/>
    <w:rsid w:val="000A06E6"/>
    <w:rsid w:val="000A2ED4"/>
    <w:rsid w:val="000A4AC3"/>
    <w:rsid w:val="000A4D31"/>
    <w:rsid w:val="000A4DAE"/>
    <w:rsid w:val="000A6930"/>
    <w:rsid w:val="000A7482"/>
    <w:rsid w:val="000C4130"/>
    <w:rsid w:val="000C46EE"/>
    <w:rsid w:val="000C5F74"/>
    <w:rsid w:val="000C6F6B"/>
    <w:rsid w:val="000D03ED"/>
    <w:rsid w:val="000D175F"/>
    <w:rsid w:val="000D2E22"/>
    <w:rsid w:val="000D353F"/>
    <w:rsid w:val="000D7A52"/>
    <w:rsid w:val="000D7D9D"/>
    <w:rsid w:val="000E0212"/>
    <w:rsid w:val="000E2A00"/>
    <w:rsid w:val="000E3680"/>
    <w:rsid w:val="000E503B"/>
    <w:rsid w:val="000F44B4"/>
    <w:rsid w:val="00100756"/>
    <w:rsid w:val="00110487"/>
    <w:rsid w:val="0011209C"/>
    <w:rsid w:val="0011321B"/>
    <w:rsid w:val="0012342D"/>
    <w:rsid w:val="001306F3"/>
    <w:rsid w:val="00131E44"/>
    <w:rsid w:val="00143989"/>
    <w:rsid w:val="00150B32"/>
    <w:rsid w:val="001510C1"/>
    <w:rsid w:val="00152611"/>
    <w:rsid w:val="00153B41"/>
    <w:rsid w:val="00154939"/>
    <w:rsid w:val="00170508"/>
    <w:rsid w:val="00170871"/>
    <w:rsid w:val="00172131"/>
    <w:rsid w:val="00174E80"/>
    <w:rsid w:val="00175050"/>
    <w:rsid w:val="00180436"/>
    <w:rsid w:val="0018142E"/>
    <w:rsid w:val="001840E8"/>
    <w:rsid w:val="001856D4"/>
    <w:rsid w:val="001867D0"/>
    <w:rsid w:val="00186C33"/>
    <w:rsid w:val="001902DB"/>
    <w:rsid w:val="0019163E"/>
    <w:rsid w:val="00192F58"/>
    <w:rsid w:val="00194472"/>
    <w:rsid w:val="001962D1"/>
    <w:rsid w:val="00197155"/>
    <w:rsid w:val="001A1039"/>
    <w:rsid w:val="001A1758"/>
    <w:rsid w:val="001A41B9"/>
    <w:rsid w:val="001A5094"/>
    <w:rsid w:val="001A7D13"/>
    <w:rsid w:val="001B0A36"/>
    <w:rsid w:val="001B0D06"/>
    <w:rsid w:val="001B6D18"/>
    <w:rsid w:val="001B7151"/>
    <w:rsid w:val="001C2162"/>
    <w:rsid w:val="001C42F9"/>
    <w:rsid w:val="001D1A85"/>
    <w:rsid w:val="001D4406"/>
    <w:rsid w:val="001D5ED4"/>
    <w:rsid w:val="001E589D"/>
    <w:rsid w:val="001E7B16"/>
    <w:rsid w:val="001F0034"/>
    <w:rsid w:val="001F159D"/>
    <w:rsid w:val="001F3D1D"/>
    <w:rsid w:val="001F46A5"/>
    <w:rsid w:val="00210FD2"/>
    <w:rsid w:val="00211082"/>
    <w:rsid w:val="002133A6"/>
    <w:rsid w:val="0021390B"/>
    <w:rsid w:val="00214898"/>
    <w:rsid w:val="0021718D"/>
    <w:rsid w:val="002172A3"/>
    <w:rsid w:val="00217ADA"/>
    <w:rsid w:val="00220735"/>
    <w:rsid w:val="00223AE0"/>
    <w:rsid w:val="002304C2"/>
    <w:rsid w:val="00230D40"/>
    <w:rsid w:val="00234450"/>
    <w:rsid w:val="00236E03"/>
    <w:rsid w:val="00250D99"/>
    <w:rsid w:val="00251BCA"/>
    <w:rsid w:val="00255699"/>
    <w:rsid w:val="00260558"/>
    <w:rsid w:val="00261B03"/>
    <w:rsid w:val="00261C0C"/>
    <w:rsid w:val="00261C3D"/>
    <w:rsid w:val="0026283D"/>
    <w:rsid w:val="00270FB5"/>
    <w:rsid w:val="002740A5"/>
    <w:rsid w:val="00274BDE"/>
    <w:rsid w:val="0027638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0C3B"/>
    <w:rsid w:val="00301731"/>
    <w:rsid w:val="00302167"/>
    <w:rsid w:val="00303BF8"/>
    <w:rsid w:val="00304304"/>
    <w:rsid w:val="0031075C"/>
    <w:rsid w:val="00310B47"/>
    <w:rsid w:val="00311651"/>
    <w:rsid w:val="00313C73"/>
    <w:rsid w:val="00316D5C"/>
    <w:rsid w:val="00323FD3"/>
    <w:rsid w:val="003259CA"/>
    <w:rsid w:val="00327C81"/>
    <w:rsid w:val="00333A26"/>
    <w:rsid w:val="0033775D"/>
    <w:rsid w:val="00341565"/>
    <w:rsid w:val="0034173E"/>
    <w:rsid w:val="00341900"/>
    <w:rsid w:val="00343EE8"/>
    <w:rsid w:val="0035257D"/>
    <w:rsid w:val="00355D8B"/>
    <w:rsid w:val="00357BB1"/>
    <w:rsid w:val="00357CD0"/>
    <w:rsid w:val="003620C0"/>
    <w:rsid w:val="00364745"/>
    <w:rsid w:val="0036476A"/>
    <w:rsid w:val="00370FDA"/>
    <w:rsid w:val="0037141D"/>
    <w:rsid w:val="003744EF"/>
    <w:rsid w:val="00375544"/>
    <w:rsid w:val="00375565"/>
    <w:rsid w:val="00375D08"/>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4962"/>
    <w:rsid w:val="003D2F3C"/>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2897"/>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58C2"/>
    <w:rsid w:val="00491EAB"/>
    <w:rsid w:val="004A035D"/>
    <w:rsid w:val="004A1755"/>
    <w:rsid w:val="004B1EF3"/>
    <w:rsid w:val="004B352F"/>
    <w:rsid w:val="004C0303"/>
    <w:rsid w:val="004C3BAD"/>
    <w:rsid w:val="004C4331"/>
    <w:rsid w:val="004D23E7"/>
    <w:rsid w:val="004D6581"/>
    <w:rsid w:val="004D6B08"/>
    <w:rsid w:val="004E439C"/>
    <w:rsid w:val="004E7B16"/>
    <w:rsid w:val="004F0AD9"/>
    <w:rsid w:val="004F1444"/>
    <w:rsid w:val="004F2475"/>
    <w:rsid w:val="004F3AF6"/>
    <w:rsid w:val="00504E7A"/>
    <w:rsid w:val="00513B3A"/>
    <w:rsid w:val="005146DA"/>
    <w:rsid w:val="0051585E"/>
    <w:rsid w:val="00522010"/>
    <w:rsid w:val="0052581D"/>
    <w:rsid w:val="00534DA5"/>
    <w:rsid w:val="005374F3"/>
    <w:rsid w:val="005423FA"/>
    <w:rsid w:val="00544E3F"/>
    <w:rsid w:val="005459E0"/>
    <w:rsid w:val="00545E45"/>
    <w:rsid w:val="00550EC8"/>
    <w:rsid w:val="005527F0"/>
    <w:rsid w:val="00556C54"/>
    <w:rsid w:val="00557A05"/>
    <w:rsid w:val="00557B85"/>
    <w:rsid w:val="00566BCE"/>
    <w:rsid w:val="005778E8"/>
    <w:rsid w:val="00586F13"/>
    <w:rsid w:val="00590B27"/>
    <w:rsid w:val="00597F74"/>
    <w:rsid w:val="005A4FB6"/>
    <w:rsid w:val="005A6118"/>
    <w:rsid w:val="005A755A"/>
    <w:rsid w:val="005B112C"/>
    <w:rsid w:val="005B2F92"/>
    <w:rsid w:val="005B5824"/>
    <w:rsid w:val="005B7D85"/>
    <w:rsid w:val="005C170A"/>
    <w:rsid w:val="005D0E3A"/>
    <w:rsid w:val="005D25AE"/>
    <w:rsid w:val="005D2620"/>
    <w:rsid w:val="005D5DB7"/>
    <w:rsid w:val="005D6A8C"/>
    <w:rsid w:val="005E37C2"/>
    <w:rsid w:val="005E4655"/>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1861"/>
    <w:rsid w:val="007739B3"/>
    <w:rsid w:val="007753A5"/>
    <w:rsid w:val="00775634"/>
    <w:rsid w:val="0077567C"/>
    <w:rsid w:val="00780E8F"/>
    <w:rsid w:val="00781D34"/>
    <w:rsid w:val="00784937"/>
    <w:rsid w:val="007874FA"/>
    <w:rsid w:val="0079013B"/>
    <w:rsid w:val="00791E1F"/>
    <w:rsid w:val="00792A28"/>
    <w:rsid w:val="00794DCB"/>
    <w:rsid w:val="007A7A94"/>
    <w:rsid w:val="007B0E54"/>
    <w:rsid w:val="007B2139"/>
    <w:rsid w:val="007B51D9"/>
    <w:rsid w:val="007C06CD"/>
    <w:rsid w:val="007C170D"/>
    <w:rsid w:val="007C2A8F"/>
    <w:rsid w:val="007C3859"/>
    <w:rsid w:val="007C3D97"/>
    <w:rsid w:val="007C6908"/>
    <w:rsid w:val="007D2C05"/>
    <w:rsid w:val="007D443E"/>
    <w:rsid w:val="007E0AD8"/>
    <w:rsid w:val="007E1C36"/>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0E99"/>
    <w:rsid w:val="0085226F"/>
    <w:rsid w:val="0085346A"/>
    <w:rsid w:val="00854A80"/>
    <w:rsid w:val="00854AFF"/>
    <w:rsid w:val="00854D73"/>
    <w:rsid w:val="0085514C"/>
    <w:rsid w:val="00857739"/>
    <w:rsid w:val="00871660"/>
    <w:rsid w:val="008747D7"/>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4C8E"/>
    <w:rsid w:val="008E1B7E"/>
    <w:rsid w:val="008E5C19"/>
    <w:rsid w:val="008E686A"/>
    <w:rsid w:val="008E7314"/>
    <w:rsid w:val="008F1EAE"/>
    <w:rsid w:val="008F6829"/>
    <w:rsid w:val="008F6B36"/>
    <w:rsid w:val="0090105B"/>
    <w:rsid w:val="00903E7F"/>
    <w:rsid w:val="0090438F"/>
    <w:rsid w:val="00905FD8"/>
    <w:rsid w:val="00906DE5"/>
    <w:rsid w:val="009125CE"/>
    <w:rsid w:val="00912EDE"/>
    <w:rsid w:val="00914D5B"/>
    <w:rsid w:val="0092088B"/>
    <w:rsid w:val="009216A4"/>
    <w:rsid w:val="00924834"/>
    <w:rsid w:val="00926B7C"/>
    <w:rsid w:val="00927901"/>
    <w:rsid w:val="009307B0"/>
    <w:rsid w:val="00930A79"/>
    <w:rsid w:val="00931CDB"/>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1B54"/>
    <w:rsid w:val="00994120"/>
    <w:rsid w:val="009A62C5"/>
    <w:rsid w:val="009B37BE"/>
    <w:rsid w:val="009B37F5"/>
    <w:rsid w:val="009B5162"/>
    <w:rsid w:val="009B6888"/>
    <w:rsid w:val="009B7EAF"/>
    <w:rsid w:val="009C0161"/>
    <w:rsid w:val="009C1818"/>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448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7E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4B7D"/>
    <w:rsid w:val="00AD722B"/>
    <w:rsid w:val="00AE1CBF"/>
    <w:rsid w:val="00AE2C83"/>
    <w:rsid w:val="00AE38FA"/>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5815"/>
    <w:rsid w:val="00B56CAA"/>
    <w:rsid w:val="00B570EB"/>
    <w:rsid w:val="00B57582"/>
    <w:rsid w:val="00B576EF"/>
    <w:rsid w:val="00B61242"/>
    <w:rsid w:val="00B63B0F"/>
    <w:rsid w:val="00B653F7"/>
    <w:rsid w:val="00B711D1"/>
    <w:rsid w:val="00B72A08"/>
    <w:rsid w:val="00B739CF"/>
    <w:rsid w:val="00B74A10"/>
    <w:rsid w:val="00B74FF2"/>
    <w:rsid w:val="00B75E84"/>
    <w:rsid w:val="00B7678A"/>
    <w:rsid w:val="00B801FA"/>
    <w:rsid w:val="00B820CB"/>
    <w:rsid w:val="00B9286F"/>
    <w:rsid w:val="00BA0E1B"/>
    <w:rsid w:val="00BA1572"/>
    <w:rsid w:val="00BA3D6A"/>
    <w:rsid w:val="00BA5817"/>
    <w:rsid w:val="00BB1144"/>
    <w:rsid w:val="00BB3514"/>
    <w:rsid w:val="00BB70F9"/>
    <w:rsid w:val="00BC24EE"/>
    <w:rsid w:val="00BC454D"/>
    <w:rsid w:val="00BD03D1"/>
    <w:rsid w:val="00BD590D"/>
    <w:rsid w:val="00BE03ED"/>
    <w:rsid w:val="00BE2024"/>
    <w:rsid w:val="00BE726D"/>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0072"/>
    <w:rsid w:val="00C54147"/>
    <w:rsid w:val="00C62935"/>
    <w:rsid w:val="00C671AF"/>
    <w:rsid w:val="00C67472"/>
    <w:rsid w:val="00C71349"/>
    <w:rsid w:val="00C71E18"/>
    <w:rsid w:val="00C72446"/>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34C0"/>
    <w:rsid w:val="00CC4484"/>
    <w:rsid w:val="00CC6705"/>
    <w:rsid w:val="00CC7877"/>
    <w:rsid w:val="00CD0099"/>
    <w:rsid w:val="00CD105C"/>
    <w:rsid w:val="00CE144F"/>
    <w:rsid w:val="00CF1F0B"/>
    <w:rsid w:val="00CF246C"/>
    <w:rsid w:val="00CF4901"/>
    <w:rsid w:val="00CF552E"/>
    <w:rsid w:val="00CF5B9E"/>
    <w:rsid w:val="00CF68AE"/>
    <w:rsid w:val="00CF6CEC"/>
    <w:rsid w:val="00D043D4"/>
    <w:rsid w:val="00D1053F"/>
    <w:rsid w:val="00D10F38"/>
    <w:rsid w:val="00D1454F"/>
    <w:rsid w:val="00D145CD"/>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2336"/>
    <w:rsid w:val="00DE50C4"/>
    <w:rsid w:val="00DE5DD0"/>
    <w:rsid w:val="00DE6A61"/>
    <w:rsid w:val="00DF232F"/>
    <w:rsid w:val="00DF6486"/>
    <w:rsid w:val="00DF6D7E"/>
    <w:rsid w:val="00E0124F"/>
    <w:rsid w:val="00E01CE8"/>
    <w:rsid w:val="00E042AB"/>
    <w:rsid w:val="00E047D7"/>
    <w:rsid w:val="00E04D94"/>
    <w:rsid w:val="00E07C45"/>
    <w:rsid w:val="00E1493F"/>
    <w:rsid w:val="00E17556"/>
    <w:rsid w:val="00E178F3"/>
    <w:rsid w:val="00E24460"/>
    <w:rsid w:val="00E2784D"/>
    <w:rsid w:val="00E3001E"/>
    <w:rsid w:val="00E30EB7"/>
    <w:rsid w:val="00E3112D"/>
    <w:rsid w:val="00E31EF9"/>
    <w:rsid w:val="00E373EB"/>
    <w:rsid w:val="00E43E62"/>
    <w:rsid w:val="00E452A2"/>
    <w:rsid w:val="00E47B7D"/>
    <w:rsid w:val="00E50B03"/>
    <w:rsid w:val="00E53564"/>
    <w:rsid w:val="00E552BA"/>
    <w:rsid w:val="00E640C5"/>
    <w:rsid w:val="00E64188"/>
    <w:rsid w:val="00E6570B"/>
    <w:rsid w:val="00E663FA"/>
    <w:rsid w:val="00E67CA1"/>
    <w:rsid w:val="00E70DC2"/>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4EB"/>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69F"/>
    <w:rsid w:val="00F30BD7"/>
    <w:rsid w:val="00F310F2"/>
    <w:rsid w:val="00F33937"/>
    <w:rsid w:val="00F3442D"/>
    <w:rsid w:val="00F450D5"/>
    <w:rsid w:val="00F540A1"/>
    <w:rsid w:val="00F546CE"/>
    <w:rsid w:val="00F563E2"/>
    <w:rsid w:val="00F647B4"/>
    <w:rsid w:val="00F66109"/>
    <w:rsid w:val="00F67418"/>
    <w:rsid w:val="00F72CBB"/>
    <w:rsid w:val="00F733B2"/>
    <w:rsid w:val="00F75CCD"/>
    <w:rsid w:val="00F76F16"/>
    <w:rsid w:val="00F81764"/>
    <w:rsid w:val="00F81D0C"/>
    <w:rsid w:val="00F91846"/>
    <w:rsid w:val="00F95872"/>
    <w:rsid w:val="00FA02C7"/>
    <w:rsid w:val="00FA0A03"/>
    <w:rsid w:val="00FA24AF"/>
    <w:rsid w:val="00FA4282"/>
    <w:rsid w:val="00FA44AF"/>
    <w:rsid w:val="00FB11CC"/>
    <w:rsid w:val="00FB151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94DCB"/>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94DCB"/>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AE38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5">
    <w:name w:val="Grid Table 1 Light Accent 5"/>
    <w:basedOn w:val="TableNormal"/>
    <w:uiPriority w:val="46"/>
    <w:rsid w:val="00327C81"/>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178F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E178F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3C4962"/>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8015551">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354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606490">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5854172">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7689509">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901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747336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0726941">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30896">
      <w:bodyDiv w:val="1"/>
      <w:marLeft w:val="0"/>
      <w:marRight w:val="0"/>
      <w:marTop w:val="0"/>
      <w:marBottom w:val="0"/>
      <w:divBdr>
        <w:top w:val="none" w:sz="0" w:space="0" w:color="auto"/>
        <w:left w:val="none" w:sz="0" w:space="0" w:color="auto"/>
        <w:bottom w:val="none" w:sz="0" w:space="0" w:color="auto"/>
        <w:right w:val="none" w:sz="0" w:space="0" w:color="auto"/>
      </w:divBdr>
      <w:divsChild>
        <w:div w:id="1361392271">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0704430">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3329913">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749686">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76403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4227510">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68977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332856">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3504438">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7245548">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2099520">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18022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8522747">
      <w:bodyDiv w:val="1"/>
      <w:marLeft w:val="0"/>
      <w:marRight w:val="0"/>
      <w:marTop w:val="0"/>
      <w:marBottom w:val="0"/>
      <w:divBdr>
        <w:top w:val="none" w:sz="0" w:space="0" w:color="auto"/>
        <w:left w:val="none" w:sz="0" w:space="0" w:color="auto"/>
        <w:bottom w:val="none" w:sz="0" w:space="0" w:color="auto"/>
        <w:right w:val="none" w:sz="0" w:space="0" w:color="auto"/>
      </w:divBdr>
      <w:divsChild>
        <w:div w:id="1231497505">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6526527">
      <w:bodyDiv w:val="1"/>
      <w:marLeft w:val="0"/>
      <w:marRight w:val="0"/>
      <w:marTop w:val="0"/>
      <w:marBottom w:val="0"/>
      <w:divBdr>
        <w:top w:val="none" w:sz="0" w:space="0" w:color="auto"/>
        <w:left w:val="none" w:sz="0" w:space="0" w:color="auto"/>
        <w:bottom w:val="none" w:sz="0" w:space="0" w:color="auto"/>
        <w:right w:val="none" w:sz="0" w:space="0" w:color="auto"/>
      </w:divBdr>
    </w:div>
    <w:div w:id="1547639238">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5041038">
      <w:bodyDiv w:val="1"/>
      <w:marLeft w:val="0"/>
      <w:marRight w:val="0"/>
      <w:marTop w:val="0"/>
      <w:marBottom w:val="0"/>
      <w:divBdr>
        <w:top w:val="none" w:sz="0" w:space="0" w:color="auto"/>
        <w:left w:val="none" w:sz="0" w:space="0" w:color="auto"/>
        <w:bottom w:val="none" w:sz="0" w:space="0" w:color="auto"/>
        <w:right w:val="none" w:sz="0" w:space="0" w:color="auto"/>
      </w:divBdr>
      <w:divsChild>
        <w:div w:id="1385253226">
          <w:marLeft w:val="0"/>
          <w:marRight w:val="0"/>
          <w:marTop w:val="0"/>
          <w:marBottom w:val="0"/>
          <w:divBdr>
            <w:top w:val="none" w:sz="0" w:space="0" w:color="auto"/>
            <w:left w:val="none" w:sz="0" w:space="0" w:color="auto"/>
            <w:bottom w:val="none" w:sz="0" w:space="0" w:color="auto"/>
            <w:right w:val="none" w:sz="0" w:space="0" w:color="auto"/>
          </w:divBdr>
        </w:div>
        <w:div w:id="139347108">
          <w:marLeft w:val="0"/>
          <w:marRight w:val="0"/>
          <w:marTop w:val="0"/>
          <w:marBottom w:val="0"/>
          <w:divBdr>
            <w:top w:val="none" w:sz="0" w:space="0" w:color="auto"/>
            <w:left w:val="none" w:sz="0" w:space="0" w:color="auto"/>
            <w:bottom w:val="none" w:sz="0" w:space="0" w:color="auto"/>
            <w:right w:val="none" w:sz="0" w:space="0" w:color="auto"/>
          </w:divBdr>
        </w:div>
        <w:div w:id="1268125058">
          <w:marLeft w:val="0"/>
          <w:marRight w:val="0"/>
          <w:marTop w:val="0"/>
          <w:marBottom w:val="0"/>
          <w:divBdr>
            <w:top w:val="none" w:sz="0" w:space="0" w:color="auto"/>
            <w:left w:val="none" w:sz="0" w:space="0" w:color="auto"/>
            <w:bottom w:val="none" w:sz="0" w:space="0" w:color="auto"/>
            <w:right w:val="none" w:sz="0" w:space="0" w:color="auto"/>
          </w:divBdr>
        </w:div>
        <w:div w:id="1976518356">
          <w:marLeft w:val="0"/>
          <w:marRight w:val="0"/>
          <w:marTop w:val="0"/>
          <w:marBottom w:val="0"/>
          <w:divBdr>
            <w:top w:val="none" w:sz="0" w:space="0" w:color="auto"/>
            <w:left w:val="none" w:sz="0" w:space="0" w:color="auto"/>
            <w:bottom w:val="none" w:sz="0" w:space="0" w:color="auto"/>
            <w:right w:val="none" w:sz="0" w:space="0" w:color="auto"/>
          </w:divBdr>
        </w:div>
        <w:div w:id="295376346">
          <w:marLeft w:val="0"/>
          <w:marRight w:val="0"/>
          <w:marTop w:val="0"/>
          <w:marBottom w:val="0"/>
          <w:divBdr>
            <w:top w:val="none" w:sz="0" w:space="0" w:color="auto"/>
            <w:left w:val="none" w:sz="0" w:space="0" w:color="auto"/>
            <w:bottom w:val="none" w:sz="0" w:space="0" w:color="auto"/>
            <w:right w:val="none" w:sz="0" w:space="0" w:color="auto"/>
          </w:divBdr>
        </w:div>
        <w:div w:id="1410735944">
          <w:marLeft w:val="0"/>
          <w:marRight w:val="0"/>
          <w:marTop w:val="0"/>
          <w:marBottom w:val="0"/>
          <w:divBdr>
            <w:top w:val="none" w:sz="0" w:space="0" w:color="auto"/>
            <w:left w:val="none" w:sz="0" w:space="0" w:color="auto"/>
            <w:bottom w:val="none" w:sz="0" w:space="0" w:color="auto"/>
            <w:right w:val="none" w:sz="0" w:space="0" w:color="auto"/>
          </w:divBdr>
        </w:div>
        <w:div w:id="1715084452">
          <w:marLeft w:val="0"/>
          <w:marRight w:val="0"/>
          <w:marTop w:val="0"/>
          <w:marBottom w:val="0"/>
          <w:divBdr>
            <w:top w:val="none" w:sz="0" w:space="0" w:color="auto"/>
            <w:left w:val="none" w:sz="0" w:space="0" w:color="auto"/>
            <w:bottom w:val="none" w:sz="0" w:space="0" w:color="auto"/>
            <w:right w:val="none" w:sz="0" w:space="0" w:color="auto"/>
          </w:divBdr>
        </w:div>
        <w:div w:id="1307969853">
          <w:marLeft w:val="0"/>
          <w:marRight w:val="0"/>
          <w:marTop w:val="0"/>
          <w:marBottom w:val="0"/>
          <w:divBdr>
            <w:top w:val="none" w:sz="0" w:space="0" w:color="auto"/>
            <w:left w:val="none" w:sz="0" w:space="0" w:color="auto"/>
            <w:bottom w:val="none" w:sz="0" w:space="0" w:color="auto"/>
            <w:right w:val="none" w:sz="0" w:space="0" w:color="auto"/>
          </w:divBdr>
        </w:div>
        <w:div w:id="431585603">
          <w:marLeft w:val="0"/>
          <w:marRight w:val="0"/>
          <w:marTop w:val="0"/>
          <w:marBottom w:val="0"/>
          <w:divBdr>
            <w:top w:val="none" w:sz="0" w:space="0" w:color="auto"/>
            <w:left w:val="none" w:sz="0" w:space="0" w:color="auto"/>
            <w:bottom w:val="none" w:sz="0" w:space="0" w:color="auto"/>
            <w:right w:val="none" w:sz="0" w:space="0" w:color="auto"/>
          </w:divBdr>
        </w:div>
        <w:div w:id="981424860">
          <w:marLeft w:val="0"/>
          <w:marRight w:val="0"/>
          <w:marTop w:val="0"/>
          <w:marBottom w:val="0"/>
          <w:divBdr>
            <w:top w:val="none" w:sz="0" w:space="0" w:color="auto"/>
            <w:left w:val="none" w:sz="0" w:space="0" w:color="auto"/>
            <w:bottom w:val="none" w:sz="0" w:space="0" w:color="auto"/>
            <w:right w:val="none" w:sz="0" w:space="0" w:color="auto"/>
          </w:divBdr>
        </w:div>
        <w:div w:id="1151482973">
          <w:marLeft w:val="0"/>
          <w:marRight w:val="0"/>
          <w:marTop w:val="0"/>
          <w:marBottom w:val="0"/>
          <w:divBdr>
            <w:top w:val="none" w:sz="0" w:space="0" w:color="auto"/>
            <w:left w:val="none" w:sz="0" w:space="0" w:color="auto"/>
            <w:bottom w:val="none" w:sz="0" w:space="0" w:color="auto"/>
            <w:right w:val="none" w:sz="0" w:space="0" w:color="auto"/>
          </w:divBdr>
        </w:div>
        <w:div w:id="597639426">
          <w:marLeft w:val="0"/>
          <w:marRight w:val="0"/>
          <w:marTop w:val="0"/>
          <w:marBottom w:val="0"/>
          <w:divBdr>
            <w:top w:val="none" w:sz="0" w:space="0" w:color="auto"/>
            <w:left w:val="none" w:sz="0" w:space="0" w:color="auto"/>
            <w:bottom w:val="none" w:sz="0" w:space="0" w:color="auto"/>
            <w:right w:val="none" w:sz="0" w:space="0" w:color="auto"/>
          </w:divBdr>
        </w:div>
        <w:div w:id="1826044150">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43584">
      <w:bodyDiv w:val="1"/>
      <w:marLeft w:val="0"/>
      <w:marRight w:val="0"/>
      <w:marTop w:val="0"/>
      <w:marBottom w:val="0"/>
      <w:divBdr>
        <w:top w:val="none" w:sz="0" w:space="0" w:color="auto"/>
        <w:left w:val="none" w:sz="0" w:space="0" w:color="auto"/>
        <w:bottom w:val="none" w:sz="0" w:space="0" w:color="auto"/>
        <w:right w:val="none" w:sz="0" w:space="0" w:color="auto"/>
      </w:divBdr>
    </w:div>
    <w:div w:id="165271445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615490">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607232">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5586736">
      <w:bodyDiv w:val="1"/>
      <w:marLeft w:val="0"/>
      <w:marRight w:val="0"/>
      <w:marTop w:val="0"/>
      <w:marBottom w:val="0"/>
      <w:divBdr>
        <w:top w:val="none" w:sz="0" w:space="0" w:color="auto"/>
        <w:left w:val="none" w:sz="0" w:space="0" w:color="auto"/>
        <w:bottom w:val="none" w:sz="0" w:space="0" w:color="auto"/>
        <w:right w:val="none" w:sz="0" w:space="0" w:color="auto"/>
      </w:divBdr>
      <w:divsChild>
        <w:div w:id="321861191">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07602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3593862">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4392656">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4806349">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862971">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222833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045145">
      <w:bodyDiv w:val="1"/>
      <w:marLeft w:val="0"/>
      <w:marRight w:val="0"/>
      <w:marTop w:val="0"/>
      <w:marBottom w:val="0"/>
      <w:divBdr>
        <w:top w:val="none" w:sz="0" w:space="0" w:color="auto"/>
        <w:left w:val="none" w:sz="0" w:space="0" w:color="auto"/>
        <w:bottom w:val="none" w:sz="0" w:space="0" w:color="auto"/>
        <w:right w:val="none" w:sz="0" w:space="0" w:color="auto"/>
      </w:divBdr>
      <w:divsChild>
        <w:div w:id="1146124903">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312455">
      <w:bodyDiv w:val="1"/>
      <w:marLeft w:val="0"/>
      <w:marRight w:val="0"/>
      <w:marTop w:val="0"/>
      <w:marBottom w:val="0"/>
      <w:divBdr>
        <w:top w:val="none" w:sz="0" w:space="0" w:color="auto"/>
        <w:left w:val="none" w:sz="0" w:space="0" w:color="auto"/>
        <w:bottom w:val="none" w:sz="0" w:space="0" w:color="auto"/>
        <w:right w:val="none" w:sz="0" w:space="0" w:color="auto"/>
      </w:divBdr>
      <w:divsChild>
        <w:div w:id="762923241">
          <w:marLeft w:val="0"/>
          <w:marRight w:val="0"/>
          <w:marTop w:val="0"/>
          <w:marBottom w:val="0"/>
          <w:divBdr>
            <w:top w:val="none" w:sz="0" w:space="0" w:color="auto"/>
            <w:left w:val="none" w:sz="0" w:space="0" w:color="auto"/>
            <w:bottom w:val="none" w:sz="0" w:space="0" w:color="auto"/>
            <w:right w:val="none" w:sz="0" w:space="0" w:color="auto"/>
          </w:divBdr>
        </w:div>
        <w:div w:id="1405760787">
          <w:marLeft w:val="0"/>
          <w:marRight w:val="0"/>
          <w:marTop w:val="0"/>
          <w:marBottom w:val="0"/>
          <w:divBdr>
            <w:top w:val="none" w:sz="0" w:space="0" w:color="auto"/>
            <w:left w:val="none" w:sz="0" w:space="0" w:color="auto"/>
            <w:bottom w:val="none" w:sz="0" w:space="0" w:color="auto"/>
            <w:right w:val="none" w:sz="0" w:space="0" w:color="auto"/>
          </w:divBdr>
        </w:div>
        <w:div w:id="190413527">
          <w:marLeft w:val="0"/>
          <w:marRight w:val="0"/>
          <w:marTop w:val="0"/>
          <w:marBottom w:val="0"/>
          <w:divBdr>
            <w:top w:val="none" w:sz="0" w:space="0" w:color="auto"/>
            <w:left w:val="none" w:sz="0" w:space="0" w:color="auto"/>
            <w:bottom w:val="none" w:sz="0" w:space="0" w:color="auto"/>
            <w:right w:val="none" w:sz="0" w:space="0" w:color="auto"/>
          </w:divBdr>
        </w:div>
        <w:div w:id="1649355317">
          <w:marLeft w:val="0"/>
          <w:marRight w:val="0"/>
          <w:marTop w:val="0"/>
          <w:marBottom w:val="0"/>
          <w:divBdr>
            <w:top w:val="none" w:sz="0" w:space="0" w:color="auto"/>
            <w:left w:val="none" w:sz="0" w:space="0" w:color="auto"/>
            <w:bottom w:val="none" w:sz="0" w:space="0" w:color="auto"/>
            <w:right w:val="none" w:sz="0" w:space="0" w:color="auto"/>
          </w:divBdr>
        </w:div>
        <w:div w:id="1126462207">
          <w:marLeft w:val="0"/>
          <w:marRight w:val="0"/>
          <w:marTop w:val="0"/>
          <w:marBottom w:val="0"/>
          <w:divBdr>
            <w:top w:val="none" w:sz="0" w:space="0" w:color="auto"/>
            <w:left w:val="none" w:sz="0" w:space="0" w:color="auto"/>
            <w:bottom w:val="none" w:sz="0" w:space="0" w:color="auto"/>
            <w:right w:val="none" w:sz="0" w:space="0" w:color="auto"/>
          </w:divBdr>
        </w:div>
        <w:div w:id="294062718">
          <w:marLeft w:val="0"/>
          <w:marRight w:val="0"/>
          <w:marTop w:val="0"/>
          <w:marBottom w:val="0"/>
          <w:divBdr>
            <w:top w:val="none" w:sz="0" w:space="0" w:color="auto"/>
            <w:left w:val="none" w:sz="0" w:space="0" w:color="auto"/>
            <w:bottom w:val="none" w:sz="0" w:space="0" w:color="auto"/>
            <w:right w:val="none" w:sz="0" w:space="0" w:color="auto"/>
          </w:divBdr>
        </w:div>
        <w:div w:id="2103143727">
          <w:marLeft w:val="0"/>
          <w:marRight w:val="0"/>
          <w:marTop w:val="0"/>
          <w:marBottom w:val="0"/>
          <w:divBdr>
            <w:top w:val="none" w:sz="0" w:space="0" w:color="auto"/>
            <w:left w:val="none" w:sz="0" w:space="0" w:color="auto"/>
            <w:bottom w:val="none" w:sz="0" w:space="0" w:color="auto"/>
            <w:right w:val="none" w:sz="0" w:space="0" w:color="auto"/>
          </w:divBdr>
        </w:div>
        <w:div w:id="968440439">
          <w:marLeft w:val="0"/>
          <w:marRight w:val="0"/>
          <w:marTop w:val="0"/>
          <w:marBottom w:val="0"/>
          <w:divBdr>
            <w:top w:val="none" w:sz="0" w:space="0" w:color="auto"/>
            <w:left w:val="none" w:sz="0" w:space="0" w:color="auto"/>
            <w:bottom w:val="none" w:sz="0" w:space="0" w:color="auto"/>
            <w:right w:val="none" w:sz="0" w:space="0" w:color="auto"/>
          </w:divBdr>
        </w:div>
        <w:div w:id="492725295">
          <w:marLeft w:val="0"/>
          <w:marRight w:val="0"/>
          <w:marTop w:val="0"/>
          <w:marBottom w:val="0"/>
          <w:divBdr>
            <w:top w:val="none" w:sz="0" w:space="0" w:color="auto"/>
            <w:left w:val="none" w:sz="0" w:space="0" w:color="auto"/>
            <w:bottom w:val="none" w:sz="0" w:space="0" w:color="auto"/>
            <w:right w:val="none" w:sz="0" w:space="0" w:color="auto"/>
          </w:divBdr>
        </w:div>
        <w:div w:id="2010711330">
          <w:marLeft w:val="0"/>
          <w:marRight w:val="0"/>
          <w:marTop w:val="0"/>
          <w:marBottom w:val="0"/>
          <w:divBdr>
            <w:top w:val="none" w:sz="0" w:space="0" w:color="auto"/>
            <w:left w:val="none" w:sz="0" w:space="0" w:color="auto"/>
            <w:bottom w:val="none" w:sz="0" w:space="0" w:color="auto"/>
            <w:right w:val="none" w:sz="0" w:space="0" w:color="auto"/>
          </w:divBdr>
        </w:div>
        <w:div w:id="1049643793">
          <w:marLeft w:val="0"/>
          <w:marRight w:val="0"/>
          <w:marTop w:val="0"/>
          <w:marBottom w:val="0"/>
          <w:divBdr>
            <w:top w:val="none" w:sz="0" w:space="0" w:color="auto"/>
            <w:left w:val="none" w:sz="0" w:space="0" w:color="auto"/>
            <w:bottom w:val="none" w:sz="0" w:space="0" w:color="auto"/>
            <w:right w:val="none" w:sz="0" w:space="0" w:color="auto"/>
          </w:divBdr>
        </w:div>
        <w:div w:id="1806269930">
          <w:marLeft w:val="0"/>
          <w:marRight w:val="0"/>
          <w:marTop w:val="0"/>
          <w:marBottom w:val="0"/>
          <w:divBdr>
            <w:top w:val="none" w:sz="0" w:space="0" w:color="auto"/>
            <w:left w:val="none" w:sz="0" w:space="0" w:color="auto"/>
            <w:bottom w:val="none" w:sz="0" w:space="0" w:color="auto"/>
            <w:right w:val="none" w:sz="0" w:space="0" w:color="auto"/>
          </w:divBdr>
        </w:div>
        <w:div w:id="1703050263">
          <w:marLeft w:val="0"/>
          <w:marRight w:val="0"/>
          <w:marTop w:val="0"/>
          <w:marBottom w:val="0"/>
          <w:divBdr>
            <w:top w:val="none" w:sz="0" w:space="0" w:color="auto"/>
            <w:left w:val="none" w:sz="0" w:space="0" w:color="auto"/>
            <w:bottom w:val="none" w:sz="0" w:space="0" w:color="auto"/>
            <w:right w:val="none" w:sz="0" w:space="0" w:color="auto"/>
          </w:divBdr>
        </w:div>
        <w:div w:id="1534884054">
          <w:marLeft w:val="0"/>
          <w:marRight w:val="0"/>
          <w:marTop w:val="0"/>
          <w:marBottom w:val="0"/>
          <w:divBdr>
            <w:top w:val="none" w:sz="0" w:space="0" w:color="auto"/>
            <w:left w:val="none" w:sz="0" w:space="0" w:color="auto"/>
            <w:bottom w:val="none" w:sz="0" w:space="0" w:color="auto"/>
            <w:right w:val="none" w:sz="0" w:space="0" w:color="auto"/>
          </w:divBdr>
        </w:div>
        <w:div w:id="2005432134">
          <w:marLeft w:val="0"/>
          <w:marRight w:val="0"/>
          <w:marTop w:val="0"/>
          <w:marBottom w:val="0"/>
          <w:divBdr>
            <w:top w:val="none" w:sz="0" w:space="0" w:color="auto"/>
            <w:left w:val="none" w:sz="0" w:space="0" w:color="auto"/>
            <w:bottom w:val="none" w:sz="0" w:space="0" w:color="auto"/>
            <w:right w:val="none" w:sz="0" w:space="0" w:color="auto"/>
          </w:divBdr>
        </w:div>
        <w:div w:id="248853294">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F6556C-4F98-4FA2-B0BE-6015F9CA5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11251</Words>
  <Characters>64137</Characters>
  <Application>Microsoft Office Word</Application>
  <DocSecurity>0</DocSecurity>
  <Lines>534</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2026-03-02T21:36:00Z</cp:lastPrinted>
  <dcterms:created xsi:type="dcterms:W3CDTF">2026-04-10T14:06:00Z</dcterms:created>
  <dcterms:modified xsi:type="dcterms:W3CDTF">2026-04-10T14:06:00Z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