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2B0D8" w14:textId="77777777" w:rsidR="0009632C" w:rsidRDefault="004E2D60" w:rsidP="004E2D60">
      <w:pPr>
        <w:bidi/>
        <w:rPr>
          <w:rtl/>
        </w:rPr>
      </w:pPr>
      <w:r>
        <w:rPr>
          <w:rFonts w:hint="cs"/>
          <w:rtl/>
        </w:rPr>
        <w:t xml:space="preserve">ماجد </w:t>
      </w:r>
    </w:p>
    <w:p w14:paraId="0DC70758" w14:textId="77777777" w:rsidR="004E2D60" w:rsidRDefault="004E2D60" w:rsidP="004E2D60">
      <w:pPr>
        <w:pStyle w:val="a3"/>
        <w:bidi/>
      </w:pPr>
      <w:r>
        <w:rPr>
          <w:rFonts w:eastAsia="Times New Roman" w:hAnsi="Symbol"/>
        </w:rPr>
        <w:t></w:t>
      </w:r>
      <w:r>
        <w:rPr>
          <w:rFonts w:eastAsia="Times New Roman"/>
        </w:rPr>
        <w:t xml:space="preserve">  </w:t>
      </w:r>
      <w:r>
        <w:rPr>
          <w:rtl/>
        </w:rPr>
        <w:t>يفضل تعزيز الإطار النظري بإضافة نظريات داعمة مثل</w:t>
      </w:r>
      <w:r>
        <w:t>:</w:t>
      </w:r>
    </w:p>
    <w:p w14:paraId="27716947" w14:textId="77777777" w:rsidR="004E2D60" w:rsidRDefault="004E2D60" w:rsidP="004E2D60">
      <w:pPr>
        <w:pStyle w:val="a3"/>
        <w:numPr>
          <w:ilvl w:val="0"/>
          <w:numId w:val="1"/>
        </w:numPr>
        <w:bidi/>
      </w:pPr>
      <w:r>
        <w:t>Digital Transformation Theory</w:t>
      </w:r>
    </w:p>
    <w:p w14:paraId="44E09183" w14:textId="77777777" w:rsidR="004E2D60" w:rsidRDefault="004E2D60" w:rsidP="004E2D60">
      <w:pPr>
        <w:pStyle w:val="a3"/>
        <w:numPr>
          <w:ilvl w:val="0"/>
          <w:numId w:val="1"/>
        </w:numPr>
        <w:bidi/>
      </w:pPr>
      <w:r>
        <w:t>Institutional Theory</w:t>
      </w:r>
    </w:p>
    <w:p w14:paraId="5FEA14FF" w14:textId="2A291583" w:rsidR="00D33585" w:rsidRDefault="004E2D60" w:rsidP="00D33585">
      <w:pPr>
        <w:pStyle w:val="a3"/>
        <w:numPr>
          <w:ilvl w:val="0"/>
          <w:numId w:val="1"/>
        </w:numPr>
        <w:bidi/>
      </w:pPr>
      <w:r>
        <w:t>Governance Theory</w:t>
      </w:r>
    </w:p>
    <w:p w14:paraId="1498F068" w14:textId="77777777" w:rsidR="00D33585" w:rsidRPr="00D33585" w:rsidRDefault="00D33585" w:rsidP="00D33585">
      <w:pPr>
        <w:bidi/>
        <w:spacing w:before="100" w:beforeAutospacing="1" w:after="100" w:afterAutospacing="1"/>
        <w:rPr>
          <w:rFonts w:ascii="Times New Roman" w:eastAsia="Times New Roman" w:hAnsi="Times New Roman" w:cs="Times New Roman"/>
          <w:color w:val="4472C4" w:themeColor="accent1"/>
        </w:rPr>
      </w:pPr>
      <w:r w:rsidRPr="00D33585">
        <w:rPr>
          <w:rFonts w:ascii="Times New Roman" w:eastAsia="Times New Roman" w:hAnsi="Times New Roman" w:cs="Times New Roman"/>
          <w:color w:val="4472C4" w:themeColor="accent1"/>
          <w:rtl/>
        </w:rPr>
        <w:t xml:space="preserve">تم تعزيز الإطار النظري للدراسة من خلال إضافة قسم مستقل بعنوان </w:t>
      </w:r>
      <w:r w:rsidRPr="00D33585">
        <w:rPr>
          <w:rFonts w:ascii="Times New Roman" w:eastAsia="Times New Roman" w:hAnsi="Times New Roman" w:cs="Times New Roman"/>
          <w:b/>
          <w:bCs/>
          <w:color w:val="4472C4" w:themeColor="accent1"/>
        </w:rPr>
        <w:t>"</w:t>
      </w:r>
      <w:r w:rsidRPr="00D33585">
        <w:rPr>
          <w:rFonts w:ascii="Times New Roman" w:eastAsia="Times New Roman" w:hAnsi="Times New Roman" w:cs="Times New Roman"/>
          <w:b/>
          <w:bCs/>
          <w:color w:val="4472C4" w:themeColor="accent1"/>
          <w:rtl/>
        </w:rPr>
        <w:t>الأسس النظرية للدراسة</w:t>
      </w:r>
      <w:r w:rsidRPr="00D33585">
        <w:rPr>
          <w:rFonts w:ascii="Times New Roman" w:eastAsia="Times New Roman" w:hAnsi="Times New Roman" w:cs="Times New Roman"/>
          <w:b/>
          <w:bCs/>
          <w:color w:val="4472C4" w:themeColor="accent1"/>
        </w:rPr>
        <w:t>"</w:t>
      </w:r>
      <w:r w:rsidRPr="00D33585">
        <w:rPr>
          <w:rFonts w:ascii="Times New Roman" w:eastAsia="Times New Roman" w:hAnsi="Times New Roman" w:cs="Times New Roman"/>
          <w:color w:val="4472C4" w:themeColor="accent1"/>
        </w:rPr>
        <w:t xml:space="preserve"> </w:t>
      </w:r>
      <w:r w:rsidRPr="00D33585">
        <w:rPr>
          <w:rFonts w:ascii="Times New Roman" w:eastAsia="Times New Roman" w:hAnsi="Times New Roman" w:cs="Times New Roman"/>
          <w:color w:val="4472C4" w:themeColor="accent1"/>
          <w:rtl/>
        </w:rPr>
        <w:t>في الفصل الثاني، حيث تم عرض وتحليل عدد من النظريات التنظيمية الداعمة، شملت نظرية التحول الرقمي، والنظرية المؤسسية، ونظرية الحوكمة</w:t>
      </w:r>
      <w:r w:rsidRPr="00D33585">
        <w:rPr>
          <w:rFonts w:ascii="Times New Roman" w:eastAsia="Times New Roman" w:hAnsi="Times New Roman" w:cs="Times New Roman"/>
          <w:color w:val="4472C4" w:themeColor="accent1"/>
        </w:rPr>
        <w:t>.</w:t>
      </w:r>
    </w:p>
    <w:p w14:paraId="4A4B83BF" w14:textId="77777777" w:rsidR="00D33585" w:rsidRPr="00D33585" w:rsidRDefault="00D33585" w:rsidP="00D33585">
      <w:pPr>
        <w:bidi/>
        <w:spacing w:before="100" w:beforeAutospacing="1" w:after="100" w:afterAutospacing="1"/>
        <w:rPr>
          <w:rFonts w:ascii="Times New Roman" w:eastAsia="Times New Roman" w:hAnsi="Times New Roman" w:cs="Times New Roman"/>
          <w:color w:val="4472C4" w:themeColor="accent1"/>
        </w:rPr>
      </w:pPr>
      <w:r w:rsidRPr="00D33585">
        <w:rPr>
          <w:rFonts w:ascii="Times New Roman" w:eastAsia="Times New Roman" w:hAnsi="Times New Roman" w:cs="Times New Roman"/>
          <w:color w:val="4472C4" w:themeColor="accent1"/>
          <w:rtl/>
        </w:rPr>
        <w:t>كما تم ربط هذه النظريات بمتغيرات الدراسة، وتوضيح دورها في تفسير العلاقات بين التحول الرقمي والاستدامة المؤسسية والحوكمة الذكية وسلامة أصول البنية التحتية والأداء المؤسسي، بما يدعم الأساس النظري للنموذج المفاهيمي للدراسة</w:t>
      </w:r>
      <w:r w:rsidRPr="00D33585">
        <w:rPr>
          <w:rFonts w:ascii="Times New Roman" w:eastAsia="Times New Roman" w:hAnsi="Times New Roman" w:cs="Times New Roman"/>
          <w:color w:val="4472C4" w:themeColor="accent1"/>
        </w:rPr>
        <w:t>.</w:t>
      </w:r>
    </w:p>
    <w:p w14:paraId="4E0A188B" w14:textId="4DEBF68A" w:rsidR="00D33585" w:rsidRPr="00D33585" w:rsidRDefault="00D33585" w:rsidP="00D33585">
      <w:pPr>
        <w:bidi/>
        <w:spacing w:before="100" w:beforeAutospacing="1" w:after="100" w:afterAutospacing="1"/>
        <w:rPr>
          <w:rFonts w:ascii="Times New Roman" w:eastAsia="Times New Roman" w:hAnsi="Times New Roman" w:cs="Times New Roman"/>
          <w:color w:val="4472C4" w:themeColor="accent1"/>
        </w:rPr>
      </w:pPr>
      <w:r w:rsidRPr="00D33585">
        <w:rPr>
          <w:rFonts w:ascii="Times New Roman" w:eastAsia="Times New Roman" w:hAnsi="Times New Roman" w:cs="Times New Roman"/>
          <w:b/>
          <w:bCs/>
          <w:color w:val="4472C4" w:themeColor="accent1"/>
          <w:rtl/>
        </w:rPr>
        <w:t>موقع التعديل</w:t>
      </w:r>
      <w:r w:rsidRPr="00D33585">
        <w:rPr>
          <w:rFonts w:ascii="Times New Roman" w:eastAsia="Times New Roman" w:hAnsi="Times New Roman" w:cs="Times New Roman"/>
          <w:b/>
          <w:bCs/>
          <w:color w:val="4472C4" w:themeColor="accent1"/>
        </w:rPr>
        <w:t>:</w:t>
      </w:r>
      <w:r w:rsidRPr="00D33585">
        <w:rPr>
          <w:rFonts w:ascii="Times New Roman" w:eastAsia="Times New Roman" w:hAnsi="Times New Roman" w:cs="Times New Roman"/>
          <w:color w:val="4472C4" w:themeColor="accent1"/>
        </w:rPr>
        <w:br/>
      </w:r>
      <w:r w:rsidRPr="00D33585">
        <w:rPr>
          <w:rFonts w:ascii="Times New Roman" w:eastAsia="Times New Roman" w:hAnsi="Times New Roman" w:cs="Times New Roman"/>
          <w:color w:val="4472C4" w:themeColor="accent1"/>
          <w:rtl/>
        </w:rPr>
        <w:t>الفصل الثاني – قسم: الأسس النظرية للدراسة</w:t>
      </w:r>
    </w:p>
    <w:p w14:paraId="5EB5291B" w14:textId="77777777" w:rsidR="00D33585" w:rsidRPr="00D33585" w:rsidRDefault="00D33585" w:rsidP="00D33585">
      <w:pPr>
        <w:pStyle w:val="a3"/>
        <w:bidi/>
      </w:pPr>
    </w:p>
    <w:p w14:paraId="554A5404" w14:textId="77777777" w:rsidR="004E2D60" w:rsidRDefault="004E2D60" w:rsidP="004E2D60">
      <w:pPr>
        <w:pStyle w:val="a3"/>
        <w:bidi/>
        <w:rPr>
          <w:rtl/>
        </w:rPr>
      </w:pPr>
      <w:r>
        <w:rPr>
          <w:rFonts w:eastAsia="Times New Roman"/>
        </w:rPr>
        <w:t xml:space="preserve">  </w:t>
      </w:r>
      <w:r>
        <w:rPr>
          <w:rtl/>
        </w:rPr>
        <w:t>توسيع عرض</w:t>
      </w:r>
      <w:r>
        <w:rPr>
          <w:rStyle w:val="apple-converted-space"/>
          <w:rtl/>
        </w:rPr>
        <w:t> </w:t>
      </w:r>
      <w:r>
        <w:rPr>
          <w:rStyle w:val="a4"/>
          <w:rtl/>
        </w:rPr>
        <w:t>الدراسات السابقة الدولية</w:t>
      </w:r>
      <w:r>
        <w:rPr>
          <w:rStyle w:val="apple-converted-space"/>
          <w:rtl/>
        </w:rPr>
        <w:t> </w:t>
      </w:r>
      <w:r>
        <w:rPr>
          <w:rtl/>
        </w:rPr>
        <w:t>المتعلقة بالحوكمة الرقمية وإدارة الأصول</w:t>
      </w:r>
      <w:r>
        <w:t>.</w:t>
      </w:r>
    </w:p>
    <w:p w14:paraId="6107666A" w14:textId="77777777" w:rsidR="00D33585" w:rsidRPr="00D33585" w:rsidRDefault="00D33585" w:rsidP="00D33585">
      <w:pPr>
        <w:pStyle w:val="a3"/>
        <w:bidi/>
        <w:rPr>
          <w:color w:val="4472C4" w:themeColor="accent1"/>
        </w:rPr>
      </w:pPr>
      <w:r w:rsidRPr="00D33585">
        <w:rPr>
          <w:color w:val="4472C4" w:themeColor="accent1"/>
          <w:rtl/>
        </w:rPr>
        <w:t>تم توسيع عرض الدراسات السابقة الدولية من خلال إضافة عدد من الدراسات الحديثة المرتبطة بالحوكمة الرقمية وإدارة الأصول، مع تعزيز التحليل النقدي للأدبيات وربطها بمتغيرات الدراسة</w:t>
      </w:r>
      <w:r w:rsidRPr="00D33585">
        <w:rPr>
          <w:color w:val="4472C4" w:themeColor="accent1"/>
        </w:rPr>
        <w:t>.</w:t>
      </w:r>
    </w:p>
    <w:p w14:paraId="73F0CC5E" w14:textId="77777777" w:rsidR="00D33585" w:rsidRPr="00D33585" w:rsidRDefault="00D33585" w:rsidP="00D33585">
      <w:pPr>
        <w:pStyle w:val="a3"/>
        <w:bidi/>
        <w:rPr>
          <w:color w:val="4472C4" w:themeColor="accent1"/>
        </w:rPr>
      </w:pPr>
      <w:r w:rsidRPr="00D33585">
        <w:rPr>
          <w:color w:val="4472C4" w:themeColor="accent1"/>
          <w:rtl/>
        </w:rPr>
        <w:t>كما تم إبراز العلاقة بين الحوكمة الرقمية وإدارة الأصول من خلال توضيح دور الحوكمة الذكية كآلية تنظيمية تسهم في توجيه استخدام التقنيات الرقمية، وتنظيم تدفق البيانات، وتحسين كفاءة إدارة الأصول وتقليل المخاطر التشغيلية، بما يدعم تفسير العلاقات ضمن النموذج المفاهيمي للدراسة</w:t>
      </w:r>
      <w:r w:rsidRPr="00D33585">
        <w:rPr>
          <w:color w:val="4472C4" w:themeColor="accent1"/>
        </w:rPr>
        <w:t>.</w:t>
      </w:r>
    </w:p>
    <w:p w14:paraId="77DD2682" w14:textId="2E3EC723" w:rsidR="00D33585" w:rsidRPr="00D33585" w:rsidRDefault="00D33585" w:rsidP="00D33585">
      <w:pPr>
        <w:pStyle w:val="a3"/>
        <w:bidi/>
        <w:rPr>
          <w:color w:val="4472C4" w:themeColor="accent1"/>
        </w:rPr>
      </w:pPr>
      <w:r w:rsidRPr="00D33585">
        <w:rPr>
          <w:b/>
          <w:bCs/>
          <w:color w:val="4472C4" w:themeColor="accent1"/>
          <w:rtl/>
        </w:rPr>
        <w:t>موقع التعديل</w:t>
      </w:r>
      <w:r w:rsidRPr="00D33585">
        <w:rPr>
          <w:b/>
          <w:bCs/>
          <w:color w:val="4472C4" w:themeColor="accent1"/>
        </w:rPr>
        <w:t>:</w:t>
      </w:r>
      <w:r w:rsidRPr="00D33585">
        <w:rPr>
          <w:color w:val="4472C4" w:themeColor="accent1"/>
        </w:rPr>
        <w:br/>
      </w:r>
      <w:r w:rsidRPr="00D33585">
        <w:rPr>
          <w:color w:val="4472C4" w:themeColor="accent1"/>
          <w:rtl/>
        </w:rPr>
        <w:t>الفصل الثاني – محور: الحوكمة الذكية والدراسات السابقة</w:t>
      </w:r>
    </w:p>
    <w:p w14:paraId="1C602095" w14:textId="77777777" w:rsidR="00D33585" w:rsidRPr="00D33585" w:rsidRDefault="00D33585" w:rsidP="00D33585">
      <w:pPr>
        <w:pStyle w:val="a3"/>
        <w:bidi/>
        <w:rPr>
          <w:rtl/>
        </w:rPr>
      </w:pPr>
    </w:p>
    <w:p w14:paraId="1F85F280" w14:textId="77777777" w:rsidR="004E2D60" w:rsidRDefault="004E2D60" w:rsidP="004E2D60">
      <w:pPr>
        <w:pStyle w:val="a3"/>
        <w:bidi/>
        <w:rPr>
          <w:rtl/>
        </w:rPr>
      </w:pPr>
      <w:r>
        <w:rPr>
          <w:rtl/>
        </w:rPr>
        <w:t>إضافة نموذج مفاهيمي واضح يوضح العلاقات بين المتغيرات</w:t>
      </w:r>
      <w:r>
        <w:t>.</w:t>
      </w:r>
    </w:p>
    <w:p w14:paraId="587A8626" w14:textId="77777777" w:rsidR="00D33585" w:rsidRPr="00D33585" w:rsidRDefault="00D33585" w:rsidP="00D33585">
      <w:pPr>
        <w:pStyle w:val="a3"/>
        <w:bidi/>
        <w:rPr>
          <w:color w:val="4472C4" w:themeColor="accent1"/>
        </w:rPr>
      </w:pPr>
      <w:r w:rsidRPr="00D33585">
        <w:rPr>
          <w:color w:val="4472C4" w:themeColor="accent1"/>
          <w:rtl/>
        </w:rPr>
        <w:t>تم عرض النموذج المفاهيمي للدراسة بشكل واضح في الفصل الأول، حيث يوضح العلاقات بين متغيرات الدراسة، بما يشمل التحول الرقمي والاستدامة المؤسسية كمتغيرات مستقلة، والحوكمة الذكية كمتغير وسيط، وسلامة أصول البنية التحتية والأداء المؤسسي كمتغيرات تابعة</w:t>
      </w:r>
      <w:r w:rsidRPr="00D33585">
        <w:rPr>
          <w:color w:val="4472C4" w:themeColor="accent1"/>
        </w:rPr>
        <w:t>.</w:t>
      </w:r>
    </w:p>
    <w:p w14:paraId="6F7935F8" w14:textId="77777777" w:rsidR="00D33585" w:rsidRPr="00D33585" w:rsidRDefault="00D33585" w:rsidP="00D33585">
      <w:pPr>
        <w:pStyle w:val="a3"/>
        <w:bidi/>
        <w:rPr>
          <w:color w:val="4472C4" w:themeColor="accent1"/>
        </w:rPr>
      </w:pPr>
      <w:r w:rsidRPr="00D33585">
        <w:rPr>
          <w:color w:val="4472C4" w:themeColor="accent1"/>
          <w:rtl/>
        </w:rPr>
        <w:t>كما تم تعزيز تفسير النموذج في الفصل الثاني من خلال ربطه بالأسس النظرية للدراسة، بما يوضح الأساس العلمي للعلاقات المفترضة بين المتغيرات</w:t>
      </w:r>
      <w:r w:rsidRPr="00D33585">
        <w:rPr>
          <w:color w:val="4472C4" w:themeColor="accent1"/>
        </w:rPr>
        <w:t>.</w:t>
      </w:r>
    </w:p>
    <w:p w14:paraId="181866F4" w14:textId="0C698C8D" w:rsidR="00D33585" w:rsidRPr="00D33585" w:rsidRDefault="00D33585" w:rsidP="00D33585">
      <w:pPr>
        <w:pStyle w:val="a3"/>
        <w:bidi/>
        <w:rPr>
          <w:color w:val="4472C4" w:themeColor="accent1"/>
        </w:rPr>
      </w:pPr>
      <w:r w:rsidRPr="00D33585">
        <w:rPr>
          <w:b/>
          <w:bCs/>
          <w:color w:val="4472C4" w:themeColor="accent1"/>
          <w:rtl/>
        </w:rPr>
        <w:t>موقع التعديل</w:t>
      </w:r>
      <w:r w:rsidRPr="00D33585">
        <w:rPr>
          <w:b/>
          <w:bCs/>
          <w:color w:val="4472C4" w:themeColor="accent1"/>
        </w:rPr>
        <w:t>:</w:t>
      </w:r>
      <w:r w:rsidRPr="00D33585">
        <w:rPr>
          <w:b/>
          <w:bCs/>
          <w:color w:val="4472C4" w:themeColor="accent1"/>
        </w:rPr>
        <w:br/>
      </w:r>
      <w:r w:rsidRPr="00D33585">
        <w:rPr>
          <w:color w:val="4472C4" w:themeColor="accent1"/>
          <w:rtl/>
        </w:rPr>
        <w:t>الفصل الأول: نموذج الدراسة</w:t>
      </w:r>
      <w:r w:rsidRPr="00D33585">
        <w:rPr>
          <w:color w:val="4472C4" w:themeColor="accent1"/>
        </w:rPr>
        <w:br/>
      </w:r>
      <w:r w:rsidRPr="00D33585">
        <w:rPr>
          <w:color w:val="4472C4" w:themeColor="accent1"/>
          <w:rtl/>
        </w:rPr>
        <w:t>الفصل الثاني: الربط النظري للنموذج</w:t>
      </w:r>
    </w:p>
    <w:p w14:paraId="0A8F1BD8" w14:textId="77777777" w:rsidR="00D33585" w:rsidRPr="00D33585" w:rsidRDefault="00D33585" w:rsidP="00D33585">
      <w:pPr>
        <w:pStyle w:val="a3"/>
        <w:bidi/>
        <w:rPr>
          <w:rtl/>
        </w:rPr>
      </w:pPr>
    </w:p>
    <w:p w14:paraId="464C5C0B" w14:textId="3B13A825" w:rsidR="00D33585" w:rsidRDefault="004E2D60" w:rsidP="00D33585">
      <w:pPr>
        <w:pStyle w:val="a3"/>
        <w:bidi/>
        <w:rPr>
          <w:rtl/>
        </w:rPr>
      </w:pPr>
      <w:r>
        <w:rPr>
          <w:rtl/>
        </w:rPr>
        <w:lastRenderedPageBreak/>
        <w:t>تدعيم الإطار النظري بمراجع أحدث (2023–2025</w:t>
      </w:r>
      <w:r>
        <w:t>).</w:t>
      </w:r>
    </w:p>
    <w:p w14:paraId="42C6B0E2" w14:textId="77777777" w:rsidR="00D33585" w:rsidRPr="00D33585" w:rsidRDefault="00D33585" w:rsidP="00D33585">
      <w:pPr>
        <w:pStyle w:val="a3"/>
        <w:bidi/>
        <w:rPr>
          <w:color w:val="4472C4" w:themeColor="accent1"/>
        </w:rPr>
      </w:pPr>
      <w:r w:rsidRPr="00D33585">
        <w:rPr>
          <w:color w:val="4472C4" w:themeColor="accent1"/>
          <w:rtl/>
        </w:rPr>
        <w:t>تم تدعيم الإطار النظري للدراسة بعدد من المراجع الحديثة (2023–2025) المرتبطة بمتغيرات الدراسة، مع التركيز على تعزيز المحاور التي تحتاج دعمًا إضافيًا، خاصة في مجالات الحوكمة الرقمية، والاستدامة المؤسسية، وإدارة أصول البنية التحتية</w:t>
      </w:r>
      <w:r w:rsidRPr="00D33585">
        <w:rPr>
          <w:color w:val="4472C4" w:themeColor="accent1"/>
        </w:rPr>
        <w:t>.</w:t>
      </w:r>
    </w:p>
    <w:p w14:paraId="5B7CA671" w14:textId="77777777" w:rsidR="00D33585" w:rsidRPr="00D33585" w:rsidRDefault="00D33585" w:rsidP="00D33585">
      <w:pPr>
        <w:pStyle w:val="a3"/>
        <w:bidi/>
        <w:rPr>
          <w:color w:val="4472C4" w:themeColor="accent1"/>
        </w:rPr>
      </w:pPr>
      <w:r w:rsidRPr="00D33585">
        <w:rPr>
          <w:color w:val="4472C4" w:themeColor="accent1"/>
          <w:rtl/>
        </w:rPr>
        <w:t>كما تم إبراز حداثة الأدبيات من خلال ربط الدراسات الحديثة بالتحليل النظري والنموذج المفاهيمي للدراسة</w:t>
      </w:r>
      <w:r w:rsidRPr="00D33585">
        <w:rPr>
          <w:color w:val="4472C4" w:themeColor="accent1"/>
        </w:rPr>
        <w:t>.</w:t>
      </w:r>
    </w:p>
    <w:p w14:paraId="580A1CCF" w14:textId="43414C29" w:rsidR="00D33585" w:rsidRDefault="00D33585" w:rsidP="00D33585">
      <w:pPr>
        <w:pStyle w:val="a3"/>
        <w:bidi/>
        <w:rPr>
          <w:color w:val="4472C4" w:themeColor="accent1"/>
          <w:rtl/>
        </w:rPr>
      </w:pPr>
      <w:r w:rsidRPr="00D33585">
        <w:rPr>
          <w:b/>
          <w:bCs/>
          <w:color w:val="4472C4" w:themeColor="accent1"/>
          <w:rtl/>
        </w:rPr>
        <w:t>موقع التعديل</w:t>
      </w:r>
      <w:r w:rsidRPr="00D33585">
        <w:rPr>
          <w:b/>
          <w:bCs/>
          <w:color w:val="4472C4" w:themeColor="accent1"/>
        </w:rPr>
        <w:t>:</w:t>
      </w:r>
      <w:r w:rsidRPr="00D33585">
        <w:rPr>
          <w:color w:val="4472C4" w:themeColor="accent1"/>
        </w:rPr>
        <w:br/>
      </w:r>
      <w:r w:rsidRPr="00D33585">
        <w:rPr>
          <w:color w:val="4472C4" w:themeColor="accent1"/>
          <w:rtl/>
        </w:rPr>
        <w:t>الفصل الثاني – الإطار النظري والدراسات السابقة</w:t>
      </w:r>
    </w:p>
    <w:p w14:paraId="61E2FA26" w14:textId="77777777" w:rsidR="00D33585" w:rsidRDefault="00D33585" w:rsidP="00D33585">
      <w:pPr>
        <w:pStyle w:val="a3"/>
        <w:bidi/>
        <w:rPr>
          <w:color w:val="4472C4" w:themeColor="accent1"/>
          <w:rtl/>
        </w:rPr>
      </w:pPr>
    </w:p>
    <w:p w14:paraId="27B378F0" w14:textId="77777777" w:rsidR="00D33585" w:rsidRDefault="00D33585" w:rsidP="00D33585">
      <w:pPr>
        <w:pStyle w:val="a3"/>
        <w:bidi/>
        <w:rPr>
          <w:color w:val="4472C4" w:themeColor="accent1"/>
          <w:rtl/>
        </w:rPr>
      </w:pPr>
    </w:p>
    <w:p w14:paraId="6E510336" w14:textId="5F2B2318" w:rsidR="00D33585" w:rsidRPr="00CF51E8" w:rsidRDefault="00D33585" w:rsidP="00D33585">
      <w:pPr>
        <w:pStyle w:val="a3"/>
        <w:bidi/>
        <w:jc w:val="both"/>
        <w:rPr>
          <w:color w:val="4472C4" w:themeColor="accent1"/>
          <w:sz w:val="32"/>
          <w:szCs w:val="32"/>
        </w:rPr>
      </w:pPr>
      <w:r w:rsidRPr="00CF51E8">
        <w:rPr>
          <w:color w:val="4472C4" w:themeColor="accent1"/>
          <w:sz w:val="32"/>
          <w:szCs w:val="32"/>
          <w:rtl/>
        </w:rPr>
        <w:t>تم بحمد الله معالجة ملاحظات لجنة التحكيم على الفصل الثاني بشكل كامل، حيث تم تعزيز الإطار النظري، وتوسيع الدراسات السابقة الدولية، وتوضيح النموذج المفاهيمي وربطه بالنظريات، إضافة إلى تدعيم الفصل بالمراجع الحديثة، بما يحقق التكامل العلمي ويعزز جودة الدراسة</w:t>
      </w:r>
      <w:r w:rsidRPr="00CF51E8">
        <w:rPr>
          <w:color w:val="4472C4" w:themeColor="accent1"/>
          <w:sz w:val="32"/>
          <w:szCs w:val="32"/>
        </w:rPr>
        <w:t>.</w:t>
      </w:r>
    </w:p>
    <w:p w14:paraId="4E086CF2" w14:textId="77777777" w:rsidR="00D33585" w:rsidRPr="00D33585" w:rsidRDefault="00D33585" w:rsidP="00D33585">
      <w:pPr>
        <w:pStyle w:val="a3"/>
        <w:bidi/>
      </w:pPr>
    </w:p>
    <w:p w14:paraId="63F09CC2" w14:textId="77777777" w:rsidR="004E2D60" w:rsidRDefault="004E2D60" w:rsidP="004E2D60">
      <w:pPr>
        <w:bidi/>
      </w:pPr>
    </w:p>
    <w:sectPr w:rsidR="004E2D60" w:rsidSect="005B7F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595FE6"/>
    <w:multiLevelType w:val="multilevel"/>
    <w:tmpl w:val="9C3AD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559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D60"/>
    <w:rsid w:val="002C76FA"/>
    <w:rsid w:val="004E2D60"/>
    <w:rsid w:val="005B7F58"/>
    <w:rsid w:val="00CF51E8"/>
    <w:rsid w:val="00D335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6787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E2D60"/>
    <w:pPr>
      <w:spacing w:before="100" w:beforeAutospacing="1" w:after="100" w:afterAutospacing="1"/>
    </w:pPr>
    <w:rPr>
      <w:rFonts w:ascii="Times New Roman" w:hAnsi="Times New Roman" w:cs="Times New Roman"/>
    </w:rPr>
  </w:style>
  <w:style w:type="character" w:customStyle="1" w:styleId="apple-converted-space">
    <w:name w:val="apple-converted-space"/>
    <w:basedOn w:val="a0"/>
    <w:rsid w:val="004E2D60"/>
  </w:style>
  <w:style w:type="character" w:styleId="a4">
    <w:name w:val="Strong"/>
    <w:basedOn w:val="a0"/>
    <w:uiPriority w:val="22"/>
    <w:qFormat/>
    <w:rsid w:val="004E2D60"/>
    <w:rPr>
      <w:b/>
      <w:bCs/>
    </w:rPr>
  </w:style>
  <w:style w:type="paragraph" w:styleId="a5">
    <w:name w:val="List Paragraph"/>
    <w:basedOn w:val="a"/>
    <w:uiPriority w:val="34"/>
    <w:qFormat/>
    <w:rsid w:val="00D335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610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2064</Characters>
  <Application>Microsoft Office Word</Application>
  <DocSecurity>0</DocSecurity>
  <Lines>17</Lines>
  <Paragraphs>4</Paragraphs>
  <ScaleCrop>false</ScaleCrop>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maged hilal</cp:lastModifiedBy>
  <cp:revision>3</cp:revision>
  <dcterms:created xsi:type="dcterms:W3CDTF">2026-03-21T20:39:00Z</dcterms:created>
  <dcterms:modified xsi:type="dcterms:W3CDTF">2026-03-21T20:39:00Z</dcterms:modified>
</cp:coreProperties>
</file>